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drawing>
          <wp:inline distT="0" distB="0" distL="0" distR="0">
            <wp:extent cx="1689100" cy="82740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13" cstate="print">
                      <a:extLst>
                        <a:ext uri="{28A0092B-C50C-407E-A947-70E740481C1C}">
                          <a14:useLocalDpi xmlns:a14="http://schemas.microsoft.com/office/drawing/2010/main" val="0"/>
                        </a:ext>
                      </a:extLst>
                    </a:blip>
                    <a:srcRect l="22680" t="29316" r="22226" b="32566"/>
                    <a:stretch>
                      <a:fillRect/>
                    </a:stretch>
                  </pic:blipFill>
                  <pic:spPr>
                    <a:xfrm>
                      <a:off x="0" y="0"/>
                      <a:ext cx="1731362" cy="848665"/>
                    </a:xfrm>
                    <a:prstGeom prst="rect">
                      <a:avLst/>
                    </a:prstGeom>
                    <a:noFill/>
                    <a:ln>
                      <a:noFill/>
                    </a:ln>
                  </pic:spPr>
                </pic:pic>
              </a:graphicData>
            </a:graphic>
          </wp:inline>
        </w:drawing>
      </w:r>
    </w:p>
    <w:p>
      <w:pPr>
        <w:adjustRightInd/>
        <w:snapToGrid/>
        <w:spacing w:line="240" w:lineRule="auto"/>
        <w:jc w:val="center"/>
        <w:rPr>
          <w:rFonts w:ascii="Arial" w:hAnsi="Arial" w:eastAsia="黑体" w:cs="Arial"/>
          <w:bCs/>
          <w:color w:val="000080"/>
          <w:w w:val="90"/>
          <w:sz w:val="48"/>
          <w:szCs w:val="48"/>
          <w:highlight w:val="lightGray"/>
        </w:rPr>
      </w:pPr>
      <w:bookmarkStart w:id="0" w:name="_Hlk56172920"/>
    </w:p>
    <w:p>
      <w:pPr>
        <w:adjustRightInd/>
        <w:snapToGrid/>
        <w:spacing w:line="240" w:lineRule="auto"/>
        <w:jc w:val="center"/>
        <w:rPr>
          <w:rFonts w:ascii="Arial" w:hAnsi="Arial" w:eastAsia="黑体" w:cs="Arial"/>
          <w:bCs/>
          <w:color w:val="000080"/>
          <w:w w:val="90"/>
          <w:sz w:val="48"/>
          <w:szCs w:val="48"/>
          <w:highlight w:val="lightGray"/>
        </w:rPr>
      </w:pPr>
    </w:p>
    <w:bookmarkEnd w:id="0"/>
    <w:p>
      <w:pPr>
        <w:adjustRightInd/>
        <w:snapToGrid/>
        <w:spacing w:line="240" w:lineRule="auto"/>
        <w:jc w:val="center"/>
        <w:rPr>
          <w:rFonts w:hint="eastAsia" w:ascii="黑体" w:hAnsi="黑体" w:eastAsia="黑体" w:cs="Arial"/>
          <w:bCs/>
          <w:color w:val="000080"/>
          <w:w w:val="90"/>
          <w:sz w:val="48"/>
          <w:szCs w:val="48"/>
          <w:lang w:eastAsia="zh-CN"/>
        </w:rPr>
      </w:pPr>
      <w:bookmarkStart w:id="1" w:name="_Hlk56004360"/>
      <w:r>
        <w:rPr>
          <w:rFonts w:hint="eastAsia" w:ascii="黑体" w:hAnsi="黑体" w:eastAsia="黑体" w:cs="Arial"/>
          <w:bCs/>
          <w:color w:val="000080"/>
          <w:w w:val="90"/>
          <w:sz w:val="48"/>
          <w:szCs w:val="48"/>
          <w:lang w:eastAsia="zh-CN"/>
        </w:rPr>
        <w:t>2024年园博园再生水利用项目</w:t>
      </w:r>
    </w:p>
    <w:bookmarkEnd w:id="1"/>
    <w:p>
      <w:pPr>
        <w:adjustRightInd/>
        <w:snapToGrid/>
        <w:spacing w:line="240" w:lineRule="auto"/>
        <w:jc w:val="center"/>
        <w:rPr>
          <w:rFonts w:ascii="Arial" w:hAnsi="Arial" w:eastAsia="黑体" w:cs="Arial"/>
          <w:bCs/>
          <w:color w:val="000080"/>
          <w:w w:val="90"/>
          <w:sz w:val="48"/>
          <w:szCs w:val="48"/>
          <w:highlight w:val="lightGray"/>
        </w:rPr>
      </w:pPr>
    </w:p>
    <w:p>
      <w:pPr>
        <w:adjustRightInd/>
        <w:snapToGrid/>
        <w:spacing w:line="240" w:lineRule="auto"/>
        <w:jc w:val="center"/>
        <w:rPr>
          <w:rFonts w:ascii="Arial" w:hAnsi="Arial" w:eastAsia="黑体" w:cs="Arial"/>
          <w:bCs/>
          <w:color w:val="000080"/>
          <w:w w:val="90"/>
          <w:sz w:val="48"/>
          <w:szCs w:val="48"/>
          <w:highlight w:val="lightGray"/>
        </w:rPr>
      </w:pPr>
    </w:p>
    <w:p>
      <w:pPr>
        <w:widowControl/>
        <w:adjustRightInd/>
        <w:jc w:val="center"/>
        <w:rPr>
          <w:rFonts w:ascii="Arial" w:hAnsi="Arial" w:eastAsia="黑体" w:cs="Arial"/>
          <w:color w:val="000080"/>
          <w:sz w:val="72"/>
          <w:szCs w:val="72"/>
        </w:rPr>
      </w:pPr>
      <w:r>
        <w:rPr>
          <w:rFonts w:hint="eastAsia" w:ascii="Arial" w:hAnsi="Arial" w:eastAsia="黑体" w:cs="Arial"/>
          <w:color w:val="000080"/>
          <w:sz w:val="72"/>
          <w:szCs w:val="72"/>
        </w:rPr>
        <w:t>招标文件</w:t>
      </w:r>
    </w:p>
    <w:p>
      <w:pPr>
        <w:jc w:val="center"/>
        <w:rPr>
          <w:rFonts w:ascii="黑体" w:hAnsi="黑体" w:eastAsia="黑体" w:cs="Arial"/>
          <w:color w:val="000080"/>
          <w:sz w:val="30"/>
          <w:szCs w:val="30"/>
        </w:rPr>
      </w:pPr>
    </w:p>
    <w:p>
      <w:pPr>
        <w:jc w:val="center"/>
        <w:rPr>
          <w:rFonts w:hint="eastAsia" w:ascii="黑体" w:hAnsi="黑体" w:eastAsia="黑体" w:cs="Arial"/>
          <w:color w:val="000080"/>
          <w:sz w:val="30"/>
          <w:szCs w:val="30"/>
          <w:lang w:eastAsia="zh-CN"/>
        </w:rPr>
      </w:pPr>
      <w:bookmarkStart w:id="2" w:name="_Hlk56004418"/>
      <w:r>
        <w:rPr>
          <w:rFonts w:hint="eastAsia" w:ascii="黑体" w:hAnsi="黑体" w:eastAsia="黑体" w:cs="Arial"/>
          <w:color w:val="000080"/>
          <w:sz w:val="30"/>
          <w:szCs w:val="30"/>
        </w:rPr>
        <w:t>项目编号：</w:t>
      </w:r>
      <w:bookmarkEnd w:id="2"/>
      <w:r>
        <w:rPr>
          <w:rFonts w:hint="eastAsia" w:ascii="黑体" w:hAnsi="黑体" w:eastAsia="黑体" w:cs="Arial"/>
          <w:color w:val="000080"/>
          <w:sz w:val="30"/>
          <w:szCs w:val="30"/>
          <w:lang w:eastAsia="zh-CN"/>
        </w:rPr>
        <w:t>0747-2461SCCZN061</w:t>
      </w: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spacing w:line="360" w:lineRule="auto"/>
        <w:ind w:left="1841" w:leftChars="767"/>
        <w:rPr>
          <w:rFonts w:hint="eastAsia" w:ascii="黑体" w:hAnsi="黑体" w:eastAsia="黑体" w:cs="Arial"/>
          <w:color w:val="000080"/>
          <w:sz w:val="30"/>
          <w:szCs w:val="30"/>
          <w:lang w:eastAsia="zh-CN"/>
        </w:rPr>
      </w:pPr>
      <w:r>
        <w:rPr>
          <w:rFonts w:hint="eastAsia" w:ascii="黑体" w:hAnsi="黑体" w:eastAsia="黑体" w:cs="Arial"/>
          <w:color w:val="000080"/>
          <w:sz w:val="30"/>
          <w:szCs w:val="30"/>
        </w:rPr>
        <w:t>采购人：</w:t>
      </w:r>
      <w:r>
        <w:rPr>
          <w:rFonts w:hint="eastAsia" w:ascii="黑体" w:hAnsi="黑体" w:eastAsia="黑体" w:cs="Arial"/>
          <w:color w:val="000080"/>
          <w:sz w:val="30"/>
          <w:szCs w:val="30"/>
          <w:lang w:eastAsia="zh-CN"/>
        </w:rPr>
        <w:t>北京园博园管理中心</w:t>
      </w:r>
    </w:p>
    <w:p>
      <w:pPr>
        <w:spacing w:line="360" w:lineRule="auto"/>
        <w:ind w:left="1841" w:leftChars="767"/>
        <w:rPr>
          <w:rFonts w:ascii="黑体" w:hAnsi="黑体" w:eastAsia="黑体" w:cs="Arial"/>
          <w:color w:val="000080"/>
          <w:sz w:val="30"/>
          <w:szCs w:val="30"/>
        </w:rPr>
      </w:pPr>
      <w:r>
        <w:rPr>
          <w:rFonts w:hint="eastAsia" w:ascii="黑体" w:hAnsi="黑体" w:eastAsia="黑体" w:cs="Arial"/>
          <w:color w:val="000080"/>
          <w:sz w:val="30"/>
          <w:szCs w:val="30"/>
        </w:rPr>
        <w:t>采购代理机构：中化商务有限公司</w:t>
      </w:r>
    </w:p>
    <w:p>
      <w:pPr>
        <w:tabs>
          <w:tab w:val="left" w:pos="2478"/>
          <w:tab w:val="center" w:pos="4464"/>
        </w:tabs>
        <w:spacing w:line="360" w:lineRule="auto"/>
        <w:jc w:val="left"/>
        <w:rPr>
          <w:rFonts w:hint="eastAsia" w:ascii="黑体" w:hAnsi="黑体" w:eastAsia="黑体" w:cs="Arial"/>
          <w:color w:val="000080"/>
          <w:sz w:val="30"/>
          <w:szCs w:val="30"/>
          <w:lang w:eastAsia="zh-CN"/>
        </w:rPr>
        <w:sectPr>
          <w:footerReference r:id="rId6" w:type="first"/>
          <w:footerReference r:id="rId5" w:type="default"/>
          <w:pgSz w:w="11906" w:h="16838"/>
          <w:pgMar w:top="1440" w:right="1559" w:bottom="1440" w:left="1418" w:header="851" w:footer="992" w:gutter="0"/>
          <w:pgNumType w:fmt="upperRoman" w:start="1"/>
          <w:cols w:space="425" w:num="1"/>
          <w:titlePg/>
          <w:docGrid w:type="lines" w:linePitch="312" w:charSpace="0"/>
        </w:sectPr>
      </w:pPr>
      <w:r>
        <w:rPr>
          <w:rFonts w:ascii="黑体" w:hAnsi="黑体" w:eastAsia="黑体" w:cs="Arial"/>
          <w:color w:val="000080"/>
          <w:sz w:val="30"/>
          <w:szCs w:val="30"/>
        </w:rPr>
        <w:tab/>
      </w:r>
      <w:r>
        <w:rPr>
          <w:rFonts w:ascii="黑体" w:hAnsi="黑体" w:eastAsia="黑体" w:cs="Arial"/>
          <w:color w:val="000080"/>
          <w:sz w:val="30"/>
          <w:szCs w:val="30"/>
        </w:rPr>
        <w:tab/>
      </w:r>
      <w:r>
        <w:rPr>
          <w:rFonts w:hint="eastAsia" w:ascii="黑体" w:hAnsi="黑体" w:eastAsia="黑体" w:cs="Arial"/>
          <w:color w:val="000080"/>
          <w:sz w:val="30"/>
          <w:szCs w:val="30"/>
          <w:lang w:eastAsia="zh-CN"/>
        </w:rPr>
        <w:t>202</w:t>
      </w:r>
      <w:r>
        <w:rPr>
          <w:rFonts w:hint="eastAsia" w:ascii="黑体" w:hAnsi="黑体" w:eastAsia="黑体" w:cs="Arial"/>
          <w:color w:val="000080"/>
          <w:sz w:val="30"/>
          <w:szCs w:val="30"/>
          <w:lang w:val="en-US" w:eastAsia="zh-CN"/>
        </w:rPr>
        <w:t>4</w:t>
      </w:r>
      <w:r>
        <w:rPr>
          <w:rFonts w:hint="eastAsia" w:ascii="黑体" w:hAnsi="黑体" w:eastAsia="黑体" w:cs="Arial"/>
          <w:color w:val="000080"/>
          <w:sz w:val="30"/>
          <w:szCs w:val="30"/>
          <w:lang w:eastAsia="zh-CN"/>
        </w:rPr>
        <w:t>年3月</w:t>
      </w:r>
    </w:p>
    <w:p>
      <w:pPr>
        <w:spacing w:line="360" w:lineRule="auto"/>
        <w:jc w:val="center"/>
        <w:rPr>
          <w:b/>
          <w:bCs/>
          <w:szCs w:val="24"/>
        </w:rPr>
      </w:pPr>
      <w:r>
        <w:rPr>
          <w:rFonts w:hint="eastAsia"/>
          <w:b/>
          <w:bCs/>
          <w:szCs w:val="24"/>
        </w:rPr>
        <w:t>目录</w:t>
      </w:r>
    </w:p>
    <w:p>
      <w:pPr>
        <w:pStyle w:val="14"/>
        <w:tabs>
          <w:tab w:val="right" w:leader="dot" w:pos="8929"/>
        </w:tabs>
      </w:pPr>
      <w:r>
        <w:fldChar w:fldCharType="begin"/>
      </w:r>
      <w:r>
        <w:instrText xml:space="preserve"> </w:instrText>
      </w:r>
      <w:r>
        <w:rPr>
          <w:rFonts w:hint="eastAsia"/>
        </w:rPr>
        <w:instrText xml:space="preserve">TOC \o "1-3" \h \z \u</w:instrText>
      </w:r>
      <w:r>
        <w:instrText xml:space="preserve"> </w:instrText>
      </w:r>
      <w:r>
        <w:fldChar w:fldCharType="separate"/>
      </w:r>
      <w:r>
        <w:fldChar w:fldCharType="begin"/>
      </w:r>
      <w:r>
        <w:instrText xml:space="preserve"> HYPERLINK \l _Toc1480 </w:instrText>
      </w:r>
      <w:r>
        <w:fldChar w:fldCharType="separate"/>
      </w:r>
      <w:r>
        <w:rPr>
          <w:rFonts w:hint="eastAsia"/>
        </w:rPr>
        <w:t>第一章  投标邀请</w:t>
      </w:r>
      <w:r>
        <w:tab/>
      </w:r>
      <w:r>
        <w:fldChar w:fldCharType="begin"/>
      </w:r>
      <w:r>
        <w:instrText xml:space="preserve"> PAGEREF _Toc1480 \h </w:instrText>
      </w:r>
      <w:r>
        <w:fldChar w:fldCharType="separate"/>
      </w:r>
      <w:r>
        <w:t>4</w:t>
      </w:r>
      <w:r>
        <w:fldChar w:fldCharType="end"/>
      </w:r>
      <w:r>
        <w:fldChar w:fldCharType="end"/>
      </w:r>
    </w:p>
    <w:p>
      <w:pPr>
        <w:pStyle w:val="14"/>
        <w:tabs>
          <w:tab w:val="right" w:leader="dot" w:pos="8929"/>
        </w:tabs>
      </w:pPr>
      <w:r>
        <w:fldChar w:fldCharType="begin"/>
      </w:r>
      <w:r>
        <w:instrText xml:space="preserve"> HYPERLINK \l _Toc28344 </w:instrText>
      </w:r>
      <w:r>
        <w:fldChar w:fldCharType="separate"/>
      </w:r>
      <w:r>
        <w:rPr>
          <w:rFonts w:hint="eastAsia"/>
        </w:rPr>
        <w:t>第二章  投标人须知前附表和投标人须知</w:t>
      </w:r>
      <w:r>
        <w:tab/>
      </w:r>
      <w:r>
        <w:fldChar w:fldCharType="begin"/>
      </w:r>
      <w:r>
        <w:instrText xml:space="preserve"> PAGEREF _Toc28344 \h </w:instrText>
      </w:r>
      <w:r>
        <w:fldChar w:fldCharType="separate"/>
      </w:r>
      <w:r>
        <w:t>7</w:t>
      </w:r>
      <w:r>
        <w:fldChar w:fldCharType="end"/>
      </w:r>
      <w:r>
        <w:fldChar w:fldCharType="end"/>
      </w:r>
    </w:p>
    <w:p>
      <w:pPr>
        <w:pStyle w:val="16"/>
        <w:tabs>
          <w:tab w:val="right" w:leader="dot" w:pos="8929"/>
        </w:tabs>
      </w:pPr>
      <w:r>
        <w:fldChar w:fldCharType="begin"/>
      </w:r>
      <w:r>
        <w:instrText xml:space="preserve"> HYPERLINK \l _Toc24080 </w:instrText>
      </w:r>
      <w:r>
        <w:fldChar w:fldCharType="separate"/>
      </w:r>
      <w:r>
        <w:rPr>
          <w:rFonts w:hint="eastAsia"/>
        </w:rPr>
        <w:t>投标人须知前附表</w:t>
      </w:r>
      <w:r>
        <w:tab/>
      </w:r>
      <w:r>
        <w:fldChar w:fldCharType="begin"/>
      </w:r>
      <w:r>
        <w:instrText xml:space="preserve"> PAGEREF _Toc24080 \h </w:instrText>
      </w:r>
      <w:r>
        <w:fldChar w:fldCharType="separate"/>
      </w:r>
      <w:r>
        <w:t>7</w:t>
      </w:r>
      <w:r>
        <w:fldChar w:fldCharType="end"/>
      </w:r>
      <w:r>
        <w:fldChar w:fldCharType="end"/>
      </w:r>
    </w:p>
    <w:p>
      <w:pPr>
        <w:pStyle w:val="16"/>
        <w:tabs>
          <w:tab w:val="right" w:leader="dot" w:pos="8929"/>
        </w:tabs>
      </w:pPr>
      <w:r>
        <w:fldChar w:fldCharType="begin"/>
      </w:r>
      <w:r>
        <w:instrText xml:space="preserve"> HYPERLINK \l _Toc20033 </w:instrText>
      </w:r>
      <w:r>
        <w:fldChar w:fldCharType="separate"/>
      </w:r>
      <w:r>
        <w:rPr>
          <w:rFonts w:hint="eastAsia"/>
        </w:rPr>
        <w:t>投标人须知</w:t>
      </w:r>
      <w:r>
        <w:tab/>
      </w:r>
      <w:r>
        <w:fldChar w:fldCharType="begin"/>
      </w:r>
      <w:r>
        <w:instrText xml:space="preserve"> PAGEREF _Toc20033 \h </w:instrText>
      </w:r>
      <w:r>
        <w:fldChar w:fldCharType="separate"/>
      </w:r>
      <w:r>
        <w:t>12</w:t>
      </w:r>
      <w:r>
        <w:fldChar w:fldCharType="end"/>
      </w:r>
      <w:r>
        <w:fldChar w:fldCharType="end"/>
      </w:r>
    </w:p>
    <w:p>
      <w:pPr>
        <w:pStyle w:val="16"/>
        <w:tabs>
          <w:tab w:val="right" w:leader="dot" w:pos="8929"/>
        </w:tabs>
      </w:pPr>
      <w:r>
        <w:fldChar w:fldCharType="begin"/>
      </w:r>
      <w:r>
        <w:instrText xml:space="preserve"> HYPERLINK \l _Toc19698 </w:instrText>
      </w:r>
      <w:r>
        <w:fldChar w:fldCharType="separate"/>
      </w:r>
      <w:r>
        <w:rPr>
          <w:rFonts w:hint="eastAsia"/>
        </w:rPr>
        <w:t>一、说明</w:t>
      </w:r>
      <w:r>
        <w:tab/>
      </w:r>
      <w:r>
        <w:fldChar w:fldCharType="begin"/>
      </w:r>
      <w:r>
        <w:instrText xml:space="preserve"> PAGEREF _Toc19698 \h </w:instrText>
      </w:r>
      <w:r>
        <w:fldChar w:fldCharType="separate"/>
      </w:r>
      <w:r>
        <w:t>12</w:t>
      </w:r>
      <w:r>
        <w:fldChar w:fldCharType="end"/>
      </w:r>
      <w:r>
        <w:fldChar w:fldCharType="end"/>
      </w:r>
    </w:p>
    <w:p>
      <w:pPr>
        <w:pStyle w:val="16"/>
        <w:tabs>
          <w:tab w:val="right" w:leader="dot" w:pos="8929"/>
        </w:tabs>
      </w:pPr>
      <w:r>
        <w:fldChar w:fldCharType="begin"/>
      </w:r>
      <w:r>
        <w:instrText xml:space="preserve"> HYPERLINK \l _Toc1350 </w:instrText>
      </w:r>
      <w:r>
        <w:fldChar w:fldCharType="separate"/>
      </w:r>
      <w:r>
        <w:rPr>
          <w:rFonts w:hint="eastAsia"/>
        </w:rPr>
        <w:t>二、招标文件</w:t>
      </w:r>
      <w:r>
        <w:tab/>
      </w:r>
      <w:r>
        <w:fldChar w:fldCharType="begin"/>
      </w:r>
      <w:r>
        <w:instrText xml:space="preserve"> PAGEREF _Toc1350 \h </w:instrText>
      </w:r>
      <w:r>
        <w:fldChar w:fldCharType="separate"/>
      </w:r>
      <w:r>
        <w:t>13</w:t>
      </w:r>
      <w:r>
        <w:fldChar w:fldCharType="end"/>
      </w:r>
      <w:r>
        <w:fldChar w:fldCharType="end"/>
      </w:r>
    </w:p>
    <w:p>
      <w:pPr>
        <w:pStyle w:val="16"/>
        <w:tabs>
          <w:tab w:val="right" w:leader="dot" w:pos="8929"/>
        </w:tabs>
      </w:pPr>
      <w:r>
        <w:fldChar w:fldCharType="begin"/>
      </w:r>
      <w:r>
        <w:instrText xml:space="preserve"> HYPERLINK \l _Toc6276 </w:instrText>
      </w:r>
      <w:r>
        <w:fldChar w:fldCharType="separate"/>
      </w:r>
      <w:r>
        <w:rPr>
          <w:rFonts w:hint="eastAsia"/>
        </w:rPr>
        <w:t>三、投标文件的编制</w:t>
      </w:r>
      <w:r>
        <w:tab/>
      </w:r>
      <w:r>
        <w:fldChar w:fldCharType="begin"/>
      </w:r>
      <w:r>
        <w:instrText xml:space="preserve"> PAGEREF _Toc6276 \h </w:instrText>
      </w:r>
      <w:r>
        <w:fldChar w:fldCharType="separate"/>
      </w:r>
      <w:r>
        <w:t>14</w:t>
      </w:r>
      <w:r>
        <w:fldChar w:fldCharType="end"/>
      </w:r>
      <w:r>
        <w:fldChar w:fldCharType="end"/>
      </w:r>
    </w:p>
    <w:p>
      <w:pPr>
        <w:pStyle w:val="16"/>
        <w:tabs>
          <w:tab w:val="right" w:leader="dot" w:pos="8929"/>
        </w:tabs>
      </w:pPr>
      <w:r>
        <w:fldChar w:fldCharType="begin"/>
      </w:r>
      <w:r>
        <w:instrText xml:space="preserve"> HYPERLINK \l _Toc24013 </w:instrText>
      </w:r>
      <w:r>
        <w:fldChar w:fldCharType="separate"/>
      </w:r>
      <w:r>
        <w:rPr>
          <w:rFonts w:hint="eastAsia"/>
        </w:rPr>
        <w:t>四、投标文件的递交</w:t>
      </w:r>
      <w:r>
        <w:tab/>
      </w:r>
      <w:r>
        <w:fldChar w:fldCharType="begin"/>
      </w:r>
      <w:r>
        <w:instrText xml:space="preserve"> PAGEREF _Toc24013 \h </w:instrText>
      </w:r>
      <w:r>
        <w:fldChar w:fldCharType="separate"/>
      </w:r>
      <w:r>
        <w:t>16</w:t>
      </w:r>
      <w:r>
        <w:fldChar w:fldCharType="end"/>
      </w:r>
      <w:r>
        <w:fldChar w:fldCharType="end"/>
      </w:r>
    </w:p>
    <w:p>
      <w:pPr>
        <w:pStyle w:val="16"/>
        <w:tabs>
          <w:tab w:val="right" w:leader="dot" w:pos="8929"/>
        </w:tabs>
      </w:pPr>
      <w:r>
        <w:fldChar w:fldCharType="begin"/>
      </w:r>
      <w:r>
        <w:instrText xml:space="preserve"> HYPERLINK \l _Toc13781 </w:instrText>
      </w:r>
      <w:r>
        <w:fldChar w:fldCharType="separate"/>
      </w:r>
      <w:r>
        <w:rPr>
          <w:rFonts w:hint="eastAsia"/>
        </w:rPr>
        <w:t>五、开标与评标</w:t>
      </w:r>
      <w:r>
        <w:tab/>
      </w:r>
      <w:r>
        <w:fldChar w:fldCharType="begin"/>
      </w:r>
      <w:r>
        <w:instrText xml:space="preserve"> PAGEREF _Toc13781 \h </w:instrText>
      </w:r>
      <w:r>
        <w:fldChar w:fldCharType="separate"/>
      </w:r>
      <w:r>
        <w:t>17</w:t>
      </w:r>
      <w:r>
        <w:fldChar w:fldCharType="end"/>
      </w:r>
      <w:r>
        <w:fldChar w:fldCharType="end"/>
      </w:r>
    </w:p>
    <w:p>
      <w:pPr>
        <w:pStyle w:val="16"/>
        <w:tabs>
          <w:tab w:val="right" w:leader="dot" w:pos="8929"/>
        </w:tabs>
      </w:pPr>
      <w:r>
        <w:fldChar w:fldCharType="begin"/>
      </w:r>
      <w:r>
        <w:instrText xml:space="preserve"> HYPERLINK \l _Toc1860 </w:instrText>
      </w:r>
      <w:r>
        <w:fldChar w:fldCharType="separate"/>
      </w:r>
      <w:r>
        <w:rPr>
          <w:rFonts w:hint="eastAsia"/>
        </w:rPr>
        <w:t>六、授予合同</w:t>
      </w:r>
      <w:r>
        <w:tab/>
      </w:r>
      <w:r>
        <w:fldChar w:fldCharType="begin"/>
      </w:r>
      <w:r>
        <w:instrText xml:space="preserve"> PAGEREF _Toc1860 \h </w:instrText>
      </w:r>
      <w:r>
        <w:fldChar w:fldCharType="separate"/>
      </w:r>
      <w:r>
        <w:t>21</w:t>
      </w:r>
      <w:r>
        <w:fldChar w:fldCharType="end"/>
      </w:r>
      <w:r>
        <w:fldChar w:fldCharType="end"/>
      </w:r>
    </w:p>
    <w:p>
      <w:pPr>
        <w:pStyle w:val="16"/>
        <w:tabs>
          <w:tab w:val="right" w:leader="dot" w:pos="8929"/>
        </w:tabs>
      </w:pPr>
      <w:r>
        <w:fldChar w:fldCharType="begin"/>
      </w:r>
      <w:r>
        <w:instrText xml:space="preserve"> HYPERLINK \l _Toc21200 </w:instrText>
      </w:r>
      <w:r>
        <w:fldChar w:fldCharType="separate"/>
      </w:r>
      <w:r>
        <w:rPr>
          <w:rFonts w:hint="eastAsia"/>
        </w:rPr>
        <w:t>七、其他</w:t>
      </w:r>
      <w:r>
        <w:tab/>
      </w:r>
      <w:r>
        <w:fldChar w:fldCharType="begin"/>
      </w:r>
      <w:r>
        <w:instrText xml:space="preserve"> PAGEREF _Toc21200 \h </w:instrText>
      </w:r>
      <w:r>
        <w:fldChar w:fldCharType="separate"/>
      </w:r>
      <w:r>
        <w:t>22</w:t>
      </w:r>
      <w:r>
        <w:fldChar w:fldCharType="end"/>
      </w:r>
      <w:r>
        <w:fldChar w:fldCharType="end"/>
      </w:r>
    </w:p>
    <w:p>
      <w:pPr>
        <w:pStyle w:val="14"/>
        <w:tabs>
          <w:tab w:val="right" w:leader="dot" w:pos="8929"/>
        </w:tabs>
      </w:pPr>
      <w:r>
        <w:fldChar w:fldCharType="begin"/>
      </w:r>
      <w:r>
        <w:instrText xml:space="preserve"> HYPERLINK \l _Toc2903 </w:instrText>
      </w:r>
      <w:r>
        <w:fldChar w:fldCharType="separate"/>
      </w:r>
      <w:r>
        <w:rPr>
          <w:rFonts w:hint="eastAsia"/>
        </w:rPr>
        <w:t>第三章  评标方法和评标标准</w:t>
      </w:r>
      <w:r>
        <w:tab/>
      </w:r>
      <w:r>
        <w:fldChar w:fldCharType="begin"/>
      </w:r>
      <w:r>
        <w:instrText xml:space="preserve"> PAGEREF _Toc2903 \h </w:instrText>
      </w:r>
      <w:r>
        <w:fldChar w:fldCharType="separate"/>
      </w:r>
      <w:r>
        <w:t>24</w:t>
      </w:r>
      <w:r>
        <w:fldChar w:fldCharType="end"/>
      </w:r>
      <w:r>
        <w:fldChar w:fldCharType="end"/>
      </w:r>
    </w:p>
    <w:p>
      <w:pPr>
        <w:pStyle w:val="16"/>
        <w:tabs>
          <w:tab w:val="right" w:leader="dot" w:pos="8929"/>
        </w:tabs>
      </w:pPr>
      <w:r>
        <w:fldChar w:fldCharType="begin"/>
      </w:r>
      <w:r>
        <w:instrText xml:space="preserve"> HYPERLINK \l _Toc16431 </w:instrText>
      </w:r>
      <w:r>
        <w:fldChar w:fldCharType="separate"/>
      </w:r>
      <w:r>
        <w:rPr>
          <w:rFonts w:hint="eastAsia"/>
        </w:rPr>
        <w:t>一、评标方法</w:t>
      </w:r>
      <w:r>
        <w:tab/>
      </w:r>
      <w:r>
        <w:fldChar w:fldCharType="begin"/>
      </w:r>
      <w:r>
        <w:instrText xml:space="preserve"> PAGEREF _Toc16431 \h </w:instrText>
      </w:r>
      <w:r>
        <w:fldChar w:fldCharType="separate"/>
      </w:r>
      <w:r>
        <w:t>24</w:t>
      </w:r>
      <w:r>
        <w:fldChar w:fldCharType="end"/>
      </w:r>
      <w:r>
        <w:fldChar w:fldCharType="end"/>
      </w:r>
    </w:p>
    <w:p>
      <w:pPr>
        <w:pStyle w:val="16"/>
        <w:tabs>
          <w:tab w:val="right" w:leader="dot" w:pos="8929"/>
        </w:tabs>
      </w:pPr>
      <w:r>
        <w:fldChar w:fldCharType="begin"/>
      </w:r>
      <w:r>
        <w:instrText xml:space="preserve"> HYPERLINK \l _Toc13963 </w:instrText>
      </w:r>
      <w:r>
        <w:fldChar w:fldCharType="separate"/>
      </w:r>
      <w:r>
        <w:rPr>
          <w:rFonts w:hint="eastAsia"/>
        </w:rPr>
        <w:t>二、评标中的落实政府采购政策具体办法</w:t>
      </w:r>
      <w:r>
        <w:tab/>
      </w:r>
      <w:r>
        <w:fldChar w:fldCharType="begin"/>
      </w:r>
      <w:r>
        <w:instrText xml:space="preserve"> PAGEREF _Toc13963 \h </w:instrText>
      </w:r>
      <w:r>
        <w:fldChar w:fldCharType="separate"/>
      </w:r>
      <w:r>
        <w:t>24</w:t>
      </w:r>
      <w:r>
        <w:fldChar w:fldCharType="end"/>
      </w:r>
      <w:r>
        <w:fldChar w:fldCharType="end"/>
      </w:r>
    </w:p>
    <w:p>
      <w:pPr>
        <w:pStyle w:val="10"/>
        <w:tabs>
          <w:tab w:val="right" w:leader="dot" w:pos="8929"/>
        </w:tabs>
      </w:pPr>
      <w:r>
        <w:fldChar w:fldCharType="begin"/>
      </w:r>
      <w:r>
        <w:instrText xml:space="preserve"> HYPERLINK \l _Toc17464 </w:instrText>
      </w:r>
      <w:r>
        <w:fldChar w:fldCharType="separate"/>
      </w:r>
      <w:r>
        <w:rPr>
          <w:rFonts w:hint="eastAsia"/>
        </w:rPr>
        <w:t>1、促进中小企业、残疾人福利性单位、监狱企业政策落实</w:t>
      </w:r>
      <w:r>
        <w:tab/>
      </w:r>
      <w:r>
        <w:fldChar w:fldCharType="begin"/>
      </w:r>
      <w:r>
        <w:instrText xml:space="preserve"> PAGEREF _Toc17464 \h </w:instrText>
      </w:r>
      <w:r>
        <w:fldChar w:fldCharType="separate"/>
      </w:r>
      <w:r>
        <w:t>24</w:t>
      </w:r>
      <w:r>
        <w:fldChar w:fldCharType="end"/>
      </w:r>
      <w:r>
        <w:fldChar w:fldCharType="end"/>
      </w:r>
    </w:p>
    <w:p>
      <w:pPr>
        <w:pStyle w:val="10"/>
        <w:tabs>
          <w:tab w:val="right" w:leader="dot" w:pos="8929"/>
        </w:tabs>
      </w:pPr>
      <w:r>
        <w:fldChar w:fldCharType="begin"/>
      </w:r>
      <w:r>
        <w:instrText xml:space="preserve"> HYPERLINK \l _Toc31392 </w:instrText>
      </w:r>
      <w:r>
        <w:fldChar w:fldCharType="separate"/>
      </w:r>
      <w:r>
        <w:rPr>
          <w:rFonts w:hint="eastAsia"/>
        </w:rPr>
        <w:t>2、鼓励节能、环保政策落实</w:t>
      </w:r>
      <w:r>
        <w:tab/>
      </w:r>
      <w:r>
        <w:fldChar w:fldCharType="begin"/>
      </w:r>
      <w:r>
        <w:instrText xml:space="preserve"> PAGEREF _Toc31392 \h </w:instrText>
      </w:r>
      <w:r>
        <w:fldChar w:fldCharType="separate"/>
      </w:r>
      <w:r>
        <w:t>26</w:t>
      </w:r>
      <w:r>
        <w:fldChar w:fldCharType="end"/>
      </w:r>
      <w:r>
        <w:fldChar w:fldCharType="end"/>
      </w:r>
    </w:p>
    <w:p>
      <w:pPr>
        <w:pStyle w:val="16"/>
        <w:tabs>
          <w:tab w:val="right" w:leader="dot" w:pos="8929"/>
        </w:tabs>
      </w:pPr>
      <w:r>
        <w:fldChar w:fldCharType="begin"/>
      </w:r>
      <w:r>
        <w:instrText xml:space="preserve"> HYPERLINK \l _Toc25614 </w:instrText>
      </w:r>
      <w:r>
        <w:fldChar w:fldCharType="separate"/>
      </w:r>
      <w:r>
        <w:rPr>
          <w:rFonts w:hint="eastAsia"/>
        </w:rPr>
        <w:t>三、评标标准</w:t>
      </w:r>
      <w:r>
        <w:tab/>
      </w:r>
      <w:r>
        <w:fldChar w:fldCharType="begin"/>
      </w:r>
      <w:r>
        <w:instrText xml:space="preserve"> PAGEREF _Toc25614 \h </w:instrText>
      </w:r>
      <w:r>
        <w:fldChar w:fldCharType="separate"/>
      </w:r>
      <w:r>
        <w:t>26</w:t>
      </w:r>
      <w:r>
        <w:fldChar w:fldCharType="end"/>
      </w:r>
      <w:r>
        <w:fldChar w:fldCharType="end"/>
      </w:r>
    </w:p>
    <w:p>
      <w:pPr>
        <w:pStyle w:val="14"/>
        <w:tabs>
          <w:tab w:val="right" w:leader="dot" w:pos="8929"/>
        </w:tabs>
      </w:pPr>
      <w:r>
        <w:fldChar w:fldCharType="begin"/>
      </w:r>
      <w:r>
        <w:instrText xml:space="preserve"> HYPERLINK \l _Toc6885 </w:instrText>
      </w:r>
      <w:r>
        <w:fldChar w:fldCharType="separate"/>
      </w:r>
      <w:r>
        <w:rPr>
          <w:rFonts w:hint="eastAsia"/>
        </w:rPr>
        <w:t>第四章  技术服务需求</w:t>
      </w:r>
      <w:r>
        <w:tab/>
      </w:r>
      <w:r>
        <w:fldChar w:fldCharType="begin"/>
      </w:r>
      <w:r>
        <w:instrText xml:space="preserve"> PAGEREF _Toc6885 \h </w:instrText>
      </w:r>
      <w:r>
        <w:fldChar w:fldCharType="separate"/>
      </w:r>
      <w:r>
        <w:t>29</w:t>
      </w:r>
      <w:r>
        <w:fldChar w:fldCharType="end"/>
      </w:r>
      <w:r>
        <w:fldChar w:fldCharType="end"/>
      </w:r>
    </w:p>
    <w:p>
      <w:pPr>
        <w:pStyle w:val="16"/>
        <w:tabs>
          <w:tab w:val="right" w:leader="dot" w:pos="8929"/>
        </w:tabs>
      </w:pPr>
      <w:r>
        <w:fldChar w:fldCharType="begin"/>
      </w:r>
      <w:r>
        <w:instrText xml:space="preserve"> HYPERLINK \l _Toc5187 </w:instrText>
      </w:r>
      <w:r>
        <w:fldChar w:fldCharType="separate"/>
      </w:r>
      <w:r>
        <w:rPr>
          <w:rFonts w:hint="eastAsia"/>
          <w:lang w:val="en-US"/>
        </w:rPr>
        <w:t xml:space="preserve">一、 </w:t>
      </w:r>
      <w:r>
        <w:rPr>
          <w:rFonts w:hint="eastAsia"/>
        </w:rPr>
        <w:t>采购需求一览表</w:t>
      </w:r>
      <w:r>
        <w:tab/>
      </w:r>
      <w:r>
        <w:fldChar w:fldCharType="begin"/>
      </w:r>
      <w:r>
        <w:instrText xml:space="preserve"> PAGEREF _Toc5187 \h </w:instrText>
      </w:r>
      <w:r>
        <w:fldChar w:fldCharType="separate"/>
      </w:r>
      <w:r>
        <w:t>30</w:t>
      </w:r>
      <w:r>
        <w:fldChar w:fldCharType="end"/>
      </w:r>
      <w:r>
        <w:fldChar w:fldCharType="end"/>
      </w:r>
    </w:p>
    <w:p>
      <w:pPr>
        <w:pStyle w:val="16"/>
        <w:tabs>
          <w:tab w:val="right" w:leader="dot" w:pos="8929"/>
        </w:tabs>
      </w:pPr>
      <w:r>
        <w:fldChar w:fldCharType="begin"/>
      </w:r>
      <w:r>
        <w:instrText xml:space="preserve"> HYPERLINK \l _Toc22162 </w:instrText>
      </w:r>
      <w:r>
        <w:fldChar w:fldCharType="separate"/>
      </w:r>
      <w:r>
        <w:rPr>
          <w:rFonts w:hint="eastAsia"/>
          <w:lang w:val="en-US"/>
        </w:rPr>
        <w:t xml:space="preserve">二、 </w:t>
      </w:r>
      <w:r>
        <w:rPr>
          <w:rFonts w:hint="eastAsia"/>
          <w:lang w:val="en-US" w:eastAsia="zh-CN"/>
        </w:rPr>
        <w:t>技术服务</w:t>
      </w:r>
      <w:r>
        <w:rPr>
          <w:rFonts w:hint="eastAsia"/>
        </w:rPr>
        <w:t>需求</w:t>
      </w:r>
      <w:r>
        <w:tab/>
      </w:r>
      <w:r>
        <w:fldChar w:fldCharType="begin"/>
      </w:r>
      <w:r>
        <w:instrText xml:space="preserve"> PAGEREF _Toc22162 \h </w:instrText>
      </w:r>
      <w:r>
        <w:fldChar w:fldCharType="separate"/>
      </w:r>
      <w:r>
        <w:t>30</w:t>
      </w:r>
      <w:r>
        <w:fldChar w:fldCharType="end"/>
      </w:r>
      <w:r>
        <w:fldChar w:fldCharType="end"/>
      </w:r>
    </w:p>
    <w:p>
      <w:pPr>
        <w:pStyle w:val="14"/>
        <w:tabs>
          <w:tab w:val="right" w:leader="dot" w:pos="8929"/>
        </w:tabs>
      </w:pPr>
      <w:r>
        <w:fldChar w:fldCharType="begin"/>
      </w:r>
      <w:r>
        <w:instrText xml:space="preserve"> HYPERLINK \l _Toc28941 </w:instrText>
      </w:r>
      <w:r>
        <w:fldChar w:fldCharType="separate"/>
      </w:r>
      <w:r>
        <w:rPr>
          <w:rFonts w:hint="eastAsia"/>
        </w:rPr>
        <w:t>第五章  拟签订的合同文本</w:t>
      </w:r>
      <w:r>
        <w:tab/>
      </w:r>
      <w:r>
        <w:fldChar w:fldCharType="begin"/>
      </w:r>
      <w:r>
        <w:instrText xml:space="preserve"> PAGEREF _Toc28941 \h </w:instrText>
      </w:r>
      <w:r>
        <w:fldChar w:fldCharType="separate"/>
      </w:r>
      <w:r>
        <w:t>44</w:t>
      </w:r>
      <w:r>
        <w:fldChar w:fldCharType="end"/>
      </w:r>
      <w:r>
        <w:fldChar w:fldCharType="end"/>
      </w:r>
    </w:p>
    <w:p>
      <w:pPr>
        <w:pStyle w:val="14"/>
        <w:tabs>
          <w:tab w:val="right" w:leader="dot" w:pos="8929"/>
        </w:tabs>
      </w:pPr>
      <w:r>
        <w:fldChar w:fldCharType="begin"/>
      </w:r>
      <w:r>
        <w:instrText xml:space="preserve"> HYPERLINK \l _Toc20172 </w:instrText>
      </w:r>
      <w:r>
        <w:fldChar w:fldCharType="separate"/>
      </w:r>
      <w:r>
        <w:rPr>
          <w:rFonts w:hint="eastAsia"/>
        </w:rPr>
        <w:t>第六章  投标文件格式</w:t>
      </w:r>
      <w:r>
        <w:tab/>
      </w:r>
      <w:r>
        <w:fldChar w:fldCharType="begin"/>
      </w:r>
      <w:r>
        <w:instrText xml:space="preserve"> PAGEREF _Toc20172 \h </w:instrText>
      </w:r>
      <w:r>
        <w:fldChar w:fldCharType="separate"/>
      </w:r>
      <w:r>
        <w:t>82</w:t>
      </w:r>
      <w:r>
        <w:fldChar w:fldCharType="end"/>
      </w:r>
      <w:r>
        <w:fldChar w:fldCharType="end"/>
      </w:r>
    </w:p>
    <w:p>
      <w:pPr>
        <w:pStyle w:val="16"/>
        <w:tabs>
          <w:tab w:val="right" w:leader="dot" w:pos="8929"/>
        </w:tabs>
      </w:pPr>
      <w:r>
        <w:fldChar w:fldCharType="begin"/>
      </w:r>
      <w:r>
        <w:instrText xml:space="preserve"> HYPERLINK \l _Toc1326 </w:instrText>
      </w:r>
      <w:r>
        <w:fldChar w:fldCharType="separate"/>
      </w:r>
      <w:r>
        <w:rPr>
          <w:rFonts w:hint="eastAsia"/>
        </w:rPr>
        <w:t>商务技术文件分册封面建议格式</w:t>
      </w:r>
      <w:r>
        <w:tab/>
      </w:r>
      <w:r>
        <w:fldChar w:fldCharType="begin"/>
      </w:r>
      <w:r>
        <w:instrText xml:space="preserve"> PAGEREF _Toc1326 \h </w:instrText>
      </w:r>
      <w:r>
        <w:fldChar w:fldCharType="separate"/>
      </w:r>
      <w:r>
        <w:t>83</w:t>
      </w:r>
      <w:r>
        <w:fldChar w:fldCharType="end"/>
      </w:r>
      <w:r>
        <w:fldChar w:fldCharType="end"/>
      </w:r>
    </w:p>
    <w:p>
      <w:pPr>
        <w:pStyle w:val="16"/>
        <w:tabs>
          <w:tab w:val="right" w:leader="dot" w:pos="8929"/>
        </w:tabs>
      </w:pPr>
      <w:r>
        <w:fldChar w:fldCharType="begin"/>
      </w:r>
      <w:r>
        <w:instrText xml:space="preserve"> HYPERLINK \l _Toc15335 </w:instrText>
      </w:r>
      <w:r>
        <w:fldChar w:fldCharType="separate"/>
      </w:r>
      <w:r>
        <w:rPr>
          <w:rFonts w:hint="eastAsia"/>
        </w:rPr>
        <w:t>评分索引表建议格式</w:t>
      </w:r>
      <w:r>
        <w:tab/>
      </w:r>
      <w:r>
        <w:fldChar w:fldCharType="begin"/>
      </w:r>
      <w:r>
        <w:instrText xml:space="preserve"> PAGEREF _Toc15335 \h </w:instrText>
      </w:r>
      <w:r>
        <w:fldChar w:fldCharType="separate"/>
      </w:r>
      <w:r>
        <w:t>84</w:t>
      </w:r>
      <w:r>
        <w:fldChar w:fldCharType="end"/>
      </w:r>
      <w:r>
        <w:fldChar w:fldCharType="end"/>
      </w:r>
    </w:p>
    <w:p>
      <w:pPr>
        <w:pStyle w:val="16"/>
        <w:tabs>
          <w:tab w:val="right" w:leader="dot" w:pos="8929"/>
        </w:tabs>
      </w:pPr>
      <w:r>
        <w:fldChar w:fldCharType="begin"/>
      </w:r>
      <w:r>
        <w:instrText xml:space="preserve"> HYPERLINK \l _Toc28627 </w:instrText>
      </w:r>
      <w:r>
        <w:fldChar w:fldCharType="separate"/>
      </w:r>
      <w:r>
        <w:t>附件1 投标函格式</w:t>
      </w:r>
      <w:r>
        <w:tab/>
      </w:r>
      <w:r>
        <w:fldChar w:fldCharType="begin"/>
      </w:r>
      <w:r>
        <w:instrText xml:space="preserve"> PAGEREF _Toc28627 \h </w:instrText>
      </w:r>
      <w:r>
        <w:fldChar w:fldCharType="separate"/>
      </w:r>
      <w:r>
        <w:t>85</w:t>
      </w:r>
      <w:r>
        <w:fldChar w:fldCharType="end"/>
      </w:r>
      <w:r>
        <w:fldChar w:fldCharType="end"/>
      </w:r>
    </w:p>
    <w:p>
      <w:pPr>
        <w:pStyle w:val="16"/>
        <w:tabs>
          <w:tab w:val="right" w:leader="dot" w:pos="8929"/>
        </w:tabs>
      </w:pPr>
      <w:r>
        <w:fldChar w:fldCharType="begin"/>
      </w:r>
      <w:r>
        <w:instrText xml:space="preserve"> HYPERLINK \l _Toc23224 </w:instrText>
      </w:r>
      <w:r>
        <w:fldChar w:fldCharType="separate"/>
      </w:r>
      <w:r>
        <w:t>附件2 开标一览表格式</w:t>
      </w:r>
      <w:r>
        <w:tab/>
      </w:r>
      <w:r>
        <w:fldChar w:fldCharType="begin"/>
      </w:r>
      <w:r>
        <w:instrText xml:space="preserve"> PAGEREF _Toc23224 \h </w:instrText>
      </w:r>
      <w:r>
        <w:fldChar w:fldCharType="separate"/>
      </w:r>
      <w:r>
        <w:t>87</w:t>
      </w:r>
      <w:r>
        <w:fldChar w:fldCharType="end"/>
      </w:r>
      <w:r>
        <w:fldChar w:fldCharType="end"/>
      </w:r>
    </w:p>
    <w:p>
      <w:pPr>
        <w:pStyle w:val="16"/>
        <w:tabs>
          <w:tab w:val="right" w:leader="dot" w:pos="8929"/>
        </w:tabs>
      </w:pPr>
      <w:r>
        <w:fldChar w:fldCharType="begin"/>
      </w:r>
      <w:r>
        <w:instrText xml:space="preserve"> HYPERLINK \l _Toc6456 </w:instrText>
      </w:r>
      <w:r>
        <w:fldChar w:fldCharType="separate"/>
      </w:r>
      <w:r>
        <w:rPr>
          <w:rFonts w:hint="eastAsia"/>
        </w:rPr>
        <w:t>投标人开票信息表格式</w:t>
      </w:r>
      <w:r>
        <w:tab/>
      </w:r>
      <w:r>
        <w:fldChar w:fldCharType="begin"/>
      </w:r>
      <w:r>
        <w:instrText xml:space="preserve"> PAGEREF _Toc6456 \h </w:instrText>
      </w:r>
      <w:r>
        <w:fldChar w:fldCharType="separate"/>
      </w:r>
      <w:r>
        <w:t>88</w:t>
      </w:r>
      <w:r>
        <w:fldChar w:fldCharType="end"/>
      </w:r>
      <w:r>
        <w:fldChar w:fldCharType="end"/>
      </w:r>
    </w:p>
    <w:p>
      <w:pPr>
        <w:pStyle w:val="16"/>
        <w:tabs>
          <w:tab w:val="right" w:leader="dot" w:pos="8929"/>
        </w:tabs>
      </w:pPr>
      <w:r>
        <w:fldChar w:fldCharType="begin"/>
      </w:r>
      <w:r>
        <w:instrText xml:space="preserve"> HYPERLINK \l _Toc26267 </w:instrText>
      </w:r>
      <w:r>
        <w:fldChar w:fldCharType="separate"/>
      </w:r>
      <w:r>
        <w:rPr>
          <w:rFonts w:hint="eastAsia"/>
        </w:rPr>
        <w:t>附件</w:t>
      </w:r>
      <w:r>
        <w:t>3</w:t>
      </w:r>
      <w:r>
        <w:rPr>
          <w:rFonts w:hint="eastAsia"/>
        </w:rPr>
        <w:t xml:space="preserve"> 投标分项报价表格式</w:t>
      </w:r>
      <w:r>
        <w:tab/>
      </w:r>
      <w:r>
        <w:fldChar w:fldCharType="begin"/>
      </w:r>
      <w:r>
        <w:instrText xml:space="preserve"> PAGEREF _Toc26267 \h </w:instrText>
      </w:r>
      <w:r>
        <w:fldChar w:fldCharType="separate"/>
      </w:r>
      <w:r>
        <w:t>89</w:t>
      </w:r>
      <w:r>
        <w:fldChar w:fldCharType="end"/>
      </w:r>
      <w:r>
        <w:fldChar w:fldCharType="end"/>
      </w:r>
    </w:p>
    <w:p>
      <w:pPr>
        <w:pStyle w:val="16"/>
        <w:tabs>
          <w:tab w:val="right" w:leader="dot" w:pos="8929"/>
        </w:tabs>
      </w:pPr>
      <w:r>
        <w:fldChar w:fldCharType="begin"/>
      </w:r>
      <w:r>
        <w:instrText xml:space="preserve"> HYPERLINK \l _Toc4216 </w:instrText>
      </w:r>
      <w:r>
        <w:fldChar w:fldCharType="separate"/>
      </w:r>
      <w:r>
        <w:rPr>
          <w:rFonts w:hint="eastAsia" w:hAnsi="Calibri"/>
        </w:rPr>
        <w:t>附件</w:t>
      </w:r>
      <w:r>
        <w:rPr>
          <w:rFonts w:hAnsi="Calibri"/>
        </w:rPr>
        <w:t xml:space="preserve">4 </w:t>
      </w:r>
      <w:r>
        <w:rPr>
          <w:rFonts w:hint="eastAsia" w:hAnsi="宋体"/>
        </w:rPr>
        <w:t>技术服务需求偏离表格式</w:t>
      </w:r>
      <w:r>
        <w:tab/>
      </w:r>
      <w:r>
        <w:fldChar w:fldCharType="begin"/>
      </w:r>
      <w:r>
        <w:instrText xml:space="preserve"> PAGEREF _Toc4216 \h </w:instrText>
      </w:r>
      <w:r>
        <w:fldChar w:fldCharType="separate"/>
      </w:r>
      <w:r>
        <w:t>90</w:t>
      </w:r>
      <w:r>
        <w:fldChar w:fldCharType="end"/>
      </w:r>
      <w:r>
        <w:fldChar w:fldCharType="end"/>
      </w:r>
    </w:p>
    <w:p>
      <w:pPr>
        <w:pStyle w:val="16"/>
        <w:tabs>
          <w:tab w:val="right" w:leader="dot" w:pos="8929"/>
        </w:tabs>
      </w:pPr>
      <w:r>
        <w:fldChar w:fldCharType="begin"/>
      </w:r>
      <w:r>
        <w:instrText xml:space="preserve"> HYPERLINK \l _Toc5824 </w:instrText>
      </w:r>
      <w:r>
        <w:fldChar w:fldCharType="separate"/>
      </w:r>
      <w:r>
        <w:rPr>
          <w:rFonts w:hint="eastAsia"/>
        </w:rPr>
        <w:t>附件5 合同条款偏离表格式</w:t>
      </w:r>
      <w:r>
        <w:tab/>
      </w:r>
      <w:r>
        <w:fldChar w:fldCharType="begin"/>
      </w:r>
      <w:r>
        <w:instrText xml:space="preserve"> PAGEREF _Toc5824 \h </w:instrText>
      </w:r>
      <w:r>
        <w:fldChar w:fldCharType="separate"/>
      </w:r>
      <w:r>
        <w:t>92</w:t>
      </w:r>
      <w:r>
        <w:fldChar w:fldCharType="end"/>
      </w:r>
      <w:r>
        <w:fldChar w:fldCharType="end"/>
      </w:r>
    </w:p>
    <w:p>
      <w:pPr>
        <w:pStyle w:val="16"/>
        <w:tabs>
          <w:tab w:val="right" w:leader="dot" w:pos="8929"/>
        </w:tabs>
      </w:pPr>
      <w:r>
        <w:fldChar w:fldCharType="begin"/>
      </w:r>
      <w:r>
        <w:instrText xml:space="preserve"> HYPERLINK \l _Toc2684 </w:instrText>
      </w:r>
      <w:r>
        <w:fldChar w:fldCharType="separate"/>
      </w:r>
      <w:r>
        <w:rPr>
          <w:rFonts w:hint="eastAsia"/>
        </w:rPr>
        <w:t>附件</w:t>
      </w:r>
      <w:r>
        <w:t xml:space="preserve">6 </w:t>
      </w:r>
      <w:r>
        <w:rPr>
          <w:rFonts w:hint="eastAsia"/>
        </w:rPr>
        <w:t>法定代表人授权书格式</w:t>
      </w:r>
      <w:r>
        <w:tab/>
      </w:r>
      <w:r>
        <w:fldChar w:fldCharType="begin"/>
      </w:r>
      <w:r>
        <w:instrText xml:space="preserve"> PAGEREF _Toc2684 \h </w:instrText>
      </w:r>
      <w:r>
        <w:fldChar w:fldCharType="separate"/>
      </w:r>
      <w:r>
        <w:t>93</w:t>
      </w:r>
      <w:r>
        <w:fldChar w:fldCharType="end"/>
      </w:r>
      <w:r>
        <w:fldChar w:fldCharType="end"/>
      </w:r>
    </w:p>
    <w:p>
      <w:pPr>
        <w:pStyle w:val="16"/>
        <w:tabs>
          <w:tab w:val="right" w:leader="dot" w:pos="8929"/>
        </w:tabs>
      </w:pPr>
      <w:r>
        <w:fldChar w:fldCharType="begin"/>
      </w:r>
      <w:r>
        <w:instrText xml:space="preserve"> HYPERLINK \l _Toc9470 </w:instrText>
      </w:r>
      <w:r>
        <w:fldChar w:fldCharType="separate"/>
      </w:r>
      <w:r>
        <w:rPr>
          <w:rFonts w:hint="eastAsia"/>
        </w:rPr>
        <w:t>附件</w:t>
      </w:r>
      <w:r>
        <w:t>7</w:t>
      </w:r>
      <w:r>
        <w:rPr>
          <w:rFonts w:hint="eastAsia"/>
        </w:rPr>
        <w:t xml:space="preserve"> 详细的技术服务响应</w:t>
      </w:r>
      <w:r>
        <w:tab/>
      </w:r>
      <w:r>
        <w:fldChar w:fldCharType="begin"/>
      </w:r>
      <w:r>
        <w:instrText xml:space="preserve"> PAGEREF _Toc9470 \h </w:instrText>
      </w:r>
      <w:r>
        <w:fldChar w:fldCharType="separate"/>
      </w:r>
      <w:r>
        <w:t>94</w:t>
      </w:r>
      <w:r>
        <w:fldChar w:fldCharType="end"/>
      </w:r>
      <w:r>
        <w:fldChar w:fldCharType="end"/>
      </w:r>
    </w:p>
    <w:p>
      <w:pPr>
        <w:pStyle w:val="10"/>
        <w:tabs>
          <w:tab w:val="right" w:leader="dot" w:pos="8929"/>
        </w:tabs>
      </w:pPr>
      <w:r>
        <w:fldChar w:fldCharType="begin"/>
      </w:r>
      <w:r>
        <w:instrText xml:space="preserve"> HYPERLINK \l _Toc6152 </w:instrText>
      </w:r>
      <w:r>
        <w:fldChar w:fldCharType="separate"/>
      </w:r>
      <w:r>
        <w:t>7</w:t>
      </w:r>
      <w:r>
        <w:rPr>
          <w:rFonts w:hint="eastAsia"/>
        </w:rPr>
        <w:t>-</w:t>
      </w:r>
      <w:r>
        <w:t>1</w:t>
      </w:r>
      <w:r>
        <w:rPr>
          <w:rFonts w:hint="eastAsia"/>
        </w:rPr>
        <w:t>、拟派实施人员汇总表格式</w:t>
      </w:r>
      <w:r>
        <w:tab/>
      </w:r>
      <w:r>
        <w:fldChar w:fldCharType="begin"/>
      </w:r>
      <w:r>
        <w:instrText xml:space="preserve"> PAGEREF _Toc6152 \h </w:instrText>
      </w:r>
      <w:r>
        <w:fldChar w:fldCharType="separate"/>
      </w:r>
      <w:r>
        <w:t>94</w:t>
      </w:r>
      <w:r>
        <w:fldChar w:fldCharType="end"/>
      </w:r>
      <w:r>
        <w:fldChar w:fldCharType="end"/>
      </w:r>
    </w:p>
    <w:p>
      <w:pPr>
        <w:pStyle w:val="10"/>
        <w:tabs>
          <w:tab w:val="right" w:leader="dot" w:pos="8929"/>
        </w:tabs>
      </w:pPr>
      <w:r>
        <w:fldChar w:fldCharType="begin"/>
      </w:r>
      <w:r>
        <w:instrText xml:space="preserve"> HYPERLINK \l _Toc19496 </w:instrText>
      </w:r>
      <w:r>
        <w:fldChar w:fldCharType="separate"/>
      </w:r>
      <w:r>
        <w:t>7</w:t>
      </w:r>
      <w:r>
        <w:rPr>
          <w:rFonts w:hint="eastAsia"/>
        </w:rPr>
        <w:t>-</w:t>
      </w:r>
      <w:r>
        <w:t>2</w:t>
      </w:r>
      <w:r>
        <w:rPr>
          <w:rFonts w:hint="eastAsia"/>
        </w:rPr>
        <w:t>、拟派实施人员简历格式</w:t>
      </w:r>
      <w:r>
        <w:tab/>
      </w:r>
      <w:r>
        <w:fldChar w:fldCharType="begin"/>
      </w:r>
      <w:r>
        <w:instrText xml:space="preserve"> PAGEREF _Toc19496 \h </w:instrText>
      </w:r>
      <w:r>
        <w:fldChar w:fldCharType="separate"/>
      </w:r>
      <w:r>
        <w:t>95</w:t>
      </w:r>
      <w:r>
        <w:fldChar w:fldCharType="end"/>
      </w:r>
      <w:r>
        <w:fldChar w:fldCharType="end"/>
      </w:r>
    </w:p>
    <w:p>
      <w:pPr>
        <w:pStyle w:val="16"/>
        <w:tabs>
          <w:tab w:val="right" w:leader="dot" w:pos="8929"/>
        </w:tabs>
      </w:pPr>
      <w:r>
        <w:fldChar w:fldCharType="begin"/>
      </w:r>
      <w:r>
        <w:instrText xml:space="preserve"> HYPERLINK \l _Toc18749 </w:instrText>
      </w:r>
      <w:r>
        <w:fldChar w:fldCharType="separate"/>
      </w:r>
      <w:r>
        <w:rPr>
          <w:rFonts w:hint="eastAsia"/>
        </w:rPr>
        <w:t>附件</w:t>
      </w:r>
      <w:r>
        <w:t>8</w:t>
      </w:r>
      <w:r>
        <w:rPr>
          <w:rFonts w:hint="eastAsia"/>
        </w:rPr>
        <w:t xml:space="preserve"> 相关评审证明材料以及</w:t>
      </w:r>
      <w:r>
        <w:t>其他材料</w:t>
      </w:r>
      <w:r>
        <w:tab/>
      </w:r>
      <w:r>
        <w:fldChar w:fldCharType="begin"/>
      </w:r>
      <w:r>
        <w:instrText xml:space="preserve"> PAGEREF _Toc18749 \h </w:instrText>
      </w:r>
      <w:r>
        <w:fldChar w:fldCharType="separate"/>
      </w:r>
      <w:r>
        <w:t>96</w:t>
      </w:r>
      <w:r>
        <w:fldChar w:fldCharType="end"/>
      </w:r>
      <w:r>
        <w:fldChar w:fldCharType="end"/>
      </w:r>
    </w:p>
    <w:p>
      <w:pPr>
        <w:pStyle w:val="10"/>
        <w:tabs>
          <w:tab w:val="right" w:leader="dot" w:pos="8929"/>
        </w:tabs>
      </w:pPr>
      <w:r>
        <w:fldChar w:fldCharType="begin"/>
      </w:r>
      <w:r>
        <w:instrText xml:space="preserve"> HYPERLINK \l _Toc529 </w:instrText>
      </w:r>
      <w:r>
        <w:fldChar w:fldCharType="separate"/>
      </w:r>
      <w:r>
        <w:t>8</w:t>
      </w:r>
      <w:r>
        <w:rPr>
          <w:rFonts w:hint="eastAsia"/>
        </w:rPr>
        <w:t>-1、相关业绩表建议格式</w:t>
      </w:r>
      <w:r>
        <w:tab/>
      </w:r>
      <w:r>
        <w:fldChar w:fldCharType="begin"/>
      </w:r>
      <w:r>
        <w:instrText xml:space="preserve"> PAGEREF _Toc529 \h </w:instrText>
      </w:r>
      <w:r>
        <w:fldChar w:fldCharType="separate"/>
      </w:r>
      <w:r>
        <w:t>96</w:t>
      </w:r>
      <w:r>
        <w:fldChar w:fldCharType="end"/>
      </w:r>
      <w:r>
        <w:fldChar w:fldCharType="end"/>
      </w:r>
    </w:p>
    <w:p>
      <w:pPr>
        <w:pStyle w:val="10"/>
        <w:tabs>
          <w:tab w:val="right" w:leader="dot" w:pos="8929"/>
        </w:tabs>
      </w:pPr>
      <w:r>
        <w:fldChar w:fldCharType="begin"/>
      </w:r>
      <w:r>
        <w:instrText xml:space="preserve"> HYPERLINK \l _Toc4622 </w:instrText>
      </w:r>
      <w:r>
        <w:fldChar w:fldCharType="separate"/>
      </w:r>
      <w:r>
        <w:t>8</w:t>
      </w:r>
      <w:r>
        <w:rPr>
          <w:rFonts w:hint="eastAsia"/>
        </w:rPr>
        <w:t>-2、其它招标文件要求的或投标人认为应当或有必要提供的资料</w:t>
      </w:r>
      <w:r>
        <w:tab/>
      </w:r>
      <w:r>
        <w:fldChar w:fldCharType="begin"/>
      </w:r>
      <w:r>
        <w:instrText xml:space="preserve"> PAGEREF _Toc4622 \h </w:instrText>
      </w:r>
      <w:r>
        <w:fldChar w:fldCharType="separate"/>
      </w:r>
      <w:r>
        <w:t>96</w:t>
      </w:r>
      <w:r>
        <w:fldChar w:fldCharType="end"/>
      </w:r>
      <w:r>
        <w:fldChar w:fldCharType="end"/>
      </w:r>
    </w:p>
    <w:p>
      <w:pPr>
        <w:pStyle w:val="16"/>
        <w:tabs>
          <w:tab w:val="right" w:leader="dot" w:pos="8929"/>
        </w:tabs>
      </w:pPr>
      <w:r>
        <w:fldChar w:fldCharType="begin"/>
      </w:r>
      <w:r>
        <w:instrText xml:space="preserve"> HYPERLINK \l _Toc4769 </w:instrText>
      </w:r>
      <w:r>
        <w:fldChar w:fldCharType="separate"/>
      </w:r>
      <w:r>
        <w:rPr>
          <w:rFonts w:hint="eastAsia"/>
        </w:rPr>
        <w:t>资格、资信证明文件分册封面建议格式</w:t>
      </w:r>
      <w:r>
        <w:tab/>
      </w:r>
      <w:r>
        <w:fldChar w:fldCharType="begin"/>
      </w:r>
      <w:r>
        <w:instrText xml:space="preserve"> PAGEREF _Toc4769 \h </w:instrText>
      </w:r>
      <w:r>
        <w:fldChar w:fldCharType="separate"/>
      </w:r>
      <w:r>
        <w:t>97</w:t>
      </w:r>
      <w:r>
        <w:fldChar w:fldCharType="end"/>
      </w:r>
      <w:r>
        <w:fldChar w:fldCharType="end"/>
      </w:r>
    </w:p>
    <w:p>
      <w:pPr>
        <w:pStyle w:val="16"/>
        <w:tabs>
          <w:tab w:val="right" w:leader="dot" w:pos="8929"/>
        </w:tabs>
      </w:pPr>
      <w:r>
        <w:fldChar w:fldCharType="begin"/>
      </w:r>
      <w:r>
        <w:instrText xml:space="preserve"> HYPERLINK \l _Toc8057 </w:instrText>
      </w:r>
      <w:r>
        <w:fldChar w:fldCharType="separate"/>
      </w:r>
      <w:r>
        <w:rPr>
          <w:rFonts w:hint="eastAsia"/>
        </w:rPr>
        <w:t>附件</w:t>
      </w:r>
      <w:r>
        <w:t>9</w:t>
      </w:r>
      <w:r>
        <w:rPr>
          <w:rFonts w:hint="eastAsia"/>
        </w:rPr>
        <w:t xml:space="preserve"> 资格、资信证明文件</w:t>
      </w:r>
      <w:r>
        <w:tab/>
      </w:r>
      <w:r>
        <w:fldChar w:fldCharType="begin"/>
      </w:r>
      <w:r>
        <w:instrText xml:space="preserve"> PAGEREF _Toc8057 \h </w:instrText>
      </w:r>
      <w:r>
        <w:fldChar w:fldCharType="separate"/>
      </w:r>
      <w:r>
        <w:t>98</w:t>
      </w:r>
      <w:r>
        <w:fldChar w:fldCharType="end"/>
      </w:r>
      <w:r>
        <w:fldChar w:fldCharType="end"/>
      </w:r>
    </w:p>
    <w:p>
      <w:pPr>
        <w:pStyle w:val="10"/>
        <w:tabs>
          <w:tab w:val="right" w:leader="dot" w:pos="8929"/>
        </w:tabs>
      </w:pPr>
      <w:r>
        <w:fldChar w:fldCharType="begin"/>
      </w:r>
      <w:r>
        <w:instrText xml:space="preserve"> HYPERLINK \l _Toc11436 </w:instrText>
      </w:r>
      <w:r>
        <w:fldChar w:fldCharType="separate"/>
      </w:r>
      <w:r>
        <w:t>9</w:t>
      </w:r>
      <w:r>
        <w:rPr>
          <w:rFonts w:hint="eastAsia"/>
        </w:rPr>
        <w:t>-</w:t>
      </w:r>
      <w:r>
        <w:t>2</w:t>
      </w:r>
      <w:r>
        <w:rPr>
          <w:rFonts w:hint="eastAsia"/>
        </w:rPr>
        <w:t>、</w:t>
      </w:r>
      <w:r>
        <w:rPr>
          <w:rFonts w:hint="eastAsia" w:ascii="Arial" w:hAnsi="Arial" w:cs="Arial"/>
        </w:rPr>
        <w:t>投标人资格声明书格式</w:t>
      </w:r>
      <w:r>
        <w:tab/>
      </w:r>
      <w:r>
        <w:fldChar w:fldCharType="begin"/>
      </w:r>
      <w:r>
        <w:instrText xml:space="preserve"> PAGEREF _Toc11436 \h </w:instrText>
      </w:r>
      <w:r>
        <w:fldChar w:fldCharType="separate"/>
      </w:r>
      <w:r>
        <w:t>99</w:t>
      </w:r>
      <w:r>
        <w:fldChar w:fldCharType="end"/>
      </w:r>
      <w:r>
        <w:fldChar w:fldCharType="end"/>
      </w:r>
    </w:p>
    <w:p>
      <w:pPr>
        <w:pStyle w:val="16"/>
        <w:tabs>
          <w:tab w:val="right" w:leader="dot" w:pos="8929"/>
        </w:tabs>
      </w:pPr>
      <w:r>
        <w:fldChar w:fldCharType="begin"/>
      </w:r>
      <w:r>
        <w:instrText xml:space="preserve"> HYPERLINK \l _Toc2957 </w:instrText>
      </w:r>
      <w:r>
        <w:fldChar w:fldCharType="separate"/>
      </w:r>
      <w:r>
        <w:rPr>
          <w:rFonts w:hint="eastAsia"/>
        </w:rPr>
        <w:t>附件</w:t>
      </w:r>
      <w:r>
        <w:t xml:space="preserve">10 </w:t>
      </w:r>
      <w:r>
        <w:rPr>
          <w:rFonts w:hint="eastAsia"/>
        </w:rPr>
        <w:t>政府采购政策落实附件及其他文件</w:t>
      </w:r>
      <w:r>
        <w:tab/>
      </w:r>
      <w:r>
        <w:fldChar w:fldCharType="begin"/>
      </w:r>
      <w:r>
        <w:instrText xml:space="preserve"> PAGEREF _Toc2957 \h </w:instrText>
      </w:r>
      <w:r>
        <w:fldChar w:fldCharType="separate"/>
      </w:r>
      <w:r>
        <w:t>101</w:t>
      </w:r>
      <w:r>
        <w:fldChar w:fldCharType="end"/>
      </w:r>
      <w:r>
        <w:fldChar w:fldCharType="end"/>
      </w:r>
    </w:p>
    <w:p>
      <w:pPr>
        <w:pStyle w:val="10"/>
        <w:tabs>
          <w:tab w:val="right" w:leader="dot" w:pos="8929"/>
        </w:tabs>
      </w:pPr>
      <w:r>
        <w:fldChar w:fldCharType="begin"/>
      </w:r>
      <w:r>
        <w:instrText xml:space="preserve"> HYPERLINK \l _Toc13932 </w:instrText>
      </w:r>
      <w:r>
        <w:fldChar w:fldCharType="separate"/>
      </w:r>
      <w:r>
        <w:t>10</w:t>
      </w:r>
      <w:r>
        <w:rPr>
          <w:rFonts w:hint="eastAsia"/>
        </w:rPr>
        <w:t>-</w:t>
      </w:r>
      <w:r>
        <w:t>1</w:t>
      </w:r>
      <w:r>
        <w:rPr>
          <w:rFonts w:hint="eastAsia"/>
        </w:rPr>
        <w:t>、中小企业声明函格式</w:t>
      </w:r>
      <w:r>
        <w:tab/>
      </w:r>
      <w:r>
        <w:fldChar w:fldCharType="begin"/>
      </w:r>
      <w:r>
        <w:instrText xml:space="preserve"> PAGEREF _Toc13932 \h </w:instrText>
      </w:r>
      <w:r>
        <w:fldChar w:fldCharType="separate"/>
      </w:r>
      <w:r>
        <w:t>101</w:t>
      </w:r>
      <w:r>
        <w:fldChar w:fldCharType="end"/>
      </w:r>
      <w:r>
        <w:fldChar w:fldCharType="end"/>
      </w:r>
    </w:p>
    <w:p>
      <w:pPr>
        <w:pStyle w:val="10"/>
        <w:tabs>
          <w:tab w:val="right" w:leader="dot" w:pos="8929"/>
        </w:tabs>
      </w:pPr>
      <w:r>
        <w:fldChar w:fldCharType="begin"/>
      </w:r>
      <w:r>
        <w:instrText xml:space="preserve"> HYPERLINK \l _Toc3705 </w:instrText>
      </w:r>
      <w:r>
        <w:fldChar w:fldCharType="separate"/>
      </w:r>
      <w:r>
        <w:t>10</w:t>
      </w:r>
      <w:r>
        <w:rPr>
          <w:rFonts w:hint="eastAsia"/>
        </w:rPr>
        <w:t>-</w:t>
      </w:r>
      <w:r>
        <w:t>2</w:t>
      </w:r>
      <w:r>
        <w:rPr>
          <w:rFonts w:hint="eastAsia"/>
        </w:rPr>
        <w:t>、残疾人福利性单位声明函格式</w:t>
      </w:r>
      <w:r>
        <w:tab/>
      </w:r>
      <w:r>
        <w:fldChar w:fldCharType="begin"/>
      </w:r>
      <w:r>
        <w:instrText xml:space="preserve"> PAGEREF _Toc3705 \h </w:instrText>
      </w:r>
      <w:r>
        <w:fldChar w:fldCharType="separate"/>
      </w:r>
      <w:r>
        <w:t>103</w:t>
      </w:r>
      <w:r>
        <w:fldChar w:fldCharType="end"/>
      </w:r>
      <w:r>
        <w:fldChar w:fldCharType="end"/>
      </w:r>
    </w:p>
    <w:p>
      <w:r>
        <w:fldChar w:fldCharType="end"/>
      </w:r>
    </w:p>
    <w:p>
      <w:pPr>
        <w:widowControl/>
        <w:adjustRightInd/>
        <w:snapToGrid/>
        <w:spacing w:line="240" w:lineRule="auto"/>
        <w:jc w:val="left"/>
      </w:pPr>
      <w:r>
        <w:br w:type="page"/>
      </w:r>
    </w:p>
    <w:p>
      <w:pPr>
        <w:sectPr>
          <w:footerReference r:id="rId7" w:type="first"/>
          <w:pgSz w:w="11906" w:h="16838"/>
          <w:pgMar w:top="1440" w:right="1559" w:bottom="1440" w:left="1418" w:header="851" w:footer="992" w:gutter="0"/>
          <w:pgNumType w:fmt="upperRoman" w:start="1"/>
          <w:cols w:space="425" w:num="1"/>
          <w:titlePg/>
          <w:docGrid w:type="lines" w:linePitch="312" w:charSpace="0"/>
        </w:sectPr>
      </w:pPr>
    </w:p>
    <w:p/>
    <w:p>
      <w:pPr>
        <w:pStyle w:val="3"/>
      </w:pPr>
      <w:bookmarkStart w:id="3" w:name="_Toc1480"/>
      <w:r>
        <w:rPr>
          <w:rFonts w:hint="eastAsia"/>
        </w:rPr>
        <w:t>第一章  投标邀请</w:t>
      </w:r>
      <w:bookmarkEnd w:id="3"/>
    </w:p>
    <w:p>
      <w:pPr>
        <w:rPr>
          <w:b/>
          <w:bCs/>
        </w:rPr>
      </w:pPr>
      <w:r>
        <w:rPr>
          <w:rFonts w:hint="eastAsia"/>
          <w:b/>
          <w:bCs/>
        </w:rPr>
        <w:t>项目概况</w:t>
      </w:r>
    </w:p>
    <w:p>
      <w:pPr>
        <w:pStyle w:val="45"/>
        <w:ind w:firstLine="480"/>
      </w:pPr>
      <w:r>
        <w:rPr>
          <w:rFonts w:hint="eastAsia"/>
          <w:color w:val="auto"/>
          <w:lang w:eastAsia="zh-CN"/>
        </w:rPr>
        <w:t>2024年园博园再生水利用项目</w:t>
      </w:r>
      <w:r>
        <w:rPr>
          <w:rFonts w:hint="eastAsia"/>
          <w:color w:val="auto"/>
        </w:rPr>
        <w:t>招标项目的潜在投标人应在北京市政府采购电子交易平台（http://zbcg-bjzc.zhongcy.com/bjczj-portal-site/index.html#/home）获取招标文件</w:t>
      </w:r>
      <w:r>
        <w:rPr>
          <w:rFonts w:hint="eastAsia"/>
        </w:rPr>
        <w:t>，并</w:t>
      </w:r>
      <w:r>
        <w:rPr>
          <w:rFonts w:hint="eastAsia"/>
          <w:color w:val="auto"/>
        </w:rPr>
        <w:t>于</w:t>
      </w:r>
      <w:r>
        <w:rPr>
          <w:rFonts w:hint="eastAsia"/>
          <w:color w:val="auto"/>
          <w:lang w:eastAsia="zh-CN"/>
        </w:rPr>
        <w:t>2024年3月29日10:00</w:t>
      </w:r>
      <w:r>
        <w:rPr>
          <w:rFonts w:hint="eastAsia"/>
        </w:rPr>
        <w:t>（北京时间）前递交投标文件。</w:t>
      </w:r>
    </w:p>
    <w:p>
      <w:pPr>
        <w:pStyle w:val="39"/>
        <w:rPr>
          <w:b/>
          <w:color w:val="auto"/>
        </w:rPr>
      </w:pPr>
      <w:r>
        <w:rPr>
          <w:rFonts w:hint="eastAsia"/>
          <w:b/>
        </w:rPr>
        <w:t>一、项</w:t>
      </w:r>
      <w:r>
        <w:rPr>
          <w:rFonts w:hint="eastAsia"/>
          <w:b/>
          <w:color w:val="auto"/>
        </w:rPr>
        <w:t>目基本情况：</w:t>
      </w:r>
    </w:p>
    <w:p>
      <w:pPr>
        <w:pStyle w:val="45"/>
        <w:ind w:firstLine="480"/>
        <w:rPr>
          <w:rFonts w:hint="eastAsia" w:eastAsiaTheme="minorEastAsia"/>
          <w:color w:val="auto"/>
          <w:lang w:eastAsia="zh-CN"/>
        </w:rPr>
      </w:pPr>
      <w:r>
        <w:rPr>
          <w:rFonts w:hint="eastAsia"/>
          <w:color w:val="auto"/>
        </w:rPr>
        <w:t>项目编号：</w:t>
      </w:r>
      <w:r>
        <w:rPr>
          <w:rFonts w:hint="eastAsia"/>
          <w:color w:val="auto"/>
          <w:lang w:eastAsia="zh-CN"/>
        </w:rPr>
        <w:t>0747-2461SCCZN061</w:t>
      </w:r>
    </w:p>
    <w:p>
      <w:pPr>
        <w:pStyle w:val="45"/>
        <w:ind w:firstLine="480"/>
        <w:rPr>
          <w:rFonts w:hint="eastAsia" w:eastAsiaTheme="minorEastAsia"/>
          <w:color w:val="auto"/>
          <w:lang w:eastAsia="zh-CN"/>
        </w:rPr>
      </w:pPr>
      <w:r>
        <w:rPr>
          <w:rFonts w:hint="eastAsia"/>
          <w:color w:val="auto"/>
        </w:rPr>
        <w:t>项目名称：</w:t>
      </w:r>
      <w:r>
        <w:rPr>
          <w:rFonts w:hint="eastAsia"/>
          <w:color w:val="auto"/>
          <w:lang w:eastAsia="zh-CN"/>
        </w:rPr>
        <w:t>2024年园博园再生水利用项目</w:t>
      </w:r>
    </w:p>
    <w:p>
      <w:pPr>
        <w:pStyle w:val="45"/>
        <w:ind w:firstLine="480"/>
        <w:rPr>
          <w:color w:val="auto"/>
        </w:rPr>
      </w:pPr>
      <w:r>
        <w:rPr>
          <w:rFonts w:hint="eastAsia"/>
          <w:color w:val="auto"/>
        </w:rPr>
        <w:t>预算金额：</w:t>
      </w:r>
      <w:r>
        <w:rPr>
          <w:rFonts w:hint="eastAsia"/>
          <w:color w:val="auto"/>
          <w:lang w:eastAsia="zh-CN"/>
        </w:rPr>
        <w:t>189.75</w:t>
      </w:r>
      <w:r>
        <w:rPr>
          <w:rFonts w:hint="eastAsia"/>
          <w:color w:val="auto"/>
        </w:rPr>
        <w:t>万元（人民币）</w:t>
      </w:r>
    </w:p>
    <w:p>
      <w:pPr>
        <w:pStyle w:val="45"/>
        <w:ind w:firstLine="480"/>
        <w:rPr>
          <w:color w:val="auto"/>
        </w:rPr>
      </w:pPr>
      <w:r>
        <w:rPr>
          <w:rFonts w:hint="eastAsia"/>
          <w:color w:val="auto"/>
        </w:rPr>
        <w:t>最高限价：</w:t>
      </w:r>
      <w:r>
        <w:rPr>
          <w:rFonts w:hint="eastAsia"/>
          <w:color w:val="auto"/>
          <w:lang w:eastAsia="zh-CN"/>
        </w:rPr>
        <w:t>189.75</w:t>
      </w:r>
      <w:r>
        <w:rPr>
          <w:rFonts w:hint="eastAsia"/>
          <w:color w:val="auto"/>
        </w:rPr>
        <w:t>万元（人民币）</w:t>
      </w:r>
    </w:p>
    <w:p>
      <w:pPr>
        <w:pStyle w:val="45"/>
        <w:ind w:firstLine="480"/>
        <w:rPr>
          <w:color w:val="auto"/>
        </w:rPr>
      </w:pPr>
      <w:r>
        <w:rPr>
          <w:rFonts w:hint="eastAsia"/>
          <w:color w:val="auto"/>
        </w:rPr>
        <w:t>采购需求：</w:t>
      </w:r>
    </w:p>
    <w:p>
      <w:pPr>
        <w:pStyle w:val="45"/>
        <w:numPr>
          <w:ilvl w:val="0"/>
          <w:numId w:val="7"/>
        </w:numPr>
        <w:ind w:left="482" w:firstLine="420" w:firstLineChars="0"/>
        <w:rPr>
          <w:color w:val="auto"/>
        </w:rPr>
      </w:pPr>
      <w:bookmarkStart w:id="4" w:name="_Hlk73362345"/>
      <w:r>
        <w:rPr>
          <w:rFonts w:hint="eastAsia"/>
          <w:color w:val="auto"/>
        </w:rPr>
        <w:t>采购需求一览表：</w:t>
      </w:r>
    </w:p>
    <w:bookmarkEnd w:id="4"/>
    <w:tbl>
      <w:tblPr>
        <w:tblStyle w:val="19"/>
        <w:tblW w:w="9506" w:type="dxa"/>
        <w:tblInd w:w="0" w:type="dxa"/>
        <w:shd w:val="clear" w:color="auto" w:fill="FFFFFF"/>
        <w:tblLayout w:type="fixed"/>
        <w:tblCellMar>
          <w:top w:w="0" w:type="dxa"/>
          <w:left w:w="0" w:type="dxa"/>
          <w:bottom w:w="0" w:type="dxa"/>
          <w:right w:w="0" w:type="dxa"/>
        </w:tblCellMar>
      </w:tblPr>
      <w:tblGrid>
        <w:gridCol w:w="700"/>
        <w:gridCol w:w="1279"/>
        <w:gridCol w:w="1560"/>
        <w:gridCol w:w="723"/>
        <w:gridCol w:w="972"/>
        <w:gridCol w:w="1055"/>
        <w:gridCol w:w="722"/>
        <w:gridCol w:w="2495"/>
      </w:tblGrid>
      <w:tr>
        <w:tblPrEx>
          <w:shd w:val="clear" w:color="auto" w:fill="FFFFFF"/>
          <w:tblCellMar>
            <w:top w:w="0" w:type="dxa"/>
            <w:left w:w="0" w:type="dxa"/>
            <w:bottom w:w="0" w:type="dxa"/>
            <w:right w:w="0" w:type="dxa"/>
          </w:tblCellMar>
        </w:tblPrEx>
        <w:trPr>
          <w:trHeight w:val="540" w:hRule="atLeast"/>
        </w:trPr>
        <w:tc>
          <w:tcPr>
            <w:tcW w:w="70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包件号</w:t>
            </w:r>
          </w:p>
        </w:tc>
        <w:tc>
          <w:tcPr>
            <w:tcW w:w="1279"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包件名称</w:t>
            </w:r>
          </w:p>
        </w:tc>
        <w:tc>
          <w:tcPr>
            <w:tcW w:w="1560"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240" w:lineRule="auto"/>
              <w:jc w:val="center"/>
              <w:rPr>
                <w:color w:val="auto"/>
                <w:sz w:val="21"/>
              </w:rPr>
            </w:pPr>
            <w:r>
              <w:rPr>
                <w:rFonts w:hint="eastAsia"/>
                <w:color w:val="auto"/>
                <w:sz w:val="21"/>
              </w:rPr>
              <w:t>标的名称</w:t>
            </w:r>
          </w:p>
        </w:tc>
        <w:tc>
          <w:tcPr>
            <w:tcW w:w="723"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数量</w:t>
            </w:r>
          </w:p>
        </w:tc>
        <w:tc>
          <w:tcPr>
            <w:tcW w:w="97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预算</w:t>
            </w:r>
            <w:r>
              <w:rPr>
                <w:color w:val="auto"/>
                <w:sz w:val="21"/>
              </w:rPr>
              <w:br w:type="textWrapping"/>
            </w:r>
            <w:r>
              <w:rPr>
                <w:rFonts w:hint="eastAsia"/>
                <w:color w:val="auto"/>
                <w:sz w:val="21"/>
              </w:rPr>
              <w:t>（万元）</w:t>
            </w:r>
          </w:p>
        </w:tc>
        <w:tc>
          <w:tcPr>
            <w:tcW w:w="1055"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服务期限</w:t>
            </w:r>
          </w:p>
        </w:tc>
        <w:tc>
          <w:tcPr>
            <w:tcW w:w="72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服务地点：</w:t>
            </w:r>
          </w:p>
        </w:tc>
        <w:tc>
          <w:tcPr>
            <w:tcW w:w="2495"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简要技术要求：</w:t>
            </w:r>
          </w:p>
        </w:tc>
      </w:tr>
      <w:tr>
        <w:tblPrEx>
          <w:shd w:val="clear" w:color="auto" w:fill="FFFFFF"/>
          <w:tblCellMar>
            <w:top w:w="0" w:type="dxa"/>
            <w:left w:w="0" w:type="dxa"/>
            <w:bottom w:w="0" w:type="dxa"/>
            <w:right w:w="0" w:type="dxa"/>
          </w:tblCellMar>
        </w:tblPrEx>
        <w:trPr>
          <w:trHeight w:val="20" w:hRule="atLeast"/>
        </w:trPr>
        <w:tc>
          <w:tcPr>
            <w:tcW w:w="70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color w:val="auto"/>
                <w:sz w:val="21"/>
              </w:rPr>
            </w:pPr>
            <w:r>
              <w:rPr>
                <w:color w:val="auto"/>
                <w:sz w:val="21"/>
              </w:rPr>
              <w:t>1</w:t>
            </w:r>
          </w:p>
        </w:tc>
        <w:tc>
          <w:tcPr>
            <w:tcW w:w="1279"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left"/>
              <w:rPr>
                <w:rFonts w:hint="eastAsia" w:eastAsiaTheme="minorEastAsia"/>
                <w:color w:val="auto"/>
                <w:sz w:val="21"/>
                <w:lang w:eastAsia="zh-CN"/>
              </w:rPr>
            </w:pPr>
            <w:r>
              <w:rPr>
                <w:rFonts w:hint="eastAsia"/>
                <w:color w:val="auto"/>
                <w:sz w:val="21"/>
                <w:lang w:eastAsia="zh-CN"/>
              </w:rPr>
              <w:t>2024年园博园再生水利用项目</w:t>
            </w:r>
          </w:p>
        </w:tc>
        <w:tc>
          <w:tcPr>
            <w:tcW w:w="1560"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240" w:lineRule="auto"/>
              <w:rPr>
                <w:color w:val="auto"/>
                <w:sz w:val="21"/>
              </w:rPr>
            </w:pPr>
            <w:r>
              <w:rPr>
                <w:rFonts w:hint="eastAsia"/>
                <w:color w:val="auto"/>
                <w:sz w:val="21"/>
              </w:rPr>
              <w:t>【</w:t>
            </w:r>
            <w:r>
              <w:rPr>
                <w:rFonts w:hint="eastAsia"/>
                <w:color w:val="auto"/>
                <w:sz w:val="21"/>
                <w:lang w:eastAsia="zh-CN"/>
              </w:rPr>
              <w:t>2024年园博园再生水利用项目</w:t>
            </w:r>
            <w:r>
              <w:rPr>
                <w:rFonts w:hint="eastAsia"/>
                <w:color w:val="auto"/>
                <w:sz w:val="21"/>
              </w:rPr>
              <w:t>】</w:t>
            </w:r>
          </w:p>
        </w:tc>
        <w:tc>
          <w:tcPr>
            <w:tcW w:w="723"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rFonts w:hint="eastAsia" w:eastAsiaTheme="minorEastAsia"/>
                <w:color w:val="auto"/>
                <w:sz w:val="21"/>
                <w:lang w:val="en-US" w:eastAsia="zh-CN"/>
              </w:rPr>
            </w:pPr>
            <w:r>
              <w:rPr>
                <w:rFonts w:hint="eastAsia"/>
                <w:color w:val="auto"/>
                <w:sz w:val="21"/>
                <w:lang w:val="en-US" w:eastAsia="zh-CN"/>
              </w:rPr>
              <w:t>/</w:t>
            </w:r>
          </w:p>
        </w:tc>
        <w:tc>
          <w:tcPr>
            <w:tcW w:w="97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rFonts w:hint="eastAsia" w:eastAsiaTheme="minorEastAsia"/>
                <w:color w:val="auto"/>
                <w:sz w:val="21"/>
                <w:lang w:eastAsia="zh-CN"/>
              </w:rPr>
            </w:pPr>
            <w:r>
              <w:rPr>
                <w:rFonts w:hint="eastAsia"/>
                <w:color w:val="auto"/>
                <w:sz w:val="21"/>
                <w:lang w:eastAsia="zh-CN"/>
              </w:rPr>
              <w:t>189.75</w:t>
            </w:r>
          </w:p>
        </w:tc>
        <w:tc>
          <w:tcPr>
            <w:tcW w:w="1055"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color w:val="auto"/>
                <w:sz w:val="21"/>
              </w:rPr>
            </w:pPr>
            <w:r>
              <w:rPr>
                <w:rFonts w:hint="eastAsia"/>
                <w:color w:val="auto"/>
                <w:sz w:val="21"/>
              </w:rPr>
              <w:t>合同签订之日起至2024年12月31日</w:t>
            </w:r>
          </w:p>
        </w:tc>
        <w:tc>
          <w:tcPr>
            <w:tcW w:w="72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rFonts w:hint="default" w:eastAsiaTheme="minorEastAsia"/>
                <w:color w:val="auto"/>
                <w:sz w:val="21"/>
                <w:lang w:val="en-US" w:eastAsia="zh-CN"/>
              </w:rPr>
            </w:pPr>
            <w:r>
              <w:rPr>
                <w:rFonts w:hint="eastAsia"/>
                <w:color w:val="auto"/>
                <w:sz w:val="21"/>
                <w:lang w:val="en-US" w:eastAsia="zh-CN"/>
              </w:rPr>
              <w:t>北京园博园</w:t>
            </w:r>
          </w:p>
        </w:tc>
        <w:tc>
          <w:tcPr>
            <w:tcW w:w="2495"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color w:val="auto"/>
                <w:sz w:val="21"/>
              </w:rPr>
            </w:pPr>
            <w:r>
              <w:rPr>
                <w:rFonts w:hint="eastAsia"/>
                <w:color w:val="auto"/>
                <w:sz w:val="21"/>
              </w:rPr>
              <w:t>为北京园博园（以下简称园博）再生水利用技术服务。包括但不限于：再生水利用设施设备技术服务、值守、处理药剂、污泥处置、水质检测、设备维修等。</w:t>
            </w:r>
          </w:p>
        </w:tc>
      </w:tr>
    </w:tbl>
    <w:p>
      <w:pPr>
        <w:pStyle w:val="45"/>
        <w:numPr>
          <w:ilvl w:val="0"/>
          <w:numId w:val="7"/>
        </w:numPr>
        <w:ind w:left="482" w:firstLine="420" w:firstLineChars="0"/>
        <w:rPr>
          <w:rFonts w:hAnsiTheme="minorEastAsia"/>
          <w:color w:val="auto"/>
        </w:rPr>
      </w:pPr>
      <w:r>
        <w:rPr>
          <w:rFonts w:hint="eastAsia"/>
          <w:color w:val="auto"/>
        </w:rPr>
        <w:t>是否专门面向中小企业或小型、微型企业采购：</w:t>
      </w:r>
      <w:bookmarkStart w:id="5" w:name="_Hlk73362492"/>
      <w:bookmarkStart w:id="6" w:name="_Hlk73362450"/>
      <w:bookmarkStart w:id="7" w:name="_Hlk73362647"/>
      <w:r>
        <w:rPr>
          <w:rFonts w:hint="eastAsia" w:hAnsiTheme="minorEastAsia"/>
          <w:color w:val="auto"/>
        </w:rPr>
        <w:t>专门面向中小企业。</w:t>
      </w:r>
      <w:bookmarkEnd w:id="5"/>
    </w:p>
    <w:bookmarkEnd w:id="6"/>
    <w:bookmarkEnd w:id="7"/>
    <w:p>
      <w:pPr>
        <w:pStyle w:val="45"/>
        <w:ind w:firstLine="480"/>
        <w:rPr>
          <w:color w:val="auto"/>
        </w:rPr>
      </w:pPr>
      <w:r>
        <w:rPr>
          <w:rFonts w:hint="eastAsia"/>
          <w:color w:val="auto"/>
        </w:rPr>
        <w:t>注：投标必须以采购包（也称为“包件”或“包”）为单位，对所投包件号中的所有内容进行投标，不允许将包件拆开投标,也不允许将几个包件合并报一个价格投标，评标、授标以包件为单位。</w:t>
      </w:r>
    </w:p>
    <w:p>
      <w:pPr>
        <w:pStyle w:val="45"/>
        <w:ind w:firstLine="480"/>
        <w:rPr>
          <w:color w:val="auto"/>
        </w:rPr>
      </w:pPr>
      <w:r>
        <w:rPr>
          <w:rFonts w:hint="eastAsia"/>
          <w:color w:val="auto"/>
        </w:rPr>
        <w:t>合同履行期限：合同签订之日起至2024年12月31日。</w:t>
      </w:r>
    </w:p>
    <w:p>
      <w:pPr>
        <w:pStyle w:val="45"/>
        <w:ind w:firstLine="480"/>
        <w:rPr>
          <w:color w:val="auto"/>
        </w:rPr>
      </w:pPr>
      <w:r>
        <w:rPr>
          <w:rFonts w:hint="eastAsia"/>
          <w:color w:val="auto"/>
        </w:rPr>
        <w:t>本项目（不接受）联合体投标。</w:t>
      </w:r>
    </w:p>
    <w:p>
      <w:pPr>
        <w:pStyle w:val="39"/>
        <w:rPr>
          <w:b/>
        </w:rPr>
      </w:pPr>
      <w:r>
        <w:rPr>
          <w:rFonts w:hint="eastAsia"/>
          <w:b/>
        </w:rPr>
        <w:t>二、申请人的资格要求：</w:t>
      </w:r>
    </w:p>
    <w:p>
      <w:pPr>
        <w:pStyle w:val="45"/>
        <w:ind w:firstLine="480"/>
      </w:pPr>
      <w:r>
        <w:rPr>
          <w:rFonts w:hint="eastAsia"/>
        </w:rPr>
        <w:t>1.</w:t>
      </w:r>
      <w:r>
        <w:rPr>
          <w:rFonts w:hint="eastAsia"/>
        </w:rPr>
        <w:tab/>
      </w:r>
      <w:r>
        <w:rPr>
          <w:rFonts w:hint="eastAsia"/>
        </w:rPr>
        <w:t>满足《中华人民共和国政府采购法》第二十二条规定；</w:t>
      </w:r>
    </w:p>
    <w:p>
      <w:pPr>
        <w:pStyle w:val="45"/>
        <w:ind w:firstLine="480"/>
        <w:rPr>
          <w:color w:val="FF0000"/>
        </w:rPr>
      </w:pPr>
      <w:r>
        <w:rPr>
          <w:rFonts w:hint="eastAsia"/>
        </w:rPr>
        <w:t>2.</w:t>
      </w:r>
      <w:r>
        <w:rPr>
          <w:rFonts w:hint="eastAsia"/>
        </w:rPr>
        <w:tab/>
      </w:r>
      <w:r>
        <w:rPr>
          <w:rFonts w:hint="eastAsia"/>
        </w:rPr>
        <w:t>落实政府采购政策需满足的资格要求：</w:t>
      </w:r>
      <w:bookmarkStart w:id="8" w:name="_Hlk69823374"/>
      <w:r>
        <w:rPr>
          <w:rFonts w:hint="eastAsia"/>
          <w:color w:val="auto"/>
        </w:rPr>
        <w:t>本项目属于整体专门面向中小企业采购的项目，因此，本项目所有标的均应由符合《政府采购促进中小企业发展管理办法》的中小企业承接（其中，小微企业包括视同为小型、微型企业的监狱企业、残疾人福利性单位。）</w:t>
      </w:r>
      <w:bookmarkEnd w:id="8"/>
    </w:p>
    <w:p>
      <w:pPr>
        <w:pStyle w:val="45"/>
        <w:ind w:firstLine="480"/>
        <w:rPr>
          <w:color w:val="FF0000"/>
        </w:rPr>
      </w:pPr>
      <w:r>
        <w:rPr>
          <w:rFonts w:hint="eastAsia"/>
        </w:rPr>
        <w:t>3.</w:t>
      </w:r>
      <w:r>
        <w:tab/>
      </w:r>
      <w:r>
        <w:rPr>
          <w:rFonts w:hint="eastAsia"/>
        </w:rPr>
        <w:t>本项目的特定资格要求：</w:t>
      </w:r>
      <w:r>
        <w:rPr>
          <w:color w:val="FF0000"/>
        </w:rPr>
        <w:t xml:space="preserve"> </w:t>
      </w:r>
    </w:p>
    <w:p>
      <w:pPr>
        <w:pStyle w:val="45"/>
        <w:ind w:firstLine="480"/>
      </w:pPr>
      <w:r>
        <w:rPr>
          <w:rFonts w:hint="eastAsia"/>
        </w:rPr>
        <w:t>（1）本项目开标日前被列入失信被执行人、重大税收违法案件当事人名单、政府采购严重违法失信行为记录名单（处罚期限尚未届满的），不得参与本项目的投标，[以“信用中国”网站（www.creditchina.gov.cn）和“中国政府采购网”（www.ccgp.gov.cn）采购代理机构评标当日的查询记录为准]；</w:t>
      </w:r>
    </w:p>
    <w:p>
      <w:pPr>
        <w:pStyle w:val="45"/>
        <w:ind w:firstLine="480"/>
      </w:pPr>
      <w:r>
        <w:rPr>
          <w:rFonts w:hint="eastAsia"/>
        </w:rPr>
        <w:t>（</w:t>
      </w:r>
      <w:r>
        <w:t>2</w:t>
      </w:r>
      <w:r>
        <w:rPr>
          <w:rFonts w:hint="eastAsia"/>
        </w:rPr>
        <w:t>）单位负责人为同一人或者存在直接控股、管理关系的不同投标人，不得参加同一合同项下的政府采购活动；为本项目提供整体设计、规范编制或者项目管理、监理、检测等服务的供应商，</w:t>
      </w:r>
      <w:bookmarkStart w:id="9" w:name="_Hlk74070744"/>
      <w:r>
        <w:t>不得参加本项目的投标</w:t>
      </w:r>
      <w:r>
        <w:rPr>
          <w:rFonts w:hint="eastAsia"/>
        </w:rPr>
        <w:t>；</w:t>
      </w:r>
      <w:bookmarkEnd w:id="9"/>
    </w:p>
    <w:p>
      <w:pPr>
        <w:pStyle w:val="45"/>
        <w:ind w:firstLine="480"/>
        <w:rPr>
          <w:color w:val="auto"/>
        </w:rPr>
      </w:pPr>
      <w:r>
        <w:rPr>
          <w:rFonts w:hint="eastAsia"/>
        </w:rPr>
        <w:t>（</w:t>
      </w:r>
      <w:r>
        <w:t>3</w:t>
      </w:r>
      <w:r>
        <w:rPr>
          <w:rFonts w:hint="eastAsia"/>
        </w:rPr>
        <w:t>）投标人必须通过北京市政府采购电子交易平台（http://zbcg-bjzc.zhongcy.com/bjczj-portal-site/index.html#/home）获取了招标文件</w:t>
      </w:r>
    </w:p>
    <w:p>
      <w:pPr>
        <w:pStyle w:val="45"/>
        <w:ind w:firstLine="480"/>
        <w:rPr>
          <w:color w:val="auto"/>
        </w:rPr>
      </w:pPr>
      <w:r>
        <w:rPr>
          <w:rFonts w:hint="eastAsia"/>
          <w:color w:val="auto"/>
        </w:rPr>
        <w:t>（</w:t>
      </w:r>
      <w:r>
        <w:rPr>
          <w:rFonts w:hint="eastAsia"/>
          <w:color w:val="auto"/>
          <w:lang w:val="en-US" w:eastAsia="zh-CN"/>
        </w:rPr>
        <w:t>4</w:t>
      </w:r>
      <w:r>
        <w:rPr>
          <w:rFonts w:hint="eastAsia"/>
          <w:color w:val="auto"/>
        </w:rPr>
        <w:t>）本项目（不接受）联合体投标。</w:t>
      </w:r>
    </w:p>
    <w:p>
      <w:pPr>
        <w:pStyle w:val="39"/>
        <w:rPr>
          <w:b/>
        </w:rPr>
      </w:pPr>
      <w:r>
        <w:rPr>
          <w:rFonts w:hint="eastAsia"/>
          <w:b/>
        </w:rPr>
        <w:t>三、获取招标文件</w:t>
      </w:r>
    </w:p>
    <w:p>
      <w:pPr>
        <w:pStyle w:val="45"/>
        <w:ind w:firstLine="480"/>
      </w:pPr>
      <w:r>
        <w:rPr>
          <w:rFonts w:hint="eastAsia"/>
        </w:rPr>
        <w:t>时间：20</w:t>
      </w:r>
      <w:r>
        <w:rPr>
          <w:rFonts w:hint="eastAsia"/>
          <w:lang w:val="en-US" w:eastAsia="zh-CN"/>
        </w:rPr>
        <w:t>2</w:t>
      </w:r>
      <w:r>
        <w:rPr>
          <w:rFonts w:hint="eastAsia"/>
          <w:color w:val="auto"/>
          <w:lang w:val="en-US" w:eastAsia="zh-CN"/>
        </w:rPr>
        <w:t>4</w:t>
      </w:r>
      <w:r>
        <w:rPr>
          <w:rFonts w:hint="eastAsia"/>
          <w:color w:val="auto"/>
        </w:rPr>
        <w:t>年</w:t>
      </w:r>
      <w:r>
        <w:rPr>
          <w:rFonts w:hint="eastAsia"/>
          <w:color w:val="auto"/>
          <w:lang w:val="en-US" w:eastAsia="zh-CN"/>
        </w:rPr>
        <w:t>3</w:t>
      </w:r>
      <w:r>
        <w:rPr>
          <w:rFonts w:hint="eastAsia"/>
          <w:color w:val="auto"/>
        </w:rPr>
        <w:t>月</w:t>
      </w:r>
      <w:r>
        <w:rPr>
          <w:rFonts w:hint="eastAsia"/>
          <w:color w:val="auto"/>
          <w:lang w:val="en-US" w:eastAsia="zh-CN"/>
        </w:rPr>
        <w:t>8</w:t>
      </w:r>
      <w:r>
        <w:rPr>
          <w:rFonts w:hint="eastAsia"/>
          <w:color w:val="auto"/>
        </w:rPr>
        <w:t>日至20</w:t>
      </w:r>
      <w:r>
        <w:rPr>
          <w:rFonts w:hint="eastAsia"/>
          <w:color w:val="auto"/>
          <w:lang w:val="en-US" w:eastAsia="zh-CN"/>
        </w:rPr>
        <w:t>24</w:t>
      </w:r>
      <w:r>
        <w:rPr>
          <w:rFonts w:hint="eastAsia"/>
          <w:color w:val="auto"/>
        </w:rPr>
        <w:t>年</w:t>
      </w:r>
      <w:r>
        <w:rPr>
          <w:rFonts w:hint="eastAsia"/>
          <w:color w:val="auto"/>
          <w:lang w:val="en-US" w:eastAsia="zh-CN"/>
        </w:rPr>
        <w:t>3</w:t>
      </w:r>
      <w:r>
        <w:rPr>
          <w:rFonts w:hint="eastAsia"/>
          <w:color w:val="auto"/>
        </w:rPr>
        <w:t>月</w:t>
      </w:r>
      <w:r>
        <w:rPr>
          <w:rFonts w:hint="eastAsia"/>
          <w:color w:val="auto"/>
          <w:lang w:val="en-US" w:eastAsia="zh-CN"/>
        </w:rPr>
        <w:t>15</w:t>
      </w:r>
      <w:r>
        <w:rPr>
          <w:rFonts w:hint="eastAsia"/>
          <w:color w:val="auto"/>
        </w:rPr>
        <w:t>日，每</w:t>
      </w:r>
      <w:r>
        <w:rPr>
          <w:rFonts w:hint="eastAsia"/>
        </w:rPr>
        <w:t>天上午09:30至</w:t>
      </w:r>
      <w:r>
        <w:t>11</w:t>
      </w:r>
      <w:r>
        <w:rPr>
          <w:rFonts w:hint="eastAsia"/>
        </w:rPr>
        <w:t>:</w:t>
      </w:r>
      <w:r>
        <w:t>0</w:t>
      </w:r>
      <w:r>
        <w:rPr>
          <w:rFonts w:hint="eastAsia"/>
        </w:rPr>
        <w:t>0，下午</w:t>
      </w:r>
      <w:r>
        <w:t>13</w:t>
      </w:r>
      <w:r>
        <w:rPr>
          <w:rFonts w:hint="eastAsia"/>
        </w:rPr>
        <w:t>:30至16:30（北京时间，法定节假日除外）</w:t>
      </w:r>
    </w:p>
    <w:p>
      <w:pPr>
        <w:pStyle w:val="45"/>
        <w:ind w:firstLine="480"/>
        <w:rPr>
          <w:color w:val="auto"/>
          <w:highlight w:val="none"/>
        </w:rPr>
      </w:pPr>
      <w:r>
        <w:rPr>
          <w:rFonts w:hint="eastAsia"/>
        </w:rPr>
        <w:t>地</w:t>
      </w:r>
      <w:r>
        <w:rPr>
          <w:rFonts w:hint="eastAsia"/>
          <w:color w:val="auto"/>
          <w:highlight w:val="none"/>
        </w:rPr>
        <w:t>点：北京市政府采购电子交易平台（http://zbcg-bjzc.zhongcy.com/bjczj-portal-site/index.html#/home）</w:t>
      </w:r>
    </w:p>
    <w:p>
      <w:pPr>
        <w:pStyle w:val="45"/>
        <w:ind w:firstLine="480"/>
        <w:rPr>
          <w:color w:val="auto"/>
          <w:highlight w:val="none"/>
        </w:rPr>
      </w:pPr>
      <w:r>
        <w:rPr>
          <w:rFonts w:hint="eastAsia"/>
          <w:color w:val="auto"/>
          <w:highlight w:val="none"/>
        </w:rPr>
        <w:t>方式：登录北京市政府采购电子交易平台（</w:t>
      </w:r>
      <w:r>
        <w:rPr>
          <w:color w:val="auto"/>
          <w:highlight w:val="none"/>
        </w:rPr>
        <w:t>http://zbcg-bjzc.zhongcy.com/bjczj-portal-site/index.html#/home</w:t>
      </w:r>
      <w:r>
        <w:rPr>
          <w:rFonts w:hint="eastAsia"/>
          <w:color w:val="auto"/>
          <w:highlight w:val="none"/>
        </w:rPr>
        <w:t>），点击“用户指南”，按照《</w:t>
      </w:r>
      <w:r>
        <w:rPr>
          <w:color w:val="auto"/>
          <w:highlight w:val="none"/>
        </w:rPr>
        <w:t>北京市政府采购电子交易平台供应商操作指引</w:t>
      </w:r>
      <w:r>
        <w:rPr>
          <w:rFonts w:hint="eastAsia"/>
          <w:color w:val="auto"/>
          <w:highlight w:val="none"/>
        </w:rPr>
        <w:t>》，通过免费下载的方式获取招标文件。潜在投标人需按照</w:t>
      </w:r>
      <w:r>
        <w:rPr>
          <w:color w:val="auto"/>
          <w:highlight w:val="none"/>
        </w:rPr>
        <w:t>操作指引</w:t>
      </w:r>
      <w:r>
        <w:rPr>
          <w:rFonts w:hint="eastAsia"/>
          <w:color w:val="auto"/>
          <w:highlight w:val="none"/>
        </w:rPr>
        <w:t>先进行网上注册（并办理该平台CA），即可购买文件。已在交易平台注册且办理CA的潜在投标人无需重新注册或重新办理CA。未按北京市政府采购电子交易平台操作要求在招标文件获取期限内下载招标文件导致无法正常参与投标的后果由潜在投标人自行承担。电子交易平台CA认证证书服务热线010-58511086，电子交易平台技术支持服务热线010-86483801。注：请供应商认真学习北京市政府采购电子交易平台发布的相关操作手册。</w:t>
      </w:r>
    </w:p>
    <w:p>
      <w:pPr>
        <w:pStyle w:val="45"/>
        <w:ind w:firstLine="480"/>
        <w:rPr>
          <w:color w:val="auto"/>
        </w:rPr>
      </w:pPr>
      <w:r>
        <w:rPr>
          <w:rFonts w:hint="eastAsia"/>
        </w:rPr>
        <w:t>售价：每包件</w:t>
      </w:r>
      <w:r>
        <w:t>人民</w:t>
      </w:r>
      <w:r>
        <w:rPr>
          <w:color w:val="auto"/>
        </w:rPr>
        <w:t>币0元</w:t>
      </w:r>
      <w:r>
        <w:rPr>
          <w:rFonts w:hint="eastAsia"/>
          <w:color w:val="auto"/>
        </w:rPr>
        <w:t>整</w:t>
      </w:r>
    </w:p>
    <w:p>
      <w:pPr>
        <w:pStyle w:val="39"/>
        <w:rPr>
          <w:b/>
          <w:color w:val="auto"/>
        </w:rPr>
      </w:pPr>
      <w:r>
        <w:rPr>
          <w:rFonts w:hint="eastAsia"/>
          <w:b/>
          <w:color w:val="auto"/>
        </w:rPr>
        <w:t>四、提交投标文件截止时间、开标时间和地点</w:t>
      </w:r>
    </w:p>
    <w:p>
      <w:pPr>
        <w:pStyle w:val="45"/>
        <w:ind w:firstLine="480"/>
        <w:rPr>
          <w:color w:val="auto"/>
        </w:rPr>
      </w:pPr>
      <w:r>
        <w:rPr>
          <w:rFonts w:hint="eastAsia"/>
          <w:color w:val="auto"/>
          <w:lang w:eastAsia="zh-CN"/>
        </w:rPr>
        <w:t>2024年3月29日10:00</w:t>
      </w:r>
      <w:r>
        <w:rPr>
          <w:rFonts w:hint="eastAsia"/>
          <w:color w:val="auto"/>
        </w:rPr>
        <w:t>（北京时间）</w:t>
      </w:r>
    </w:p>
    <w:p>
      <w:pPr>
        <w:pStyle w:val="45"/>
        <w:ind w:firstLine="480"/>
        <w:rPr>
          <w:rFonts w:hint="default"/>
          <w:color w:val="auto"/>
          <w:lang w:val="en-US" w:eastAsia="zh-CN"/>
        </w:rPr>
      </w:pPr>
      <w:r>
        <w:rPr>
          <w:rFonts w:hint="eastAsia"/>
          <w:color w:val="auto"/>
          <w:lang w:val="en-US" w:eastAsia="zh-CN"/>
        </w:rPr>
        <w:t>地点：本项目采用远程电子开标方式。投标人使用CA认证证书登录北京市政府采购电子交易平台参与电子开标，投标人自行对电子投标文件进行解密。</w:t>
      </w:r>
    </w:p>
    <w:p>
      <w:pPr>
        <w:pStyle w:val="39"/>
      </w:pPr>
      <w:r>
        <w:rPr>
          <w:rFonts w:hint="eastAsia"/>
          <w:b/>
        </w:rPr>
        <w:t>五、公告期限</w:t>
      </w:r>
    </w:p>
    <w:p>
      <w:pPr>
        <w:pStyle w:val="45"/>
        <w:ind w:firstLine="480"/>
      </w:pPr>
      <w:r>
        <w:rPr>
          <w:rFonts w:hint="eastAsia"/>
        </w:rPr>
        <w:t>自本公告发布之日起5个工作日。</w:t>
      </w:r>
    </w:p>
    <w:p>
      <w:pPr>
        <w:pStyle w:val="39"/>
        <w:rPr>
          <w:b/>
        </w:rPr>
      </w:pPr>
      <w:r>
        <w:rPr>
          <w:rFonts w:hint="eastAsia"/>
          <w:b/>
        </w:rPr>
        <w:t>六、其他补充事宜：</w:t>
      </w:r>
    </w:p>
    <w:p>
      <w:pPr>
        <w:pStyle w:val="45"/>
        <w:ind w:firstLine="480"/>
      </w:pPr>
      <w:r>
        <w:t>1</w:t>
      </w:r>
      <w:r>
        <w:rPr>
          <w:rFonts w:hint="eastAsia"/>
        </w:rPr>
        <w:t>.投标文件的递交：所有投标文件应于开标当日、提交投标文件截止时间之前递交至开标地点。迟到的投标文件以及不符合招标文件密封要求的投标文件将被拒绝接收。</w:t>
      </w:r>
      <w:r>
        <w:t xml:space="preserve"> </w:t>
      </w:r>
    </w:p>
    <w:p>
      <w:pPr>
        <w:pStyle w:val="45"/>
        <w:ind w:firstLine="480"/>
        <w:rPr>
          <w:color w:val="auto"/>
        </w:rPr>
      </w:pPr>
      <w:r>
        <w:t>2.</w:t>
      </w:r>
      <w:r>
        <w:rPr>
          <w:rFonts w:hint="eastAsia"/>
        </w:rPr>
        <w:t>本项目公</w:t>
      </w:r>
      <w:r>
        <w:rPr>
          <w:rFonts w:hint="eastAsia"/>
          <w:color w:val="auto"/>
        </w:rPr>
        <w:t>开开标，届时邀请投标人的代表出席开标仪式。</w:t>
      </w:r>
    </w:p>
    <w:p>
      <w:pPr>
        <w:pStyle w:val="45"/>
        <w:ind w:firstLine="480"/>
        <w:rPr>
          <w:color w:val="auto"/>
        </w:rPr>
      </w:pPr>
      <w:r>
        <w:rPr>
          <w:color w:val="auto"/>
        </w:rPr>
        <w:t>3</w:t>
      </w:r>
      <w:r>
        <w:rPr>
          <w:rFonts w:hint="eastAsia"/>
          <w:color w:val="auto"/>
        </w:rPr>
        <w:t>.评标方法和标准：综合评分法。</w:t>
      </w:r>
    </w:p>
    <w:p>
      <w:pPr>
        <w:pStyle w:val="45"/>
        <w:ind w:firstLine="480"/>
      </w:pPr>
      <w:r>
        <w:t>4</w:t>
      </w:r>
      <w:r>
        <w:rPr>
          <w:rFonts w:hint="eastAsia"/>
        </w:rPr>
        <w:t>.本项目招标公告内容以省级以上财政部门指定媒体发布的公告为准。</w:t>
      </w:r>
    </w:p>
    <w:p>
      <w:pPr>
        <w:pStyle w:val="45"/>
        <w:ind w:firstLine="480"/>
      </w:pPr>
      <w:r>
        <w:t>5</w:t>
      </w:r>
      <w:r>
        <w:rPr>
          <w:rFonts w:hint="eastAsia"/>
        </w:rPr>
        <w:t>.本项目需落实的</w:t>
      </w:r>
      <w:r>
        <w:rPr>
          <w:rFonts w:ascii="Arial" w:hAnsi="Arial" w:cs="Arial"/>
          <w:color w:val="000000"/>
        </w:rPr>
        <w:t>政府采购政策：</w:t>
      </w:r>
    </w:p>
    <w:p>
      <w:pPr>
        <w:pStyle w:val="45"/>
        <w:ind w:firstLine="480"/>
      </w:pPr>
      <w:r>
        <w:rPr>
          <w:rFonts w:hint="eastAsia"/>
        </w:rPr>
        <w:t>（1）</w:t>
      </w:r>
      <w:r>
        <w:rPr>
          <w:rFonts w:hint="eastAsia"/>
        </w:rPr>
        <w:tab/>
      </w:r>
      <w:r>
        <w:t>执行节能产品政府优先采购和强制采购制度；</w:t>
      </w:r>
    </w:p>
    <w:p>
      <w:pPr>
        <w:pStyle w:val="45"/>
        <w:ind w:firstLine="480"/>
      </w:pPr>
      <w:r>
        <w:rPr>
          <w:rFonts w:hint="eastAsia"/>
        </w:rPr>
        <w:t>（</w:t>
      </w:r>
      <w:r>
        <w:t>2</w:t>
      </w:r>
      <w:r>
        <w:rPr>
          <w:rFonts w:hint="eastAsia"/>
        </w:rPr>
        <w:t>）</w:t>
      </w:r>
      <w:r>
        <w:rPr>
          <w:rFonts w:hint="eastAsia"/>
        </w:rPr>
        <w:tab/>
      </w:r>
      <w:r>
        <w:t>执行环境标志产品政府优先采购制度；</w:t>
      </w:r>
    </w:p>
    <w:p>
      <w:pPr>
        <w:pStyle w:val="45"/>
        <w:ind w:firstLine="480"/>
      </w:pPr>
      <w:r>
        <w:rPr>
          <w:rFonts w:hint="eastAsia"/>
        </w:rPr>
        <w:t>（3）</w:t>
      </w:r>
      <w:r>
        <w:rPr>
          <w:rFonts w:hint="eastAsia"/>
        </w:rPr>
        <w:tab/>
      </w:r>
      <w:r>
        <w:rPr>
          <w:rFonts w:hint="eastAsia"/>
        </w:rPr>
        <w:t>执行</w:t>
      </w:r>
      <w:bookmarkStart w:id="10" w:name="_Hlk60570375"/>
      <w:r>
        <w:rPr>
          <w:rFonts w:hint="eastAsia"/>
        </w:rPr>
        <w:t>《政府采购促进中小企业发展管理办法》</w:t>
      </w:r>
      <w:bookmarkEnd w:id="10"/>
      <w:r>
        <w:rPr>
          <w:rFonts w:hint="eastAsia"/>
        </w:rPr>
        <w:t>；</w:t>
      </w:r>
    </w:p>
    <w:p>
      <w:pPr>
        <w:pStyle w:val="45"/>
        <w:ind w:firstLine="480"/>
      </w:pPr>
      <w:r>
        <w:rPr>
          <w:rFonts w:hint="eastAsia"/>
        </w:rPr>
        <w:t>（4）</w:t>
      </w:r>
      <w:r>
        <w:rPr>
          <w:rFonts w:hint="eastAsia"/>
        </w:rPr>
        <w:tab/>
      </w:r>
      <w:r>
        <w:rPr>
          <w:rFonts w:hint="eastAsia"/>
        </w:rPr>
        <w:t>执行《关于政府采购支持监狱企业发展有关问题的通知》；</w:t>
      </w:r>
    </w:p>
    <w:p>
      <w:pPr>
        <w:pStyle w:val="45"/>
        <w:ind w:firstLine="480"/>
      </w:pPr>
      <w:r>
        <w:rPr>
          <w:rFonts w:hint="eastAsia"/>
        </w:rPr>
        <w:t>（5）</w:t>
      </w:r>
      <w:r>
        <w:rPr>
          <w:rFonts w:hint="eastAsia"/>
        </w:rPr>
        <w:tab/>
      </w:r>
      <w:r>
        <w:rPr>
          <w:rFonts w:hint="eastAsia"/>
        </w:rPr>
        <w:t>执行《关于促进残疾人就业政府采购政策的通知》。</w:t>
      </w:r>
    </w:p>
    <w:p>
      <w:pPr>
        <w:pStyle w:val="39"/>
        <w:rPr>
          <w:b/>
        </w:rPr>
      </w:pPr>
      <w:r>
        <w:rPr>
          <w:rFonts w:hint="eastAsia"/>
          <w:b/>
        </w:rPr>
        <w:t>七、对本次招标提出询问，请按以下方式联系。</w:t>
      </w:r>
    </w:p>
    <w:p>
      <w:pPr>
        <w:pStyle w:val="45"/>
        <w:ind w:firstLine="480"/>
        <w:rPr>
          <w:color w:val="auto"/>
        </w:rPr>
      </w:pPr>
      <w:bookmarkStart w:id="11" w:name="_Toc469326247"/>
      <w:r>
        <w:tab/>
      </w:r>
      <w:r>
        <w:tab/>
      </w:r>
      <w:r>
        <w:rPr>
          <w:rFonts w:hint="eastAsia"/>
        </w:rPr>
        <w:t>1.</w:t>
      </w:r>
      <w:r>
        <w:rPr>
          <w:rFonts w:hint="eastAsia"/>
          <w:color w:val="auto"/>
        </w:rPr>
        <w:t>采购人信息</w:t>
      </w:r>
    </w:p>
    <w:p>
      <w:pPr>
        <w:pStyle w:val="45"/>
        <w:ind w:firstLine="480"/>
        <w:rPr>
          <w:rFonts w:hint="eastAsia" w:eastAsiaTheme="minorEastAsia"/>
          <w:color w:val="auto"/>
          <w:lang w:eastAsia="zh-CN"/>
        </w:rPr>
      </w:pPr>
      <w:r>
        <w:rPr>
          <w:color w:val="auto"/>
        </w:rPr>
        <w:tab/>
      </w:r>
      <w:r>
        <w:rPr>
          <w:color w:val="auto"/>
        </w:rPr>
        <w:tab/>
      </w:r>
      <w:r>
        <w:rPr>
          <w:rFonts w:hint="eastAsia"/>
          <w:color w:val="auto"/>
        </w:rPr>
        <w:t>名称：</w:t>
      </w:r>
      <w:r>
        <w:rPr>
          <w:rFonts w:hint="eastAsia"/>
          <w:color w:val="auto"/>
          <w:lang w:eastAsia="zh-CN"/>
        </w:rPr>
        <w:t>北京园博园管理中心</w:t>
      </w:r>
    </w:p>
    <w:p>
      <w:pPr>
        <w:pStyle w:val="45"/>
        <w:ind w:firstLine="480"/>
      </w:pPr>
      <w:r>
        <w:rPr>
          <w:rFonts w:hint="eastAsia"/>
        </w:rPr>
        <w:tab/>
      </w:r>
      <w:r>
        <w:rPr>
          <w:rFonts w:hint="eastAsia"/>
        </w:rPr>
        <w:tab/>
      </w:r>
      <w:r>
        <w:rPr>
          <w:rFonts w:hint="eastAsia"/>
        </w:rPr>
        <w:t>地址：</w:t>
      </w:r>
      <w:bookmarkStart w:id="227" w:name="_GoBack"/>
      <w:r>
        <w:rPr>
          <w:rFonts w:hint="eastAsia"/>
        </w:rPr>
        <w:t>北京市丰台区北宫镇射击场路 15 号</w:t>
      </w:r>
      <w:bookmarkEnd w:id="227"/>
    </w:p>
    <w:p>
      <w:pPr>
        <w:pStyle w:val="45"/>
        <w:ind w:firstLine="480"/>
        <w:rPr>
          <w:color w:val="FF0000"/>
        </w:rPr>
      </w:pPr>
      <w:r>
        <w:tab/>
      </w:r>
      <w:r>
        <w:tab/>
      </w:r>
      <w:r>
        <w:rPr>
          <w:rFonts w:hint="eastAsia"/>
        </w:rPr>
        <w:t>联系方式：</w:t>
      </w:r>
      <w:r>
        <w:rPr>
          <w:rFonts w:hint="eastAsia"/>
          <w:lang w:val="en-US" w:eastAsia="zh-CN"/>
        </w:rPr>
        <w:t>010-</w:t>
      </w:r>
      <w:r>
        <w:rPr>
          <w:rFonts w:hint="eastAsia"/>
        </w:rPr>
        <w:t>63915460</w:t>
      </w:r>
    </w:p>
    <w:p>
      <w:pPr>
        <w:pStyle w:val="45"/>
        <w:ind w:firstLine="480"/>
        <w:rPr>
          <w:color w:val="FF0000"/>
        </w:rPr>
      </w:pPr>
    </w:p>
    <w:p>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ascii="宋体" w:hAnsi="宋体" w:eastAsia="宋体" w:cs="宋体"/>
          <w:color w:val="auto"/>
          <w:kern w:val="2"/>
          <w:sz w:val="24"/>
          <w:szCs w:val="24"/>
          <w:lang w:val="en-US" w:eastAsia="zh-CN" w:bidi="ar-SA"/>
        </w:rPr>
        <w:tab/>
      </w:r>
      <w:r>
        <w:rPr>
          <w:rFonts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2.采购代理机构信息</w:t>
      </w:r>
    </w:p>
    <w:p>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ascii="宋体" w:hAnsi="宋体" w:eastAsia="宋体" w:cs="宋体"/>
          <w:color w:val="auto"/>
          <w:kern w:val="2"/>
          <w:sz w:val="24"/>
          <w:szCs w:val="24"/>
          <w:lang w:val="en-US" w:eastAsia="zh-CN" w:bidi="ar-SA"/>
        </w:rPr>
        <w:tab/>
      </w:r>
      <w:r>
        <w:rPr>
          <w:rFonts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名称：中化商务有限公司</w:t>
      </w:r>
    </w:p>
    <w:p>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地址：北京市丰台区丽泽路24号院平安幸福中心B座23层</w:t>
      </w:r>
    </w:p>
    <w:p>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ascii="宋体" w:hAnsi="宋体" w:eastAsia="宋体" w:cs="宋体"/>
          <w:color w:val="auto"/>
          <w:kern w:val="2"/>
          <w:sz w:val="24"/>
          <w:szCs w:val="24"/>
          <w:lang w:val="en-US" w:eastAsia="zh-CN" w:bidi="ar-SA"/>
        </w:rPr>
        <w:tab/>
      </w:r>
      <w:r>
        <w:rPr>
          <w:rFonts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联系方式：韩伟轩、曹宇臣、010-83923568</w:t>
      </w:r>
    </w:p>
    <w:p>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ascii="宋体" w:hAnsi="宋体" w:eastAsia="宋体" w:cs="宋体"/>
          <w:color w:val="auto"/>
          <w:kern w:val="2"/>
          <w:sz w:val="24"/>
          <w:szCs w:val="24"/>
          <w:lang w:val="en-US" w:eastAsia="zh-CN" w:bidi="ar-SA"/>
        </w:rPr>
        <w:tab/>
      </w:r>
      <w:r>
        <w:rPr>
          <w:rFonts w:ascii="宋体" w:hAnsi="宋体" w:eastAsia="宋体" w:cs="宋体"/>
          <w:color w:val="auto"/>
          <w:kern w:val="2"/>
          <w:sz w:val="24"/>
          <w:szCs w:val="24"/>
          <w:lang w:val="en-US" w:eastAsia="zh-CN" w:bidi="ar-SA"/>
        </w:rPr>
        <w:tab/>
      </w:r>
    </w:p>
    <w:p>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ascii="宋体" w:hAnsi="宋体" w:eastAsia="宋体" w:cs="宋体"/>
          <w:color w:val="auto"/>
          <w:kern w:val="2"/>
          <w:sz w:val="24"/>
          <w:szCs w:val="24"/>
          <w:lang w:val="en-US" w:eastAsia="zh-CN" w:bidi="ar-SA"/>
        </w:rPr>
        <w:tab/>
      </w:r>
      <w:r>
        <w:rPr>
          <w:rFonts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3.项目联系方式</w:t>
      </w:r>
    </w:p>
    <w:p>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ascii="宋体" w:hAnsi="宋体" w:eastAsia="宋体" w:cs="宋体"/>
          <w:color w:val="auto"/>
          <w:kern w:val="2"/>
          <w:sz w:val="24"/>
          <w:szCs w:val="24"/>
          <w:lang w:val="en-US" w:eastAsia="zh-CN" w:bidi="ar-SA"/>
        </w:rPr>
        <w:tab/>
      </w:r>
      <w:r>
        <w:rPr>
          <w:rFonts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项目联系人：韩伟轩、曹宇臣</w:t>
      </w:r>
    </w:p>
    <w:p>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电话：010-83923568</w:t>
      </w:r>
    </w:p>
    <w:p>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电子邮箱：hanweixuan@sinochem</w:t>
      </w:r>
      <w:r>
        <w:rPr>
          <w:rFonts w:ascii="宋体" w:hAnsi="宋体" w:eastAsia="宋体" w:cs="宋体"/>
          <w:color w:val="auto"/>
          <w:kern w:val="2"/>
          <w:sz w:val="24"/>
          <w:szCs w:val="24"/>
          <w:lang w:val="en-US" w:eastAsia="zh-CN" w:bidi="ar-SA"/>
        </w:rPr>
        <w:t>.com</w:t>
      </w:r>
    </w:p>
    <w:p>
      <w:pPr>
        <w:pStyle w:val="45"/>
        <w:ind w:firstLine="480"/>
      </w:pPr>
      <w:r>
        <w:br w:type="page"/>
      </w:r>
    </w:p>
    <w:p>
      <w:pPr>
        <w:pStyle w:val="3"/>
      </w:pPr>
      <w:bookmarkStart w:id="12" w:name="_Toc28344"/>
      <w:r>
        <w:rPr>
          <w:rFonts w:hint="eastAsia"/>
        </w:rPr>
        <w:t>第二章  投标人须知前附表和投标人须知</w:t>
      </w:r>
      <w:bookmarkEnd w:id="11"/>
      <w:bookmarkEnd w:id="12"/>
    </w:p>
    <w:p>
      <w:pPr>
        <w:pStyle w:val="4"/>
      </w:pPr>
      <w:bookmarkStart w:id="13" w:name="_投标人须知前附表"/>
      <w:bookmarkEnd w:id="13"/>
      <w:bookmarkStart w:id="14" w:name="_Ref469989811"/>
      <w:bookmarkStart w:id="15" w:name="_Ref469991153"/>
      <w:bookmarkStart w:id="16" w:name="_Ref469990580"/>
      <w:bookmarkStart w:id="17" w:name="_Ref469987757"/>
      <w:bookmarkStart w:id="18" w:name="_Ref469990765"/>
      <w:bookmarkStart w:id="19" w:name="_Ref469988566"/>
      <w:bookmarkStart w:id="20" w:name="_Toc469326248"/>
      <w:bookmarkStart w:id="21" w:name="_Ref469990374"/>
      <w:bookmarkStart w:id="22" w:name="_Ref469992549"/>
      <w:bookmarkStart w:id="23" w:name="_Ref469991531"/>
      <w:bookmarkStart w:id="24" w:name="_Ref469987582"/>
      <w:bookmarkStart w:id="25" w:name="_Ref469987772"/>
      <w:bookmarkStart w:id="26" w:name="_Ref469990905"/>
      <w:bookmarkStart w:id="27" w:name="_Ref469987823"/>
      <w:bookmarkStart w:id="28" w:name="_Ref469988920"/>
      <w:bookmarkStart w:id="29" w:name="_Ref469987753"/>
      <w:bookmarkStart w:id="30" w:name="_Ref469991300"/>
      <w:bookmarkStart w:id="31" w:name="_Ref469990366"/>
      <w:bookmarkStart w:id="32" w:name="_Toc24080"/>
      <w:bookmarkStart w:id="33" w:name="_Ref469988554"/>
      <w:r>
        <w:rPr>
          <w:rFonts w:hint="eastAsia"/>
        </w:rPr>
        <w:t>投标人须知前附表</w:t>
      </w:r>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p>
      <w:pPr>
        <w:ind w:firstLine="480"/>
      </w:pPr>
      <w:r>
        <w:rPr>
          <w:rStyle w:val="69"/>
          <w:rFonts w:hint="eastAsia"/>
        </w:rPr>
        <w:t>投标人须知前附表</w:t>
      </w:r>
      <w:r>
        <w:rPr>
          <w:rFonts w:hint="eastAsia"/>
        </w:rPr>
        <w:t>是对投标人须知的具体说明、补充和修改，表格中的“对应条款号”是对应投标人须知中的条款编号，如与投标人须知有矛盾，应以本表为准。</w:t>
      </w:r>
    </w:p>
    <w:tbl>
      <w:tblPr>
        <w:tblStyle w:val="19"/>
        <w:tblW w:w="9483"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403"/>
        <w:gridCol w:w="850"/>
        <w:gridCol w:w="723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9" w:hRule="atLeast"/>
        </w:trPr>
        <w:tc>
          <w:tcPr>
            <w:tcW w:w="1403" w:type="dxa"/>
            <w:vAlign w:val="center"/>
          </w:tcPr>
          <w:p>
            <w:pPr>
              <w:spacing w:line="240" w:lineRule="auto"/>
              <w:rPr>
                <w:rFonts w:hAnsi="Calibri"/>
                <w:b/>
              </w:rPr>
            </w:pPr>
            <w:r>
              <w:rPr>
                <w:rFonts w:hint="eastAsia" w:hAnsi="Calibri"/>
                <w:b/>
              </w:rPr>
              <w:t>序号及内容</w:t>
            </w:r>
          </w:p>
        </w:tc>
        <w:tc>
          <w:tcPr>
            <w:tcW w:w="850" w:type="dxa"/>
            <w:tcBorders>
              <w:right w:val="single" w:color="auto" w:sz="4" w:space="0"/>
            </w:tcBorders>
            <w:vAlign w:val="center"/>
          </w:tcPr>
          <w:p>
            <w:pPr>
              <w:spacing w:line="240" w:lineRule="auto"/>
              <w:jc w:val="center"/>
              <w:rPr>
                <w:rFonts w:hAnsi="Calibri"/>
                <w:b/>
              </w:rPr>
            </w:pPr>
            <w:r>
              <w:rPr>
                <w:rFonts w:hint="eastAsia" w:hAnsi="Calibri"/>
                <w:b/>
              </w:rPr>
              <w:t>对应</w:t>
            </w:r>
            <w:r>
              <w:rPr>
                <w:rFonts w:hAnsi="Calibri"/>
                <w:b/>
              </w:rPr>
              <w:br w:type="textWrapping"/>
            </w:r>
            <w:r>
              <w:rPr>
                <w:rFonts w:hint="eastAsia" w:hAnsi="Calibri"/>
                <w:b/>
              </w:rPr>
              <w:t>条款号</w:t>
            </w:r>
          </w:p>
        </w:tc>
        <w:tc>
          <w:tcPr>
            <w:tcW w:w="7230" w:type="dxa"/>
            <w:tcBorders>
              <w:left w:val="single" w:color="auto" w:sz="4" w:space="0"/>
            </w:tcBorders>
            <w:vAlign w:val="center"/>
          </w:tcPr>
          <w:p>
            <w:pPr>
              <w:spacing w:line="240" w:lineRule="auto"/>
              <w:jc w:val="center"/>
              <w:rPr>
                <w:rFonts w:hAnsi="Calibri"/>
                <w:b/>
              </w:rPr>
            </w:pPr>
            <w:r>
              <w:rPr>
                <w:rFonts w:hint="eastAsia" w:hAnsi="Calibri"/>
                <w:b/>
              </w:rPr>
              <w:t>说明与要求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319" w:hRule="atLeast"/>
        </w:trPr>
        <w:tc>
          <w:tcPr>
            <w:tcW w:w="1403" w:type="dxa"/>
            <w:vAlign w:val="center"/>
          </w:tcPr>
          <w:p>
            <w:pPr>
              <w:pStyle w:val="50"/>
            </w:pPr>
          </w:p>
        </w:tc>
        <w:tc>
          <w:tcPr>
            <w:tcW w:w="850" w:type="dxa"/>
            <w:tcBorders>
              <w:right w:val="single" w:color="auto" w:sz="4" w:space="0"/>
            </w:tcBorders>
            <w:vAlign w:val="center"/>
          </w:tcPr>
          <w:p>
            <w:pPr>
              <w:pStyle w:val="50"/>
            </w:pPr>
          </w:p>
        </w:tc>
        <w:tc>
          <w:tcPr>
            <w:tcW w:w="7230" w:type="dxa"/>
            <w:tcBorders>
              <w:left w:val="single" w:color="auto" w:sz="4" w:space="0"/>
            </w:tcBorders>
            <w:vAlign w:val="center"/>
          </w:tcPr>
          <w:p>
            <w:pPr>
              <w:spacing w:line="240" w:lineRule="auto"/>
              <w:jc w:val="center"/>
              <w:rPr>
                <w:rFonts w:cs="Times New Roman" w:hAnsiTheme="minorEastAsia"/>
                <w:b/>
              </w:rPr>
            </w:pPr>
            <w:r>
              <w:rPr>
                <w:rFonts w:hint="eastAsia" w:cs="Times New Roman" w:hAnsiTheme="minorEastAsia"/>
                <w:b/>
              </w:rPr>
              <w:t>一、说明</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9" w:hRule="atLeast"/>
        </w:trPr>
        <w:tc>
          <w:tcPr>
            <w:tcW w:w="1403" w:type="dxa"/>
            <w:vAlign w:val="center"/>
          </w:tcPr>
          <w:p>
            <w:pPr>
              <w:pStyle w:val="50"/>
              <w:numPr>
                <w:ilvl w:val="0"/>
                <w:numId w:val="8"/>
              </w:numPr>
              <w:tabs>
                <w:tab w:val="left" w:pos="381"/>
              </w:tabs>
              <w:ind w:left="0" w:firstLine="0"/>
            </w:pPr>
            <w:bookmarkStart w:id="34" w:name="_Ref51081821"/>
            <w:r>
              <w:rPr>
                <w:rFonts w:hint="eastAsia"/>
              </w:rPr>
              <w:t>项目概述</w:t>
            </w:r>
          </w:p>
          <w:bookmarkEnd w:id="34"/>
        </w:tc>
        <w:tc>
          <w:tcPr>
            <w:tcW w:w="850" w:type="dxa"/>
            <w:tcBorders>
              <w:right w:val="single" w:color="auto" w:sz="4" w:space="0"/>
            </w:tcBorders>
            <w:vAlign w:val="center"/>
          </w:tcPr>
          <w:p>
            <w:pPr>
              <w:pStyle w:val="50"/>
            </w:pPr>
            <w:r>
              <w:fldChar w:fldCharType="begin"/>
            </w:r>
            <w:r>
              <w:instrText xml:space="preserve"> REF _Ref470250256 \n \h  \* MERGEFORMAT </w:instrText>
            </w:r>
            <w:r>
              <w:fldChar w:fldCharType="separate"/>
            </w:r>
            <w:r>
              <w:t>1.1</w:t>
            </w:r>
            <w:r>
              <w:fldChar w:fldCharType="end"/>
            </w:r>
          </w:p>
        </w:tc>
        <w:tc>
          <w:tcPr>
            <w:tcW w:w="7230" w:type="dxa"/>
            <w:tcBorders>
              <w:left w:val="single" w:color="auto" w:sz="4" w:space="0"/>
            </w:tcBorders>
            <w:vAlign w:val="center"/>
          </w:tcPr>
          <w:p>
            <w:r>
              <w:rPr>
                <w:rFonts w:hint="eastAsia" w:ascii="仿宋_GB2312" w:eastAsia="仿宋_GB2312" w:cs="Times New Roman" w:hAnsiTheme="minorEastAsia"/>
              </w:rPr>
              <w:t>详见第一章投标邀请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9" w:hRule="atLeast"/>
        </w:trPr>
        <w:tc>
          <w:tcPr>
            <w:tcW w:w="1403" w:type="dxa"/>
            <w:vAlign w:val="center"/>
          </w:tcPr>
          <w:p>
            <w:pPr>
              <w:pStyle w:val="50"/>
              <w:numPr>
                <w:ilvl w:val="0"/>
                <w:numId w:val="8"/>
              </w:numPr>
              <w:tabs>
                <w:tab w:val="left" w:pos="381"/>
              </w:tabs>
              <w:ind w:left="0" w:firstLine="0"/>
            </w:pPr>
            <w:bookmarkStart w:id="35" w:name="_Ref51692847"/>
            <w:r>
              <w:rPr>
                <w:rFonts w:hint="eastAsia" w:ascii="宋体" w:hAnsi="宋体"/>
              </w:rPr>
              <w:t>采购项目的属性</w:t>
            </w:r>
            <w:bookmarkEnd w:id="35"/>
          </w:p>
        </w:tc>
        <w:tc>
          <w:tcPr>
            <w:tcW w:w="850" w:type="dxa"/>
            <w:tcBorders>
              <w:right w:val="single" w:color="auto" w:sz="4" w:space="0"/>
            </w:tcBorders>
            <w:vAlign w:val="center"/>
          </w:tcPr>
          <w:p>
            <w:pPr>
              <w:pStyle w:val="50"/>
            </w:pPr>
            <w:r>
              <w:fldChar w:fldCharType="begin"/>
            </w:r>
            <w:r>
              <w:instrText xml:space="preserve"> REF _Ref51692885 \r \h </w:instrText>
            </w:r>
            <w:r>
              <w:fldChar w:fldCharType="separate"/>
            </w:r>
            <w:r>
              <w:t>1.2</w:t>
            </w:r>
            <w:r>
              <w:fldChar w:fldCharType="end"/>
            </w:r>
          </w:p>
        </w:tc>
        <w:tc>
          <w:tcPr>
            <w:tcW w:w="7230" w:type="dxa"/>
            <w:tcBorders>
              <w:left w:val="single" w:color="auto" w:sz="4" w:space="0"/>
            </w:tcBorders>
            <w:vAlign w:val="center"/>
          </w:tcPr>
          <w:p>
            <w:pPr>
              <w:rPr>
                <w:rFonts w:ascii="仿宋_GB2312" w:eastAsia="仿宋_GB2312" w:cs="Times New Roman" w:hAnsiTheme="minorEastAsia"/>
                <w:color w:val="auto"/>
              </w:rPr>
            </w:pPr>
            <w:r>
              <w:rPr>
                <w:rFonts w:hint="eastAsia" w:ascii="仿宋_GB2312" w:eastAsia="仿宋_GB2312" w:cs="Times New Roman" w:hAnsiTheme="minorEastAsia"/>
                <w:color w:val="auto"/>
              </w:rPr>
              <w:t>服务</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9" w:hRule="atLeast"/>
        </w:trPr>
        <w:tc>
          <w:tcPr>
            <w:tcW w:w="1403" w:type="dxa"/>
            <w:vAlign w:val="center"/>
          </w:tcPr>
          <w:p>
            <w:pPr>
              <w:pStyle w:val="50"/>
              <w:numPr>
                <w:ilvl w:val="0"/>
                <w:numId w:val="8"/>
              </w:numPr>
              <w:tabs>
                <w:tab w:val="left" w:pos="381"/>
              </w:tabs>
              <w:ind w:left="0" w:firstLine="0"/>
              <w:rPr>
                <w:rFonts w:ascii="宋体" w:hAnsi="宋体"/>
              </w:rPr>
            </w:pPr>
            <w:bookmarkStart w:id="36" w:name="_Ref60330875"/>
            <w:r>
              <w:rPr>
                <w:rFonts w:hint="eastAsia" w:ascii="宋体" w:hAnsi="宋体"/>
              </w:rPr>
              <w:t>采购标的对应的中小企业划分标准所属行业</w:t>
            </w:r>
            <w:bookmarkEnd w:id="36"/>
          </w:p>
        </w:tc>
        <w:tc>
          <w:tcPr>
            <w:tcW w:w="850" w:type="dxa"/>
            <w:tcBorders>
              <w:right w:val="single" w:color="auto" w:sz="4" w:space="0"/>
            </w:tcBorders>
            <w:vAlign w:val="center"/>
          </w:tcPr>
          <w:p>
            <w:pPr>
              <w:pStyle w:val="50"/>
            </w:pPr>
            <w:r>
              <w:fldChar w:fldCharType="begin"/>
            </w:r>
            <w:r>
              <w:instrText xml:space="preserve"> REF _Ref60300999 \r \h  \* MERGEFORMAT </w:instrText>
            </w:r>
            <w:r>
              <w:fldChar w:fldCharType="separate"/>
            </w:r>
            <w:r>
              <w:t>1.3</w:t>
            </w:r>
            <w:r>
              <w:fldChar w:fldCharType="end"/>
            </w:r>
          </w:p>
        </w:tc>
        <w:tc>
          <w:tcPr>
            <w:tcW w:w="7230" w:type="dxa"/>
            <w:tcBorders>
              <w:left w:val="single" w:color="auto" w:sz="4" w:space="0"/>
            </w:tcBorders>
            <w:vAlign w:val="center"/>
          </w:tcPr>
          <w:p>
            <w:pPr>
              <w:spacing w:line="240" w:lineRule="auto"/>
              <w:rPr>
                <w:rFonts w:ascii="仿宋_GB2312" w:eastAsia="仿宋_GB2312" w:cs="Times New Roman" w:hAnsiTheme="minorEastAsia"/>
                <w:color w:val="auto"/>
              </w:rPr>
            </w:pPr>
            <w:r>
              <w:rPr>
                <w:rFonts w:hint="eastAsia" w:ascii="仿宋_GB2312" w:eastAsia="仿宋_GB2312" w:cs="Times New Roman" w:hAnsiTheme="minorEastAsia"/>
                <w:color w:val="auto"/>
              </w:rPr>
              <w:t>【</w:t>
            </w:r>
            <w:r>
              <w:rPr>
                <w:rFonts w:hint="eastAsia" w:ascii="仿宋_GB2312" w:eastAsia="仿宋_GB2312" w:cs="Times New Roman" w:hAnsiTheme="minorEastAsia"/>
                <w:color w:val="auto"/>
                <w:lang w:eastAsia="zh-CN"/>
              </w:rPr>
              <w:t>2024年园博园再生水利用项目</w:t>
            </w:r>
            <w:r>
              <w:rPr>
                <w:rFonts w:hint="eastAsia" w:ascii="仿宋_GB2312" w:eastAsia="仿宋_GB2312" w:cs="Times New Roman" w:hAnsiTheme="minorEastAsia"/>
                <w:color w:val="auto"/>
              </w:rPr>
              <w:t>】（服务标的）所属行业为：其他未列明行业</w:t>
            </w:r>
            <w:r>
              <w:rPr>
                <w:rFonts w:ascii="仿宋_GB2312" w:eastAsia="仿宋_GB2312" w:cs="Times New Roman" w:hAnsiTheme="minorEastAsia"/>
                <w:color w:val="auto"/>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 w:hRule="atLeast"/>
        </w:trPr>
        <w:tc>
          <w:tcPr>
            <w:tcW w:w="1403" w:type="dxa"/>
            <w:vAlign w:val="center"/>
          </w:tcPr>
          <w:p>
            <w:pPr>
              <w:pStyle w:val="50"/>
              <w:numPr>
                <w:ilvl w:val="0"/>
                <w:numId w:val="8"/>
              </w:numPr>
              <w:tabs>
                <w:tab w:val="left" w:pos="381"/>
              </w:tabs>
              <w:ind w:left="0" w:firstLine="0"/>
            </w:pPr>
            <w:bookmarkStart w:id="37" w:name="_Ref51073398"/>
            <w:r>
              <w:rPr>
                <w:rFonts w:hint="eastAsia"/>
              </w:rPr>
              <w:t>投标人资格要求</w:t>
            </w:r>
            <w:bookmarkEnd w:id="37"/>
          </w:p>
        </w:tc>
        <w:tc>
          <w:tcPr>
            <w:tcW w:w="850" w:type="dxa"/>
            <w:vAlign w:val="center"/>
          </w:tcPr>
          <w:p>
            <w:pPr>
              <w:pStyle w:val="50"/>
            </w:pPr>
            <w:r>
              <w:fldChar w:fldCharType="begin"/>
            </w:r>
            <w:r>
              <w:instrText xml:space="preserve"> </w:instrText>
            </w:r>
            <w:r>
              <w:rPr>
                <w:rFonts w:hint="eastAsia"/>
              </w:rPr>
              <w:instrText xml:space="preserve">REF _Ref492910050 \r \h</w:instrText>
            </w:r>
            <w:r>
              <w:instrText xml:space="preserve">  \* MERGEFORMAT </w:instrText>
            </w:r>
            <w:r>
              <w:fldChar w:fldCharType="separate"/>
            </w:r>
            <w:r>
              <w:t>2.2</w:t>
            </w:r>
            <w:r>
              <w:fldChar w:fldCharType="end"/>
            </w:r>
          </w:p>
        </w:tc>
        <w:tc>
          <w:tcPr>
            <w:tcW w:w="7230" w:type="dxa"/>
            <w:vAlign w:val="center"/>
          </w:tcPr>
          <w:p>
            <w:pPr>
              <w:pStyle w:val="50"/>
              <w:ind w:left="480" w:hanging="480" w:hangingChars="200"/>
              <w:rPr>
                <w:color w:val="auto"/>
              </w:rPr>
            </w:pPr>
            <w:r>
              <w:rPr>
                <w:rFonts w:hint="eastAsia"/>
                <w:color w:val="auto"/>
              </w:rPr>
              <w:t>1、</w:t>
            </w:r>
            <w:r>
              <w:rPr>
                <w:rFonts w:hint="eastAsia"/>
                <w:color w:val="auto"/>
              </w:rPr>
              <w:tab/>
            </w:r>
            <w:r>
              <w:rPr>
                <w:rFonts w:hint="eastAsia"/>
                <w:color w:val="auto"/>
              </w:rPr>
              <w:t>满足《中华人民共和国政府采购法》第二十二条的规定，包括：</w:t>
            </w:r>
          </w:p>
          <w:p>
            <w:pPr>
              <w:pStyle w:val="50"/>
              <w:ind w:left="720" w:hanging="720" w:hangingChars="300"/>
              <w:rPr>
                <w:color w:val="auto"/>
              </w:rPr>
            </w:pPr>
            <w:r>
              <w:rPr>
                <w:rFonts w:hint="eastAsia"/>
                <w:color w:val="auto"/>
              </w:rPr>
              <w:t>（1）具有独立承担民事责任的能力；</w:t>
            </w:r>
          </w:p>
          <w:p>
            <w:pPr>
              <w:pStyle w:val="50"/>
              <w:ind w:left="720" w:hanging="720" w:hangingChars="300"/>
              <w:rPr>
                <w:color w:val="auto"/>
              </w:rPr>
            </w:pPr>
            <w:r>
              <w:rPr>
                <w:rFonts w:hint="eastAsia"/>
                <w:color w:val="auto"/>
              </w:rPr>
              <w:t>（2）具有良好的商业信誉和健全的财务会计制度；</w:t>
            </w:r>
          </w:p>
          <w:p>
            <w:pPr>
              <w:pStyle w:val="50"/>
              <w:ind w:left="720" w:hanging="720" w:hangingChars="300"/>
              <w:rPr>
                <w:color w:val="auto"/>
              </w:rPr>
            </w:pPr>
            <w:r>
              <w:rPr>
                <w:rFonts w:hint="eastAsia"/>
                <w:color w:val="auto"/>
              </w:rPr>
              <w:t>（3）具有履行合同所必需的设备和专业技术能力；</w:t>
            </w:r>
          </w:p>
          <w:p>
            <w:pPr>
              <w:pStyle w:val="50"/>
              <w:ind w:left="720" w:hanging="720" w:hangingChars="300"/>
              <w:rPr>
                <w:color w:val="auto"/>
              </w:rPr>
            </w:pPr>
            <w:r>
              <w:rPr>
                <w:rFonts w:hint="eastAsia"/>
                <w:color w:val="auto"/>
              </w:rPr>
              <w:t>（4）有依法缴纳税收和社会保障资金的良好记录；</w:t>
            </w:r>
          </w:p>
          <w:p>
            <w:pPr>
              <w:pStyle w:val="50"/>
              <w:ind w:left="720" w:hanging="720" w:hangingChars="300"/>
              <w:rPr>
                <w:color w:val="auto"/>
              </w:rPr>
            </w:pPr>
            <w:r>
              <w:rPr>
                <w:rFonts w:hint="eastAsia"/>
                <w:color w:val="auto"/>
              </w:rPr>
              <w:t>（5）参加政府采购活动前三年内，在经营活动中没有重大违法记录；</w:t>
            </w:r>
          </w:p>
          <w:p>
            <w:pPr>
              <w:pStyle w:val="50"/>
              <w:ind w:left="720" w:hanging="720" w:hangingChars="300"/>
              <w:rPr>
                <w:color w:val="auto"/>
              </w:rPr>
            </w:pPr>
            <w:r>
              <w:rPr>
                <w:rFonts w:hint="eastAsia"/>
                <w:color w:val="auto"/>
              </w:rPr>
              <w:t>（6）法律、行政法规规定的其他条件。</w:t>
            </w:r>
          </w:p>
          <w:p>
            <w:pPr>
              <w:pStyle w:val="50"/>
              <w:ind w:left="480" w:hanging="480" w:hangingChars="200"/>
              <w:rPr>
                <w:color w:val="auto"/>
              </w:rPr>
            </w:pPr>
            <w:r>
              <w:rPr>
                <w:rFonts w:hint="eastAsia"/>
                <w:color w:val="auto"/>
              </w:rPr>
              <w:t>2、</w:t>
            </w:r>
            <w:r>
              <w:rPr>
                <w:rFonts w:hint="eastAsia"/>
                <w:color w:val="auto"/>
              </w:rPr>
              <w:tab/>
            </w:r>
            <w:r>
              <w:rPr>
                <w:rFonts w:hint="eastAsia"/>
                <w:color w:val="auto"/>
              </w:rPr>
              <w:t>落实政府采购政策需满足的资格要求：详见第一章投标邀请第二条“申请人的资格要求：”第2项。</w:t>
            </w:r>
          </w:p>
          <w:p>
            <w:pPr>
              <w:pStyle w:val="50"/>
              <w:ind w:left="480" w:hanging="480" w:hangingChars="200"/>
              <w:rPr>
                <w:color w:val="auto"/>
              </w:rPr>
            </w:pPr>
            <w:r>
              <w:rPr>
                <w:rFonts w:hint="eastAsia"/>
                <w:color w:val="auto"/>
              </w:rPr>
              <w:t>3、</w:t>
            </w:r>
            <w:r>
              <w:rPr>
                <w:rFonts w:hint="eastAsia"/>
                <w:color w:val="auto"/>
              </w:rPr>
              <w:tab/>
            </w:r>
            <w:r>
              <w:rPr>
                <w:rFonts w:hint="eastAsia"/>
                <w:color w:val="auto"/>
              </w:rPr>
              <w:t>本项目的特定资格要求：详见第一章投标邀请第二条“申请人的资格要求：”第</w:t>
            </w:r>
            <w:r>
              <w:rPr>
                <w:color w:val="auto"/>
              </w:rPr>
              <w:t>3</w:t>
            </w:r>
            <w:r>
              <w:rPr>
                <w:rFonts w:hint="eastAsia"/>
                <w:color w:val="auto"/>
              </w:rPr>
              <w:t>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 w:hRule="atLeast"/>
        </w:trPr>
        <w:tc>
          <w:tcPr>
            <w:tcW w:w="1403" w:type="dxa"/>
            <w:vAlign w:val="center"/>
          </w:tcPr>
          <w:p>
            <w:pPr>
              <w:pStyle w:val="50"/>
              <w:numPr>
                <w:ilvl w:val="0"/>
                <w:numId w:val="8"/>
              </w:numPr>
              <w:tabs>
                <w:tab w:val="left" w:pos="381"/>
              </w:tabs>
              <w:ind w:left="0" w:firstLine="0"/>
            </w:pPr>
            <w:bookmarkStart w:id="38" w:name="_Ref51083479"/>
            <w:r>
              <w:rPr>
                <w:rFonts w:hint="eastAsia"/>
              </w:rPr>
              <w:t>对联合体投标的具体要求</w:t>
            </w:r>
            <w:bookmarkEnd w:id="38"/>
          </w:p>
        </w:tc>
        <w:tc>
          <w:tcPr>
            <w:tcW w:w="850" w:type="dxa"/>
            <w:vAlign w:val="center"/>
          </w:tcPr>
          <w:p>
            <w:pPr>
              <w:pStyle w:val="50"/>
            </w:pPr>
            <w:r>
              <w:fldChar w:fldCharType="begin"/>
            </w:r>
            <w:r>
              <w:instrText xml:space="preserve"> REF _Ref51260873 \r \h </w:instrText>
            </w:r>
            <w:r>
              <w:fldChar w:fldCharType="separate"/>
            </w:r>
            <w:r>
              <w:t>2.3</w:t>
            </w:r>
            <w:r>
              <w:fldChar w:fldCharType="end"/>
            </w:r>
          </w:p>
        </w:tc>
        <w:tc>
          <w:tcPr>
            <w:tcW w:w="7230" w:type="dxa"/>
            <w:vAlign w:val="center"/>
          </w:tcPr>
          <w:p>
            <w:pPr>
              <w:pStyle w:val="50"/>
              <w:ind w:left="720" w:hanging="720" w:hangingChars="300"/>
              <w:rPr>
                <w:color w:val="auto"/>
              </w:rPr>
            </w:pPr>
            <w:r>
              <w:rPr>
                <w:rFonts w:hint="eastAsia"/>
                <w:color w:val="auto"/>
              </w:rPr>
              <w:t>本项目不接受联合体投标</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1403" w:type="dxa"/>
            <w:vAlign w:val="center"/>
          </w:tcPr>
          <w:p>
            <w:pPr>
              <w:pStyle w:val="50"/>
              <w:numPr>
                <w:ilvl w:val="0"/>
                <w:numId w:val="8"/>
              </w:numPr>
              <w:tabs>
                <w:tab w:val="left" w:pos="381"/>
              </w:tabs>
              <w:ind w:left="0" w:firstLine="0"/>
            </w:pPr>
            <w:bookmarkStart w:id="39" w:name="_Ref51684765"/>
            <w:r>
              <w:rPr>
                <w:rFonts w:hint="eastAsia"/>
              </w:rPr>
              <w:t>是否允许采购进口产品</w:t>
            </w:r>
            <w:bookmarkEnd w:id="39"/>
          </w:p>
        </w:tc>
        <w:tc>
          <w:tcPr>
            <w:tcW w:w="850" w:type="dxa"/>
            <w:tcBorders>
              <w:right w:val="single" w:color="auto" w:sz="4" w:space="0"/>
            </w:tcBorders>
            <w:vAlign w:val="center"/>
          </w:tcPr>
          <w:p>
            <w:pPr>
              <w:pStyle w:val="50"/>
            </w:pPr>
            <w:r>
              <w:fldChar w:fldCharType="begin"/>
            </w:r>
            <w:r>
              <w:instrText xml:space="preserve"> REF _Ref470251972 \n \h  \* MERGEFORMAT </w:instrText>
            </w:r>
            <w:r>
              <w:fldChar w:fldCharType="separate"/>
            </w:r>
            <w:r>
              <w:t>3.1</w:t>
            </w:r>
            <w:r>
              <w:fldChar w:fldCharType="end"/>
            </w:r>
          </w:p>
        </w:tc>
        <w:tc>
          <w:tcPr>
            <w:tcW w:w="7230" w:type="dxa"/>
            <w:tcBorders>
              <w:left w:val="single" w:color="auto" w:sz="4" w:space="0"/>
            </w:tcBorders>
          </w:tcPr>
          <w:p>
            <w:pPr>
              <w:pStyle w:val="50"/>
              <w:rPr>
                <w:rFonts w:hint="eastAsia" w:hAnsiTheme="minorEastAsia"/>
                <w:color w:val="auto"/>
              </w:rPr>
            </w:pPr>
          </w:p>
          <w:p>
            <w:pPr>
              <w:pStyle w:val="50"/>
              <w:rPr>
                <w:rFonts w:hAnsiTheme="minorEastAsia"/>
                <w:color w:val="auto"/>
              </w:rPr>
            </w:pPr>
            <w:r>
              <w:rPr>
                <w:rFonts w:hint="eastAsia" w:hAnsiTheme="minorEastAsia"/>
                <w:color w:val="auto"/>
              </w:rPr>
              <w:t>本项目为服务采购项目，投标人须知</w:t>
            </w:r>
            <w:r>
              <w:rPr>
                <w:rFonts w:hAnsiTheme="minorEastAsia"/>
                <w:color w:val="auto"/>
              </w:rPr>
              <w:fldChar w:fldCharType="begin"/>
            </w:r>
            <w:r>
              <w:rPr>
                <w:rFonts w:hAnsiTheme="minorEastAsia"/>
                <w:color w:val="auto"/>
              </w:rPr>
              <w:instrText xml:space="preserve"> </w:instrText>
            </w:r>
            <w:r>
              <w:rPr>
                <w:rFonts w:hint="eastAsia" w:hAnsiTheme="minorEastAsia"/>
                <w:color w:val="auto"/>
              </w:rPr>
              <w:instrText xml:space="preserve">REF _Ref470251972 \n \h</w:instrText>
            </w:r>
            <w:r>
              <w:rPr>
                <w:rFonts w:hAnsiTheme="minorEastAsia"/>
                <w:color w:val="auto"/>
              </w:rPr>
              <w:instrText xml:space="preserve">  \* MERGEFORMAT </w:instrText>
            </w:r>
            <w:r>
              <w:rPr>
                <w:rFonts w:hAnsiTheme="minorEastAsia"/>
                <w:color w:val="auto"/>
              </w:rPr>
              <w:fldChar w:fldCharType="separate"/>
            </w:r>
            <w:r>
              <w:rPr>
                <w:rFonts w:hAnsiTheme="minorEastAsia"/>
                <w:color w:val="auto"/>
              </w:rPr>
              <w:t>3.1</w:t>
            </w:r>
            <w:r>
              <w:rPr>
                <w:rFonts w:hAnsiTheme="minorEastAsia"/>
                <w:color w:val="auto"/>
              </w:rPr>
              <w:fldChar w:fldCharType="end"/>
            </w:r>
            <w:r>
              <w:rPr>
                <w:rFonts w:hint="eastAsia" w:hAnsiTheme="minorEastAsia"/>
                <w:color w:val="auto"/>
              </w:rPr>
              <w:t>条不适用。</w:t>
            </w:r>
          </w:p>
          <w:p>
            <w:pPr>
              <w:pStyle w:val="50"/>
              <w:rPr>
                <w:rFonts w:hAnsiTheme="minorEastAsia"/>
                <w:color w:val="auto"/>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1403" w:type="dxa"/>
            <w:vAlign w:val="center"/>
          </w:tcPr>
          <w:p>
            <w:pPr>
              <w:pStyle w:val="50"/>
              <w:tabs>
                <w:tab w:val="left" w:pos="381"/>
              </w:tabs>
            </w:pPr>
          </w:p>
        </w:tc>
        <w:tc>
          <w:tcPr>
            <w:tcW w:w="850" w:type="dxa"/>
            <w:tcBorders>
              <w:right w:val="single" w:color="auto" w:sz="4" w:space="0"/>
            </w:tcBorders>
            <w:vAlign w:val="center"/>
          </w:tcPr>
          <w:p>
            <w:pPr>
              <w:pStyle w:val="50"/>
            </w:pPr>
          </w:p>
        </w:tc>
        <w:tc>
          <w:tcPr>
            <w:tcW w:w="7230" w:type="dxa"/>
            <w:tcBorders>
              <w:left w:val="single" w:color="auto" w:sz="4" w:space="0"/>
            </w:tcBorders>
          </w:tcPr>
          <w:p>
            <w:pPr>
              <w:spacing w:line="240" w:lineRule="auto"/>
              <w:jc w:val="center"/>
              <w:rPr>
                <w:rFonts w:cs="Times New Roman" w:hAnsiTheme="minorEastAsia"/>
                <w:b/>
              </w:rPr>
            </w:pPr>
            <w:r>
              <w:rPr>
                <w:rFonts w:hint="eastAsia" w:cs="Times New Roman" w:hAnsiTheme="minorEastAsia"/>
                <w:b/>
              </w:rPr>
              <w:t>二、招标文件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1403" w:type="dxa"/>
            <w:vAlign w:val="center"/>
          </w:tcPr>
          <w:p>
            <w:pPr>
              <w:pStyle w:val="50"/>
              <w:numPr>
                <w:ilvl w:val="0"/>
                <w:numId w:val="8"/>
              </w:numPr>
              <w:tabs>
                <w:tab w:val="left" w:pos="381"/>
              </w:tabs>
              <w:ind w:left="0" w:firstLine="0"/>
            </w:pPr>
            <w:bookmarkStart w:id="40" w:name="_Ref51259289"/>
            <w:r>
              <w:rPr>
                <w:rFonts w:hint="eastAsia"/>
              </w:rPr>
              <w:t>现场踏勘</w:t>
            </w:r>
            <w:bookmarkEnd w:id="40"/>
          </w:p>
        </w:tc>
        <w:tc>
          <w:tcPr>
            <w:tcW w:w="850" w:type="dxa"/>
            <w:tcBorders>
              <w:right w:val="single" w:color="auto" w:sz="4" w:space="0"/>
            </w:tcBorders>
            <w:vAlign w:val="center"/>
          </w:tcPr>
          <w:p>
            <w:pPr>
              <w:pStyle w:val="50"/>
            </w:pPr>
            <w:r>
              <w:fldChar w:fldCharType="begin"/>
            </w:r>
            <w:r>
              <w:instrText xml:space="preserve"> REF _Ref51264020 \r \h  \* MERGEFORMAT </w:instrText>
            </w:r>
            <w:r>
              <w:fldChar w:fldCharType="separate"/>
            </w:r>
            <w:r>
              <w:t>8.3</w:t>
            </w:r>
            <w:r>
              <w:fldChar w:fldCharType="end"/>
            </w:r>
          </w:p>
        </w:tc>
        <w:tc>
          <w:tcPr>
            <w:tcW w:w="7230" w:type="dxa"/>
            <w:tcBorders>
              <w:left w:val="single" w:color="auto" w:sz="4" w:space="0"/>
            </w:tcBorders>
          </w:tcPr>
          <w:p>
            <w:pPr>
              <w:pStyle w:val="50"/>
              <w:rPr>
                <w:rFonts w:hAnsiTheme="minorEastAsia"/>
                <w:color w:val="auto"/>
              </w:rPr>
            </w:pPr>
            <w:r>
              <w:rPr>
                <w:rFonts w:hint="eastAsia" w:hAnsiTheme="minorEastAsia"/>
                <w:color w:val="auto"/>
              </w:rPr>
              <w:t>■不组织</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1403" w:type="dxa"/>
            <w:vAlign w:val="center"/>
          </w:tcPr>
          <w:p>
            <w:pPr>
              <w:pStyle w:val="50"/>
              <w:numPr>
                <w:ilvl w:val="0"/>
                <w:numId w:val="8"/>
              </w:numPr>
              <w:tabs>
                <w:tab w:val="left" w:pos="381"/>
              </w:tabs>
              <w:ind w:left="0" w:firstLine="0"/>
            </w:pPr>
            <w:bookmarkStart w:id="41" w:name="_Ref51259299"/>
            <w:r>
              <w:rPr>
                <w:rFonts w:hint="eastAsia"/>
              </w:rPr>
              <w:t>标前会</w:t>
            </w:r>
            <w:bookmarkEnd w:id="41"/>
          </w:p>
        </w:tc>
        <w:tc>
          <w:tcPr>
            <w:tcW w:w="850" w:type="dxa"/>
            <w:tcBorders>
              <w:right w:val="single" w:color="auto" w:sz="4" w:space="0"/>
            </w:tcBorders>
            <w:vAlign w:val="center"/>
          </w:tcPr>
          <w:p>
            <w:pPr>
              <w:pStyle w:val="50"/>
            </w:pPr>
            <w:r>
              <w:fldChar w:fldCharType="begin"/>
            </w:r>
            <w:r>
              <w:instrText xml:space="preserve"> REF _Ref51264027 \r \h  \* MERGEFORMAT </w:instrText>
            </w:r>
            <w:r>
              <w:fldChar w:fldCharType="separate"/>
            </w:r>
            <w:r>
              <w:t>8.4</w:t>
            </w:r>
            <w:r>
              <w:fldChar w:fldCharType="end"/>
            </w:r>
          </w:p>
        </w:tc>
        <w:tc>
          <w:tcPr>
            <w:tcW w:w="7230" w:type="dxa"/>
            <w:tcBorders>
              <w:left w:val="single" w:color="auto" w:sz="4" w:space="0"/>
            </w:tcBorders>
          </w:tcPr>
          <w:p>
            <w:pPr>
              <w:pStyle w:val="50"/>
              <w:rPr>
                <w:rFonts w:hAnsiTheme="minorEastAsia"/>
                <w:color w:val="auto"/>
              </w:rPr>
            </w:pPr>
            <w:r>
              <w:rPr>
                <w:rFonts w:hint="eastAsia" w:hAnsiTheme="minorEastAsia"/>
                <w:color w:val="auto"/>
              </w:rPr>
              <w:t>■不召开</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319" w:hRule="atLeast"/>
        </w:trPr>
        <w:tc>
          <w:tcPr>
            <w:tcW w:w="1403" w:type="dxa"/>
            <w:vAlign w:val="center"/>
          </w:tcPr>
          <w:p>
            <w:pPr>
              <w:pStyle w:val="50"/>
              <w:rPr>
                <w:rFonts w:hAnsiTheme="minorEastAsia"/>
                <w:b/>
              </w:rPr>
            </w:pPr>
          </w:p>
        </w:tc>
        <w:tc>
          <w:tcPr>
            <w:tcW w:w="850" w:type="dxa"/>
            <w:tcBorders>
              <w:right w:val="single" w:color="auto" w:sz="4" w:space="0"/>
            </w:tcBorders>
            <w:vAlign w:val="center"/>
          </w:tcPr>
          <w:p>
            <w:pPr>
              <w:pStyle w:val="50"/>
              <w:rPr>
                <w:rFonts w:hAnsiTheme="minorEastAsia"/>
                <w:b/>
              </w:rPr>
            </w:pPr>
          </w:p>
        </w:tc>
        <w:tc>
          <w:tcPr>
            <w:tcW w:w="7230" w:type="dxa"/>
            <w:tcBorders>
              <w:left w:val="single" w:color="auto" w:sz="4" w:space="0"/>
            </w:tcBorders>
            <w:vAlign w:val="center"/>
          </w:tcPr>
          <w:p>
            <w:pPr>
              <w:spacing w:line="240" w:lineRule="auto"/>
              <w:jc w:val="center"/>
              <w:rPr>
                <w:rFonts w:cs="Times New Roman" w:hAnsiTheme="minorEastAsia"/>
                <w:b/>
              </w:rPr>
            </w:pPr>
            <w:r>
              <w:rPr>
                <w:rFonts w:hint="eastAsia" w:cs="Times New Roman" w:hAnsiTheme="minorEastAsia"/>
                <w:b/>
              </w:rPr>
              <w:t>三、投标文件的编制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0"/>
              <w:numPr>
                <w:ilvl w:val="0"/>
                <w:numId w:val="8"/>
              </w:numPr>
              <w:tabs>
                <w:tab w:val="left" w:pos="381"/>
              </w:tabs>
              <w:ind w:left="0" w:firstLine="0"/>
            </w:pPr>
            <w:bookmarkStart w:id="42" w:name="_Ref51259346"/>
            <w:r>
              <w:rPr>
                <w:rFonts w:hint="eastAsia"/>
              </w:rPr>
              <w:t>资格、资信证明文件</w:t>
            </w:r>
            <w:r>
              <w:br w:type="textWrapping"/>
            </w:r>
            <w:r>
              <w:rPr>
                <w:rFonts w:hint="eastAsia"/>
              </w:rPr>
              <w:t>（需单独装订成《资格资信证明文件分册》）</w:t>
            </w:r>
            <w:bookmarkEnd w:id="42"/>
          </w:p>
        </w:tc>
        <w:tc>
          <w:tcPr>
            <w:tcW w:w="850" w:type="dxa"/>
            <w:tcBorders>
              <w:bottom w:val="single" w:color="auto" w:sz="4" w:space="0"/>
            </w:tcBorders>
            <w:vAlign w:val="center"/>
          </w:tcPr>
          <w:p>
            <w:pPr>
              <w:pStyle w:val="50"/>
            </w:pPr>
            <w:r>
              <w:fldChar w:fldCharType="begin"/>
            </w:r>
            <w:r>
              <w:instrText xml:space="preserve"> REF _Ref51264055 \r \h  \* MERGEFORMAT </w:instrText>
            </w:r>
            <w:r>
              <w:fldChar w:fldCharType="separate"/>
            </w:r>
            <w:r>
              <w:t>10.1</w:t>
            </w:r>
            <w:r>
              <w:fldChar w:fldCharType="end"/>
            </w:r>
          </w:p>
        </w:tc>
        <w:tc>
          <w:tcPr>
            <w:tcW w:w="7230" w:type="dxa"/>
            <w:tcBorders>
              <w:bottom w:val="single" w:color="auto" w:sz="4" w:space="0"/>
            </w:tcBorders>
            <w:vAlign w:val="center"/>
          </w:tcPr>
          <w:p>
            <w:pPr>
              <w:pStyle w:val="50"/>
              <w:rPr>
                <w:b/>
                <w:bCs/>
              </w:rPr>
            </w:pPr>
            <w:r>
              <w:rPr>
                <w:rFonts w:hint="eastAsia"/>
                <w:b/>
                <w:bCs/>
              </w:rPr>
              <w:t>基本资格、资信证明文件：</w:t>
            </w:r>
          </w:p>
          <w:p>
            <w:pPr>
              <w:pStyle w:val="48"/>
              <w:ind w:left="535" w:hanging="535"/>
            </w:pPr>
            <w:r>
              <w:rPr>
                <w:rFonts w:hint="eastAsia"/>
                <w:b/>
                <w:bCs/>
              </w:rPr>
              <w:t>法人或者其他组织的有效营业执照等证明文件，</w:t>
            </w:r>
            <w:r>
              <w:rPr>
                <w:rFonts w:hint="eastAsia"/>
              </w:rPr>
              <w:t>其中：</w:t>
            </w:r>
          </w:p>
          <w:p>
            <w:pPr>
              <w:pStyle w:val="50"/>
              <w:numPr>
                <w:ilvl w:val="0"/>
                <w:numId w:val="9"/>
              </w:numPr>
              <w:ind w:left="962"/>
            </w:pPr>
            <w:r>
              <w:rPr>
                <w:rFonts w:hint="eastAsia"/>
              </w:rPr>
              <w:t>投标人是企业（包括合伙企业）的，应提供其在市场监督管理部门注册的有效“营业执照”复印件；</w:t>
            </w:r>
          </w:p>
          <w:p>
            <w:pPr>
              <w:pStyle w:val="50"/>
              <w:numPr>
                <w:ilvl w:val="0"/>
                <w:numId w:val="9"/>
              </w:numPr>
              <w:ind w:left="962"/>
            </w:pPr>
            <w:r>
              <w:rPr>
                <w:rFonts w:hint="eastAsia"/>
              </w:rPr>
              <w:t>投标人是事业单位的，应提供其有效的“事业单位法人证书”复印件；</w:t>
            </w:r>
          </w:p>
          <w:p>
            <w:pPr>
              <w:pStyle w:val="50"/>
              <w:numPr>
                <w:ilvl w:val="0"/>
                <w:numId w:val="9"/>
              </w:numPr>
              <w:ind w:left="962"/>
            </w:pPr>
            <w:r>
              <w:rPr>
                <w:rFonts w:hint="eastAsia"/>
              </w:rPr>
              <w:t>投标人是非企业专业服务机构的，应提供其有效的“执业许可证”复印件；</w:t>
            </w:r>
          </w:p>
          <w:p>
            <w:pPr>
              <w:pStyle w:val="50"/>
              <w:numPr>
                <w:ilvl w:val="0"/>
                <w:numId w:val="9"/>
              </w:numPr>
              <w:ind w:left="962"/>
            </w:pPr>
            <w:r>
              <w:rPr>
                <w:rFonts w:hint="eastAsia"/>
              </w:rPr>
              <w:t>投标人是民办非企业单位的，应提供其有效的登记证书复印件；</w:t>
            </w:r>
          </w:p>
          <w:p>
            <w:pPr>
              <w:pStyle w:val="50"/>
              <w:numPr>
                <w:ilvl w:val="0"/>
                <w:numId w:val="9"/>
              </w:numPr>
              <w:ind w:left="962"/>
            </w:pPr>
            <w:r>
              <w:rPr>
                <w:rFonts w:hint="eastAsia"/>
              </w:rPr>
              <w:t>投标人是个体工商户的，应提供其有效的“营业执照”复印件；</w:t>
            </w:r>
          </w:p>
          <w:p>
            <w:pPr>
              <w:pStyle w:val="50"/>
              <w:numPr>
                <w:ilvl w:val="0"/>
                <w:numId w:val="9"/>
              </w:numPr>
              <w:ind w:left="962"/>
            </w:pPr>
            <w:r>
              <w:rPr>
                <w:rFonts w:hint="eastAsia"/>
              </w:rPr>
              <w:t>投标人是自然人的，应提供其有效的自然人身份证明复印件。</w:t>
            </w:r>
          </w:p>
          <w:p>
            <w:pPr>
              <w:pStyle w:val="48"/>
              <w:rPr>
                <w:rFonts w:hAnsiTheme="minorEastAsia"/>
                <w:color w:val="auto"/>
              </w:rPr>
            </w:pPr>
            <w:bookmarkStart w:id="43" w:name="_Ref470594241"/>
            <w:r>
              <w:rPr>
                <w:rFonts w:hint="eastAsia"/>
                <w:b/>
                <w:color w:val="auto"/>
              </w:rPr>
              <w:t>投标人资格声明书</w:t>
            </w:r>
            <w:bookmarkEnd w:id="43"/>
            <w:r>
              <w:rPr>
                <w:rFonts w:hint="eastAsia"/>
                <w:b/>
                <w:color w:val="auto"/>
              </w:rPr>
              <w:t>。</w:t>
            </w:r>
            <w:r>
              <w:rPr>
                <w:b/>
                <w:color w:val="auto"/>
              </w:rPr>
              <w:br w:type="textWrapping"/>
            </w:r>
            <w:r>
              <w:rPr>
                <w:rFonts w:hint="eastAsia"/>
                <w:color w:val="auto"/>
              </w:rPr>
              <w:t>（格式见第六章附件</w:t>
            </w:r>
            <w:r>
              <w:rPr>
                <w:color w:val="auto"/>
              </w:rPr>
              <w:t>9</w:t>
            </w:r>
            <w:r>
              <w:rPr>
                <w:rFonts w:hint="eastAsia"/>
                <w:color w:val="auto"/>
              </w:rPr>
              <w:t>-</w:t>
            </w:r>
            <w:r>
              <w:rPr>
                <w:color w:val="auto"/>
              </w:rPr>
              <w:t>2</w:t>
            </w:r>
            <w:r>
              <w:rPr>
                <w:rFonts w:hint="eastAsia"/>
                <w:color w:val="auto"/>
              </w:rPr>
              <w:t>）</w:t>
            </w:r>
          </w:p>
          <w:p>
            <w:pPr>
              <w:rPr>
                <w:color w:val="auto"/>
              </w:rPr>
            </w:pPr>
          </w:p>
          <w:p>
            <w:pPr>
              <w:pStyle w:val="50"/>
              <w:rPr>
                <w:b/>
                <w:bCs/>
                <w:color w:val="auto"/>
              </w:rPr>
            </w:pPr>
            <w:r>
              <w:rPr>
                <w:rFonts w:hint="eastAsia"/>
                <w:b/>
                <w:bCs/>
                <w:color w:val="auto"/>
              </w:rPr>
              <w:t>落实政府采购政策需满足的资格要求的证明文件：</w:t>
            </w:r>
          </w:p>
          <w:p>
            <w:pPr>
              <w:pStyle w:val="48"/>
              <w:rPr>
                <w:rFonts w:hAnsiTheme="minorEastAsia"/>
                <w:color w:val="auto"/>
              </w:rPr>
            </w:pPr>
            <w:r>
              <w:rPr>
                <w:rFonts w:hint="eastAsia" w:hAnsiTheme="minorEastAsia"/>
                <w:color w:val="auto"/>
              </w:rPr>
              <w:t>由投标人出具（联合体投标时由牵头人出具）的“中小企业声明函”（格式见附件</w:t>
            </w:r>
            <w:r>
              <w:rPr>
                <w:rFonts w:hAnsiTheme="minorEastAsia"/>
                <w:color w:val="auto"/>
              </w:rPr>
              <w:t>10</w:t>
            </w:r>
            <w:r>
              <w:rPr>
                <w:rFonts w:hint="eastAsia" w:hAnsiTheme="minorEastAsia"/>
                <w:color w:val="auto"/>
              </w:rPr>
              <w:t>-</w:t>
            </w:r>
            <w:r>
              <w:rPr>
                <w:rFonts w:hAnsiTheme="minorEastAsia"/>
                <w:color w:val="auto"/>
              </w:rPr>
              <w:t>1</w:t>
            </w:r>
            <w:r>
              <w:rPr>
                <w:rFonts w:hint="eastAsia" w:hAnsiTheme="minorEastAsia"/>
                <w:color w:val="auto"/>
              </w:rPr>
              <w:t>）或者由中小企业标的制造商或服务承接商出具的“残疾人福利性单位声明函” （格式见附件1</w:t>
            </w:r>
            <w:r>
              <w:rPr>
                <w:rFonts w:hAnsiTheme="minorEastAsia"/>
                <w:color w:val="auto"/>
              </w:rPr>
              <w:t>0</w:t>
            </w:r>
            <w:r>
              <w:rPr>
                <w:rFonts w:hint="eastAsia" w:hAnsiTheme="minorEastAsia"/>
                <w:color w:val="auto"/>
              </w:rPr>
              <w:t>-</w:t>
            </w:r>
            <w:r>
              <w:rPr>
                <w:rFonts w:hAnsiTheme="minorEastAsia"/>
                <w:color w:val="auto"/>
              </w:rPr>
              <w:t>2</w:t>
            </w:r>
            <w:r>
              <w:rPr>
                <w:rFonts w:hint="eastAsia" w:hAnsiTheme="minorEastAsia"/>
                <w:color w:val="auto"/>
              </w:rPr>
              <w:t>）或由标的制造商或服务承接商出具的其属于监狱企业的证明文件。</w:t>
            </w:r>
            <w:r>
              <w:rPr>
                <w:rFonts w:hAnsiTheme="minorEastAsia"/>
                <w:color w:val="auto"/>
              </w:rPr>
              <w:br w:type="textWrapping"/>
            </w:r>
          </w:p>
          <w:p>
            <w:pPr>
              <w:pStyle w:val="50"/>
            </w:pPr>
            <w:r>
              <w:rPr>
                <w:rFonts w:hint="eastAsia" w:hAnsi="Arial" w:cs="Arial"/>
                <w:b/>
                <w:color w:val="000000"/>
              </w:rPr>
              <w:t>本表内所有内容未注明提供原件的，均可提供复印件。以上列明内容均应编入投标文件《资格资信证明文件分册》，投标文件其他内容不应放入。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0"/>
              <w:numPr>
                <w:ilvl w:val="0"/>
                <w:numId w:val="8"/>
              </w:numPr>
              <w:tabs>
                <w:tab w:val="left" w:pos="381"/>
              </w:tabs>
              <w:ind w:left="0" w:firstLine="0"/>
            </w:pPr>
            <w:bookmarkStart w:id="44" w:name="_Ref51259390"/>
            <w:r>
              <w:rPr>
                <w:rFonts w:hint="eastAsia"/>
              </w:rPr>
              <w:t>商务技术文件分册构成</w:t>
            </w:r>
            <w:bookmarkEnd w:id="44"/>
          </w:p>
        </w:tc>
        <w:tc>
          <w:tcPr>
            <w:tcW w:w="850" w:type="dxa"/>
            <w:tcBorders>
              <w:bottom w:val="single" w:color="auto" w:sz="4" w:space="0"/>
            </w:tcBorders>
            <w:vAlign w:val="center"/>
          </w:tcPr>
          <w:p>
            <w:pPr>
              <w:pStyle w:val="50"/>
            </w:pPr>
            <w:r>
              <w:fldChar w:fldCharType="begin"/>
            </w:r>
            <w:r>
              <w:instrText xml:space="preserve"> REF _Ref51264055 \r \h  \* MERGEFORMAT </w:instrText>
            </w:r>
            <w:r>
              <w:fldChar w:fldCharType="separate"/>
            </w:r>
            <w:r>
              <w:t>10.1</w:t>
            </w:r>
            <w:r>
              <w:fldChar w:fldCharType="end"/>
            </w:r>
          </w:p>
        </w:tc>
        <w:tc>
          <w:tcPr>
            <w:tcW w:w="7230" w:type="dxa"/>
            <w:tcBorders>
              <w:bottom w:val="single" w:color="auto" w:sz="4" w:space="0"/>
            </w:tcBorders>
            <w:vAlign w:val="center"/>
          </w:tcPr>
          <w:p>
            <w:pPr>
              <w:pStyle w:val="73"/>
              <w:rPr>
                <w:color w:val="auto"/>
              </w:rPr>
            </w:pPr>
            <w:r>
              <w:rPr>
                <w:color w:val="auto"/>
              </w:rPr>
              <w:t>投标函（格式见</w:t>
            </w:r>
            <w:r>
              <w:rPr>
                <w:rFonts w:hint="eastAsia"/>
                <w:color w:val="auto"/>
              </w:rPr>
              <w:t>第六章</w:t>
            </w:r>
            <w:r>
              <w:rPr>
                <w:color w:val="auto"/>
              </w:rPr>
              <w:t>附件1）；</w:t>
            </w:r>
          </w:p>
          <w:p>
            <w:pPr>
              <w:pStyle w:val="73"/>
              <w:rPr>
                <w:color w:val="auto"/>
              </w:rPr>
            </w:pPr>
            <w:r>
              <w:rPr>
                <w:color w:val="auto"/>
              </w:rPr>
              <w:t>开标一览表（格式见</w:t>
            </w:r>
            <w:r>
              <w:rPr>
                <w:rFonts w:hint="eastAsia"/>
                <w:color w:val="auto"/>
              </w:rPr>
              <w:t>第六章</w:t>
            </w:r>
            <w:r>
              <w:rPr>
                <w:color w:val="auto"/>
              </w:rPr>
              <w:t>附件2）；</w:t>
            </w:r>
          </w:p>
          <w:p>
            <w:pPr>
              <w:pStyle w:val="73"/>
              <w:rPr>
                <w:color w:val="auto"/>
              </w:rPr>
            </w:pPr>
            <w:r>
              <w:rPr>
                <w:color w:val="auto"/>
              </w:rPr>
              <w:t>投标分项报价表（格式见</w:t>
            </w:r>
            <w:r>
              <w:rPr>
                <w:rFonts w:hint="eastAsia"/>
                <w:color w:val="auto"/>
              </w:rPr>
              <w:t>第六章</w:t>
            </w:r>
            <w:r>
              <w:rPr>
                <w:color w:val="auto"/>
              </w:rPr>
              <w:t>附件3）；</w:t>
            </w:r>
          </w:p>
          <w:p>
            <w:pPr>
              <w:pStyle w:val="73"/>
              <w:rPr>
                <w:color w:val="auto"/>
              </w:rPr>
            </w:pPr>
            <w:r>
              <w:rPr>
                <w:color w:val="auto"/>
              </w:rPr>
              <w:t>技术</w:t>
            </w:r>
            <w:r>
              <w:rPr>
                <w:rFonts w:hint="eastAsia"/>
                <w:color w:val="auto"/>
              </w:rPr>
              <w:t>服务需求</w:t>
            </w:r>
            <w:r>
              <w:rPr>
                <w:color w:val="auto"/>
              </w:rPr>
              <w:t>偏离表（格式见</w:t>
            </w:r>
            <w:r>
              <w:rPr>
                <w:rFonts w:hint="eastAsia"/>
                <w:color w:val="auto"/>
              </w:rPr>
              <w:t>第六章</w:t>
            </w:r>
            <w:r>
              <w:rPr>
                <w:color w:val="auto"/>
              </w:rPr>
              <w:t>附件4）；</w:t>
            </w:r>
          </w:p>
          <w:p>
            <w:pPr>
              <w:pStyle w:val="73"/>
              <w:rPr>
                <w:color w:val="auto"/>
              </w:rPr>
            </w:pPr>
            <w:r>
              <w:rPr>
                <w:color w:val="auto"/>
              </w:rPr>
              <w:t>合同条款偏离表（格式见</w:t>
            </w:r>
            <w:r>
              <w:rPr>
                <w:rFonts w:hint="eastAsia"/>
                <w:color w:val="auto"/>
              </w:rPr>
              <w:t>第六章</w:t>
            </w:r>
            <w:r>
              <w:rPr>
                <w:color w:val="auto"/>
              </w:rPr>
              <w:t>附件5）；</w:t>
            </w:r>
          </w:p>
          <w:p>
            <w:pPr>
              <w:pStyle w:val="73"/>
              <w:rPr>
                <w:color w:val="auto"/>
              </w:rPr>
            </w:pPr>
            <w:r>
              <w:rPr>
                <w:color w:val="auto"/>
              </w:rPr>
              <w:t>法定代表人授权书</w:t>
            </w:r>
            <w:r>
              <w:rPr>
                <w:rFonts w:hint="eastAsia"/>
                <w:color w:val="auto"/>
              </w:rPr>
              <w:t>（</w:t>
            </w:r>
            <w:r>
              <w:rPr>
                <w:color w:val="auto"/>
              </w:rPr>
              <w:t>格式见</w:t>
            </w:r>
            <w:r>
              <w:rPr>
                <w:rFonts w:hint="eastAsia"/>
                <w:color w:val="auto"/>
              </w:rPr>
              <w:t>第六章</w:t>
            </w:r>
            <w:r>
              <w:rPr>
                <w:color w:val="auto"/>
              </w:rPr>
              <w:t>附件6）</w:t>
            </w:r>
            <w:r>
              <w:rPr>
                <w:rFonts w:hint="eastAsia"/>
                <w:color w:val="auto"/>
              </w:rPr>
              <w:t xml:space="preserve"> 或 法定代表人身份证明复印件</w:t>
            </w:r>
            <w:r>
              <w:rPr>
                <w:color w:val="auto"/>
              </w:rPr>
              <w:t>（</w:t>
            </w:r>
            <w:r>
              <w:rPr>
                <w:rFonts w:hint="eastAsia"/>
                <w:color w:val="auto"/>
              </w:rPr>
              <w:t>加注“*”的投标文件构成其它文件均由法定代表人在相应位置直接签署时，则无需提供法定代表人授权书，此情况下应提供法定代表人身份证明复印件</w:t>
            </w:r>
            <w:r>
              <w:rPr>
                <w:color w:val="auto"/>
              </w:rPr>
              <w:t>）；</w:t>
            </w:r>
          </w:p>
          <w:p>
            <w:pPr>
              <w:pStyle w:val="48"/>
              <w:numPr>
                <w:ilvl w:val="0"/>
                <w:numId w:val="10"/>
              </w:numPr>
              <w:ind w:left="536" w:hanging="536"/>
              <w:rPr>
                <w:color w:val="auto"/>
              </w:rPr>
            </w:pPr>
            <w:r>
              <w:rPr>
                <w:color w:val="auto"/>
              </w:rPr>
              <w:t>详细的技术服务响应方案</w:t>
            </w:r>
            <w:r>
              <w:rPr>
                <w:rFonts w:hint="eastAsia"/>
                <w:color w:val="auto"/>
              </w:rPr>
              <w:t>（按照详细技术响应的相关要求编写）</w:t>
            </w:r>
            <w:r>
              <w:rPr>
                <w:color w:val="auto"/>
              </w:rPr>
              <w:t>；</w:t>
            </w:r>
          </w:p>
          <w:p>
            <w:pPr>
              <w:pStyle w:val="48"/>
              <w:numPr>
                <w:ilvl w:val="0"/>
                <w:numId w:val="10"/>
              </w:numPr>
              <w:ind w:left="536" w:hanging="536"/>
              <w:rPr>
                <w:color w:val="auto"/>
              </w:rPr>
            </w:pPr>
            <w:r>
              <w:rPr>
                <w:rFonts w:hint="eastAsia"/>
                <w:color w:val="auto"/>
              </w:rPr>
              <w:t>第三章评标标准中提及的相关评审证明材料以及</w:t>
            </w:r>
            <w:r>
              <w:rPr>
                <w:color w:val="auto"/>
              </w:rPr>
              <w:t>投标人认为需要提供的其他材料</w:t>
            </w:r>
            <w:r>
              <w:rPr>
                <w:rFonts w:hint="eastAsia"/>
                <w:color w:val="auto"/>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0"/>
              <w:numPr>
                <w:ilvl w:val="0"/>
                <w:numId w:val="8"/>
              </w:numPr>
              <w:tabs>
                <w:tab w:val="left" w:pos="381"/>
              </w:tabs>
              <w:ind w:left="0" w:firstLine="0"/>
            </w:pPr>
            <w:bookmarkStart w:id="45" w:name="_Ref53154354"/>
            <w:r>
              <w:rPr>
                <w:rFonts w:hint="eastAsia"/>
              </w:rPr>
              <w:t>投标文件内容其它要求或注意事项</w:t>
            </w:r>
            <w:bookmarkEnd w:id="45"/>
          </w:p>
        </w:tc>
        <w:tc>
          <w:tcPr>
            <w:tcW w:w="850" w:type="dxa"/>
            <w:tcBorders>
              <w:bottom w:val="single" w:color="auto" w:sz="4" w:space="0"/>
            </w:tcBorders>
            <w:vAlign w:val="center"/>
          </w:tcPr>
          <w:p>
            <w:pPr>
              <w:pStyle w:val="50"/>
            </w:pPr>
            <w:r>
              <w:fldChar w:fldCharType="begin"/>
            </w:r>
            <w:r>
              <w:instrText xml:space="preserve"> REF _Ref51686868 \r \h </w:instrText>
            </w:r>
            <w:r>
              <w:fldChar w:fldCharType="separate"/>
            </w:r>
            <w:r>
              <w:t>10.2</w:t>
            </w:r>
            <w:r>
              <w:fldChar w:fldCharType="end"/>
            </w:r>
          </w:p>
        </w:tc>
        <w:tc>
          <w:tcPr>
            <w:tcW w:w="7230" w:type="dxa"/>
            <w:tcBorders>
              <w:bottom w:val="single" w:color="auto" w:sz="4" w:space="0"/>
            </w:tcBorders>
            <w:vAlign w:val="center"/>
          </w:tcPr>
          <w:p>
            <w:pPr>
              <w:pStyle w:val="48"/>
              <w:numPr>
                <w:ilvl w:val="0"/>
                <w:numId w:val="11"/>
              </w:numPr>
              <w:rPr>
                <w:color w:val="auto"/>
              </w:rPr>
            </w:pPr>
            <w:r>
              <w:rPr>
                <w:rFonts w:hint="eastAsia"/>
                <w:color w:val="auto"/>
              </w:rPr>
              <w:t>对照招标文件技术要求，说明所提供货物和服务已对采购人的技术要求逐项做出了明确响应，并申明与技术要求条文的偏差和例外。在填写技术服务需求偏离表时，对于可以用量化形式表示的条款，投标人应量化明确应答；对于非量化的条款投标人应以功能或性能描述应答，指出所提供的货物和服务是否满足；投标人应提供明确的说明文件及证明文件在投标文件中的页码索引或章节标题索引，未提供索引或索引错误的后果由投标人自行承担。</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0"/>
              <w:numPr>
                <w:ilvl w:val="0"/>
                <w:numId w:val="8"/>
              </w:numPr>
              <w:tabs>
                <w:tab w:val="left" w:pos="381"/>
              </w:tabs>
              <w:ind w:left="0" w:firstLine="0"/>
            </w:pPr>
            <w:bookmarkStart w:id="46" w:name="_Ref51259554"/>
            <w:r>
              <w:rPr>
                <w:rFonts w:hint="eastAsia"/>
              </w:rPr>
              <w:t>投标文件份数</w:t>
            </w:r>
            <w:bookmarkEnd w:id="46"/>
          </w:p>
        </w:tc>
        <w:tc>
          <w:tcPr>
            <w:tcW w:w="850" w:type="dxa"/>
            <w:tcBorders>
              <w:bottom w:val="single" w:color="auto" w:sz="4" w:space="0"/>
            </w:tcBorders>
            <w:vAlign w:val="center"/>
          </w:tcPr>
          <w:p>
            <w:pPr>
              <w:pStyle w:val="50"/>
            </w:pPr>
            <w:r>
              <w:fldChar w:fldCharType="begin"/>
            </w:r>
            <w:r>
              <w:instrText xml:space="preserve"> REF _Ref51264184 \r \h  \* MERGEFORMAT </w:instrText>
            </w:r>
            <w:r>
              <w:fldChar w:fldCharType="separate"/>
            </w:r>
            <w:r>
              <w:t>11.1</w:t>
            </w:r>
            <w:r>
              <w:fldChar w:fldCharType="end"/>
            </w:r>
          </w:p>
        </w:tc>
        <w:tc>
          <w:tcPr>
            <w:tcW w:w="7230" w:type="dxa"/>
            <w:tcBorders>
              <w:bottom w:val="single" w:color="auto" w:sz="4" w:space="0"/>
            </w:tcBorders>
            <w:vAlign w:val="center"/>
          </w:tcPr>
          <w:p>
            <w:pPr>
              <w:pStyle w:val="48"/>
              <w:numPr>
                <w:ilvl w:val="0"/>
                <w:numId w:val="12"/>
              </w:numPr>
              <w:ind w:left="536" w:hanging="536"/>
              <w:rPr>
                <w:color w:val="auto"/>
              </w:rPr>
            </w:pPr>
            <w:r>
              <w:rPr>
                <w:rFonts w:hint="eastAsia"/>
                <w:b/>
                <w:bCs/>
                <w:color w:val="auto"/>
              </w:rPr>
              <w:t>《资格、资信证明文件分册》</w:t>
            </w:r>
            <w:r>
              <w:rPr>
                <w:rFonts w:hint="eastAsia"/>
                <w:color w:val="auto"/>
              </w:rPr>
              <w:t xml:space="preserve"> ：正本1份，副本</w:t>
            </w:r>
            <w:r>
              <w:rPr>
                <w:rFonts w:hint="eastAsia"/>
                <w:color w:val="auto"/>
                <w:lang w:val="en-US" w:eastAsia="zh-CN"/>
              </w:rPr>
              <w:t>1</w:t>
            </w:r>
            <w:r>
              <w:rPr>
                <w:rFonts w:hint="eastAsia"/>
                <w:color w:val="auto"/>
              </w:rPr>
              <w:t>份；</w:t>
            </w:r>
          </w:p>
          <w:p>
            <w:pPr>
              <w:pStyle w:val="48"/>
              <w:numPr>
                <w:ilvl w:val="0"/>
                <w:numId w:val="12"/>
              </w:numPr>
              <w:ind w:left="536" w:hanging="536"/>
              <w:rPr>
                <w:color w:val="auto"/>
              </w:rPr>
            </w:pPr>
            <w:r>
              <w:rPr>
                <w:rFonts w:hint="eastAsia"/>
                <w:b/>
                <w:bCs/>
                <w:color w:val="auto"/>
              </w:rPr>
              <w:t>《商务技术文件分册》</w:t>
            </w:r>
            <w:r>
              <w:rPr>
                <w:rFonts w:hint="eastAsia"/>
                <w:color w:val="auto"/>
              </w:rPr>
              <w:t xml:space="preserve"> ：正本1份，副本</w:t>
            </w:r>
            <w:r>
              <w:rPr>
                <w:rFonts w:hint="eastAsia"/>
                <w:color w:val="auto"/>
                <w:lang w:val="en-US" w:eastAsia="zh-CN"/>
              </w:rPr>
              <w:t>1</w:t>
            </w:r>
            <w:r>
              <w:rPr>
                <w:rFonts w:hint="eastAsia"/>
                <w:color w:val="auto"/>
              </w:rPr>
              <w:t>份；</w:t>
            </w:r>
          </w:p>
          <w:p>
            <w:pPr>
              <w:ind w:firstLine="720" w:firstLineChars="300"/>
              <w:rPr>
                <w:rFonts w:hint="eastAsia" w:ascii="仿宋_GB2312" w:hAnsi="Calibri" w:eastAsia="仿宋_GB2312" w:cs="Times New Roman"/>
                <w:color w:val="auto"/>
                <w:kern w:val="2"/>
                <w:sz w:val="24"/>
                <w:szCs w:val="21"/>
                <w:lang w:val="en-US" w:eastAsia="zh-CN" w:bidi="ar-SA"/>
              </w:rPr>
            </w:pPr>
            <w:r>
              <w:rPr>
                <w:rFonts w:hint="eastAsia" w:ascii="仿宋_GB2312" w:hAnsi="Calibri" w:eastAsia="仿宋_GB2312" w:cs="Times New Roman"/>
                <w:color w:val="auto"/>
                <w:kern w:val="2"/>
                <w:sz w:val="24"/>
                <w:szCs w:val="21"/>
                <w:lang w:val="en-US" w:eastAsia="zh-CN" w:bidi="ar-SA"/>
              </w:rPr>
              <w:t>请联系项目经理并在投标截止时间前将纸质版文件送达。</w:t>
            </w:r>
          </w:p>
          <w:p>
            <w:pPr>
              <w:ind w:firstLine="720" w:firstLineChars="300"/>
              <w:rPr>
                <w:rFonts w:hint="eastAsia" w:ascii="仿宋_GB2312" w:hAnsi="Calibri" w:eastAsia="仿宋_GB2312" w:cs="Times New Roman"/>
                <w:color w:val="auto"/>
                <w:kern w:val="2"/>
                <w:sz w:val="24"/>
                <w:szCs w:val="21"/>
                <w:lang w:val="en-US" w:eastAsia="zh-CN" w:bidi="ar-SA"/>
              </w:rPr>
            </w:pPr>
            <w:r>
              <w:rPr>
                <w:rFonts w:hint="eastAsia" w:ascii="仿宋_GB2312" w:hAnsi="Calibri" w:eastAsia="仿宋_GB2312" w:cs="Times New Roman"/>
                <w:color w:val="auto"/>
                <w:kern w:val="2"/>
                <w:sz w:val="24"/>
                <w:szCs w:val="21"/>
                <w:lang w:val="en-US" w:eastAsia="zh-CN" w:bidi="ar-SA"/>
              </w:rPr>
              <w:t>地点：北京市丰台区政务服务中心6层</w:t>
            </w:r>
          </w:p>
          <w:p>
            <w:pPr>
              <w:ind w:firstLine="720" w:firstLineChars="300"/>
              <w:rPr>
                <w:rFonts w:hint="default" w:ascii="仿宋_GB2312" w:hAnsi="Calibri" w:eastAsia="仿宋_GB2312" w:cs="Times New Roman"/>
                <w:color w:val="auto"/>
                <w:kern w:val="2"/>
                <w:sz w:val="24"/>
                <w:szCs w:val="21"/>
                <w:lang w:val="en-US" w:eastAsia="zh-CN" w:bidi="ar-SA"/>
              </w:rPr>
            </w:pPr>
            <w:r>
              <w:rPr>
                <w:rFonts w:hint="eastAsia" w:ascii="仿宋_GB2312" w:hAnsi="Calibri" w:eastAsia="仿宋_GB2312" w:cs="Times New Roman"/>
                <w:color w:val="auto"/>
                <w:kern w:val="2"/>
                <w:sz w:val="24"/>
                <w:szCs w:val="21"/>
                <w:lang w:val="en-US" w:eastAsia="zh-CN" w:bidi="ar-SA"/>
              </w:rPr>
              <w:t>联系方式：韩伟轩 17710787107</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vMerge w:val="restart"/>
            <w:vAlign w:val="center"/>
          </w:tcPr>
          <w:p>
            <w:pPr>
              <w:pStyle w:val="50"/>
              <w:numPr>
                <w:ilvl w:val="0"/>
                <w:numId w:val="8"/>
              </w:numPr>
              <w:tabs>
                <w:tab w:val="left" w:pos="381"/>
              </w:tabs>
              <w:ind w:left="0" w:firstLine="0"/>
            </w:pPr>
            <w:bookmarkStart w:id="47" w:name="_Ref51259915"/>
            <w:r>
              <w:rPr>
                <w:rFonts w:hint="eastAsia" w:hAnsi="楷体" w:cs="Arial"/>
                <w:color w:val="000000"/>
              </w:rPr>
              <w:t>投标报价</w:t>
            </w:r>
            <w:bookmarkEnd w:id="47"/>
          </w:p>
        </w:tc>
        <w:tc>
          <w:tcPr>
            <w:tcW w:w="850" w:type="dxa"/>
            <w:tcBorders>
              <w:bottom w:val="single" w:color="auto" w:sz="4" w:space="0"/>
            </w:tcBorders>
            <w:vAlign w:val="center"/>
          </w:tcPr>
          <w:p>
            <w:pPr>
              <w:pStyle w:val="50"/>
            </w:pPr>
            <w:r>
              <w:fldChar w:fldCharType="begin"/>
            </w:r>
            <w:r>
              <w:instrText xml:space="preserve"> REF _Ref470250477 \n \h  \* MERGEFORMAT </w:instrText>
            </w:r>
            <w:r>
              <w:fldChar w:fldCharType="separate"/>
            </w:r>
            <w:r>
              <w:t>12.1</w:t>
            </w:r>
            <w:r>
              <w:fldChar w:fldCharType="end"/>
            </w:r>
          </w:p>
        </w:tc>
        <w:tc>
          <w:tcPr>
            <w:tcW w:w="7230" w:type="dxa"/>
            <w:tcBorders>
              <w:bottom w:val="single" w:color="auto" w:sz="4" w:space="0"/>
            </w:tcBorders>
            <w:vAlign w:val="center"/>
          </w:tcPr>
          <w:p>
            <w:pPr>
              <w:rPr>
                <w:color w:val="auto"/>
              </w:rPr>
            </w:pPr>
            <w:r>
              <w:rPr>
                <w:rFonts w:hint="eastAsia" w:ascii="仿宋_GB2312" w:hAnsi="Arial" w:eastAsia="仿宋_GB2312" w:cs="Arial"/>
                <w:color w:val="auto"/>
              </w:rPr>
              <w:t>开标一览表具体格式见“附件2”</w:t>
            </w:r>
          </w:p>
          <w:p>
            <w:pPr>
              <w:pStyle w:val="50"/>
              <w:rPr>
                <w:color w:val="auto"/>
              </w:rPr>
            </w:pPr>
            <w:r>
              <w:rPr>
                <w:rFonts w:hint="eastAsia"/>
                <w:color w:val="auto"/>
              </w:rPr>
              <w:t>报价方式：</w:t>
            </w:r>
            <w:r>
              <w:rPr>
                <w:rFonts w:hint="eastAsia"/>
                <w:b/>
                <w:color w:val="auto"/>
              </w:rPr>
              <w:t>固定总价（固定含税合同总价）。</w:t>
            </w:r>
          </w:p>
          <w:p>
            <w:pPr>
              <w:pStyle w:val="50"/>
              <w:rPr>
                <w:color w:val="auto"/>
              </w:rPr>
            </w:pPr>
            <w:r>
              <w:rPr>
                <w:rFonts w:hint="eastAsia"/>
                <w:color w:val="auto"/>
              </w:rPr>
              <w:t>投标人的报价应包含为完成本招标文件提出的采购任务中所有可能发生的费用，即所需一切人工、物耗、工具、设备、交通、培训、保险、税费和所有可能发生的相关费用，所有费用计入投标总价。</w:t>
            </w:r>
          </w:p>
          <w:p>
            <w:pPr>
              <w:rPr>
                <w:color w:val="auto"/>
              </w:rPr>
            </w:pPr>
          </w:p>
          <w:p>
            <w:pPr>
              <w:pStyle w:val="50"/>
              <w:rPr>
                <w:b/>
                <w:color w:val="auto"/>
              </w:rPr>
            </w:pPr>
            <w:r>
              <w:rPr>
                <w:rFonts w:hint="eastAsia"/>
                <w:color w:val="auto"/>
              </w:rPr>
              <w:t>采购人就本合同约定内容将不再支付投标报价以外的费用。因投标发生的费用缺漏项将是投标人的风险，投标人将无条件给予补充完备，且投标价不变，否则其</w:t>
            </w:r>
            <w:r>
              <w:rPr>
                <w:rFonts w:hint="eastAsia"/>
                <w:b/>
                <w:color w:val="auto"/>
              </w:rPr>
              <w:t>投标将被否决。</w:t>
            </w:r>
          </w:p>
          <w:p>
            <w:pPr>
              <w:pStyle w:val="50"/>
              <w:rPr>
                <w:color w:val="auto"/>
              </w:rPr>
            </w:pPr>
            <w:r>
              <w:rPr>
                <w:rFonts w:hint="eastAsia"/>
                <w:color w:val="auto"/>
              </w:rPr>
              <w:t>投标总价填写无条件折扣后的总价，不得填写除价格外的任何其他优惠。有附加条件折扣的</w:t>
            </w:r>
            <w:r>
              <w:rPr>
                <w:rFonts w:hint="eastAsia"/>
                <w:b/>
                <w:bCs/>
                <w:color w:val="auto"/>
              </w:rPr>
              <w:t>投标将被否决</w:t>
            </w:r>
            <w:r>
              <w:rPr>
                <w:rFonts w:hint="eastAsia"/>
                <w:color w:val="auto"/>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vMerge w:val="continue"/>
            <w:vAlign w:val="center"/>
          </w:tcPr>
          <w:p>
            <w:pPr>
              <w:pStyle w:val="50"/>
              <w:numPr>
                <w:ilvl w:val="0"/>
                <w:numId w:val="8"/>
              </w:numPr>
              <w:tabs>
                <w:tab w:val="left" w:pos="381"/>
              </w:tabs>
              <w:ind w:left="0" w:firstLine="0"/>
            </w:pPr>
          </w:p>
        </w:tc>
        <w:tc>
          <w:tcPr>
            <w:tcW w:w="850" w:type="dxa"/>
            <w:tcBorders>
              <w:bottom w:val="single" w:color="auto" w:sz="4" w:space="0"/>
            </w:tcBorders>
            <w:vAlign w:val="center"/>
          </w:tcPr>
          <w:p>
            <w:pPr>
              <w:pStyle w:val="50"/>
            </w:pPr>
            <w:r>
              <w:fldChar w:fldCharType="begin"/>
            </w:r>
            <w:r>
              <w:instrText xml:space="preserve"> REF _Ref51264210 \r \h  \* MERGEFORMAT </w:instrText>
            </w:r>
            <w:r>
              <w:fldChar w:fldCharType="separate"/>
            </w:r>
            <w:r>
              <w:t>12.1</w:t>
            </w:r>
            <w:r>
              <w:fldChar w:fldCharType="end"/>
            </w:r>
          </w:p>
        </w:tc>
        <w:tc>
          <w:tcPr>
            <w:tcW w:w="7230" w:type="dxa"/>
            <w:tcBorders>
              <w:bottom w:val="single" w:color="auto" w:sz="4" w:space="0"/>
            </w:tcBorders>
            <w:vAlign w:val="center"/>
          </w:tcPr>
          <w:p>
            <w:pPr>
              <w:pStyle w:val="50"/>
              <w:rPr>
                <w:color w:val="auto"/>
              </w:rPr>
            </w:pPr>
            <w:r>
              <w:rPr>
                <w:rFonts w:hint="eastAsia"/>
                <w:color w:val="auto"/>
              </w:rPr>
              <w:t>报价币种及单位：人民币元，币种及单位不符合该要求的</w:t>
            </w:r>
            <w:r>
              <w:rPr>
                <w:rFonts w:hint="eastAsia"/>
                <w:b/>
                <w:bCs/>
                <w:color w:val="auto"/>
              </w:rPr>
              <w:t>投标将被否决</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0"/>
              <w:numPr>
                <w:ilvl w:val="0"/>
                <w:numId w:val="8"/>
              </w:numPr>
              <w:tabs>
                <w:tab w:val="left" w:pos="381"/>
              </w:tabs>
              <w:ind w:left="0" w:firstLine="0"/>
            </w:pPr>
            <w:bookmarkStart w:id="48" w:name="_Ref51260090"/>
            <w:r>
              <w:rPr>
                <w:rFonts w:hint="eastAsia"/>
              </w:rPr>
              <w:t>最高</w:t>
            </w:r>
            <w:r>
              <w:rPr>
                <w:rFonts w:hint="eastAsia" w:hAnsi="楷体" w:cs="Arial"/>
                <w:color w:val="000000"/>
              </w:rPr>
              <w:t>限价</w:t>
            </w:r>
            <w:bookmarkEnd w:id="48"/>
          </w:p>
        </w:tc>
        <w:tc>
          <w:tcPr>
            <w:tcW w:w="850" w:type="dxa"/>
            <w:tcBorders>
              <w:bottom w:val="single" w:color="auto" w:sz="4" w:space="0"/>
            </w:tcBorders>
            <w:vAlign w:val="center"/>
          </w:tcPr>
          <w:p>
            <w:pPr>
              <w:pStyle w:val="50"/>
            </w:pPr>
            <w:r>
              <w:fldChar w:fldCharType="begin"/>
            </w:r>
            <w:r>
              <w:instrText xml:space="preserve"> REF _Ref492028233 \r \h  \* MERGEFORMAT </w:instrText>
            </w:r>
            <w:r>
              <w:fldChar w:fldCharType="separate"/>
            </w:r>
            <w:r>
              <w:t>12.5</w:t>
            </w:r>
            <w:r>
              <w:fldChar w:fldCharType="end"/>
            </w:r>
          </w:p>
        </w:tc>
        <w:tc>
          <w:tcPr>
            <w:tcW w:w="7230" w:type="dxa"/>
            <w:tcBorders>
              <w:bottom w:val="single" w:color="auto" w:sz="4" w:space="0"/>
            </w:tcBorders>
            <w:vAlign w:val="center"/>
          </w:tcPr>
          <w:p>
            <w:pPr>
              <w:pStyle w:val="50"/>
              <w:rPr>
                <w:color w:val="auto"/>
              </w:rPr>
            </w:pPr>
            <w:r>
              <w:rPr>
                <w:rFonts w:hint="eastAsia"/>
                <w:color w:val="auto"/>
              </w:rPr>
              <w:t>最高限价（最高投标限价）：</w:t>
            </w:r>
            <w:r>
              <w:rPr>
                <w:rFonts w:hint="eastAsia"/>
                <w:color w:val="auto"/>
                <w:lang w:eastAsia="zh-CN"/>
              </w:rPr>
              <w:t>189.75</w:t>
            </w:r>
            <w:r>
              <w:rPr>
                <w:rFonts w:hint="eastAsia"/>
                <w:color w:val="auto"/>
              </w:rPr>
              <w:t>万元（人民币）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0"/>
              <w:numPr>
                <w:ilvl w:val="0"/>
                <w:numId w:val="8"/>
              </w:numPr>
              <w:tabs>
                <w:tab w:val="left" w:pos="381"/>
              </w:tabs>
              <w:ind w:left="0" w:firstLine="0"/>
              <w:rPr>
                <w:rFonts w:hAnsi="楷体" w:cs="Arial"/>
                <w:color w:val="000000"/>
              </w:rPr>
            </w:pPr>
            <w:bookmarkStart w:id="49" w:name="_Ref51260155"/>
            <w:r>
              <w:rPr>
                <w:rFonts w:hint="eastAsia" w:hAnsi="楷体" w:cs="Arial"/>
                <w:color w:val="000000"/>
              </w:rPr>
              <w:t>投标有效期</w:t>
            </w:r>
            <w:bookmarkEnd w:id="49"/>
          </w:p>
        </w:tc>
        <w:tc>
          <w:tcPr>
            <w:tcW w:w="850" w:type="dxa"/>
            <w:tcBorders>
              <w:bottom w:val="single" w:color="auto" w:sz="4" w:space="0"/>
            </w:tcBorders>
            <w:vAlign w:val="center"/>
          </w:tcPr>
          <w:p>
            <w:pPr>
              <w:pStyle w:val="50"/>
            </w:pPr>
            <w:r>
              <w:fldChar w:fldCharType="begin"/>
            </w:r>
            <w:r>
              <w:instrText xml:space="preserve"> REF _Ref51264220 \r \h  \* MERGEFORMAT </w:instrText>
            </w:r>
            <w:r>
              <w:fldChar w:fldCharType="separate"/>
            </w:r>
            <w:r>
              <w:t>13.1</w:t>
            </w:r>
            <w:r>
              <w:fldChar w:fldCharType="end"/>
            </w:r>
          </w:p>
        </w:tc>
        <w:tc>
          <w:tcPr>
            <w:tcW w:w="7230" w:type="dxa"/>
            <w:tcBorders>
              <w:bottom w:val="single" w:color="auto" w:sz="4" w:space="0"/>
            </w:tcBorders>
            <w:vAlign w:val="center"/>
          </w:tcPr>
          <w:p>
            <w:pPr>
              <w:pStyle w:val="50"/>
              <w:rPr>
                <w:color w:val="FF0000"/>
              </w:rPr>
            </w:pPr>
            <w:r>
              <w:rPr>
                <w:rFonts w:hint="eastAsia"/>
              </w:rPr>
              <w:t>投标有效期：自投标截止时间之日起90日。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0"/>
              <w:numPr>
                <w:ilvl w:val="0"/>
                <w:numId w:val="8"/>
              </w:numPr>
              <w:tabs>
                <w:tab w:val="left" w:pos="381"/>
              </w:tabs>
              <w:ind w:left="0" w:firstLine="0"/>
              <w:rPr>
                <w:rFonts w:hAnsi="楷体" w:cs="Arial"/>
                <w:color w:val="000000"/>
              </w:rPr>
            </w:pPr>
            <w:bookmarkStart w:id="50" w:name="_Ref51612197"/>
            <w:r>
              <w:rPr>
                <w:rFonts w:hint="eastAsia" w:hAnsi="楷体" w:cs="Arial"/>
                <w:color w:val="000000"/>
              </w:rPr>
              <w:t>投标保证金</w:t>
            </w:r>
            <w:bookmarkEnd w:id="50"/>
          </w:p>
        </w:tc>
        <w:tc>
          <w:tcPr>
            <w:tcW w:w="850" w:type="dxa"/>
            <w:tcBorders>
              <w:bottom w:val="single" w:color="auto" w:sz="4" w:space="0"/>
            </w:tcBorders>
            <w:vAlign w:val="center"/>
          </w:tcPr>
          <w:p>
            <w:pPr>
              <w:pStyle w:val="50"/>
            </w:pPr>
            <w:r>
              <w:fldChar w:fldCharType="begin"/>
            </w:r>
            <w:r>
              <w:instrText xml:space="preserve"> REF _Ref51264228 \r \h  \* MERGEFORMAT </w:instrText>
            </w:r>
            <w:r>
              <w:fldChar w:fldCharType="separate"/>
            </w:r>
            <w:r>
              <w:t>13.2</w:t>
            </w:r>
            <w:r>
              <w:fldChar w:fldCharType="end"/>
            </w:r>
          </w:p>
        </w:tc>
        <w:tc>
          <w:tcPr>
            <w:tcW w:w="7230" w:type="dxa"/>
            <w:tcBorders>
              <w:bottom w:val="single" w:color="auto" w:sz="4" w:space="0"/>
            </w:tcBorders>
          </w:tcPr>
          <w:p>
            <w:pPr>
              <w:pStyle w:val="50"/>
            </w:pPr>
            <w:r>
              <w:rPr>
                <w:rFonts w:hint="eastAsia"/>
              </w:rPr>
              <w:t>是否要求投标人递交投标保证金：□不要求 ■要求：</w:t>
            </w:r>
          </w:p>
          <w:p>
            <w:pPr>
              <w:pStyle w:val="48"/>
              <w:numPr>
                <w:ilvl w:val="0"/>
                <w:numId w:val="13"/>
              </w:numPr>
            </w:pPr>
            <w:r>
              <w:rPr>
                <w:rFonts w:hint="eastAsia"/>
              </w:rPr>
              <w:t>投标保证金的金额：人民币</w:t>
            </w:r>
            <w:r>
              <w:rPr>
                <w:rFonts w:hint="eastAsia"/>
                <w:lang w:val="en-US" w:eastAsia="zh-CN"/>
              </w:rPr>
              <w:t>18000</w:t>
            </w:r>
            <w:r>
              <w:t>.00</w:t>
            </w:r>
            <w:r>
              <w:rPr>
                <w:rFonts w:hint="eastAsia"/>
              </w:rPr>
              <w:t>元。</w:t>
            </w:r>
          </w:p>
          <w:p>
            <w:pPr>
              <w:pStyle w:val="48"/>
            </w:pPr>
            <w:r>
              <w:rPr>
                <w:rFonts w:hint="eastAsia"/>
              </w:rPr>
              <w:t>投标保证金的建议形式：电汇。</w:t>
            </w:r>
          </w:p>
          <w:p>
            <w:pPr>
              <w:pStyle w:val="48"/>
              <w:rPr>
                <w:color w:val="auto"/>
              </w:rPr>
            </w:pPr>
            <w:r>
              <w:rPr>
                <w:rFonts w:hint="eastAsia"/>
              </w:rPr>
              <w:t>投标保证金须以单位账户或名义提交，不接受个人账户或名义提交的投标保证</w:t>
            </w:r>
            <w:r>
              <w:rPr>
                <w:rFonts w:hint="eastAsia"/>
                <w:color w:val="auto"/>
              </w:rPr>
              <w:t>金。</w:t>
            </w:r>
          </w:p>
          <w:p>
            <w:pPr>
              <w:pStyle w:val="48"/>
              <w:rPr>
                <w:color w:val="auto"/>
              </w:rPr>
            </w:pPr>
            <w:r>
              <w:rPr>
                <w:rFonts w:hint="eastAsia"/>
                <w:color w:val="auto"/>
              </w:rPr>
              <w:t>投标保证金有效期应与投标有效期一致或更长。</w:t>
            </w:r>
          </w:p>
          <w:p>
            <w:pPr>
              <w:pStyle w:val="48"/>
            </w:pPr>
            <w:r>
              <w:rPr>
                <w:rFonts w:hint="eastAsia"/>
                <w:color w:val="auto"/>
              </w:rPr>
              <w:t>投标保证金汇款账号信息：登录中化商务电子招投标平台（e</w:t>
            </w:r>
            <w:r>
              <w:rPr>
                <w:color w:val="auto"/>
              </w:rPr>
              <w:t>.sinochemitc.com</w:t>
            </w:r>
            <w:r>
              <w:rPr>
                <w:rFonts w:hint="eastAsia"/>
                <w:color w:val="auto"/>
              </w:rPr>
              <w:t>），未在中化商务电子招投标平台注册的供应商须先进行该平台注册，已注册供应商无需重复注册。登录后点击[投标管理]—</w:t>
            </w:r>
            <w:r>
              <w:rPr>
                <w:color w:val="auto"/>
              </w:rPr>
              <w:t>[</w:t>
            </w:r>
            <w:r>
              <w:rPr>
                <w:rFonts w:hint="eastAsia"/>
                <w:color w:val="auto"/>
              </w:rPr>
              <w:t>购买文件</w:t>
            </w:r>
            <w:r>
              <w:rPr>
                <w:color w:val="auto"/>
              </w:rPr>
              <w:t>]</w:t>
            </w:r>
            <w:r>
              <w:rPr>
                <w:rFonts w:hint="eastAsia"/>
                <w:color w:val="auto"/>
              </w:rPr>
              <w:t>菜单，搜索到本项目后，点击[立即购买</w:t>
            </w:r>
            <w:r>
              <w:rPr>
                <w:color w:val="auto"/>
              </w:rPr>
              <w:t>]</w:t>
            </w:r>
            <w:r>
              <w:rPr>
                <w:rFonts w:hint="eastAsia"/>
                <w:color w:val="auto"/>
              </w:rPr>
              <w:t>填写相应信息后提交并完成相关操作（该操作过程仅作为获取保证金账号的前置操作，完全免费）。随后，点击[投标管理] —[获取文件及电子发票]菜单，找到本项目后，点击[查看子账号]按钮，查看具体的账户信息后，于投标文件递交截止时间前将投标保证金汇至此账户。账户信息获取的具体操作可详见：“综合办公—常用文件—中化招投标平台－投标人操作手册”。各供应商各包件保证金子账号不同，请留意。</w:t>
            </w:r>
            <w:r>
              <w:rPr>
                <w:color w:val="auto"/>
              </w:rPr>
              <w:br w:type="textWrapping"/>
            </w:r>
            <w:r>
              <w:rPr>
                <w:rFonts w:hint="eastAsia"/>
                <w:color w:val="auto"/>
              </w:rPr>
              <w:t>注意：投标保证金形式为电汇之外的其它形式的投标人，仍需按上述操作步骤获取保证金子账号，以便采购人、采购代理机构在发生投标人须知第</w:t>
            </w:r>
            <w:r>
              <w:rPr>
                <w:color w:val="auto"/>
              </w:rPr>
              <w:fldChar w:fldCharType="begin"/>
            </w:r>
            <w:r>
              <w:rPr>
                <w:color w:val="auto"/>
              </w:rPr>
              <w:instrText xml:space="preserve"> </w:instrText>
            </w:r>
            <w:r>
              <w:rPr>
                <w:rFonts w:hint="eastAsia"/>
                <w:color w:val="auto"/>
              </w:rPr>
              <w:instrText xml:space="preserve">REF _Ref469991105 \r \h</w:instrText>
            </w:r>
            <w:r>
              <w:rPr>
                <w:color w:val="auto"/>
              </w:rPr>
              <w:instrText xml:space="preserve"> </w:instrText>
            </w:r>
            <w:r>
              <w:rPr>
                <w:color w:val="auto"/>
              </w:rPr>
              <w:fldChar w:fldCharType="separate"/>
            </w:r>
            <w:r>
              <w:rPr>
                <w:color w:val="auto"/>
              </w:rPr>
              <w:t>13.4</w:t>
            </w:r>
            <w:r>
              <w:rPr>
                <w:color w:val="auto"/>
              </w:rPr>
              <w:fldChar w:fldCharType="end"/>
            </w:r>
            <w:r>
              <w:rPr>
                <w:rFonts w:hint="eastAsia"/>
                <w:color w:val="auto"/>
              </w:rPr>
              <w:t>条所述情形时能够从担保机构获得支付。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0"/>
              <w:tabs>
                <w:tab w:val="left" w:pos="381"/>
              </w:tabs>
              <w:rPr>
                <w:rFonts w:hAnsi="楷体" w:cs="Arial"/>
                <w:color w:val="000000"/>
              </w:rPr>
            </w:pPr>
          </w:p>
        </w:tc>
        <w:tc>
          <w:tcPr>
            <w:tcW w:w="850" w:type="dxa"/>
            <w:tcBorders>
              <w:bottom w:val="single" w:color="auto" w:sz="4" w:space="0"/>
            </w:tcBorders>
            <w:vAlign w:val="center"/>
          </w:tcPr>
          <w:p>
            <w:pPr>
              <w:pStyle w:val="50"/>
            </w:pPr>
          </w:p>
        </w:tc>
        <w:tc>
          <w:tcPr>
            <w:tcW w:w="7230" w:type="dxa"/>
            <w:tcBorders>
              <w:bottom w:val="single" w:color="auto" w:sz="4" w:space="0"/>
            </w:tcBorders>
          </w:tcPr>
          <w:p>
            <w:pPr>
              <w:spacing w:line="240" w:lineRule="auto"/>
              <w:jc w:val="center"/>
              <w:rPr>
                <w:rFonts w:cs="Times New Roman" w:hAnsiTheme="minorEastAsia"/>
                <w:b/>
              </w:rPr>
            </w:pPr>
            <w:r>
              <w:rPr>
                <w:rFonts w:hint="eastAsia" w:cs="Times New Roman" w:hAnsiTheme="minorEastAsia"/>
                <w:b/>
              </w:rPr>
              <w:t>四、投标文件的递交</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0"/>
              <w:numPr>
                <w:ilvl w:val="0"/>
                <w:numId w:val="8"/>
              </w:numPr>
              <w:tabs>
                <w:tab w:val="left" w:pos="381"/>
              </w:tabs>
              <w:ind w:left="0" w:firstLine="0"/>
              <w:rPr>
                <w:rFonts w:hAnsi="楷体" w:cs="Arial"/>
                <w:color w:val="000000"/>
              </w:rPr>
            </w:pPr>
            <w:bookmarkStart w:id="51" w:name="_Ref51533235"/>
            <w:r>
              <w:rPr>
                <w:rFonts w:hint="eastAsia" w:hAnsi="楷体" w:cs="Arial"/>
                <w:color w:val="000000"/>
              </w:rPr>
              <w:t>投标文件的外包装</w:t>
            </w:r>
            <w:bookmarkEnd w:id="51"/>
          </w:p>
        </w:tc>
        <w:tc>
          <w:tcPr>
            <w:tcW w:w="850" w:type="dxa"/>
            <w:tcBorders>
              <w:bottom w:val="single" w:color="auto" w:sz="4" w:space="0"/>
            </w:tcBorders>
            <w:vAlign w:val="center"/>
          </w:tcPr>
          <w:p>
            <w:pPr>
              <w:pStyle w:val="50"/>
            </w:pPr>
            <w:r>
              <w:fldChar w:fldCharType="begin"/>
            </w:r>
            <w:r>
              <w:instrText xml:space="preserve"> REF _Ref51612377 \r \h </w:instrText>
            </w:r>
            <w:r>
              <w:fldChar w:fldCharType="separate"/>
            </w:r>
            <w:r>
              <w:t>14.1</w:t>
            </w:r>
            <w:r>
              <w:fldChar w:fldCharType="end"/>
            </w:r>
          </w:p>
        </w:tc>
        <w:tc>
          <w:tcPr>
            <w:tcW w:w="7230" w:type="dxa"/>
            <w:tcBorders>
              <w:bottom w:val="single" w:color="auto" w:sz="4" w:space="0"/>
            </w:tcBorders>
          </w:tcPr>
          <w:p>
            <w:pPr>
              <w:pStyle w:val="48"/>
              <w:numPr>
                <w:ilvl w:val="0"/>
                <w:numId w:val="14"/>
              </w:numPr>
            </w:pPr>
            <w:r>
              <w:rPr>
                <w:rFonts w:hint="eastAsia"/>
              </w:rPr>
              <w:t>投标人应将投标文件纸质正本和副本进行包装，在包装袋上标明投标项目名称、项目编号、包件号、包件名称、投标人名称、“正本”或“副本”和“于</w:t>
            </w:r>
            <w:r>
              <w:rPr>
                <w:rFonts w:hint="eastAsia"/>
                <w:u w:val="single"/>
              </w:rPr>
              <w:t>【投标截止时间】</w:t>
            </w:r>
            <w:r>
              <w:rPr>
                <w:rFonts w:hint="eastAsia"/>
              </w:rPr>
              <w:t>之前不得启封”的字样。</w:t>
            </w:r>
          </w:p>
          <w:p>
            <w:pPr>
              <w:pStyle w:val="48"/>
            </w:pPr>
            <w:r>
              <w:rPr>
                <w:rFonts w:hint="eastAsia"/>
              </w:rPr>
              <w:t>投标人应将正本的“开标一览表”单独置于一个包装袋内，在包装袋上标明投标项目名称、项目编号、包件号、包件名称、投标人名称、并在该密封包装袋上标明“开标一览表”字样。</w:t>
            </w:r>
          </w:p>
          <w:p>
            <w:pPr>
              <w:pStyle w:val="48"/>
            </w:pPr>
            <w:r>
              <w:rPr>
                <w:rFonts w:hint="eastAsia"/>
              </w:rPr>
              <w:t>投标人应将投标文件电子文档单独置于一个包装袋内，并在该包装袋上标明投标项目名称、项目编号、包件号、包件名称、投标人名称、“电子文档”和“于</w:t>
            </w:r>
            <w:r>
              <w:rPr>
                <w:rFonts w:hint="eastAsia"/>
                <w:u w:val="single"/>
              </w:rPr>
              <w:t>【投标截止时间】</w:t>
            </w:r>
            <w:r>
              <w:rPr>
                <w:rFonts w:hint="eastAsia"/>
              </w:rPr>
              <w:t>之前不得启封”的字样。投标保证金或其凭证和投标人开票信息表单独置于一个包装袋内，并在该包装袋上标明投标项目名称、项目编号、包件号、包件名称、投标人名称、“投标保证金和开票信息”和“于</w:t>
            </w:r>
            <w:r>
              <w:rPr>
                <w:rFonts w:hint="eastAsia"/>
                <w:u w:val="single"/>
              </w:rPr>
              <w:t>【投标截止时间】</w:t>
            </w:r>
            <w:r>
              <w:rPr>
                <w:rFonts w:hint="eastAsia"/>
              </w:rPr>
              <w:t>之前不得启封”的字样。</w:t>
            </w:r>
          </w:p>
          <w:p>
            <w:pPr>
              <w:pStyle w:val="48"/>
            </w:pPr>
            <w:r>
              <w:rPr>
                <w:rFonts w:hint="eastAsia"/>
              </w:rPr>
              <w:t>若投标文件有其它组成部分或分册装订等情况，除均应按上述第1条规定包装、标记外，还应尽量注明包装袋内的内容（例如“资格、资信证明文件册”“商务技术册”“上册”、“下册”、“图纸”或“附件”等）。</w:t>
            </w:r>
          </w:p>
          <w:p>
            <w:pPr>
              <w:pStyle w:val="48"/>
              <w:numPr>
                <w:ilvl w:val="0"/>
                <w:numId w:val="14"/>
              </w:numPr>
            </w:pPr>
            <w:r>
              <w:rPr>
                <w:rFonts w:hint="eastAsia"/>
              </w:rPr>
              <w:t>投标人在投标截止时间前提交对其投标文件的修改（包括对开标一览表中价格的修改）的通知（如有）的，应按本须知</w:t>
            </w:r>
            <w:r>
              <w:fldChar w:fldCharType="begin"/>
            </w:r>
            <w:r>
              <w:instrText xml:space="preserve"> </w:instrText>
            </w:r>
            <w:r>
              <w:rPr>
                <w:rFonts w:hint="eastAsia"/>
              </w:rPr>
              <w:instrText xml:space="preserve">REF _Ref51614542 \r \h</w:instrText>
            </w:r>
            <w:r>
              <w:instrText xml:space="preserve"> </w:instrText>
            </w:r>
            <w:r>
              <w:fldChar w:fldCharType="separate"/>
            </w:r>
            <w:r>
              <w:t>17.2</w:t>
            </w:r>
            <w:r>
              <w:fldChar w:fldCharType="end"/>
            </w:r>
            <w:r>
              <w:rPr>
                <w:rFonts w:hint="eastAsia"/>
              </w:rPr>
              <w:t>条规定施加明显标记并包装和密封，以便在开标时一并唱出。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0"/>
              <w:tabs>
                <w:tab w:val="left" w:pos="381"/>
              </w:tabs>
              <w:rPr>
                <w:rFonts w:hAnsi="楷体" w:cs="Arial"/>
                <w:color w:val="000000"/>
              </w:rPr>
            </w:pPr>
          </w:p>
        </w:tc>
        <w:tc>
          <w:tcPr>
            <w:tcW w:w="850" w:type="dxa"/>
            <w:tcBorders>
              <w:bottom w:val="single" w:color="auto" w:sz="4" w:space="0"/>
            </w:tcBorders>
            <w:vAlign w:val="center"/>
          </w:tcPr>
          <w:p>
            <w:pPr>
              <w:pStyle w:val="50"/>
            </w:pPr>
          </w:p>
        </w:tc>
        <w:tc>
          <w:tcPr>
            <w:tcW w:w="7230" w:type="dxa"/>
            <w:tcBorders>
              <w:bottom w:val="single" w:color="auto" w:sz="4" w:space="0"/>
            </w:tcBorders>
          </w:tcPr>
          <w:p>
            <w:pPr>
              <w:spacing w:line="240" w:lineRule="auto"/>
              <w:jc w:val="center"/>
              <w:rPr>
                <w:rFonts w:cs="Times New Roman" w:hAnsiTheme="minorEastAsia"/>
                <w:b/>
              </w:rPr>
            </w:pPr>
            <w:r>
              <w:rPr>
                <w:rFonts w:hint="eastAsia" w:cs="Times New Roman" w:hAnsiTheme="minorEastAsia"/>
                <w:b/>
              </w:rPr>
              <w:t>五、开标与评标</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0"/>
              <w:numPr>
                <w:ilvl w:val="0"/>
                <w:numId w:val="8"/>
              </w:numPr>
              <w:tabs>
                <w:tab w:val="left" w:pos="381"/>
              </w:tabs>
              <w:ind w:left="0" w:firstLine="0"/>
              <w:rPr>
                <w:rFonts w:hAnsi="楷体" w:cs="Arial"/>
                <w:color w:val="000000"/>
              </w:rPr>
            </w:pPr>
            <w:bookmarkStart w:id="52" w:name="_Ref51615771"/>
            <w:r>
              <w:rPr>
                <w:rFonts w:hint="eastAsia" w:hAnsi="楷体" w:cs="Arial"/>
                <w:color w:val="000000"/>
              </w:rPr>
              <w:t>其它无效投标情况</w:t>
            </w:r>
            <w:bookmarkEnd w:id="52"/>
          </w:p>
        </w:tc>
        <w:tc>
          <w:tcPr>
            <w:tcW w:w="850" w:type="dxa"/>
            <w:tcBorders>
              <w:bottom w:val="single" w:color="auto" w:sz="4" w:space="0"/>
            </w:tcBorders>
            <w:vAlign w:val="center"/>
          </w:tcPr>
          <w:p>
            <w:pPr>
              <w:pStyle w:val="50"/>
            </w:pPr>
            <w:r>
              <w:fldChar w:fldCharType="begin"/>
            </w:r>
            <w:r>
              <w:instrText xml:space="preserve"> </w:instrText>
            </w:r>
            <w:r>
              <w:rPr>
                <w:rFonts w:hint="eastAsia"/>
              </w:rPr>
              <w:instrText xml:space="preserve">REF _Ref53227820 \r \h</w:instrText>
            </w:r>
            <w:r>
              <w:instrText xml:space="preserve">  \* MERGEFORMAT </w:instrText>
            </w:r>
            <w:r>
              <w:fldChar w:fldCharType="separate"/>
            </w:r>
            <w:r>
              <w:t>21.2</w:t>
            </w:r>
            <w:r>
              <w:fldChar w:fldCharType="end"/>
            </w:r>
            <w:r>
              <w:rPr>
                <w:rFonts w:hint="eastAsia"/>
              </w:rPr>
              <w:t>（2）</w:t>
            </w:r>
          </w:p>
        </w:tc>
        <w:tc>
          <w:tcPr>
            <w:tcW w:w="7230" w:type="dxa"/>
            <w:tcBorders>
              <w:bottom w:val="single" w:color="auto" w:sz="4" w:space="0"/>
            </w:tcBorders>
            <w:vAlign w:val="center"/>
          </w:tcPr>
          <w:p>
            <w:pPr>
              <w:pStyle w:val="50"/>
              <w:rPr>
                <w:color w:val="auto"/>
              </w:rPr>
            </w:pPr>
            <w:r>
              <w:rPr>
                <w:rFonts w:hint="eastAsia"/>
                <w:color w:val="auto"/>
              </w:rPr>
              <w:t>1）服务期限不满足招标文件要求的；</w:t>
            </w:r>
          </w:p>
          <w:p>
            <w:pPr>
              <w:pStyle w:val="50"/>
              <w:rPr>
                <w:color w:val="auto"/>
              </w:rPr>
            </w:pPr>
            <w:r>
              <w:rPr>
                <w:rFonts w:hint="eastAsia"/>
                <w:color w:val="auto"/>
                <w:lang w:val="en-US" w:eastAsia="zh-CN"/>
              </w:rPr>
              <w:t>2</w:t>
            </w:r>
            <w:r>
              <w:rPr>
                <w:rFonts w:hint="eastAsia"/>
                <w:color w:val="auto"/>
              </w:rPr>
              <w:t>）评标委员会认为投标人的报价明显低于其他通过符合性审查投标人的报价，有可能影响产品质量或者不能诚信履约的，在要求其在评标现场合理的时间内提供书面说明或相关证明材料后，投标人不能证明其报价合理性的；</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0"/>
              <w:numPr>
                <w:ilvl w:val="0"/>
                <w:numId w:val="8"/>
              </w:numPr>
              <w:tabs>
                <w:tab w:val="left" w:pos="381"/>
              </w:tabs>
              <w:ind w:left="0" w:firstLine="0"/>
              <w:rPr>
                <w:rFonts w:hAnsi="楷体" w:cs="Arial"/>
                <w:color w:val="000000"/>
              </w:rPr>
            </w:pPr>
            <w:bookmarkStart w:id="53" w:name="_Ref53228379"/>
            <w:r>
              <w:rPr>
                <w:rFonts w:hint="eastAsia" w:hAnsi="楷体" w:cs="Arial"/>
                <w:color w:val="000000"/>
              </w:rPr>
              <w:t>核心产品</w:t>
            </w:r>
            <w:bookmarkEnd w:id="53"/>
          </w:p>
        </w:tc>
        <w:tc>
          <w:tcPr>
            <w:tcW w:w="850" w:type="dxa"/>
            <w:tcBorders>
              <w:bottom w:val="single" w:color="auto" w:sz="4" w:space="0"/>
            </w:tcBorders>
            <w:vAlign w:val="center"/>
          </w:tcPr>
          <w:p>
            <w:pPr>
              <w:pStyle w:val="50"/>
            </w:pPr>
            <w:r>
              <w:fldChar w:fldCharType="begin"/>
            </w:r>
            <w:r>
              <w:instrText xml:space="preserve"> REF _Ref492910465 \r \h  \* MERGEFORMAT </w:instrText>
            </w:r>
            <w:r>
              <w:fldChar w:fldCharType="separate"/>
            </w:r>
            <w:r>
              <w:t>21.6</w:t>
            </w:r>
            <w:r>
              <w:fldChar w:fldCharType="end"/>
            </w:r>
          </w:p>
        </w:tc>
        <w:tc>
          <w:tcPr>
            <w:tcW w:w="7230" w:type="dxa"/>
            <w:tcBorders>
              <w:bottom w:val="single" w:color="auto" w:sz="4" w:space="0"/>
            </w:tcBorders>
          </w:tcPr>
          <w:p>
            <w:pPr>
              <w:pStyle w:val="50"/>
              <w:rPr>
                <w:rFonts w:hint="eastAsia"/>
                <w:bCs/>
                <w:color w:val="auto"/>
              </w:rPr>
            </w:pPr>
          </w:p>
          <w:p>
            <w:pPr>
              <w:pStyle w:val="50"/>
              <w:rPr>
                <w:color w:val="auto"/>
              </w:rPr>
            </w:pPr>
            <w:r>
              <w:rPr>
                <w:rFonts w:hint="eastAsia"/>
                <w:bCs/>
                <w:color w:val="auto"/>
              </w:rPr>
              <w:t>本项目为服务类项目，此条不适用</w:t>
            </w:r>
          </w:p>
          <w:p>
            <w:pPr>
              <w:pStyle w:val="50"/>
              <w:rPr>
                <w:color w:val="auto"/>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0"/>
              <w:numPr>
                <w:ilvl w:val="0"/>
                <w:numId w:val="8"/>
              </w:numPr>
              <w:tabs>
                <w:tab w:val="left" w:pos="381"/>
              </w:tabs>
              <w:ind w:left="0" w:firstLine="0"/>
              <w:rPr>
                <w:rFonts w:hAnsi="楷体" w:cs="Arial"/>
                <w:color w:val="000000"/>
              </w:rPr>
            </w:pPr>
            <w:bookmarkStart w:id="54" w:name="_Ref53228388"/>
            <w:r>
              <w:rPr>
                <w:rFonts w:hAnsi="楷体" w:cs="Arial"/>
                <w:color w:val="000000"/>
              </w:rPr>
              <w:t>提供相同品牌产品的不同投标人的中标候选人推荐原则</w:t>
            </w:r>
            <w:bookmarkEnd w:id="54"/>
          </w:p>
        </w:tc>
        <w:tc>
          <w:tcPr>
            <w:tcW w:w="850" w:type="dxa"/>
            <w:tcBorders>
              <w:bottom w:val="single" w:color="auto" w:sz="4" w:space="0"/>
            </w:tcBorders>
            <w:vAlign w:val="center"/>
          </w:tcPr>
          <w:p>
            <w:pPr>
              <w:pStyle w:val="50"/>
            </w:pPr>
            <w:r>
              <w:fldChar w:fldCharType="begin"/>
            </w:r>
            <w:r>
              <w:instrText xml:space="preserve"> REF _Ref51616071 \r \h </w:instrText>
            </w:r>
            <w:r>
              <w:fldChar w:fldCharType="separate"/>
            </w:r>
            <w:r>
              <w:t>24.2</w:t>
            </w:r>
            <w:r>
              <w:fldChar w:fldCharType="end"/>
            </w:r>
          </w:p>
          <w:p>
            <w:pPr>
              <w:pStyle w:val="50"/>
            </w:pPr>
            <w:r>
              <w:fldChar w:fldCharType="begin"/>
            </w:r>
            <w:r>
              <w:instrText xml:space="preserve"> </w:instrText>
            </w:r>
            <w:r>
              <w:rPr>
                <w:rFonts w:hint="eastAsia"/>
              </w:rPr>
              <w:instrText xml:space="preserve">REF _Ref51616077 \r \h</w:instrText>
            </w:r>
            <w:r>
              <w:instrText xml:space="preserve">  \* MERGEFORMAT </w:instrText>
            </w:r>
            <w:r>
              <w:fldChar w:fldCharType="separate"/>
            </w:r>
            <w:r>
              <w:t>24.3</w:t>
            </w:r>
            <w:r>
              <w:fldChar w:fldCharType="end"/>
            </w:r>
          </w:p>
        </w:tc>
        <w:tc>
          <w:tcPr>
            <w:tcW w:w="7230" w:type="dxa"/>
            <w:tcBorders>
              <w:bottom w:val="single" w:color="auto" w:sz="4" w:space="0"/>
            </w:tcBorders>
          </w:tcPr>
          <w:p>
            <w:pPr>
              <w:pStyle w:val="50"/>
              <w:rPr>
                <w:rFonts w:hint="eastAsia"/>
                <w:color w:val="auto"/>
              </w:rPr>
            </w:pPr>
          </w:p>
          <w:p>
            <w:pPr>
              <w:pStyle w:val="50"/>
              <w:rPr>
                <w:rFonts w:hint="eastAsia"/>
                <w:color w:val="auto"/>
              </w:rPr>
            </w:pPr>
          </w:p>
          <w:p>
            <w:pPr>
              <w:pStyle w:val="50"/>
              <w:rPr>
                <w:color w:val="auto"/>
              </w:rPr>
            </w:pPr>
            <w:r>
              <w:rPr>
                <w:rFonts w:hint="eastAsia"/>
                <w:color w:val="auto"/>
              </w:rPr>
              <w:t>本项目为服务类项目，此条不适用</w:t>
            </w:r>
          </w:p>
          <w:p>
            <w:pPr>
              <w:pStyle w:val="48"/>
              <w:numPr>
                <w:ilvl w:val="0"/>
                <w:numId w:val="0"/>
              </w:numPr>
              <w:ind w:leftChars="0"/>
              <w:rPr>
                <w:color w:val="auto"/>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0" w:hRule="atLeast"/>
        </w:trPr>
        <w:tc>
          <w:tcPr>
            <w:tcW w:w="1403" w:type="dxa"/>
            <w:tcBorders>
              <w:top w:val="single" w:color="auto" w:sz="4" w:space="0"/>
            </w:tcBorders>
            <w:vAlign w:val="center"/>
          </w:tcPr>
          <w:p/>
        </w:tc>
        <w:tc>
          <w:tcPr>
            <w:tcW w:w="850" w:type="dxa"/>
            <w:tcBorders>
              <w:top w:val="single" w:color="auto" w:sz="4" w:space="0"/>
            </w:tcBorders>
            <w:vAlign w:val="center"/>
          </w:tcPr>
          <w:p>
            <w:pPr>
              <w:pStyle w:val="50"/>
            </w:pPr>
          </w:p>
        </w:tc>
        <w:tc>
          <w:tcPr>
            <w:tcW w:w="7230" w:type="dxa"/>
            <w:tcBorders>
              <w:top w:val="single" w:color="auto" w:sz="4" w:space="0"/>
            </w:tcBorders>
            <w:vAlign w:val="center"/>
          </w:tcPr>
          <w:p>
            <w:pPr>
              <w:spacing w:line="240" w:lineRule="auto"/>
              <w:jc w:val="center"/>
              <w:rPr>
                <w:rFonts w:cs="Times New Roman" w:hAnsiTheme="minorEastAsia"/>
                <w:b/>
              </w:rPr>
            </w:pPr>
            <w:r>
              <w:rPr>
                <w:rFonts w:hint="eastAsia" w:cs="Times New Roman" w:hAnsiTheme="minorEastAsia"/>
                <w:b/>
              </w:rPr>
              <w:t>六、授予合同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6" w:hRule="atLeast"/>
        </w:trPr>
        <w:tc>
          <w:tcPr>
            <w:tcW w:w="1403" w:type="dxa"/>
            <w:vAlign w:val="center"/>
          </w:tcPr>
          <w:p>
            <w:pPr>
              <w:pStyle w:val="50"/>
              <w:numPr>
                <w:ilvl w:val="0"/>
                <w:numId w:val="8"/>
              </w:numPr>
              <w:tabs>
                <w:tab w:val="left" w:pos="381"/>
              </w:tabs>
              <w:ind w:left="0" w:firstLine="0"/>
              <w:rPr>
                <w:rFonts w:hAnsi="楷体" w:cs="Arial"/>
                <w:color w:val="000000"/>
              </w:rPr>
            </w:pPr>
            <w:bookmarkStart w:id="55" w:name="_Ref51684695"/>
            <w:r>
              <w:rPr>
                <w:rFonts w:hint="eastAsia" w:hAnsi="楷体" w:cs="Arial"/>
                <w:color w:val="000000"/>
              </w:rPr>
              <w:t>定标主体</w:t>
            </w:r>
            <w:bookmarkEnd w:id="55"/>
          </w:p>
        </w:tc>
        <w:tc>
          <w:tcPr>
            <w:tcW w:w="850" w:type="dxa"/>
            <w:vAlign w:val="center"/>
          </w:tcPr>
          <w:p>
            <w:pPr>
              <w:pStyle w:val="50"/>
            </w:pPr>
            <w:r>
              <w:fldChar w:fldCharType="begin"/>
            </w:r>
            <w:r>
              <w:instrText xml:space="preserve"> REF _Ref51684061 \r \h  \* MERGEFORMAT </w:instrText>
            </w:r>
            <w:r>
              <w:fldChar w:fldCharType="separate"/>
            </w:r>
            <w:r>
              <w:t>26.1</w:t>
            </w:r>
            <w:r>
              <w:fldChar w:fldCharType="end"/>
            </w:r>
          </w:p>
        </w:tc>
        <w:tc>
          <w:tcPr>
            <w:tcW w:w="7230" w:type="dxa"/>
            <w:vAlign w:val="center"/>
          </w:tcPr>
          <w:p>
            <w:pPr>
              <w:pStyle w:val="50"/>
              <w:rPr>
                <w:iCs/>
                <w:color w:val="auto"/>
              </w:rPr>
            </w:pPr>
            <w:r>
              <w:rPr>
                <w:rFonts w:hint="eastAsia"/>
                <w:iCs/>
                <w:color w:val="auto"/>
              </w:rPr>
              <w:t>采购人确定中标人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pPr>
              <w:pStyle w:val="50"/>
              <w:numPr>
                <w:ilvl w:val="0"/>
                <w:numId w:val="8"/>
              </w:numPr>
              <w:tabs>
                <w:tab w:val="left" w:pos="381"/>
              </w:tabs>
              <w:ind w:left="0" w:firstLine="0"/>
            </w:pPr>
            <w:bookmarkStart w:id="56" w:name="_Ref51684703"/>
            <w:r>
              <w:rPr>
                <w:rFonts w:hint="eastAsia"/>
              </w:rPr>
              <w:t>中标候选人并列的处理</w:t>
            </w:r>
            <w:bookmarkEnd w:id="56"/>
          </w:p>
        </w:tc>
        <w:tc>
          <w:tcPr>
            <w:tcW w:w="850" w:type="dxa"/>
            <w:vAlign w:val="center"/>
          </w:tcPr>
          <w:p>
            <w:pPr>
              <w:pStyle w:val="50"/>
            </w:pPr>
            <w:r>
              <w:fldChar w:fldCharType="begin"/>
            </w:r>
            <w:r>
              <w:instrText xml:space="preserve"> REF _Ref51684068 \r \h  \* MERGEFORMAT </w:instrText>
            </w:r>
            <w:r>
              <w:fldChar w:fldCharType="separate"/>
            </w:r>
            <w:r>
              <w:t>26.2</w:t>
            </w:r>
            <w:r>
              <w:fldChar w:fldCharType="end"/>
            </w:r>
          </w:p>
        </w:tc>
        <w:tc>
          <w:tcPr>
            <w:tcW w:w="7230" w:type="dxa"/>
            <w:vAlign w:val="center"/>
          </w:tcPr>
          <w:p>
            <w:pPr>
              <w:pStyle w:val="50"/>
              <w:rPr>
                <w:color w:val="auto"/>
              </w:rPr>
            </w:pPr>
            <w:r>
              <w:rPr>
                <w:rFonts w:hint="eastAsia"/>
                <w:color w:val="auto"/>
              </w:rPr>
              <w:t>中标候选人并列的，采购人将确定技术部分得分较高者为中标人。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pPr>
              <w:pStyle w:val="50"/>
              <w:numPr>
                <w:ilvl w:val="0"/>
                <w:numId w:val="8"/>
              </w:numPr>
              <w:tabs>
                <w:tab w:val="left" w:pos="381"/>
              </w:tabs>
              <w:ind w:left="0" w:firstLine="0"/>
              <w:rPr>
                <w:color w:val="auto"/>
              </w:rPr>
            </w:pPr>
            <w:bookmarkStart w:id="57" w:name="_Ref53228485"/>
            <w:r>
              <w:rPr>
                <w:rFonts w:ascii="楷体" w:hAnsi="楷体" w:eastAsia="楷体" w:cs="Arial"/>
                <w:color w:val="auto"/>
              </w:rPr>
              <w:t>分包要求</w:t>
            </w:r>
            <w:bookmarkEnd w:id="57"/>
          </w:p>
        </w:tc>
        <w:tc>
          <w:tcPr>
            <w:tcW w:w="850" w:type="dxa"/>
            <w:vAlign w:val="center"/>
          </w:tcPr>
          <w:p>
            <w:pPr>
              <w:pStyle w:val="50"/>
              <w:rPr>
                <w:color w:val="auto"/>
              </w:rPr>
            </w:pPr>
            <w:r>
              <w:rPr>
                <w:color w:val="auto"/>
              </w:rPr>
              <w:fldChar w:fldCharType="begin"/>
            </w:r>
            <w:r>
              <w:rPr>
                <w:color w:val="auto"/>
              </w:rPr>
              <w:instrText xml:space="preserve"> REF _Ref51684086 \r \h  \* MERGEFORMAT </w:instrText>
            </w:r>
            <w:r>
              <w:rPr>
                <w:color w:val="auto"/>
              </w:rPr>
              <w:fldChar w:fldCharType="separate"/>
            </w:r>
            <w:r>
              <w:rPr>
                <w:color w:val="auto"/>
              </w:rPr>
              <w:t>28.2</w:t>
            </w:r>
            <w:r>
              <w:rPr>
                <w:color w:val="auto"/>
              </w:rPr>
              <w:fldChar w:fldCharType="end"/>
            </w:r>
          </w:p>
        </w:tc>
        <w:tc>
          <w:tcPr>
            <w:tcW w:w="7230" w:type="dxa"/>
            <w:vAlign w:val="center"/>
          </w:tcPr>
          <w:p>
            <w:pPr>
              <w:pStyle w:val="50"/>
              <w:rPr>
                <w:color w:val="auto"/>
              </w:rPr>
            </w:pPr>
            <w:r>
              <w:rPr>
                <w:rFonts w:hint="eastAsia"/>
                <w:bCs/>
                <w:color w:val="auto"/>
                <w:lang w:eastAsia="zh-CN"/>
              </w:rPr>
              <w:t>不</w:t>
            </w:r>
            <w:r>
              <w:rPr>
                <w:bCs/>
                <w:color w:val="auto"/>
              </w:rPr>
              <w:t>允许</w:t>
            </w:r>
            <w:r>
              <w:rPr>
                <w:rFonts w:hint="eastAsia"/>
                <w:bCs/>
                <w:color w:val="auto"/>
              </w:rPr>
              <w:t>分包</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pPr>
              <w:pStyle w:val="50"/>
              <w:numPr>
                <w:ilvl w:val="0"/>
                <w:numId w:val="8"/>
              </w:numPr>
              <w:tabs>
                <w:tab w:val="left" w:pos="381"/>
              </w:tabs>
              <w:ind w:left="0" w:firstLine="0"/>
            </w:pPr>
            <w:bookmarkStart w:id="58" w:name="_Ref53228540"/>
            <w:r>
              <w:rPr>
                <w:rFonts w:hAnsi="楷体" w:cs="Arial"/>
                <w:color w:val="000000"/>
              </w:rPr>
              <w:t>招标代理服务费</w:t>
            </w:r>
            <w:bookmarkEnd w:id="58"/>
          </w:p>
        </w:tc>
        <w:tc>
          <w:tcPr>
            <w:tcW w:w="850" w:type="dxa"/>
            <w:vAlign w:val="center"/>
          </w:tcPr>
          <w:p>
            <w:pPr>
              <w:pStyle w:val="50"/>
            </w:pPr>
            <w:r>
              <w:fldChar w:fldCharType="begin"/>
            </w:r>
            <w:r>
              <w:instrText xml:space="preserve"> REF _Ref506187614 \r \h  \* MERGEFORMAT </w:instrText>
            </w:r>
            <w:r>
              <w:fldChar w:fldCharType="separate"/>
            </w:r>
            <w:r>
              <w:t>29.1</w:t>
            </w:r>
            <w:r>
              <w:fldChar w:fldCharType="end"/>
            </w:r>
          </w:p>
        </w:tc>
        <w:tc>
          <w:tcPr>
            <w:tcW w:w="7230" w:type="dxa"/>
            <w:vAlign w:val="center"/>
          </w:tcPr>
          <w:p>
            <w:pPr>
              <w:pStyle w:val="50"/>
            </w:pPr>
            <w:r>
              <w:rPr>
                <w:rFonts w:hint="eastAsia"/>
              </w:rPr>
              <w:t>中标人</w:t>
            </w:r>
            <w:r>
              <w:t>在领取</w:t>
            </w:r>
            <w:r>
              <w:rPr>
                <w:rFonts w:hint="eastAsia"/>
              </w:rPr>
              <w:t>中标</w:t>
            </w:r>
            <w:r>
              <w:t>通知书</w:t>
            </w:r>
            <w:r>
              <w:rPr>
                <w:rFonts w:hint="eastAsia"/>
              </w:rPr>
              <w:t>的同时</w:t>
            </w:r>
            <w:r>
              <w:t>，以</w:t>
            </w:r>
            <w:r>
              <w:rPr>
                <w:rFonts w:hint="eastAsia"/>
              </w:rPr>
              <w:t>中标</w:t>
            </w:r>
            <w:r>
              <w:t>金额为基数，按照</w:t>
            </w:r>
            <w:r>
              <w:rPr>
                <w:rFonts w:hint="eastAsia"/>
              </w:rPr>
              <w:t>原</w:t>
            </w:r>
            <w:r>
              <w:t>计价格[2002]1980号、发改办价格[2003]857号文件规定的服务费标准向</w:t>
            </w:r>
            <w:r>
              <w:rPr>
                <w:rFonts w:hint="eastAsia"/>
              </w:rPr>
              <w:t>采购代理机构</w:t>
            </w:r>
            <w:r>
              <w:t>缴纳</w:t>
            </w:r>
            <w:r>
              <w:rPr>
                <w:rFonts w:hint="eastAsia"/>
              </w:rPr>
              <w:t>招标</w:t>
            </w:r>
            <w:r>
              <w:t>代理服务费</w:t>
            </w:r>
            <w:r>
              <w:rPr>
                <w:rFonts w:hint="eastAsia"/>
              </w:rPr>
              <w:t>，具体如下：</w:t>
            </w:r>
          </w:p>
          <w:tbl>
            <w:tblPr>
              <w:tblStyle w:val="19"/>
              <w:tblW w:w="6500" w:type="dxa"/>
              <w:jc w:val="center"/>
              <w:tblLayout w:type="fixed"/>
              <w:tblCellMar>
                <w:top w:w="0" w:type="dxa"/>
                <w:left w:w="108" w:type="dxa"/>
                <w:bottom w:w="0" w:type="dxa"/>
                <w:right w:w="108" w:type="dxa"/>
              </w:tblCellMar>
            </w:tblPr>
            <w:tblGrid>
              <w:gridCol w:w="2126"/>
              <w:gridCol w:w="1458"/>
              <w:gridCol w:w="1458"/>
              <w:gridCol w:w="1458"/>
            </w:tblGrid>
            <w:tr>
              <w:tblPrEx>
                <w:tblCellMar>
                  <w:top w:w="0" w:type="dxa"/>
                  <w:left w:w="108" w:type="dxa"/>
                  <w:bottom w:w="0" w:type="dxa"/>
                  <w:right w:w="108" w:type="dxa"/>
                </w:tblCellMar>
              </w:tblPrEx>
              <w:trPr>
                <w:trHeight w:val="208" w:hRule="atLeast"/>
                <w:jc w:val="center"/>
              </w:trPr>
              <w:tc>
                <w:tcPr>
                  <w:tcW w:w="2126" w:type="dxa"/>
                  <w:vMerge w:val="restart"/>
                  <w:tcBorders>
                    <w:top w:val="single" w:color="auto" w:sz="8" w:space="0"/>
                    <w:left w:val="single" w:color="auto" w:sz="8" w:space="0"/>
                    <w:bottom w:val="single" w:color="auto" w:sz="4" w:space="0"/>
                    <w:right w:val="single" w:color="auto" w:sz="4" w:space="0"/>
                  </w:tcBorders>
                  <w:shd w:val="clear" w:color="auto" w:fill="auto"/>
                  <w:noWrap/>
                  <w:vAlign w:val="center"/>
                </w:tcPr>
                <w:p>
                  <w:pPr>
                    <w:pStyle w:val="50"/>
                  </w:pPr>
                  <w:r>
                    <w:rPr>
                      <w:rFonts w:hint="eastAsia"/>
                    </w:rPr>
                    <w:t>计算区间</w:t>
                  </w:r>
                </w:p>
                <w:p>
                  <w:pPr>
                    <w:pStyle w:val="50"/>
                  </w:pPr>
                  <w:r>
                    <w:rPr>
                      <w:rFonts w:hint="eastAsia"/>
                    </w:rPr>
                    <w:t>（万元人民币）</w:t>
                  </w:r>
                </w:p>
              </w:tc>
              <w:tc>
                <w:tcPr>
                  <w:tcW w:w="4374" w:type="dxa"/>
                  <w:gridSpan w:val="3"/>
                  <w:tcBorders>
                    <w:top w:val="single" w:color="auto" w:sz="8" w:space="0"/>
                    <w:left w:val="nil"/>
                    <w:bottom w:val="single" w:color="auto" w:sz="4" w:space="0"/>
                    <w:right w:val="single" w:color="auto" w:sz="4" w:space="0"/>
                  </w:tcBorders>
                  <w:shd w:val="clear" w:color="auto" w:fill="auto"/>
                  <w:noWrap/>
                  <w:vAlign w:val="center"/>
                </w:tcPr>
                <w:p>
                  <w:pPr>
                    <w:pStyle w:val="50"/>
                  </w:pPr>
                  <w:r>
                    <w:rPr>
                      <w:rFonts w:hint="eastAsia"/>
                    </w:rPr>
                    <w:t>收费标准</w:t>
                  </w:r>
                </w:p>
              </w:tc>
            </w:tr>
            <w:tr>
              <w:tblPrEx>
                <w:tblCellMar>
                  <w:top w:w="0" w:type="dxa"/>
                  <w:left w:w="108" w:type="dxa"/>
                  <w:bottom w:w="0" w:type="dxa"/>
                  <w:right w:w="108" w:type="dxa"/>
                </w:tblCellMar>
              </w:tblPrEx>
              <w:trPr>
                <w:trHeight w:val="214" w:hRule="atLeast"/>
                <w:jc w:val="center"/>
              </w:trPr>
              <w:tc>
                <w:tcPr>
                  <w:tcW w:w="2126" w:type="dxa"/>
                  <w:vMerge w:val="continue"/>
                  <w:tcBorders>
                    <w:top w:val="single" w:color="auto" w:sz="8" w:space="0"/>
                    <w:left w:val="single" w:color="auto" w:sz="8" w:space="0"/>
                    <w:bottom w:val="single" w:color="auto" w:sz="4" w:space="0"/>
                    <w:right w:val="single" w:color="auto" w:sz="4" w:space="0"/>
                  </w:tcBorders>
                  <w:shd w:val="clear" w:color="auto" w:fill="auto"/>
                  <w:vAlign w:val="center"/>
                </w:tcPr>
                <w:p>
                  <w:pPr>
                    <w:pStyle w:val="50"/>
                  </w:pPr>
                </w:p>
              </w:tc>
              <w:tc>
                <w:tcPr>
                  <w:tcW w:w="1458" w:type="dxa"/>
                  <w:tcBorders>
                    <w:top w:val="nil"/>
                    <w:left w:val="nil"/>
                    <w:bottom w:val="single" w:color="auto" w:sz="4" w:space="0"/>
                    <w:right w:val="single" w:color="auto" w:sz="4" w:space="0"/>
                  </w:tcBorders>
                  <w:shd w:val="clear" w:color="auto" w:fill="auto"/>
                  <w:noWrap/>
                  <w:vAlign w:val="center"/>
                </w:tcPr>
                <w:p>
                  <w:pPr>
                    <w:pStyle w:val="50"/>
                  </w:pPr>
                  <w:r>
                    <w:rPr>
                      <w:rFonts w:hint="eastAsia"/>
                    </w:rPr>
                    <w:t>货物</w:t>
                  </w:r>
                </w:p>
              </w:tc>
              <w:tc>
                <w:tcPr>
                  <w:tcW w:w="1458" w:type="dxa"/>
                  <w:tcBorders>
                    <w:top w:val="nil"/>
                    <w:left w:val="nil"/>
                    <w:bottom w:val="single" w:color="auto" w:sz="4" w:space="0"/>
                    <w:right w:val="single" w:color="auto" w:sz="4" w:space="0"/>
                  </w:tcBorders>
                  <w:shd w:val="clear" w:color="auto" w:fill="auto"/>
                  <w:noWrap/>
                  <w:vAlign w:val="center"/>
                </w:tcPr>
                <w:p>
                  <w:pPr>
                    <w:pStyle w:val="50"/>
                  </w:pPr>
                  <w:r>
                    <w:rPr>
                      <w:rFonts w:hint="eastAsia"/>
                    </w:rPr>
                    <w:t>服务</w:t>
                  </w:r>
                </w:p>
              </w:tc>
              <w:tc>
                <w:tcPr>
                  <w:tcW w:w="1458" w:type="dxa"/>
                  <w:tcBorders>
                    <w:top w:val="nil"/>
                    <w:left w:val="nil"/>
                    <w:bottom w:val="single" w:color="auto" w:sz="4" w:space="0"/>
                    <w:right w:val="single" w:color="auto" w:sz="4" w:space="0"/>
                  </w:tcBorders>
                  <w:shd w:val="clear" w:color="auto" w:fill="auto"/>
                  <w:noWrap/>
                  <w:vAlign w:val="center"/>
                </w:tcPr>
                <w:p>
                  <w:pPr>
                    <w:pStyle w:val="50"/>
                  </w:pPr>
                  <w:r>
                    <w:rPr>
                      <w:rFonts w:hint="eastAsia"/>
                    </w:rPr>
                    <w:t>工程</w:t>
                  </w:r>
                </w:p>
              </w:tc>
            </w:tr>
            <w:tr>
              <w:tblPrEx>
                <w:tblCellMar>
                  <w:top w:w="0" w:type="dxa"/>
                  <w:left w:w="108" w:type="dxa"/>
                  <w:bottom w:w="0" w:type="dxa"/>
                  <w:right w:w="108" w:type="dxa"/>
                </w:tblCellMar>
              </w:tblPrEx>
              <w:trPr>
                <w:trHeight w:val="271" w:hRule="atLeast"/>
                <w:jc w:val="center"/>
              </w:trPr>
              <w:tc>
                <w:tcPr>
                  <w:tcW w:w="2126" w:type="dxa"/>
                  <w:tcBorders>
                    <w:top w:val="nil"/>
                    <w:left w:val="single" w:color="auto" w:sz="8" w:space="0"/>
                    <w:bottom w:val="single" w:color="auto" w:sz="4" w:space="0"/>
                    <w:right w:val="single" w:color="auto" w:sz="4" w:space="0"/>
                  </w:tcBorders>
                  <w:shd w:val="clear" w:color="auto" w:fill="auto"/>
                  <w:vAlign w:val="bottom"/>
                </w:tcPr>
                <w:p>
                  <w:pPr>
                    <w:pStyle w:val="50"/>
                  </w:pPr>
                  <w:r>
                    <w:t>100</w:t>
                  </w:r>
                  <w:r>
                    <w:rPr>
                      <w:rFonts w:hint="eastAsia"/>
                    </w:rPr>
                    <w:t>以下</w:t>
                  </w:r>
                </w:p>
              </w:tc>
              <w:tc>
                <w:tcPr>
                  <w:tcW w:w="1458" w:type="dxa"/>
                  <w:tcBorders>
                    <w:top w:val="nil"/>
                    <w:left w:val="nil"/>
                    <w:bottom w:val="single" w:color="auto" w:sz="4" w:space="0"/>
                    <w:right w:val="single" w:color="auto" w:sz="4" w:space="0"/>
                  </w:tcBorders>
                  <w:shd w:val="clear" w:color="auto" w:fill="auto"/>
                  <w:vAlign w:val="bottom"/>
                </w:tcPr>
                <w:p>
                  <w:pPr>
                    <w:pStyle w:val="50"/>
                  </w:pPr>
                  <w:r>
                    <w:t>1.50%</w:t>
                  </w:r>
                </w:p>
              </w:tc>
              <w:tc>
                <w:tcPr>
                  <w:tcW w:w="1458" w:type="dxa"/>
                  <w:tcBorders>
                    <w:top w:val="nil"/>
                    <w:left w:val="nil"/>
                    <w:bottom w:val="single" w:color="auto" w:sz="4" w:space="0"/>
                    <w:right w:val="single" w:color="auto" w:sz="4" w:space="0"/>
                  </w:tcBorders>
                  <w:shd w:val="clear" w:color="auto" w:fill="auto"/>
                  <w:vAlign w:val="bottom"/>
                </w:tcPr>
                <w:p>
                  <w:pPr>
                    <w:pStyle w:val="50"/>
                  </w:pPr>
                  <w:r>
                    <w:t>1.50%</w:t>
                  </w:r>
                </w:p>
              </w:tc>
              <w:tc>
                <w:tcPr>
                  <w:tcW w:w="1458" w:type="dxa"/>
                  <w:tcBorders>
                    <w:top w:val="nil"/>
                    <w:left w:val="nil"/>
                    <w:bottom w:val="single" w:color="auto" w:sz="4" w:space="0"/>
                    <w:right w:val="single" w:color="auto" w:sz="4" w:space="0"/>
                  </w:tcBorders>
                  <w:shd w:val="clear" w:color="auto" w:fill="auto"/>
                  <w:vAlign w:val="bottom"/>
                </w:tcPr>
                <w:p>
                  <w:pPr>
                    <w:pStyle w:val="50"/>
                  </w:pPr>
                  <w:r>
                    <w:t>1.00%</w:t>
                  </w:r>
                </w:p>
              </w:tc>
            </w:tr>
            <w:tr>
              <w:tblPrEx>
                <w:tblCellMar>
                  <w:top w:w="0" w:type="dxa"/>
                  <w:left w:w="108" w:type="dxa"/>
                  <w:bottom w:w="0" w:type="dxa"/>
                  <w:right w:w="108" w:type="dxa"/>
                </w:tblCellMar>
              </w:tblPrEx>
              <w:trPr>
                <w:trHeight w:val="218" w:hRule="atLeast"/>
                <w:jc w:val="center"/>
              </w:trPr>
              <w:tc>
                <w:tcPr>
                  <w:tcW w:w="2126" w:type="dxa"/>
                  <w:tcBorders>
                    <w:top w:val="nil"/>
                    <w:left w:val="single" w:color="auto" w:sz="8" w:space="0"/>
                    <w:bottom w:val="single" w:color="auto" w:sz="4" w:space="0"/>
                    <w:right w:val="single" w:color="auto" w:sz="4" w:space="0"/>
                  </w:tcBorders>
                  <w:shd w:val="clear" w:color="auto" w:fill="auto"/>
                  <w:vAlign w:val="bottom"/>
                </w:tcPr>
                <w:p>
                  <w:pPr>
                    <w:pStyle w:val="50"/>
                  </w:pPr>
                  <w:r>
                    <w:t>100~500</w:t>
                  </w:r>
                </w:p>
              </w:tc>
              <w:tc>
                <w:tcPr>
                  <w:tcW w:w="1458" w:type="dxa"/>
                  <w:tcBorders>
                    <w:top w:val="nil"/>
                    <w:left w:val="nil"/>
                    <w:bottom w:val="single" w:color="auto" w:sz="4" w:space="0"/>
                    <w:right w:val="single" w:color="auto" w:sz="4" w:space="0"/>
                  </w:tcBorders>
                  <w:shd w:val="clear" w:color="auto" w:fill="auto"/>
                  <w:vAlign w:val="bottom"/>
                </w:tcPr>
                <w:p>
                  <w:pPr>
                    <w:pStyle w:val="50"/>
                  </w:pPr>
                  <w:r>
                    <w:t>1.10%</w:t>
                  </w:r>
                </w:p>
              </w:tc>
              <w:tc>
                <w:tcPr>
                  <w:tcW w:w="1458" w:type="dxa"/>
                  <w:tcBorders>
                    <w:top w:val="nil"/>
                    <w:left w:val="nil"/>
                    <w:bottom w:val="single" w:color="auto" w:sz="4" w:space="0"/>
                    <w:right w:val="single" w:color="auto" w:sz="4" w:space="0"/>
                  </w:tcBorders>
                  <w:shd w:val="clear" w:color="auto" w:fill="auto"/>
                  <w:vAlign w:val="bottom"/>
                </w:tcPr>
                <w:p>
                  <w:pPr>
                    <w:pStyle w:val="50"/>
                  </w:pPr>
                  <w:r>
                    <w:t>0.80%</w:t>
                  </w:r>
                </w:p>
              </w:tc>
              <w:tc>
                <w:tcPr>
                  <w:tcW w:w="1458" w:type="dxa"/>
                  <w:tcBorders>
                    <w:top w:val="nil"/>
                    <w:left w:val="nil"/>
                    <w:bottom w:val="single" w:color="auto" w:sz="4" w:space="0"/>
                    <w:right w:val="single" w:color="auto" w:sz="4" w:space="0"/>
                  </w:tcBorders>
                  <w:shd w:val="clear" w:color="auto" w:fill="auto"/>
                  <w:vAlign w:val="bottom"/>
                </w:tcPr>
                <w:p>
                  <w:pPr>
                    <w:pStyle w:val="50"/>
                  </w:pPr>
                  <w:r>
                    <w:t>0.70%</w:t>
                  </w:r>
                </w:p>
              </w:tc>
            </w:tr>
            <w:tr>
              <w:tblPrEx>
                <w:tblCellMar>
                  <w:top w:w="0" w:type="dxa"/>
                  <w:left w:w="108" w:type="dxa"/>
                  <w:bottom w:w="0" w:type="dxa"/>
                  <w:right w:w="108" w:type="dxa"/>
                </w:tblCellMar>
              </w:tblPrEx>
              <w:trPr>
                <w:trHeight w:val="195" w:hRule="atLeast"/>
                <w:jc w:val="center"/>
              </w:trPr>
              <w:tc>
                <w:tcPr>
                  <w:tcW w:w="2126" w:type="dxa"/>
                  <w:tcBorders>
                    <w:top w:val="nil"/>
                    <w:left w:val="single" w:color="auto" w:sz="8" w:space="0"/>
                    <w:bottom w:val="single" w:color="auto" w:sz="4" w:space="0"/>
                    <w:right w:val="single" w:color="auto" w:sz="4" w:space="0"/>
                  </w:tcBorders>
                  <w:shd w:val="clear" w:color="auto" w:fill="auto"/>
                  <w:vAlign w:val="bottom"/>
                </w:tcPr>
                <w:p>
                  <w:pPr>
                    <w:pStyle w:val="50"/>
                  </w:pPr>
                  <w:r>
                    <w:t>500~1000</w:t>
                  </w:r>
                </w:p>
              </w:tc>
              <w:tc>
                <w:tcPr>
                  <w:tcW w:w="1458" w:type="dxa"/>
                  <w:tcBorders>
                    <w:top w:val="nil"/>
                    <w:left w:val="nil"/>
                    <w:bottom w:val="single" w:color="auto" w:sz="4" w:space="0"/>
                    <w:right w:val="single" w:color="auto" w:sz="4" w:space="0"/>
                  </w:tcBorders>
                  <w:shd w:val="clear" w:color="auto" w:fill="auto"/>
                  <w:vAlign w:val="bottom"/>
                </w:tcPr>
                <w:p>
                  <w:pPr>
                    <w:pStyle w:val="50"/>
                  </w:pPr>
                  <w:r>
                    <w:t>0.80%</w:t>
                  </w:r>
                </w:p>
              </w:tc>
              <w:tc>
                <w:tcPr>
                  <w:tcW w:w="1458" w:type="dxa"/>
                  <w:tcBorders>
                    <w:top w:val="nil"/>
                    <w:left w:val="nil"/>
                    <w:bottom w:val="single" w:color="auto" w:sz="4" w:space="0"/>
                    <w:right w:val="single" w:color="auto" w:sz="4" w:space="0"/>
                  </w:tcBorders>
                  <w:shd w:val="clear" w:color="auto" w:fill="auto"/>
                  <w:vAlign w:val="bottom"/>
                </w:tcPr>
                <w:p>
                  <w:pPr>
                    <w:pStyle w:val="50"/>
                  </w:pPr>
                  <w:r>
                    <w:t>0.45%</w:t>
                  </w:r>
                </w:p>
              </w:tc>
              <w:tc>
                <w:tcPr>
                  <w:tcW w:w="1458" w:type="dxa"/>
                  <w:tcBorders>
                    <w:top w:val="nil"/>
                    <w:left w:val="nil"/>
                    <w:bottom w:val="single" w:color="auto" w:sz="4" w:space="0"/>
                    <w:right w:val="single" w:color="auto" w:sz="4" w:space="0"/>
                  </w:tcBorders>
                  <w:shd w:val="clear" w:color="auto" w:fill="auto"/>
                  <w:vAlign w:val="bottom"/>
                </w:tcPr>
                <w:p>
                  <w:pPr>
                    <w:pStyle w:val="50"/>
                  </w:pPr>
                  <w:r>
                    <w:t>0.55%</w:t>
                  </w:r>
                </w:p>
              </w:tc>
            </w:tr>
            <w:tr>
              <w:tblPrEx>
                <w:tblCellMar>
                  <w:top w:w="0" w:type="dxa"/>
                  <w:left w:w="108" w:type="dxa"/>
                  <w:bottom w:w="0" w:type="dxa"/>
                  <w:right w:w="108" w:type="dxa"/>
                </w:tblCellMar>
              </w:tblPrEx>
              <w:trPr>
                <w:trHeight w:val="312" w:hRule="atLeast"/>
                <w:jc w:val="center"/>
              </w:trPr>
              <w:tc>
                <w:tcPr>
                  <w:tcW w:w="2126" w:type="dxa"/>
                  <w:tcBorders>
                    <w:top w:val="nil"/>
                    <w:left w:val="single" w:color="auto" w:sz="8" w:space="0"/>
                    <w:bottom w:val="single" w:color="auto" w:sz="4" w:space="0"/>
                    <w:right w:val="single" w:color="auto" w:sz="4" w:space="0"/>
                  </w:tcBorders>
                  <w:shd w:val="clear" w:color="auto" w:fill="auto"/>
                  <w:vAlign w:val="bottom"/>
                </w:tcPr>
                <w:p>
                  <w:pPr>
                    <w:pStyle w:val="50"/>
                  </w:pPr>
                  <w:r>
                    <w:t>1000~5000</w:t>
                  </w:r>
                </w:p>
              </w:tc>
              <w:tc>
                <w:tcPr>
                  <w:tcW w:w="1458" w:type="dxa"/>
                  <w:tcBorders>
                    <w:top w:val="nil"/>
                    <w:left w:val="nil"/>
                    <w:bottom w:val="single" w:color="auto" w:sz="4" w:space="0"/>
                    <w:right w:val="single" w:color="auto" w:sz="4" w:space="0"/>
                  </w:tcBorders>
                  <w:shd w:val="clear" w:color="auto" w:fill="auto"/>
                  <w:vAlign w:val="bottom"/>
                </w:tcPr>
                <w:p>
                  <w:pPr>
                    <w:pStyle w:val="50"/>
                  </w:pPr>
                  <w:r>
                    <w:t>0.50%</w:t>
                  </w:r>
                </w:p>
              </w:tc>
              <w:tc>
                <w:tcPr>
                  <w:tcW w:w="1458" w:type="dxa"/>
                  <w:tcBorders>
                    <w:top w:val="nil"/>
                    <w:left w:val="nil"/>
                    <w:bottom w:val="single" w:color="auto" w:sz="4" w:space="0"/>
                    <w:right w:val="single" w:color="auto" w:sz="4" w:space="0"/>
                  </w:tcBorders>
                  <w:shd w:val="clear" w:color="auto" w:fill="auto"/>
                  <w:vAlign w:val="bottom"/>
                </w:tcPr>
                <w:p>
                  <w:pPr>
                    <w:pStyle w:val="50"/>
                  </w:pPr>
                  <w:r>
                    <w:t>0.25%</w:t>
                  </w:r>
                </w:p>
              </w:tc>
              <w:tc>
                <w:tcPr>
                  <w:tcW w:w="1458" w:type="dxa"/>
                  <w:tcBorders>
                    <w:top w:val="nil"/>
                    <w:left w:val="nil"/>
                    <w:bottom w:val="single" w:color="auto" w:sz="4" w:space="0"/>
                    <w:right w:val="single" w:color="auto" w:sz="4" w:space="0"/>
                  </w:tcBorders>
                  <w:shd w:val="clear" w:color="auto" w:fill="auto"/>
                  <w:vAlign w:val="bottom"/>
                </w:tcPr>
                <w:p>
                  <w:pPr>
                    <w:pStyle w:val="50"/>
                  </w:pPr>
                  <w:r>
                    <w:t>0.35%</w:t>
                  </w:r>
                </w:p>
              </w:tc>
            </w:tr>
            <w:tr>
              <w:tblPrEx>
                <w:tblCellMar>
                  <w:top w:w="0" w:type="dxa"/>
                  <w:left w:w="108" w:type="dxa"/>
                  <w:bottom w:w="0" w:type="dxa"/>
                  <w:right w:w="108" w:type="dxa"/>
                </w:tblCellMar>
              </w:tblPrEx>
              <w:trPr>
                <w:trHeight w:val="246" w:hRule="atLeast"/>
                <w:jc w:val="center"/>
              </w:trPr>
              <w:tc>
                <w:tcPr>
                  <w:tcW w:w="2126" w:type="dxa"/>
                  <w:tcBorders>
                    <w:top w:val="nil"/>
                    <w:left w:val="single" w:color="auto" w:sz="8" w:space="0"/>
                    <w:bottom w:val="single" w:color="auto" w:sz="4" w:space="0"/>
                    <w:right w:val="single" w:color="auto" w:sz="4" w:space="0"/>
                  </w:tcBorders>
                  <w:shd w:val="clear" w:color="auto" w:fill="auto"/>
                  <w:vAlign w:val="bottom"/>
                </w:tcPr>
                <w:p>
                  <w:pPr>
                    <w:pStyle w:val="50"/>
                  </w:pPr>
                  <w:r>
                    <w:t>5000~10000</w:t>
                  </w:r>
                </w:p>
              </w:tc>
              <w:tc>
                <w:tcPr>
                  <w:tcW w:w="1458" w:type="dxa"/>
                  <w:tcBorders>
                    <w:top w:val="nil"/>
                    <w:left w:val="nil"/>
                    <w:bottom w:val="single" w:color="auto" w:sz="4" w:space="0"/>
                    <w:right w:val="single" w:color="auto" w:sz="4" w:space="0"/>
                  </w:tcBorders>
                  <w:shd w:val="clear" w:color="auto" w:fill="auto"/>
                  <w:vAlign w:val="bottom"/>
                </w:tcPr>
                <w:p>
                  <w:pPr>
                    <w:pStyle w:val="50"/>
                  </w:pPr>
                  <w:r>
                    <w:t>0.25%</w:t>
                  </w:r>
                </w:p>
              </w:tc>
              <w:tc>
                <w:tcPr>
                  <w:tcW w:w="1458" w:type="dxa"/>
                  <w:tcBorders>
                    <w:top w:val="nil"/>
                    <w:left w:val="nil"/>
                    <w:bottom w:val="single" w:color="auto" w:sz="4" w:space="0"/>
                    <w:right w:val="single" w:color="auto" w:sz="4" w:space="0"/>
                  </w:tcBorders>
                  <w:shd w:val="clear" w:color="auto" w:fill="auto"/>
                  <w:vAlign w:val="bottom"/>
                </w:tcPr>
                <w:p>
                  <w:pPr>
                    <w:pStyle w:val="50"/>
                  </w:pPr>
                  <w:r>
                    <w:t>0.10%</w:t>
                  </w:r>
                </w:p>
              </w:tc>
              <w:tc>
                <w:tcPr>
                  <w:tcW w:w="1458" w:type="dxa"/>
                  <w:tcBorders>
                    <w:top w:val="nil"/>
                    <w:left w:val="nil"/>
                    <w:bottom w:val="single" w:color="auto" w:sz="4" w:space="0"/>
                    <w:right w:val="single" w:color="auto" w:sz="4" w:space="0"/>
                  </w:tcBorders>
                  <w:shd w:val="clear" w:color="auto" w:fill="auto"/>
                  <w:vAlign w:val="bottom"/>
                </w:tcPr>
                <w:p>
                  <w:pPr>
                    <w:pStyle w:val="50"/>
                  </w:pPr>
                  <w:r>
                    <w:t>0.20%</w:t>
                  </w:r>
                </w:p>
              </w:tc>
            </w:tr>
            <w:tr>
              <w:tblPrEx>
                <w:tblCellMar>
                  <w:top w:w="0" w:type="dxa"/>
                  <w:left w:w="108" w:type="dxa"/>
                  <w:bottom w:w="0" w:type="dxa"/>
                  <w:right w:w="108" w:type="dxa"/>
                </w:tblCellMar>
              </w:tblPrEx>
              <w:trPr>
                <w:trHeight w:val="222" w:hRule="atLeast"/>
                <w:jc w:val="center"/>
              </w:trPr>
              <w:tc>
                <w:tcPr>
                  <w:tcW w:w="2126" w:type="dxa"/>
                  <w:tcBorders>
                    <w:top w:val="single" w:color="auto" w:sz="4" w:space="0"/>
                    <w:left w:val="single" w:color="auto" w:sz="4" w:space="0"/>
                    <w:bottom w:val="single" w:color="auto" w:sz="4" w:space="0"/>
                    <w:right w:val="single" w:color="auto" w:sz="4" w:space="0"/>
                  </w:tcBorders>
                  <w:shd w:val="clear" w:color="auto" w:fill="auto"/>
                  <w:vAlign w:val="bottom"/>
                </w:tcPr>
                <w:p>
                  <w:pPr>
                    <w:pStyle w:val="50"/>
                  </w:pPr>
                  <w:r>
                    <w:t>10000~100000</w:t>
                  </w:r>
                </w:p>
              </w:tc>
              <w:tc>
                <w:tcPr>
                  <w:tcW w:w="1458" w:type="dxa"/>
                  <w:tcBorders>
                    <w:top w:val="single" w:color="auto" w:sz="4" w:space="0"/>
                    <w:left w:val="nil"/>
                    <w:bottom w:val="single" w:color="auto" w:sz="4" w:space="0"/>
                    <w:right w:val="single" w:color="auto" w:sz="4" w:space="0"/>
                  </w:tcBorders>
                  <w:shd w:val="clear" w:color="auto" w:fill="auto"/>
                  <w:vAlign w:val="bottom"/>
                </w:tcPr>
                <w:p>
                  <w:pPr>
                    <w:pStyle w:val="50"/>
                  </w:pPr>
                  <w:r>
                    <w:t>0.05%</w:t>
                  </w:r>
                </w:p>
              </w:tc>
              <w:tc>
                <w:tcPr>
                  <w:tcW w:w="1458" w:type="dxa"/>
                  <w:tcBorders>
                    <w:top w:val="single" w:color="auto" w:sz="4" w:space="0"/>
                    <w:left w:val="nil"/>
                    <w:bottom w:val="single" w:color="auto" w:sz="4" w:space="0"/>
                    <w:right w:val="single" w:color="auto" w:sz="4" w:space="0"/>
                  </w:tcBorders>
                  <w:shd w:val="clear" w:color="auto" w:fill="auto"/>
                  <w:vAlign w:val="bottom"/>
                </w:tcPr>
                <w:p>
                  <w:pPr>
                    <w:pStyle w:val="50"/>
                  </w:pPr>
                  <w:r>
                    <w:t>0.05%</w:t>
                  </w:r>
                </w:p>
              </w:tc>
              <w:tc>
                <w:tcPr>
                  <w:tcW w:w="1458" w:type="dxa"/>
                  <w:tcBorders>
                    <w:top w:val="single" w:color="auto" w:sz="4" w:space="0"/>
                    <w:left w:val="nil"/>
                    <w:bottom w:val="single" w:color="auto" w:sz="4" w:space="0"/>
                    <w:right w:val="single" w:color="auto" w:sz="4" w:space="0"/>
                  </w:tcBorders>
                  <w:shd w:val="clear" w:color="auto" w:fill="auto"/>
                  <w:vAlign w:val="bottom"/>
                </w:tcPr>
                <w:p>
                  <w:pPr>
                    <w:pStyle w:val="50"/>
                  </w:pPr>
                  <w:r>
                    <w:t>0.05%</w:t>
                  </w:r>
                </w:p>
              </w:tc>
            </w:tr>
            <w:tr>
              <w:tblPrEx>
                <w:tblCellMar>
                  <w:top w:w="0" w:type="dxa"/>
                  <w:left w:w="108" w:type="dxa"/>
                  <w:bottom w:w="0" w:type="dxa"/>
                  <w:right w:w="108" w:type="dxa"/>
                </w:tblCellMar>
              </w:tblPrEx>
              <w:trPr>
                <w:trHeight w:val="326" w:hRule="atLeast"/>
                <w:jc w:val="center"/>
              </w:trPr>
              <w:tc>
                <w:tcPr>
                  <w:tcW w:w="2126" w:type="dxa"/>
                  <w:tcBorders>
                    <w:top w:val="single" w:color="auto" w:sz="4" w:space="0"/>
                    <w:left w:val="single" w:color="auto" w:sz="4" w:space="0"/>
                    <w:bottom w:val="single" w:color="auto" w:sz="4" w:space="0"/>
                    <w:right w:val="single" w:color="auto" w:sz="4" w:space="0"/>
                  </w:tcBorders>
                  <w:shd w:val="clear" w:color="auto" w:fill="auto"/>
                  <w:vAlign w:val="bottom"/>
                </w:tcPr>
                <w:p>
                  <w:pPr>
                    <w:pStyle w:val="50"/>
                  </w:pPr>
                  <w:r>
                    <w:t>100000</w:t>
                  </w:r>
                  <w:r>
                    <w:rPr>
                      <w:rFonts w:hint="eastAsia"/>
                    </w:rPr>
                    <w:t>以上</w:t>
                  </w:r>
                </w:p>
              </w:tc>
              <w:tc>
                <w:tcPr>
                  <w:tcW w:w="1458" w:type="dxa"/>
                  <w:tcBorders>
                    <w:top w:val="single" w:color="auto" w:sz="4" w:space="0"/>
                    <w:left w:val="nil"/>
                    <w:bottom w:val="single" w:color="auto" w:sz="4" w:space="0"/>
                    <w:right w:val="single" w:color="auto" w:sz="4" w:space="0"/>
                  </w:tcBorders>
                  <w:shd w:val="clear" w:color="auto" w:fill="auto"/>
                  <w:vAlign w:val="bottom"/>
                </w:tcPr>
                <w:p>
                  <w:pPr>
                    <w:pStyle w:val="50"/>
                  </w:pPr>
                  <w:r>
                    <w:t>0.01%</w:t>
                  </w:r>
                </w:p>
              </w:tc>
              <w:tc>
                <w:tcPr>
                  <w:tcW w:w="1458" w:type="dxa"/>
                  <w:tcBorders>
                    <w:top w:val="single" w:color="auto" w:sz="4" w:space="0"/>
                    <w:left w:val="nil"/>
                    <w:bottom w:val="single" w:color="auto" w:sz="4" w:space="0"/>
                    <w:right w:val="single" w:color="auto" w:sz="4" w:space="0"/>
                  </w:tcBorders>
                  <w:shd w:val="clear" w:color="auto" w:fill="auto"/>
                  <w:vAlign w:val="bottom"/>
                </w:tcPr>
                <w:p>
                  <w:pPr>
                    <w:pStyle w:val="50"/>
                  </w:pPr>
                  <w:r>
                    <w:t>0.01%</w:t>
                  </w:r>
                </w:p>
              </w:tc>
              <w:tc>
                <w:tcPr>
                  <w:tcW w:w="1458" w:type="dxa"/>
                  <w:tcBorders>
                    <w:top w:val="single" w:color="auto" w:sz="4" w:space="0"/>
                    <w:left w:val="nil"/>
                    <w:bottom w:val="single" w:color="auto" w:sz="4" w:space="0"/>
                    <w:right w:val="single" w:color="auto" w:sz="4" w:space="0"/>
                  </w:tcBorders>
                  <w:shd w:val="clear" w:color="auto" w:fill="auto"/>
                  <w:vAlign w:val="bottom"/>
                </w:tcPr>
                <w:p>
                  <w:pPr>
                    <w:pStyle w:val="50"/>
                  </w:pPr>
                  <w:r>
                    <w:t>0.01%</w:t>
                  </w:r>
                </w:p>
              </w:tc>
            </w:tr>
            <w:tr>
              <w:tblPrEx>
                <w:tblCellMar>
                  <w:top w:w="0" w:type="dxa"/>
                  <w:left w:w="108" w:type="dxa"/>
                  <w:bottom w:w="0" w:type="dxa"/>
                  <w:right w:w="108" w:type="dxa"/>
                </w:tblCellMar>
              </w:tblPrEx>
              <w:trPr>
                <w:trHeight w:val="326" w:hRule="atLeast"/>
                <w:jc w:val="center"/>
              </w:trPr>
              <w:tc>
                <w:tcPr>
                  <w:tcW w:w="6500" w:type="dxa"/>
                  <w:gridSpan w:val="4"/>
                  <w:tcBorders>
                    <w:top w:val="single" w:color="auto" w:sz="4" w:space="0"/>
                    <w:left w:val="single" w:color="auto" w:sz="4" w:space="0"/>
                    <w:bottom w:val="single" w:color="auto" w:sz="4" w:space="0"/>
                    <w:right w:val="single" w:color="auto" w:sz="4" w:space="0"/>
                  </w:tcBorders>
                  <w:shd w:val="clear" w:color="auto" w:fill="auto"/>
                  <w:vAlign w:val="bottom"/>
                </w:tcPr>
                <w:p>
                  <w:pPr>
                    <w:pStyle w:val="50"/>
                  </w:pPr>
                  <w:r>
                    <w:rPr>
                      <w:rFonts w:hint="eastAsia"/>
                    </w:rPr>
                    <w:t>以货物类项目中标金额800万元为例：</w:t>
                  </w:r>
                </w:p>
                <w:p>
                  <w:pPr>
                    <w:pStyle w:val="50"/>
                  </w:pPr>
                  <w:r>
                    <w:rPr>
                      <w:rFonts w:hint="eastAsia"/>
                    </w:rPr>
                    <w:t>服务费金额=100万元×1.5%+400万元×1.1%+300万元×0.8%=8.3万元</w:t>
                  </w:r>
                </w:p>
              </w:tc>
            </w:tr>
          </w:tbl>
          <w:p>
            <w:pPr>
              <w:pStyle w:val="50"/>
              <w:rPr>
                <w:highlight w:val="none"/>
              </w:rPr>
            </w:pPr>
          </w:p>
          <w:p>
            <w:pPr>
              <w:pStyle w:val="50"/>
            </w:pPr>
            <w:r>
              <w:rPr>
                <w:rFonts w:hint="eastAsia"/>
                <w:b/>
                <w:bCs/>
                <w:highlight w:val="none"/>
              </w:rPr>
              <w:t>注：</w:t>
            </w:r>
            <w:r>
              <w:rPr>
                <w:b/>
                <w:bCs/>
                <w:highlight w:val="none"/>
              </w:rPr>
              <w:t>供应商需同时提供</w:t>
            </w:r>
            <w:r>
              <w:rPr>
                <w:rFonts w:hint="eastAsia"/>
                <w:b/>
                <w:bCs/>
                <w:highlight w:val="none"/>
              </w:rPr>
              <w:t>开票</w:t>
            </w:r>
            <w:r>
              <w:rPr>
                <w:b/>
                <w:bCs/>
                <w:highlight w:val="none"/>
              </w:rPr>
              <w:t>详细信息（格式及内容见</w:t>
            </w:r>
            <w:r>
              <w:rPr>
                <w:rFonts w:hint="eastAsia"/>
                <w:b/>
                <w:bCs/>
                <w:highlight w:val="none"/>
              </w:rPr>
              <w:t>第六章</w:t>
            </w:r>
            <w:r>
              <w:rPr>
                <w:b/>
                <w:bCs/>
                <w:highlight w:val="none"/>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pPr>
              <w:pStyle w:val="50"/>
              <w:tabs>
                <w:tab w:val="left" w:pos="381"/>
              </w:tabs>
              <w:rPr>
                <w:rFonts w:hAnsi="楷体" w:cs="Arial"/>
                <w:color w:val="000000"/>
              </w:rPr>
            </w:pPr>
          </w:p>
        </w:tc>
        <w:tc>
          <w:tcPr>
            <w:tcW w:w="850" w:type="dxa"/>
            <w:vAlign w:val="center"/>
          </w:tcPr>
          <w:p/>
        </w:tc>
        <w:tc>
          <w:tcPr>
            <w:tcW w:w="7230" w:type="dxa"/>
            <w:vAlign w:val="center"/>
          </w:tcPr>
          <w:p>
            <w:pPr>
              <w:spacing w:line="240" w:lineRule="auto"/>
              <w:jc w:val="center"/>
              <w:rPr>
                <w:rFonts w:cs="Times New Roman" w:hAnsiTheme="minorEastAsia"/>
                <w:b/>
              </w:rPr>
            </w:pPr>
            <w:r>
              <w:rPr>
                <w:rFonts w:hint="eastAsia" w:cs="Times New Roman" w:hAnsiTheme="minorEastAsia"/>
                <w:b/>
              </w:rPr>
              <w:t>七、其他</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pPr>
              <w:pStyle w:val="50"/>
              <w:numPr>
                <w:ilvl w:val="0"/>
                <w:numId w:val="8"/>
              </w:numPr>
              <w:tabs>
                <w:tab w:val="left" w:pos="381"/>
              </w:tabs>
              <w:ind w:left="0" w:firstLine="0"/>
              <w:rPr>
                <w:rFonts w:hAnsi="楷体" w:cs="Arial"/>
                <w:color w:val="000000"/>
              </w:rPr>
            </w:pPr>
            <w:bookmarkStart w:id="59" w:name="_Ref51684565"/>
            <w:r>
              <w:rPr>
                <w:rFonts w:hint="eastAsia" w:hAnsi="楷体" w:cs="Arial"/>
                <w:color w:val="000000"/>
              </w:rPr>
              <w:t>接收质疑方式及联系方式</w:t>
            </w:r>
            <w:bookmarkEnd w:id="59"/>
          </w:p>
        </w:tc>
        <w:tc>
          <w:tcPr>
            <w:tcW w:w="850" w:type="dxa"/>
            <w:vAlign w:val="center"/>
          </w:tcPr>
          <w:p>
            <w:pPr>
              <w:pStyle w:val="50"/>
            </w:pPr>
            <w:r>
              <w:fldChar w:fldCharType="begin"/>
            </w:r>
            <w:r>
              <w:instrText xml:space="preserve"> REF _Ref506126140 \r \h  \* MERGEFORMAT </w:instrText>
            </w:r>
            <w:r>
              <w:fldChar w:fldCharType="separate"/>
            </w:r>
            <w:r>
              <w:t>30.4</w:t>
            </w:r>
            <w:r>
              <w:fldChar w:fldCharType="end"/>
            </w:r>
          </w:p>
        </w:tc>
        <w:tc>
          <w:tcPr>
            <w:tcW w:w="7230" w:type="dxa"/>
            <w:vAlign w:val="center"/>
          </w:tcPr>
          <w:p>
            <w:pPr>
              <w:pStyle w:val="50"/>
            </w:pPr>
            <w:r>
              <w:rPr>
                <w:rFonts w:hint="eastAsia"/>
              </w:rPr>
              <w:t>（1）质疑函及必要的证明材料应通过以下方式之一递交至采购代理机构：</w:t>
            </w:r>
          </w:p>
          <w:p>
            <w:pPr>
              <w:pStyle w:val="50"/>
              <w:ind w:left="677" w:leftChars="282"/>
            </w:pPr>
            <w:r>
              <w:rPr>
                <w:rFonts w:hint="eastAsia"/>
              </w:rPr>
              <w:t>1）当面送达原件；</w:t>
            </w:r>
          </w:p>
          <w:p>
            <w:pPr>
              <w:pStyle w:val="50"/>
              <w:ind w:left="677" w:leftChars="282"/>
            </w:pPr>
            <w:r>
              <w:rPr>
                <w:rFonts w:hint="eastAsia"/>
              </w:rPr>
              <w:t>2）信函邮寄、快递原件，采用此方式时，采购代理机构不受理逾期送达的质疑，投标人自行承担邮件误投、逾期或丢失的风险和责任；</w:t>
            </w:r>
          </w:p>
          <w:p>
            <w:pPr>
              <w:pStyle w:val="50"/>
              <w:ind w:left="677" w:leftChars="282"/>
            </w:pPr>
            <w:r>
              <w:rPr>
                <w:rFonts w:hint="eastAsia"/>
              </w:rPr>
              <w:t>3）电子邮件将原件的扫描版发送至下列指定电子邮箱，采用此方式提出质疑的，供应商应在电子邮件发出后立即电话告知采购代理机构；</w:t>
            </w:r>
          </w:p>
          <w:p>
            <w:pPr>
              <w:pStyle w:val="50"/>
            </w:pPr>
            <w:r>
              <w:rPr>
                <w:rFonts w:hint="eastAsia"/>
              </w:rPr>
              <w:t>（2）采购代理机构接收质疑函的联系方式如下：</w:t>
            </w:r>
          </w:p>
          <w:p>
            <w:pPr>
              <w:pStyle w:val="50"/>
              <w:ind w:left="677" w:leftChars="282"/>
              <w:rPr>
                <w:rFonts w:hint="default" w:eastAsia="仿宋_GB2312"/>
                <w:color w:val="auto"/>
                <w:lang w:val="en-US" w:eastAsia="zh-CN"/>
              </w:rPr>
            </w:pPr>
            <w:r>
              <w:rPr>
                <w:rFonts w:hint="eastAsia"/>
                <w:color w:val="auto"/>
              </w:rPr>
              <w:t>联系人：</w:t>
            </w:r>
            <w:r>
              <w:rPr>
                <w:rFonts w:hint="eastAsia"/>
                <w:color w:val="auto"/>
                <w:lang w:val="en-US" w:eastAsia="zh-CN"/>
              </w:rPr>
              <w:t>韩伟轩、曹宇臣、曹颖</w:t>
            </w:r>
          </w:p>
          <w:p>
            <w:pPr>
              <w:pStyle w:val="50"/>
              <w:ind w:left="677" w:leftChars="282"/>
              <w:rPr>
                <w:color w:val="auto"/>
              </w:rPr>
            </w:pPr>
            <w:r>
              <w:rPr>
                <w:rFonts w:hint="eastAsia"/>
                <w:color w:val="auto"/>
              </w:rPr>
              <w:t>联系电话：010-83923568</w:t>
            </w:r>
          </w:p>
          <w:p>
            <w:pPr>
              <w:pStyle w:val="50"/>
              <w:ind w:left="677" w:leftChars="282"/>
              <w:rPr>
                <w:color w:val="auto"/>
              </w:rPr>
            </w:pPr>
            <w:r>
              <w:rPr>
                <w:rFonts w:hint="eastAsia"/>
                <w:color w:val="auto"/>
              </w:rPr>
              <w:t>通讯地址：北京市丰台区丽泽路24号院平安幸福中心B座23层</w:t>
            </w:r>
          </w:p>
          <w:p>
            <w:pPr>
              <w:pStyle w:val="50"/>
              <w:ind w:left="677" w:leftChars="282"/>
            </w:pPr>
            <w:r>
              <w:rPr>
                <w:rFonts w:hint="eastAsia"/>
                <w:color w:val="auto"/>
              </w:rPr>
              <w:t xml:space="preserve">电子邮箱：hanweixuan@sinochem.com </w:t>
            </w:r>
          </w:p>
        </w:tc>
      </w:tr>
    </w:tbl>
    <w:p>
      <w:pPr>
        <w:ind w:firstLine="480"/>
      </w:pPr>
    </w:p>
    <w:p>
      <w:pPr>
        <w:widowControl/>
        <w:adjustRightInd/>
        <w:snapToGrid/>
        <w:spacing w:line="240" w:lineRule="auto"/>
        <w:jc w:val="left"/>
      </w:pPr>
      <w:r>
        <w:br w:type="page"/>
      </w:r>
    </w:p>
    <w:p>
      <w:pPr>
        <w:pStyle w:val="4"/>
      </w:pPr>
      <w:bookmarkStart w:id="60" w:name="_Toc20033"/>
      <w:r>
        <w:rPr>
          <w:rFonts w:hint="eastAsia"/>
        </w:rPr>
        <w:t>投标人须知</w:t>
      </w:r>
      <w:bookmarkEnd w:id="60"/>
    </w:p>
    <w:p>
      <w:pPr>
        <w:pStyle w:val="4"/>
      </w:pPr>
      <w:bookmarkStart w:id="61" w:name="_Toc19698"/>
      <w:r>
        <w:rPr>
          <w:rFonts w:hint="eastAsia"/>
        </w:rPr>
        <w:t>一、说明</w:t>
      </w:r>
      <w:bookmarkEnd w:id="61"/>
    </w:p>
    <w:p>
      <w:pPr>
        <w:pStyle w:val="40"/>
        <w:ind w:left="679" w:hanging="679"/>
      </w:pPr>
      <w:r>
        <w:rPr>
          <w:rFonts w:hint="eastAsia"/>
        </w:rPr>
        <w:t>概述</w:t>
      </w:r>
    </w:p>
    <w:p>
      <w:pPr>
        <w:pStyle w:val="41"/>
      </w:pPr>
      <w:bookmarkStart w:id="62" w:name="_Ref470250256"/>
      <w:r>
        <w:rPr>
          <w:rFonts w:hint="eastAsia"/>
        </w:rPr>
        <w:t>项目概述</w:t>
      </w:r>
      <w:r>
        <w:t>见</w:t>
      </w:r>
      <w:r>
        <w:rPr>
          <w:rStyle w:val="69"/>
          <w:rFonts w:hint="eastAsia"/>
        </w:rPr>
        <w:t>《投标人须知前附表》第</w:t>
      </w:r>
      <w:r>
        <w:rPr>
          <w:rStyle w:val="69"/>
        </w:rPr>
        <w:fldChar w:fldCharType="begin"/>
      </w:r>
      <w:r>
        <w:rPr>
          <w:rStyle w:val="69"/>
        </w:rPr>
        <w:instrText xml:space="preserve"> </w:instrText>
      </w:r>
      <w:r>
        <w:rPr>
          <w:rStyle w:val="69"/>
          <w:rFonts w:hint="eastAsia"/>
        </w:rPr>
        <w:instrText xml:space="preserve">REF _Ref51081821 \r \h</w:instrText>
      </w:r>
      <w:r>
        <w:rPr>
          <w:rStyle w:val="69"/>
        </w:rPr>
        <w:instrText xml:space="preserve"> </w:instrText>
      </w:r>
      <w:r>
        <w:rPr>
          <w:rStyle w:val="69"/>
        </w:rPr>
        <w:fldChar w:fldCharType="separate"/>
      </w:r>
      <w:r>
        <w:rPr>
          <w:rStyle w:val="69"/>
        </w:rPr>
        <w:t>1</w:t>
      </w:r>
      <w:r>
        <w:rPr>
          <w:rStyle w:val="69"/>
        </w:rPr>
        <w:fldChar w:fldCharType="end"/>
      </w:r>
      <w:r>
        <w:rPr>
          <w:rStyle w:val="69"/>
          <w:rFonts w:hint="eastAsia"/>
        </w:rPr>
        <w:t>条</w:t>
      </w:r>
      <w:r>
        <w:t>。</w:t>
      </w:r>
      <w:bookmarkEnd w:id="62"/>
    </w:p>
    <w:p>
      <w:pPr>
        <w:pStyle w:val="41"/>
      </w:pPr>
      <w:bookmarkStart w:id="63" w:name="_Ref51692885"/>
      <w:r>
        <w:rPr>
          <w:rFonts w:hint="eastAsia"/>
        </w:rPr>
        <w:t>按照《政府采购货物和服务招标投标管理办法》第七条规定，采购人确定本次采购项目的属性见</w:t>
      </w:r>
      <w:r>
        <w:rPr>
          <w:rStyle w:val="69"/>
          <w:rFonts w:hint="eastAsia"/>
        </w:rPr>
        <w:t>《投标人须知前附表》</w:t>
      </w:r>
      <w:r>
        <w:rPr>
          <w:rStyle w:val="69"/>
        </w:rPr>
        <w:t>第</w:t>
      </w:r>
      <w:r>
        <w:rPr>
          <w:rStyle w:val="69"/>
        </w:rPr>
        <w:fldChar w:fldCharType="begin"/>
      </w:r>
      <w:r>
        <w:rPr>
          <w:rStyle w:val="69"/>
        </w:rPr>
        <w:instrText xml:space="preserve"> </w:instrText>
      </w:r>
      <w:r>
        <w:rPr>
          <w:rStyle w:val="69"/>
          <w:rFonts w:hint="eastAsia"/>
        </w:rPr>
        <w:instrText xml:space="preserve">REF _Ref51692847 \r \h</w:instrText>
      </w:r>
      <w:r>
        <w:rPr>
          <w:rStyle w:val="69"/>
        </w:rPr>
        <w:instrText xml:space="preserve">  \* MERGEFORMAT </w:instrText>
      </w:r>
      <w:r>
        <w:rPr>
          <w:rStyle w:val="69"/>
        </w:rPr>
        <w:fldChar w:fldCharType="separate"/>
      </w:r>
      <w:r>
        <w:rPr>
          <w:rStyle w:val="69"/>
        </w:rPr>
        <w:t>2</w:t>
      </w:r>
      <w:r>
        <w:rPr>
          <w:rStyle w:val="69"/>
        </w:rPr>
        <w:fldChar w:fldCharType="end"/>
      </w:r>
      <w:r>
        <w:rPr>
          <w:rStyle w:val="69"/>
        </w:rPr>
        <w:t>条</w:t>
      </w:r>
      <w:r>
        <w:rPr>
          <w:rFonts w:hint="eastAsia"/>
        </w:rPr>
        <w:t>。</w:t>
      </w:r>
      <w:bookmarkEnd w:id="63"/>
    </w:p>
    <w:p>
      <w:pPr>
        <w:pStyle w:val="41"/>
      </w:pPr>
      <w:bookmarkStart w:id="64" w:name="_Ref60300999"/>
      <w:r>
        <w:rPr>
          <w:rFonts w:hint="eastAsia"/>
        </w:rPr>
        <w:t>按照《政府采购促进中小企业发展管理办法》第十二条规定，明确采购标的对应的中小企业划分标准所属行业详见</w:t>
      </w:r>
      <w:r>
        <w:rPr>
          <w:rStyle w:val="69"/>
          <w:rFonts w:hint="eastAsia"/>
        </w:rPr>
        <w:t>《投标人须知前附表》</w:t>
      </w:r>
      <w:r>
        <w:rPr>
          <w:rStyle w:val="69"/>
        </w:rPr>
        <w:t>第</w:t>
      </w:r>
      <w:r>
        <w:rPr>
          <w:rStyle w:val="69"/>
        </w:rPr>
        <w:fldChar w:fldCharType="begin"/>
      </w:r>
      <w:r>
        <w:rPr>
          <w:rStyle w:val="69"/>
        </w:rPr>
        <w:instrText xml:space="preserve"> REF _Ref60330875 \r \h </w:instrText>
      </w:r>
      <w:r>
        <w:rPr>
          <w:rStyle w:val="69"/>
        </w:rPr>
        <w:fldChar w:fldCharType="separate"/>
      </w:r>
      <w:r>
        <w:rPr>
          <w:rStyle w:val="69"/>
        </w:rPr>
        <w:t>3</w:t>
      </w:r>
      <w:r>
        <w:rPr>
          <w:rStyle w:val="69"/>
        </w:rPr>
        <w:fldChar w:fldCharType="end"/>
      </w:r>
      <w:r>
        <w:rPr>
          <w:rStyle w:val="69"/>
        </w:rPr>
        <w:t>条</w:t>
      </w:r>
      <w:r>
        <w:rPr>
          <w:rFonts w:hint="eastAsia"/>
        </w:rPr>
        <w:t>。</w:t>
      </w:r>
      <w:bookmarkEnd w:id="64"/>
    </w:p>
    <w:p>
      <w:pPr>
        <w:pStyle w:val="40"/>
        <w:ind w:left="679" w:hanging="679"/>
      </w:pPr>
      <w:r>
        <w:rPr>
          <w:rFonts w:hint="eastAsia"/>
        </w:rPr>
        <w:t>合格投标人</w:t>
      </w:r>
    </w:p>
    <w:p>
      <w:pPr>
        <w:pStyle w:val="41"/>
        <w:ind w:left="679" w:hanging="679"/>
      </w:pPr>
      <w:bookmarkStart w:id="65" w:name="_Ref469991841"/>
      <w:bookmarkStart w:id="66" w:name="_Ref471394067"/>
      <w:r>
        <w:rPr>
          <w:rFonts w:hint="eastAsia"/>
        </w:rPr>
        <w:t>“投标人”（也称为“申请人”）系指响应招标、参加本次投标竞争的法人、其他组织。</w:t>
      </w:r>
      <w:bookmarkEnd w:id="65"/>
    </w:p>
    <w:p>
      <w:pPr>
        <w:pStyle w:val="41"/>
        <w:ind w:left="679" w:hanging="679"/>
      </w:pPr>
      <w:bookmarkStart w:id="67" w:name="_Ref492910050"/>
      <w:r>
        <w:rPr>
          <w:rFonts w:hint="eastAsia"/>
        </w:rPr>
        <w:t>“合格的投标人”系指符合</w:t>
      </w:r>
      <w:r>
        <w:rPr>
          <w:rStyle w:val="69"/>
          <w:rFonts w:hint="eastAsia"/>
        </w:rPr>
        <w:t>《投标人须知前附表》第</w:t>
      </w:r>
      <w:r>
        <w:rPr>
          <w:rStyle w:val="69"/>
        </w:rPr>
        <w:fldChar w:fldCharType="begin"/>
      </w:r>
      <w:r>
        <w:rPr>
          <w:rStyle w:val="69"/>
        </w:rPr>
        <w:instrText xml:space="preserve"> </w:instrText>
      </w:r>
      <w:r>
        <w:rPr>
          <w:rStyle w:val="69"/>
          <w:rFonts w:hint="eastAsia"/>
        </w:rPr>
        <w:instrText xml:space="preserve">REF _Ref51073398 \r \h</w:instrText>
      </w:r>
      <w:r>
        <w:rPr>
          <w:rStyle w:val="69"/>
        </w:rPr>
        <w:instrText xml:space="preserve"> </w:instrText>
      </w:r>
      <w:r>
        <w:rPr>
          <w:rStyle w:val="69"/>
        </w:rPr>
        <w:fldChar w:fldCharType="separate"/>
      </w:r>
      <w:r>
        <w:rPr>
          <w:rStyle w:val="69"/>
        </w:rPr>
        <w:t>4</w:t>
      </w:r>
      <w:r>
        <w:rPr>
          <w:rStyle w:val="69"/>
        </w:rPr>
        <w:fldChar w:fldCharType="end"/>
      </w:r>
      <w:r>
        <w:rPr>
          <w:rStyle w:val="69"/>
          <w:rFonts w:hint="eastAsia"/>
        </w:rPr>
        <w:t>条</w:t>
      </w:r>
      <w:r>
        <w:t>投标人资格</w:t>
      </w:r>
      <w:r>
        <w:rPr>
          <w:rFonts w:hint="eastAsia"/>
        </w:rPr>
        <w:t>要求的投标人。</w:t>
      </w:r>
      <w:bookmarkEnd w:id="66"/>
      <w:bookmarkEnd w:id="67"/>
    </w:p>
    <w:p>
      <w:pPr>
        <w:pStyle w:val="41"/>
        <w:ind w:left="679" w:hanging="679"/>
      </w:pPr>
      <w:bookmarkStart w:id="68" w:name="_Ref51260873"/>
      <w:r>
        <w:rPr>
          <w:rFonts w:hint="eastAsia"/>
        </w:rPr>
        <w:t>对于本须知</w:t>
      </w:r>
      <w:r>
        <w:fldChar w:fldCharType="begin"/>
      </w:r>
      <w:r>
        <w:instrText xml:space="preserve"> </w:instrText>
      </w:r>
      <w:r>
        <w:rPr>
          <w:rFonts w:hint="eastAsia"/>
        </w:rPr>
        <w:instrText xml:space="preserve">REF _Ref492910050 \r \h</w:instrText>
      </w:r>
      <w:r>
        <w:instrText xml:space="preserve"> </w:instrText>
      </w:r>
      <w:r>
        <w:fldChar w:fldCharType="separate"/>
      </w:r>
      <w:r>
        <w:t>2.2</w:t>
      </w:r>
      <w:r>
        <w:fldChar w:fldCharType="end"/>
      </w:r>
      <w:r>
        <w:rPr>
          <w:rFonts w:hint="eastAsia"/>
        </w:rPr>
        <w:t>条中明确</w:t>
      </w:r>
      <w:r>
        <w:rPr>
          <w:rFonts w:hint="eastAsia"/>
          <w:b/>
          <w:bCs/>
        </w:rPr>
        <w:t>接受</w:t>
      </w:r>
      <w:r>
        <w:rPr>
          <w:rFonts w:hint="eastAsia"/>
        </w:rPr>
        <w:t>联合体投标的，对联合体的具体要求见</w:t>
      </w:r>
      <w:r>
        <w:rPr>
          <w:rStyle w:val="69"/>
          <w:rFonts w:hint="eastAsia"/>
        </w:rPr>
        <w:t>《投标人须知前附表》第</w:t>
      </w:r>
      <w:r>
        <w:rPr>
          <w:rStyle w:val="69"/>
        </w:rPr>
        <w:fldChar w:fldCharType="begin"/>
      </w:r>
      <w:r>
        <w:rPr>
          <w:rStyle w:val="69"/>
        </w:rPr>
        <w:instrText xml:space="preserve"> </w:instrText>
      </w:r>
      <w:r>
        <w:rPr>
          <w:rStyle w:val="69"/>
          <w:rFonts w:hint="eastAsia"/>
        </w:rPr>
        <w:instrText xml:space="preserve">REF _Ref51083479 \r \h</w:instrText>
      </w:r>
      <w:r>
        <w:rPr>
          <w:rStyle w:val="69"/>
        </w:rPr>
        <w:instrText xml:space="preserve"> </w:instrText>
      </w:r>
      <w:r>
        <w:rPr>
          <w:rStyle w:val="69"/>
        </w:rPr>
        <w:fldChar w:fldCharType="separate"/>
      </w:r>
      <w:r>
        <w:rPr>
          <w:rStyle w:val="69"/>
        </w:rPr>
        <w:t>5</w:t>
      </w:r>
      <w:r>
        <w:rPr>
          <w:rStyle w:val="69"/>
        </w:rPr>
        <w:fldChar w:fldCharType="end"/>
      </w:r>
      <w:r>
        <w:rPr>
          <w:rStyle w:val="69"/>
          <w:rFonts w:hint="eastAsia"/>
        </w:rPr>
        <w:t>条</w:t>
      </w:r>
      <w:r>
        <w:rPr>
          <w:rFonts w:hint="eastAsia"/>
        </w:rPr>
        <w:t>；对于本须知</w:t>
      </w:r>
      <w:r>
        <w:fldChar w:fldCharType="begin"/>
      </w:r>
      <w:r>
        <w:instrText xml:space="preserve"> </w:instrText>
      </w:r>
      <w:r>
        <w:rPr>
          <w:rFonts w:hint="eastAsia"/>
        </w:rPr>
        <w:instrText xml:space="preserve">REF _Ref492910050 \r \h</w:instrText>
      </w:r>
      <w:r>
        <w:instrText xml:space="preserve"> </w:instrText>
      </w:r>
      <w:r>
        <w:fldChar w:fldCharType="separate"/>
      </w:r>
      <w:r>
        <w:t>2.2</w:t>
      </w:r>
      <w:r>
        <w:fldChar w:fldCharType="end"/>
      </w:r>
      <w:r>
        <w:rPr>
          <w:rFonts w:hint="eastAsia"/>
        </w:rPr>
        <w:t>条中明确</w:t>
      </w:r>
      <w:r>
        <w:rPr>
          <w:rFonts w:hint="eastAsia"/>
          <w:b/>
          <w:bCs/>
        </w:rPr>
        <w:t>不接受</w:t>
      </w:r>
      <w:r>
        <w:rPr>
          <w:rFonts w:hint="eastAsia"/>
        </w:rPr>
        <w:t>联合体投标的，联合体具体要求不适用。联合体是指两个以上的法人或者其他组织可以组成一个联合体，以一个投标人的身份共同投标。</w:t>
      </w:r>
      <w:bookmarkEnd w:id="68"/>
    </w:p>
    <w:p>
      <w:pPr>
        <w:pStyle w:val="40"/>
      </w:pPr>
      <w:r>
        <w:rPr>
          <w:rFonts w:hint="eastAsia"/>
        </w:rPr>
        <w:t>进口产品</w:t>
      </w:r>
    </w:p>
    <w:p>
      <w:pPr>
        <w:pStyle w:val="41"/>
        <w:ind w:left="679" w:hanging="679"/>
      </w:pPr>
      <w:bookmarkStart w:id="69" w:name="_Ref470251972"/>
      <w:r>
        <w:t>本项目是否</w:t>
      </w:r>
      <w:r>
        <w:rPr>
          <w:rFonts w:hint="eastAsia"/>
        </w:rPr>
        <w:t>能够采购</w:t>
      </w:r>
      <w:r>
        <w:t>进口产品见</w:t>
      </w:r>
      <w:r>
        <w:rPr>
          <w:rStyle w:val="69"/>
          <w:rFonts w:hint="eastAsia"/>
        </w:rPr>
        <w:t>《投标人须知前附表》第</w:t>
      </w:r>
      <w:r>
        <w:rPr>
          <w:rStyle w:val="69"/>
        </w:rPr>
        <w:fldChar w:fldCharType="begin"/>
      </w:r>
      <w:r>
        <w:rPr>
          <w:rStyle w:val="69"/>
        </w:rPr>
        <w:instrText xml:space="preserve"> </w:instrText>
      </w:r>
      <w:r>
        <w:rPr>
          <w:rStyle w:val="69"/>
          <w:rFonts w:hint="eastAsia"/>
        </w:rPr>
        <w:instrText xml:space="preserve">REF _Ref51684765 \r \h</w:instrText>
      </w:r>
      <w:r>
        <w:rPr>
          <w:rStyle w:val="69"/>
        </w:rPr>
        <w:instrText xml:space="preserve"> </w:instrText>
      </w:r>
      <w:r>
        <w:rPr>
          <w:rStyle w:val="69"/>
        </w:rPr>
        <w:fldChar w:fldCharType="separate"/>
      </w:r>
      <w:r>
        <w:rPr>
          <w:rStyle w:val="69"/>
        </w:rPr>
        <w:t>6</w:t>
      </w:r>
      <w:r>
        <w:rPr>
          <w:rStyle w:val="69"/>
        </w:rPr>
        <w:fldChar w:fldCharType="end"/>
      </w:r>
      <w:r>
        <w:rPr>
          <w:rStyle w:val="69"/>
          <w:rFonts w:hint="eastAsia"/>
        </w:rPr>
        <w:t>条</w:t>
      </w:r>
      <w:r>
        <w:t>。进口产品是指通过中国海关报关验放进入中国境内且产自关境外的产品，包括已经进入中国境内的进口产品。</w:t>
      </w:r>
      <w:r>
        <w:rPr>
          <w:rFonts w:hint="eastAsia"/>
        </w:rPr>
        <w:t>此处所述产品是指通过制造、加工或</w:t>
      </w:r>
      <w:r>
        <w:t>元部件</w:t>
      </w:r>
      <w:r>
        <w:rPr>
          <w:rFonts w:hint="eastAsia"/>
        </w:rPr>
        <w:t>装配，最终形成的产品。</w:t>
      </w:r>
      <w:r>
        <w:t>关于进口产品的相关规定依据《政府采购进口产品管理办法》（财库［2007］119号文）、《关于政府采购进口产品管理有关问题的通知》（财办库［2008］248号文）。</w:t>
      </w:r>
      <w:bookmarkEnd w:id="69"/>
    </w:p>
    <w:p>
      <w:pPr>
        <w:pStyle w:val="40"/>
      </w:pPr>
      <w:r>
        <w:t>投标费用</w:t>
      </w:r>
    </w:p>
    <w:p>
      <w:pPr>
        <w:pStyle w:val="41"/>
      </w:pPr>
      <w:r>
        <w:rPr>
          <w:rFonts w:hint="eastAsia"/>
        </w:rPr>
        <w:t>投标人应承担所有与编写和提交投标文件有关的费用，不论投标的结果如何，采购代理机构和采购人在任何情况下均无义务和责任承担这些费用。</w:t>
      </w:r>
    </w:p>
    <w:p>
      <w:pPr>
        <w:pStyle w:val="40"/>
      </w:pPr>
      <w:r>
        <w:rPr>
          <w:rFonts w:hint="eastAsia"/>
        </w:rPr>
        <w:t>通知</w:t>
      </w:r>
    </w:p>
    <w:p>
      <w:pPr>
        <w:pStyle w:val="41"/>
      </w:pPr>
      <w:r>
        <w:t>对与本项目有关的通知，采购代理机构将以书面形式（包括书面材料、信函、电子邮件、传真</w:t>
      </w:r>
      <w:r>
        <w:rPr>
          <w:rFonts w:hint="eastAsia"/>
        </w:rPr>
        <w:t>、北京市政府采购电子交易平台通知</w:t>
      </w:r>
      <w:r>
        <w:t>等，下同）或在本次招标公告刊登的媒体上发布公告的形式，向潜在投标人发出，</w:t>
      </w:r>
      <w:r>
        <w:rPr>
          <w:rFonts w:hint="eastAsia"/>
        </w:rPr>
        <w:t>电子邮箱、</w:t>
      </w:r>
      <w:r>
        <w:t>传真和手机号码以潜在投标人购买招标文件时的</w:t>
      </w:r>
      <w:r>
        <w:rPr>
          <w:rFonts w:hint="eastAsia"/>
        </w:rPr>
        <w:t>平台登记信息</w:t>
      </w:r>
      <w:r>
        <w:t>为准。收到通知的投标人应立即予以回复确认。因</w:t>
      </w:r>
      <w:r>
        <w:rPr>
          <w:rFonts w:hint="eastAsia"/>
        </w:rPr>
        <w:t>信息</w:t>
      </w:r>
      <w:r>
        <w:t>登记有误、传真线路故障或其他任何意外情形，导致所发出的通知延迟送达或无法到达投标人，除非有适当的证据表明采购代理机构已经明知该项应当通知的事项并未实际有效到达且采购代理机构认为仍有条件和必要及时地再次补发通知而故意拖延或不予补发通知，采购代理机构不因此承担任何责任，有关的招标活动可以继续有效地进行。</w:t>
      </w:r>
    </w:p>
    <w:p>
      <w:pPr>
        <w:pStyle w:val="4"/>
      </w:pPr>
      <w:bookmarkStart w:id="70" w:name="_Toc1350"/>
      <w:r>
        <w:rPr>
          <w:rFonts w:hint="eastAsia"/>
        </w:rPr>
        <w:t>二、招标文件</w:t>
      </w:r>
      <w:bookmarkEnd w:id="70"/>
    </w:p>
    <w:p>
      <w:pPr>
        <w:pStyle w:val="40"/>
        <w:ind w:left="679" w:hanging="679"/>
      </w:pPr>
      <w:r>
        <w:t>招标文件构成</w:t>
      </w:r>
    </w:p>
    <w:p>
      <w:pPr>
        <w:pStyle w:val="41"/>
        <w:ind w:left="679" w:hanging="679"/>
      </w:pPr>
      <w:r>
        <w:rPr>
          <w:rFonts w:hint="eastAsia"/>
        </w:rPr>
        <w:t>“招标文件”</w:t>
      </w:r>
      <w:r>
        <w:rPr>
          <w:rFonts w:ascii="Arial" w:hAnsi="Arial" w:cs="Arial"/>
          <w:szCs w:val="24"/>
        </w:rPr>
        <w:t>以下六部分组成</w:t>
      </w:r>
      <w:r>
        <w:rPr>
          <w:rFonts w:hint="eastAsia" w:ascii="Arial" w:hAnsi="Arial" w:cs="Arial"/>
          <w:szCs w:val="24"/>
        </w:rPr>
        <w:t>，包括</w:t>
      </w:r>
      <w:r>
        <w:rPr>
          <w:rFonts w:hint="eastAsia"/>
        </w:rPr>
        <w:t>：</w:t>
      </w:r>
    </w:p>
    <w:p>
      <w:pPr>
        <w:ind w:left="259" w:firstLine="420"/>
      </w:pPr>
      <w:r>
        <w:rPr>
          <w:rFonts w:hint="eastAsia"/>
        </w:rPr>
        <w:t>第一章 投标邀请；</w:t>
      </w:r>
    </w:p>
    <w:p>
      <w:pPr>
        <w:ind w:left="259" w:firstLine="420"/>
      </w:pPr>
      <w:r>
        <w:rPr>
          <w:rFonts w:hint="eastAsia"/>
        </w:rPr>
        <w:t>第二章 投标人须知前附表和投标人须知；</w:t>
      </w:r>
    </w:p>
    <w:p>
      <w:pPr>
        <w:ind w:left="259" w:firstLine="420"/>
      </w:pPr>
      <w:r>
        <w:rPr>
          <w:rFonts w:hint="eastAsia"/>
        </w:rPr>
        <w:t>第三章 评标方法和评标标准</w:t>
      </w:r>
    </w:p>
    <w:p>
      <w:pPr>
        <w:ind w:left="259" w:firstLine="420"/>
      </w:pPr>
      <w:r>
        <w:rPr>
          <w:rFonts w:hint="eastAsia"/>
        </w:rPr>
        <w:t>第四章 技术服务需求；</w:t>
      </w:r>
    </w:p>
    <w:p>
      <w:pPr>
        <w:ind w:left="259" w:firstLine="420"/>
      </w:pPr>
      <w:r>
        <w:rPr>
          <w:rFonts w:hint="eastAsia"/>
        </w:rPr>
        <w:t>第五章 拟签订的合同文本；</w:t>
      </w:r>
    </w:p>
    <w:p>
      <w:pPr>
        <w:ind w:left="259" w:firstLine="420"/>
      </w:pPr>
      <w:r>
        <w:rPr>
          <w:rFonts w:hint="eastAsia"/>
        </w:rPr>
        <w:t>第六章 投标文件格式。</w:t>
      </w:r>
    </w:p>
    <w:p>
      <w:pPr>
        <w:pStyle w:val="40"/>
        <w:ind w:left="679" w:hanging="679"/>
        <w:rPr>
          <w:color w:val="0070C0"/>
        </w:rPr>
      </w:pPr>
      <w:r>
        <w:rPr>
          <w:rFonts w:hint="eastAsia"/>
        </w:rPr>
        <w:t>对</w:t>
      </w:r>
      <w:r>
        <w:t>招标文件的</w:t>
      </w:r>
      <w:r>
        <w:rPr>
          <w:rFonts w:hint="eastAsia"/>
        </w:rPr>
        <w:t>询问</w:t>
      </w:r>
    </w:p>
    <w:p>
      <w:pPr>
        <w:pStyle w:val="41"/>
      </w:pPr>
      <w:r>
        <w:rPr>
          <w:rFonts w:hint="eastAsia"/>
        </w:rPr>
        <w:t>任何已从投标邀请中规定渠道获取了招标文件并向采购代理机构进行了登记的潜在投标人（以下简称“获取了招标文件的潜在投标人”）对招标文件如有疑问，可通过投标邀请中载明的联系方式在投标截止时间以前向采购人或采购代理机构提出询问。采购人或采购代理机构将在收到询问后以适当形式予以答复，并在必要时将答复以澄清形式抄送并书面通知给每个获取了招标文件的潜在投标人(答复中不包括问题的来源)。如果获取了招标文件的潜在投标人认为招标文件的部分设置使自己的合法权益受到损害，请按本须知第</w:t>
      </w:r>
      <w:r>
        <w:fldChar w:fldCharType="begin"/>
      </w:r>
      <w:r>
        <w:instrText xml:space="preserve"> </w:instrText>
      </w:r>
      <w:r>
        <w:rPr>
          <w:rFonts w:hint="eastAsia"/>
        </w:rPr>
        <w:instrText xml:space="preserve">REF _Ref506123196 \r \h</w:instrText>
      </w:r>
      <w:r>
        <w:instrText xml:space="preserve"> </w:instrText>
      </w:r>
      <w:r>
        <w:fldChar w:fldCharType="separate"/>
      </w:r>
      <w:r>
        <w:t>30</w:t>
      </w:r>
      <w:r>
        <w:fldChar w:fldCharType="end"/>
      </w:r>
      <w:r>
        <w:rPr>
          <w:rFonts w:hint="eastAsia"/>
        </w:rPr>
        <w:t>条规定提出质疑。</w:t>
      </w:r>
    </w:p>
    <w:p>
      <w:pPr>
        <w:pStyle w:val="40"/>
        <w:ind w:left="679" w:hanging="679"/>
      </w:pPr>
      <w:bookmarkStart w:id="71" w:name="_Ref492030544"/>
      <w:r>
        <w:rPr>
          <w:rFonts w:hint="eastAsia"/>
        </w:rPr>
        <w:t>招标文件的澄清和修改</w:t>
      </w:r>
      <w:bookmarkEnd w:id="71"/>
    </w:p>
    <w:p>
      <w:pPr>
        <w:pStyle w:val="41"/>
        <w:ind w:left="679" w:hanging="679"/>
      </w:pPr>
      <w:r>
        <w:rPr>
          <w:rFonts w:hint="eastAsia"/>
        </w:rPr>
        <w:t>采购人、采购代理机构可以对已发出的招标文件进行必要的澄清或者修改。澄清或者修改将在本项目招标公告发布媒体(公开招标时</w:t>
      </w:r>
      <w:r>
        <w:t>)</w:t>
      </w:r>
      <w:r>
        <w:rPr>
          <w:rFonts w:hint="eastAsia"/>
        </w:rPr>
        <w:t>上发布更正公告，并以书面形式通知所有获取招标文件的潜在供应商。澄清或者修改的内容可能影响投标文件编制的，将在投标截止时间至少15日前，以书面形式通知所有获取了招标文件的潜在投标人；不足15日的，将顺延提交投标文件的截止时间和开标时间。获取了招标文件的潜在投标人在收到上述通知后，应立即向采购代理机构回复确认，但是投标人的确认不作为其收到上述通知的唯一证据。</w:t>
      </w:r>
    </w:p>
    <w:p>
      <w:pPr>
        <w:pStyle w:val="41"/>
      </w:pPr>
      <w:r>
        <w:rPr>
          <w:rFonts w:hint="eastAsia"/>
        </w:rPr>
        <w:t>招标文件的</w:t>
      </w:r>
      <w:r>
        <w:rPr>
          <w:rFonts w:ascii="Arial" w:hAnsi="Arial" w:eastAsia="宋体" w:cs="Arial"/>
          <w:kern w:val="0"/>
          <w:szCs w:val="24"/>
        </w:rPr>
        <w:t>澄清或者修改的内容</w:t>
      </w:r>
      <w:r>
        <w:rPr>
          <w:rFonts w:cs="Arial"/>
          <w:kern w:val="0"/>
          <w:szCs w:val="24"/>
        </w:rPr>
        <w:t>为招标文件</w:t>
      </w:r>
      <w:r>
        <w:rPr>
          <w:rFonts w:hint="eastAsia"/>
        </w:rPr>
        <w:t>的组成部分，并对所有获取了招标文件的潜在投标人具有约束力。</w:t>
      </w:r>
    </w:p>
    <w:p>
      <w:pPr>
        <w:pStyle w:val="41"/>
      </w:pPr>
      <w:bookmarkStart w:id="72" w:name="_Ref51264020"/>
      <w:r>
        <w:rPr>
          <w:rFonts w:hint="eastAsia"/>
        </w:rPr>
        <w:t>采购人、采购代理机构将视情况确定是否有必要安排所有获取了招标文件的潜在投标人踏勘现场，相关要求见</w:t>
      </w:r>
      <w:r>
        <w:rPr>
          <w:rStyle w:val="69"/>
          <w:rFonts w:hint="eastAsia"/>
        </w:rPr>
        <w:t>《投标人须知前附表》第</w:t>
      </w:r>
      <w:r>
        <w:rPr>
          <w:rStyle w:val="69"/>
        </w:rPr>
        <w:fldChar w:fldCharType="begin"/>
      </w:r>
      <w:r>
        <w:rPr>
          <w:rStyle w:val="69"/>
        </w:rPr>
        <w:instrText xml:space="preserve"> </w:instrText>
      </w:r>
      <w:r>
        <w:rPr>
          <w:rStyle w:val="69"/>
          <w:rFonts w:hint="eastAsia"/>
        </w:rPr>
        <w:instrText xml:space="preserve">REF _Ref51259289 \r \h</w:instrText>
      </w:r>
      <w:r>
        <w:rPr>
          <w:rStyle w:val="69"/>
        </w:rPr>
        <w:instrText xml:space="preserve"> </w:instrText>
      </w:r>
      <w:r>
        <w:rPr>
          <w:rStyle w:val="69"/>
        </w:rPr>
        <w:fldChar w:fldCharType="separate"/>
      </w:r>
      <w:r>
        <w:rPr>
          <w:rStyle w:val="69"/>
        </w:rPr>
        <w:t>7</w:t>
      </w:r>
      <w:r>
        <w:rPr>
          <w:rStyle w:val="69"/>
        </w:rPr>
        <w:fldChar w:fldCharType="end"/>
      </w:r>
      <w:r>
        <w:rPr>
          <w:rStyle w:val="69"/>
          <w:rFonts w:hint="eastAsia"/>
        </w:rPr>
        <w:t>条</w:t>
      </w:r>
      <w:r>
        <w:rPr>
          <w:rFonts w:hint="eastAsia"/>
        </w:rPr>
        <w:t>。</w:t>
      </w:r>
      <w:bookmarkEnd w:id="72"/>
    </w:p>
    <w:p>
      <w:pPr>
        <w:pStyle w:val="41"/>
      </w:pPr>
      <w:bookmarkStart w:id="73" w:name="_Ref51264027"/>
      <w:r>
        <w:rPr>
          <w:rFonts w:hint="eastAsia"/>
        </w:rPr>
        <w:t>采购人、采购代理机构将视情况确定是否有必要召开标前会，相关要求见</w:t>
      </w:r>
      <w:r>
        <w:rPr>
          <w:rStyle w:val="69"/>
          <w:rFonts w:hint="eastAsia"/>
        </w:rPr>
        <w:t>《投标人须知前附表》第</w:t>
      </w:r>
      <w:r>
        <w:rPr>
          <w:rStyle w:val="69"/>
        </w:rPr>
        <w:fldChar w:fldCharType="begin"/>
      </w:r>
      <w:r>
        <w:rPr>
          <w:rStyle w:val="69"/>
        </w:rPr>
        <w:instrText xml:space="preserve"> </w:instrText>
      </w:r>
      <w:r>
        <w:rPr>
          <w:rStyle w:val="69"/>
          <w:rFonts w:hint="eastAsia"/>
        </w:rPr>
        <w:instrText xml:space="preserve">REF _Ref51259299 \r \h</w:instrText>
      </w:r>
      <w:r>
        <w:rPr>
          <w:rStyle w:val="69"/>
        </w:rPr>
        <w:instrText xml:space="preserve"> </w:instrText>
      </w:r>
      <w:r>
        <w:rPr>
          <w:rStyle w:val="69"/>
        </w:rPr>
        <w:fldChar w:fldCharType="separate"/>
      </w:r>
      <w:r>
        <w:rPr>
          <w:rStyle w:val="69"/>
        </w:rPr>
        <w:t>8</w:t>
      </w:r>
      <w:r>
        <w:rPr>
          <w:rStyle w:val="69"/>
        </w:rPr>
        <w:fldChar w:fldCharType="end"/>
      </w:r>
      <w:r>
        <w:rPr>
          <w:rStyle w:val="69"/>
          <w:rFonts w:hint="eastAsia"/>
        </w:rPr>
        <w:t>条</w:t>
      </w:r>
      <w:r>
        <w:rPr>
          <w:rFonts w:hint="eastAsia"/>
        </w:rPr>
        <w:t>。</w:t>
      </w:r>
      <w:bookmarkEnd w:id="73"/>
    </w:p>
    <w:p>
      <w:pPr>
        <w:pStyle w:val="4"/>
      </w:pPr>
      <w:bookmarkStart w:id="74" w:name="_Toc6276"/>
      <w:r>
        <w:rPr>
          <w:rFonts w:hint="eastAsia"/>
        </w:rPr>
        <w:t>三、投标文件的编制</w:t>
      </w:r>
      <w:bookmarkEnd w:id="74"/>
    </w:p>
    <w:p>
      <w:pPr>
        <w:pStyle w:val="40"/>
        <w:ind w:left="679" w:hanging="679"/>
      </w:pPr>
      <w:r>
        <w:rPr>
          <w:rFonts w:hint="eastAsia"/>
        </w:rPr>
        <w:t>投标文件的语言和计量单位</w:t>
      </w:r>
    </w:p>
    <w:p>
      <w:pPr>
        <w:pStyle w:val="41"/>
        <w:ind w:left="679" w:hanging="679"/>
      </w:pPr>
      <w:r>
        <w:rPr>
          <w:rFonts w:hint="eastAsia"/>
        </w:rPr>
        <w:t>投标人提交的投标文件（包括技术文件、电子投标文件和投标资料、图纸中的说明等）以及投标人与采购人或采购代理机构就有关投标的所有来往函电均应使用中文。</w:t>
      </w:r>
    </w:p>
    <w:p>
      <w:pPr>
        <w:pStyle w:val="41"/>
        <w:ind w:left="679" w:hanging="679"/>
      </w:pPr>
      <w:r>
        <w:rPr>
          <w:rFonts w:hint="eastAsia"/>
        </w:rPr>
        <w:t>投标人提交的支持材料或已印刷的文献可以用另一种语言，但相应内容应附有中文翻译本，在解释投标文件时以中文翻译本为准，否则，该外文资料未翻译的内容视为未提供。</w:t>
      </w:r>
      <w:r>
        <w:rPr>
          <w:rFonts w:ascii="Arial" w:hAnsi="Arial" w:eastAsia="宋体" w:cs="Arial"/>
        </w:rPr>
        <w:t>（说明：</w:t>
      </w:r>
      <w:r>
        <w:rPr>
          <w:rFonts w:hint="eastAsia" w:ascii="Arial" w:hAnsi="Arial" w:eastAsia="宋体" w:cs="Arial"/>
        </w:rPr>
        <w:t>投标涉及的人员</w:t>
      </w:r>
      <w:r>
        <w:rPr>
          <w:rFonts w:ascii="Arial" w:hAnsi="Arial" w:eastAsia="宋体" w:cs="Arial"/>
        </w:rPr>
        <w:t>为外籍人士的，</w:t>
      </w:r>
      <w:r>
        <w:rPr>
          <w:rFonts w:hint="eastAsia" w:ascii="Arial" w:hAnsi="Arial" w:eastAsia="宋体" w:cs="Arial"/>
        </w:rPr>
        <w:t>其打印姓名、</w:t>
      </w:r>
      <w:r>
        <w:rPr>
          <w:rFonts w:ascii="Arial" w:hAnsi="Arial" w:eastAsia="宋体" w:cs="Arial"/>
        </w:rPr>
        <w:t>签字和</w:t>
      </w:r>
      <w:r>
        <w:rPr>
          <w:rFonts w:hint="eastAsia" w:ascii="Arial" w:hAnsi="Arial" w:eastAsia="宋体" w:cs="Arial"/>
        </w:rPr>
        <w:t>身份证明不必翻译；</w:t>
      </w:r>
      <w:r>
        <w:rPr>
          <w:rFonts w:ascii="Arial" w:hAnsi="Arial" w:eastAsia="宋体" w:cs="Arial"/>
        </w:rPr>
        <w:t>不适宜以中文表述或者已经形成国际惯例的标准、范本、证书证件名称</w:t>
      </w:r>
      <w:r>
        <w:rPr>
          <w:rFonts w:hint="eastAsia" w:ascii="Arial" w:hAnsi="Arial" w:eastAsia="宋体" w:cs="Arial"/>
        </w:rPr>
        <w:t>不必翻译</w:t>
      </w:r>
      <w:r>
        <w:rPr>
          <w:rFonts w:ascii="Arial" w:hAnsi="Arial" w:eastAsia="宋体" w:cs="Arial"/>
        </w:rPr>
        <w:t>）。</w:t>
      </w:r>
      <w:r>
        <w:rPr>
          <w:rFonts w:hint="eastAsia"/>
        </w:rPr>
        <w:t>在解释投标文件时以中文翻译本为准，但不得明显错误翻译，否则，该明显翻译错误的内容视为无效内容，评标时不予考虑。</w:t>
      </w:r>
    </w:p>
    <w:p>
      <w:pPr>
        <w:pStyle w:val="41"/>
        <w:ind w:left="679" w:hanging="679"/>
      </w:pPr>
      <w:r>
        <w:rPr>
          <w:rFonts w:hint="eastAsia"/>
        </w:rPr>
        <w:t>投标文件所使用的计量单位，应使用国家法定计量单位，但招标文件技术服务需求中已使用了法定之外计量单位的情况除外。</w:t>
      </w:r>
    </w:p>
    <w:p>
      <w:pPr>
        <w:pStyle w:val="40"/>
        <w:ind w:left="679" w:hanging="679"/>
      </w:pPr>
      <w:r>
        <w:rPr>
          <w:rFonts w:hint="eastAsia"/>
        </w:rPr>
        <w:t>投标文件构成</w:t>
      </w:r>
    </w:p>
    <w:p>
      <w:pPr>
        <w:pStyle w:val="41"/>
      </w:pPr>
      <w:bookmarkStart w:id="75" w:name="_Ref51264055"/>
      <w:r>
        <w:rPr>
          <w:rFonts w:hint="eastAsia"/>
        </w:rPr>
        <w:t>投标人编写的投标文件应包括但不限于</w:t>
      </w:r>
      <w:r>
        <w:rPr>
          <w:rStyle w:val="69"/>
          <w:rFonts w:hint="eastAsia"/>
        </w:rPr>
        <w:t>《投标人须知前附表》第</w:t>
      </w:r>
      <w:r>
        <w:rPr>
          <w:rStyle w:val="69"/>
        </w:rPr>
        <w:fldChar w:fldCharType="begin"/>
      </w:r>
      <w:r>
        <w:rPr>
          <w:rStyle w:val="69"/>
        </w:rPr>
        <w:instrText xml:space="preserve"> </w:instrText>
      </w:r>
      <w:r>
        <w:rPr>
          <w:rStyle w:val="69"/>
          <w:rFonts w:hint="eastAsia"/>
        </w:rPr>
        <w:instrText xml:space="preserve">REF _Ref51259346 \r \h</w:instrText>
      </w:r>
      <w:r>
        <w:rPr>
          <w:rStyle w:val="69"/>
        </w:rPr>
        <w:instrText xml:space="preserve"> </w:instrText>
      </w:r>
      <w:r>
        <w:rPr>
          <w:rStyle w:val="69"/>
        </w:rPr>
        <w:fldChar w:fldCharType="separate"/>
      </w:r>
      <w:r>
        <w:rPr>
          <w:rStyle w:val="69"/>
        </w:rPr>
        <w:t>9</w:t>
      </w:r>
      <w:r>
        <w:rPr>
          <w:rStyle w:val="69"/>
        </w:rPr>
        <w:fldChar w:fldCharType="end"/>
      </w:r>
      <w:r>
        <w:rPr>
          <w:rStyle w:val="69"/>
          <w:rFonts w:hint="eastAsia"/>
        </w:rPr>
        <w:t>条所</w:t>
      </w:r>
      <w:r>
        <w:rPr>
          <w:rFonts w:hint="eastAsia"/>
        </w:rPr>
        <w:t>列</w:t>
      </w:r>
      <w:r>
        <w:t>资格</w:t>
      </w:r>
      <w:r>
        <w:rPr>
          <w:rFonts w:hint="eastAsia"/>
        </w:rPr>
        <w:t>、</w:t>
      </w:r>
      <w:r>
        <w:t>资信证明文件</w:t>
      </w:r>
      <w:r>
        <w:rPr>
          <w:rFonts w:hint="eastAsia"/>
        </w:rPr>
        <w:t>分册和</w:t>
      </w:r>
      <w:r>
        <w:rPr>
          <w:rStyle w:val="69"/>
          <w:rFonts w:hint="eastAsia"/>
        </w:rPr>
        <w:t>第</w:t>
      </w:r>
      <w:r>
        <w:rPr>
          <w:rStyle w:val="69"/>
        </w:rPr>
        <w:fldChar w:fldCharType="begin"/>
      </w:r>
      <w:r>
        <w:rPr>
          <w:rStyle w:val="69"/>
        </w:rPr>
        <w:instrText xml:space="preserve"> </w:instrText>
      </w:r>
      <w:r>
        <w:rPr>
          <w:rStyle w:val="69"/>
          <w:rFonts w:hint="eastAsia"/>
        </w:rPr>
        <w:instrText xml:space="preserve">REF _Ref51259390 \r \h</w:instrText>
      </w:r>
      <w:r>
        <w:rPr>
          <w:rStyle w:val="69"/>
        </w:rPr>
        <w:instrText xml:space="preserve"> </w:instrText>
      </w:r>
      <w:r>
        <w:rPr>
          <w:rStyle w:val="69"/>
        </w:rPr>
        <w:fldChar w:fldCharType="separate"/>
      </w:r>
      <w:r>
        <w:rPr>
          <w:rStyle w:val="69"/>
        </w:rPr>
        <w:t>10</w:t>
      </w:r>
      <w:r>
        <w:rPr>
          <w:rStyle w:val="69"/>
        </w:rPr>
        <w:fldChar w:fldCharType="end"/>
      </w:r>
      <w:r>
        <w:rPr>
          <w:rStyle w:val="69"/>
          <w:rFonts w:hint="eastAsia"/>
        </w:rPr>
        <w:t>条</w:t>
      </w:r>
      <w:r>
        <w:rPr>
          <w:rFonts w:hint="eastAsia"/>
        </w:rPr>
        <w:t>所列商务技术文件分册中的内容。</w:t>
      </w:r>
      <w:bookmarkEnd w:id="75"/>
    </w:p>
    <w:p>
      <w:pPr>
        <w:pStyle w:val="41"/>
      </w:pPr>
      <w:bookmarkStart w:id="76" w:name="_Ref51686868"/>
      <w:r>
        <w:rPr>
          <w:rFonts w:hint="eastAsia"/>
        </w:rPr>
        <w:t>投标人编写的投标文件具体内容的其它要求或注意事项见</w:t>
      </w:r>
      <w:r>
        <w:rPr>
          <w:rStyle w:val="69"/>
          <w:rFonts w:hint="eastAsia"/>
        </w:rPr>
        <w:t>《投标人须知前附表》第</w:t>
      </w:r>
      <w:r>
        <w:rPr>
          <w:rStyle w:val="69"/>
        </w:rPr>
        <w:fldChar w:fldCharType="begin"/>
      </w:r>
      <w:r>
        <w:rPr>
          <w:rStyle w:val="69"/>
        </w:rPr>
        <w:instrText xml:space="preserve"> </w:instrText>
      </w:r>
      <w:r>
        <w:rPr>
          <w:rStyle w:val="69"/>
          <w:rFonts w:hint="eastAsia"/>
        </w:rPr>
        <w:instrText xml:space="preserve">REF _Ref53154354 \r \h</w:instrText>
      </w:r>
      <w:r>
        <w:rPr>
          <w:rStyle w:val="69"/>
        </w:rPr>
        <w:instrText xml:space="preserve">  \* MERGEFORMAT </w:instrText>
      </w:r>
      <w:r>
        <w:rPr>
          <w:rStyle w:val="69"/>
        </w:rPr>
        <w:fldChar w:fldCharType="separate"/>
      </w:r>
      <w:r>
        <w:rPr>
          <w:rStyle w:val="69"/>
        </w:rPr>
        <w:t>11</w:t>
      </w:r>
      <w:r>
        <w:rPr>
          <w:rStyle w:val="69"/>
        </w:rPr>
        <w:fldChar w:fldCharType="end"/>
      </w:r>
      <w:r>
        <w:rPr>
          <w:rStyle w:val="69"/>
          <w:rFonts w:hint="eastAsia"/>
        </w:rPr>
        <w:t>条</w:t>
      </w:r>
      <w:r>
        <w:rPr>
          <w:rFonts w:hint="eastAsia"/>
        </w:rPr>
        <w:t>。</w:t>
      </w:r>
      <w:bookmarkEnd w:id="76"/>
    </w:p>
    <w:p>
      <w:pPr>
        <w:pStyle w:val="41"/>
      </w:pPr>
      <w:r>
        <w:rPr>
          <w:rFonts w:hint="eastAsia"/>
        </w:rPr>
        <w:t>投标人应保证投标文件所提供的全部资料真实可靠，并接受评标委员会对其中任何资料进一步审查的要求。</w:t>
      </w:r>
    </w:p>
    <w:p>
      <w:pPr>
        <w:pStyle w:val="40"/>
        <w:ind w:left="679" w:hanging="679"/>
      </w:pPr>
      <w:bookmarkStart w:id="77" w:name="_Ref492021356"/>
      <w:r>
        <w:rPr>
          <w:rFonts w:hint="eastAsia"/>
        </w:rPr>
        <w:t>投标文件的式样和签署</w:t>
      </w:r>
      <w:bookmarkEnd w:id="77"/>
    </w:p>
    <w:p>
      <w:pPr>
        <w:pStyle w:val="41"/>
        <w:ind w:left="679" w:hanging="679"/>
      </w:pPr>
      <w:bookmarkStart w:id="78" w:name="_Ref470250543"/>
      <w:bookmarkStart w:id="79" w:name="_Ref51264184"/>
      <w:r>
        <w:rPr>
          <w:rFonts w:hint="eastAsia"/>
        </w:rPr>
        <w:t>投标人应按</w:t>
      </w:r>
      <w:r>
        <w:rPr>
          <w:rStyle w:val="69"/>
          <w:rFonts w:hint="eastAsia"/>
        </w:rPr>
        <w:t>《投标人须知前附表》第</w:t>
      </w:r>
      <w:r>
        <w:rPr>
          <w:rStyle w:val="69"/>
        </w:rPr>
        <w:fldChar w:fldCharType="begin"/>
      </w:r>
      <w:r>
        <w:rPr>
          <w:rStyle w:val="69"/>
        </w:rPr>
        <w:instrText xml:space="preserve"> </w:instrText>
      </w:r>
      <w:r>
        <w:rPr>
          <w:rStyle w:val="69"/>
          <w:rFonts w:hint="eastAsia"/>
        </w:rPr>
        <w:instrText xml:space="preserve">REF _Ref51259554 \r \h</w:instrText>
      </w:r>
      <w:r>
        <w:rPr>
          <w:rStyle w:val="69"/>
        </w:rPr>
        <w:instrText xml:space="preserve"> </w:instrText>
      </w:r>
      <w:r>
        <w:rPr>
          <w:rStyle w:val="69"/>
        </w:rPr>
        <w:fldChar w:fldCharType="separate"/>
      </w:r>
      <w:r>
        <w:rPr>
          <w:rStyle w:val="69"/>
        </w:rPr>
        <w:t>12</w:t>
      </w:r>
      <w:r>
        <w:rPr>
          <w:rStyle w:val="69"/>
        </w:rPr>
        <w:fldChar w:fldCharType="end"/>
      </w:r>
      <w:r>
        <w:rPr>
          <w:rStyle w:val="69"/>
          <w:rFonts w:hint="eastAsia"/>
        </w:rPr>
        <w:t>条</w:t>
      </w:r>
      <w:r>
        <w:rPr>
          <w:rFonts w:hint="eastAsia"/>
        </w:rPr>
        <w:t>规定的份数准备投标文件。投标文件纸质正本及副本须在封面清楚地标明“正本”或“副本”，若投标文件的《商务技术分册》有其它纸质组成部分或再分为多册装订等情况，则除了在封面清楚地标明“正本”或“副本”外，还应尽量注明该纸质文件的内容（例如“上册”、“下册”、“图纸”或“附件”等）。若投标文件副本与正本不符，以正本为准。</w:t>
      </w:r>
      <w:bookmarkEnd w:id="78"/>
      <w:r>
        <w:rPr>
          <w:rFonts w:hint="eastAsia"/>
        </w:rPr>
        <w:t>电子版与纸制文件不符，以纸制文件为准。</w:t>
      </w:r>
      <w:bookmarkEnd w:id="79"/>
    </w:p>
    <w:p>
      <w:pPr>
        <w:pStyle w:val="41"/>
        <w:ind w:left="679" w:hanging="679"/>
      </w:pPr>
      <w:r>
        <w:rPr>
          <w:rFonts w:hint="eastAsia"/>
        </w:rPr>
        <w:t>投标文件幅面规格请使用A4规格纸张，按照招标文件第六章规定的顺序，统一编目编码装订，尽量采用双面印刷。由于编排混乱导致投标文件被误读或相关信息查找不到，其责任应当由投标人承担。投标文件装订采用胶订或线订形式进行牢固装订</w:t>
      </w:r>
      <w:r>
        <w:rPr>
          <w:rFonts w:hint="eastAsia" w:hAnsi="宋体"/>
          <w:b/>
          <w:bCs/>
        </w:rPr>
        <w:t>（左侧装订）</w:t>
      </w:r>
      <w:r>
        <w:rPr>
          <w:rFonts w:hint="eastAsia"/>
        </w:rPr>
        <w:t>，不得采用活页装订。</w:t>
      </w:r>
      <w:bookmarkStart w:id="80" w:name="_Hlk51746619"/>
      <w:r>
        <w:rPr>
          <w:rFonts w:hint="eastAsia"/>
        </w:rPr>
        <w:t>未牢固装订的纸质材料将不作为投标文件的组成部分，不作为评审依据，但投标人在投标截止时间前提交的投标文件的</w:t>
      </w:r>
      <w:r>
        <w:rPr>
          <w:rFonts w:ascii="Arial" w:hAnsi="Arial" w:cs="Arial"/>
          <w:szCs w:val="24"/>
        </w:rPr>
        <w:t>补充</w:t>
      </w:r>
      <w:r>
        <w:rPr>
          <w:rFonts w:hint="eastAsia" w:ascii="Arial" w:hAnsi="Arial" w:cs="Arial"/>
          <w:szCs w:val="24"/>
        </w:rPr>
        <w:t>或</w:t>
      </w:r>
      <w:r>
        <w:rPr>
          <w:rFonts w:ascii="Arial" w:hAnsi="Arial" w:cs="Arial"/>
          <w:szCs w:val="24"/>
        </w:rPr>
        <w:t>修改</w:t>
      </w:r>
      <w:r>
        <w:rPr>
          <w:rFonts w:hint="eastAsia" w:ascii="Arial" w:hAnsi="Arial" w:cs="Arial"/>
          <w:szCs w:val="24"/>
        </w:rPr>
        <w:t>材料以及投标人按照评标委员会要求进行的澄清、修改或补正材料除外</w:t>
      </w:r>
      <w:r>
        <w:rPr>
          <w:rFonts w:hint="eastAsia"/>
        </w:rPr>
        <w:t>。</w:t>
      </w:r>
      <w:bookmarkEnd w:id="80"/>
    </w:p>
    <w:p>
      <w:pPr>
        <w:pStyle w:val="41"/>
        <w:ind w:left="679" w:hanging="679"/>
      </w:pPr>
      <w:r>
        <w:rPr>
          <w:rFonts w:ascii="Arial" w:hAnsi="Arial" w:cs="Arial"/>
          <w:szCs w:val="24"/>
        </w:rPr>
        <w:t>投标人在投标文件及相关文件的签订、履行、通知等事项的书面文件中的单位盖章、印章、公章等处均</w:t>
      </w:r>
      <w:r>
        <w:rPr>
          <w:rFonts w:hint="eastAsia" w:ascii="Arial" w:hAnsi="Arial" w:cs="Arial"/>
          <w:szCs w:val="24"/>
        </w:rPr>
        <w:t>是</w:t>
      </w:r>
      <w:r>
        <w:rPr>
          <w:rFonts w:ascii="Arial" w:hAnsi="Arial" w:cs="Arial"/>
          <w:szCs w:val="24"/>
        </w:rPr>
        <w:t>指与当事人名称全称相一致的标准公章，</w:t>
      </w:r>
      <w:r>
        <w:rPr>
          <w:rFonts w:hint="eastAsia"/>
        </w:rPr>
        <w:t>如使用投标专用章或其它印章，须提供特别说明函，明确该投标专用章或其它印章效力等同于公章(该特别说明函须同时加盖公章和投标专用章或其它印章)。</w:t>
      </w:r>
    </w:p>
    <w:p>
      <w:pPr>
        <w:pStyle w:val="41"/>
      </w:pPr>
      <w:bookmarkStart w:id="81" w:name="_Ref506123468"/>
      <w:r>
        <w:rPr>
          <w:rFonts w:hint="eastAsia"/>
        </w:rPr>
        <w:t>投标文件的正本应用不褪色的墨水书写或打印，</w:t>
      </w:r>
      <w:r>
        <w:rPr>
          <w:rFonts w:ascii="Arial" w:hAnsi="Arial" w:cs="Arial"/>
        </w:rPr>
        <w:t>在所有纸质组成部分的封面</w:t>
      </w:r>
      <w:r>
        <w:rPr>
          <w:rFonts w:ascii="Arial" w:hAnsi="Arial" w:cs="Arial"/>
          <w:kern w:val="0"/>
        </w:rPr>
        <w:t>加盖投标人公章（</w:t>
      </w:r>
      <w:r>
        <w:rPr>
          <w:rFonts w:ascii="Arial" w:hAnsi="Arial" w:cs="Arial"/>
        </w:rPr>
        <w:t>由于封面使用了光滑纸张等不便盖章情况的，则认可在扉页或封面之后的第一页盖章</w:t>
      </w:r>
      <w:r>
        <w:rPr>
          <w:rFonts w:ascii="Arial" w:hAnsi="Arial" w:cs="Arial"/>
          <w:kern w:val="0"/>
        </w:rPr>
        <w:t>）</w:t>
      </w:r>
      <w:r>
        <w:rPr>
          <w:rFonts w:hint="eastAsia" w:ascii="宋体"/>
          <w:kern w:val="0"/>
          <w:szCs w:val="24"/>
        </w:rPr>
        <w:t>并在投标函中</w:t>
      </w:r>
      <w:r>
        <w:rPr>
          <w:rFonts w:hint="eastAsia"/>
        </w:rPr>
        <w:t>由投标人的法定代表人签署（法定代表人签署说明：法定代表人签字、盖手签章或盖姓名章均为有效签署）或者由法定代表人授权的代理人（也称“被授权人”，下同）签字后有效。由代理人签字的，应附《法定代表人授权书》，《法定代表人授权书》应符合第六章的格式要求。投标人为无法定代表人的其他团体组织等时，法定代表人则系指其负责人，下同。投标文件的副本可采用正本的复印件。</w:t>
      </w:r>
      <w:bookmarkEnd w:id="81"/>
    </w:p>
    <w:p>
      <w:pPr>
        <w:pStyle w:val="41"/>
      </w:pPr>
      <w:r>
        <w:rPr>
          <w:rFonts w:hint="eastAsia"/>
        </w:rPr>
        <w:t>投标文件应尽量避免涂改、行间插字或增删，如果出现上述情况，改动之处必须由投标人的法定代表人签署或者被授权人签字或者盖公章才有效。</w:t>
      </w:r>
    </w:p>
    <w:p>
      <w:pPr>
        <w:pStyle w:val="41"/>
        <w:ind w:left="679" w:hanging="679"/>
      </w:pPr>
      <w:r>
        <w:rPr>
          <w:rFonts w:hint="eastAsia"/>
        </w:rPr>
        <w:t>若本项目采购需求分为两个或以上包件，除非招标文件中另有规定，投标人对本项目的多个包件进行投标时，投标文件须按包件分别编制并装订提交。</w:t>
      </w:r>
    </w:p>
    <w:p>
      <w:pPr>
        <w:pStyle w:val="40"/>
      </w:pPr>
      <w:bookmarkStart w:id="82" w:name="_Ref469992002"/>
      <w:r>
        <w:rPr>
          <w:rFonts w:hint="eastAsia"/>
        </w:rPr>
        <w:t>投标报价</w:t>
      </w:r>
      <w:bookmarkEnd w:id="82"/>
    </w:p>
    <w:p>
      <w:pPr>
        <w:pStyle w:val="41"/>
      </w:pPr>
      <w:bookmarkStart w:id="83" w:name="_Ref491967304"/>
      <w:bookmarkStart w:id="84" w:name="_Ref51264210"/>
      <w:bookmarkStart w:id="85" w:name="_Ref470250477"/>
      <w:r>
        <w:rPr>
          <w:rFonts w:hint="eastAsia"/>
        </w:rPr>
        <w:t>报价方式详见</w:t>
      </w:r>
      <w:r>
        <w:rPr>
          <w:rStyle w:val="69"/>
          <w:rFonts w:hint="eastAsia"/>
        </w:rPr>
        <w:t>《投标人须知前附表》第</w:t>
      </w:r>
      <w:r>
        <w:rPr>
          <w:rStyle w:val="69"/>
        </w:rPr>
        <w:fldChar w:fldCharType="begin"/>
      </w:r>
      <w:r>
        <w:rPr>
          <w:rStyle w:val="69"/>
        </w:rPr>
        <w:instrText xml:space="preserve"> </w:instrText>
      </w:r>
      <w:r>
        <w:rPr>
          <w:rStyle w:val="69"/>
          <w:rFonts w:hint="eastAsia"/>
        </w:rPr>
        <w:instrText xml:space="preserve">REF _Ref51259915 \r \h</w:instrText>
      </w:r>
      <w:r>
        <w:rPr>
          <w:rStyle w:val="69"/>
        </w:rPr>
        <w:instrText xml:space="preserve"> </w:instrText>
      </w:r>
      <w:r>
        <w:rPr>
          <w:rStyle w:val="69"/>
        </w:rPr>
        <w:fldChar w:fldCharType="separate"/>
      </w:r>
      <w:r>
        <w:rPr>
          <w:rStyle w:val="69"/>
        </w:rPr>
        <w:t>13</w:t>
      </w:r>
      <w:r>
        <w:rPr>
          <w:rStyle w:val="69"/>
        </w:rPr>
        <w:fldChar w:fldCharType="end"/>
      </w:r>
      <w:r>
        <w:rPr>
          <w:rStyle w:val="69"/>
          <w:rFonts w:hint="eastAsia"/>
        </w:rPr>
        <w:t>条</w:t>
      </w:r>
      <w:r>
        <w:rPr>
          <w:rFonts w:hint="eastAsia"/>
        </w:rPr>
        <w:t>。</w:t>
      </w:r>
      <w:bookmarkEnd w:id="83"/>
      <w:r>
        <w:rPr>
          <w:rFonts w:ascii="Arial" w:hAnsi="Arial" w:cs="Arial"/>
          <w:szCs w:val="24"/>
        </w:rPr>
        <w:t>所有投标报价均以</w:t>
      </w:r>
      <w:r>
        <w:rPr>
          <w:rStyle w:val="69"/>
          <w:rFonts w:hint="eastAsia"/>
        </w:rPr>
        <w:t>《投标人须知前附表》第</w:t>
      </w:r>
      <w:r>
        <w:rPr>
          <w:rStyle w:val="69"/>
        </w:rPr>
        <w:fldChar w:fldCharType="begin"/>
      </w:r>
      <w:r>
        <w:rPr>
          <w:rStyle w:val="69"/>
        </w:rPr>
        <w:instrText xml:space="preserve"> </w:instrText>
      </w:r>
      <w:r>
        <w:rPr>
          <w:rStyle w:val="69"/>
          <w:rFonts w:hint="eastAsia"/>
        </w:rPr>
        <w:instrText xml:space="preserve">REF _Ref51259915 \r \h</w:instrText>
      </w:r>
      <w:r>
        <w:rPr>
          <w:rStyle w:val="69"/>
        </w:rPr>
        <w:instrText xml:space="preserve"> </w:instrText>
      </w:r>
      <w:r>
        <w:rPr>
          <w:rStyle w:val="69"/>
        </w:rPr>
        <w:fldChar w:fldCharType="separate"/>
      </w:r>
      <w:r>
        <w:rPr>
          <w:rStyle w:val="69"/>
        </w:rPr>
        <w:t>13</w:t>
      </w:r>
      <w:r>
        <w:rPr>
          <w:rStyle w:val="69"/>
        </w:rPr>
        <w:fldChar w:fldCharType="end"/>
      </w:r>
      <w:r>
        <w:rPr>
          <w:rStyle w:val="69"/>
          <w:rFonts w:hint="eastAsia"/>
        </w:rPr>
        <w:t>条</w:t>
      </w:r>
      <w:r>
        <w:rPr>
          <w:rFonts w:hint="eastAsia" w:ascii="Arial" w:hAnsi="Arial" w:cs="Arial"/>
          <w:szCs w:val="24"/>
        </w:rPr>
        <w:t>规定的币种和单位</w:t>
      </w:r>
      <w:r>
        <w:rPr>
          <w:rFonts w:ascii="Arial" w:hAnsi="Arial" w:cs="Arial"/>
          <w:szCs w:val="24"/>
        </w:rPr>
        <w:t>为计量单位。</w:t>
      </w:r>
      <w:bookmarkEnd w:id="84"/>
    </w:p>
    <w:p>
      <w:pPr>
        <w:pStyle w:val="41"/>
        <w:ind w:left="679" w:hanging="679"/>
      </w:pPr>
      <w:r>
        <w:rPr>
          <w:rFonts w:hint="eastAsia"/>
        </w:rPr>
        <w:t>投标人必须对其参加的一个包件或多个包件内的所有货物和服务以包件为单位进行报价，不得将几个包件合报一个价格，也不得将一个包件中的内容拆开报价。如果招标文件采购内容未注明分包件采购，即为全部需求内容是一个包件（即第1包件）。</w:t>
      </w:r>
    </w:p>
    <w:p>
      <w:pPr>
        <w:pStyle w:val="41"/>
        <w:ind w:left="679" w:hanging="679"/>
      </w:pPr>
      <w:r>
        <w:rPr>
          <w:rFonts w:hint="eastAsia"/>
        </w:rPr>
        <w:t>投标报价中不得包含招标文件要求以外的内容，否则，在评标时不予核减。投标报价中也不应缺漏招标文件所要求的内容。</w:t>
      </w:r>
      <w:bookmarkEnd w:id="85"/>
    </w:p>
    <w:p>
      <w:pPr>
        <w:pStyle w:val="41"/>
        <w:ind w:left="679" w:hanging="679"/>
      </w:pPr>
      <w:bookmarkStart w:id="86" w:name="_Ref469991043"/>
      <w:r>
        <w:rPr>
          <w:rFonts w:ascii="Arial" w:hAnsi="Arial" w:cs="Arial"/>
          <w:szCs w:val="24"/>
        </w:rPr>
        <w:t>本次招标不接受可选择或可调整的投标和报价，</w:t>
      </w:r>
      <w:r>
        <w:rPr>
          <w:rFonts w:hint="eastAsia"/>
        </w:rPr>
        <w:t>投标人对每种货物或服务只允许有一个报价，</w:t>
      </w:r>
      <w:r>
        <w:rPr>
          <w:rFonts w:ascii="Arial" w:hAnsi="Arial" w:cs="Arial"/>
          <w:szCs w:val="24"/>
        </w:rPr>
        <w:t>任何有选择的或可调整的投标方案和报价将被视为无效投标。</w:t>
      </w:r>
      <w:bookmarkEnd w:id="86"/>
    </w:p>
    <w:p>
      <w:pPr>
        <w:pStyle w:val="41"/>
        <w:ind w:left="679" w:hanging="679"/>
      </w:pPr>
      <w:bookmarkStart w:id="87" w:name="_Ref492028233"/>
      <w:r>
        <w:rPr>
          <w:rFonts w:hint="eastAsia"/>
        </w:rPr>
        <w:t>本次招标设定的最高投标限价见</w:t>
      </w:r>
      <w:r>
        <w:rPr>
          <w:rStyle w:val="69"/>
          <w:rFonts w:hint="eastAsia"/>
        </w:rPr>
        <w:t>《投标人须知前附表》第</w:t>
      </w:r>
      <w:r>
        <w:rPr>
          <w:rStyle w:val="69"/>
        </w:rPr>
        <w:fldChar w:fldCharType="begin"/>
      </w:r>
      <w:r>
        <w:rPr>
          <w:rStyle w:val="69"/>
        </w:rPr>
        <w:instrText xml:space="preserve"> </w:instrText>
      </w:r>
      <w:r>
        <w:rPr>
          <w:rStyle w:val="69"/>
          <w:rFonts w:hint="eastAsia"/>
        </w:rPr>
        <w:instrText xml:space="preserve">REF _Ref51260090 \r \h</w:instrText>
      </w:r>
      <w:r>
        <w:rPr>
          <w:rStyle w:val="69"/>
        </w:rPr>
        <w:instrText xml:space="preserve"> </w:instrText>
      </w:r>
      <w:r>
        <w:rPr>
          <w:rStyle w:val="69"/>
        </w:rPr>
        <w:fldChar w:fldCharType="separate"/>
      </w:r>
      <w:r>
        <w:rPr>
          <w:rStyle w:val="69"/>
        </w:rPr>
        <w:t>14</w:t>
      </w:r>
      <w:r>
        <w:rPr>
          <w:rStyle w:val="69"/>
        </w:rPr>
        <w:fldChar w:fldCharType="end"/>
      </w:r>
      <w:r>
        <w:rPr>
          <w:rStyle w:val="69"/>
          <w:rFonts w:hint="eastAsia"/>
        </w:rPr>
        <w:t>条</w:t>
      </w:r>
      <w:r>
        <w:rPr>
          <w:rFonts w:hint="eastAsia"/>
        </w:rPr>
        <w:t>。</w:t>
      </w:r>
      <w:bookmarkEnd w:id="87"/>
    </w:p>
    <w:p>
      <w:pPr>
        <w:pStyle w:val="40"/>
        <w:ind w:left="679" w:hanging="679"/>
      </w:pPr>
      <w:bookmarkStart w:id="88" w:name="_Ref469991139"/>
      <w:r>
        <w:rPr>
          <w:rFonts w:hint="eastAsia"/>
        </w:rPr>
        <w:t>投标有效期和投标保证金</w:t>
      </w:r>
      <w:bookmarkEnd w:id="88"/>
    </w:p>
    <w:p>
      <w:pPr>
        <w:pStyle w:val="41"/>
        <w:ind w:left="679" w:hanging="679"/>
      </w:pPr>
      <w:bookmarkStart w:id="89" w:name="_Ref470250529"/>
      <w:bookmarkStart w:id="90" w:name="_Ref51264220"/>
      <w:r>
        <w:rPr>
          <w:rFonts w:hint="eastAsia"/>
        </w:rPr>
        <w:t>投标有效期见</w:t>
      </w:r>
      <w:r>
        <w:rPr>
          <w:rStyle w:val="69"/>
          <w:rFonts w:hint="eastAsia"/>
        </w:rPr>
        <w:t>《投标人须知前附表》第</w:t>
      </w:r>
      <w:r>
        <w:rPr>
          <w:rStyle w:val="69"/>
        </w:rPr>
        <w:fldChar w:fldCharType="begin"/>
      </w:r>
      <w:r>
        <w:rPr>
          <w:rStyle w:val="69"/>
        </w:rPr>
        <w:instrText xml:space="preserve"> </w:instrText>
      </w:r>
      <w:r>
        <w:rPr>
          <w:rStyle w:val="69"/>
          <w:rFonts w:hint="eastAsia"/>
        </w:rPr>
        <w:instrText xml:space="preserve">REF _Ref51260155 \r \h</w:instrText>
      </w:r>
      <w:r>
        <w:rPr>
          <w:rStyle w:val="69"/>
        </w:rPr>
        <w:instrText xml:space="preserve"> </w:instrText>
      </w:r>
      <w:r>
        <w:rPr>
          <w:rStyle w:val="69"/>
        </w:rPr>
        <w:fldChar w:fldCharType="separate"/>
      </w:r>
      <w:r>
        <w:rPr>
          <w:rStyle w:val="69"/>
        </w:rPr>
        <w:t>15</w:t>
      </w:r>
      <w:r>
        <w:rPr>
          <w:rStyle w:val="69"/>
        </w:rPr>
        <w:fldChar w:fldCharType="end"/>
      </w:r>
      <w:r>
        <w:rPr>
          <w:rStyle w:val="69"/>
          <w:rFonts w:hint="eastAsia"/>
        </w:rPr>
        <w:t>条</w:t>
      </w:r>
      <w:r>
        <w:rPr>
          <w:rFonts w:hint="eastAsia"/>
        </w:rPr>
        <w:t>。</w:t>
      </w:r>
      <w:bookmarkEnd w:id="89"/>
      <w:r>
        <w:rPr>
          <w:rFonts w:ascii="Arial" w:hAnsi="Arial" w:cs="Arial"/>
          <w:szCs w:val="24"/>
        </w:rPr>
        <w:t>投标有效期短于要求的投标文件将被视为无效投标。</w:t>
      </w:r>
      <w:r>
        <w:rPr>
          <w:rFonts w:hint="eastAsia"/>
        </w:rPr>
        <w:t>特殊情况下，在原投标有效期截止之前，采购代理机构可要求投标人延长投标有效期。这种要求与答复均应以书面形式提交。投标人可拒绝采购代理机构的这种要求，其投标保证金将予以退还，但其投标在原投标有效期期满后将不再有效。同意延长投标有效期的投标人将不会被要求和允许修正其投标，而只会被要求相应地延长其投标保证金的有效期。在这种情况下，本须知内有关投标保证金的退还和不予退还的规定将在延长了的有效期内继续有效。</w:t>
      </w:r>
      <w:bookmarkEnd w:id="90"/>
    </w:p>
    <w:p>
      <w:pPr>
        <w:pStyle w:val="41"/>
      </w:pPr>
      <w:bookmarkStart w:id="91" w:name="_Ref51264228"/>
      <w:r>
        <w:rPr>
          <w:rFonts w:ascii="Arial" w:hAnsi="Arial" w:cs="Arial"/>
          <w:color w:val="000000"/>
          <w:szCs w:val="24"/>
        </w:rPr>
        <w:t>投标保证金</w:t>
      </w:r>
      <w:r>
        <w:rPr>
          <w:rFonts w:hint="eastAsia" w:ascii="Arial" w:hAnsi="Arial" w:cs="Arial"/>
          <w:color w:val="000000"/>
          <w:szCs w:val="24"/>
        </w:rPr>
        <w:t>金额</w:t>
      </w:r>
      <w:r>
        <w:rPr>
          <w:rFonts w:ascii="Arial" w:hAnsi="Arial" w:cs="Arial"/>
          <w:color w:val="000000"/>
          <w:szCs w:val="24"/>
        </w:rPr>
        <w:t>应满足</w:t>
      </w:r>
      <w:r>
        <w:rPr>
          <w:rStyle w:val="69"/>
          <w:rFonts w:hint="eastAsia"/>
        </w:rPr>
        <w:t>《投标人须知前附表》第</w:t>
      </w:r>
      <w:r>
        <w:rPr>
          <w:rStyle w:val="69"/>
        </w:rPr>
        <w:fldChar w:fldCharType="begin"/>
      </w:r>
      <w:r>
        <w:rPr>
          <w:rStyle w:val="69"/>
        </w:rPr>
        <w:instrText xml:space="preserve"> </w:instrText>
      </w:r>
      <w:r>
        <w:rPr>
          <w:rStyle w:val="69"/>
          <w:rFonts w:hint="eastAsia"/>
        </w:rPr>
        <w:instrText xml:space="preserve">REF _Ref51612197 \r \h</w:instrText>
      </w:r>
      <w:r>
        <w:rPr>
          <w:rStyle w:val="69"/>
        </w:rPr>
        <w:instrText xml:space="preserve"> </w:instrText>
      </w:r>
      <w:r>
        <w:rPr>
          <w:rStyle w:val="69"/>
        </w:rPr>
        <w:fldChar w:fldCharType="separate"/>
      </w:r>
      <w:r>
        <w:rPr>
          <w:rStyle w:val="69"/>
        </w:rPr>
        <w:t>16</w:t>
      </w:r>
      <w:r>
        <w:rPr>
          <w:rStyle w:val="69"/>
        </w:rPr>
        <w:fldChar w:fldCharType="end"/>
      </w:r>
      <w:r>
        <w:rPr>
          <w:rStyle w:val="69"/>
          <w:rFonts w:hint="eastAsia"/>
        </w:rPr>
        <w:t>条</w:t>
      </w:r>
      <w:r>
        <w:rPr>
          <w:rFonts w:ascii="Arial" w:hAnsi="Arial" w:cs="Arial"/>
        </w:rPr>
        <w:t>的要求。</w:t>
      </w:r>
      <w:r>
        <w:rPr>
          <w:rFonts w:hint="eastAsia"/>
        </w:rPr>
        <w:t>投标保证金提交方式建议见</w:t>
      </w:r>
      <w:r>
        <w:rPr>
          <w:rStyle w:val="69"/>
          <w:rFonts w:hint="eastAsia"/>
        </w:rPr>
        <w:t>《投标人须知前附表》第</w:t>
      </w:r>
      <w:r>
        <w:rPr>
          <w:rStyle w:val="69"/>
        </w:rPr>
        <w:fldChar w:fldCharType="begin"/>
      </w:r>
      <w:r>
        <w:rPr>
          <w:rStyle w:val="69"/>
        </w:rPr>
        <w:instrText xml:space="preserve"> </w:instrText>
      </w:r>
      <w:r>
        <w:rPr>
          <w:rStyle w:val="69"/>
          <w:rFonts w:hint="eastAsia"/>
        </w:rPr>
        <w:instrText xml:space="preserve">REF _Ref51612197 \r \h</w:instrText>
      </w:r>
      <w:r>
        <w:rPr>
          <w:rStyle w:val="69"/>
        </w:rPr>
        <w:instrText xml:space="preserve"> </w:instrText>
      </w:r>
      <w:r>
        <w:rPr>
          <w:rStyle w:val="69"/>
        </w:rPr>
        <w:fldChar w:fldCharType="separate"/>
      </w:r>
      <w:r>
        <w:rPr>
          <w:rStyle w:val="69"/>
        </w:rPr>
        <w:t>16</w:t>
      </w:r>
      <w:r>
        <w:rPr>
          <w:rStyle w:val="69"/>
        </w:rPr>
        <w:fldChar w:fldCharType="end"/>
      </w:r>
      <w:r>
        <w:rPr>
          <w:rStyle w:val="69"/>
          <w:rFonts w:hint="eastAsia"/>
        </w:rPr>
        <w:t>条</w:t>
      </w:r>
      <w:r>
        <w:rPr>
          <w:rFonts w:hint="eastAsia" w:ascii="Arial" w:hAnsi="Arial" w:cs="Arial"/>
          <w:color w:val="000000"/>
          <w:szCs w:val="24"/>
        </w:rPr>
        <w:t>，同时，接受</w:t>
      </w:r>
      <w:r>
        <w:rPr>
          <w:rFonts w:hint="eastAsia"/>
        </w:rPr>
        <w:t>法律法规规定可以使用的其他形式的投标保证金。</w:t>
      </w:r>
      <w:bookmarkEnd w:id="91"/>
      <w:r>
        <w:br w:type="textWrapping"/>
      </w:r>
      <w:r>
        <w:rPr>
          <w:rFonts w:hint="eastAsia"/>
        </w:rPr>
        <w:t>以电汇形式提交投标保证金的，汇款底单或截图复印件作为凭证随投标文件一同提交；以其他形式提交投标保证金的，保证金原件随投标文件一同提交。</w:t>
      </w:r>
    </w:p>
    <w:p>
      <w:pPr>
        <w:pStyle w:val="41"/>
        <w:ind w:left="679" w:hanging="679"/>
      </w:pPr>
      <w:r>
        <w:rPr>
          <w:rFonts w:hint="eastAsia"/>
        </w:rPr>
        <w:t>采购代理机构自中标通知书发出之日起5个工作日内退还未中标人的投标保证金，自政府采购合同签订之日起5个工作日内退还中标人的投标保证金。因投标人自身原因导致其投标保证金未能在规定时间内退还的，采购代理机构不承担任何责任。</w:t>
      </w:r>
    </w:p>
    <w:p>
      <w:pPr>
        <w:pStyle w:val="41"/>
        <w:ind w:left="679" w:hanging="679"/>
      </w:pPr>
      <w:bookmarkStart w:id="92" w:name="_Ref469991105"/>
      <w:r>
        <w:rPr>
          <w:rFonts w:hint="eastAsia"/>
        </w:rPr>
        <w:t>投标保证金是为了保护采购代理机构和采购人免遭因投标人的行为而蒙受损失。下列任一情况发生时，投标保证金将</w:t>
      </w:r>
      <w:r>
        <w:rPr>
          <w:rFonts w:hint="eastAsia"/>
          <w:b/>
        </w:rPr>
        <w:t>不退还</w:t>
      </w:r>
      <w:r>
        <w:rPr>
          <w:rFonts w:hint="eastAsia"/>
        </w:rPr>
        <w:t>投标人：</w:t>
      </w:r>
      <w:bookmarkEnd w:id="92"/>
    </w:p>
    <w:p>
      <w:pPr>
        <w:ind w:left="259" w:firstLine="420"/>
      </w:pPr>
      <w:r>
        <w:rPr>
          <w:rFonts w:hint="eastAsia"/>
        </w:rPr>
        <w:t xml:space="preserve">（1）投标人在投标有效期内撤销其投标文件的； </w:t>
      </w:r>
    </w:p>
    <w:p>
      <w:pPr>
        <w:ind w:left="259" w:firstLine="420"/>
      </w:pPr>
      <w:r>
        <w:rPr>
          <w:rFonts w:hint="eastAsia"/>
        </w:rPr>
        <w:t>（2）中标后无正当理由不与采购人签订合同（即“放弃中标”），在签订合同时向采购人提出附加条件的。</w:t>
      </w:r>
    </w:p>
    <w:p>
      <w:pPr>
        <w:pStyle w:val="4"/>
      </w:pPr>
      <w:bookmarkStart w:id="93" w:name="_Toc24013"/>
      <w:r>
        <w:rPr>
          <w:rFonts w:hint="eastAsia"/>
        </w:rPr>
        <w:t>四、投标文件的递交</w:t>
      </w:r>
      <w:bookmarkEnd w:id="93"/>
    </w:p>
    <w:p>
      <w:pPr>
        <w:pStyle w:val="40"/>
        <w:ind w:left="679" w:hanging="679"/>
      </w:pPr>
      <w:bookmarkStart w:id="94" w:name="_Ref469991455"/>
      <w:bookmarkStart w:id="95" w:name="_Ref492023973"/>
      <w:r>
        <w:rPr>
          <w:rFonts w:hint="eastAsia"/>
        </w:rPr>
        <w:t>投标文件的</w:t>
      </w:r>
      <w:bookmarkEnd w:id="94"/>
      <w:r>
        <w:rPr>
          <w:rFonts w:hint="eastAsia"/>
        </w:rPr>
        <w:t>包装及标记</w:t>
      </w:r>
      <w:bookmarkEnd w:id="95"/>
    </w:p>
    <w:p>
      <w:pPr>
        <w:pStyle w:val="41"/>
      </w:pPr>
      <w:bookmarkStart w:id="96" w:name="_Ref51612377"/>
      <w:r>
        <w:rPr>
          <w:rFonts w:hint="eastAsia"/>
        </w:rPr>
        <w:t>投标文件的包装及标记要求见</w:t>
      </w:r>
      <w:r>
        <w:rPr>
          <w:rStyle w:val="69"/>
          <w:rFonts w:hint="eastAsia"/>
        </w:rPr>
        <w:t>《投标人须知前附表》第</w:t>
      </w:r>
      <w:r>
        <w:rPr>
          <w:rStyle w:val="69"/>
        </w:rPr>
        <w:fldChar w:fldCharType="begin"/>
      </w:r>
      <w:r>
        <w:rPr>
          <w:rStyle w:val="69"/>
        </w:rPr>
        <w:instrText xml:space="preserve"> </w:instrText>
      </w:r>
      <w:r>
        <w:rPr>
          <w:rStyle w:val="69"/>
          <w:rFonts w:hint="eastAsia"/>
        </w:rPr>
        <w:instrText xml:space="preserve">REF _Ref51533235 \r \h</w:instrText>
      </w:r>
      <w:r>
        <w:rPr>
          <w:rStyle w:val="69"/>
        </w:rPr>
        <w:instrText xml:space="preserve"> </w:instrText>
      </w:r>
      <w:r>
        <w:rPr>
          <w:rStyle w:val="69"/>
        </w:rPr>
        <w:fldChar w:fldCharType="separate"/>
      </w:r>
      <w:r>
        <w:rPr>
          <w:rStyle w:val="69"/>
        </w:rPr>
        <w:t>17</w:t>
      </w:r>
      <w:r>
        <w:rPr>
          <w:rStyle w:val="69"/>
        </w:rPr>
        <w:fldChar w:fldCharType="end"/>
      </w:r>
      <w:r>
        <w:rPr>
          <w:rStyle w:val="69"/>
          <w:rFonts w:hint="eastAsia"/>
        </w:rPr>
        <w:t>条</w:t>
      </w:r>
      <w:r>
        <w:rPr>
          <w:rFonts w:hint="eastAsia"/>
        </w:rPr>
        <w:t>。</w:t>
      </w:r>
      <w:bookmarkEnd w:id="96"/>
    </w:p>
    <w:p>
      <w:pPr>
        <w:pStyle w:val="41"/>
      </w:pPr>
      <w:r>
        <w:rPr>
          <w:rFonts w:hint="eastAsia"/>
        </w:rPr>
        <w:t>如果未按本须知上述</w:t>
      </w:r>
      <w:r>
        <w:fldChar w:fldCharType="begin"/>
      </w:r>
      <w:r>
        <w:instrText xml:space="preserve"> </w:instrText>
      </w:r>
      <w:r>
        <w:rPr>
          <w:rFonts w:hint="eastAsia"/>
        </w:rPr>
        <w:instrText xml:space="preserve">REF _Ref51612377 \r \h</w:instrText>
      </w:r>
      <w:r>
        <w:instrText xml:space="preserve">  \* MERGEFORMAT </w:instrText>
      </w:r>
      <w:r>
        <w:fldChar w:fldCharType="separate"/>
      </w:r>
      <w:r>
        <w:t>14.1</w:t>
      </w:r>
      <w:r>
        <w:fldChar w:fldCharType="end"/>
      </w:r>
      <w:r>
        <w:rPr>
          <w:rFonts w:hint="eastAsia"/>
        </w:rPr>
        <w:t>条要求加写标记，采购人和采购代理机构对误投或提前启封或错误启封或无法正确宣读/记录概不负责。</w:t>
      </w:r>
    </w:p>
    <w:p>
      <w:pPr>
        <w:pStyle w:val="40"/>
      </w:pPr>
      <w:bookmarkStart w:id="97" w:name="_Ref492021368"/>
      <w:r>
        <w:rPr>
          <w:rFonts w:hint="eastAsia"/>
        </w:rPr>
        <w:t>投标文件的密封</w:t>
      </w:r>
      <w:bookmarkEnd w:id="97"/>
    </w:p>
    <w:p>
      <w:pPr>
        <w:pStyle w:val="41"/>
        <w:ind w:left="679" w:hanging="679"/>
      </w:pPr>
      <w:r>
        <w:rPr>
          <w:rFonts w:hint="eastAsia"/>
        </w:rPr>
        <w:t>投标人的所有投标文件及其组成部分的包装均应进行密封。</w:t>
      </w:r>
    </w:p>
    <w:p>
      <w:pPr>
        <w:pStyle w:val="41"/>
      </w:pPr>
      <w:bookmarkStart w:id="98" w:name="_Ref492025470"/>
      <w:r>
        <w:rPr>
          <w:rFonts w:hint="eastAsia"/>
        </w:rPr>
        <w:t>为了方便唱标，放有开标一览表的包装应当单独密封，与装订成册的投标文件正副本及其它组成部分一起递交。</w:t>
      </w:r>
      <w:bookmarkEnd w:id="98"/>
    </w:p>
    <w:p>
      <w:pPr>
        <w:pStyle w:val="41"/>
      </w:pPr>
      <w:r>
        <w:rPr>
          <w:rFonts w:hint="eastAsia"/>
        </w:rPr>
        <w:t>为了方便开标时唱出，放有修改投标文件的通知（如有的话）的包装应当单独密封。</w:t>
      </w:r>
    </w:p>
    <w:p>
      <w:pPr>
        <w:pStyle w:val="40"/>
        <w:ind w:left="679" w:hanging="679"/>
      </w:pPr>
      <w:r>
        <w:rPr>
          <w:rFonts w:hint="eastAsia"/>
        </w:rPr>
        <w:t>投标截止时间及投标地点</w:t>
      </w:r>
    </w:p>
    <w:p>
      <w:pPr>
        <w:pStyle w:val="41"/>
      </w:pPr>
      <w:bookmarkStart w:id="99" w:name="_Ref470250554"/>
      <w:r>
        <w:rPr>
          <w:rFonts w:hint="eastAsia"/>
        </w:rPr>
        <w:t>提交投标文件截止时间（即“投标截止时间”）见</w:t>
      </w:r>
      <w:bookmarkEnd w:id="99"/>
      <w:r>
        <w:rPr>
          <w:rStyle w:val="69"/>
          <w:rFonts w:hint="eastAsia"/>
        </w:rPr>
        <w:t>第一章投标邀请</w:t>
      </w:r>
      <w:r>
        <w:rPr>
          <w:rFonts w:hint="eastAsia"/>
        </w:rPr>
        <w:t>。</w:t>
      </w:r>
    </w:p>
    <w:p>
      <w:pPr>
        <w:pStyle w:val="41"/>
      </w:pPr>
      <w:r>
        <w:rPr>
          <w:rFonts w:hint="eastAsia"/>
        </w:rPr>
        <w:t>投标文件须按照招标文件规定的时间、地点送达，在投标截止时间以后（以文件送达并完成递交登记为准）送达的投标文件，采购代理机构应当拒收。</w:t>
      </w:r>
    </w:p>
    <w:p>
      <w:pPr>
        <w:pStyle w:val="41"/>
        <w:ind w:left="679" w:hanging="679"/>
      </w:pPr>
      <w:r>
        <w:rPr>
          <w:rFonts w:hint="eastAsia"/>
        </w:rPr>
        <w:t>采购代理机构可以依法酌情延长投标截止时间。在此情况下，采购人和投标人受投标截止时间制约的所有权利和义务均应延长至新的投标截止时间。</w:t>
      </w:r>
    </w:p>
    <w:p>
      <w:pPr>
        <w:pStyle w:val="40"/>
        <w:ind w:left="679" w:hanging="679"/>
      </w:pPr>
      <w:r>
        <w:rPr>
          <w:rFonts w:hint="eastAsia"/>
        </w:rPr>
        <w:t>投标文件的修改与撤回</w:t>
      </w:r>
    </w:p>
    <w:p>
      <w:pPr>
        <w:pStyle w:val="41"/>
        <w:ind w:left="679" w:hanging="679"/>
      </w:pPr>
      <w:r>
        <w:rPr>
          <w:rFonts w:hint="eastAsia"/>
        </w:rPr>
        <w:t>投标人可以在投标截止时间前，对所递交的投标文件进行修改（修改包括补充，下同）或者撤回，并以书面形式通知采购代理机构。投标文件的修改是投标文件的组成部分。</w:t>
      </w:r>
    </w:p>
    <w:p>
      <w:pPr>
        <w:pStyle w:val="41"/>
        <w:ind w:left="679" w:hanging="679"/>
      </w:pPr>
      <w:bookmarkStart w:id="100" w:name="_Ref51614542"/>
      <w:r>
        <w:rPr>
          <w:rFonts w:hint="eastAsia"/>
        </w:rPr>
        <w:t>投标人修改投标文件的通知应逐页加盖公章或者逐页由投标人法定代表人签署或由被授权人签字，并应单独包装</w:t>
      </w:r>
      <w:r>
        <w:rPr>
          <w:rFonts w:ascii="Arial" w:hAnsi="Arial" w:cs="Arial"/>
          <w:szCs w:val="24"/>
        </w:rPr>
        <w:t>同时在</w:t>
      </w:r>
      <w:r>
        <w:rPr>
          <w:rFonts w:hint="eastAsia" w:ascii="Arial" w:hAnsi="Arial" w:cs="Arial"/>
          <w:szCs w:val="24"/>
        </w:rPr>
        <w:t>包装袋</w:t>
      </w:r>
      <w:r>
        <w:rPr>
          <w:rFonts w:ascii="Arial" w:hAnsi="Arial" w:cs="Arial"/>
          <w:szCs w:val="24"/>
        </w:rPr>
        <w:t>上标明</w:t>
      </w:r>
      <w:r>
        <w:rPr>
          <w:rFonts w:hint="eastAsia" w:ascii="Arial" w:hAnsi="Arial" w:cs="Arial"/>
          <w:szCs w:val="24"/>
        </w:rPr>
        <w:t>“</w:t>
      </w:r>
      <w:r>
        <w:rPr>
          <w:rFonts w:ascii="Arial" w:hAnsi="Arial" w:cs="Arial"/>
          <w:szCs w:val="24"/>
        </w:rPr>
        <w:t>投标文件修改</w:t>
      </w:r>
      <w:r>
        <w:rPr>
          <w:rFonts w:hint="eastAsia" w:ascii="Arial" w:hAnsi="Arial" w:cs="Arial"/>
          <w:szCs w:val="24"/>
        </w:rPr>
        <w:t>通知”、</w:t>
      </w:r>
      <w:r>
        <w:rPr>
          <w:rFonts w:hint="eastAsia"/>
          <w:color w:val="FF0000"/>
        </w:rPr>
        <w:t xml:space="preserve"> </w:t>
      </w:r>
      <w:r>
        <w:rPr>
          <w:rFonts w:hint="eastAsia"/>
        </w:rPr>
        <w:t>项目名称、项目编号、包件号、包件名称、投标人名称</w:t>
      </w:r>
      <w:r>
        <w:rPr>
          <w:rFonts w:ascii="Arial" w:hAnsi="Arial" w:cs="Arial"/>
          <w:szCs w:val="24"/>
        </w:rPr>
        <w:t>和</w:t>
      </w:r>
      <w:r>
        <w:rPr>
          <w:rFonts w:hint="eastAsia" w:ascii="Arial" w:hAnsi="Arial" w:cs="Arial"/>
          <w:szCs w:val="24"/>
        </w:rPr>
        <w:t>“</w:t>
      </w:r>
      <w:r>
        <w:rPr>
          <w:rFonts w:ascii="Arial" w:hAnsi="Arial" w:cs="Arial"/>
          <w:szCs w:val="24"/>
        </w:rPr>
        <w:t>在</w:t>
      </w:r>
      <w:r>
        <w:rPr>
          <w:rFonts w:hint="eastAsia" w:ascii="Arial" w:hAnsi="Arial" w:cs="Arial"/>
          <w:szCs w:val="24"/>
          <w:u w:val="single"/>
        </w:rPr>
        <w:t>【投标截止</w:t>
      </w:r>
      <w:r>
        <w:rPr>
          <w:rFonts w:ascii="Arial" w:hAnsi="Arial" w:cs="Arial"/>
          <w:szCs w:val="24"/>
          <w:u w:val="single"/>
        </w:rPr>
        <w:t>时间</w:t>
      </w:r>
      <w:r>
        <w:rPr>
          <w:rFonts w:hint="eastAsia" w:ascii="Arial" w:hAnsi="Arial" w:cs="Arial"/>
          <w:szCs w:val="24"/>
          <w:u w:val="single"/>
        </w:rPr>
        <w:t>】</w:t>
      </w:r>
      <w:r>
        <w:rPr>
          <w:rFonts w:ascii="Arial" w:hAnsi="Arial" w:cs="Arial"/>
          <w:szCs w:val="24"/>
        </w:rPr>
        <w:t>之前不得启封</w:t>
      </w:r>
      <w:r>
        <w:rPr>
          <w:rFonts w:hint="eastAsia" w:ascii="Arial" w:hAnsi="Arial" w:cs="Arial"/>
          <w:szCs w:val="24"/>
        </w:rPr>
        <w:t>”</w:t>
      </w:r>
      <w:r>
        <w:rPr>
          <w:rFonts w:ascii="Arial" w:hAnsi="Arial" w:cs="Arial"/>
          <w:szCs w:val="24"/>
        </w:rPr>
        <w:t>的字样</w:t>
      </w:r>
      <w:r>
        <w:rPr>
          <w:rFonts w:hint="eastAsia" w:ascii="Arial" w:hAnsi="Arial" w:cs="Arial"/>
          <w:szCs w:val="24"/>
        </w:rPr>
        <w:t>，</w:t>
      </w:r>
      <w:r>
        <w:rPr>
          <w:rFonts w:hint="eastAsia"/>
        </w:rPr>
        <w:t>单独密封后提交。</w:t>
      </w:r>
      <w:bookmarkEnd w:id="100"/>
    </w:p>
    <w:p>
      <w:pPr>
        <w:pStyle w:val="41"/>
        <w:ind w:left="679" w:hanging="679"/>
      </w:pPr>
      <w:r>
        <w:rPr>
          <w:rFonts w:hint="eastAsia"/>
        </w:rPr>
        <w:t>投标人撤回投标文件的通知应加盖公章或由投标人法定代表人签署或由被授权人签字。</w:t>
      </w:r>
    </w:p>
    <w:p>
      <w:pPr>
        <w:pStyle w:val="41"/>
        <w:ind w:left="679" w:hanging="679"/>
      </w:pPr>
      <w:r>
        <w:rPr>
          <w:rFonts w:hint="eastAsia"/>
        </w:rPr>
        <w:t>从投标截止时间起至投标有效期期满这段时间内，投标人不得撤销其投标文件，否则采购人或采购代理机构可以按照本须知第</w:t>
      </w:r>
      <w:r>
        <w:fldChar w:fldCharType="begin"/>
      </w:r>
      <w:r>
        <w:instrText xml:space="preserve"> </w:instrText>
      </w:r>
      <w:r>
        <w:rPr>
          <w:rFonts w:hint="eastAsia"/>
        </w:rPr>
        <w:instrText xml:space="preserve">REF _Ref469991105 \n \h</w:instrText>
      </w:r>
      <w:r>
        <w:instrText xml:space="preserve">  \* MERGEFORMAT </w:instrText>
      </w:r>
      <w:r>
        <w:fldChar w:fldCharType="separate"/>
      </w:r>
      <w:r>
        <w:t>13.4</w:t>
      </w:r>
      <w:r>
        <w:fldChar w:fldCharType="end"/>
      </w:r>
      <w:r>
        <w:rPr>
          <w:rFonts w:hint="eastAsia"/>
        </w:rPr>
        <w:t>条的规定不退还其投标保证金。</w:t>
      </w:r>
    </w:p>
    <w:p>
      <w:pPr>
        <w:pStyle w:val="4"/>
      </w:pPr>
      <w:bookmarkStart w:id="101" w:name="_Toc13781"/>
      <w:r>
        <w:rPr>
          <w:rFonts w:hint="eastAsia"/>
        </w:rPr>
        <w:t>五、开标与评标</w:t>
      </w:r>
      <w:bookmarkEnd w:id="101"/>
    </w:p>
    <w:p>
      <w:pPr>
        <w:pStyle w:val="40"/>
        <w:ind w:left="679" w:hanging="679"/>
      </w:pPr>
      <w:r>
        <w:rPr>
          <w:rFonts w:hint="eastAsia"/>
        </w:rPr>
        <w:t>开标</w:t>
      </w:r>
    </w:p>
    <w:p>
      <w:pPr>
        <w:pStyle w:val="41"/>
      </w:pPr>
      <w:r>
        <w:rPr>
          <w:rFonts w:hint="eastAsia"/>
        </w:rPr>
        <w:t>采购代理机构在</w:t>
      </w:r>
      <w:r>
        <w:rPr>
          <w:rStyle w:val="69"/>
          <w:rFonts w:hint="eastAsia"/>
        </w:rPr>
        <w:t>第一章投标邀请</w:t>
      </w:r>
      <w:r>
        <w:rPr>
          <w:rFonts w:hint="eastAsia"/>
        </w:rPr>
        <w:t>中规定的开标时间和地点组织公开开标，投标人可派代表参加开标仪式。投标人未参加开标的，视同认可开标结果。评标委员会成员不得参加开标。</w:t>
      </w:r>
    </w:p>
    <w:p>
      <w:pPr>
        <w:pStyle w:val="41"/>
      </w:pPr>
      <w:r>
        <w:rPr>
          <w:rFonts w:hint="eastAsia"/>
        </w:rPr>
        <w:t>开标时，由投标人或者其推选的代表检查投标文件密封情况，经确认无误后，由采购人或者采购代理机构工作人员当众拆封，宣布投标人名称、投标价格、是否提交了投标保证金和开标一览表中所列的其他内容以及修改投标文件的通知中与投标价格相关的内容（如有，修改投标文件的通知中与价格无关的其它内容可仅作简单宣读）。</w:t>
      </w:r>
      <w:bookmarkStart w:id="102" w:name="_Ref492909965"/>
      <w:r>
        <w:rPr>
          <w:rFonts w:hint="eastAsia"/>
        </w:rPr>
        <w:t>未宣读的投标价格或价格相关修改通知，评标时不予考虑。</w:t>
      </w:r>
      <w:bookmarkEnd w:id="102"/>
      <w:r>
        <w:rPr>
          <w:rFonts w:hint="eastAsia"/>
        </w:rPr>
        <w:t>若由于投标人的修改通知未按照本须知第</w:t>
      </w:r>
      <w:r>
        <w:fldChar w:fldCharType="begin"/>
      </w:r>
      <w:r>
        <w:instrText xml:space="preserve"> </w:instrText>
      </w:r>
      <w:r>
        <w:rPr>
          <w:rFonts w:hint="eastAsia"/>
        </w:rPr>
        <w:instrText xml:space="preserve">REF _Ref51614542 \r \h</w:instrText>
      </w:r>
      <w:r>
        <w:instrText xml:space="preserve"> </w:instrText>
      </w:r>
      <w:r>
        <w:fldChar w:fldCharType="separate"/>
      </w:r>
      <w:r>
        <w:t>17.2</w:t>
      </w:r>
      <w:r>
        <w:fldChar w:fldCharType="end"/>
      </w:r>
      <w:r>
        <w:rPr>
          <w:rFonts w:hint="eastAsia"/>
        </w:rPr>
        <w:t>条规定包装、密封，采购人、采购代理机构对开标时未予宣读概不负责。投标人不足3家的，不得开标。</w:t>
      </w:r>
    </w:p>
    <w:p>
      <w:pPr>
        <w:pStyle w:val="41"/>
      </w:pPr>
      <w:r>
        <w:rPr>
          <w:rFonts w:hint="eastAsia"/>
        </w:rPr>
        <w:t>投标人授权代表对开标过程和开标记录有疑义，以及认为采购人、采购代理机构相关工作人员有需要回避的情形的，应在开标仪式当场提出询问或者回避申请。采购人、采购代理机构对投标人的代表提出的询问或者回避申请将及时处理。</w:t>
      </w:r>
    </w:p>
    <w:p>
      <w:pPr>
        <w:pStyle w:val="41"/>
        <w:ind w:left="679" w:hanging="679"/>
        <w:rPr>
          <w:color w:val="FF0000"/>
        </w:rPr>
      </w:pPr>
      <w:r>
        <w:rPr>
          <w:rFonts w:hint="eastAsia"/>
        </w:rPr>
        <w:t>采购代理机构将做开标记录，请到场的投标人的代表在开标记录上签字确认开标记录。未签字且不提出疑义的视同确认开标记录。</w:t>
      </w:r>
    </w:p>
    <w:p>
      <w:pPr>
        <w:pStyle w:val="40"/>
        <w:ind w:left="679" w:hanging="679"/>
      </w:pPr>
      <w:r>
        <w:rPr>
          <w:rFonts w:hint="eastAsia"/>
        </w:rPr>
        <w:t>开标后的资格审查</w:t>
      </w:r>
    </w:p>
    <w:p>
      <w:pPr>
        <w:pStyle w:val="41"/>
        <w:ind w:left="679" w:hanging="679"/>
      </w:pPr>
      <w:r>
        <w:rPr>
          <w:rFonts w:hint="eastAsia"/>
        </w:rPr>
        <w:t>开标后，采购人或者采购代理机构将依法对投标人的资格进行审查。具体如下：</w:t>
      </w:r>
    </w:p>
    <w:p>
      <w:pPr>
        <w:ind w:left="1680" w:hanging="1001"/>
      </w:pPr>
      <w:r>
        <w:rPr>
          <w:rFonts w:hint="eastAsia"/>
        </w:rPr>
        <w:t>（1）</w:t>
      </w:r>
      <w:r>
        <w:rPr>
          <w:rFonts w:hint="eastAsia"/>
        </w:rPr>
        <w:tab/>
      </w:r>
      <w:r>
        <w:rPr>
          <w:rFonts w:hint="eastAsia"/>
        </w:rPr>
        <w:t>投标人不符合本须知</w:t>
      </w:r>
      <w:r>
        <w:fldChar w:fldCharType="begin"/>
      </w:r>
      <w:r>
        <w:instrText xml:space="preserve"> </w:instrText>
      </w:r>
      <w:r>
        <w:rPr>
          <w:rFonts w:hint="eastAsia"/>
        </w:rPr>
        <w:instrText xml:space="preserve">REF _Ref492910050 \r \h</w:instrText>
      </w:r>
      <w:r>
        <w:instrText xml:space="preserve"> </w:instrText>
      </w:r>
      <w:r>
        <w:fldChar w:fldCharType="separate"/>
      </w:r>
      <w:r>
        <w:t>2.2</w:t>
      </w:r>
      <w:r>
        <w:fldChar w:fldCharType="end"/>
      </w:r>
      <w:r>
        <w:rPr>
          <w:rFonts w:hint="eastAsia"/>
        </w:rPr>
        <w:t>条要求的，资格审查不合格，联合体投标的，同时按照本须知</w:t>
      </w:r>
      <w:r>
        <w:fldChar w:fldCharType="begin"/>
      </w:r>
      <w:r>
        <w:instrText xml:space="preserve"> </w:instrText>
      </w:r>
      <w:r>
        <w:rPr>
          <w:rFonts w:hint="eastAsia"/>
        </w:rPr>
        <w:instrText xml:space="preserve">REF _Ref51260873 \r \h</w:instrText>
      </w:r>
      <w:r>
        <w:instrText xml:space="preserve"> </w:instrText>
      </w:r>
      <w:r>
        <w:fldChar w:fldCharType="separate"/>
      </w:r>
      <w:r>
        <w:t>2.3</w:t>
      </w:r>
      <w:r>
        <w:fldChar w:fldCharType="end"/>
      </w:r>
      <w:r>
        <w:rPr>
          <w:rFonts w:hint="eastAsia"/>
        </w:rPr>
        <w:t>条要求进行资格审查；</w:t>
      </w:r>
    </w:p>
    <w:p>
      <w:pPr>
        <w:ind w:left="1680" w:hanging="1001"/>
      </w:pPr>
      <w:r>
        <w:rPr>
          <w:rFonts w:hint="eastAsia"/>
        </w:rPr>
        <w:t>（2）</w:t>
      </w:r>
      <w:r>
        <w:rPr>
          <w:rFonts w:hint="eastAsia"/>
        </w:rPr>
        <w:tab/>
      </w:r>
      <w:r>
        <w:rPr>
          <w:rFonts w:hint="eastAsia"/>
        </w:rPr>
        <w:t>对投标文件中的资格、资信证明文件（内容和审查标准见第六章附件</w:t>
      </w:r>
      <w:r>
        <w:t>9</w:t>
      </w:r>
      <w:r>
        <w:rPr>
          <w:rFonts w:hint="eastAsia"/>
        </w:rPr>
        <w:t>《资格、资信证明文件》）进行审查，有任意一项不符合审查标准的，资格审查不合格；</w:t>
      </w:r>
    </w:p>
    <w:p>
      <w:pPr>
        <w:ind w:left="1680" w:hanging="1001"/>
      </w:pPr>
      <w:r>
        <w:rPr>
          <w:rFonts w:hint="eastAsia"/>
        </w:rPr>
        <w:t>（</w:t>
      </w:r>
      <w:r>
        <w:t>3</w:t>
      </w:r>
      <w:r>
        <w:rPr>
          <w:rFonts w:hint="eastAsia"/>
        </w:rPr>
        <w:t>）</w:t>
      </w:r>
      <w:r>
        <w:tab/>
      </w:r>
      <w:r>
        <w:rPr>
          <w:rFonts w:hint="eastAsia"/>
        </w:rPr>
        <w:t>根据《财政部关于在政府采购活动中查询及使用信用记录有关问题的通知》（财库〔2016〕125号）的要求，查询及使用投标人信用记录的具体要求为：</w:t>
      </w:r>
      <w:r>
        <w:br w:type="textWrapping"/>
      </w:r>
      <w:r>
        <w:rPr>
          <w:rFonts w:hint="eastAsia"/>
        </w:rPr>
        <w:t>1）查询渠道：“信用中国”网站（www.creditchina.gov.cn）和中国政府采购网（www.ccgp.gov.cn）。</w:t>
      </w:r>
      <w:r>
        <w:br w:type="textWrapping"/>
      </w:r>
      <w:r>
        <w:t>2</w:t>
      </w:r>
      <w:r>
        <w:rPr>
          <w:rFonts w:hint="eastAsia"/>
        </w:rPr>
        <w:t>）认定截止时间（查询截止时点）：评标当日；</w:t>
      </w:r>
      <w:r>
        <w:br w:type="textWrapping"/>
      </w:r>
      <w:r>
        <w:rPr>
          <w:rFonts w:hint="eastAsia"/>
        </w:rPr>
        <w:t>3）信用信息查询记录和证据留存方式：留存于评审报告；</w:t>
      </w:r>
      <w:r>
        <w:br w:type="textWrapping"/>
      </w:r>
      <w:r>
        <w:t>4</w:t>
      </w:r>
      <w:r>
        <w:rPr>
          <w:rFonts w:hint="eastAsia"/>
        </w:rPr>
        <w:t>）信用信息的使用规则：列入失信被执行人、重大税收违法案件当事人名单、政府采购严重违法失信行为记录名单及其他不符合《中华人民共和国政府采购法》第二十二条规定条件的投标人，资格审查不合格。联合体中任意一个成员存在不良信用记录的，视同联合体存在不良信用记录。</w:t>
      </w:r>
    </w:p>
    <w:p>
      <w:pPr>
        <w:pStyle w:val="41"/>
        <w:ind w:left="679" w:hanging="679"/>
      </w:pPr>
      <w:r>
        <w:rPr>
          <w:rFonts w:hint="eastAsia"/>
        </w:rPr>
        <w:t>资格审查不合格的投标人不进入后续评标环节。</w:t>
      </w:r>
    </w:p>
    <w:p>
      <w:pPr>
        <w:pStyle w:val="41"/>
        <w:ind w:left="679" w:hanging="679"/>
      </w:pPr>
      <w:r>
        <w:rPr>
          <w:rFonts w:hint="eastAsia"/>
        </w:rPr>
        <w:t>资格审查后，合格投标人不足3家的，将不进行评标。</w:t>
      </w:r>
    </w:p>
    <w:p>
      <w:pPr>
        <w:pStyle w:val="40"/>
        <w:ind w:left="679" w:hanging="679"/>
      </w:pPr>
      <w:r>
        <w:rPr>
          <w:rFonts w:hint="eastAsia"/>
        </w:rPr>
        <w:t>评标委员会和评标方法</w:t>
      </w:r>
    </w:p>
    <w:p>
      <w:pPr>
        <w:pStyle w:val="41"/>
        <w:ind w:left="679" w:hanging="679"/>
      </w:pPr>
      <w:r>
        <w:rPr>
          <w:rFonts w:hint="eastAsia"/>
        </w:rPr>
        <w:t>评标由依照有关法规组建的评标委员会负责。本项目评标方法见</w:t>
      </w:r>
      <w:r>
        <w:rPr>
          <w:rStyle w:val="69"/>
          <w:rFonts w:hint="eastAsia"/>
        </w:rPr>
        <w:t>第三章评标方法和评标标准</w:t>
      </w:r>
      <w:r>
        <w:rPr>
          <w:rFonts w:hint="eastAsia"/>
        </w:rPr>
        <w:t>。</w:t>
      </w:r>
    </w:p>
    <w:p>
      <w:pPr>
        <w:pStyle w:val="40"/>
        <w:ind w:left="679" w:hanging="679"/>
      </w:pPr>
      <w:bookmarkStart w:id="103" w:name="_Ref469991962"/>
      <w:r>
        <w:rPr>
          <w:rFonts w:hint="eastAsia"/>
        </w:rPr>
        <w:t>投标文件的</w:t>
      </w:r>
      <w:bookmarkEnd w:id="103"/>
      <w:r>
        <w:rPr>
          <w:rFonts w:hint="eastAsia"/>
        </w:rPr>
        <w:t>初步审查</w:t>
      </w:r>
    </w:p>
    <w:p>
      <w:pPr>
        <w:pStyle w:val="41"/>
      </w:pPr>
      <w:r>
        <w:t>符合性审查：评标委员会依据法律法规和招标文件的规定，审查、评价投标文件</w:t>
      </w:r>
      <w:r>
        <w:rPr>
          <w:rFonts w:hint="eastAsia"/>
        </w:rPr>
        <w:t>是否满足招标文件的实质性要求。实质上没有响应招标文件要求的</w:t>
      </w:r>
      <w:r>
        <w:rPr>
          <w:rFonts w:hint="eastAsia"/>
          <w:b/>
        </w:rPr>
        <w:t>投标将被否决</w:t>
      </w:r>
      <w:r>
        <w:rPr>
          <w:rFonts w:hint="eastAsia"/>
        </w:rPr>
        <w:t>，为无效投标。投标人不得通过修正或撤销不合要求的偏离或保留从而使其投标成为实质上响应的投标。任意一项不符合审查标准的投标将被否决，审查标准如下：</w:t>
      </w:r>
    </w:p>
    <w:tbl>
      <w:tblPr>
        <w:tblStyle w:val="20"/>
        <w:tblW w:w="8927" w:type="dxa"/>
        <w:tblInd w:w="5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1"/>
        <w:gridCol w:w="60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pPr>
              <w:spacing w:line="240" w:lineRule="auto"/>
              <w:jc w:val="center"/>
              <w:rPr>
                <w:rFonts w:ascii="Arial" w:hAnsi="Arial" w:cs="Arial"/>
                <w:b/>
                <w:szCs w:val="24"/>
              </w:rPr>
            </w:pPr>
            <w:r>
              <w:rPr>
                <w:rFonts w:hint="eastAsia" w:ascii="Arial" w:hAnsi="Arial" w:cs="Arial"/>
                <w:b/>
                <w:szCs w:val="24"/>
              </w:rPr>
              <w:t>符合性审查内容</w:t>
            </w:r>
          </w:p>
        </w:tc>
        <w:tc>
          <w:tcPr>
            <w:tcW w:w="6096" w:type="dxa"/>
          </w:tcPr>
          <w:p>
            <w:pPr>
              <w:spacing w:line="240" w:lineRule="auto"/>
              <w:jc w:val="center"/>
              <w:rPr>
                <w:rFonts w:ascii="Arial" w:hAnsi="Arial" w:cs="Arial"/>
                <w:b/>
                <w:szCs w:val="24"/>
              </w:rPr>
            </w:pPr>
            <w:r>
              <w:rPr>
                <w:rFonts w:hint="eastAsia" w:ascii="Arial" w:hAnsi="Arial" w:cs="Arial"/>
                <w:b/>
                <w:szCs w:val="24"/>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投标文件是否</w:t>
            </w:r>
            <w:r>
              <w:t>有效签署</w:t>
            </w:r>
            <w:r>
              <w:rPr>
                <w:rFonts w:hint="eastAsia"/>
              </w:rPr>
              <w:t>、盖章</w:t>
            </w:r>
          </w:p>
        </w:tc>
        <w:tc>
          <w:tcPr>
            <w:tcW w:w="6096" w:type="dxa"/>
            <w:vAlign w:val="center"/>
          </w:tcPr>
          <w:p>
            <w:pPr>
              <w:spacing w:line="240" w:lineRule="auto"/>
            </w:pPr>
            <w:r>
              <w:rPr>
                <w:rFonts w:ascii="Arial" w:hAnsi="Arial" w:cs="Arial"/>
              </w:rPr>
              <w:t>在所有纸质组成部分的封面</w:t>
            </w:r>
            <w:r>
              <w:rPr>
                <w:rFonts w:ascii="Arial" w:hAnsi="Arial" w:cs="Arial"/>
                <w:kern w:val="0"/>
              </w:rPr>
              <w:t>加盖投标人公章（</w:t>
            </w:r>
            <w:r>
              <w:rPr>
                <w:rFonts w:ascii="Arial" w:hAnsi="Arial" w:cs="Arial"/>
              </w:rPr>
              <w:t>由于封面使用了光滑纸张等不便盖章情况的，则认可在扉页或封面之后的第一页盖章</w:t>
            </w:r>
            <w:r>
              <w:rPr>
                <w:rFonts w:ascii="Arial" w:hAnsi="Arial" w:cs="Arial"/>
                <w:kern w:val="0"/>
              </w:rPr>
              <w:t>）</w:t>
            </w:r>
            <w:r>
              <w:rPr>
                <w:rFonts w:hint="eastAsia"/>
              </w:rPr>
              <w:t>，投标函由法定代表人签署或者由法定代表人授权的代理人签字。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投标有效期是否满足招标文件要求</w:t>
            </w:r>
          </w:p>
        </w:tc>
        <w:tc>
          <w:tcPr>
            <w:tcW w:w="6096" w:type="dxa"/>
            <w:vAlign w:val="center"/>
          </w:tcPr>
          <w:p>
            <w:pPr>
              <w:spacing w:line="240" w:lineRule="auto"/>
            </w:pPr>
            <w:r>
              <w:rPr>
                <w:rFonts w:hint="eastAsia"/>
              </w:rPr>
              <w:t>投标有效期自投标截止时间起不得少于《投标人须知前附表》第</w:t>
            </w:r>
            <w:r>
              <w:fldChar w:fldCharType="begin"/>
            </w:r>
            <w:r>
              <w:instrText xml:space="preserve"> </w:instrText>
            </w:r>
            <w:r>
              <w:rPr>
                <w:rFonts w:hint="eastAsia"/>
              </w:rPr>
              <w:instrText xml:space="preserve">REF _Ref51260155 \r \h</w:instrText>
            </w:r>
            <w:r>
              <w:instrText xml:space="preserve"> </w:instrText>
            </w:r>
            <w:r>
              <w:fldChar w:fldCharType="separate"/>
            </w:r>
            <w:r>
              <w:t>15</w:t>
            </w:r>
            <w:r>
              <w:fldChar w:fldCharType="end"/>
            </w:r>
            <w:r>
              <w:rPr>
                <w:rFonts w:hint="eastAsia"/>
              </w:rPr>
              <w:t>条规定。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投标报价不得超过采购预算或最高限价</w:t>
            </w:r>
          </w:p>
        </w:tc>
        <w:tc>
          <w:tcPr>
            <w:tcW w:w="6096" w:type="dxa"/>
            <w:vAlign w:val="center"/>
          </w:tcPr>
          <w:p>
            <w:pPr>
              <w:spacing w:line="240" w:lineRule="auto"/>
            </w:pPr>
            <w:r>
              <w:rPr>
                <w:rFonts w:hint="eastAsia"/>
              </w:rPr>
              <w:t>采购预算、最高限价详见招标文件第一章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投标保证金是否符合要求</w:t>
            </w:r>
          </w:p>
        </w:tc>
        <w:tc>
          <w:tcPr>
            <w:tcW w:w="6096" w:type="dxa"/>
            <w:vAlign w:val="center"/>
          </w:tcPr>
          <w:p>
            <w:pPr>
              <w:spacing w:line="240" w:lineRule="auto"/>
            </w:pPr>
            <w:r>
              <w:rPr>
                <w:rFonts w:hint="eastAsia"/>
              </w:rPr>
              <w:t>投标保证金足额；投标保证金有效期与投标有效期一致或更长；投标保证金能够正常入账。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加注“*”的投标文件构成部分是否提供</w:t>
            </w:r>
          </w:p>
        </w:tc>
        <w:tc>
          <w:tcPr>
            <w:tcW w:w="6096" w:type="dxa"/>
            <w:vAlign w:val="center"/>
          </w:tcPr>
          <w:p>
            <w:pPr>
              <w:spacing w:line="240" w:lineRule="auto"/>
            </w:pPr>
            <w:r>
              <w:rPr>
                <w:rFonts w:hint="eastAsia"/>
              </w:rPr>
              <w:t>详见招标文件《投标人须知前附表》第</w:t>
            </w:r>
            <w:r>
              <w:fldChar w:fldCharType="begin"/>
            </w:r>
            <w:r>
              <w:instrText xml:space="preserve"> </w:instrText>
            </w:r>
            <w:r>
              <w:rPr>
                <w:rFonts w:hint="eastAsia"/>
              </w:rPr>
              <w:instrText xml:space="preserve">REF _Ref51259390 \r \h</w:instrText>
            </w:r>
            <w:r>
              <w:instrText xml:space="preserve"> </w:instrText>
            </w:r>
            <w:r>
              <w:fldChar w:fldCharType="separate"/>
            </w:r>
            <w:r>
              <w:t>10</w:t>
            </w:r>
            <w:r>
              <w:fldChar w:fldCharType="end"/>
            </w:r>
            <w:r>
              <w:rPr>
                <w:rFonts w:hint="eastAsia"/>
              </w:rPr>
              <w:t>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加注“*”的投标文件构成部分内容是否符合要求</w:t>
            </w:r>
          </w:p>
        </w:tc>
        <w:tc>
          <w:tcPr>
            <w:tcW w:w="6096" w:type="dxa"/>
            <w:vAlign w:val="center"/>
          </w:tcPr>
          <w:p>
            <w:pPr>
              <w:spacing w:line="240" w:lineRule="auto"/>
            </w:pPr>
            <w:r>
              <w:rPr>
                <w:rFonts w:hint="eastAsia"/>
              </w:rPr>
              <w:t>格式名称为“表”的，表头给定内容不得删减、改变，可根据实际需要增减行，需要填写的空格或空白应有效填写。格式属于文字内容性质的（包括“函”、“书”、“声明”、“协议”），不得删减内容、不得改变格式中给定的文字所表达的含义（排序序号及排序编号可以改动），不得自行增加与格式中给定的文字内容相矛盾的内容，需要填写的空格或空白应有效填写。</w:t>
            </w:r>
          </w:p>
          <w:p>
            <w:pPr>
              <w:spacing w:line="240" w:lineRule="auto"/>
            </w:pPr>
            <w:r>
              <w:rPr>
                <w:rFonts w:hint="eastAsia"/>
              </w:rPr>
              <w:t>对于有签署、签字要求的格式文件，法定代表人（或负责人）在相应位置签署或被授权人在相应位置签字。对于有盖章要求的格式文件，加盖了公章。法定代表人签字、盖手签章或盖姓名章均为有效法定代表人签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法定代表人授权书是否符合要求</w:t>
            </w:r>
          </w:p>
        </w:tc>
        <w:tc>
          <w:tcPr>
            <w:tcW w:w="6096" w:type="dxa"/>
            <w:vAlign w:val="center"/>
          </w:tcPr>
          <w:p>
            <w:pPr>
              <w:spacing w:line="240" w:lineRule="auto"/>
            </w:pPr>
            <w:r>
              <w:rPr>
                <w:rFonts w:hint="eastAsia"/>
              </w:rPr>
              <w:t>法定代表人（或负责人）在相应位置签署，并且代理人在相应位置签字。投标人为无法定代表人的其他团体组织等时，法定代表人是指其负责人。法定代表人签字、盖手签章或盖姓名章均为有效法定代表人签署。</w:t>
            </w:r>
          </w:p>
          <w:p>
            <w:pPr>
              <w:spacing w:line="240" w:lineRule="auto"/>
            </w:pPr>
            <w:r>
              <w:rPr>
                <w:rFonts w:hint="eastAsia"/>
              </w:rPr>
              <w:t>加注“*”的投标文件构成部分其它文件均由法定代表人在相应位置直接签署时，无需提供法定代表人授权书，</w:t>
            </w:r>
            <w:r>
              <w:rPr>
                <w:rFonts w:hint="eastAsia"/>
                <w:b/>
                <w:bCs/>
              </w:rPr>
              <w:t>但应提供法定代表人身份证明复印件。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对不允许采购进口产品的范围是否投报了进口产品</w:t>
            </w:r>
          </w:p>
        </w:tc>
        <w:tc>
          <w:tcPr>
            <w:tcW w:w="6096" w:type="dxa"/>
            <w:vAlign w:val="center"/>
          </w:tcPr>
          <w:p>
            <w:pPr>
              <w:spacing w:line="240" w:lineRule="auto"/>
            </w:pPr>
            <w:r>
              <w:rPr>
                <w:rFonts w:hint="eastAsia"/>
              </w:rPr>
              <w:t>是否允许采购进口产品和允许采购进口产品的范围详见投标人须知前附表第</w:t>
            </w:r>
            <w:r>
              <w:fldChar w:fldCharType="begin"/>
            </w:r>
            <w:r>
              <w:instrText xml:space="preserve"> </w:instrText>
            </w:r>
            <w:r>
              <w:rPr>
                <w:rFonts w:hint="eastAsia"/>
              </w:rPr>
              <w:instrText xml:space="preserve">REF _Ref51684765 \r \h</w:instrText>
            </w:r>
            <w:r>
              <w:instrText xml:space="preserve"> </w:instrText>
            </w:r>
            <w:r>
              <w:fldChar w:fldCharType="separate"/>
            </w:r>
            <w:r>
              <w:t>6</w:t>
            </w:r>
            <w:r>
              <w:fldChar w:fldCharType="end"/>
            </w:r>
            <w:r>
              <w:rPr>
                <w:rFonts w:hint="eastAsia"/>
              </w:rPr>
              <w:t>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是否存在招标文件中规定的其他无效投标情形</w:t>
            </w:r>
          </w:p>
        </w:tc>
        <w:tc>
          <w:tcPr>
            <w:tcW w:w="6096" w:type="dxa"/>
            <w:vAlign w:val="center"/>
          </w:tcPr>
          <w:p>
            <w:pPr>
              <w:spacing w:line="240" w:lineRule="auto"/>
            </w:pPr>
            <w:r>
              <w:rPr>
                <w:rFonts w:hint="eastAsia"/>
              </w:rPr>
              <w:t>详见投标人须知</w:t>
            </w:r>
            <w:r>
              <w:t>21</w:t>
            </w:r>
            <w:r>
              <w:rPr>
                <w:rFonts w:hint="eastAsia"/>
              </w:rPr>
              <w:t>.</w:t>
            </w:r>
            <w:r>
              <w:t>2</w:t>
            </w:r>
            <w:r>
              <w:rPr>
                <w:rFonts w:hint="eastAsia"/>
              </w:rPr>
              <w:t>条、</w:t>
            </w:r>
            <w:r>
              <w:t>21</w:t>
            </w:r>
            <w:r>
              <w:rPr>
                <w:rFonts w:hint="eastAsia"/>
              </w:rPr>
              <w:t>.</w:t>
            </w:r>
            <w:r>
              <w:t>3</w:t>
            </w:r>
            <w:r>
              <w:rPr>
                <w:rFonts w:hint="eastAsia"/>
              </w:rPr>
              <w:t>条</w:t>
            </w:r>
          </w:p>
        </w:tc>
      </w:tr>
    </w:tbl>
    <w:p>
      <w:pPr>
        <w:pStyle w:val="41"/>
        <w:ind w:left="679" w:hanging="679"/>
      </w:pPr>
      <w:bookmarkStart w:id="104" w:name="_Ref53227820"/>
      <w:r>
        <w:rPr>
          <w:rFonts w:hint="eastAsia"/>
        </w:rPr>
        <w:t>在符合性审查时，如发现下列情况之一的，</w:t>
      </w:r>
      <w:r>
        <w:rPr>
          <w:rFonts w:hint="eastAsia"/>
          <w:b/>
        </w:rPr>
        <w:t>其投标也将被否决</w:t>
      </w:r>
      <w:r>
        <w:rPr>
          <w:rFonts w:hint="eastAsia"/>
        </w:rPr>
        <w:t>，为无效投标：</w:t>
      </w:r>
      <w:bookmarkEnd w:id="104"/>
    </w:p>
    <w:p>
      <w:pPr>
        <w:ind w:left="259" w:firstLine="420"/>
        <w:rPr>
          <w:rFonts w:hAnsiTheme="minorEastAsia"/>
          <w:b/>
        </w:rPr>
      </w:pPr>
      <w:r>
        <w:rPr>
          <w:rFonts w:hint="eastAsia" w:hAnsiTheme="minorEastAsia"/>
          <w:b/>
        </w:rPr>
        <w:t>（</w:t>
      </w:r>
      <w:r>
        <w:rPr>
          <w:rFonts w:hAnsiTheme="minorEastAsia"/>
          <w:b/>
        </w:rPr>
        <w:t>1</w:t>
      </w:r>
      <w:r>
        <w:rPr>
          <w:rFonts w:hint="eastAsia" w:hAnsiTheme="minorEastAsia"/>
          <w:b/>
        </w:rPr>
        <w:t>）</w:t>
      </w:r>
      <w:r>
        <w:rPr>
          <w:rFonts w:hint="eastAsia" w:hAnsiTheme="minorEastAsia"/>
          <w:b/>
        </w:rPr>
        <w:tab/>
      </w:r>
      <w:r>
        <w:rPr>
          <w:rFonts w:hint="eastAsia" w:hAnsiTheme="minorEastAsia"/>
          <w:b/>
        </w:rPr>
        <w:t>投标文件含有采购人不能接受的附加条件的；</w:t>
      </w:r>
    </w:p>
    <w:p>
      <w:pPr>
        <w:ind w:left="259" w:firstLine="420"/>
        <w:rPr>
          <w:rFonts w:hAnsiTheme="minorEastAsia"/>
          <w:b/>
        </w:rPr>
      </w:pPr>
      <w:r>
        <w:rPr>
          <w:rFonts w:hint="eastAsia" w:hAnsiTheme="minorEastAsia"/>
          <w:b/>
        </w:rPr>
        <w:t>（</w:t>
      </w:r>
      <w:r>
        <w:rPr>
          <w:rFonts w:hAnsiTheme="minorEastAsia"/>
          <w:b/>
        </w:rPr>
        <w:t>2</w:t>
      </w:r>
      <w:r>
        <w:rPr>
          <w:rFonts w:hint="eastAsia" w:hAnsiTheme="minorEastAsia"/>
          <w:b/>
        </w:rPr>
        <w:t>）</w:t>
      </w:r>
      <w:r>
        <w:rPr>
          <w:rFonts w:hint="eastAsia" w:hAnsiTheme="minorEastAsia"/>
          <w:b/>
        </w:rPr>
        <w:tab/>
      </w:r>
      <w:r>
        <w:rPr>
          <w:rFonts w:hint="eastAsia" w:hAnsiTheme="minorEastAsia"/>
          <w:b/>
        </w:rPr>
        <w:t>出现</w:t>
      </w:r>
      <w:r>
        <w:rPr>
          <w:rStyle w:val="69"/>
          <w:rFonts w:hint="eastAsia"/>
        </w:rPr>
        <w:t>《投标人须知前附表》第</w:t>
      </w:r>
      <w:r>
        <w:rPr>
          <w:rStyle w:val="69"/>
        </w:rPr>
        <w:fldChar w:fldCharType="begin"/>
      </w:r>
      <w:r>
        <w:rPr>
          <w:rStyle w:val="69"/>
        </w:rPr>
        <w:instrText xml:space="preserve"> </w:instrText>
      </w:r>
      <w:r>
        <w:rPr>
          <w:rStyle w:val="69"/>
          <w:rFonts w:hint="eastAsia"/>
        </w:rPr>
        <w:instrText xml:space="preserve">REF _Ref51615771 \r \h</w:instrText>
      </w:r>
      <w:r>
        <w:rPr>
          <w:rStyle w:val="69"/>
        </w:rPr>
        <w:instrText xml:space="preserve">  \* MERGEFORMAT </w:instrText>
      </w:r>
      <w:r>
        <w:rPr>
          <w:rStyle w:val="69"/>
        </w:rPr>
        <w:fldChar w:fldCharType="separate"/>
      </w:r>
      <w:r>
        <w:rPr>
          <w:rStyle w:val="69"/>
        </w:rPr>
        <w:t>18</w:t>
      </w:r>
      <w:r>
        <w:rPr>
          <w:rStyle w:val="69"/>
        </w:rPr>
        <w:fldChar w:fldCharType="end"/>
      </w:r>
      <w:r>
        <w:rPr>
          <w:rStyle w:val="69"/>
        </w:rPr>
        <w:t>条</w:t>
      </w:r>
      <w:r>
        <w:rPr>
          <w:rFonts w:hint="eastAsia" w:hAnsiTheme="minorEastAsia"/>
          <w:b/>
        </w:rPr>
        <w:t>列明的其它无效投标情况之一的；</w:t>
      </w:r>
    </w:p>
    <w:p>
      <w:pPr>
        <w:ind w:left="259" w:firstLine="420"/>
        <w:rPr>
          <w:rFonts w:hAnsiTheme="minorEastAsia"/>
          <w:b/>
        </w:rPr>
      </w:pPr>
      <w:r>
        <w:rPr>
          <w:rFonts w:hint="eastAsia" w:hAnsiTheme="minorEastAsia"/>
          <w:b/>
        </w:rPr>
        <w:t>（</w:t>
      </w:r>
      <w:r>
        <w:rPr>
          <w:rFonts w:hAnsiTheme="minorEastAsia"/>
          <w:b/>
        </w:rPr>
        <w:t>3</w:t>
      </w:r>
      <w:r>
        <w:rPr>
          <w:rFonts w:hint="eastAsia" w:hAnsiTheme="minorEastAsia"/>
          <w:b/>
        </w:rPr>
        <w:t>）</w:t>
      </w:r>
      <w:r>
        <w:rPr>
          <w:rFonts w:hint="eastAsia" w:hAnsiTheme="minorEastAsia"/>
          <w:b/>
        </w:rPr>
        <w:tab/>
      </w:r>
      <w:r>
        <w:rPr>
          <w:rFonts w:hint="eastAsia" w:hAnsiTheme="minorEastAsia"/>
          <w:b/>
        </w:rPr>
        <w:t>法律、法规规定的其他无效情形；</w:t>
      </w:r>
    </w:p>
    <w:p>
      <w:pPr>
        <w:ind w:left="259" w:firstLine="420"/>
        <w:rPr>
          <w:rFonts w:hAnsiTheme="minorEastAsia"/>
          <w:b/>
        </w:rPr>
      </w:pPr>
      <w:r>
        <w:rPr>
          <w:rFonts w:hint="eastAsia" w:hAnsiTheme="minorEastAsia"/>
          <w:b/>
        </w:rPr>
        <w:t>（</w:t>
      </w:r>
      <w:r>
        <w:rPr>
          <w:rFonts w:hAnsiTheme="minorEastAsia"/>
          <w:b/>
        </w:rPr>
        <w:t>4</w:t>
      </w:r>
      <w:r>
        <w:rPr>
          <w:rFonts w:hint="eastAsia" w:hAnsiTheme="minorEastAsia"/>
          <w:b/>
        </w:rPr>
        <w:t>）</w:t>
      </w:r>
      <w:r>
        <w:rPr>
          <w:rFonts w:hint="eastAsia" w:hAnsiTheme="minorEastAsia"/>
          <w:b/>
        </w:rPr>
        <w:tab/>
      </w:r>
      <w:r>
        <w:rPr>
          <w:rFonts w:hint="eastAsia" w:hAnsiTheme="minorEastAsia"/>
          <w:b/>
        </w:rPr>
        <w:t>投标文件符合招标文件中规定投标被否决的其他条款。</w:t>
      </w:r>
    </w:p>
    <w:p>
      <w:pPr>
        <w:pStyle w:val="41"/>
      </w:pPr>
      <w:r>
        <w:rPr>
          <w:rFonts w:hint="eastAsia"/>
        </w:rPr>
        <w:t>投标人有下列情形之一的，视为投标人串通投标，</w:t>
      </w:r>
      <w:r>
        <w:rPr>
          <w:rFonts w:hint="eastAsia"/>
          <w:b/>
        </w:rPr>
        <w:t>投标将被否决</w:t>
      </w:r>
      <w:r>
        <w:rPr>
          <w:rFonts w:hint="eastAsia"/>
        </w:rPr>
        <w:t>，其投标无效：</w:t>
      </w:r>
    </w:p>
    <w:p>
      <w:pPr>
        <w:ind w:left="1680" w:hanging="1001"/>
        <w:rPr>
          <w:rFonts w:hAnsiTheme="minorEastAsia"/>
        </w:rPr>
      </w:pPr>
      <w:r>
        <w:rPr>
          <w:rFonts w:hint="eastAsia" w:hAnsiTheme="minorEastAsia"/>
        </w:rPr>
        <w:t>（1）　　不同投标人的投标文件由同一单位或者个人编制；</w:t>
      </w:r>
    </w:p>
    <w:p>
      <w:pPr>
        <w:ind w:left="1680" w:hanging="1001"/>
        <w:rPr>
          <w:rFonts w:hAnsiTheme="minorEastAsia"/>
        </w:rPr>
      </w:pPr>
      <w:r>
        <w:rPr>
          <w:rFonts w:hint="eastAsia" w:hAnsiTheme="minorEastAsia"/>
        </w:rPr>
        <w:t>（2）　　不同投标人委托同一单位或者个人办理投标事宜；</w:t>
      </w:r>
    </w:p>
    <w:p>
      <w:pPr>
        <w:ind w:left="1680" w:hanging="1001"/>
        <w:rPr>
          <w:rFonts w:hAnsiTheme="minorEastAsia"/>
        </w:rPr>
      </w:pPr>
      <w:r>
        <w:rPr>
          <w:rFonts w:hint="eastAsia" w:hAnsiTheme="minorEastAsia"/>
        </w:rPr>
        <w:t>（3）　　不同投标人的投标文件载明的项目管理成员或者联系人员为同一人；</w:t>
      </w:r>
    </w:p>
    <w:p>
      <w:pPr>
        <w:ind w:left="1680" w:hanging="1001"/>
        <w:rPr>
          <w:rFonts w:hAnsiTheme="minorEastAsia"/>
        </w:rPr>
      </w:pPr>
      <w:r>
        <w:rPr>
          <w:rFonts w:hint="eastAsia" w:hAnsiTheme="minorEastAsia"/>
        </w:rPr>
        <w:t>（4）　　不同投标人的投标文件异常一致或者投标报价呈规律性差异；</w:t>
      </w:r>
    </w:p>
    <w:p>
      <w:pPr>
        <w:ind w:left="1680" w:hanging="1001"/>
        <w:rPr>
          <w:rFonts w:hAnsiTheme="minorEastAsia"/>
        </w:rPr>
      </w:pPr>
      <w:r>
        <w:rPr>
          <w:rFonts w:hint="eastAsia" w:hAnsiTheme="minorEastAsia"/>
        </w:rPr>
        <w:t>（5）　　不同投标人的投标文件相互混装；</w:t>
      </w:r>
    </w:p>
    <w:p>
      <w:pPr>
        <w:ind w:left="1680" w:hanging="1001"/>
        <w:rPr>
          <w:rFonts w:hAnsiTheme="minorEastAsia"/>
        </w:rPr>
      </w:pPr>
      <w:r>
        <w:rPr>
          <w:rFonts w:hint="eastAsia" w:hAnsiTheme="minorEastAsia"/>
        </w:rPr>
        <w:t>（6）　　不同投标人的投标保证金从同一单位或者个人的账户转出。</w:t>
      </w:r>
    </w:p>
    <w:p>
      <w:pPr>
        <w:pStyle w:val="41"/>
        <w:rPr>
          <w:rFonts w:hAnsiTheme="minorEastAsia"/>
        </w:rPr>
      </w:pPr>
      <w:r>
        <w:rPr>
          <w:rFonts w:hint="eastAsia"/>
        </w:rPr>
        <w:t>评标委员会决定投标的响应性只根据投标本身的真实无误的内容，而不依据外部的证据，但投标有不真实不正确的内容时除外。</w:t>
      </w:r>
    </w:p>
    <w:p>
      <w:pPr>
        <w:pStyle w:val="41"/>
        <w:ind w:left="679" w:hanging="679"/>
      </w:pPr>
      <w:bookmarkStart w:id="105" w:name="_Ref492909974"/>
      <w:r>
        <w:rPr>
          <w:rFonts w:hint="eastAsia"/>
        </w:rPr>
        <w:t>投标文件报价出现前后不一致的，除《投标人须知前附表》另有规定外，按照下列规定修正：</w:t>
      </w:r>
      <w:bookmarkEnd w:id="105"/>
    </w:p>
    <w:p>
      <w:pPr>
        <w:ind w:left="1680" w:hanging="1001"/>
      </w:pPr>
      <w:r>
        <w:rPr>
          <w:rFonts w:hint="eastAsia"/>
        </w:rPr>
        <w:t>（1）</w:t>
      </w:r>
      <w:r>
        <w:tab/>
      </w:r>
      <w:r>
        <w:rPr>
          <w:rFonts w:hint="eastAsia"/>
        </w:rPr>
        <w:t>公开唱出的开标一览表投标总价与投标文件中相应内容不一致的，以公开唱出的开标一览表为准；</w:t>
      </w:r>
    </w:p>
    <w:p>
      <w:pPr>
        <w:ind w:left="1680" w:hanging="1001"/>
      </w:pPr>
      <w:r>
        <w:rPr>
          <w:rFonts w:hint="eastAsia"/>
        </w:rPr>
        <w:t>（2）</w:t>
      </w:r>
      <w:r>
        <w:tab/>
      </w:r>
      <w:r>
        <w:rPr>
          <w:rFonts w:hint="eastAsia"/>
        </w:rPr>
        <w:t>公开唱出的开标一览表大写金额和小写金额不一致的，以大写金额为准；</w:t>
      </w:r>
    </w:p>
    <w:p>
      <w:pPr>
        <w:ind w:left="1680" w:hanging="1001"/>
      </w:pPr>
      <w:r>
        <w:rPr>
          <w:rFonts w:hint="eastAsia"/>
        </w:rPr>
        <w:t>（3）</w:t>
      </w:r>
      <w:r>
        <w:tab/>
      </w:r>
      <w:r>
        <w:rPr>
          <w:rFonts w:hint="eastAsia"/>
        </w:rPr>
        <w:t>分项报价表中汇总金额与公开唱出的价格不一致，以公开唱出的开标一览表的总价为准，并修改单价。</w:t>
      </w:r>
    </w:p>
    <w:p>
      <w:pPr>
        <w:pStyle w:val="41"/>
        <w:numPr>
          <w:ilvl w:val="0"/>
          <w:numId w:val="0"/>
        </w:numPr>
        <w:ind w:left="679"/>
      </w:pPr>
      <w:r>
        <w:rPr>
          <w:rFonts w:hint="eastAsia"/>
        </w:rPr>
        <w:t>修正后的报价按照本须知</w:t>
      </w:r>
      <w:r>
        <w:fldChar w:fldCharType="begin"/>
      </w:r>
      <w:r>
        <w:instrText xml:space="preserve"> </w:instrText>
      </w:r>
      <w:r>
        <w:rPr>
          <w:rFonts w:hint="eastAsia"/>
        </w:rPr>
        <w:instrText xml:space="preserve">REF _Ref51345041 \r \h</w:instrText>
      </w:r>
      <w:r>
        <w:instrText xml:space="preserve"> </w:instrText>
      </w:r>
      <w:r>
        <w:fldChar w:fldCharType="separate"/>
      </w:r>
      <w:r>
        <w:t>22</w:t>
      </w:r>
      <w:r>
        <w:fldChar w:fldCharType="end"/>
      </w:r>
      <w:r>
        <w:rPr>
          <w:rFonts w:hint="eastAsia"/>
        </w:rPr>
        <w:t>条的规定经投标人确认后产生约束力，投标人不确认的，</w:t>
      </w:r>
      <w:r>
        <w:rPr>
          <w:rFonts w:hint="eastAsia"/>
          <w:b/>
        </w:rPr>
        <w:t>其投标将被否决</w:t>
      </w:r>
      <w:r>
        <w:rPr>
          <w:rFonts w:hint="eastAsia"/>
        </w:rPr>
        <w:t>。</w:t>
      </w:r>
    </w:p>
    <w:p>
      <w:pPr>
        <w:pStyle w:val="41"/>
      </w:pPr>
      <w:bookmarkStart w:id="106" w:name="_Ref492910465"/>
      <w:r>
        <w:rPr>
          <w:rFonts w:hint="eastAsia"/>
        </w:rPr>
        <w:t>提供相同品牌核心产品且通过资格审查、符合性审查的不同投标人参加同一合同项下投标的，按一家投标人计算。</w:t>
      </w:r>
      <w:r>
        <w:rPr>
          <w:rFonts w:hint="eastAsia" w:ascii="Arial" w:hAnsi="Arial" w:cs="Arial"/>
          <w:szCs w:val="24"/>
        </w:rPr>
        <w:t>非单一产品采购项目，多家投标人提供的核心产品品牌相同的，视同为提供相同品牌产品，同样按一家投标人计算。核心产品见</w:t>
      </w:r>
      <w:r>
        <w:rPr>
          <w:rStyle w:val="69"/>
          <w:rFonts w:hint="eastAsia"/>
        </w:rPr>
        <w:t>《投标人须知前附表》第</w:t>
      </w:r>
      <w:r>
        <w:rPr>
          <w:rStyle w:val="69"/>
        </w:rPr>
        <w:fldChar w:fldCharType="begin"/>
      </w:r>
      <w:r>
        <w:rPr>
          <w:rStyle w:val="69"/>
        </w:rPr>
        <w:instrText xml:space="preserve"> </w:instrText>
      </w:r>
      <w:r>
        <w:rPr>
          <w:rStyle w:val="69"/>
          <w:rFonts w:hint="eastAsia"/>
        </w:rPr>
        <w:instrText xml:space="preserve">REF _Ref53228379 \r \h</w:instrText>
      </w:r>
      <w:r>
        <w:rPr>
          <w:rStyle w:val="69"/>
        </w:rPr>
        <w:instrText xml:space="preserve"> </w:instrText>
      </w:r>
      <w:r>
        <w:rPr>
          <w:rStyle w:val="69"/>
        </w:rPr>
        <w:fldChar w:fldCharType="separate"/>
      </w:r>
      <w:r>
        <w:rPr>
          <w:rStyle w:val="69"/>
        </w:rPr>
        <w:t>19</w:t>
      </w:r>
      <w:r>
        <w:rPr>
          <w:rStyle w:val="69"/>
        </w:rPr>
        <w:fldChar w:fldCharType="end"/>
      </w:r>
      <w:r>
        <w:rPr>
          <w:rStyle w:val="69"/>
        </w:rPr>
        <w:t>条</w:t>
      </w:r>
      <w:r>
        <w:rPr>
          <w:rFonts w:hint="eastAsia"/>
        </w:rPr>
        <w:t>。</w:t>
      </w:r>
      <w:bookmarkEnd w:id="106"/>
    </w:p>
    <w:p>
      <w:pPr>
        <w:pStyle w:val="40"/>
      </w:pPr>
      <w:bookmarkStart w:id="107" w:name="_Ref51345041"/>
      <w:r>
        <w:rPr>
          <w:rFonts w:hint="eastAsia"/>
        </w:rPr>
        <w:t>投标文件的澄清、说明或补正</w:t>
      </w:r>
      <w:bookmarkEnd w:id="107"/>
    </w:p>
    <w:p>
      <w:pPr>
        <w:pStyle w:val="41"/>
        <w:ind w:left="679" w:hanging="679"/>
      </w:pPr>
      <w:bookmarkStart w:id="108" w:name="_Ref469992128"/>
      <w:r>
        <w:rPr>
          <w:rFonts w:ascii="Arial" w:hAnsi="Arial" w:cs="Arial"/>
          <w:szCs w:val="24"/>
        </w:rPr>
        <w:t>投标人不得主动对投标文件进行澄清</w:t>
      </w:r>
      <w:r>
        <w:rPr>
          <w:rFonts w:hint="eastAsia" w:ascii="Arial" w:hAnsi="Arial" w:cs="Arial"/>
          <w:szCs w:val="24"/>
        </w:rPr>
        <w:t>、说明或补正，评标委员会也不接受投标人的主动澄清、说明或补正</w:t>
      </w:r>
      <w:r>
        <w:rPr>
          <w:rFonts w:ascii="Arial" w:hAnsi="Arial" w:cs="Arial"/>
          <w:szCs w:val="24"/>
        </w:rPr>
        <w:t>。</w:t>
      </w:r>
    </w:p>
    <w:p>
      <w:pPr>
        <w:pStyle w:val="41"/>
        <w:ind w:left="679" w:hanging="679"/>
      </w:pPr>
      <w:r>
        <w:rPr>
          <w:rFonts w:hint="eastAsia"/>
        </w:rPr>
        <w:t>在评标期间，</w:t>
      </w:r>
      <w:bookmarkEnd w:id="108"/>
      <w:r>
        <w:rPr>
          <w:rFonts w:hint="eastAsia"/>
        </w:rPr>
        <w:t>对于投标文件中含义不明确、同类问题表述不一致或者有明显文字和计算错误的内容，评标委员会将以书面形式要求投标人作出必要的澄清、说明或者补正。</w:t>
      </w:r>
    </w:p>
    <w:p>
      <w:pPr>
        <w:pStyle w:val="41"/>
        <w:ind w:left="679" w:hanging="679"/>
      </w:pPr>
      <w:r>
        <w:rPr>
          <w:rFonts w:hint="eastAsia"/>
        </w:rPr>
        <w:t>投标人必须按照评标委员会要求的时间、地点提交澄清、说明或者补正，投标人的澄清、说明或者补正应当采用书面形式，并逐页加盖公章或者由法定代表人逐页签署或由被授权代表逐页签字。投标人的澄清、说明或者补正不得超出投标文件的范围或者改变投标文件的实质性内容。投标人拒不按照要求对投标文件进行澄清、说明或者补正的，视其放弃该项权利。评标委员会也不接受投标人超出投标文件的范围或者改变投标文件的实质性内容的澄清。</w:t>
      </w:r>
    </w:p>
    <w:p>
      <w:pPr>
        <w:pStyle w:val="40"/>
        <w:ind w:left="679" w:hanging="679"/>
      </w:pPr>
      <w:r>
        <w:rPr>
          <w:rFonts w:hint="eastAsia"/>
        </w:rPr>
        <w:t>投标文件的详细评审</w:t>
      </w:r>
    </w:p>
    <w:p>
      <w:pPr>
        <w:pStyle w:val="41"/>
        <w:ind w:left="679" w:hanging="679"/>
      </w:pPr>
      <w:r>
        <w:rPr>
          <w:rFonts w:hint="eastAsia"/>
        </w:rPr>
        <w:t>经过符合性审查后，评标委员会将只对确定为实质上响应招标文件要求的投标进行评价和比较。评审应严格按照招标文件的要求和条件进行，具体评标标准详见招标文件</w:t>
      </w:r>
      <w:r>
        <w:rPr>
          <w:rStyle w:val="69"/>
          <w:rFonts w:hint="eastAsia"/>
        </w:rPr>
        <w:t>第三章 评标标准和评分方法</w:t>
      </w:r>
      <w:r>
        <w:rPr>
          <w:rFonts w:hint="eastAsia"/>
        </w:rPr>
        <w:t>。</w:t>
      </w:r>
    </w:p>
    <w:p>
      <w:pPr>
        <w:pStyle w:val="40"/>
        <w:ind w:left="679" w:hanging="679"/>
      </w:pPr>
      <w:r>
        <w:rPr>
          <w:rFonts w:hint="eastAsia"/>
        </w:rPr>
        <w:t>中标候选人的推荐</w:t>
      </w:r>
    </w:p>
    <w:p>
      <w:pPr>
        <w:pStyle w:val="41"/>
      </w:pPr>
      <w:r>
        <w:t>投标文件满足招标文件全部实质性要求</w:t>
      </w:r>
      <w:r>
        <w:rPr>
          <w:rFonts w:hint="eastAsia"/>
        </w:rPr>
        <w:t>后</w:t>
      </w:r>
      <w:r>
        <w:t>，</w:t>
      </w:r>
      <w:r>
        <w:rPr>
          <w:rFonts w:hint="eastAsia"/>
        </w:rPr>
        <w:t>评标委员会将对投标人进行</w:t>
      </w:r>
      <w:r>
        <w:t>排</w:t>
      </w:r>
      <w:r>
        <w:rPr>
          <w:rFonts w:hint="eastAsia"/>
        </w:rPr>
        <w:t>序，并推荐所有满足招标文件全部实质性要求的投标人为中标候选人。</w:t>
      </w:r>
      <w:r>
        <w:t>采用最低评标价法的，评标结果按投标报价由低到高顺序排列。投标报价相同的并列。投标文件满足招标文件全部实质性要求且投标报价最低的投标人为排名第一的中标候选人。采用综合评分法的，评标结果按评审后</w:t>
      </w:r>
      <w:r>
        <w:rPr>
          <w:rFonts w:hint="eastAsia"/>
        </w:rPr>
        <w:t>综合</w:t>
      </w:r>
      <w:r>
        <w:t>得分由高到低顺序排列。</w:t>
      </w:r>
      <w:r>
        <w:rPr>
          <w:rFonts w:hint="eastAsia"/>
        </w:rPr>
        <w:t>综合</w:t>
      </w:r>
      <w:r>
        <w:t>得分相同的，按投标报价由低到高顺序排列。</w:t>
      </w:r>
      <w:r>
        <w:rPr>
          <w:rFonts w:hint="eastAsia"/>
        </w:rPr>
        <w:t>综合</w:t>
      </w:r>
      <w:r>
        <w:t>得分且投标报价相同的并列。投标文件满足招标文件全部实质性要求，且按照评审因素的量化指标评审得分最高的投标人为排名第一的中标候选人。</w:t>
      </w:r>
    </w:p>
    <w:p>
      <w:pPr>
        <w:pStyle w:val="41"/>
      </w:pPr>
      <w:bookmarkStart w:id="109" w:name="_Ref51616071"/>
      <w:r>
        <w:rPr>
          <w:rFonts w:hint="eastAsia"/>
        </w:rPr>
        <w:t>采用最低评标价法的采购项目，提供相同品牌核心产品的不同投标人参加同一合同项下投标的，以其中通过资格审查、符合性审查且报价最低的参加评标；报价相同的，由采购人或者采购人委托评标委员会按照</w:t>
      </w:r>
      <w:r>
        <w:rPr>
          <w:rStyle w:val="69"/>
          <w:rFonts w:hint="eastAsia"/>
        </w:rPr>
        <w:t>《投标人须知前附表》第</w:t>
      </w:r>
      <w:r>
        <w:rPr>
          <w:rStyle w:val="69"/>
        </w:rPr>
        <w:fldChar w:fldCharType="begin"/>
      </w:r>
      <w:r>
        <w:rPr>
          <w:rStyle w:val="69"/>
        </w:rPr>
        <w:instrText xml:space="preserve"> </w:instrText>
      </w:r>
      <w:r>
        <w:rPr>
          <w:rStyle w:val="69"/>
          <w:rFonts w:hint="eastAsia"/>
        </w:rPr>
        <w:instrText xml:space="preserve">REF _Ref53228388 \r \h</w:instrText>
      </w:r>
      <w:r>
        <w:rPr>
          <w:rStyle w:val="69"/>
        </w:rPr>
        <w:instrText xml:space="preserve"> </w:instrText>
      </w:r>
      <w:r>
        <w:rPr>
          <w:rStyle w:val="69"/>
        </w:rPr>
        <w:fldChar w:fldCharType="separate"/>
      </w:r>
      <w:r>
        <w:rPr>
          <w:rStyle w:val="69"/>
        </w:rPr>
        <w:t>20</w:t>
      </w:r>
      <w:r>
        <w:rPr>
          <w:rStyle w:val="69"/>
        </w:rPr>
        <w:fldChar w:fldCharType="end"/>
      </w:r>
      <w:r>
        <w:rPr>
          <w:rStyle w:val="69"/>
          <w:rFonts w:hint="eastAsia"/>
        </w:rPr>
        <w:t>条</w:t>
      </w:r>
      <w:r>
        <w:rPr>
          <w:rFonts w:hint="eastAsia"/>
        </w:rPr>
        <w:t>规定的方式确定一个参加评标的投标人，其他投标无效。</w:t>
      </w:r>
      <w:bookmarkEnd w:id="109"/>
    </w:p>
    <w:p>
      <w:pPr>
        <w:pStyle w:val="41"/>
        <w:ind w:left="679" w:hanging="679"/>
      </w:pPr>
      <w:bookmarkStart w:id="110" w:name="_Ref51616077"/>
      <w:r>
        <w:rPr>
          <w:rFonts w:hint="eastAsia"/>
        </w:rPr>
        <w:t>使用综合评分法的采购项目，提供相同品牌产品且通过资格审查、符合性审查的不同投标人参加同一合同项下投标的，按一家投标人计算，评审后得分最高的同品牌投标人获得中标人推荐资格；评审得分相同的，评标委员会按照</w:t>
      </w:r>
      <w:r>
        <w:rPr>
          <w:rStyle w:val="69"/>
          <w:rFonts w:hint="eastAsia"/>
        </w:rPr>
        <w:t>《投标人须知前附表》第</w:t>
      </w:r>
      <w:r>
        <w:rPr>
          <w:rStyle w:val="69"/>
        </w:rPr>
        <w:fldChar w:fldCharType="begin"/>
      </w:r>
      <w:r>
        <w:rPr>
          <w:rStyle w:val="69"/>
        </w:rPr>
        <w:instrText xml:space="preserve"> </w:instrText>
      </w:r>
      <w:r>
        <w:rPr>
          <w:rStyle w:val="69"/>
          <w:rFonts w:hint="eastAsia"/>
        </w:rPr>
        <w:instrText xml:space="preserve">REF _Ref53228388 \r \h</w:instrText>
      </w:r>
      <w:r>
        <w:rPr>
          <w:rStyle w:val="69"/>
        </w:rPr>
        <w:instrText xml:space="preserve"> </w:instrText>
      </w:r>
      <w:r>
        <w:rPr>
          <w:rStyle w:val="69"/>
        </w:rPr>
        <w:fldChar w:fldCharType="separate"/>
      </w:r>
      <w:r>
        <w:rPr>
          <w:rStyle w:val="69"/>
        </w:rPr>
        <w:t>20</w:t>
      </w:r>
      <w:r>
        <w:rPr>
          <w:rStyle w:val="69"/>
        </w:rPr>
        <w:fldChar w:fldCharType="end"/>
      </w:r>
      <w:r>
        <w:rPr>
          <w:rStyle w:val="69"/>
          <w:rFonts w:hint="eastAsia"/>
        </w:rPr>
        <w:t>条</w:t>
      </w:r>
      <w:r>
        <w:rPr>
          <w:rFonts w:hint="eastAsia"/>
        </w:rPr>
        <w:t>规定的方式确定一个投标人获得中标人推荐资格，其他同品牌投标人不作为中标候选人。</w:t>
      </w:r>
      <w:bookmarkEnd w:id="110"/>
    </w:p>
    <w:p>
      <w:pPr>
        <w:pStyle w:val="40"/>
        <w:ind w:left="679" w:hanging="679"/>
      </w:pPr>
      <w:r>
        <w:rPr>
          <w:rFonts w:hint="eastAsia"/>
        </w:rPr>
        <w:t>废标处理</w:t>
      </w:r>
    </w:p>
    <w:p>
      <w:pPr>
        <w:pStyle w:val="41"/>
      </w:pPr>
      <w:r>
        <w:rPr>
          <w:rFonts w:hint="eastAsia"/>
        </w:rPr>
        <w:t>如发现下列情况之一的，本项目予以废标：</w:t>
      </w:r>
    </w:p>
    <w:p>
      <w:pPr>
        <w:ind w:left="1680" w:hanging="1001"/>
        <w:rPr>
          <w:rFonts w:hAnsiTheme="minorEastAsia"/>
        </w:rPr>
      </w:pPr>
      <w:r>
        <w:rPr>
          <w:rFonts w:hint="eastAsia" w:hAnsiTheme="minorEastAsia"/>
        </w:rPr>
        <w:t>（1）</w:t>
      </w:r>
      <w:r>
        <w:rPr>
          <w:rFonts w:hint="eastAsia" w:hAnsiTheme="minorEastAsia"/>
        </w:rPr>
        <w:tab/>
      </w:r>
      <w:r>
        <w:rPr>
          <w:rFonts w:hint="eastAsia" w:hAnsiTheme="minorEastAsia"/>
        </w:rPr>
        <w:t>符合专业条件的投标商或者对招标文件作实质响应的供应商不足三家的；</w:t>
      </w:r>
    </w:p>
    <w:p>
      <w:pPr>
        <w:ind w:left="1680" w:hanging="1001"/>
        <w:rPr>
          <w:rFonts w:hAnsiTheme="minorEastAsia"/>
        </w:rPr>
      </w:pPr>
      <w:r>
        <w:rPr>
          <w:rFonts w:hint="eastAsia" w:hAnsiTheme="minorEastAsia"/>
        </w:rPr>
        <w:t>（2）</w:t>
      </w:r>
      <w:r>
        <w:rPr>
          <w:rFonts w:hint="eastAsia" w:hAnsiTheme="minorEastAsia"/>
        </w:rPr>
        <w:tab/>
      </w:r>
      <w:r>
        <w:rPr>
          <w:rFonts w:hint="eastAsia" w:hAnsiTheme="minorEastAsia"/>
        </w:rPr>
        <w:t>出现影响采购公正的违法、违规行为的；</w:t>
      </w:r>
    </w:p>
    <w:p>
      <w:pPr>
        <w:ind w:left="1680" w:hanging="1001"/>
        <w:rPr>
          <w:rFonts w:hAnsiTheme="minorEastAsia"/>
        </w:rPr>
      </w:pPr>
      <w:r>
        <w:rPr>
          <w:rFonts w:hint="eastAsia" w:hAnsiTheme="minorEastAsia"/>
        </w:rPr>
        <w:t>（3）</w:t>
      </w:r>
      <w:r>
        <w:rPr>
          <w:rFonts w:hint="eastAsia" w:hAnsiTheme="minorEastAsia"/>
        </w:rPr>
        <w:tab/>
      </w:r>
      <w:r>
        <w:rPr>
          <w:rFonts w:hint="eastAsia" w:hAnsiTheme="minorEastAsia"/>
        </w:rPr>
        <w:t>投标人的报价均超过了采购预算，采购人不能支付的；</w:t>
      </w:r>
    </w:p>
    <w:p>
      <w:pPr>
        <w:ind w:left="1680" w:hanging="1001"/>
        <w:rPr>
          <w:rFonts w:hAnsiTheme="minorEastAsia"/>
        </w:rPr>
      </w:pPr>
      <w:r>
        <w:rPr>
          <w:rFonts w:hint="eastAsia" w:hAnsiTheme="minorEastAsia"/>
        </w:rPr>
        <w:t>（4）</w:t>
      </w:r>
      <w:r>
        <w:rPr>
          <w:rFonts w:hint="eastAsia" w:hAnsiTheme="minorEastAsia"/>
        </w:rPr>
        <w:tab/>
      </w:r>
      <w:r>
        <w:rPr>
          <w:rFonts w:hint="eastAsia" w:hAnsiTheme="minorEastAsia"/>
        </w:rPr>
        <w:t>因重大变故，采购任务取消的。</w:t>
      </w:r>
    </w:p>
    <w:p>
      <w:pPr>
        <w:pStyle w:val="41"/>
        <w:rPr>
          <w:rFonts w:hAnsiTheme="minorEastAsia"/>
        </w:rPr>
      </w:pPr>
      <w:r>
        <w:rPr>
          <w:rFonts w:hint="eastAsia" w:hAnsiTheme="minorEastAsia"/>
        </w:rPr>
        <w:t>废标后，采购代理机构将废标结果在本项目招标公告的发布媒体（公开招标时）或</w:t>
      </w:r>
      <w:r>
        <w:rPr>
          <w:rFonts w:hint="eastAsia" w:ascii="黑体" w:hAnsi="黑体" w:eastAsia="黑体"/>
        </w:rPr>
        <w:t>《投标人须知前附表》</w:t>
      </w:r>
      <w:r>
        <w:rPr>
          <w:rFonts w:hint="eastAsia" w:hAnsiTheme="minorEastAsia"/>
        </w:rPr>
        <w:t>指定媒体（邀请招标时）上进行公告。</w:t>
      </w:r>
    </w:p>
    <w:p>
      <w:pPr>
        <w:pStyle w:val="4"/>
      </w:pPr>
      <w:bookmarkStart w:id="111" w:name="_Toc1860"/>
      <w:r>
        <w:rPr>
          <w:rFonts w:hint="eastAsia"/>
        </w:rPr>
        <w:t>六、授予合同</w:t>
      </w:r>
      <w:bookmarkEnd w:id="111"/>
    </w:p>
    <w:p>
      <w:pPr>
        <w:pStyle w:val="40"/>
        <w:ind w:left="679" w:hanging="679"/>
      </w:pPr>
      <w:r>
        <w:rPr>
          <w:rFonts w:hint="eastAsia"/>
        </w:rPr>
        <w:t>中标人的确定及合同授予</w:t>
      </w:r>
    </w:p>
    <w:p>
      <w:pPr>
        <w:pStyle w:val="41"/>
      </w:pPr>
      <w:bookmarkStart w:id="112" w:name="_Ref51684061"/>
      <w:r>
        <w:rPr>
          <w:rFonts w:hint="eastAsia"/>
        </w:rPr>
        <w:t>采购人将在评标报告确定的中标候选人名单中按顺序确定中标人，或者，采购人委托评标委员会直接确定的中标人，采用上述何种方式确定中标人详见</w:t>
      </w:r>
      <w:r>
        <w:rPr>
          <w:rStyle w:val="69"/>
          <w:rFonts w:hint="eastAsia"/>
        </w:rPr>
        <w:t>《投标人须知前附表》第</w:t>
      </w:r>
      <w:r>
        <w:rPr>
          <w:rStyle w:val="69"/>
        </w:rPr>
        <w:fldChar w:fldCharType="begin"/>
      </w:r>
      <w:r>
        <w:rPr>
          <w:rStyle w:val="69"/>
        </w:rPr>
        <w:instrText xml:space="preserve"> </w:instrText>
      </w:r>
      <w:r>
        <w:rPr>
          <w:rStyle w:val="69"/>
          <w:rFonts w:hint="eastAsia"/>
        </w:rPr>
        <w:instrText xml:space="preserve">REF _Ref51684695 \r \h</w:instrText>
      </w:r>
      <w:r>
        <w:rPr>
          <w:rStyle w:val="69"/>
        </w:rPr>
        <w:instrText xml:space="preserve"> </w:instrText>
      </w:r>
      <w:r>
        <w:rPr>
          <w:rStyle w:val="69"/>
        </w:rPr>
        <w:fldChar w:fldCharType="separate"/>
      </w:r>
      <w:r>
        <w:rPr>
          <w:rStyle w:val="69"/>
        </w:rPr>
        <w:t>21</w:t>
      </w:r>
      <w:r>
        <w:rPr>
          <w:rStyle w:val="69"/>
        </w:rPr>
        <w:fldChar w:fldCharType="end"/>
      </w:r>
      <w:r>
        <w:rPr>
          <w:rStyle w:val="69"/>
          <w:rFonts w:hint="eastAsia"/>
        </w:rPr>
        <w:t>条。</w:t>
      </w:r>
      <w:bookmarkEnd w:id="112"/>
    </w:p>
    <w:p>
      <w:pPr>
        <w:pStyle w:val="41"/>
      </w:pPr>
      <w:bookmarkStart w:id="113" w:name="_Ref51684068"/>
      <w:r>
        <w:rPr>
          <w:rFonts w:hint="eastAsia"/>
        </w:rPr>
        <w:t>中标候选人并列的，由采购人或评标委员会按照</w:t>
      </w:r>
      <w:r>
        <w:rPr>
          <w:rStyle w:val="69"/>
          <w:rFonts w:hint="eastAsia"/>
        </w:rPr>
        <w:t>《投标人须知前附表》第</w:t>
      </w:r>
      <w:r>
        <w:rPr>
          <w:rStyle w:val="69"/>
        </w:rPr>
        <w:fldChar w:fldCharType="begin"/>
      </w:r>
      <w:r>
        <w:rPr>
          <w:rStyle w:val="69"/>
        </w:rPr>
        <w:instrText xml:space="preserve"> </w:instrText>
      </w:r>
      <w:r>
        <w:rPr>
          <w:rStyle w:val="69"/>
          <w:rFonts w:hint="eastAsia"/>
        </w:rPr>
        <w:instrText xml:space="preserve">REF _Ref51684703 \r \h</w:instrText>
      </w:r>
      <w:r>
        <w:rPr>
          <w:rStyle w:val="69"/>
        </w:rPr>
        <w:instrText xml:space="preserve"> </w:instrText>
      </w:r>
      <w:r>
        <w:rPr>
          <w:rStyle w:val="69"/>
        </w:rPr>
        <w:fldChar w:fldCharType="separate"/>
      </w:r>
      <w:r>
        <w:rPr>
          <w:rStyle w:val="69"/>
        </w:rPr>
        <w:t>22</w:t>
      </w:r>
      <w:r>
        <w:rPr>
          <w:rStyle w:val="69"/>
        </w:rPr>
        <w:fldChar w:fldCharType="end"/>
      </w:r>
      <w:r>
        <w:rPr>
          <w:rStyle w:val="69"/>
          <w:rFonts w:hint="eastAsia"/>
        </w:rPr>
        <w:t>条</w:t>
      </w:r>
      <w:r>
        <w:rPr>
          <w:rFonts w:hint="eastAsia"/>
        </w:rPr>
        <w:t>规定的方式确定中标人；</w:t>
      </w:r>
      <w:r>
        <w:rPr>
          <w:rStyle w:val="69"/>
          <w:rFonts w:hint="eastAsia"/>
        </w:rPr>
        <w:t>《投标人须知前附表》第</w:t>
      </w:r>
      <w:r>
        <w:rPr>
          <w:rStyle w:val="69"/>
        </w:rPr>
        <w:fldChar w:fldCharType="begin"/>
      </w:r>
      <w:r>
        <w:rPr>
          <w:rStyle w:val="69"/>
        </w:rPr>
        <w:instrText xml:space="preserve"> </w:instrText>
      </w:r>
      <w:r>
        <w:rPr>
          <w:rStyle w:val="69"/>
          <w:rFonts w:hint="eastAsia"/>
        </w:rPr>
        <w:instrText xml:space="preserve">REF _Ref51684703 \r \h</w:instrText>
      </w:r>
      <w:r>
        <w:rPr>
          <w:rStyle w:val="69"/>
        </w:rPr>
        <w:instrText xml:space="preserve"> </w:instrText>
      </w:r>
      <w:r>
        <w:rPr>
          <w:rStyle w:val="69"/>
        </w:rPr>
        <w:fldChar w:fldCharType="separate"/>
      </w:r>
      <w:r>
        <w:rPr>
          <w:rStyle w:val="69"/>
        </w:rPr>
        <w:t>22</w:t>
      </w:r>
      <w:r>
        <w:rPr>
          <w:rStyle w:val="69"/>
        </w:rPr>
        <w:fldChar w:fldCharType="end"/>
      </w:r>
      <w:r>
        <w:rPr>
          <w:rStyle w:val="69"/>
          <w:rFonts w:hint="eastAsia"/>
        </w:rPr>
        <w:t>条</w:t>
      </w:r>
      <w:r>
        <w:rPr>
          <w:rFonts w:hint="eastAsia"/>
        </w:rPr>
        <w:t>未规定的，采取随机抽取的方式确定。</w:t>
      </w:r>
      <w:bookmarkEnd w:id="113"/>
    </w:p>
    <w:p>
      <w:pPr>
        <w:pStyle w:val="40"/>
        <w:ind w:left="679" w:hanging="679"/>
      </w:pPr>
      <w:r>
        <w:rPr>
          <w:rFonts w:hint="eastAsia"/>
        </w:rPr>
        <w:t>中标通知</w:t>
      </w:r>
    </w:p>
    <w:p>
      <w:pPr>
        <w:pStyle w:val="41"/>
      </w:pPr>
      <w:r>
        <w:rPr>
          <w:rFonts w:hint="eastAsia"/>
        </w:rPr>
        <w:t>公开招标中标人确定后，采购代理机构将在刊登本次招标公告的媒体上发布中标公告，同时以书面形式向中标人发出中标通知书。邀请招标中标人确定后，采购代理机构将在</w:t>
      </w:r>
      <w:r>
        <w:rPr>
          <w:rFonts w:hint="eastAsia" w:ascii="黑体" w:hAnsi="黑体" w:eastAsia="黑体"/>
        </w:rPr>
        <w:t>《投标人须知前附表》</w:t>
      </w:r>
      <w:r>
        <w:rPr>
          <w:rFonts w:hint="eastAsia"/>
        </w:rPr>
        <w:t>指定的媒体上发布中标公告，同时以书面形式向中标人发出中标通知书。中标通知书对采购人和中标人具有同等法律效力。中标通知书发出后，采购人改变招标结果或者中标人放弃中标，应当承担相应的法律责任。</w:t>
      </w:r>
    </w:p>
    <w:p>
      <w:pPr>
        <w:pStyle w:val="41"/>
        <w:ind w:left="679" w:hanging="679"/>
      </w:pPr>
      <w:r>
        <w:rPr>
          <w:rFonts w:hint="eastAsia"/>
        </w:rPr>
        <w:t>中标通知书是合同的组成部分。</w:t>
      </w:r>
    </w:p>
    <w:p>
      <w:pPr>
        <w:pStyle w:val="40"/>
        <w:ind w:left="679" w:hanging="679"/>
      </w:pPr>
      <w:bookmarkStart w:id="114" w:name="_Ref469993976"/>
      <w:r>
        <w:rPr>
          <w:rFonts w:hint="eastAsia"/>
        </w:rPr>
        <w:t>签订合同</w:t>
      </w:r>
      <w:bookmarkEnd w:id="114"/>
    </w:p>
    <w:p>
      <w:pPr>
        <w:pStyle w:val="41"/>
        <w:ind w:left="679" w:hanging="679"/>
      </w:pPr>
      <w:r>
        <w:rPr>
          <w:rFonts w:hint="eastAsia"/>
        </w:rPr>
        <w:t>《中标通知书》发出后30日内，中标人应按照招标文件和中标人的投标文件及评标过程中的有关澄清文件等订立书面合同。中标人不得与采购人再订立背离合同实质性内容的其他协议。</w:t>
      </w:r>
    </w:p>
    <w:p>
      <w:pPr>
        <w:pStyle w:val="41"/>
      </w:pPr>
      <w:bookmarkStart w:id="115" w:name="_Ref51684086"/>
      <w:r>
        <w:rPr>
          <w:rFonts w:hint="eastAsia"/>
        </w:rPr>
        <w:t>未经采购人事先给予书面同意，中标人不得将本项目分包，即不得将合同全部及任何部分权利、义务向第三方转让。本次招标是否允许分包以及分包要求见</w:t>
      </w:r>
      <w:r>
        <w:rPr>
          <w:rStyle w:val="69"/>
          <w:rFonts w:hint="eastAsia"/>
        </w:rPr>
        <w:t>《投标人须知前附表》第</w:t>
      </w:r>
      <w:r>
        <w:rPr>
          <w:rStyle w:val="69"/>
        </w:rPr>
        <w:fldChar w:fldCharType="begin"/>
      </w:r>
      <w:r>
        <w:rPr>
          <w:rStyle w:val="69"/>
        </w:rPr>
        <w:instrText xml:space="preserve"> </w:instrText>
      </w:r>
      <w:r>
        <w:rPr>
          <w:rStyle w:val="69"/>
          <w:rFonts w:hint="eastAsia"/>
        </w:rPr>
        <w:instrText xml:space="preserve">REF _Ref53228485 \r \h</w:instrText>
      </w:r>
      <w:r>
        <w:rPr>
          <w:rStyle w:val="69"/>
        </w:rPr>
        <w:instrText xml:space="preserve"> </w:instrText>
      </w:r>
      <w:r>
        <w:rPr>
          <w:rStyle w:val="69"/>
        </w:rPr>
        <w:fldChar w:fldCharType="separate"/>
      </w:r>
      <w:r>
        <w:rPr>
          <w:rStyle w:val="69"/>
        </w:rPr>
        <w:t>23</w:t>
      </w:r>
      <w:r>
        <w:rPr>
          <w:rStyle w:val="69"/>
        </w:rPr>
        <w:fldChar w:fldCharType="end"/>
      </w:r>
      <w:r>
        <w:rPr>
          <w:rStyle w:val="69"/>
          <w:rFonts w:hint="eastAsia"/>
        </w:rPr>
        <w:t>条</w:t>
      </w:r>
      <w:r>
        <w:rPr>
          <w:rFonts w:hint="eastAsia"/>
        </w:rPr>
        <w:t>。不允许分包的项目或部分中标人进行分包的，将被视为严重违约，依法依约承担相应法律责任。</w:t>
      </w:r>
      <w:bookmarkEnd w:id="115"/>
    </w:p>
    <w:p>
      <w:pPr>
        <w:pStyle w:val="41"/>
      </w:pPr>
      <w:r>
        <w:rPr>
          <w:rFonts w:hint="eastAsia"/>
        </w:rPr>
        <w:t>中标人拒绝与采购人签订合同的，采购人可以按照评标报告推荐的中标候选人名单排序，确定下一候选人为中标人，也可以重新开展政府采购活动。</w:t>
      </w:r>
    </w:p>
    <w:p>
      <w:pPr>
        <w:pStyle w:val="40"/>
      </w:pPr>
      <w:r>
        <w:rPr>
          <w:rFonts w:hint="eastAsia"/>
        </w:rPr>
        <w:t>招标代理服务费</w:t>
      </w:r>
    </w:p>
    <w:p>
      <w:pPr>
        <w:pStyle w:val="41"/>
      </w:pPr>
      <w:bookmarkStart w:id="116" w:name="_Ref506187614"/>
      <w:r>
        <w:rPr>
          <w:rFonts w:hint="eastAsia"/>
        </w:rPr>
        <w:t>中标人须在领取中标通知书的同时，按照</w:t>
      </w:r>
      <w:r>
        <w:rPr>
          <w:rStyle w:val="69"/>
          <w:rFonts w:hint="eastAsia"/>
        </w:rPr>
        <w:t>《投标人须知前附表》第</w:t>
      </w:r>
      <w:r>
        <w:rPr>
          <w:rStyle w:val="69"/>
        </w:rPr>
        <w:fldChar w:fldCharType="begin"/>
      </w:r>
      <w:r>
        <w:rPr>
          <w:rStyle w:val="69"/>
        </w:rPr>
        <w:instrText xml:space="preserve"> </w:instrText>
      </w:r>
      <w:r>
        <w:rPr>
          <w:rStyle w:val="69"/>
          <w:rFonts w:hint="eastAsia"/>
        </w:rPr>
        <w:instrText xml:space="preserve">REF _Ref53228540 \r \h</w:instrText>
      </w:r>
      <w:r>
        <w:rPr>
          <w:rStyle w:val="69"/>
        </w:rPr>
        <w:instrText xml:space="preserve"> </w:instrText>
      </w:r>
      <w:r>
        <w:rPr>
          <w:rStyle w:val="69"/>
        </w:rPr>
        <w:fldChar w:fldCharType="separate"/>
      </w:r>
      <w:r>
        <w:rPr>
          <w:rStyle w:val="69"/>
        </w:rPr>
        <w:t>24</w:t>
      </w:r>
      <w:r>
        <w:rPr>
          <w:rStyle w:val="69"/>
        </w:rPr>
        <w:fldChar w:fldCharType="end"/>
      </w:r>
      <w:r>
        <w:rPr>
          <w:rStyle w:val="69"/>
          <w:rFonts w:hint="eastAsia"/>
        </w:rPr>
        <w:t>条</w:t>
      </w:r>
      <w:r>
        <w:rPr>
          <w:rFonts w:hint="eastAsia"/>
        </w:rPr>
        <w:t>规定的标准向采购代理机构支付招标代理服务费。</w:t>
      </w:r>
      <w:bookmarkEnd w:id="116"/>
    </w:p>
    <w:p>
      <w:pPr>
        <w:pStyle w:val="4"/>
      </w:pPr>
      <w:bookmarkStart w:id="117" w:name="_Toc21200"/>
      <w:r>
        <w:rPr>
          <w:rFonts w:hint="eastAsia"/>
        </w:rPr>
        <w:t>七、其他</w:t>
      </w:r>
      <w:bookmarkEnd w:id="117"/>
    </w:p>
    <w:p>
      <w:pPr>
        <w:pStyle w:val="40"/>
      </w:pPr>
      <w:bookmarkStart w:id="118" w:name="_Ref506123196"/>
      <w:r>
        <w:rPr>
          <w:rFonts w:hint="eastAsia"/>
        </w:rPr>
        <w:t>质疑提出</w:t>
      </w:r>
      <w:bookmarkEnd w:id="118"/>
      <w:r>
        <w:rPr>
          <w:rFonts w:hint="eastAsia"/>
        </w:rPr>
        <w:t>与答复</w:t>
      </w:r>
    </w:p>
    <w:p>
      <w:pPr>
        <w:pStyle w:val="41"/>
      </w:pPr>
      <w:r>
        <w:rPr>
          <w:rFonts w:hint="eastAsia"/>
        </w:rPr>
        <w:t>投标人认为招标文件、招标过程、中标结果使自己的权益受到损害的，可以在知道或者应知其权益受到损害之日起7个工作日内，以书面形式向采购人、采购代理机构提出质疑。投标人应在法定质疑期内一次性提出针对同一招标程序环节的质疑，否则采购人及采购代理机构有权拒绝回复投标人对同一招标程序环节提出的新增质疑。</w:t>
      </w:r>
    </w:p>
    <w:p>
      <w:pPr>
        <w:pStyle w:val="41"/>
      </w:pPr>
      <w:r>
        <w:rPr>
          <w:rFonts w:hint="eastAsia"/>
        </w:rPr>
        <w:t>提出质疑的投标人应当是参与所质疑项目相关包件招标活动的投标人。潜在投标人已依法获取其可质疑的招标文件的，可以对该文件提出质疑。</w:t>
      </w:r>
    </w:p>
    <w:p>
      <w:pPr>
        <w:pStyle w:val="41"/>
      </w:pPr>
      <w:bookmarkStart w:id="119" w:name="_Ref506132523"/>
      <w:r>
        <w:rPr>
          <w:rFonts w:hint="eastAsia"/>
        </w:rPr>
        <w:t>应当提交书面质疑函和必要的证明材料，</w:t>
      </w:r>
      <w:bookmarkEnd w:id="119"/>
      <w:bookmarkStart w:id="120" w:name="_Ref506126714"/>
      <w:r>
        <w:rPr>
          <w:rFonts w:hint="eastAsia"/>
        </w:rPr>
        <w:t>质疑函应当包括下列内容：</w:t>
      </w:r>
      <w:bookmarkEnd w:id="120"/>
    </w:p>
    <w:p>
      <w:pPr>
        <w:ind w:left="1680" w:hanging="1001"/>
      </w:pPr>
      <w:r>
        <w:rPr>
          <w:rFonts w:hint="eastAsia"/>
        </w:rPr>
        <w:t>（1）</w:t>
      </w:r>
      <w:r>
        <w:rPr>
          <w:rFonts w:hint="eastAsia"/>
        </w:rPr>
        <w:tab/>
      </w:r>
      <w:r>
        <w:rPr>
          <w:rFonts w:hint="eastAsia"/>
        </w:rPr>
        <w:t>供应商的名称、地址、邮编、电子邮箱、联系人及联系电话；</w:t>
      </w:r>
    </w:p>
    <w:p>
      <w:pPr>
        <w:ind w:left="1680" w:hanging="1001"/>
      </w:pPr>
      <w:r>
        <w:rPr>
          <w:rFonts w:hint="eastAsia"/>
        </w:rPr>
        <w:t>（2）</w:t>
      </w:r>
      <w:r>
        <w:rPr>
          <w:rFonts w:hint="eastAsia"/>
        </w:rPr>
        <w:tab/>
      </w:r>
      <w:r>
        <w:rPr>
          <w:rFonts w:hint="eastAsia"/>
        </w:rPr>
        <w:t>质疑项目的名称、编号、包件号、包件名称；</w:t>
      </w:r>
    </w:p>
    <w:p>
      <w:pPr>
        <w:ind w:left="1680" w:hanging="1001"/>
      </w:pPr>
      <w:r>
        <w:rPr>
          <w:rFonts w:hint="eastAsia"/>
        </w:rPr>
        <w:t>（3）</w:t>
      </w:r>
      <w:r>
        <w:rPr>
          <w:rFonts w:hint="eastAsia"/>
        </w:rPr>
        <w:tab/>
      </w:r>
      <w:r>
        <w:rPr>
          <w:rFonts w:hint="eastAsia"/>
        </w:rPr>
        <w:t>具体、明确的质疑事项和与质疑事项相关的请求；</w:t>
      </w:r>
    </w:p>
    <w:p>
      <w:pPr>
        <w:ind w:left="1680" w:hanging="1001"/>
      </w:pPr>
      <w:r>
        <w:rPr>
          <w:rFonts w:hint="eastAsia"/>
        </w:rPr>
        <w:t>（4）</w:t>
      </w:r>
      <w:r>
        <w:rPr>
          <w:rFonts w:hint="eastAsia"/>
        </w:rPr>
        <w:tab/>
      </w:r>
      <w:r>
        <w:rPr>
          <w:rFonts w:hint="eastAsia"/>
        </w:rPr>
        <w:t>事实依据；</w:t>
      </w:r>
    </w:p>
    <w:p>
      <w:pPr>
        <w:ind w:left="1680" w:hanging="1001"/>
      </w:pPr>
      <w:r>
        <w:rPr>
          <w:rFonts w:hint="eastAsia"/>
        </w:rPr>
        <w:t>（5）</w:t>
      </w:r>
      <w:r>
        <w:rPr>
          <w:rFonts w:hint="eastAsia"/>
        </w:rPr>
        <w:tab/>
      </w:r>
      <w:r>
        <w:rPr>
          <w:rFonts w:hint="eastAsia"/>
        </w:rPr>
        <w:t>必要的法律依据；</w:t>
      </w:r>
    </w:p>
    <w:p>
      <w:pPr>
        <w:ind w:left="1680" w:hanging="1001"/>
      </w:pPr>
      <w:r>
        <w:rPr>
          <w:rFonts w:hint="eastAsia"/>
        </w:rPr>
        <w:t>（6）</w:t>
      </w:r>
      <w:r>
        <w:rPr>
          <w:rFonts w:hint="eastAsia"/>
        </w:rPr>
        <w:tab/>
      </w:r>
      <w:r>
        <w:rPr>
          <w:rFonts w:hint="eastAsia"/>
        </w:rPr>
        <w:t>提出质疑的日期。</w:t>
      </w:r>
    </w:p>
    <w:p>
      <w:pPr>
        <w:pStyle w:val="41"/>
        <w:numPr>
          <w:ilvl w:val="0"/>
          <w:numId w:val="0"/>
        </w:numPr>
        <w:ind w:left="680"/>
      </w:pPr>
      <w:r>
        <w:rPr>
          <w:rFonts w:hint="eastAsia"/>
        </w:rPr>
        <w:t>质疑函应当使用中文。质疑函应采用财政部在中国政府采购网公布的范本。</w:t>
      </w:r>
    </w:p>
    <w:p>
      <w:pPr>
        <w:pStyle w:val="41"/>
        <w:numPr>
          <w:ilvl w:val="0"/>
          <w:numId w:val="0"/>
        </w:numPr>
        <w:ind w:left="680"/>
      </w:pPr>
      <w:r>
        <w:rPr>
          <w:rFonts w:hint="eastAsia"/>
        </w:rPr>
        <w:t>供应商为法人或者其他组织的，质疑函应当由法定代表人、主要负责人，或者其被授权人签字或者盖章，并加盖公章。供应商可以委托代理人进行质疑。其授权委托书应当载明代理人的姓名或者名称、代理事项、具体权限、期限和相关事项。供应商为法人或者其他组织的，授权委托书应当由法定代表人、主要负责人签字或者盖章，并加盖公章。代理人提出质疑，应当提交供应商签署的授权委托书。</w:t>
      </w:r>
    </w:p>
    <w:p>
      <w:pPr>
        <w:pStyle w:val="41"/>
      </w:pPr>
      <w:bookmarkStart w:id="121" w:name="_Ref506126140"/>
      <w:r>
        <w:rPr>
          <w:rFonts w:hint="eastAsia"/>
        </w:rPr>
        <w:t>接收质疑函的方式、联系部门、联系电话和通讯地址等信息详见</w:t>
      </w:r>
      <w:r>
        <w:rPr>
          <w:rStyle w:val="69"/>
          <w:rFonts w:hint="eastAsia"/>
        </w:rPr>
        <w:t>《投标人须知前附表》第</w:t>
      </w:r>
      <w:r>
        <w:rPr>
          <w:rStyle w:val="69"/>
        </w:rPr>
        <w:fldChar w:fldCharType="begin"/>
      </w:r>
      <w:r>
        <w:rPr>
          <w:rStyle w:val="69"/>
        </w:rPr>
        <w:instrText xml:space="preserve"> </w:instrText>
      </w:r>
      <w:r>
        <w:rPr>
          <w:rStyle w:val="69"/>
          <w:rFonts w:hint="eastAsia"/>
        </w:rPr>
        <w:instrText xml:space="preserve">REF _Ref51684565 \r \h</w:instrText>
      </w:r>
      <w:r>
        <w:rPr>
          <w:rStyle w:val="69"/>
        </w:rPr>
        <w:instrText xml:space="preserve"> </w:instrText>
      </w:r>
      <w:r>
        <w:rPr>
          <w:rStyle w:val="69"/>
        </w:rPr>
        <w:fldChar w:fldCharType="separate"/>
      </w:r>
      <w:r>
        <w:rPr>
          <w:rStyle w:val="69"/>
        </w:rPr>
        <w:t>25</w:t>
      </w:r>
      <w:r>
        <w:rPr>
          <w:rStyle w:val="69"/>
        </w:rPr>
        <w:fldChar w:fldCharType="end"/>
      </w:r>
      <w:r>
        <w:rPr>
          <w:rStyle w:val="69"/>
          <w:rFonts w:hint="eastAsia"/>
        </w:rPr>
        <w:t>条</w:t>
      </w:r>
      <w:r>
        <w:rPr>
          <w:rFonts w:hint="eastAsia"/>
        </w:rPr>
        <w:t>。</w:t>
      </w:r>
      <w:bookmarkEnd w:id="121"/>
      <w:r>
        <w:rPr>
          <w:rFonts w:hint="eastAsia"/>
        </w:rPr>
        <w:t>供应商提出的质疑超出采购人对采购代理机构委托授权范围的，采购代理机构将告知供应商向采购人提出。</w:t>
      </w:r>
    </w:p>
    <w:p>
      <w:pPr>
        <w:pStyle w:val="41"/>
      </w:pPr>
      <w:r>
        <w:rPr>
          <w:rFonts w:hint="eastAsia"/>
        </w:rPr>
        <w:t>对于依法并按招标文件要求提出的供应商质疑，将在收到质疑函之日起（以送达日期开始计算）七个工作日内作出答复，并以书面形式通知质疑投标人和其他有关投标人。</w:t>
      </w:r>
    </w:p>
    <w:p>
      <w:pPr>
        <w:pStyle w:val="40"/>
      </w:pPr>
      <w:r>
        <w:rPr>
          <w:rFonts w:hint="eastAsia"/>
        </w:rPr>
        <w:t>投标人的商业秘密</w:t>
      </w:r>
    </w:p>
    <w:p>
      <w:pPr>
        <w:pStyle w:val="41"/>
      </w:pPr>
      <w:r>
        <w:rPr>
          <w:rFonts w:hint="eastAsia"/>
        </w:rPr>
        <w:t>投标人应在投标文件中将属于其商业秘密的内容进行明确标注，采购人、采购代理机构及其有关人员和评标委员会将对投标人的商业秘密进行保密。</w:t>
      </w:r>
    </w:p>
    <w:p>
      <w:pPr>
        <w:pStyle w:val="41"/>
      </w:pPr>
      <w:r>
        <w:rPr>
          <w:rFonts w:hint="eastAsia"/>
        </w:rPr>
        <w:t>投标标的名称、规格型号、单价及合同金额等内容不得作为商业秘密。投标人也不得以商业秘密为由拒绝提供招标文件要求提供的材料或内容。</w:t>
      </w:r>
    </w:p>
    <w:p>
      <w:pPr>
        <w:pStyle w:val="40"/>
      </w:pPr>
      <w:r>
        <w:rPr>
          <w:rFonts w:hint="eastAsia"/>
        </w:rPr>
        <w:t>货物和服务的质量</w:t>
      </w:r>
    </w:p>
    <w:p>
      <w:pPr>
        <w:pStyle w:val="41"/>
      </w:pPr>
      <w:r>
        <w:rPr>
          <w:rFonts w:hint="eastAsia"/>
        </w:rPr>
        <w:t>中华人民共和国法律法规如对供应商提供的货物和服务的技术标准、质量标准和资格资质条件等有强制性规定和其他行政许可，供应商提供的货物和服务须符合其要求。</w:t>
      </w:r>
    </w:p>
    <w:p>
      <w:pPr>
        <w:pStyle w:val="41"/>
      </w:pPr>
      <w:r>
        <w:rPr>
          <w:rFonts w:hint="eastAsia"/>
        </w:rPr>
        <w:t>供应商应保证在本项目使用的任何产品和服务（包括部分使用），不会产生因第三方提出侵犯其所有权和专利权、商标权或其它知识产权而引起的法律和经济纠纷，如因所有权或知识产权瑕疵而引起法律和经济纠纷，由供应商承担所有相关责任。</w:t>
      </w:r>
    </w:p>
    <w:p>
      <w:pPr>
        <w:pStyle w:val="40"/>
      </w:pPr>
      <w:r>
        <w:rPr>
          <w:rFonts w:hint="eastAsia"/>
        </w:rPr>
        <w:t>保密条款</w:t>
      </w:r>
    </w:p>
    <w:p>
      <w:pPr>
        <w:pStyle w:val="41"/>
      </w:pPr>
      <w:r>
        <w:rPr>
          <w:rFonts w:hint="eastAsia"/>
        </w:rPr>
        <w:t>除了投标人为投标所雇人员外，在未经采购人书面同意的情况下，投标人不得将本项目、与项目中相关的任何内容、资料（包括纸质和电子介质资料，下同）透露给任何人。否则，投标人必须承担因此给采购人造成的一切经济损失，采购人保留追究其法律责任的权利。投标人须在对外保密的前提下，对其从事本项目投标的雇用人员提供有关情况，所提供的情况仅限于执行投标必不可少的范围内。</w:t>
      </w:r>
    </w:p>
    <w:p>
      <w:pPr>
        <w:pStyle w:val="41"/>
      </w:pPr>
      <w:r>
        <w:rPr>
          <w:rFonts w:hint="eastAsia"/>
        </w:rPr>
        <w:t>除非执行合同需要，在事先未得到采购人书面同意的情况下，投标人不得使用本招标书中所提供的任何文件和资料。</w:t>
      </w:r>
    </w:p>
    <w:p>
      <w:pPr>
        <w:pStyle w:val="41"/>
      </w:pPr>
      <w:r>
        <w:rPr>
          <w:rFonts w:hint="eastAsia"/>
        </w:rPr>
        <w:t>采购人对投标人提交的文件将给予保密，但无论中标与否，投标人的投标文件不予退还。</w:t>
      </w:r>
    </w:p>
    <w:p/>
    <w:p>
      <w:pPr>
        <w:widowControl/>
        <w:adjustRightInd/>
        <w:snapToGrid/>
        <w:spacing w:before="624" w:line="240" w:lineRule="auto"/>
        <w:ind w:firstLine="480"/>
        <w:jc w:val="left"/>
      </w:pPr>
      <w:r>
        <w:br w:type="page"/>
      </w:r>
    </w:p>
    <w:p>
      <w:pPr>
        <w:pStyle w:val="3"/>
      </w:pPr>
      <w:bookmarkStart w:id="122" w:name="_Ref469992889"/>
      <w:bookmarkStart w:id="123" w:name="_Toc2903"/>
      <w:r>
        <w:rPr>
          <w:rFonts w:hint="eastAsia"/>
        </w:rPr>
        <w:t xml:space="preserve">第三章  </w:t>
      </w:r>
      <w:bookmarkEnd w:id="122"/>
      <w:r>
        <w:rPr>
          <w:rFonts w:hint="eastAsia"/>
        </w:rPr>
        <w:t>评标方法和评标标准</w:t>
      </w:r>
      <w:bookmarkEnd w:id="123"/>
    </w:p>
    <w:p>
      <w:pPr>
        <w:pStyle w:val="4"/>
      </w:pPr>
      <w:bookmarkStart w:id="124" w:name="_Toc16431"/>
      <w:r>
        <w:rPr>
          <w:rFonts w:hint="eastAsia"/>
        </w:rPr>
        <w:t>一、评标方法</w:t>
      </w:r>
      <w:bookmarkEnd w:id="124"/>
    </w:p>
    <w:p>
      <w:pPr>
        <w:pStyle w:val="45"/>
        <w:ind w:firstLine="480"/>
        <w:rPr>
          <w:color w:val="auto"/>
        </w:rPr>
      </w:pPr>
      <w:r>
        <w:rPr>
          <w:rFonts w:hint="eastAsia"/>
          <w:color w:val="auto"/>
        </w:rPr>
        <w:t>本次评标采用综合评分法，是指在最大限度地满足招标文件实质性要求前提下，按照招标文件中规定的各项因素进行综合评审后，以综合得分由高到低的顺序确定中标候选人的评标方法。</w:t>
      </w:r>
    </w:p>
    <w:p>
      <w:pPr>
        <w:pStyle w:val="45"/>
        <w:ind w:firstLine="480"/>
        <w:rPr>
          <w:color w:val="auto"/>
        </w:rPr>
      </w:pPr>
      <w:r>
        <w:rPr>
          <w:rFonts w:hint="eastAsia"/>
          <w:color w:val="auto"/>
        </w:rPr>
        <w:t>每一投标人的综合得分为所有评标委员会成员给其评分的算术平均值。各项评分均保留两位小数。</w:t>
      </w:r>
    </w:p>
    <w:p>
      <w:pPr>
        <w:pStyle w:val="4"/>
      </w:pPr>
      <w:bookmarkStart w:id="125" w:name="_Toc13963"/>
      <w:r>
        <w:rPr>
          <w:rFonts w:hint="eastAsia"/>
        </w:rPr>
        <w:t>二、评标中的落实政府采购政策具体办法</w:t>
      </w:r>
      <w:bookmarkEnd w:id="125"/>
    </w:p>
    <w:p>
      <w:pPr>
        <w:pStyle w:val="5"/>
      </w:pPr>
      <w:bookmarkStart w:id="126" w:name="_Toc17464"/>
      <w:r>
        <w:rPr>
          <w:rFonts w:hint="eastAsia"/>
        </w:rPr>
        <w:t>1、促进中小企业、残疾人福利性单位、监狱企业政策落实</w:t>
      </w:r>
      <w:bookmarkEnd w:id="126"/>
    </w:p>
    <w:p>
      <w:pPr>
        <w:ind w:left="836" w:hanging="836"/>
      </w:pPr>
      <w:r>
        <w:rPr>
          <w:rFonts w:hint="eastAsia"/>
        </w:rPr>
        <w:t>（1）</w:t>
      </w:r>
      <w:r>
        <w:rPr>
          <w:rFonts w:hint="eastAsia"/>
        </w:rPr>
        <w:tab/>
      </w:r>
      <w:r>
        <w:rPr>
          <w:rFonts w:hint="eastAsia"/>
        </w:rPr>
        <w:t>《政府采购促进中小企业发展管理办法》（财库[</w:t>
      </w:r>
      <w:r>
        <w:t>2020</w:t>
      </w:r>
      <w:r>
        <w:rPr>
          <w:rFonts w:hint="eastAsia"/>
        </w:rPr>
        <w:t>]</w:t>
      </w:r>
      <w:r>
        <w:t>46</w:t>
      </w:r>
      <w:r>
        <w:rPr>
          <w:rFonts w:hint="eastAsia"/>
        </w:rPr>
        <w:t>号，以下简称“发展管理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pPr>
        <w:ind w:left="836" w:hanging="836"/>
      </w:pPr>
      <w:r>
        <w:rPr>
          <w:rFonts w:hint="eastAsia"/>
        </w:rPr>
        <w:t>（2）</w:t>
      </w:r>
      <w:r>
        <w:tab/>
      </w:r>
      <w:r>
        <w:rPr>
          <w:rFonts w:hint="eastAsia"/>
        </w:rPr>
        <w:t>在政府采购活动中，供应商提供的货物或者服务符合下列情形的，享受发展管理办法规定的中小企业扶持政策：</w:t>
      </w:r>
      <w:r>
        <w:br w:type="textWrapping"/>
      </w:r>
      <w:r>
        <w:rPr>
          <w:rFonts w:hint="eastAsia"/>
        </w:rPr>
        <w:t>（一）在货物采购项目中，货物由中小企业制造，即货物由中小企业生产且使用该中小企业商号或者注册商标；</w:t>
      </w:r>
      <w:r>
        <w:br w:type="textWrapping"/>
      </w:r>
      <w:r>
        <w:rPr>
          <w:rFonts w:hint="eastAsia"/>
        </w:rPr>
        <w:t>（二）在服务采购项目中，服务由中小企业承接，即提供服务的人员为中小企业依照《中华人民共和国劳动合同法》订立劳动合同的从业人员。</w:t>
      </w:r>
      <w:r>
        <w:br w:type="textWrapping"/>
      </w:r>
      <w:r>
        <w:rPr>
          <w:rFonts w:hint="eastAsia"/>
        </w:rPr>
        <w:t>在货物采购项目中，供应商提供的货物既有中小企业制造货物，也有大型企业制造货物的，</w:t>
      </w:r>
      <w:r>
        <w:rPr>
          <w:rFonts w:hint="eastAsia"/>
          <w:b/>
          <w:bCs/>
        </w:rPr>
        <w:t>不享受</w:t>
      </w:r>
      <w:r>
        <w:rPr>
          <w:rFonts w:hint="eastAsia"/>
        </w:rPr>
        <w:t>发展管理办法规定的中小企业扶持政策。</w:t>
      </w:r>
      <w:r>
        <w:br w:type="textWrapping"/>
      </w:r>
      <w:r>
        <w:rPr>
          <w:rFonts w:hint="eastAsia"/>
        </w:rPr>
        <w:t>以联合体形式参加政府采购活动，联合体各成员均为中小企业的，联合体视同中小企业。其中，联合体各成员均为小微企业的，联合体视同小微企业。</w:t>
      </w:r>
    </w:p>
    <w:p>
      <w:pPr>
        <w:ind w:left="836" w:hanging="836"/>
      </w:pPr>
      <w:r>
        <w:rPr>
          <w:rFonts w:hint="eastAsia"/>
        </w:rPr>
        <w:t>（3）</w:t>
      </w:r>
      <w:r>
        <w:tab/>
      </w:r>
      <w:r>
        <w:rPr>
          <w:rFonts w:hint="eastAsia"/>
        </w:rPr>
        <w:t>根据发展管理办法第十二条要求，</w:t>
      </w:r>
      <w:r>
        <w:t xml:space="preserve"> </w:t>
      </w:r>
      <w:r>
        <w:br w:type="textWrapping"/>
      </w:r>
      <w:r>
        <w:rPr>
          <w:rFonts w:hint="eastAsia"/>
        </w:rPr>
        <w:t>对招标文件第一章第二条</w:t>
      </w:r>
      <w:r>
        <w:rPr>
          <w:rFonts w:hint="eastAsia"/>
          <w:color w:val="auto"/>
        </w:rPr>
        <w:t>第2项“落实政府采购政策需满足的资格要求”为“无”的项目/包件，对符合发展管理办法规定的小微企业报价给予10%的扣除，用扣除后的投标报价参与评审。</w:t>
      </w:r>
      <w:r>
        <w:rPr>
          <w:color w:val="auto"/>
        </w:rPr>
        <w:br w:type="textWrapping"/>
      </w:r>
      <w:r>
        <w:rPr>
          <w:rFonts w:hint="eastAsia"/>
          <w:color w:val="auto"/>
        </w:rPr>
        <w:t>对大中型企业与小微企业组成联合体的项目/包件或者大中型企业向一家或者多家小微企业分包的项目/包件，联合体其中一名成员提供的全部货物为小微企业制造或全部服务由小微企业承接，且联合协议约定小微企业的合同份额占到合同总金额30%以上的；接受分包的一方提供的全部货物为小微企业制造或全部服务由小微企业承接，且分包意向协议约定小微企业的合同份额占到合同总金额30%以上的，对投标报价给予4%的扣除，用扣除后的价格参加评审。组成联合体或者接受分包的小微企业与联合体内其他企业、分包企业</w:t>
      </w:r>
      <w:r>
        <w:rPr>
          <w:rFonts w:hint="eastAsia"/>
        </w:rPr>
        <w:t>之间存在直接控股、管理关系的，不享受价格扣除优惠政策。</w:t>
      </w:r>
      <w:r>
        <w:rPr>
          <w:rFonts w:hint="eastAsia"/>
          <w:color w:val="333333"/>
        </w:rPr>
        <w:t>如果小微供应商提供的货物既有中型企业制造货物，也有小微企业制造货物的，不享受价格扣除相关政策。</w:t>
      </w:r>
      <w:r>
        <w:br w:type="textWrapping"/>
      </w:r>
      <w:r>
        <w:rPr>
          <w:rFonts w:hint="eastAsia"/>
        </w:rPr>
        <w:t>价格扣除比例对小型企业和微型企业同等对待，不作区分。</w:t>
      </w:r>
    </w:p>
    <w:p>
      <w:pPr>
        <w:ind w:left="836" w:hanging="836"/>
      </w:pPr>
      <w:r>
        <w:rPr>
          <w:rFonts w:hint="eastAsia"/>
        </w:rPr>
        <w:t>（4）</w:t>
      </w:r>
      <w:r>
        <w:tab/>
      </w:r>
      <w:r>
        <w:rPr>
          <w:rFonts w:hint="eastAsia"/>
        </w:rPr>
        <w:t>中小企业参加政府采购活动，应当出具《中小企业声明函》，否则不得享受相关中小企业扶持政策，《中小企业声明函》</w:t>
      </w:r>
      <w:r>
        <w:rPr>
          <w:rFonts w:hint="eastAsia"/>
          <w:b/>
          <w:bCs/>
        </w:rPr>
        <w:t>格式见第六章投标文件格式附件</w:t>
      </w:r>
      <w:r>
        <w:rPr>
          <w:b/>
          <w:bCs/>
        </w:rPr>
        <w:t>10</w:t>
      </w:r>
      <w:r>
        <w:rPr>
          <w:rFonts w:hint="eastAsia"/>
          <w:b/>
          <w:bCs/>
        </w:rPr>
        <w:t>-</w:t>
      </w:r>
      <w:r>
        <w:rPr>
          <w:b/>
          <w:bCs/>
        </w:rPr>
        <w:t>1</w:t>
      </w:r>
      <w:r>
        <w:rPr>
          <w:rFonts w:hint="eastAsia"/>
          <w:b/>
          <w:bCs/>
        </w:rPr>
        <w:t>。</w:t>
      </w:r>
    </w:p>
    <w:p>
      <w:pPr>
        <w:ind w:left="836" w:hanging="836"/>
      </w:pPr>
      <w:r>
        <w:rPr>
          <w:rFonts w:hint="eastAsia"/>
        </w:rPr>
        <w:t>（5）</w:t>
      </w:r>
      <w:r>
        <w:rPr>
          <w:rFonts w:hint="eastAsia"/>
        </w:rPr>
        <w:tab/>
      </w:r>
      <w:r>
        <w:rPr>
          <w:rFonts w:hint="eastAsia"/>
        </w:rPr>
        <w:t>根据《关于政府采购支持监狱企业发展有关问题的通知》（财库[2014]68号）的要求，监狱和戒毒企业（以下简称监狱企业）参加政府采购活动时，应当提供由省级以上监狱管理局、戒毒管理局（含新疆生产建设兵团）出具的属于监狱企业的证明文件。监狱企业视同小型、微型企业，享受招标文件规定的评审中价格扣除等促进中小企业发展的政府采购政策。</w:t>
      </w:r>
      <w:r>
        <w:br w:type="textWrapping"/>
      </w:r>
      <w:r>
        <w:rPr>
          <w:rFonts w:hint="eastAsia"/>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ind w:left="836" w:hanging="836"/>
      </w:pPr>
      <w:r>
        <w:rPr>
          <w:rFonts w:hint="eastAsia"/>
        </w:rPr>
        <w:t>（</w:t>
      </w:r>
      <w:r>
        <w:t>6</w:t>
      </w:r>
      <w:r>
        <w:rPr>
          <w:rFonts w:hint="eastAsia"/>
        </w:rPr>
        <w:t>）</w:t>
      </w:r>
      <w:r>
        <w:rPr>
          <w:rFonts w:hint="eastAsia"/>
        </w:rPr>
        <w:tab/>
      </w:r>
      <w:r>
        <w:rPr>
          <w:rFonts w:hint="eastAsia"/>
        </w:rPr>
        <w:t>根据《关于促进残疾人就业政府采购政策的通知》（财库〔2017〕141号）规定，投标人如符合该规定享受政府采购支持政策的</w:t>
      </w:r>
      <w:r>
        <w:rPr>
          <w:rFonts w:hint="eastAsia"/>
          <w:b/>
          <w:bCs/>
        </w:rPr>
        <w:t>残疾人福利性单位</w:t>
      </w:r>
      <w:r>
        <w:rPr>
          <w:rFonts w:hint="eastAsia"/>
        </w:rPr>
        <w:t>的条件，应提供《残疾人福利性单位声明函》，</w:t>
      </w:r>
      <w:r>
        <w:rPr>
          <w:rFonts w:hint="eastAsia"/>
          <w:b/>
          <w:bCs/>
        </w:rPr>
        <w:t>格式见第六章投标文件格式附件</w:t>
      </w:r>
      <w:r>
        <w:rPr>
          <w:b/>
          <w:bCs/>
        </w:rPr>
        <w:t>10</w:t>
      </w:r>
      <w:r>
        <w:rPr>
          <w:rFonts w:hint="eastAsia"/>
          <w:b/>
          <w:bCs/>
        </w:rPr>
        <w:t>-</w:t>
      </w:r>
      <w:r>
        <w:rPr>
          <w:b/>
          <w:bCs/>
        </w:rPr>
        <w:t>2</w:t>
      </w:r>
      <w:r>
        <w:rPr>
          <w:rFonts w:hint="eastAsia"/>
        </w:rPr>
        <w:t>。残疾人福利性单位视同小型、微型企业，享受招标文件规定的评审中价格扣除等促进中小企业发展的政府采购政策。残疾人福利性单位属于小型、微型企业的，不重复享受政策。</w:t>
      </w:r>
      <w:r>
        <w:br w:type="textWrapping"/>
      </w:r>
      <w:r>
        <w:rPr>
          <w:rFonts w:hint="eastAsia"/>
        </w:rPr>
        <w:t>享受政府采购支持政策的残疾人福利性单位应当同时满足以下条件：</w:t>
      </w:r>
      <w:r>
        <w:br w:type="textWrapping"/>
      </w:r>
      <w:r>
        <w:rPr>
          <w:rFonts w:hint="eastAsia"/>
        </w:rPr>
        <w:t>（一）安置的残疾人占本单位在职职工人数的比例不低于25%（含25%），并且安置的残疾人人数不少于10人（含10人）；</w:t>
      </w:r>
      <w:r>
        <w:br w:type="textWrapping"/>
      </w:r>
      <w:r>
        <w:rPr>
          <w:rFonts w:hint="eastAsia"/>
        </w:rPr>
        <w:t>（二）依法与安置的每位残疾人签订了一年以上（含一年）的劳动合同或服务协议；</w:t>
      </w:r>
      <w:r>
        <w:br w:type="textWrapping"/>
      </w:r>
      <w:r>
        <w:rPr>
          <w:rFonts w:hint="eastAsia"/>
        </w:rPr>
        <w:t>（三）为安置的每位残疾人按月足额缴纳了基本养老保险、基本医疗保险、失业保险、工伤保险和生育保险等社会保险费；</w:t>
      </w:r>
      <w:r>
        <w:br w:type="textWrapping"/>
      </w:r>
      <w:r>
        <w:rPr>
          <w:rFonts w:hint="eastAsia"/>
        </w:rPr>
        <w:t>（四）通过银行等金融机构向安置的每位残疾人，按月支付了不低于单位所在区县适用的经省级人民政府批准的月最低工资标准的工资；</w:t>
      </w:r>
      <w:r>
        <w:br w:type="textWrapping"/>
      </w:r>
      <w:r>
        <w:rPr>
          <w:rFonts w:hint="eastAsia"/>
        </w:rPr>
        <w:t>（五）提供本单位制造的货物、承担的工程或者服务（以下简称产品），或者提供其他残疾人福利性单位制造的货物（不包括使用非残疾人福利性单位注册商标的货物）。</w:t>
      </w:r>
      <w:r>
        <w:br w:type="textWrapping"/>
      </w:r>
      <w:r>
        <w:rPr>
          <w:rFonts w:hint="eastAsia"/>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ind w:left="836" w:hanging="836"/>
        <w:rPr>
          <w:color w:val="FF0000"/>
        </w:rPr>
      </w:pPr>
      <w:r>
        <w:rPr>
          <w:rFonts w:hint="eastAsia"/>
        </w:rPr>
        <w:t>（</w:t>
      </w:r>
      <w:r>
        <w:t>7</w:t>
      </w:r>
      <w:r>
        <w:rPr>
          <w:rFonts w:hint="eastAsia"/>
        </w:rPr>
        <w:t>）</w:t>
      </w:r>
      <w:r>
        <w:tab/>
      </w:r>
      <w:r>
        <w:rPr>
          <w:rFonts w:hint="eastAsia"/>
        </w:rPr>
        <w:t>联合体投标或投标人拟采取分包方式履行合同，且投标报价中有中小企业报价的，需填报《分项报价表</w:t>
      </w:r>
      <w:r>
        <w:rPr>
          <w:rFonts w:hint="eastAsia" w:hAnsiTheme="minorEastAsia"/>
        </w:rPr>
        <w:t>Ⅱ</w:t>
      </w:r>
      <w:r>
        <w:rPr>
          <w:rFonts w:hint="eastAsia"/>
        </w:rPr>
        <w:t>（仅针对中小企业）》。</w:t>
      </w:r>
    </w:p>
    <w:p>
      <w:pPr>
        <w:pStyle w:val="5"/>
      </w:pPr>
      <w:bookmarkStart w:id="127" w:name="_Toc31392"/>
      <w:r>
        <w:rPr>
          <w:rFonts w:hint="eastAsia"/>
        </w:rPr>
        <w:t>2、鼓励节能、环保政策落实</w:t>
      </w:r>
      <w:bookmarkEnd w:id="127"/>
    </w:p>
    <w:p>
      <w:pPr>
        <w:ind w:left="836" w:hanging="836"/>
        <w:rPr>
          <w:rFonts w:hAnsiTheme="minorEastAsia"/>
          <w:color w:val="0070C0"/>
        </w:rPr>
      </w:pPr>
      <w:r>
        <w:rPr>
          <w:rFonts w:hint="eastAsia" w:hAnsiTheme="minorEastAsia"/>
        </w:rPr>
        <w:t>（</w:t>
      </w:r>
      <w:r>
        <w:rPr>
          <w:rFonts w:hAnsiTheme="minorEastAsia"/>
        </w:rPr>
        <w:t>1</w:t>
      </w:r>
      <w:r>
        <w:rPr>
          <w:rFonts w:hint="eastAsia" w:hAnsiTheme="minorEastAsia"/>
        </w:rPr>
        <w:t>）</w:t>
      </w:r>
      <w:r>
        <w:rPr>
          <w:rFonts w:hint="eastAsia" w:hAnsiTheme="minorEastAsia"/>
        </w:rPr>
        <w:tab/>
      </w:r>
      <w:r>
        <w:rPr>
          <w:rFonts w:hint="eastAsia" w:hAnsiTheme="minorEastAsia"/>
        </w:rPr>
        <w:t>鼓励节能政策：在性能、技术、服务等指标同等条件下，优先采购</w:t>
      </w:r>
      <w:r>
        <w:rPr>
          <w:rFonts w:hint="eastAsia"/>
        </w:rPr>
        <w:t>国家确定的</w:t>
      </w:r>
      <w:r>
        <w:rPr>
          <w:rFonts w:hint="eastAsia" w:hAnsiTheme="minorEastAsia"/>
        </w:rPr>
        <w:t>认证机构出具的、处于有效期之内的节能产品认证证书标志产品。</w:t>
      </w:r>
    </w:p>
    <w:p>
      <w:pPr>
        <w:ind w:left="836" w:hanging="836"/>
        <w:rPr>
          <w:rFonts w:hAnsiTheme="minorEastAsia"/>
          <w:color w:val="0070C0"/>
        </w:rPr>
      </w:pPr>
      <w:r>
        <w:rPr>
          <w:rFonts w:hint="eastAsia" w:hAnsiTheme="minorEastAsia"/>
        </w:rPr>
        <w:t>（</w:t>
      </w:r>
      <w:r>
        <w:rPr>
          <w:rFonts w:hAnsiTheme="minorEastAsia"/>
        </w:rPr>
        <w:t>2</w:t>
      </w:r>
      <w:r>
        <w:rPr>
          <w:rFonts w:hint="eastAsia" w:hAnsiTheme="minorEastAsia"/>
        </w:rPr>
        <w:t>）</w:t>
      </w:r>
      <w:r>
        <w:rPr>
          <w:rFonts w:hint="eastAsia" w:hAnsiTheme="minorEastAsia"/>
        </w:rPr>
        <w:tab/>
      </w:r>
      <w:r>
        <w:rPr>
          <w:rFonts w:hint="eastAsia" w:hAnsiTheme="minorEastAsia"/>
        </w:rPr>
        <w:tab/>
      </w:r>
      <w:r>
        <w:rPr>
          <w:rFonts w:hint="eastAsia" w:hAnsiTheme="minorEastAsia"/>
        </w:rPr>
        <w:t>鼓励环保政策：在性能、技术、服务等指标同等条件下，优先采购</w:t>
      </w:r>
      <w:r>
        <w:rPr>
          <w:rFonts w:hint="eastAsia"/>
        </w:rPr>
        <w:t>国家确定的</w:t>
      </w:r>
      <w:r>
        <w:rPr>
          <w:rFonts w:hint="eastAsia" w:hAnsiTheme="minorEastAsia"/>
        </w:rPr>
        <w:t>认证机构出具的、处于有效期之内的环境标志产品认证证书标志产品。</w:t>
      </w:r>
    </w:p>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4"/>
      </w:pPr>
      <w:bookmarkStart w:id="128" w:name="_Toc25614"/>
      <w:r>
        <w:rPr>
          <w:rFonts w:hint="eastAsia"/>
        </w:rPr>
        <w:t>三、评标标准</w:t>
      </w:r>
      <w:bookmarkEnd w:id="128"/>
    </w:p>
    <w:tbl>
      <w:tblPr>
        <w:tblStyle w:val="19"/>
        <w:tblW w:w="888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37"/>
        <w:gridCol w:w="750"/>
        <w:gridCol w:w="1673"/>
        <w:gridCol w:w="572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1" w:hRule="atLeast"/>
        </w:trPr>
        <w:tc>
          <w:tcPr>
            <w:tcW w:w="737" w:type="dxa"/>
            <w:vAlign w:val="center"/>
          </w:tcPr>
          <w:p>
            <w:pPr>
              <w:widowControl/>
              <w:jc w:val="center"/>
              <w:rPr>
                <w:rFonts w:ascii="宋体" w:hAnsi="宋体"/>
              </w:rPr>
            </w:pPr>
            <w:r>
              <w:rPr>
                <w:rFonts w:hint="eastAsia" w:ascii="宋体" w:hAnsi="宋体"/>
              </w:rPr>
              <w:t>序号</w:t>
            </w:r>
          </w:p>
        </w:tc>
        <w:tc>
          <w:tcPr>
            <w:tcW w:w="750" w:type="dxa"/>
            <w:vAlign w:val="center"/>
          </w:tcPr>
          <w:p>
            <w:pPr>
              <w:widowControl/>
              <w:jc w:val="center"/>
              <w:rPr>
                <w:rFonts w:ascii="宋体" w:hAnsi="宋体"/>
              </w:rPr>
            </w:pPr>
            <w:r>
              <w:rPr>
                <w:rFonts w:hint="eastAsia" w:ascii="宋体" w:hAnsi="宋体"/>
              </w:rPr>
              <w:t>分值</w:t>
            </w:r>
          </w:p>
        </w:tc>
        <w:tc>
          <w:tcPr>
            <w:tcW w:w="1673" w:type="dxa"/>
            <w:vAlign w:val="center"/>
          </w:tcPr>
          <w:p>
            <w:pPr>
              <w:widowControl/>
              <w:jc w:val="center"/>
              <w:rPr>
                <w:rFonts w:ascii="宋体" w:hAnsi="宋体"/>
              </w:rPr>
            </w:pPr>
            <w:r>
              <w:rPr>
                <w:rFonts w:hint="eastAsia" w:ascii="宋体" w:hAnsi="宋体"/>
              </w:rPr>
              <w:t>评分因素分项</w:t>
            </w:r>
          </w:p>
        </w:tc>
        <w:tc>
          <w:tcPr>
            <w:tcW w:w="5727" w:type="dxa"/>
            <w:vAlign w:val="center"/>
          </w:tcPr>
          <w:p>
            <w:pPr>
              <w:widowControl/>
              <w:jc w:val="center"/>
              <w:rPr>
                <w:rFonts w:ascii="宋体" w:hAnsi="宋体"/>
              </w:rPr>
            </w:pPr>
            <w:r>
              <w:rPr>
                <w:rFonts w:hint="eastAsia" w:ascii="宋体" w:hAnsi="宋体"/>
              </w:rPr>
              <w:t>评分标准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0" w:hRule="atLeast"/>
        </w:trPr>
        <w:tc>
          <w:tcPr>
            <w:tcW w:w="737" w:type="dxa"/>
            <w:vAlign w:val="center"/>
          </w:tcPr>
          <w:p>
            <w:pPr>
              <w:widowControl/>
              <w:jc w:val="center"/>
              <w:rPr>
                <w:rFonts w:ascii="宋体" w:hAnsi="宋体"/>
              </w:rPr>
            </w:pPr>
            <w:r>
              <w:rPr>
                <w:rFonts w:hint="eastAsia" w:ascii="宋体" w:hAnsi="宋体"/>
              </w:rPr>
              <w:t>价格</w:t>
            </w:r>
          </w:p>
        </w:tc>
        <w:tc>
          <w:tcPr>
            <w:tcW w:w="750" w:type="dxa"/>
            <w:vAlign w:val="center"/>
          </w:tcPr>
          <w:p>
            <w:pPr>
              <w:widowControl/>
              <w:jc w:val="center"/>
              <w:rPr>
                <w:rFonts w:ascii="宋体" w:hAnsi="宋体"/>
              </w:rPr>
            </w:pPr>
            <w:r>
              <w:rPr>
                <w:rFonts w:hint="eastAsia" w:ascii="宋体" w:hAnsi="宋体"/>
              </w:rPr>
              <w:t>10</w:t>
            </w:r>
          </w:p>
        </w:tc>
        <w:tc>
          <w:tcPr>
            <w:tcW w:w="1673" w:type="dxa"/>
            <w:vAlign w:val="center"/>
          </w:tcPr>
          <w:p>
            <w:pPr>
              <w:widowControl/>
              <w:jc w:val="center"/>
              <w:rPr>
                <w:rFonts w:ascii="宋体" w:hAnsi="宋体"/>
              </w:rPr>
            </w:pPr>
            <w:r>
              <w:rPr>
                <w:rFonts w:hint="eastAsia" w:ascii="宋体" w:hAnsi="宋体"/>
              </w:rPr>
              <w:t>评标价格</w:t>
            </w:r>
          </w:p>
          <w:p>
            <w:pPr>
              <w:widowControl/>
              <w:jc w:val="center"/>
              <w:rPr>
                <w:rFonts w:ascii="宋体" w:hAnsi="宋体"/>
              </w:rPr>
            </w:pPr>
            <w:r>
              <w:rPr>
                <w:rFonts w:hint="eastAsia" w:ascii="宋体" w:hAnsi="宋体"/>
              </w:rPr>
              <w:t>（10分）</w:t>
            </w:r>
          </w:p>
        </w:tc>
        <w:tc>
          <w:tcPr>
            <w:tcW w:w="5727" w:type="dxa"/>
            <w:vAlign w:val="center"/>
          </w:tcPr>
          <w:p>
            <w:pPr>
              <w:widowControl/>
              <w:rPr>
                <w:rFonts w:ascii="宋体" w:hAnsi="宋体"/>
              </w:rPr>
            </w:pPr>
            <w:r>
              <w:rPr>
                <w:rFonts w:hint="eastAsia" w:ascii="宋体" w:hAnsi="宋体"/>
              </w:rPr>
              <w:t>评标价格分数</w:t>
            </w:r>
            <w:r>
              <w:rPr>
                <w:rFonts w:ascii="宋体" w:hAnsi="宋体"/>
              </w:rPr>
              <w:t>=</w:t>
            </w:r>
            <w:r>
              <w:rPr>
                <w:rFonts w:hint="eastAsia" w:ascii="宋体" w:hAnsi="宋体"/>
              </w:rPr>
              <w:t>（评标基准价</w:t>
            </w:r>
            <w:r>
              <w:rPr>
                <w:rFonts w:ascii="宋体" w:hAnsi="宋体"/>
              </w:rPr>
              <w:t>/</w:t>
            </w:r>
            <w:r>
              <w:rPr>
                <w:rFonts w:hint="eastAsia" w:ascii="宋体" w:hAnsi="宋体"/>
              </w:rPr>
              <w:t>投标报价）</w:t>
            </w:r>
            <w:r>
              <w:rPr>
                <w:rFonts w:ascii="宋体" w:hAnsi="宋体"/>
              </w:rPr>
              <w:t>×</w:t>
            </w:r>
            <w:r>
              <w:rPr>
                <w:rFonts w:hint="eastAsia" w:ascii="宋体" w:hAnsi="宋体"/>
              </w:rPr>
              <w:t>10</w:t>
            </w:r>
            <w:r>
              <w:rPr>
                <w:rFonts w:ascii="宋体" w:hAnsi="宋体"/>
              </w:rPr>
              <w:t xml:space="preserve">  </w:t>
            </w:r>
          </w:p>
          <w:p>
            <w:pPr>
              <w:widowControl/>
              <w:rPr>
                <w:rFonts w:ascii="宋体" w:hAnsi="宋体"/>
              </w:rPr>
            </w:pPr>
            <w:r>
              <w:rPr>
                <w:rFonts w:hint="eastAsia" w:ascii="宋体" w:hAnsi="宋体"/>
              </w:rPr>
              <w:t>备注：实质性响应招标文件要求且价格最低的投标报价为评标基准价。</w:t>
            </w:r>
            <w:r>
              <w:rPr>
                <w:rFonts w:ascii="宋体" w:hAnsi="宋体"/>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4" w:hRule="atLeast"/>
        </w:trPr>
        <w:tc>
          <w:tcPr>
            <w:tcW w:w="737" w:type="dxa"/>
            <w:vMerge w:val="restart"/>
            <w:vAlign w:val="center"/>
          </w:tcPr>
          <w:p>
            <w:pPr>
              <w:widowControl/>
              <w:jc w:val="center"/>
              <w:rPr>
                <w:rFonts w:ascii="宋体" w:hAnsi="宋体"/>
              </w:rPr>
            </w:pPr>
            <w:r>
              <w:rPr>
                <w:rFonts w:hint="eastAsia" w:ascii="宋体" w:hAnsi="宋体"/>
              </w:rPr>
              <w:t>商务部分</w:t>
            </w:r>
          </w:p>
        </w:tc>
        <w:tc>
          <w:tcPr>
            <w:tcW w:w="750" w:type="dxa"/>
            <w:vMerge w:val="restart"/>
            <w:vAlign w:val="center"/>
          </w:tcPr>
          <w:p>
            <w:pPr>
              <w:widowControl/>
              <w:jc w:val="center"/>
              <w:rPr>
                <w:rFonts w:ascii="宋体" w:hAnsi="宋体"/>
              </w:rPr>
            </w:pPr>
            <w:r>
              <w:rPr>
                <w:rFonts w:hint="eastAsia" w:ascii="宋体" w:hAnsi="宋体"/>
              </w:rPr>
              <w:t>40</w:t>
            </w:r>
          </w:p>
        </w:tc>
        <w:tc>
          <w:tcPr>
            <w:tcW w:w="1673" w:type="dxa"/>
            <w:vAlign w:val="center"/>
          </w:tcPr>
          <w:p>
            <w:pPr>
              <w:snapToGrid w:val="0"/>
              <w:jc w:val="center"/>
              <w:rPr>
                <w:rFonts w:ascii="宋体" w:hAnsi="宋体" w:cs="宋体"/>
                <w:bCs/>
                <w:szCs w:val="21"/>
              </w:rPr>
            </w:pPr>
            <w:r>
              <w:rPr>
                <w:rFonts w:hint="eastAsia" w:ascii="宋体" w:hAnsi="宋体" w:cs="宋体"/>
                <w:bCs/>
                <w:szCs w:val="21"/>
              </w:rPr>
              <w:t>企业业绩</w:t>
            </w:r>
          </w:p>
          <w:p>
            <w:pPr>
              <w:snapToGrid w:val="0"/>
              <w:jc w:val="center"/>
              <w:rPr>
                <w:rFonts w:ascii="宋体" w:hAnsi="宋体" w:cs="宋体"/>
                <w:bCs/>
                <w:szCs w:val="21"/>
              </w:rPr>
            </w:pPr>
            <w:r>
              <w:rPr>
                <w:rFonts w:hint="eastAsia" w:ascii="宋体" w:hAnsi="宋体" w:cs="宋体"/>
                <w:bCs/>
                <w:szCs w:val="21"/>
              </w:rPr>
              <w:t>（20分）</w:t>
            </w:r>
          </w:p>
        </w:tc>
        <w:tc>
          <w:tcPr>
            <w:tcW w:w="5727" w:type="dxa"/>
            <w:vAlign w:val="center"/>
          </w:tcPr>
          <w:p>
            <w:pPr>
              <w:tabs>
                <w:tab w:val="left" w:pos="-94"/>
                <w:tab w:val="left" w:pos="1620"/>
              </w:tabs>
              <w:snapToGrid w:val="0"/>
              <w:outlineLvl w:val="1"/>
              <w:rPr>
                <w:rFonts w:ascii="宋体" w:hAnsi="宋体" w:cs="宋体"/>
              </w:rPr>
            </w:pPr>
            <w:bookmarkStart w:id="129" w:name="_Toc16642"/>
            <w:r>
              <w:rPr>
                <w:rFonts w:hint="eastAsia" w:ascii="宋体" w:hAnsi="宋体" w:cs="宋体"/>
              </w:rPr>
              <w:t>投标人近三年具有一个同类业绩，得4分，最高得20分（同类业绩指污水处理站的技术服务类似项目，需提供中标通知书或合同主要页复印件作为证明材料</w:t>
            </w:r>
            <w:r>
              <w:rPr>
                <w:rFonts w:hint="eastAsia" w:cs="Tahoma"/>
                <w:kern w:val="0"/>
                <w:szCs w:val="21"/>
              </w:rPr>
              <w:t>合同内容应包括但不限于：双方单位名称、委托金额、委托内容等</w:t>
            </w:r>
            <w:r>
              <w:rPr>
                <w:rFonts w:hint="eastAsia" w:ascii="宋体" w:hAnsi="宋体" w:cs="宋体"/>
              </w:rPr>
              <w:t>）。</w:t>
            </w:r>
            <w:bookmarkEnd w:id="129"/>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73" w:hRule="atLeast"/>
        </w:trPr>
        <w:tc>
          <w:tcPr>
            <w:tcW w:w="737" w:type="dxa"/>
            <w:vMerge w:val="continue"/>
            <w:vAlign w:val="center"/>
          </w:tcPr>
          <w:p>
            <w:pPr>
              <w:widowControl/>
              <w:jc w:val="center"/>
              <w:rPr>
                <w:rFonts w:ascii="宋体" w:hAnsi="宋体"/>
              </w:rPr>
            </w:pPr>
          </w:p>
        </w:tc>
        <w:tc>
          <w:tcPr>
            <w:tcW w:w="750" w:type="dxa"/>
            <w:vMerge w:val="continue"/>
            <w:vAlign w:val="center"/>
          </w:tcPr>
          <w:p>
            <w:pPr>
              <w:widowControl/>
              <w:jc w:val="center"/>
              <w:rPr>
                <w:rFonts w:ascii="宋体" w:hAnsi="宋体"/>
              </w:rPr>
            </w:pPr>
          </w:p>
        </w:tc>
        <w:tc>
          <w:tcPr>
            <w:tcW w:w="1673" w:type="dxa"/>
            <w:vAlign w:val="center"/>
          </w:tcPr>
          <w:p>
            <w:pPr>
              <w:snapToGrid w:val="0"/>
              <w:jc w:val="center"/>
              <w:rPr>
                <w:rFonts w:ascii="宋体" w:hAnsi="宋体" w:cs="宋体"/>
                <w:bCs/>
                <w:szCs w:val="21"/>
              </w:rPr>
            </w:pPr>
            <w:r>
              <w:rPr>
                <w:rFonts w:hint="eastAsia" w:ascii="宋体" w:hAnsi="宋体" w:cs="宋体"/>
                <w:bCs/>
                <w:szCs w:val="21"/>
              </w:rPr>
              <w:t>体系认证</w:t>
            </w:r>
          </w:p>
          <w:p>
            <w:pPr>
              <w:snapToGrid w:val="0"/>
              <w:jc w:val="center"/>
              <w:rPr>
                <w:rFonts w:ascii="宋体" w:hAnsi="宋体" w:cs="宋体"/>
                <w:bCs/>
                <w:szCs w:val="21"/>
              </w:rPr>
            </w:pPr>
            <w:r>
              <w:rPr>
                <w:rFonts w:hint="eastAsia" w:ascii="宋体" w:hAnsi="宋体" w:cs="宋体"/>
                <w:bCs/>
                <w:szCs w:val="21"/>
              </w:rPr>
              <w:t>（6分）</w:t>
            </w:r>
          </w:p>
        </w:tc>
        <w:tc>
          <w:tcPr>
            <w:tcW w:w="5727" w:type="dxa"/>
            <w:vAlign w:val="center"/>
          </w:tcPr>
          <w:p>
            <w:pPr>
              <w:tabs>
                <w:tab w:val="left" w:pos="-94"/>
                <w:tab w:val="left" w:pos="1620"/>
              </w:tabs>
              <w:snapToGrid w:val="0"/>
              <w:outlineLvl w:val="1"/>
              <w:rPr>
                <w:rFonts w:ascii="宋体" w:hAnsi="宋体" w:cs="宋体"/>
              </w:rPr>
            </w:pPr>
            <w:bookmarkStart w:id="130" w:name="_Toc24798"/>
            <w:r>
              <w:rPr>
                <w:rFonts w:hint="eastAsia" w:ascii="宋体" w:hAnsi="宋体" w:cs="宋体"/>
              </w:rPr>
              <w:t>具有有效的质量管理体系认证证书得2分；</w:t>
            </w:r>
            <w:bookmarkEnd w:id="130"/>
          </w:p>
          <w:p>
            <w:pPr>
              <w:tabs>
                <w:tab w:val="left" w:pos="-94"/>
                <w:tab w:val="left" w:pos="1620"/>
              </w:tabs>
              <w:snapToGrid w:val="0"/>
              <w:outlineLvl w:val="1"/>
              <w:rPr>
                <w:rFonts w:ascii="宋体" w:hAnsi="宋体" w:cs="宋体"/>
              </w:rPr>
            </w:pPr>
            <w:bookmarkStart w:id="131" w:name="_Toc5591"/>
            <w:r>
              <w:rPr>
                <w:rFonts w:hint="eastAsia" w:ascii="宋体" w:hAnsi="宋体" w:cs="宋体"/>
              </w:rPr>
              <w:t>具有有效的环境管理体系认证证书得2分；</w:t>
            </w:r>
            <w:bookmarkEnd w:id="131"/>
          </w:p>
          <w:p>
            <w:pPr>
              <w:tabs>
                <w:tab w:val="left" w:pos="-94"/>
                <w:tab w:val="left" w:pos="1620"/>
              </w:tabs>
              <w:snapToGrid w:val="0"/>
              <w:outlineLvl w:val="1"/>
              <w:rPr>
                <w:rFonts w:ascii="宋体" w:hAnsi="宋体" w:cs="宋体"/>
              </w:rPr>
            </w:pPr>
            <w:bookmarkStart w:id="132" w:name="_Toc20277"/>
            <w:r>
              <w:rPr>
                <w:rFonts w:hint="eastAsia" w:ascii="宋体" w:hAnsi="宋体" w:cs="宋体"/>
              </w:rPr>
              <w:t>具有有效的职业健康安全管理体系认证证书得2分。</w:t>
            </w:r>
            <w:bookmarkEnd w:id="132"/>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45" w:hRule="atLeast"/>
        </w:trPr>
        <w:tc>
          <w:tcPr>
            <w:tcW w:w="737" w:type="dxa"/>
            <w:vMerge w:val="continue"/>
            <w:vAlign w:val="center"/>
          </w:tcPr>
          <w:p>
            <w:pPr>
              <w:widowControl/>
              <w:jc w:val="center"/>
              <w:rPr>
                <w:rFonts w:ascii="宋体" w:hAnsi="宋体"/>
              </w:rPr>
            </w:pPr>
          </w:p>
        </w:tc>
        <w:tc>
          <w:tcPr>
            <w:tcW w:w="750" w:type="dxa"/>
            <w:vMerge w:val="continue"/>
            <w:vAlign w:val="center"/>
          </w:tcPr>
          <w:p>
            <w:pPr>
              <w:widowControl/>
              <w:jc w:val="center"/>
              <w:rPr>
                <w:rFonts w:ascii="宋体" w:hAnsi="宋体"/>
              </w:rPr>
            </w:pPr>
          </w:p>
        </w:tc>
        <w:tc>
          <w:tcPr>
            <w:tcW w:w="1673" w:type="dxa"/>
            <w:vAlign w:val="center"/>
          </w:tcPr>
          <w:p>
            <w:pPr>
              <w:tabs>
                <w:tab w:val="left" w:pos="-94"/>
                <w:tab w:val="left" w:pos="1620"/>
              </w:tabs>
              <w:snapToGrid w:val="0"/>
              <w:jc w:val="center"/>
              <w:outlineLvl w:val="1"/>
            </w:pPr>
            <w:bookmarkStart w:id="133" w:name="_Toc6252"/>
            <w:r>
              <w:rPr>
                <w:rFonts w:hint="eastAsia"/>
              </w:rPr>
              <w:t>项目经理</w:t>
            </w:r>
            <w:bookmarkEnd w:id="133"/>
          </w:p>
          <w:p>
            <w:pPr>
              <w:pStyle w:val="2"/>
            </w:pPr>
            <w:r>
              <w:rPr>
                <w:rFonts w:hint="eastAsia"/>
              </w:rPr>
              <w:t>（5分）</w:t>
            </w:r>
          </w:p>
          <w:p>
            <w:pPr>
              <w:pStyle w:val="2"/>
            </w:pPr>
          </w:p>
        </w:tc>
        <w:tc>
          <w:tcPr>
            <w:tcW w:w="5727" w:type="dxa"/>
            <w:vAlign w:val="center"/>
          </w:tcPr>
          <w:p>
            <w:pPr>
              <w:tabs>
                <w:tab w:val="left" w:pos="-94"/>
                <w:tab w:val="left" w:pos="1620"/>
              </w:tabs>
              <w:snapToGrid w:val="0"/>
              <w:outlineLvl w:val="1"/>
              <w:rPr>
                <w:rFonts w:ascii="宋体" w:hAnsi="宋体" w:cs="宋体"/>
              </w:rPr>
            </w:pPr>
            <w:bookmarkStart w:id="134" w:name="_Toc8768"/>
            <w:r>
              <w:rPr>
                <w:rFonts w:hint="eastAsia" w:ascii="宋体" w:hAnsi="宋体" w:cs="宋体"/>
              </w:rPr>
              <w:t>项目经理：</w:t>
            </w:r>
            <w:bookmarkEnd w:id="134"/>
          </w:p>
          <w:p>
            <w:pPr>
              <w:tabs>
                <w:tab w:val="left" w:pos="-94"/>
                <w:tab w:val="left" w:pos="1620"/>
              </w:tabs>
              <w:snapToGrid w:val="0"/>
              <w:outlineLvl w:val="1"/>
              <w:rPr>
                <w:rFonts w:eastAsia="等线 Light"/>
                <w:szCs w:val="21"/>
              </w:rPr>
            </w:pPr>
            <w:bookmarkStart w:id="135" w:name="_Toc17420"/>
            <w:r>
              <w:rPr>
                <w:rFonts w:hint="eastAsia" w:ascii="宋体" w:hAnsi="宋体" w:cs="宋体"/>
              </w:rPr>
              <w:t>项目负责人具有</w:t>
            </w:r>
            <w:r>
              <w:rPr>
                <w:rFonts w:hint="eastAsia" w:ascii="宋体" w:hAnsi="宋体" w:cs="宋体"/>
                <w:lang w:val="en-US" w:eastAsia="zh-CN"/>
              </w:rPr>
              <w:t>5</w:t>
            </w:r>
            <w:r>
              <w:rPr>
                <w:rFonts w:hint="eastAsia" w:ascii="宋体" w:hAnsi="宋体" w:cs="宋体"/>
              </w:rPr>
              <w:t>年（含）以上</w:t>
            </w:r>
            <w:r>
              <w:rPr>
                <w:rFonts w:hint="eastAsia" w:ascii="宋体" w:hAnsi="宋体" w:cs="宋体"/>
                <w:lang w:eastAsia="zh-CN"/>
              </w:rPr>
              <w:t>类似项目的</w:t>
            </w:r>
            <w:r>
              <w:rPr>
                <w:rFonts w:hint="eastAsia" w:ascii="宋体" w:hAnsi="宋体" w:cs="宋体"/>
              </w:rPr>
              <w:t>工作经验得</w:t>
            </w:r>
            <w:r>
              <w:rPr>
                <w:rFonts w:hint="eastAsia" w:ascii="宋体" w:hAnsi="宋体" w:cs="宋体"/>
                <w:lang w:val="en-US" w:eastAsia="zh-CN"/>
              </w:rPr>
              <w:t>5</w:t>
            </w:r>
            <w:r>
              <w:rPr>
                <w:rFonts w:hint="eastAsia" w:ascii="宋体" w:hAnsi="宋体" w:cs="宋体"/>
              </w:rPr>
              <w:t>分；</w:t>
            </w:r>
            <w:bookmarkEnd w:id="135"/>
            <w:r>
              <w:rPr>
                <w:rFonts w:hint="eastAsia" w:ascii="宋体" w:hAnsi="宋体" w:cs="宋体"/>
                <w:lang w:val="en-US" w:eastAsia="zh-CN"/>
              </w:rPr>
              <w:t>未提供不得分。</w:t>
            </w:r>
            <w:bookmarkStart w:id="136" w:name="_Toc4545"/>
            <w:r>
              <w:rPr>
                <w:rFonts w:hint="eastAsia" w:ascii="宋体" w:hAnsi="宋体" w:cs="宋体"/>
              </w:rPr>
              <w:t>（合同中须体现项目经理，如果合同中无法体现项目经理，则须提供服务单位开具的项目经理证明材料）</w:t>
            </w:r>
            <w:bookmarkEnd w:id="136"/>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45" w:hRule="atLeast"/>
        </w:trPr>
        <w:tc>
          <w:tcPr>
            <w:tcW w:w="737" w:type="dxa"/>
            <w:vMerge w:val="continue"/>
            <w:vAlign w:val="center"/>
          </w:tcPr>
          <w:p>
            <w:pPr>
              <w:tabs>
                <w:tab w:val="left" w:pos="-94"/>
                <w:tab w:val="left" w:pos="1620"/>
              </w:tabs>
              <w:snapToGrid w:val="0"/>
              <w:jc w:val="center"/>
              <w:outlineLvl w:val="1"/>
            </w:pPr>
          </w:p>
        </w:tc>
        <w:tc>
          <w:tcPr>
            <w:tcW w:w="750" w:type="dxa"/>
            <w:vMerge w:val="continue"/>
            <w:vAlign w:val="center"/>
          </w:tcPr>
          <w:p>
            <w:pPr>
              <w:tabs>
                <w:tab w:val="left" w:pos="-94"/>
                <w:tab w:val="left" w:pos="1620"/>
              </w:tabs>
              <w:snapToGrid w:val="0"/>
              <w:jc w:val="center"/>
              <w:outlineLvl w:val="1"/>
            </w:pPr>
          </w:p>
        </w:tc>
        <w:tc>
          <w:tcPr>
            <w:tcW w:w="1673" w:type="dxa"/>
            <w:vAlign w:val="center"/>
          </w:tcPr>
          <w:p>
            <w:pPr>
              <w:tabs>
                <w:tab w:val="left" w:pos="-94"/>
                <w:tab w:val="left" w:pos="1620"/>
              </w:tabs>
              <w:snapToGrid w:val="0"/>
              <w:jc w:val="center"/>
              <w:outlineLvl w:val="1"/>
              <w:rPr>
                <w:rFonts w:ascii="宋体" w:hAnsi="宋体" w:cs="宋体"/>
                <w:szCs w:val="21"/>
              </w:rPr>
            </w:pPr>
            <w:bookmarkStart w:id="137" w:name="_Toc31876"/>
            <w:r>
              <w:rPr>
                <w:rFonts w:hint="eastAsia" w:ascii="宋体" w:hAnsi="宋体" w:cs="宋体"/>
                <w:szCs w:val="21"/>
              </w:rPr>
              <w:t>团队人员安排</w:t>
            </w:r>
            <w:bookmarkEnd w:id="137"/>
          </w:p>
          <w:p>
            <w:pPr>
              <w:tabs>
                <w:tab w:val="left" w:pos="-94"/>
                <w:tab w:val="left" w:pos="1620"/>
              </w:tabs>
              <w:snapToGrid w:val="0"/>
              <w:jc w:val="center"/>
              <w:outlineLvl w:val="1"/>
              <w:rPr>
                <w:rFonts w:ascii="宋体" w:hAnsi="宋体" w:cs="宋体"/>
                <w:szCs w:val="21"/>
              </w:rPr>
            </w:pPr>
            <w:bookmarkStart w:id="138" w:name="_Toc14594"/>
            <w:r>
              <w:rPr>
                <w:rFonts w:hint="eastAsia" w:ascii="宋体" w:hAnsi="宋体" w:cs="宋体"/>
                <w:szCs w:val="21"/>
              </w:rPr>
              <w:t>（9分）</w:t>
            </w:r>
            <w:bookmarkEnd w:id="138"/>
          </w:p>
        </w:tc>
        <w:tc>
          <w:tcPr>
            <w:tcW w:w="5727" w:type="dxa"/>
            <w:vAlign w:val="center"/>
          </w:tcPr>
          <w:p>
            <w:pPr>
              <w:tabs>
                <w:tab w:val="left" w:pos="-94"/>
                <w:tab w:val="left" w:pos="1620"/>
              </w:tabs>
              <w:snapToGrid w:val="0"/>
              <w:outlineLvl w:val="1"/>
              <w:rPr>
                <w:rFonts w:ascii="宋体" w:hAnsi="宋体" w:cs="宋体"/>
              </w:rPr>
            </w:pPr>
            <w:bookmarkStart w:id="139" w:name="_Toc25575"/>
            <w:r>
              <w:rPr>
                <w:rFonts w:hint="eastAsia" w:ascii="宋体" w:hAnsi="宋体" w:cs="宋体"/>
              </w:rPr>
              <w:t>项目管理人员配备充足，组织结构、人员搭配合理，经验丰富得9分；</w:t>
            </w:r>
            <w:bookmarkEnd w:id="139"/>
          </w:p>
          <w:p>
            <w:pPr>
              <w:tabs>
                <w:tab w:val="left" w:pos="-94"/>
                <w:tab w:val="left" w:pos="1620"/>
              </w:tabs>
              <w:snapToGrid w:val="0"/>
              <w:outlineLvl w:val="1"/>
              <w:rPr>
                <w:rFonts w:ascii="宋体" w:hAnsi="宋体" w:cs="宋体"/>
              </w:rPr>
            </w:pPr>
            <w:bookmarkStart w:id="140" w:name="_Toc32269"/>
            <w:r>
              <w:rPr>
                <w:rFonts w:hint="eastAsia" w:ascii="宋体" w:hAnsi="宋体" w:cs="宋体"/>
              </w:rPr>
              <w:t>项目管理人员配备充足，组织结构、人员搭配较合理得5分；</w:t>
            </w:r>
            <w:bookmarkEnd w:id="140"/>
          </w:p>
          <w:p>
            <w:pPr>
              <w:tabs>
                <w:tab w:val="left" w:pos="-94"/>
                <w:tab w:val="left" w:pos="1620"/>
              </w:tabs>
              <w:snapToGrid w:val="0"/>
              <w:outlineLvl w:val="1"/>
              <w:rPr>
                <w:rFonts w:ascii="宋体" w:hAnsi="宋体" w:cs="宋体"/>
              </w:rPr>
            </w:pPr>
            <w:bookmarkStart w:id="141" w:name="_Toc27468"/>
            <w:r>
              <w:rPr>
                <w:rFonts w:hint="eastAsia" w:ascii="宋体" w:hAnsi="宋体" w:cs="宋体"/>
              </w:rPr>
              <w:t>项目管理人员配备一般，组织结构、人员搭配欠合理得2分；</w:t>
            </w:r>
            <w:bookmarkEnd w:id="141"/>
          </w:p>
          <w:p>
            <w:pPr>
              <w:tabs>
                <w:tab w:val="left" w:pos="-94"/>
                <w:tab w:val="left" w:pos="1620"/>
              </w:tabs>
              <w:snapToGrid w:val="0"/>
              <w:outlineLvl w:val="1"/>
              <w:rPr>
                <w:rFonts w:ascii="宋体" w:hAnsi="宋体" w:cs="宋体"/>
              </w:rPr>
            </w:pPr>
            <w:bookmarkStart w:id="142" w:name="_Toc3054"/>
            <w:r>
              <w:rPr>
                <w:rFonts w:hint="eastAsia" w:ascii="宋体" w:hAnsi="宋体" w:cs="宋体"/>
              </w:rPr>
              <w:t>项目管理人员配备不合理，人员不够齐全</w:t>
            </w:r>
            <w:r>
              <w:rPr>
                <w:rFonts w:ascii="宋体" w:hAnsi="宋体" w:cs="宋体"/>
              </w:rPr>
              <w:t>1</w:t>
            </w:r>
            <w:r>
              <w:rPr>
                <w:rFonts w:hint="eastAsia" w:ascii="宋体" w:hAnsi="宋体" w:cs="宋体"/>
              </w:rPr>
              <w:t>分；</w:t>
            </w:r>
            <w:bookmarkEnd w:id="142"/>
          </w:p>
          <w:p>
            <w:pPr>
              <w:tabs>
                <w:tab w:val="left" w:pos="-94"/>
                <w:tab w:val="left" w:pos="1620"/>
              </w:tabs>
              <w:snapToGrid w:val="0"/>
              <w:outlineLvl w:val="1"/>
              <w:rPr>
                <w:rFonts w:eastAsia="等线 Light"/>
                <w:szCs w:val="21"/>
              </w:rPr>
            </w:pPr>
            <w:bookmarkStart w:id="143" w:name="_Toc24218"/>
            <w:r>
              <w:rPr>
                <w:rFonts w:hint="eastAsia" w:ascii="宋体" w:hAnsi="宋体" w:cs="宋体"/>
              </w:rPr>
              <w:t>未提供本项不得分。</w:t>
            </w:r>
            <w:bookmarkEnd w:id="143"/>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4" w:hRule="atLeast"/>
        </w:trPr>
        <w:tc>
          <w:tcPr>
            <w:tcW w:w="737" w:type="dxa"/>
            <w:vMerge w:val="restart"/>
            <w:vAlign w:val="center"/>
          </w:tcPr>
          <w:p>
            <w:pPr>
              <w:widowControl/>
              <w:jc w:val="center"/>
              <w:rPr>
                <w:rFonts w:ascii="宋体" w:hAnsi="宋体"/>
              </w:rPr>
            </w:pPr>
            <w:bookmarkStart w:id="144" w:name="_Hlk3209263"/>
            <w:r>
              <w:rPr>
                <w:rFonts w:hint="eastAsia" w:ascii="宋体" w:hAnsi="宋体"/>
              </w:rPr>
              <w:t>技术部分</w:t>
            </w:r>
          </w:p>
        </w:tc>
        <w:tc>
          <w:tcPr>
            <w:tcW w:w="750" w:type="dxa"/>
            <w:vMerge w:val="restart"/>
            <w:vAlign w:val="center"/>
          </w:tcPr>
          <w:p>
            <w:pPr>
              <w:widowControl/>
              <w:jc w:val="center"/>
              <w:rPr>
                <w:rFonts w:ascii="宋体" w:hAnsi="宋体"/>
              </w:rPr>
            </w:pPr>
            <w:r>
              <w:rPr>
                <w:rFonts w:hint="eastAsia" w:ascii="宋体" w:hAnsi="宋体"/>
              </w:rPr>
              <w:t>50</w:t>
            </w:r>
          </w:p>
        </w:tc>
        <w:tc>
          <w:tcPr>
            <w:tcW w:w="1673" w:type="dxa"/>
            <w:vAlign w:val="center"/>
          </w:tcPr>
          <w:p>
            <w:pPr>
              <w:widowControl/>
              <w:jc w:val="center"/>
            </w:pPr>
            <w:r>
              <w:rPr>
                <w:rFonts w:hint="eastAsia"/>
              </w:rPr>
              <w:t>项目实施方案</w:t>
            </w:r>
          </w:p>
          <w:p>
            <w:pPr>
              <w:widowControl/>
              <w:jc w:val="center"/>
              <w:rPr>
                <w:rFonts w:ascii="宋体" w:hAnsi="宋体" w:cs="宋体"/>
                <w:szCs w:val="21"/>
              </w:rPr>
            </w:pPr>
            <w:r>
              <w:t>(1</w:t>
            </w:r>
            <w:r>
              <w:rPr>
                <w:rFonts w:hint="eastAsia"/>
              </w:rPr>
              <w:t>5</w:t>
            </w:r>
            <w:r>
              <w:t>分)</w:t>
            </w:r>
          </w:p>
        </w:tc>
        <w:tc>
          <w:tcPr>
            <w:tcW w:w="5727" w:type="dxa"/>
            <w:vAlign w:val="center"/>
          </w:tcPr>
          <w:p>
            <w:pPr>
              <w:tabs>
                <w:tab w:val="left" w:pos="-94"/>
                <w:tab w:val="left" w:pos="1620"/>
              </w:tabs>
              <w:snapToGrid w:val="0"/>
              <w:outlineLvl w:val="1"/>
              <w:rPr>
                <w:rFonts w:ascii="宋体" w:hAnsi="宋体" w:cs="宋体"/>
              </w:rPr>
            </w:pPr>
            <w:bookmarkStart w:id="145" w:name="_Toc16338"/>
            <w:r>
              <w:rPr>
                <w:rFonts w:hint="eastAsia" w:ascii="宋体" w:hAnsi="宋体" w:cs="宋体"/>
              </w:rPr>
              <w:t>方案全面完整、可操作性强、重点突出、亮点明确，得15分；</w:t>
            </w:r>
            <w:bookmarkEnd w:id="145"/>
          </w:p>
          <w:p>
            <w:pPr>
              <w:tabs>
                <w:tab w:val="left" w:pos="-94"/>
                <w:tab w:val="left" w:pos="1620"/>
              </w:tabs>
              <w:snapToGrid w:val="0"/>
              <w:outlineLvl w:val="1"/>
              <w:rPr>
                <w:rFonts w:ascii="宋体" w:hAnsi="宋体" w:cs="宋体"/>
              </w:rPr>
            </w:pPr>
            <w:bookmarkStart w:id="146" w:name="_Toc27554"/>
            <w:r>
              <w:rPr>
                <w:rFonts w:hint="eastAsia" w:ascii="宋体" w:hAnsi="宋体" w:cs="宋体"/>
              </w:rPr>
              <w:t>方案较为全面、可操作性较强、重点较为突出、亮点较为明确，得10分；</w:t>
            </w:r>
            <w:bookmarkEnd w:id="146"/>
          </w:p>
          <w:p>
            <w:pPr>
              <w:tabs>
                <w:tab w:val="left" w:pos="-94"/>
                <w:tab w:val="left" w:pos="1620"/>
              </w:tabs>
              <w:snapToGrid w:val="0"/>
              <w:outlineLvl w:val="1"/>
              <w:rPr>
                <w:rFonts w:ascii="宋体" w:hAnsi="宋体" w:cs="宋体"/>
              </w:rPr>
            </w:pPr>
            <w:bookmarkStart w:id="147" w:name="_Toc10297"/>
            <w:r>
              <w:rPr>
                <w:rFonts w:hint="eastAsia" w:ascii="宋体" w:hAnsi="宋体" w:cs="宋体"/>
              </w:rPr>
              <w:t>方案较为完整、可操作性一般、重点不够突出、亮点不明确，得5分；</w:t>
            </w:r>
            <w:bookmarkEnd w:id="147"/>
          </w:p>
          <w:p>
            <w:pPr>
              <w:tabs>
                <w:tab w:val="left" w:pos="-94"/>
                <w:tab w:val="left" w:pos="1620"/>
              </w:tabs>
              <w:snapToGrid w:val="0"/>
              <w:outlineLvl w:val="1"/>
              <w:rPr>
                <w:rFonts w:ascii="宋体" w:hAnsi="宋体" w:cs="宋体"/>
              </w:rPr>
            </w:pPr>
            <w:bookmarkStart w:id="148" w:name="_Toc26388"/>
            <w:r>
              <w:rPr>
                <w:rFonts w:hint="eastAsia" w:ascii="宋体" w:hAnsi="宋体" w:cs="宋体"/>
              </w:rPr>
              <w:t>方案不够完整、可操作性不强、重点不够突出、亮点不明确，得2分；</w:t>
            </w:r>
            <w:bookmarkEnd w:id="148"/>
          </w:p>
          <w:p>
            <w:pPr>
              <w:tabs>
                <w:tab w:val="left" w:pos="-94"/>
                <w:tab w:val="left" w:pos="1620"/>
              </w:tabs>
              <w:snapToGrid w:val="0"/>
              <w:outlineLvl w:val="1"/>
              <w:rPr>
                <w:rFonts w:ascii="宋体" w:hAnsi="宋体" w:cs="宋体"/>
              </w:rPr>
            </w:pPr>
            <w:bookmarkStart w:id="149" w:name="_Toc28307"/>
            <w:r>
              <w:rPr>
                <w:rFonts w:hint="eastAsia" w:ascii="宋体" w:hAnsi="宋体" w:cs="宋体"/>
              </w:rPr>
              <w:t>未提供不得分。</w:t>
            </w:r>
            <w:bookmarkEnd w:id="149"/>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1" w:hRule="atLeast"/>
        </w:trPr>
        <w:tc>
          <w:tcPr>
            <w:tcW w:w="737" w:type="dxa"/>
            <w:vMerge w:val="continue"/>
            <w:vAlign w:val="center"/>
          </w:tcPr>
          <w:p>
            <w:pPr>
              <w:widowControl/>
              <w:jc w:val="center"/>
              <w:rPr>
                <w:rFonts w:ascii="宋体" w:hAnsi="宋体"/>
              </w:rPr>
            </w:pPr>
          </w:p>
        </w:tc>
        <w:tc>
          <w:tcPr>
            <w:tcW w:w="750" w:type="dxa"/>
            <w:vMerge w:val="continue"/>
            <w:vAlign w:val="center"/>
          </w:tcPr>
          <w:p>
            <w:pPr>
              <w:widowControl/>
              <w:jc w:val="center"/>
              <w:rPr>
                <w:rFonts w:ascii="宋体" w:hAnsi="宋体"/>
              </w:rPr>
            </w:pPr>
          </w:p>
        </w:tc>
        <w:tc>
          <w:tcPr>
            <w:tcW w:w="1673" w:type="dxa"/>
            <w:vAlign w:val="center"/>
          </w:tcPr>
          <w:p>
            <w:pPr>
              <w:widowControl/>
              <w:jc w:val="center"/>
              <w:rPr>
                <w:rFonts w:ascii="宋体" w:hAnsi="宋体" w:cs="宋体"/>
              </w:rPr>
            </w:pPr>
            <w:r>
              <w:rPr>
                <w:rFonts w:hint="eastAsia" w:ascii="宋体" w:hAnsi="宋体" w:cs="宋体"/>
              </w:rPr>
              <w:t>管理制度方案（10）</w:t>
            </w:r>
          </w:p>
        </w:tc>
        <w:tc>
          <w:tcPr>
            <w:tcW w:w="5727" w:type="dxa"/>
            <w:vAlign w:val="center"/>
          </w:tcPr>
          <w:p>
            <w:pPr>
              <w:tabs>
                <w:tab w:val="left" w:pos="-94"/>
                <w:tab w:val="left" w:pos="1620"/>
              </w:tabs>
              <w:snapToGrid w:val="0"/>
              <w:outlineLvl w:val="1"/>
              <w:rPr>
                <w:rFonts w:ascii="宋体" w:hAnsi="宋体" w:cs="宋体"/>
              </w:rPr>
            </w:pPr>
            <w:bookmarkStart w:id="150" w:name="_Toc26132"/>
            <w:r>
              <w:rPr>
                <w:rFonts w:hint="eastAsia" w:ascii="宋体" w:hAnsi="宋体" w:cs="宋体"/>
              </w:rPr>
              <w:t>方案全面完整、可操作性强、重点突出、亮点明确，得10分；</w:t>
            </w:r>
            <w:bookmarkEnd w:id="150"/>
          </w:p>
          <w:p>
            <w:pPr>
              <w:tabs>
                <w:tab w:val="left" w:pos="-94"/>
                <w:tab w:val="left" w:pos="1620"/>
              </w:tabs>
              <w:snapToGrid w:val="0"/>
              <w:outlineLvl w:val="1"/>
              <w:rPr>
                <w:rFonts w:ascii="宋体" w:hAnsi="宋体" w:cs="宋体"/>
              </w:rPr>
            </w:pPr>
            <w:bookmarkStart w:id="151" w:name="_Toc1799"/>
            <w:r>
              <w:rPr>
                <w:rFonts w:hint="eastAsia" w:ascii="宋体" w:hAnsi="宋体" w:cs="宋体"/>
              </w:rPr>
              <w:t>方案较为全面、可操作性较强、重点较为突出、亮点较为明确，得8分；</w:t>
            </w:r>
            <w:bookmarkEnd w:id="151"/>
          </w:p>
          <w:p>
            <w:pPr>
              <w:tabs>
                <w:tab w:val="left" w:pos="-94"/>
                <w:tab w:val="left" w:pos="1620"/>
              </w:tabs>
              <w:snapToGrid w:val="0"/>
              <w:outlineLvl w:val="1"/>
              <w:rPr>
                <w:rFonts w:ascii="宋体" w:hAnsi="宋体" w:cs="宋体"/>
              </w:rPr>
            </w:pPr>
            <w:bookmarkStart w:id="152" w:name="_Toc14711"/>
            <w:r>
              <w:rPr>
                <w:rFonts w:hint="eastAsia" w:ascii="宋体" w:hAnsi="宋体" w:cs="宋体"/>
              </w:rPr>
              <w:t>方案较为完整、可操作性一般、重点不够突出、亮点不明确，得5分；</w:t>
            </w:r>
            <w:bookmarkEnd w:id="152"/>
          </w:p>
          <w:p>
            <w:pPr>
              <w:tabs>
                <w:tab w:val="left" w:pos="-94"/>
                <w:tab w:val="left" w:pos="1620"/>
              </w:tabs>
              <w:snapToGrid w:val="0"/>
              <w:outlineLvl w:val="1"/>
              <w:rPr>
                <w:rFonts w:ascii="宋体" w:hAnsi="宋体" w:cs="宋体"/>
              </w:rPr>
            </w:pPr>
            <w:bookmarkStart w:id="153" w:name="_Toc7992"/>
            <w:r>
              <w:rPr>
                <w:rFonts w:hint="eastAsia" w:ascii="宋体" w:hAnsi="宋体" w:cs="宋体"/>
              </w:rPr>
              <w:t>方案不够完整、可操作性不强、重点不够突出、亮点不明确，得2分；</w:t>
            </w:r>
            <w:bookmarkEnd w:id="153"/>
          </w:p>
          <w:p>
            <w:pPr>
              <w:tabs>
                <w:tab w:val="left" w:pos="-94"/>
                <w:tab w:val="left" w:pos="1620"/>
              </w:tabs>
              <w:snapToGrid w:val="0"/>
              <w:outlineLvl w:val="1"/>
              <w:rPr>
                <w:rFonts w:ascii="宋体" w:hAnsi="宋体" w:cs="宋体"/>
              </w:rPr>
            </w:pPr>
            <w:bookmarkStart w:id="154" w:name="_Toc32757"/>
            <w:r>
              <w:rPr>
                <w:rFonts w:hint="eastAsia" w:ascii="宋体" w:hAnsi="宋体" w:cs="宋体"/>
              </w:rPr>
              <w:t>未提供不得分。</w:t>
            </w:r>
            <w:bookmarkEnd w:id="154"/>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40" w:hRule="atLeast"/>
        </w:trPr>
        <w:tc>
          <w:tcPr>
            <w:tcW w:w="737" w:type="dxa"/>
            <w:vMerge w:val="continue"/>
            <w:vAlign w:val="center"/>
          </w:tcPr>
          <w:p>
            <w:pPr>
              <w:widowControl/>
              <w:jc w:val="center"/>
              <w:rPr>
                <w:rFonts w:ascii="宋体" w:hAnsi="宋体"/>
              </w:rPr>
            </w:pPr>
          </w:p>
        </w:tc>
        <w:tc>
          <w:tcPr>
            <w:tcW w:w="750" w:type="dxa"/>
            <w:vMerge w:val="continue"/>
            <w:vAlign w:val="center"/>
          </w:tcPr>
          <w:p>
            <w:pPr>
              <w:widowControl/>
              <w:jc w:val="center"/>
              <w:rPr>
                <w:rFonts w:ascii="宋体" w:hAnsi="宋体"/>
              </w:rPr>
            </w:pPr>
          </w:p>
        </w:tc>
        <w:tc>
          <w:tcPr>
            <w:tcW w:w="1673" w:type="dxa"/>
            <w:vAlign w:val="center"/>
          </w:tcPr>
          <w:p>
            <w:pPr>
              <w:widowControl/>
              <w:rPr>
                <w:rFonts w:ascii="宋体" w:hAnsi="宋体" w:cs="宋体"/>
                <w:bCs/>
              </w:rPr>
            </w:pPr>
            <w:r>
              <w:rPr>
                <w:rFonts w:hint="eastAsia" w:ascii="宋体" w:hAnsi="宋体" w:cs="宋体"/>
              </w:rPr>
              <w:t>人员培训、质量控制方案</w:t>
            </w:r>
          </w:p>
          <w:p>
            <w:pPr>
              <w:widowControl/>
              <w:jc w:val="center"/>
              <w:rPr>
                <w:rFonts w:ascii="宋体" w:hAnsi="宋体" w:cs="宋体"/>
              </w:rPr>
            </w:pPr>
            <w:r>
              <w:rPr>
                <w:rFonts w:hint="eastAsia" w:ascii="宋体" w:hAnsi="宋体" w:cs="宋体"/>
              </w:rPr>
              <w:t>（15分）</w:t>
            </w:r>
          </w:p>
        </w:tc>
        <w:tc>
          <w:tcPr>
            <w:tcW w:w="5727" w:type="dxa"/>
            <w:vAlign w:val="center"/>
          </w:tcPr>
          <w:p>
            <w:pPr>
              <w:tabs>
                <w:tab w:val="left" w:pos="-94"/>
                <w:tab w:val="left" w:pos="1620"/>
              </w:tabs>
              <w:snapToGrid w:val="0"/>
              <w:outlineLvl w:val="1"/>
              <w:rPr>
                <w:rFonts w:ascii="宋体" w:hAnsi="宋体" w:cs="宋体"/>
              </w:rPr>
            </w:pPr>
            <w:bookmarkStart w:id="155" w:name="_Toc19506"/>
            <w:r>
              <w:rPr>
                <w:rFonts w:hint="eastAsia" w:ascii="宋体" w:hAnsi="宋体" w:cs="宋体"/>
              </w:rPr>
              <w:t>方案全面完整、可操作性强、重点突出、亮点明确，得15分；</w:t>
            </w:r>
            <w:bookmarkEnd w:id="155"/>
          </w:p>
          <w:p>
            <w:pPr>
              <w:tabs>
                <w:tab w:val="left" w:pos="-94"/>
                <w:tab w:val="left" w:pos="1620"/>
              </w:tabs>
              <w:snapToGrid w:val="0"/>
              <w:outlineLvl w:val="1"/>
              <w:rPr>
                <w:rFonts w:ascii="宋体" w:hAnsi="宋体" w:cs="宋体"/>
              </w:rPr>
            </w:pPr>
            <w:bookmarkStart w:id="156" w:name="_Toc28365"/>
            <w:r>
              <w:rPr>
                <w:rFonts w:hint="eastAsia" w:ascii="宋体" w:hAnsi="宋体" w:cs="宋体"/>
              </w:rPr>
              <w:t>方案较为全面、可操作性较强、重点较为突出、亮点较为明确，得12分；</w:t>
            </w:r>
            <w:bookmarkEnd w:id="156"/>
          </w:p>
          <w:p>
            <w:pPr>
              <w:tabs>
                <w:tab w:val="left" w:pos="-94"/>
                <w:tab w:val="left" w:pos="1620"/>
              </w:tabs>
              <w:snapToGrid w:val="0"/>
              <w:outlineLvl w:val="1"/>
              <w:rPr>
                <w:rFonts w:ascii="宋体" w:hAnsi="宋体" w:cs="宋体"/>
              </w:rPr>
            </w:pPr>
            <w:bookmarkStart w:id="157" w:name="_Toc14585"/>
            <w:r>
              <w:rPr>
                <w:rFonts w:hint="eastAsia" w:ascii="宋体" w:hAnsi="宋体" w:cs="宋体"/>
              </w:rPr>
              <w:t>方案较为完整、可操作性一般、重点不够突出、亮点不明确，得8分；</w:t>
            </w:r>
            <w:bookmarkEnd w:id="157"/>
          </w:p>
          <w:p>
            <w:pPr>
              <w:tabs>
                <w:tab w:val="left" w:pos="-94"/>
                <w:tab w:val="left" w:pos="1620"/>
              </w:tabs>
              <w:snapToGrid w:val="0"/>
              <w:outlineLvl w:val="1"/>
              <w:rPr>
                <w:rFonts w:ascii="宋体" w:hAnsi="宋体" w:cs="宋体"/>
              </w:rPr>
            </w:pPr>
            <w:bookmarkStart w:id="158" w:name="_Toc11440"/>
            <w:r>
              <w:rPr>
                <w:rFonts w:hint="eastAsia" w:ascii="宋体" w:hAnsi="宋体" w:cs="宋体"/>
              </w:rPr>
              <w:t>方案不够完整、可操作性不强、重点不够突出、亮点不明确，得4分；</w:t>
            </w:r>
            <w:bookmarkEnd w:id="158"/>
          </w:p>
          <w:p>
            <w:pPr>
              <w:tabs>
                <w:tab w:val="left" w:pos="-94"/>
                <w:tab w:val="left" w:pos="1620"/>
              </w:tabs>
              <w:snapToGrid w:val="0"/>
              <w:outlineLvl w:val="1"/>
              <w:rPr>
                <w:rFonts w:ascii="宋体" w:hAnsi="宋体" w:cs="宋体"/>
              </w:rPr>
            </w:pPr>
            <w:bookmarkStart w:id="159" w:name="_Toc25159"/>
            <w:r>
              <w:rPr>
                <w:rFonts w:hint="eastAsia" w:ascii="宋体" w:hAnsi="宋体" w:cs="宋体"/>
              </w:rPr>
              <w:t>未提供不得分。</w:t>
            </w:r>
            <w:bookmarkEnd w:id="159"/>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54" w:hRule="atLeast"/>
        </w:trPr>
        <w:tc>
          <w:tcPr>
            <w:tcW w:w="737" w:type="dxa"/>
            <w:vMerge w:val="continue"/>
            <w:vAlign w:val="center"/>
          </w:tcPr>
          <w:p>
            <w:pPr>
              <w:widowControl/>
              <w:jc w:val="center"/>
              <w:rPr>
                <w:rFonts w:ascii="宋体" w:hAnsi="宋体"/>
              </w:rPr>
            </w:pPr>
          </w:p>
        </w:tc>
        <w:tc>
          <w:tcPr>
            <w:tcW w:w="750" w:type="dxa"/>
            <w:vMerge w:val="continue"/>
            <w:vAlign w:val="center"/>
          </w:tcPr>
          <w:p>
            <w:pPr>
              <w:widowControl/>
              <w:jc w:val="center"/>
              <w:rPr>
                <w:rFonts w:ascii="宋体" w:hAnsi="宋体"/>
              </w:rPr>
            </w:pPr>
          </w:p>
        </w:tc>
        <w:tc>
          <w:tcPr>
            <w:tcW w:w="1673" w:type="dxa"/>
            <w:vAlign w:val="center"/>
          </w:tcPr>
          <w:p>
            <w:pPr>
              <w:widowControl/>
              <w:jc w:val="center"/>
              <w:rPr>
                <w:rFonts w:ascii="宋体" w:hAnsi="宋体" w:cs="仿宋"/>
                <w:szCs w:val="21"/>
              </w:rPr>
            </w:pPr>
            <w:r>
              <w:rPr>
                <w:rFonts w:hint="eastAsia" w:ascii="宋体" w:hAnsi="宋体" w:cs="仿宋"/>
                <w:szCs w:val="21"/>
              </w:rPr>
              <w:t>服务管理承诺</w:t>
            </w:r>
          </w:p>
          <w:p>
            <w:pPr>
              <w:widowControl/>
              <w:jc w:val="center"/>
              <w:rPr>
                <w:rFonts w:ascii="宋体" w:hAnsi="宋体" w:cs="宋体"/>
                <w:bCs/>
              </w:rPr>
            </w:pPr>
            <w:r>
              <w:rPr>
                <w:rFonts w:hint="eastAsia" w:ascii="宋体" w:hAnsi="宋体" w:cs="仿宋"/>
                <w:szCs w:val="21"/>
              </w:rPr>
              <w:t>（10分）</w:t>
            </w:r>
          </w:p>
        </w:tc>
        <w:tc>
          <w:tcPr>
            <w:tcW w:w="5727" w:type="dxa"/>
            <w:vAlign w:val="center"/>
          </w:tcPr>
          <w:p>
            <w:pPr>
              <w:tabs>
                <w:tab w:val="left" w:pos="-94"/>
                <w:tab w:val="left" w:pos="1620"/>
              </w:tabs>
              <w:snapToGrid w:val="0"/>
              <w:outlineLvl w:val="1"/>
              <w:rPr>
                <w:rFonts w:ascii="宋体" w:hAnsi="宋体" w:cs="宋体"/>
              </w:rPr>
            </w:pPr>
            <w:bookmarkStart w:id="160" w:name="_Toc14583"/>
            <w:r>
              <w:rPr>
                <w:rFonts w:hint="eastAsia" w:ascii="宋体" w:hAnsi="宋体" w:cs="宋体"/>
              </w:rPr>
              <w:t>服务管理承诺详细、完整、适用性强得10分；</w:t>
            </w:r>
            <w:bookmarkEnd w:id="160"/>
          </w:p>
          <w:p>
            <w:pPr>
              <w:tabs>
                <w:tab w:val="left" w:pos="-94"/>
                <w:tab w:val="left" w:pos="1620"/>
              </w:tabs>
              <w:snapToGrid w:val="0"/>
              <w:outlineLvl w:val="1"/>
              <w:rPr>
                <w:rFonts w:ascii="宋体" w:hAnsi="宋体" w:cs="宋体"/>
              </w:rPr>
            </w:pPr>
            <w:bookmarkStart w:id="161" w:name="_Toc4477"/>
            <w:r>
              <w:rPr>
                <w:rFonts w:hint="eastAsia" w:ascii="宋体" w:hAnsi="宋体" w:cs="宋体"/>
              </w:rPr>
              <w:t>服务管理承诺较详细、较完整、适用性较强得6分；</w:t>
            </w:r>
            <w:bookmarkEnd w:id="161"/>
          </w:p>
          <w:p>
            <w:pPr>
              <w:tabs>
                <w:tab w:val="left" w:pos="-94"/>
                <w:tab w:val="left" w:pos="1620"/>
              </w:tabs>
              <w:snapToGrid w:val="0"/>
              <w:outlineLvl w:val="1"/>
              <w:rPr>
                <w:rFonts w:ascii="宋体" w:hAnsi="宋体" w:cs="宋体"/>
              </w:rPr>
            </w:pPr>
            <w:bookmarkStart w:id="162" w:name="_Toc26973"/>
            <w:r>
              <w:rPr>
                <w:rFonts w:hint="eastAsia" w:ascii="宋体" w:hAnsi="宋体" w:cs="宋体"/>
              </w:rPr>
              <w:t>服务管理承诺简单、粗略、适用性差得3分；</w:t>
            </w:r>
            <w:bookmarkEnd w:id="162"/>
          </w:p>
          <w:p>
            <w:pPr>
              <w:tabs>
                <w:tab w:val="left" w:pos="-94"/>
                <w:tab w:val="left" w:pos="1620"/>
              </w:tabs>
              <w:snapToGrid w:val="0"/>
              <w:outlineLvl w:val="1"/>
              <w:rPr>
                <w:rFonts w:ascii="宋体" w:hAnsi="宋体" w:cs="宋体"/>
              </w:rPr>
            </w:pPr>
            <w:bookmarkStart w:id="163" w:name="_Toc6098"/>
            <w:r>
              <w:rPr>
                <w:rFonts w:hint="eastAsia" w:ascii="宋体" w:hAnsi="宋体" w:cs="宋体"/>
              </w:rPr>
              <w:t>未提供不得分。</w:t>
            </w:r>
            <w:bookmarkEnd w:id="163"/>
          </w:p>
        </w:tc>
      </w:tr>
      <w:bookmarkEnd w:id="144"/>
    </w:tbl>
    <w:p/>
    <w:p/>
    <w:p>
      <w:pPr>
        <w:widowControl/>
        <w:spacing w:before="624"/>
        <w:ind w:firstLine="480"/>
        <w:jc w:val="left"/>
      </w:pPr>
      <w:r>
        <w:br w:type="page"/>
      </w:r>
    </w:p>
    <w:p>
      <w:pPr>
        <w:pStyle w:val="3"/>
      </w:pPr>
      <w:bookmarkStart w:id="164" w:name="_Toc6885"/>
      <w:r>
        <w:rPr>
          <w:rFonts w:hint="eastAsia"/>
        </w:rPr>
        <w:t>第四章  技术服务需求</w:t>
      </w:r>
      <w:bookmarkEnd w:id="164"/>
    </w:p>
    <w:p>
      <w:pPr>
        <w:pStyle w:val="45"/>
        <w:ind w:firstLine="480"/>
      </w:pPr>
    </w:p>
    <w:p>
      <w:pPr>
        <w:pStyle w:val="30"/>
      </w:pPr>
      <w:bookmarkStart w:id="165" w:name="_Toc5187"/>
      <w:r>
        <w:rPr>
          <w:rFonts w:hint="eastAsia"/>
        </w:rPr>
        <w:t>采购需求一览表</w:t>
      </w:r>
      <w:bookmarkEnd w:id="165"/>
    </w:p>
    <w:tbl>
      <w:tblPr>
        <w:tblStyle w:val="19"/>
        <w:tblW w:w="9506" w:type="dxa"/>
        <w:tblInd w:w="0" w:type="dxa"/>
        <w:shd w:val="clear" w:color="auto" w:fill="FFFFFF"/>
        <w:tblLayout w:type="fixed"/>
        <w:tblCellMar>
          <w:top w:w="0" w:type="dxa"/>
          <w:left w:w="0" w:type="dxa"/>
          <w:bottom w:w="0" w:type="dxa"/>
          <w:right w:w="0" w:type="dxa"/>
        </w:tblCellMar>
      </w:tblPr>
      <w:tblGrid>
        <w:gridCol w:w="700"/>
        <w:gridCol w:w="1279"/>
        <w:gridCol w:w="1560"/>
        <w:gridCol w:w="723"/>
        <w:gridCol w:w="972"/>
        <w:gridCol w:w="1055"/>
        <w:gridCol w:w="722"/>
        <w:gridCol w:w="2495"/>
      </w:tblGrid>
      <w:tr>
        <w:tblPrEx>
          <w:shd w:val="clear" w:color="auto" w:fill="FFFFFF"/>
          <w:tblCellMar>
            <w:top w:w="0" w:type="dxa"/>
            <w:left w:w="0" w:type="dxa"/>
            <w:bottom w:w="0" w:type="dxa"/>
            <w:right w:w="0" w:type="dxa"/>
          </w:tblCellMar>
        </w:tblPrEx>
        <w:trPr>
          <w:trHeight w:val="540" w:hRule="atLeast"/>
        </w:trPr>
        <w:tc>
          <w:tcPr>
            <w:tcW w:w="70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包件号</w:t>
            </w:r>
          </w:p>
        </w:tc>
        <w:tc>
          <w:tcPr>
            <w:tcW w:w="1279"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包件名称</w:t>
            </w:r>
          </w:p>
        </w:tc>
        <w:tc>
          <w:tcPr>
            <w:tcW w:w="1560"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240" w:lineRule="auto"/>
              <w:jc w:val="center"/>
              <w:rPr>
                <w:color w:val="auto"/>
                <w:sz w:val="21"/>
              </w:rPr>
            </w:pPr>
            <w:r>
              <w:rPr>
                <w:rFonts w:hint="eastAsia"/>
                <w:color w:val="auto"/>
                <w:sz w:val="21"/>
              </w:rPr>
              <w:t>标的名称</w:t>
            </w:r>
          </w:p>
        </w:tc>
        <w:tc>
          <w:tcPr>
            <w:tcW w:w="723"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数量</w:t>
            </w:r>
          </w:p>
        </w:tc>
        <w:tc>
          <w:tcPr>
            <w:tcW w:w="97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预算</w:t>
            </w:r>
            <w:r>
              <w:rPr>
                <w:color w:val="auto"/>
                <w:sz w:val="21"/>
              </w:rPr>
              <w:br w:type="textWrapping"/>
            </w:r>
            <w:r>
              <w:rPr>
                <w:rFonts w:hint="eastAsia"/>
                <w:color w:val="auto"/>
                <w:sz w:val="21"/>
              </w:rPr>
              <w:t>（万元）</w:t>
            </w:r>
          </w:p>
        </w:tc>
        <w:tc>
          <w:tcPr>
            <w:tcW w:w="1055"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服务期限</w:t>
            </w:r>
          </w:p>
        </w:tc>
        <w:tc>
          <w:tcPr>
            <w:tcW w:w="72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服务地点：</w:t>
            </w:r>
          </w:p>
        </w:tc>
        <w:tc>
          <w:tcPr>
            <w:tcW w:w="2495"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简要技术要求：</w:t>
            </w:r>
          </w:p>
        </w:tc>
      </w:tr>
      <w:tr>
        <w:tblPrEx>
          <w:tblCellMar>
            <w:top w:w="0" w:type="dxa"/>
            <w:left w:w="0" w:type="dxa"/>
            <w:bottom w:w="0" w:type="dxa"/>
            <w:right w:w="0" w:type="dxa"/>
          </w:tblCellMar>
        </w:tblPrEx>
        <w:trPr>
          <w:trHeight w:val="20" w:hRule="atLeast"/>
        </w:trPr>
        <w:tc>
          <w:tcPr>
            <w:tcW w:w="70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color w:val="auto"/>
                <w:sz w:val="21"/>
              </w:rPr>
            </w:pPr>
            <w:r>
              <w:rPr>
                <w:color w:val="auto"/>
                <w:sz w:val="21"/>
              </w:rPr>
              <w:t>1</w:t>
            </w:r>
          </w:p>
        </w:tc>
        <w:tc>
          <w:tcPr>
            <w:tcW w:w="1279"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left"/>
              <w:rPr>
                <w:rFonts w:hint="eastAsia" w:eastAsiaTheme="minorEastAsia"/>
                <w:color w:val="auto"/>
                <w:sz w:val="21"/>
                <w:lang w:eastAsia="zh-CN"/>
              </w:rPr>
            </w:pPr>
            <w:r>
              <w:rPr>
                <w:rFonts w:hint="eastAsia"/>
                <w:color w:val="auto"/>
                <w:sz w:val="21"/>
                <w:lang w:eastAsia="zh-CN"/>
              </w:rPr>
              <w:t>2024年园博园再生水利用项目</w:t>
            </w:r>
          </w:p>
        </w:tc>
        <w:tc>
          <w:tcPr>
            <w:tcW w:w="1560"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240" w:lineRule="auto"/>
              <w:rPr>
                <w:color w:val="auto"/>
                <w:sz w:val="21"/>
              </w:rPr>
            </w:pPr>
            <w:r>
              <w:rPr>
                <w:rFonts w:hint="eastAsia"/>
                <w:color w:val="auto"/>
                <w:sz w:val="21"/>
              </w:rPr>
              <w:t>【</w:t>
            </w:r>
            <w:r>
              <w:rPr>
                <w:rFonts w:hint="eastAsia"/>
                <w:color w:val="auto"/>
                <w:sz w:val="21"/>
                <w:lang w:eastAsia="zh-CN"/>
              </w:rPr>
              <w:t>2024年园博园再生水利用项目</w:t>
            </w:r>
            <w:r>
              <w:rPr>
                <w:rFonts w:hint="eastAsia"/>
                <w:color w:val="auto"/>
                <w:sz w:val="21"/>
              </w:rPr>
              <w:t>】</w:t>
            </w:r>
          </w:p>
        </w:tc>
        <w:tc>
          <w:tcPr>
            <w:tcW w:w="723"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rFonts w:hint="eastAsia" w:eastAsiaTheme="minorEastAsia"/>
                <w:color w:val="auto"/>
                <w:sz w:val="21"/>
                <w:lang w:val="en-US" w:eastAsia="zh-CN"/>
              </w:rPr>
            </w:pPr>
            <w:r>
              <w:rPr>
                <w:rFonts w:hint="eastAsia"/>
                <w:color w:val="auto"/>
                <w:sz w:val="21"/>
                <w:lang w:val="en-US" w:eastAsia="zh-CN"/>
              </w:rPr>
              <w:t>/</w:t>
            </w:r>
          </w:p>
        </w:tc>
        <w:tc>
          <w:tcPr>
            <w:tcW w:w="97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rFonts w:hint="eastAsia" w:eastAsiaTheme="minorEastAsia"/>
                <w:color w:val="auto"/>
                <w:sz w:val="21"/>
                <w:lang w:eastAsia="zh-CN"/>
              </w:rPr>
            </w:pPr>
            <w:r>
              <w:rPr>
                <w:rFonts w:hint="eastAsia"/>
                <w:color w:val="auto"/>
                <w:sz w:val="21"/>
                <w:lang w:eastAsia="zh-CN"/>
              </w:rPr>
              <w:t>189.75</w:t>
            </w:r>
          </w:p>
        </w:tc>
        <w:tc>
          <w:tcPr>
            <w:tcW w:w="1055"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color w:val="auto"/>
                <w:sz w:val="21"/>
              </w:rPr>
            </w:pPr>
            <w:r>
              <w:rPr>
                <w:rFonts w:hint="eastAsia"/>
                <w:color w:val="auto"/>
                <w:sz w:val="21"/>
              </w:rPr>
              <w:t>合同签订之日起至2024年12月31日</w:t>
            </w:r>
          </w:p>
        </w:tc>
        <w:tc>
          <w:tcPr>
            <w:tcW w:w="72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rFonts w:hint="default" w:eastAsiaTheme="minorEastAsia"/>
                <w:color w:val="auto"/>
                <w:sz w:val="21"/>
                <w:lang w:val="en-US" w:eastAsia="zh-CN"/>
              </w:rPr>
            </w:pPr>
            <w:r>
              <w:rPr>
                <w:rFonts w:hint="eastAsia"/>
                <w:color w:val="auto"/>
                <w:sz w:val="21"/>
                <w:lang w:val="en-US" w:eastAsia="zh-CN"/>
              </w:rPr>
              <w:t>北京园博园</w:t>
            </w:r>
          </w:p>
        </w:tc>
        <w:tc>
          <w:tcPr>
            <w:tcW w:w="2495"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color w:val="auto"/>
                <w:sz w:val="21"/>
              </w:rPr>
            </w:pPr>
            <w:r>
              <w:rPr>
                <w:rFonts w:hint="eastAsia"/>
                <w:color w:val="auto"/>
                <w:sz w:val="21"/>
              </w:rPr>
              <w:t>为北京园博园（以下简称园博）再生水利用技术服务。包括但不限于：再生水利用设施设备技术服务、值守、处理药剂、污泥处置、水质检测、设备维修等。</w:t>
            </w:r>
          </w:p>
        </w:tc>
      </w:tr>
    </w:tbl>
    <w:p/>
    <w:p>
      <w:pPr>
        <w:pStyle w:val="30"/>
      </w:pPr>
      <w:bookmarkStart w:id="166" w:name="_Toc22162"/>
      <w:r>
        <w:rPr>
          <w:rFonts w:hint="eastAsia"/>
          <w:lang w:val="en-US" w:eastAsia="zh-CN"/>
        </w:rPr>
        <w:t>技术服务</w:t>
      </w:r>
      <w:r>
        <w:rPr>
          <w:rFonts w:hint="eastAsia"/>
        </w:rPr>
        <w:t>需求</w:t>
      </w:r>
      <w:bookmarkEnd w:id="166"/>
    </w:p>
    <w:p>
      <w:pPr>
        <w:spacing w:line="560" w:lineRule="exact"/>
        <w:ind w:firstLine="482" w:firstLineChars="200"/>
        <w:jc w:val="both"/>
        <w:outlineLvl w:val="0"/>
        <w:rPr>
          <w:rFonts w:hint="eastAsia" w:ascii="仿宋_GB2312" w:hAnsi="仿宋_GB2312" w:eastAsia="仿宋_GB2312" w:cs="仿宋_GB2312"/>
          <w:b/>
          <w:sz w:val="24"/>
          <w:szCs w:val="24"/>
        </w:rPr>
      </w:pPr>
      <w:bookmarkStart w:id="167" w:name="_Toc8668"/>
      <w:r>
        <w:rPr>
          <w:rFonts w:hint="eastAsia" w:ascii="仿宋_GB2312" w:hAnsi="仿宋_GB2312" w:eastAsia="仿宋_GB2312" w:cs="仿宋_GB2312"/>
          <w:b/>
          <w:sz w:val="24"/>
          <w:szCs w:val="24"/>
          <w:lang w:eastAsia="zh-CN"/>
        </w:rPr>
        <w:t>一、</w:t>
      </w:r>
      <w:r>
        <w:rPr>
          <w:rFonts w:hint="eastAsia" w:ascii="仿宋_GB2312" w:hAnsi="仿宋_GB2312" w:eastAsia="仿宋_GB2312" w:cs="仿宋_GB2312"/>
          <w:b/>
          <w:sz w:val="24"/>
          <w:szCs w:val="24"/>
        </w:rPr>
        <w:t>采购标的</w:t>
      </w:r>
      <w:bookmarkEnd w:id="167"/>
    </w:p>
    <w:p>
      <w:pPr>
        <w:spacing w:line="360" w:lineRule="auto"/>
        <w:ind w:firstLine="482" w:firstLineChars="200"/>
        <w:contextualSpacing/>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1.采购标的</w:t>
      </w:r>
    </w:p>
    <w:p>
      <w:pPr>
        <w:spacing w:line="360" w:lineRule="auto"/>
        <w:ind w:firstLine="482"/>
        <w:contextualSpacing/>
        <w:rPr>
          <w:rFonts w:hint="eastAsia" w:ascii="仿宋_GB2312" w:hAnsi="仿宋_GB2312" w:eastAsia="仿宋_GB2312" w:cs="仿宋_GB2312"/>
          <w:bCs w:val="0"/>
          <w:kern w:val="2"/>
          <w:sz w:val="24"/>
          <w:szCs w:val="24"/>
        </w:rPr>
      </w:pPr>
      <w:r>
        <w:rPr>
          <w:rFonts w:hint="eastAsia" w:ascii="仿宋_GB2312" w:hAnsi="仿宋_GB2312" w:eastAsia="仿宋_GB2312" w:cs="仿宋_GB2312"/>
          <w:bCs w:val="0"/>
          <w:kern w:val="2"/>
          <w:sz w:val="24"/>
          <w:szCs w:val="24"/>
        </w:rPr>
        <w:t>为北京园博园（以下简称园博）再生水利用技术服务。包括但不限于：再生水利用设施设备技术服务、值守、处理药剂、污泥处置、水质检测、设备维修等。</w:t>
      </w:r>
    </w:p>
    <w:p>
      <w:pPr>
        <w:spacing w:line="360" w:lineRule="auto"/>
        <w:ind w:firstLine="482"/>
        <w:contextualSpacing/>
        <w:rPr>
          <w:rFonts w:hint="eastAsia" w:ascii="仿宋_GB2312" w:hAnsi="仿宋_GB2312" w:eastAsia="仿宋_GB2312" w:cs="仿宋_GB2312"/>
          <w:bCs w:val="0"/>
          <w:kern w:val="2"/>
          <w:sz w:val="24"/>
          <w:szCs w:val="24"/>
        </w:rPr>
      </w:pPr>
      <w:r>
        <w:rPr>
          <w:rFonts w:hint="eastAsia" w:ascii="仿宋_GB2312" w:hAnsi="仿宋_GB2312" w:eastAsia="仿宋_GB2312" w:cs="仿宋_GB2312"/>
          <w:kern w:val="2"/>
          <w:sz w:val="24"/>
          <w:szCs w:val="24"/>
        </w:rPr>
        <w:t>供应商需提供至少10名技术服务人员且符合相关岗位工作要求。</w:t>
      </w:r>
    </w:p>
    <w:p>
      <w:pPr>
        <w:spacing w:line="360" w:lineRule="auto"/>
        <w:ind w:firstLine="482"/>
        <w:contextualSpacing/>
        <w:rPr>
          <w:rFonts w:hint="eastAsia" w:ascii="仿宋_GB2312" w:hAnsi="仿宋_GB2312" w:eastAsia="仿宋_GB2312" w:cs="仿宋_GB2312"/>
          <w:bCs w:val="0"/>
          <w:kern w:val="2"/>
          <w:sz w:val="24"/>
          <w:szCs w:val="24"/>
        </w:rPr>
      </w:pPr>
      <w:r>
        <w:rPr>
          <w:rFonts w:hint="eastAsia" w:ascii="仿宋_GB2312" w:hAnsi="仿宋_GB2312" w:eastAsia="仿宋_GB2312" w:cs="仿宋_GB2312"/>
          <w:bCs w:val="0"/>
          <w:kern w:val="2"/>
          <w:sz w:val="24"/>
          <w:szCs w:val="24"/>
        </w:rPr>
        <w:t>1.1 园博园再生水利用技术服务</w:t>
      </w:r>
    </w:p>
    <w:p>
      <w:pPr>
        <w:spacing w:line="360" w:lineRule="auto"/>
        <w:ind w:firstLine="482"/>
        <w:contextualSpacing/>
        <w:rPr>
          <w:rFonts w:hint="eastAsia" w:ascii="仿宋_GB2312" w:hAnsi="仿宋_GB2312" w:eastAsia="仿宋_GB2312" w:cs="仿宋_GB2312"/>
          <w:bCs w:val="0"/>
          <w:kern w:val="2"/>
          <w:sz w:val="24"/>
          <w:szCs w:val="24"/>
        </w:rPr>
      </w:pPr>
      <w:r>
        <w:rPr>
          <w:rFonts w:hint="eastAsia" w:ascii="仿宋_GB2312" w:hAnsi="仿宋_GB2312" w:eastAsia="仿宋_GB2312" w:cs="仿宋_GB2312"/>
          <w:bCs w:val="0"/>
          <w:kern w:val="2"/>
          <w:sz w:val="24"/>
          <w:szCs w:val="24"/>
        </w:rPr>
        <w:t>1.1.1技术服务管理对象</w:t>
      </w:r>
    </w:p>
    <w:p>
      <w:pPr>
        <w:spacing w:line="360" w:lineRule="auto"/>
        <w:ind w:firstLine="482"/>
        <w:contextualSpacing/>
        <w:rPr>
          <w:rFonts w:hint="eastAsia" w:ascii="仿宋_GB2312" w:hAnsi="仿宋_GB2312" w:eastAsia="仿宋_GB2312" w:cs="仿宋_GB2312"/>
          <w:bCs w:val="0"/>
          <w:kern w:val="2"/>
          <w:sz w:val="24"/>
          <w:szCs w:val="24"/>
        </w:rPr>
      </w:pPr>
      <w:r>
        <w:rPr>
          <w:rFonts w:hint="eastAsia" w:ascii="仿宋_GB2312" w:hAnsi="仿宋_GB2312" w:eastAsia="仿宋_GB2312" w:cs="仿宋_GB2312"/>
          <w:bCs w:val="0"/>
          <w:kern w:val="2"/>
          <w:sz w:val="24"/>
          <w:szCs w:val="24"/>
        </w:rPr>
        <w:t>2700T再生水站点位于园博园1号门区附近，规模为2700m³/d，240T园博园再生水站点位于园博园6号门附近，规模为240m³/d，200T/d园博园再生水站点位于6号门附近，目前已停止运行，保留集水池，通过提升泵将水提升至240T再生水站点。均采用A/O生化工艺。</w:t>
      </w:r>
    </w:p>
    <w:p>
      <w:pPr>
        <w:spacing w:line="360" w:lineRule="auto"/>
        <w:ind w:firstLine="482"/>
        <w:contextualSpacing/>
        <w:rPr>
          <w:rFonts w:hint="eastAsia" w:ascii="仿宋_GB2312" w:hAnsi="仿宋_GB2312" w:eastAsia="仿宋_GB2312" w:cs="仿宋_GB2312"/>
          <w:bCs w:val="0"/>
          <w:kern w:val="2"/>
          <w:sz w:val="24"/>
          <w:szCs w:val="24"/>
        </w:rPr>
      </w:pPr>
      <w:r>
        <w:rPr>
          <w:rFonts w:hint="eastAsia" w:ascii="仿宋_GB2312" w:hAnsi="仿宋_GB2312" w:eastAsia="仿宋_GB2312" w:cs="仿宋_GB2312"/>
          <w:bCs w:val="0"/>
          <w:kern w:val="2"/>
          <w:sz w:val="24"/>
          <w:szCs w:val="24"/>
        </w:rPr>
        <w:t>再生水站点设备设施包括土建结构、再生水设施、强电系统、弱电系统、设备系统等。</w:t>
      </w:r>
    </w:p>
    <w:tbl>
      <w:tblPr>
        <w:tblStyle w:val="20"/>
        <w:tblpPr w:leftFromText="180" w:rightFromText="180" w:vertAnchor="text" w:horzAnchor="page" w:tblpX="720" w:tblpY="66"/>
        <w:tblOverlap w:val="never"/>
        <w:tblW w:w="101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5"/>
        <w:gridCol w:w="3072"/>
        <w:gridCol w:w="2017"/>
        <w:gridCol w:w="42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 w:type="dxa"/>
            <w:vAlign w:val="center"/>
          </w:tcPr>
          <w:p>
            <w:pPr>
              <w:contextualSpacing/>
              <w:jc w:val="center"/>
              <w:rPr>
                <w:rFonts w:hint="eastAsia" w:ascii="仿宋_GB2312" w:hAnsi="仿宋_GB2312" w:eastAsia="仿宋_GB2312" w:cs="仿宋_GB2312"/>
                <w:b/>
                <w:sz w:val="24"/>
                <w:szCs w:val="24"/>
                <w:lang w:eastAsia="zh-CN"/>
              </w:rPr>
            </w:pPr>
            <w:r>
              <w:rPr>
                <w:rFonts w:hint="eastAsia" w:ascii="仿宋_GB2312" w:hAnsi="仿宋_GB2312" w:eastAsia="仿宋_GB2312" w:cs="仿宋_GB2312"/>
                <w:b/>
                <w:sz w:val="24"/>
                <w:szCs w:val="24"/>
                <w:lang w:eastAsia="zh-CN"/>
              </w:rPr>
              <w:t>序号</w:t>
            </w:r>
          </w:p>
        </w:tc>
        <w:tc>
          <w:tcPr>
            <w:tcW w:w="3072" w:type="dxa"/>
            <w:vAlign w:val="center"/>
          </w:tcPr>
          <w:p>
            <w:pPr>
              <w:contextualSpacing/>
              <w:jc w:val="center"/>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系统</w:t>
            </w:r>
          </w:p>
        </w:tc>
        <w:tc>
          <w:tcPr>
            <w:tcW w:w="2017" w:type="dxa"/>
            <w:vAlign w:val="center"/>
          </w:tcPr>
          <w:p>
            <w:pPr>
              <w:contextualSpacing/>
              <w:jc w:val="center"/>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子系统</w:t>
            </w:r>
          </w:p>
        </w:tc>
        <w:tc>
          <w:tcPr>
            <w:tcW w:w="4262" w:type="dxa"/>
            <w:vAlign w:val="center"/>
          </w:tcPr>
          <w:p>
            <w:pPr>
              <w:contextualSpacing/>
              <w:jc w:val="center"/>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 w:type="dxa"/>
            <w:vMerge w:val="restart"/>
            <w:vAlign w:val="center"/>
          </w:tcPr>
          <w:p>
            <w:pPr>
              <w:widowControl/>
              <w:ind w:firstLine="240" w:firstLineChars="100"/>
              <w:contextualSpacing/>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w:t>
            </w:r>
          </w:p>
        </w:tc>
        <w:tc>
          <w:tcPr>
            <w:tcW w:w="3072" w:type="dxa"/>
            <w:vMerge w:val="restart"/>
            <w:vAlign w:val="center"/>
          </w:tcPr>
          <w:p>
            <w:pPr>
              <w:widowControl/>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土建装饰</w:t>
            </w:r>
          </w:p>
        </w:tc>
        <w:tc>
          <w:tcPr>
            <w:tcW w:w="2017" w:type="dxa"/>
            <w:vAlign w:val="center"/>
          </w:tcPr>
          <w:p>
            <w:pPr>
              <w:widowControl/>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建筑主体结构</w:t>
            </w:r>
          </w:p>
        </w:tc>
        <w:tc>
          <w:tcPr>
            <w:tcW w:w="4262" w:type="dxa"/>
          </w:tcPr>
          <w:p>
            <w:pPr>
              <w:widowControl/>
              <w:contextualSpacing/>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钢筋混凝土框架结构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 w:type="dxa"/>
            <w:vMerge w:val="continue"/>
            <w:vAlign w:val="center"/>
          </w:tcPr>
          <w:p>
            <w:pPr>
              <w:widowControl/>
              <w:ind w:firstLine="480" w:firstLineChars="200"/>
              <w:contextualSpacing/>
              <w:rPr>
                <w:rFonts w:hint="eastAsia" w:ascii="仿宋_GB2312" w:hAnsi="仿宋_GB2312" w:eastAsia="仿宋_GB2312" w:cs="仿宋_GB2312"/>
                <w:sz w:val="24"/>
                <w:szCs w:val="24"/>
              </w:rPr>
            </w:pPr>
          </w:p>
        </w:tc>
        <w:tc>
          <w:tcPr>
            <w:tcW w:w="3072" w:type="dxa"/>
            <w:vMerge w:val="continue"/>
            <w:vAlign w:val="center"/>
          </w:tcPr>
          <w:p>
            <w:pPr>
              <w:widowControl/>
              <w:ind w:firstLine="480" w:firstLineChars="200"/>
              <w:contextualSpacing/>
              <w:rPr>
                <w:rFonts w:hint="eastAsia" w:ascii="仿宋_GB2312" w:hAnsi="仿宋_GB2312" w:eastAsia="仿宋_GB2312" w:cs="仿宋_GB2312"/>
                <w:sz w:val="24"/>
                <w:szCs w:val="24"/>
              </w:rPr>
            </w:pPr>
          </w:p>
        </w:tc>
        <w:tc>
          <w:tcPr>
            <w:tcW w:w="2017" w:type="dxa"/>
            <w:vAlign w:val="center"/>
          </w:tcPr>
          <w:p>
            <w:pPr>
              <w:widowControl/>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屋面</w:t>
            </w:r>
          </w:p>
        </w:tc>
        <w:tc>
          <w:tcPr>
            <w:tcW w:w="4262" w:type="dxa"/>
          </w:tcPr>
          <w:p>
            <w:pPr>
              <w:widowControl/>
              <w:contextualSpacing/>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混凝土平屋面、SBS改性沥青防水卷材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 w:type="dxa"/>
            <w:vMerge w:val="continue"/>
            <w:vAlign w:val="center"/>
          </w:tcPr>
          <w:p>
            <w:pPr>
              <w:widowControl/>
              <w:ind w:firstLine="480" w:firstLineChars="200"/>
              <w:contextualSpacing/>
              <w:rPr>
                <w:rFonts w:hint="eastAsia" w:ascii="仿宋_GB2312" w:hAnsi="仿宋_GB2312" w:eastAsia="仿宋_GB2312" w:cs="仿宋_GB2312"/>
                <w:sz w:val="24"/>
                <w:szCs w:val="24"/>
              </w:rPr>
            </w:pPr>
          </w:p>
        </w:tc>
        <w:tc>
          <w:tcPr>
            <w:tcW w:w="3072" w:type="dxa"/>
            <w:vMerge w:val="continue"/>
            <w:vAlign w:val="center"/>
          </w:tcPr>
          <w:p>
            <w:pPr>
              <w:widowControl/>
              <w:ind w:firstLine="480" w:firstLineChars="200"/>
              <w:contextualSpacing/>
              <w:rPr>
                <w:rFonts w:hint="eastAsia" w:ascii="仿宋_GB2312" w:hAnsi="仿宋_GB2312" w:eastAsia="仿宋_GB2312" w:cs="仿宋_GB2312"/>
                <w:sz w:val="24"/>
                <w:szCs w:val="24"/>
              </w:rPr>
            </w:pPr>
          </w:p>
        </w:tc>
        <w:tc>
          <w:tcPr>
            <w:tcW w:w="2017" w:type="dxa"/>
            <w:vAlign w:val="center"/>
          </w:tcPr>
          <w:p>
            <w:pPr>
              <w:widowControl/>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外墙</w:t>
            </w:r>
          </w:p>
        </w:tc>
        <w:tc>
          <w:tcPr>
            <w:tcW w:w="4262" w:type="dxa"/>
          </w:tcPr>
          <w:p>
            <w:pPr>
              <w:widowControl/>
              <w:contextualSpacing/>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深灰杂色面砖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 w:type="dxa"/>
            <w:vMerge w:val="continue"/>
            <w:vAlign w:val="center"/>
          </w:tcPr>
          <w:p>
            <w:pPr>
              <w:widowControl/>
              <w:ind w:firstLine="480" w:firstLineChars="200"/>
              <w:contextualSpacing/>
              <w:rPr>
                <w:rFonts w:hint="eastAsia" w:ascii="仿宋_GB2312" w:hAnsi="仿宋_GB2312" w:eastAsia="仿宋_GB2312" w:cs="仿宋_GB2312"/>
                <w:sz w:val="24"/>
                <w:szCs w:val="24"/>
              </w:rPr>
            </w:pPr>
          </w:p>
        </w:tc>
        <w:tc>
          <w:tcPr>
            <w:tcW w:w="3072" w:type="dxa"/>
            <w:vMerge w:val="continue"/>
            <w:vAlign w:val="center"/>
          </w:tcPr>
          <w:p>
            <w:pPr>
              <w:widowControl/>
              <w:ind w:firstLine="480" w:firstLineChars="200"/>
              <w:contextualSpacing/>
              <w:rPr>
                <w:rFonts w:hint="eastAsia" w:ascii="仿宋_GB2312" w:hAnsi="仿宋_GB2312" w:eastAsia="仿宋_GB2312" w:cs="仿宋_GB2312"/>
                <w:sz w:val="24"/>
                <w:szCs w:val="24"/>
              </w:rPr>
            </w:pPr>
          </w:p>
        </w:tc>
        <w:tc>
          <w:tcPr>
            <w:tcW w:w="2017" w:type="dxa"/>
            <w:vAlign w:val="center"/>
          </w:tcPr>
          <w:p>
            <w:pPr>
              <w:widowControl/>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门窗</w:t>
            </w:r>
          </w:p>
        </w:tc>
        <w:tc>
          <w:tcPr>
            <w:tcW w:w="4262" w:type="dxa"/>
          </w:tcPr>
          <w:p>
            <w:pPr>
              <w:widowControl/>
              <w:contextualSpacing/>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铝合金门窗、卷帘门、防火隔音门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 w:type="dxa"/>
            <w:vMerge w:val="restart"/>
            <w:vAlign w:val="center"/>
          </w:tcPr>
          <w:p>
            <w:pPr>
              <w:widowControl/>
              <w:ind w:firstLine="240" w:firstLineChars="100"/>
              <w:contextualSpacing/>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w:t>
            </w:r>
          </w:p>
        </w:tc>
        <w:tc>
          <w:tcPr>
            <w:tcW w:w="3072" w:type="dxa"/>
            <w:vMerge w:val="restart"/>
            <w:vAlign w:val="center"/>
          </w:tcPr>
          <w:p>
            <w:pPr>
              <w:widowControl/>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再生水处理设施</w:t>
            </w:r>
          </w:p>
        </w:tc>
        <w:tc>
          <w:tcPr>
            <w:tcW w:w="2017" w:type="dxa"/>
            <w:vAlign w:val="center"/>
          </w:tcPr>
          <w:p>
            <w:pPr>
              <w:widowControl/>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格栅渠</w:t>
            </w:r>
          </w:p>
        </w:tc>
        <w:tc>
          <w:tcPr>
            <w:tcW w:w="4262" w:type="dxa"/>
          </w:tcPr>
          <w:p>
            <w:pPr>
              <w:widowControl/>
              <w:contextualSpacing/>
              <w:jc w:val="left"/>
              <w:rPr>
                <w:rFonts w:hint="eastAsia"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 w:type="dxa"/>
            <w:vMerge w:val="continue"/>
            <w:vAlign w:val="center"/>
          </w:tcPr>
          <w:p>
            <w:pPr>
              <w:pStyle w:val="2"/>
              <w:ind w:firstLine="0"/>
              <w:rPr>
                <w:rFonts w:hint="eastAsia" w:ascii="仿宋_GB2312" w:hAnsi="仿宋_GB2312" w:eastAsia="仿宋_GB2312" w:cs="仿宋_GB2312"/>
                <w:sz w:val="24"/>
                <w:szCs w:val="24"/>
              </w:rPr>
            </w:pPr>
          </w:p>
        </w:tc>
        <w:tc>
          <w:tcPr>
            <w:tcW w:w="3072" w:type="dxa"/>
            <w:vMerge w:val="continue"/>
            <w:vAlign w:val="center"/>
          </w:tcPr>
          <w:p>
            <w:pPr>
              <w:pStyle w:val="2"/>
              <w:ind w:firstLine="0"/>
              <w:rPr>
                <w:rFonts w:hint="eastAsia" w:ascii="仿宋_GB2312" w:hAnsi="仿宋_GB2312" w:eastAsia="仿宋_GB2312" w:cs="仿宋_GB2312"/>
                <w:sz w:val="24"/>
                <w:szCs w:val="24"/>
              </w:rPr>
            </w:pPr>
          </w:p>
        </w:tc>
        <w:tc>
          <w:tcPr>
            <w:tcW w:w="2017" w:type="dxa"/>
            <w:vAlign w:val="center"/>
          </w:tcPr>
          <w:p>
            <w:pPr>
              <w:widowControl/>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集水池</w:t>
            </w:r>
          </w:p>
        </w:tc>
        <w:tc>
          <w:tcPr>
            <w:tcW w:w="4262" w:type="dxa"/>
          </w:tcPr>
          <w:p>
            <w:pPr>
              <w:widowControl/>
              <w:contextualSpacing/>
              <w:jc w:val="left"/>
              <w:rPr>
                <w:rFonts w:hint="eastAsia"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 w:type="dxa"/>
            <w:vMerge w:val="continue"/>
            <w:vAlign w:val="center"/>
          </w:tcPr>
          <w:p>
            <w:pPr>
              <w:pStyle w:val="2"/>
              <w:ind w:firstLine="0"/>
              <w:rPr>
                <w:rFonts w:hint="eastAsia" w:ascii="仿宋_GB2312" w:hAnsi="仿宋_GB2312" w:eastAsia="仿宋_GB2312" w:cs="仿宋_GB2312"/>
                <w:sz w:val="24"/>
                <w:szCs w:val="24"/>
              </w:rPr>
            </w:pPr>
          </w:p>
        </w:tc>
        <w:tc>
          <w:tcPr>
            <w:tcW w:w="3072" w:type="dxa"/>
            <w:vMerge w:val="continue"/>
            <w:vAlign w:val="center"/>
          </w:tcPr>
          <w:p>
            <w:pPr>
              <w:pStyle w:val="2"/>
              <w:ind w:firstLine="0"/>
              <w:rPr>
                <w:rFonts w:hint="eastAsia" w:ascii="仿宋_GB2312" w:hAnsi="仿宋_GB2312" w:eastAsia="仿宋_GB2312" w:cs="仿宋_GB2312"/>
                <w:sz w:val="24"/>
                <w:szCs w:val="24"/>
              </w:rPr>
            </w:pPr>
          </w:p>
        </w:tc>
        <w:tc>
          <w:tcPr>
            <w:tcW w:w="2017" w:type="dxa"/>
            <w:vAlign w:val="center"/>
          </w:tcPr>
          <w:p>
            <w:pPr>
              <w:widowControl/>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均质调节池</w:t>
            </w:r>
          </w:p>
        </w:tc>
        <w:tc>
          <w:tcPr>
            <w:tcW w:w="4262" w:type="dxa"/>
          </w:tcPr>
          <w:p>
            <w:pPr>
              <w:widowControl/>
              <w:contextualSpacing/>
              <w:jc w:val="left"/>
              <w:rPr>
                <w:rFonts w:hint="eastAsia"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 w:type="dxa"/>
            <w:vMerge w:val="continue"/>
            <w:vAlign w:val="center"/>
          </w:tcPr>
          <w:p>
            <w:pPr>
              <w:pStyle w:val="2"/>
              <w:ind w:firstLine="0"/>
              <w:rPr>
                <w:rFonts w:hint="eastAsia" w:ascii="仿宋_GB2312" w:hAnsi="仿宋_GB2312" w:eastAsia="仿宋_GB2312" w:cs="仿宋_GB2312"/>
                <w:sz w:val="24"/>
                <w:szCs w:val="24"/>
              </w:rPr>
            </w:pPr>
          </w:p>
        </w:tc>
        <w:tc>
          <w:tcPr>
            <w:tcW w:w="3072" w:type="dxa"/>
            <w:vMerge w:val="continue"/>
            <w:vAlign w:val="center"/>
          </w:tcPr>
          <w:p>
            <w:pPr>
              <w:pStyle w:val="2"/>
              <w:ind w:firstLine="0"/>
              <w:rPr>
                <w:rFonts w:hint="eastAsia" w:ascii="仿宋_GB2312" w:hAnsi="仿宋_GB2312" w:eastAsia="仿宋_GB2312" w:cs="仿宋_GB2312"/>
                <w:sz w:val="24"/>
                <w:szCs w:val="24"/>
              </w:rPr>
            </w:pPr>
          </w:p>
        </w:tc>
        <w:tc>
          <w:tcPr>
            <w:tcW w:w="2017" w:type="dxa"/>
            <w:vAlign w:val="center"/>
          </w:tcPr>
          <w:p>
            <w:pPr>
              <w:widowControl/>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一级接触好氧池</w:t>
            </w:r>
          </w:p>
        </w:tc>
        <w:tc>
          <w:tcPr>
            <w:tcW w:w="4262" w:type="dxa"/>
          </w:tcPr>
          <w:p>
            <w:pPr>
              <w:widowControl/>
              <w:contextualSpacing/>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碳钢防腐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 w:type="dxa"/>
            <w:vMerge w:val="continue"/>
            <w:vAlign w:val="center"/>
          </w:tcPr>
          <w:p>
            <w:pPr>
              <w:pStyle w:val="2"/>
              <w:ind w:firstLine="0"/>
              <w:rPr>
                <w:rFonts w:hint="eastAsia" w:ascii="仿宋_GB2312" w:hAnsi="仿宋_GB2312" w:eastAsia="仿宋_GB2312" w:cs="仿宋_GB2312"/>
                <w:sz w:val="24"/>
                <w:szCs w:val="24"/>
              </w:rPr>
            </w:pPr>
          </w:p>
        </w:tc>
        <w:tc>
          <w:tcPr>
            <w:tcW w:w="3072" w:type="dxa"/>
            <w:vMerge w:val="continue"/>
            <w:vAlign w:val="center"/>
          </w:tcPr>
          <w:p>
            <w:pPr>
              <w:pStyle w:val="2"/>
              <w:ind w:firstLine="0"/>
              <w:rPr>
                <w:rFonts w:hint="eastAsia" w:ascii="仿宋_GB2312" w:hAnsi="仿宋_GB2312" w:eastAsia="仿宋_GB2312" w:cs="仿宋_GB2312"/>
                <w:sz w:val="24"/>
                <w:szCs w:val="24"/>
              </w:rPr>
            </w:pPr>
          </w:p>
        </w:tc>
        <w:tc>
          <w:tcPr>
            <w:tcW w:w="2017" w:type="dxa"/>
            <w:vAlign w:val="center"/>
          </w:tcPr>
          <w:p>
            <w:pPr>
              <w:widowControl/>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缺氧池</w:t>
            </w:r>
          </w:p>
        </w:tc>
        <w:tc>
          <w:tcPr>
            <w:tcW w:w="4262" w:type="dxa"/>
          </w:tcPr>
          <w:p>
            <w:pPr>
              <w:widowControl/>
              <w:contextualSpacing/>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碳钢防腐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 w:type="dxa"/>
            <w:vMerge w:val="continue"/>
            <w:vAlign w:val="center"/>
          </w:tcPr>
          <w:p>
            <w:pPr>
              <w:pStyle w:val="2"/>
              <w:ind w:firstLine="0"/>
              <w:rPr>
                <w:rFonts w:hint="eastAsia" w:ascii="仿宋_GB2312" w:hAnsi="仿宋_GB2312" w:eastAsia="仿宋_GB2312" w:cs="仿宋_GB2312"/>
                <w:sz w:val="24"/>
                <w:szCs w:val="24"/>
              </w:rPr>
            </w:pPr>
          </w:p>
        </w:tc>
        <w:tc>
          <w:tcPr>
            <w:tcW w:w="3072" w:type="dxa"/>
            <w:vMerge w:val="continue"/>
            <w:vAlign w:val="center"/>
          </w:tcPr>
          <w:p>
            <w:pPr>
              <w:pStyle w:val="2"/>
              <w:ind w:firstLine="0"/>
              <w:rPr>
                <w:rFonts w:hint="eastAsia" w:ascii="仿宋_GB2312" w:hAnsi="仿宋_GB2312" w:eastAsia="仿宋_GB2312" w:cs="仿宋_GB2312"/>
                <w:sz w:val="24"/>
                <w:szCs w:val="24"/>
              </w:rPr>
            </w:pPr>
          </w:p>
        </w:tc>
        <w:tc>
          <w:tcPr>
            <w:tcW w:w="2017" w:type="dxa"/>
            <w:vAlign w:val="center"/>
          </w:tcPr>
          <w:p>
            <w:pPr>
              <w:widowControl/>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二级接触好氧池</w:t>
            </w:r>
          </w:p>
        </w:tc>
        <w:tc>
          <w:tcPr>
            <w:tcW w:w="4262" w:type="dxa"/>
          </w:tcPr>
          <w:p>
            <w:pPr>
              <w:widowControl/>
              <w:contextualSpacing/>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碳钢防腐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 w:type="dxa"/>
            <w:vMerge w:val="continue"/>
            <w:vAlign w:val="center"/>
          </w:tcPr>
          <w:p>
            <w:pPr>
              <w:pStyle w:val="2"/>
              <w:ind w:firstLine="0"/>
              <w:rPr>
                <w:rFonts w:hint="eastAsia" w:ascii="仿宋_GB2312" w:hAnsi="仿宋_GB2312" w:eastAsia="仿宋_GB2312" w:cs="仿宋_GB2312"/>
                <w:sz w:val="24"/>
                <w:szCs w:val="24"/>
              </w:rPr>
            </w:pPr>
          </w:p>
        </w:tc>
        <w:tc>
          <w:tcPr>
            <w:tcW w:w="3072" w:type="dxa"/>
            <w:vMerge w:val="continue"/>
            <w:vAlign w:val="center"/>
          </w:tcPr>
          <w:p>
            <w:pPr>
              <w:pStyle w:val="2"/>
              <w:ind w:firstLine="0"/>
              <w:rPr>
                <w:rFonts w:hint="eastAsia" w:ascii="仿宋_GB2312" w:hAnsi="仿宋_GB2312" w:eastAsia="仿宋_GB2312" w:cs="仿宋_GB2312"/>
                <w:sz w:val="24"/>
                <w:szCs w:val="24"/>
              </w:rPr>
            </w:pPr>
          </w:p>
        </w:tc>
        <w:tc>
          <w:tcPr>
            <w:tcW w:w="2017" w:type="dxa"/>
            <w:vAlign w:val="center"/>
          </w:tcPr>
          <w:p>
            <w:pPr>
              <w:widowControl/>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二次沉淀池</w:t>
            </w:r>
          </w:p>
        </w:tc>
        <w:tc>
          <w:tcPr>
            <w:tcW w:w="4262" w:type="dxa"/>
          </w:tcPr>
          <w:p>
            <w:pPr>
              <w:widowControl/>
              <w:contextualSpacing/>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碳钢防腐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 w:type="dxa"/>
            <w:vMerge w:val="continue"/>
            <w:vAlign w:val="center"/>
          </w:tcPr>
          <w:p>
            <w:pPr>
              <w:pStyle w:val="2"/>
              <w:ind w:firstLine="0"/>
              <w:rPr>
                <w:rFonts w:hint="eastAsia" w:ascii="仿宋_GB2312" w:hAnsi="仿宋_GB2312" w:eastAsia="仿宋_GB2312" w:cs="仿宋_GB2312"/>
                <w:sz w:val="24"/>
                <w:szCs w:val="24"/>
              </w:rPr>
            </w:pPr>
          </w:p>
        </w:tc>
        <w:tc>
          <w:tcPr>
            <w:tcW w:w="3072" w:type="dxa"/>
            <w:vMerge w:val="continue"/>
            <w:vAlign w:val="center"/>
          </w:tcPr>
          <w:p>
            <w:pPr>
              <w:pStyle w:val="2"/>
              <w:ind w:firstLine="0"/>
              <w:rPr>
                <w:rFonts w:hint="eastAsia" w:ascii="仿宋_GB2312" w:hAnsi="仿宋_GB2312" w:eastAsia="仿宋_GB2312" w:cs="仿宋_GB2312"/>
                <w:sz w:val="24"/>
                <w:szCs w:val="24"/>
              </w:rPr>
            </w:pPr>
          </w:p>
        </w:tc>
        <w:tc>
          <w:tcPr>
            <w:tcW w:w="2017" w:type="dxa"/>
            <w:vAlign w:val="center"/>
          </w:tcPr>
          <w:p>
            <w:pPr>
              <w:widowControl/>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中间水池</w:t>
            </w:r>
          </w:p>
        </w:tc>
        <w:tc>
          <w:tcPr>
            <w:tcW w:w="4262" w:type="dxa"/>
          </w:tcPr>
          <w:p>
            <w:pPr>
              <w:widowControl/>
              <w:contextualSpacing/>
              <w:jc w:val="left"/>
              <w:rPr>
                <w:rFonts w:hint="eastAsia"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 w:type="dxa"/>
            <w:vMerge w:val="continue"/>
            <w:vAlign w:val="center"/>
          </w:tcPr>
          <w:p>
            <w:pPr>
              <w:pStyle w:val="2"/>
              <w:ind w:firstLine="0"/>
              <w:rPr>
                <w:rFonts w:hint="eastAsia" w:ascii="仿宋_GB2312" w:hAnsi="仿宋_GB2312" w:eastAsia="仿宋_GB2312" w:cs="仿宋_GB2312"/>
                <w:sz w:val="24"/>
                <w:szCs w:val="24"/>
              </w:rPr>
            </w:pPr>
          </w:p>
        </w:tc>
        <w:tc>
          <w:tcPr>
            <w:tcW w:w="3072" w:type="dxa"/>
            <w:vMerge w:val="continue"/>
            <w:vAlign w:val="center"/>
          </w:tcPr>
          <w:p>
            <w:pPr>
              <w:pStyle w:val="2"/>
              <w:ind w:firstLine="0"/>
              <w:rPr>
                <w:rFonts w:hint="eastAsia" w:ascii="仿宋_GB2312" w:hAnsi="仿宋_GB2312" w:eastAsia="仿宋_GB2312" w:cs="仿宋_GB2312"/>
                <w:sz w:val="24"/>
                <w:szCs w:val="24"/>
              </w:rPr>
            </w:pPr>
          </w:p>
        </w:tc>
        <w:tc>
          <w:tcPr>
            <w:tcW w:w="2017" w:type="dxa"/>
            <w:vAlign w:val="center"/>
          </w:tcPr>
          <w:p>
            <w:pPr>
              <w:widowControl/>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多介质过滤器</w:t>
            </w:r>
          </w:p>
        </w:tc>
        <w:tc>
          <w:tcPr>
            <w:tcW w:w="4262" w:type="dxa"/>
          </w:tcPr>
          <w:p>
            <w:pPr>
              <w:widowControl/>
              <w:contextualSpacing/>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碳钢防腐3台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805" w:type="dxa"/>
            <w:vMerge w:val="continue"/>
            <w:vAlign w:val="center"/>
          </w:tcPr>
          <w:p>
            <w:pPr>
              <w:pStyle w:val="2"/>
              <w:ind w:firstLine="0"/>
              <w:rPr>
                <w:rFonts w:hint="eastAsia" w:ascii="仿宋_GB2312" w:hAnsi="仿宋_GB2312" w:eastAsia="仿宋_GB2312" w:cs="仿宋_GB2312"/>
                <w:sz w:val="24"/>
                <w:szCs w:val="24"/>
              </w:rPr>
            </w:pPr>
          </w:p>
        </w:tc>
        <w:tc>
          <w:tcPr>
            <w:tcW w:w="3072" w:type="dxa"/>
            <w:vMerge w:val="continue"/>
            <w:vAlign w:val="center"/>
          </w:tcPr>
          <w:p>
            <w:pPr>
              <w:pStyle w:val="2"/>
              <w:ind w:firstLine="0"/>
              <w:rPr>
                <w:rFonts w:hint="eastAsia" w:ascii="仿宋_GB2312" w:hAnsi="仿宋_GB2312" w:eastAsia="仿宋_GB2312" w:cs="仿宋_GB2312"/>
                <w:sz w:val="24"/>
                <w:szCs w:val="24"/>
              </w:rPr>
            </w:pPr>
          </w:p>
        </w:tc>
        <w:tc>
          <w:tcPr>
            <w:tcW w:w="2017" w:type="dxa"/>
            <w:vAlign w:val="center"/>
          </w:tcPr>
          <w:p>
            <w:pPr>
              <w:widowControl/>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活性炭过滤器</w:t>
            </w:r>
          </w:p>
        </w:tc>
        <w:tc>
          <w:tcPr>
            <w:tcW w:w="4262" w:type="dxa"/>
          </w:tcPr>
          <w:p>
            <w:pPr>
              <w:widowControl/>
              <w:contextualSpacing/>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碳钢防腐3台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805" w:type="dxa"/>
            <w:vMerge w:val="continue"/>
            <w:vAlign w:val="center"/>
          </w:tcPr>
          <w:p>
            <w:pPr>
              <w:pStyle w:val="2"/>
              <w:ind w:firstLine="0"/>
              <w:rPr>
                <w:rFonts w:hint="eastAsia" w:ascii="仿宋_GB2312" w:hAnsi="仿宋_GB2312" w:eastAsia="仿宋_GB2312" w:cs="仿宋_GB2312"/>
                <w:sz w:val="24"/>
                <w:szCs w:val="24"/>
              </w:rPr>
            </w:pPr>
          </w:p>
        </w:tc>
        <w:tc>
          <w:tcPr>
            <w:tcW w:w="3072" w:type="dxa"/>
            <w:vMerge w:val="continue"/>
            <w:vAlign w:val="center"/>
          </w:tcPr>
          <w:p>
            <w:pPr>
              <w:pStyle w:val="2"/>
              <w:ind w:firstLine="0"/>
              <w:rPr>
                <w:rFonts w:hint="eastAsia" w:ascii="仿宋_GB2312" w:hAnsi="仿宋_GB2312" w:eastAsia="仿宋_GB2312" w:cs="仿宋_GB2312"/>
                <w:sz w:val="24"/>
                <w:szCs w:val="24"/>
              </w:rPr>
            </w:pPr>
          </w:p>
        </w:tc>
        <w:tc>
          <w:tcPr>
            <w:tcW w:w="2017" w:type="dxa"/>
            <w:vAlign w:val="center"/>
          </w:tcPr>
          <w:p>
            <w:pPr>
              <w:widowControl/>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中水回用水池</w:t>
            </w:r>
          </w:p>
        </w:tc>
        <w:tc>
          <w:tcPr>
            <w:tcW w:w="4262" w:type="dxa"/>
          </w:tcPr>
          <w:p>
            <w:pPr>
              <w:widowControl/>
              <w:contextualSpacing/>
              <w:jc w:val="left"/>
              <w:rPr>
                <w:rFonts w:hint="eastAsia"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805" w:type="dxa"/>
            <w:vMerge w:val="continue"/>
            <w:vAlign w:val="center"/>
          </w:tcPr>
          <w:p>
            <w:pPr>
              <w:pStyle w:val="2"/>
              <w:ind w:firstLine="0"/>
              <w:rPr>
                <w:rFonts w:hint="eastAsia" w:ascii="仿宋_GB2312" w:hAnsi="仿宋_GB2312" w:eastAsia="仿宋_GB2312" w:cs="仿宋_GB2312"/>
                <w:sz w:val="24"/>
                <w:szCs w:val="24"/>
              </w:rPr>
            </w:pPr>
          </w:p>
        </w:tc>
        <w:tc>
          <w:tcPr>
            <w:tcW w:w="3072" w:type="dxa"/>
            <w:vMerge w:val="continue"/>
            <w:vAlign w:val="center"/>
          </w:tcPr>
          <w:p>
            <w:pPr>
              <w:pStyle w:val="2"/>
              <w:ind w:firstLine="0"/>
              <w:rPr>
                <w:rFonts w:hint="eastAsia" w:ascii="仿宋_GB2312" w:hAnsi="仿宋_GB2312" w:eastAsia="仿宋_GB2312" w:cs="仿宋_GB2312"/>
                <w:sz w:val="24"/>
                <w:szCs w:val="24"/>
              </w:rPr>
            </w:pPr>
          </w:p>
        </w:tc>
        <w:tc>
          <w:tcPr>
            <w:tcW w:w="2017" w:type="dxa"/>
            <w:vAlign w:val="center"/>
          </w:tcPr>
          <w:p>
            <w:pPr>
              <w:widowControl/>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污泥浓缩池</w:t>
            </w:r>
          </w:p>
        </w:tc>
        <w:tc>
          <w:tcPr>
            <w:tcW w:w="4262" w:type="dxa"/>
          </w:tcPr>
          <w:p>
            <w:pPr>
              <w:widowControl/>
              <w:contextualSpacing/>
              <w:jc w:val="left"/>
              <w:rPr>
                <w:rFonts w:hint="eastAsia"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 w:type="dxa"/>
            <w:vMerge w:val="restart"/>
            <w:vAlign w:val="center"/>
          </w:tcPr>
          <w:p>
            <w:pPr>
              <w:widowControl/>
              <w:ind w:firstLine="240" w:firstLineChars="100"/>
              <w:contextualSpacing/>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w:t>
            </w:r>
          </w:p>
        </w:tc>
        <w:tc>
          <w:tcPr>
            <w:tcW w:w="3072" w:type="dxa"/>
            <w:vMerge w:val="restart"/>
            <w:vAlign w:val="center"/>
          </w:tcPr>
          <w:p>
            <w:pPr>
              <w:widowControl/>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强电系统</w:t>
            </w:r>
          </w:p>
        </w:tc>
        <w:tc>
          <w:tcPr>
            <w:tcW w:w="2017" w:type="dxa"/>
            <w:vAlign w:val="center"/>
          </w:tcPr>
          <w:p>
            <w:pPr>
              <w:widowControl/>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配电柜</w:t>
            </w:r>
          </w:p>
        </w:tc>
        <w:tc>
          <w:tcPr>
            <w:tcW w:w="4262" w:type="dxa"/>
          </w:tcPr>
          <w:p>
            <w:pPr>
              <w:widowControl/>
              <w:contextualSpacing/>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电力电缆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 w:type="dxa"/>
            <w:vMerge w:val="continue"/>
            <w:vAlign w:val="center"/>
          </w:tcPr>
          <w:p>
            <w:pPr>
              <w:widowControl/>
              <w:ind w:firstLine="480" w:firstLineChars="200"/>
              <w:contextualSpacing/>
              <w:rPr>
                <w:rFonts w:hint="eastAsia" w:ascii="仿宋_GB2312" w:hAnsi="仿宋_GB2312" w:eastAsia="仿宋_GB2312" w:cs="仿宋_GB2312"/>
                <w:sz w:val="24"/>
                <w:szCs w:val="24"/>
              </w:rPr>
            </w:pPr>
          </w:p>
        </w:tc>
        <w:tc>
          <w:tcPr>
            <w:tcW w:w="3072" w:type="dxa"/>
            <w:vMerge w:val="continue"/>
            <w:vAlign w:val="center"/>
          </w:tcPr>
          <w:p>
            <w:pPr>
              <w:widowControl/>
              <w:ind w:firstLine="480" w:firstLineChars="200"/>
              <w:contextualSpacing/>
              <w:rPr>
                <w:rFonts w:hint="eastAsia" w:ascii="仿宋_GB2312" w:hAnsi="仿宋_GB2312" w:eastAsia="仿宋_GB2312" w:cs="仿宋_GB2312"/>
                <w:sz w:val="24"/>
                <w:szCs w:val="24"/>
              </w:rPr>
            </w:pPr>
          </w:p>
        </w:tc>
        <w:tc>
          <w:tcPr>
            <w:tcW w:w="2017" w:type="dxa"/>
            <w:vAlign w:val="center"/>
          </w:tcPr>
          <w:p>
            <w:pPr>
              <w:widowControl/>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照明</w:t>
            </w:r>
          </w:p>
        </w:tc>
        <w:tc>
          <w:tcPr>
            <w:tcW w:w="4262" w:type="dxa"/>
          </w:tcPr>
          <w:p>
            <w:pPr>
              <w:widowControl/>
              <w:contextualSpacing/>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照明柜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805" w:type="dxa"/>
            <w:vAlign w:val="center"/>
          </w:tcPr>
          <w:p>
            <w:pPr>
              <w:widowControl/>
              <w:ind w:firstLine="240" w:firstLineChars="100"/>
              <w:contextualSpacing/>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4</w:t>
            </w:r>
          </w:p>
        </w:tc>
        <w:tc>
          <w:tcPr>
            <w:tcW w:w="3072" w:type="dxa"/>
            <w:vAlign w:val="center"/>
          </w:tcPr>
          <w:p>
            <w:pPr>
              <w:widowControl/>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弱电系统</w:t>
            </w:r>
          </w:p>
        </w:tc>
        <w:tc>
          <w:tcPr>
            <w:tcW w:w="2017" w:type="dxa"/>
            <w:vAlign w:val="center"/>
          </w:tcPr>
          <w:p>
            <w:pPr>
              <w:widowControl/>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自控系统</w:t>
            </w:r>
          </w:p>
        </w:tc>
        <w:tc>
          <w:tcPr>
            <w:tcW w:w="4262" w:type="dxa"/>
          </w:tcPr>
          <w:p>
            <w:pPr>
              <w:widowControl/>
              <w:contextualSpacing/>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PLC机柜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805" w:type="dxa"/>
            <w:vMerge w:val="restart"/>
            <w:vAlign w:val="center"/>
          </w:tcPr>
          <w:p>
            <w:pPr>
              <w:widowControl/>
              <w:ind w:firstLine="240" w:firstLineChars="100"/>
              <w:contextualSpacing/>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5</w:t>
            </w:r>
          </w:p>
        </w:tc>
        <w:tc>
          <w:tcPr>
            <w:tcW w:w="3072" w:type="dxa"/>
            <w:vMerge w:val="restart"/>
            <w:vAlign w:val="center"/>
          </w:tcPr>
          <w:p>
            <w:pPr>
              <w:widowControl/>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主要设备</w:t>
            </w:r>
          </w:p>
          <w:p>
            <w:pPr>
              <w:widowControl/>
              <w:ind w:firstLine="480" w:firstLineChars="200"/>
              <w:contextualSpacing/>
              <w:rPr>
                <w:rFonts w:hint="eastAsia" w:ascii="仿宋_GB2312" w:hAnsi="仿宋_GB2312" w:eastAsia="仿宋_GB2312" w:cs="仿宋_GB2312"/>
                <w:sz w:val="24"/>
                <w:szCs w:val="24"/>
              </w:rPr>
            </w:pPr>
          </w:p>
          <w:p>
            <w:pPr>
              <w:pStyle w:val="2"/>
              <w:rPr>
                <w:rFonts w:hint="eastAsia" w:ascii="仿宋_GB2312" w:hAnsi="仿宋_GB2312" w:eastAsia="仿宋_GB2312" w:cs="仿宋_GB2312"/>
                <w:sz w:val="24"/>
                <w:szCs w:val="24"/>
              </w:rPr>
            </w:pPr>
          </w:p>
        </w:tc>
        <w:tc>
          <w:tcPr>
            <w:tcW w:w="2017" w:type="dxa"/>
            <w:vAlign w:val="center"/>
          </w:tcPr>
          <w:p>
            <w:pPr>
              <w:widowControl/>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闸门</w:t>
            </w:r>
          </w:p>
        </w:tc>
        <w:tc>
          <w:tcPr>
            <w:tcW w:w="4262" w:type="dxa"/>
          </w:tcPr>
          <w:p>
            <w:pPr>
              <w:widowControl/>
              <w:contextualSpacing/>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YZ-400，配套手动启闭机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805" w:type="dxa"/>
            <w:vMerge w:val="continue"/>
            <w:vAlign w:val="center"/>
          </w:tcPr>
          <w:p>
            <w:pPr>
              <w:widowControl/>
              <w:ind w:firstLine="480" w:firstLineChars="200"/>
              <w:contextualSpacing/>
              <w:rPr>
                <w:rFonts w:hint="eastAsia" w:ascii="仿宋_GB2312" w:hAnsi="仿宋_GB2312" w:eastAsia="仿宋_GB2312" w:cs="仿宋_GB2312"/>
                <w:sz w:val="24"/>
                <w:szCs w:val="24"/>
              </w:rPr>
            </w:pPr>
          </w:p>
        </w:tc>
        <w:tc>
          <w:tcPr>
            <w:tcW w:w="3072" w:type="dxa"/>
            <w:vMerge w:val="continue"/>
            <w:vAlign w:val="center"/>
          </w:tcPr>
          <w:p>
            <w:pPr>
              <w:widowControl/>
              <w:ind w:firstLine="480" w:firstLineChars="200"/>
              <w:contextualSpacing/>
              <w:rPr>
                <w:rFonts w:hint="eastAsia" w:ascii="仿宋_GB2312" w:hAnsi="仿宋_GB2312" w:eastAsia="仿宋_GB2312" w:cs="仿宋_GB2312"/>
                <w:sz w:val="24"/>
                <w:szCs w:val="24"/>
              </w:rPr>
            </w:pPr>
          </w:p>
        </w:tc>
        <w:tc>
          <w:tcPr>
            <w:tcW w:w="2017" w:type="dxa"/>
            <w:vAlign w:val="center"/>
          </w:tcPr>
          <w:p>
            <w:pPr>
              <w:widowControl/>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机械格栅</w:t>
            </w:r>
          </w:p>
        </w:tc>
        <w:tc>
          <w:tcPr>
            <w:tcW w:w="4262" w:type="dxa"/>
          </w:tcPr>
          <w:p>
            <w:pPr>
              <w:widowControl/>
              <w:contextualSpacing/>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HF-800，N=0.75KW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805" w:type="dxa"/>
            <w:vMerge w:val="continue"/>
            <w:vAlign w:val="center"/>
          </w:tcPr>
          <w:p>
            <w:pPr>
              <w:widowControl/>
              <w:ind w:firstLine="480" w:firstLineChars="200"/>
              <w:contextualSpacing/>
              <w:rPr>
                <w:rFonts w:hint="eastAsia" w:ascii="仿宋_GB2312" w:hAnsi="仿宋_GB2312" w:eastAsia="仿宋_GB2312" w:cs="仿宋_GB2312"/>
                <w:sz w:val="24"/>
                <w:szCs w:val="24"/>
              </w:rPr>
            </w:pPr>
          </w:p>
        </w:tc>
        <w:tc>
          <w:tcPr>
            <w:tcW w:w="3072" w:type="dxa"/>
            <w:vMerge w:val="continue"/>
            <w:vAlign w:val="center"/>
          </w:tcPr>
          <w:p>
            <w:pPr>
              <w:widowControl/>
              <w:ind w:firstLine="480" w:firstLineChars="200"/>
              <w:contextualSpacing/>
              <w:rPr>
                <w:rFonts w:hint="eastAsia" w:ascii="仿宋_GB2312" w:hAnsi="仿宋_GB2312" w:eastAsia="仿宋_GB2312" w:cs="仿宋_GB2312"/>
                <w:sz w:val="24"/>
                <w:szCs w:val="24"/>
              </w:rPr>
            </w:pPr>
          </w:p>
        </w:tc>
        <w:tc>
          <w:tcPr>
            <w:tcW w:w="2017" w:type="dxa"/>
            <w:vAlign w:val="center"/>
          </w:tcPr>
          <w:p>
            <w:pPr>
              <w:widowControl/>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人工格栅</w:t>
            </w:r>
          </w:p>
        </w:tc>
        <w:tc>
          <w:tcPr>
            <w:tcW w:w="4262" w:type="dxa"/>
          </w:tcPr>
          <w:p>
            <w:pPr>
              <w:widowControl/>
              <w:contextualSpacing/>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PG-800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05" w:type="dxa"/>
            <w:vMerge w:val="continue"/>
            <w:vAlign w:val="center"/>
          </w:tcPr>
          <w:p>
            <w:pPr>
              <w:widowControl/>
              <w:ind w:firstLine="480" w:firstLineChars="200"/>
              <w:contextualSpacing/>
              <w:rPr>
                <w:rFonts w:hint="eastAsia" w:ascii="仿宋_GB2312" w:hAnsi="仿宋_GB2312" w:eastAsia="仿宋_GB2312" w:cs="仿宋_GB2312"/>
                <w:sz w:val="24"/>
                <w:szCs w:val="24"/>
              </w:rPr>
            </w:pPr>
          </w:p>
        </w:tc>
        <w:tc>
          <w:tcPr>
            <w:tcW w:w="3072" w:type="dxa"/>
            <w:vMerge w:val="continue"/>
            <w:vAlign w:val="center"/>
          </w:tcPr>
          <w:p>
            <w:pPr>
              <w:widowControl/>
              <w:ind w:firstLine="480" w:firstLineChars="200"/>
              <w:contextualSpacing/>
              <w:rPr>
                <w:rFonts w:hint="eastAsia" w:ascii="仿宋_GB2312" w:hAnsi="仿宋_GB2312" w:eastAsia="仿宋_GB2312" w:cs="仿宋_GB2312"/>
                <w:sz w:val="24"/>
                <w:szCs w:val="24"/>
              </w:rPr>
            </w:pPr>
          </w:p>
        </w:tc>
        <w:tc>
          <w:tcPr>
            <w:tcW w:w="2017" w:type="dxa"/>
            <w:vAlign w:val="center"/>
          </w:tcPr>
          <w:p>
            <w:pPr>
              <w:widowControl/>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接渣小车</w:t>
            </w:r>
          </w:p>
        </w:tc>
        <w:tc>
          <w:tcPr>
            <w:tcW w:w="4262" w:type="dxa"/>
          </w:tcPr>
          <w:p>
            <w:pPr>
              <w:widowControl/>
              <w:contextualSpacing/>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机械格栅配套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 w:type="dxa"/>
            <w:vMerge w:val="continue"/>
            <w:vAlign w:val="center"/>
          </w:tcPr>
          <w:p>
            <w:pPr>
              <w:widowControl/>
              <w:ind w:firstLine="480" w:firstLineChars="200"/>
              <w:contextualSpacing/>
              <w:rPr>
                <w:rFonts w:hint="eastAsia" w:ascii="仿宋_GB2312" w:hAnsi="仿宋_GB2312" w:eastAsia="仿宋_GB2312" w:cs="仿宋_GB2312"/>
                <w:sz w:val="24"/>
                <w:szCs w:val="24"/>
              </w:rPr>
            </w:pPr>
          </w:p>
        </w:tc>
        <w:tc>
          <w:tcPr>
            <w:tcW w:w="3072" w:type="dxa"/>
            <w:vMerge w:val="continue"/>
            <w:vAlign w:val="center"/>
          </w:tcPr>
          <w:p>
            <w:pPr>
              <w:widowControl/>
              <w:ind w:firstLine="480" w:firstLineChars="200"/>
              <w:contextualSpacing/>
              <w:rPr>
                <w:rFonts w:hint="eastAsia" w:ascii="仿宋_GB2312" w:hAnsi="仿宋_GB2312" w:eastAsia="仿宋_GB2312" w:cs="仿宋_GB2312"/>
                <w:sz w:val="24"/>
                <w:szCs w:val="24"/>
              </w:rPr>
            </w:pPr>
          </w:p>
        </w:tc>
        <w:tc>
          <w:tcPr>
            <w:tcW w:w="2017" w:type="dxa"/>
            <w:vAlign w:val="center"/>
          </w:tcPr>
          <w:p>
            <w:pPr>
              <w:widowControl/>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一级提升泵</w:t>
            </w:r>
          </w:p>
        </w:tc>
        <w:tc>
          <w:tcPr>
            <w:tcW w:w="4262" w:type="dxa"/>
          </w:tcPr>
          <w:p>
            <w:pPr>
              <w:widowControl/>
              <w:contextualSpacing/>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150WQ11O-15-7.5,N=7.5KW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05" w:type="dxa"/>
            <w:vMerge w:val="continue"/>
            <w:vAlign w:val="center"/>
          </w:tcPr>
          <w:p>
            <w:pPr>
              <w:widowControl/>
              <w:ind w:firstLine="480" w:firstLineChars="200"/>
              <w:contextualSpacing/>
              <w:rPr>
                <w:rFonts w:hint="eastAsia" w:ascii="仿宋_GB2312" w:hAnsi="仿宋_GB2312" w:eastAsia="仿宋_GB2312" w:cs="仿宋_GB2312"/>
                <w:sz w:val="24"/>
                <w:szCs w:val="24"/>
              </w:rPr>
            </w:pPr>
          </w:p>
        </w:tc>
        <w:tc>
          <w:tcPr>
            <w:tcW w:w="3072" w:type="dxa"/>
            <w:vMerge w:val="continue"/>
            <w:vAlign w:val="center"/>
          </w:tcPr>
          <w:p>
            <w:pPr>
              <w:widowControl/>
              <w:ind w:firstLine="480" w:firstLineChars="200"/>
              <w:contextualSpacing/>
              <w:rPr>
                <w:rFonts w:hint="eastAsia" w:ascii="仿宋_GB2312" w:hAnsi="仿宋_GB2312" w:eastAsia="仿宋_GB2312" w:cs="仿宋_GB2312"/>
                <w:sz w:val="24"/>
                <w:szCs w:val="24"/>
              </w:rPr>
            </w:pPr>
          </w:p>
        </w:tc>
        <w:tc>
          <w:tcPr>
            <w:tcW w:w="2017" w:type="dxa"/>
            <w:vAlign w:val="center"/>
          </w:tcPr>
          <w:p>
            <w:pPr>
              <w:widowControl/>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二级提升泵</w:t>
            </w:r>
          </w:p>
        </w:tc>
        <w:tc>
          <w:tcPr>
            <w:tcW w:w="4262" w:type="dxa"/>
          </w:tcPr>
          <w:p>
            <w:pPr>
              <w:widowControl/>
              <w:contextualSpacing/>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80WQ60-13-4,N=4.0KW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 w:type="dxa"/>
            <w:vMerge w:val="continue"/>
            <w:vAlign w:val="center"/>
          </w:tcPr>
          <w:p>
            <w:pPr>
              <w:widowControl/>
              <w:ind w:firstLine="480" w:firstLineChars="200"/>
              <w:contextualSpacing/>
              <w:rPr>
                <w:rFonts w:hint="eastAsia" w:ascii="仿宋_GB2312" w:hAnsi="仿宋_GB2312" w:eastAsia="仿宋_GB2312" w:cs="仿宋_GB2312"/>
                <w:sz w:val="24"/>
                <w:szCs w:val="24"/>
              </w:rPr>
            </w:pPr>
          </w:p>
        </w:tc>
        <w:tc>
          <w:tcPr>
            <w:tcW w:w="3072" w:type="dxa"/>
            <w:vMerge w:val="continue"/>
            <w:vAlign w:val="center"/>
          </w:tcPr>
          <w:p>
            <w:pPr>
              <w:widowControl/>
              <w:ind w:firstLine="480" w:firstLineChars="200"/>
              <w:contextualSpacing/>
              <w:rPr>
                <w:rFonts w:hint="eastAsia" w:ascii="仿宋_GB2312" w:hAnsi="仿宋_GB2312" w:eastAsia="仿宋_GB2312" w:cs="仿宋_GB2312"/>
                <w:sz w:val="24"/>
                <w:szCs w:val="24"/>
              </w:rPr>
            </w:pPr>
          </w:p>
        </w:tc>
        <w:tc>
          <w:tcPr>
            <w:tcW w:w="2017" w:type="dxa"/>
            <w:vAlign w:val="center"/>
          </w:tcPr>
          <w:p>
            <w:pPr>
              <w:widowControl/>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污泥提升泵</w:t>
            </w:r>
          </w:p>
        </w:tc>
        <w:tc>
          <w:tcPr>
            <w:tcW w:w="4262" w:type="dxa"/>
          </w:tcPr>
          <w:p>
            <w:pPr>
              <w:widowControl/>
              <w:contextualSpacing/>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150WQ10-15-1.1,N=1.1KW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805" w:type="dxa"/>
            <w:vMerge w:val="continue"/>
            <w:vAlign w:val="center"/>
          </w:tcPr>
          <w:p>
            <w:pPr>
              <w:widowControl/>
              <w:ind w:firstLine="480" w:firstLineChars="200"/>
              <w:contextualSpacing/>
              <w:rPr>
                <w:rFonts w:hint="eastAsia" w:ascii="仿宋_GB2312" w:hAnsi="仿宋_GB2312" w:eastAsia="仿宋_GB2312" w:cs="仿宋_GB2312"/>
                <w:sz w:val="24"/>
                <w:szCs w:val="24"/>
              </w:rPr>
            </w:pPr>
          </w:p>
        </w:tc>
        <w:tc>
          <w:tcPr>
            <w:tcW w:w="3072" w:type="dxa"/>
            <w:vMerge w:val="continue"/>
            <w:vAlign w:val="center"/>
          </w:tcPr>
          <w:p>
            <w:pPr>
              <w:widowControl/>
              <w:ind w:firstLine="480" w:firstLineChars="200"/>
              <w:contextualSpacing/>
              <w:rPr>
                <w:rFonts w:hint="eastAsia" w:ascii="仿宋_GB2312" w:hAnsi="仿宋_GB2312" w:eastAsia="仿宋_GB2312" w:cs="仿宋_GB2312"/>
                <w:sz w:val="24"/>
                <w:szCs w:val="24"/>
              </w:rPr>
            </w:pPr>
          </w:p>
        </w:tc>
        <w:tc>
          <w:tcPr>
            <w:tcW w:w="2017" w:type="dxa"/>
            <w:vAlign w:val="center"/>
          </w:tcPr>
          <w:p>
            <w:pPr>
              <w:widowControl/>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过滤提升泵</w:t>
            </w:r>
          </w:p>
        </w:tc>
        <w:tc>
          <w:tcPr>
            <w:tcW w:w="4262" w:type="dxa"/>
          </w:tcPr>
          <w:p>
            <w:pPr>
              <w:widowControl/>
              <w:contextualSpacing/>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150WQ130-30-22,N=22KW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805" w:type="dxa"/>
            <w:vMerge w:val="continue"/>
            <w:vAlign w:val="center"/>
          </w:tcPr>
          <w:p>
            <w:pPr>
              <w:widowControl/>
              <w:ind w:firstLine="480" w:firstLineChars="200"/>
              <w:contextualSpacing/>
              <w:rPr>
                <w:rFonts w:hint="eastAsia" w:ascii="仿宋_GB2312" w:hAnsi="仿宋_GB2312" w:eastAsia="仿宋_GB2312" w:cs="仿宋_GB2312"/>
                <w:sz w:val="24"/>
                <w:szCs w:val="24"/>
              </w:rPr>
            </w:pPr>
          </w:p>
        </w:tc>
        <w:tc>
          <w:tcPr>
            <w:tcW w:w="3072" w:type="dxa"/>
            <w:vMerge w:val="continue"/>
            <w:vAlign w:val="center"/>
          </w:tcPr>
          <w:p>
            <w:pPr>
              <w:widowControl/>
              <w:ind w:firstLine="480" w:firstLineChars="200"/>
              <w:contextualSpacing/>
              <w:rPr>
                <w:rFonts w:hint="eastAsia" w:ascii="仿宋_GB2312" w:hAnsi="仿宋_GB2312" w:eastAsia="仿宋_GB2312" w:cs="仿宋_GB2312"/>
                <w:sz w:val="24"/>
                <w:szCs w:val="24"/>
              </w:rPr>
            </w:pPr>
          </w:p>
        </w:tc>
        <w:tc>
          <w:tcPr>
            <w:tcW w:w="2017" w:type="dxa"/>
            <w:vAlign w:val="center"/>
          </w:tcPr>
          <w:p>
            <w:pPr>
              <w:widowControl/>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PAC加药装置</w:t>
            </w:r>
          </w:p>
        </w:tc>
        <w:tc>
          <w:tcPr>
            <w:tcW w:w="4262" w:type="dxa"/>
          </w:tcPr>
          <w:p>
            <w:pPr>
              <w:widowControl/>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JY-11型，装机功率2.2KW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805" w:type="dxa"/>
            <w:vMerge w:val="continue"/>
            <w:vAlign w:val="center"/>
          </w:tcPr>
          <w:p>
            <w:pPr>
              <w:widowControl/>
              <w:ind w:firstLine="480" w:firstLineChars="200"/>
              <w:contextualSpacing/>
              <w:rPr>
                <w:rFonts w:hint="eastAsia" w:ascii="仿宋_GB2312" w:hAnsi="仿宋_GB2312" w:eastAsia="仿宋_GB2312" w:cs="仿宋_GB2312"/>
                <w:sz w:val="24"/>
                <w:szCs w:val="24"/>
              </w:rPr>
            </w:pPr>
          </w:p>
        </w:tc>
        <w:tc>
          <w:tcPr>
            <w:tcW w:w="3072" w:type="dxa"/>
            <w:vMerge w:val="continue"/>
            <w:vAlign w:val="center"/>
          </w:tcPr>
          <w:p>
            <w:pPr>
              <w:widowControl/>
              <w:ind w:firstLine="480" w:firstLineChars="200"/>
              <w:contextualSpacing/>
              <w:rPr>
                <w:rFonts w:hint="eastAsia" w:ascii="仿宋_GB2312" w:hAnsi="仿宋_GB2312" w:eastAsia="仿宋_GB2312" w:cs="仿宋_GB2312"/>
                <w:sz w:val="24"/>
                <w:szCs w:val="24"/>
              </w:rPr>
            </w:pPr>
          </w:p>
        </w:tc>
        <w:tc>
          <w:tcPr>
            <w:tcW w:w="2017" w:type="dxa"/>
            <w:vAlign w:val="center"/>
          </w:tcPr>
          <w:p>
            <w:pPr>
              <w:widowControl/>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PAM加药装置</w:t>
            </w:r>
          </w:p>
        </w:tc>
        <w:tc>
          <w:tcPr>
            <w:tcW w:w="4262" w:type="dxa"/>
          </w:tcPr>
          <w:p>
            <w:pPr>
              <w:widowControl/>
              <w:contextualSpacing/>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JY-1型，装机功率1.5KW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805" w:type="dxa"/>
            <w:vMerge w:val="continue"/>
            <w:vAlign w:val="center"/>
          </w:tcPr>
          <w:p>
            <w:pPr>
              <w:pStyle w:val="2"/>
              <w:rPr>
                <w:rFonts w:hint="eastAsia" w:ascii="仿宋_GB2312" w:hAnsi="仿宋_GB2312" w:eastAsia="仿宋_GB2312" w:cs="仿宋_GB2312"/>
                <w:sz w:val="24"/>
                <w:szCs w:val="24"/>
              </w:rPr>
            </w:pPr>
          </w:p>
        </w:tc>
        <w:tc>
          <w:tcPr>
            <w:tcW w:w="3072" w:type="dxa"/>
            <w:vMerge w:val="continue"/>
            <w:vAlign w:val="center"/>
          </w:tcPr>
          <w:p>
            <w:pPr>
              <w:pStyle w:val="2"/>
              <w:rPr>
                <w:rFonts w:hint="eastAsia" w:ascii="仿宋_GB2312" w:hAnsi="仿宋_GB2312" w:eastAsia="仿宋_GB2312" w:cs="仿宋_GB2312"/>
                <w:sz w:val="24"/>
                <w:szCs w:val="24"/>
              </w:rPr>
            </w:pPr>
          </w:p>
        </w:tc>
        <w:tc>
          <w:tcPr>
            <w:tcW w:w="2017" w:type="dxa"/>
            <w:vAlign w:val="center"/>
          </w:tcPr>
          <w:p>
            <w:pPr>
              <w:widowControl/>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风机</w:t>
            </w:r>
          </w:p>
        </w:tc>
        <w:tc>
          <w:tcPr>
            <w:tcW w:w="4262" w:type="dxa"/>
          </w:tcPr>
          <w:p>
            <w:pPr>
              <w:widowControl/>
              <w:contextualSpacing/>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BK6015,N=30KW,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805" w:type="dxa"/>
            <w:vMerge w:val="continue"/>
            <w:vAlign w:val="center"/>
          </w:tcPr>
          <w:p>
            <w:pPr>
              <w:pStyle w:val="2"/>
              <w:rPr>
                <w:rFonts w:hint="eastAsia" w:ascii="仿宋_GB2312" w:hAnsi="仿宋_GB2312" w:eastAsia="仿宋_GB2312" w:cs="仿宋_GB2312"/>
                <w:sz w:val="24"/>
                <w:szCs w:val="24"/>
              </w:rPr>
            </w:pPr>
          </w:p>
        </w:tc>
        <w:tc>
          <w:tcPr>
            <w:tcW w:w="3072" w:type="dxa"/>
            <w:vMerge w:val="continue"/>
            <w:vAlign w:val="center"/>
          </w:tcPr>
          <w:p>
            <w:pPr>
              <w:pStyle w:val="2"/>
              <w:rPr>
                <w:rFonts w:hint="eastAsia" w:ascii="仿宋_GB2312" w:hAnsi="仿宋_GB2312" w:eastAsia="仿宋_GB2312" w:cs="仿宋_GB2312"/>
                <w:sz w:val="24"/>
                <w:szCs w:val="24"/>
              </w:rPr>
            </w:pPr>
          </w:p>
        </w:tc>
        <w:tc>
          <w:tcPr>
            <w:tcW w:w="2017" w:type="dxa"/>
            <w:vAlign w:val="center"/>
          </w:tcPr>
          <w:p>
            <w:pPr>
              <w:widowControl/>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反洗泵</w:t>
            </w:r>
          </w:p>
        </w:tc>
        <w:tc>
          <w:tcPr>
            <w:tcW w:w="4262" w:type="dxa"/>
          </w:tcPr>
          <w:p>
            <w:pPr>
              <w:widowControl/>
              <w:contextualSpacing/>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DFW150-250/4/18.5KW,1台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805" w:type="dxa"/>
            <w:vMerge w:val="continue"/>
            <w:vAlign w:val="center"/>
          </w:tcPr>
          <w:p>
            <w:pPr>
              <w:pStyle w:val="2"/>
              <w:rPr>
                <w:rFonts w:hint="eastAsia" w:ascii="仿宋_GB2312" w:hAnsi="仿宋_GB2312" w:eastAsia="仿宋_GB2312" w:cs="仿宋_GB2312"/>
                <w:sz w:val="24"/>
                <w:szCs w:val="24"/>
              </w:rPr>
            </w:pPr>
          </w:p>
        </w:tc>
        <w:tc>
          <w:tcPr>
            <w:tcW w:w="3072" w:type="dxa"/>
            <w:vMerge w:val="continue"/>
            <w:vAlign w:val="center"/>
          </w:tcPr>
          <w:p>
            <w:pPr>
              <w:pStyle w:val="2"/>
              <w:rPr>
                <w:rFonts w:hint="eastAsia" w:ascii="仿宋_GB2312" w:hAnsi="仿宋_GB2312" w:eastAsia="仿宋_GB2312" w:cs="仿宋_GB2312"/>
                <w:sz w:val="24"/>
                <w:szCs w:val="24"/>
              </w:rPr>
            </w:pPr>
          </w:p>
        </w:tc>
        <w:tc>
          <w:tcPr>
            <w:tcW w:w="2017" w:type="dxa"/>
            <w:vAlign w:val="center"/>
          </w:tcPr>
          <w:p>
            <w:pPr>
              <w:widowControl/>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污泥泵</w:t>
            </w:r>
          </w:p>
        </w:tc>
        <w:tc>
          <w:tcPr>
            <w:tcW w:w="4262" w:type="dxa"/>
          </w:tcPr>
          <w:p>
            <w:pPr>
              <w:widowControl/>
              <w:contextualSpacing/>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50GW12-15-1.5,N=1.5KW,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805" w:type="dxa"/>
            <w:vMerge w:val="continue"/>
            <w:vAlign w:val="center"/>
          </w:tcPr>
          <w:p>
            <w:pPr>
              <w:pStyle w:val="2"/>
              <w:rPr>
                <w:rFonts w:hint="eastAsia" w:ascii="仿宋_GB2312" w:hAnsi="仿宋_GB2312" w:eastAsia="仿宋_GB2312" w:cs="仿宋_GB2312"/>
                <w:sz w:val="24"/>
                <w:szCs w:val="24"/>
              </w:rPr>
            </w:pPr>
          </w:p>
        </w:tc>
        <w:tc>
          <w:tcPr>
            <w:tcW w:w="3072" w:type="dxa"/>
            <w:vMerge w:val="continue"/>
            <w:vAlign w:val="center"/>
          </w:tcPr>
          <w:p>
            <w:pPr>
              <w:pStyle w:val="2"/>
              <w:rPr>
                <w:rFonts w:hint="eastAsia" w:ascii="仿宋_GB2312" w:hAnsi="仿宋_GB2312" w:eastAsia="仿宋_GB2312" w:cs="仿宋_GB2312"/>
                <w:sz w:val="24"/>
                <w:szCs w:val="24"/>
              </w:rPr>
            </w:pPr>
          </w:p>
        </w:tc>
        <w:tc>
          <w:tcPr>
            <w:tcW w:w="2017" w:type="dxa"/>
            <w:vAlign w:val="center"/>
          </w:tcPr>
          <w:p>
            <w:pPr>
              <w:widowControl/>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次氯酸钠加药泵</w:t>
            </w:r>
          </w:p>
        </w:tc>
        <w:tc>
          <w:tcPr>
            <w:tcW w:w="4262" w:type="dxa"/>
          </w:tcPr>
          <w:p>
            <w:pPr>
              <w:widowControl/>
              <w:contextualSpacing/>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N=66W,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805" w:type="dxa"/>
            <w:vMerge w:val="continue"/>
            <w:vAlign w:val="center"/>
          </w:tcPr>
          <w:p>
            <w:pPr>
              <w:pStyle w:val="2"/>
              <w:rPr>
                <w:rFonts w:hint="eastAsia" w:ascii="仿宋_GB2312" w:hAnsi="仿宋_GB2312" w:eastAsia="仿宋_GB2312" w:cs="仿宋_GB2312"/>
                <w:sz w:val="24"/>
                <w:szCs w:val="24"/>
              </w:rPr>
            </w:pPr>
          </w:p>
        </w:tc>
        <w:tc>
          <w:tcPr>
            <w:tcW w:w="3072" w:type="dxa"/>
            <w:vMerge w:val="continue"/>
            <w:vAlign w:val="center"/>
          </w:tcPr>
          <w:p>
            <w:pPr>
              <w:pStyle w:val="2"/>
              <w:rPr>
                <w:rFonts w:hint="eastAsia" w:ascii="仿宋_GB2312" w:hAnsi="仿宋_GB2312" w:eastAsia="仿宋_GB2312" w:cs="仿宋_GB2312"/>
                <w:sz w:val="24"/>
                <w:szCs w:val="24"/>
              </w:rPr>
            </w:pPr>
          </w:p>
        </w:tc>
        <w:tc>
          <w:tcPr>
            <w:tcW w:w="2017" w:type="dxa"/>
            <w:vAlign w:val="center"/>
          </w:tcPr>
          <w:p>
            <w:pPr>
              <w:widowControl/>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再生水供水泵</w:t>
            </w:r>
          </w:p>
        </w:tc>
        <w:tc>
          <w:tcPr>
            <w:tcW w:w="4262" w:type="dxa"/>
          </w:tcPr>
          <w:p>
            <w:pPr>
              <w:widowControl/>
              <w:contextualSpacing/>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QDL90-2-45KW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805" w:type="dxa"/>
            <w:vMerge w:val="continue"/>
            <w:vAlign w:val="center"/>
          </w:tcPr>
          <w:p>
            <w:pPr>
              <w:pStyle w:val="2"/>
              <w:rPr>
                <w:rFonts w:hint="eastAsia" w:ascii="仿宋_GB2312" w:hAnsi="仿宋_GB2312" w:eastAsia="仿宋_GB2312" w:cs="仿宋_GB2312"/>
                <w:sz w:val="24"/>
                <w:szCs w:val="24"/>
              </w:rPr>
            </w:pPr>
          </w:p>
        </w:tc>
        <w:tc>
          <w:tcPr>
            <w:tcW w:w="3072" w:type="dxa"/>
            <w:vMerge w:val="continue"/>
            <w:vAlign w:val="center"/>
          </w:tcPr>
          <w:p>
            <w:pPr>
              <w:pStyle w:val="2"/>
              <w:rPr>
                <w:rFonts w:hint="eastAsia" w:ascii="仿宋_GB2312" w:hAnsi="仿宋_GB2312" w:eastAsia="仿宋_GB2312" w:cs="仿宋_GB2312"/>
                <w:sz w:val="24"/>
                <w:szCs w:val="24"/>
              </w:rPr>
            </w:pPr>
          </w:p>
        </w:tc>
        <w:tc>
          <w:tcPr>
            <w:tcW w:w="2017" w:type="dxa"/>
            <w:vAlign w:val="center"/>
          </w:tcPr>
          <w:p>
            <w:pPr>
              <w:widowControl/>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再生水调水泵</w:t>
            </w:r>
          </w:p>
        </w:tc>
        <w:tc>
          <w:tcPr>
            <w:tcW w:w="4262" w:type="dxa"/>
          </w:tcPr>
          <w:p>
            <w:pPr>
              <w:widowControl/>
              <w:contextualSpacing/>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200WQ180-11-11KW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805" w:type="dxa"/>
            <w:vAlign w:val="center"/>
          </w:tcPr>
          <w:p>
            <w:pPr>
              <w:widowControl/>
              <w:ind w:firstLine="240" w:firstLineChars="100"/>
              <w:contextualSpacing/>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6</w:t>
            </w:r>
          </w:p>
        </w:tc>
        <w:tc>
          <w:tcPr>
            <w:tcW w:w="3072" w:type="dxa"/>
            <w:vAlign w:val="center"/>
          </w:tcPr>
          <w:p>
            <w:pPr>
              <w:widowControl/>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消防</w:t>
            </w:r>
          </w:p>
        </w:tc>
        <w:tc>
          <w:tcPr>
            <w:tcW w:w="2017" w:type="dxa"/>
            <w:vAlign w:val="center"/>
          </w:tcPr>
          <w:p>
            <w:pPr>
              <w:widowControl/>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干粉灭火器</w:t>
            </w:r>
          </w:p>
        </w:tc>
        <w:tc>
          <w:tcPr>
            <w:tcW w:w="4262" w:type="dxa"/>
          </w:tcPr>
          <w:p>
            <w:pPr>
              <w:widowControl/>
              <w:contextualSpacing/>
              <w:jc w:val="left"/>
              <w:rPr>
                <w:rFonts w:hint="eastAsia" w:ascii="仿宋_GB2312" w:hAnsi="仿宋_GB2312" w:eastAsia="仿宋_GB2312" w:cs="仿宋_GB2312"/>
                <w:sz w:val="24"/>
                <w:szCs w:val="24"/>
              </w:rPr>
            </w:pPr>
          </w:p>
        </w:tc>
      </w:tr>
    </w:tbl>
    <w:p>
      <w:pPr>
        <w:spacing w:line="360" w:lineRule="auto"/>
        <w:contextualSpacing/>
        <w:rPr>
          <w:rFonts w:hint="eastAsia" w:ascii="仿宋_GB2312" w:hAnsi="仿宋_GB2312" w:eastAsia="仿宋_GB2312" w:cs="仿宋_GB2312"/>
          <w:bCs/>
          <w:sz w:val="24"/>
          <w:szCs w:val="24"/>
        </w:rPr>
      </w:pPr>
    </w:p>
    <w:p>
      <w:pPr>
        <w:pStyle w:val="2"/>
        <w:rPr>
          <w:rFonts w:hint="eastAsia"/>
        </w:rPr>
      </w:pPr>
    </w:p>
    <w:p>
      <w:pPr>
        <w:spacing w:line="360" w:lineRule="auto"/>
        <w:ind w:firstLine="482"/>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1.1.2技术服务内容</w:t>
      </w:r>
    </w:p>
    <w:p>
      <w:pPr>
        <w:spacing w:line="360" w:lineRule="auto"/>
        <w:ind w:firstLine="482"/>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1.1.2.1负责园博再生水利用站点设备设施日常技术服务，主要指日常供水、巡检、保养工作。</w:t>
      </w:r>
    </w:p>
    <w:p>
      <w:pPr>
        <w:spacing w:line="360" w:lineRule="auto"/>
        <w:ind w:firstLine="482" w:firstLineChars="0"/>
        <w:contextualSpacing/>
        <w:rPr>
          <w:rFonts w:hint="eastAsia" w:ascii="仿宋_GB2312" w:hAnsi="仿宋_GB2312" w:eastAsia="仿宋_GB2312" w:cs="仿宋_GB2312"/>
          <w:bCs w:val="0"/>
          <w:sz w:val="24"/>
          <w:szCs w:val="24"/>
        </w:rPr>
      </w:pPr>
      <w:r>
        <w:rPr>
          <w:rFonts w:hint="eastAsia" w:ascii="仿宋_GB2312" w:hAnsi="仿宋_GB2312" w:eastAsia="仿宋_GB2312" w:cs="仿宋_GB2312"/>
          <w:bCs w:val="0"/>
          <w:sz w:val="24"/>
          <w:szCs w:val="24"/>
        </w:rPr>
        <w:t>1.1.2.2负责专项项目实施，具体为：药剂；污泥运输、脱水、处置；水质检测；设备维修；污泥清运</w:t>
      </w:r>
      <w:r>
        <w:rPr>
          <w:rFonts w:hint="eastAsia" w:ascii="仿宋_GB2312" w:hAnsi="仿宋_GB2312" w:eastAsia="仿宋_GB2312" w:cs="仿宋_GB2312"/>
          <w:kern w:val="2"/>
          <w:sz w:val="24"/>
          <w:szCs w:val="24"/>
        </w:rPr>
        <w:t>。</w:t>
      </w:r>
    </w:p>
    <w:p>
      <w:pPr>
        <w:spacing w:line="360" w:lineRule="auto"/>
        <w:ind w:firstLine="482" w:firstLineChars="0"/>
        <w:contextualSpacing/>
        <w:rPr>
          <w:rFonts w:hint="eastAsia" w:ascii="仿宋_GB2312" w:hAnsi="仿宋_GB2312" w:eastAsia="仿宋_GB2312" w:cs="仿宋_GB2312"/>
          <w:bCs w:val="0"/>
          <w:sz w:val="24"/>
          <w:szCs w:val="24"/>
        </w:rPr>
      </w:pPr>
      <w:r>
        <w:rPr>
          <w:rFonts w:hint="eastAsia" w:ascii="仿宋_GB2312" w:hAnsi="仿宋_GB2312" w:eastAsia="仿宋_GB2312" w:cs="仿宋_GB2312"/>
          <w:bCs w:val="0"/>
          <w:sz w:val="24"/>
          <w:szCs w:val="24"/>
        </w:rPr>
        <w:t>1.2能源管理</w:t>
      </w:r>
    </w:p>
    <w:p>
      <w:pPr>
        <w:spacing w:line="360" w:lineRule="auto"/>
        <w:ind w:firstLine="482" w:firstLineChars="0"/>
        <w:contextualSpacing/>
        <w:rPr>
          <w:rFonts w:hint="eastAsia" w:ascii="仿宋_GB2312" w:hAnsi="仿宋_GB2312" w:eastAsia="仿宋_GB2312" w:cs="仿宋_GB2312"/>
          <w:bCs w:val="0"/>
          <w:sz w:val="24"/>
          <w:szCs w:val="24"/>
        </w:rPr>
      </w:pPr>
      <w:r>
        <w:rPr>
          <w:rFonts w:hint="eastAsia" w:ascii="仿宋_GB2312" w:hAnsi="仿宋_GB2312" w:eastAsia="仿宋_GB2312" w:cs="仿宋_GB2312"/>
          <w:bCs w:val="0"/>
          <w:sz w:val="24"/>
          <w:szCs w:val="24"/>
        </w:rPr>
        <w:t>负责再生水利用站点的能源管理工作，包括：能源计量统计、能源消耗分析、节能措施建议及实施等工作。</w:t>
      </w:r>
    </w:p>
    <w:p>
      <w:pPr>
        <w:spacing w:line="360" w:lineRule="auto"/>
        <w:ind w:firstLine="482" w:firstLineChars="0"/>
        <w:contextualSpacing/>
        <w:rPr>
          <w:rFonts w:hint="eastAsia" w:ascii="仿宋_GB2312" w:hAnsi="仿宋_GB2312" w:eastAsia="仿宋_GB2312" w:cs="仿宋_GB2312"/>
          <w:bCs w:val="0"/>
          <w:sz w:val="24"/>
          <w:szCs w:val="24"/>
        </w:rPr>
      </w:pPr>
      <w:r>
        <w:rPr>
          <w:rFonts w:hint="eastAsia" w:ascii="仿宋_GB2312" w:hAnsi="仿宋_GB2312" w:eastAsia="仿宋_GB2312" w:cs="仿宋_GB2312"/>
          <w:bCs w:val="0"/>
          <w:sz w:val="24"/>
          <w:szCs w:val="24"/>
        </w:rPr>
        <w:t>1.3甲方交办的其他业务相关的事项。</w:t>
      </w:r>
    </w:p>
    <w:p>
      <w:pPr>
        <w:spacing w:line="360" w:lineRule="auto"/>
        <w:ind w:firstLine="482" w:firstLineChars="200"/>
        <w:contextualSpacing/>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2.项目背景/项目概述</w:t>
      </w:r>
    </w:p>
    <w:p>
      <w:pPr>
        <w:spacing w:line="360" w:lineRule="auto"/>
        <w:ind w:firstLine="482"/>
        <w:contextualSpacing/>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园内现有再生水站点3座，需要委托专业单位负责3座再生水利用站点的技术服务。作为园博的配套工程，园博再生水利用站点的建立及运行，对完成水质净化及水资源利用，发挥北京园博园200多公顷绿地的生物自净功能，提升园区水质、合理地分配使用水资源，提升北京城市品位和促进环境友好型社会发展具有重要意义。是开源节流、改善生态环境、解决城市缺水的有效途经，是实施循环经济、建设节约型社会发展战略的重要措施。</w:t>
      </w:r>
    </w:p>
    <w:p>
      <w:pPr>
        <w:spacing w:line="360" w:lineRule="auto"/>
        <w:ind w:firstLine="482"/>
        <w:contextualSpacing/>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技术和经济成本要求，一是人员方面，要求人员拥有类似本项目工作经验，具有专业的管理水平和业务水平，并经过专业机构培训，可以独立操作、维修再生水利用站点的设施设备。二是工器具方面，项目实施需要的专业设备和工具等，并且进行定期维护、保养。</w:t>
      </w:r>
    </w:p>
    <w:p>
      <w:pPr>
        <w:spacing w:line="360" w:lineRule="auto"/>
        <w:ind w:firstLine="482"/>
        <w:contextualSpacing/>
        <w:rPr>
          <w:rFonts w:hint="eastAsia" w:ascii="仿宋_GB2312" w:hAnsi="仿宋_GB2312" w:eastAsia="仿宋_GB2312" w:cs="仿宋_GB2312"/>
          <w:sz w:val="24"/>
          <w:szCs w:val="24"/>
        </w:rPr>
      </w:pPr>
      <w:r>
        <w:rPr>
          <w:rFonts w:hint="eastAsia" w:ascii="仿宋_GB2312" w:hAnsi="仿宋_GB2312" w:eastAsia="仿宋_GB2312" w:cs="仿宋_GB2312"/>
          <w:kern w:val="2"/>
          <w:sz w:val="24"/>
          <w:szCs w:val="24"/>
        </w:rPr>
        <w:t>工作目标要求，按照工艺和技术指标要求，根据再生水利用站点实际情况开展再生水利用、污泥处置、巡视检查、绿化供水及相关数据记录等工作，定期对进出水水质进行日常检测和第三方检测，做好回用水供水保障工作，保障水处理及回用水资源供应平稳、正常、安全。</w:t>
      </w:r>
    </w:p>
    <w:p>
      <w:pPr>
        <w:numPr>
          <w:ilvl w:val="0"/>
          <w:numId w:val="0"/>
        </w:numPr>
        <w:spacing w:line="360" w:lineRule="auto"/>
        <w:ind w:leftChars="0" w:firstLine="482" w:firstLineChars="200"/>
        <w:contextualSpacing/>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lang w:eastAsia="zh-CN"/>
        </w:rPr>
        <w:t>二、</w:t>
      </w:r>
      <w:r>
        <w:rPr>
          <w:rFonts w:hint="eastAsia" w:ascii="仿宋_GB2312" w:hAnsi="仿宋_GB2312" w:eastAsia="仿宋_GB2312" w:cs="仿宋_GB2312"/>
          <w:b/>
          <w:sz w:val="24"/>
          <w:szCs w:val="24"/>
        </w:rPr>
        <w:t>商务要求</w:t>
      </w:r>
    </w:p>
    <w:p>
      <w:pPr>
        <w:spacing w:line="360" w:lineRule="auto"/>
        <w:ind w:firstLine="482"/>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1.交付（实施）的时间（期限）和地点（范围）</w:t>
      </w:r>
    </w:p>
    <w:p>
      <w:pPr>
        <w:spacing w:line="360" w:lineRule="auto"/>
        <w:ind w:firstLine="482"/>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合同签订之日起至2024年12月31日，北京园博园</w:t>
      </w:r>
    </w:p>
    <w:p>
      <w:pPr>
        <w:numPr>
          <w:ilvl w:val="255"/>
          <w:numId w:val="0"/>
        </w:numPr>
        <w:spacing w:line="360" w:lineRule="auto"/>
        <w:ind w:firstLine="482"/>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2.</w:t>
      </w:r>
      <w:r>
        <w:rPr>
          <w:rFonts w:hint="eastAsia" w:ascii="仿宋_GB2312" w:hAnsi="仿宋_GB2312" w:eastAsia="仿宋_GB2312" w:cs="仿宋_GB2312"/>
          <w:sz w:val="24"/>
          <w:szCs w:val="24"/>
        </w:rPr>
        <w:t>服务考核与验收</w:t>
      </w:r>
    </w:p>
    <w:p>
      <w:pPr>
        <w:spacing w:line="360" w:lineRule="auto"/>
        <w:ind w:firstLine="482"/>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考核的组织：由甲方负责组织考核验收对本合同约定的工作内容进行考核、验收。</w:t>
      </w:r>
    </w:p>
    <w:p>
      <w:pPr>
        <w:spacing w:line="360" w:lineRule="auto"/>
        <w:ind w:firstLine="482"/>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考核的次数：全年12次</w:t>
      </w:r>
    </w:p>
    <w:p>
      <w:pPr>
        <w:spacing w:line="360" w:lineRule="auto"/>
        <w:ind w:firstLine="482"/>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考核验收的实施与评定：</w:t>
      </w:r>
    </w:p>
    <w:p>
      <w:pPr>
        <w:spacing w:line="360" w:lineRule="auto"/>
        <w:ind w:firstLine="482"/>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按照《考核评分表》对合同服务内容进行考核与验收，根据验收组人员打分总和的平均分值确定考核等级，85分（含）以上为合格，85分以下为不合格。</w:t>
      </w:r>
    </w:p>
    <w:p>
      <w:pPr>
        <w:numPr>
          <w:ilvl w:val="255"/>
          <w:numId w:val="0"/>
        </w:numPr>
        <w:spacing w:line="360" w:lineRule="auto"/>
        <w:ind w:firstLine="482"/>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3.</w:t>
      </w:r>
      <w:r>
        <w:rPr>
          <w:rFonts w:hint="eastAsia" w:ascii="仿宋_GB2312" w:hAnsi="仿宋_GB2312" w:eastAsia="仿宋_GB2312" w:cs="仿宋_GB2312"/>
          <w:sz w:val="24"/>
          <w:szCs w:val="24"/>
        </w:rPr>
        <w:t>付款条件</w:t>
      </w:r>
    </w:p>
    <w:p>
      <w:pPr>
        <w:spacing w:line="360" w:lineRule="auto"/>
        <w:ind w:firstLine="482"/>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3.1合同签订生效后，2024年3月31日前支付合同金额30%的服务费；2024年6月30日前支付合同金额30%的服务费；2024年9月30日前支付合同金额25%的服务费；2024年11月30日前支付合同金额15%的服务费。</w:t>
      </w:r>
    </w:p>
    <w:p>
      <w:pPr>
        <w:spacing w:line="360" w:lineRule="auto"/>
        <w:ind w:firstLine="482"/>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3.2支付条件为季度考核结果为合格。</w:t>
      </w:r>
    </w:p>
    <w:p>
      <w:pPr>
        <w:spacing w:line="360" w:lineRule="auto"/>
        <w:ind w:firstLine="482"/>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3.3甲方每次付款前，乙方应提供等额正规发票，否则甲方有权暂不付款且不构成违约。</w:t>
      </w:r>
    </w:p>
    <w:p>
      <w:pPr>
        <w:spacing w:line="360" w:lineRule="auto"/>
        <w:ind w:firstLine="482"/>
        <w:contextualSpacing/>
        <w:rPr>
          <w:rFonts w:hint="eastAsia" w:ascii="仿宋_GB2312" w:hAnsi="仿宋_GB2312" w:eastAsia="仿宋_GB2312" w:cs="仿宋_GB2312"/>
          <w:color w:val="FF0000"/>
          <w:sz w:val="24"/>
          <w:lang w:val="en-US" w:eastAsia="zh-CN"/>
        </w:rPr>
      </w:pPr>
      <w:r>
        <w:rPr>
          <w:rFonts w:hint="eastAsia" w:ascii="仿宋_GB2312" w:hAnsi="仿宋_GB2312" w:eastAsia="仿宋_GB2312" w:cs="仿宋_GB2312"/>
          <w:color w:val="FF0000"/>
          <w:sz w:val="24"/>
          <w:szCs w:val="24"/>
          <w:lang w:val="en-US" w:eastAsia="zh-CN"/>
        </w:rPr>
        <w:t>3.4 本项目财政批复的服务期限为2024年1月1日至2024年12月31日，投标人须按照服务期一年进行报价。中标人实际服务期限为合同签订之日起至2024年12月31日。鉴于实际情况，为保证北京园博园的正常运转和再生水利用项目服务的连续性，自2024年1月1日至本招标项目确定2024年的服务供应商并完成正式交接前，暂时继续由2023年园博园再生水利用项目的服务供应商提供相应服务。2024年本项目的中标服务供应商如果非原服务供应商，则应当在正式接管北京园博园再生水利用服务工作后，根据本项目2024年中标金额,按实际服务天数进行结算。2024年未提供的服务时长，按2024年度中标标准，中标单位正式接管2024年本项目15个工作日内支付到上一年度中标单位账户。</w:t>
      </w:r>
    </w:p>
    <w:p>
      <w:pPr>
        <w:spacing w:line="360" w:lineRule="auto"/>
        <w:ind w:firstLine="482"/>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4.履约保证金</w:t>
      </w:r>
    </w:p>
    <w:p>
      <w:pPr>
        <w:spacing w:line="360" w:lineRule="auto"/>
        <w:ind w:firstLine="482"/>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4.1收取：自本合同签订之日起1个月内，乙方应向甲方一次性缴纳履约保证金（合同金额的10%）作为约定的服务期限、内容和标准履行本合同的担保。</w:t>
      </w:r>
    </w:p>
    <w:p>
      <w:pPr>
        <w:spacing w:line="360" w:lineRule="auto"/>
        <w:ind w:firstLine="482"/>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4.2返还：合同履约完成后1个月内，依据合同履约情况一次性返还全部或剩余履约保证金。</w:t>
      </w:r>
    </w:p>
    <w:p>
      <w:pPr>
        <w:spacing w:line="360" w:lineRule="auto"/>
        <w:ind w:firstLine="482"/>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4.3乙方提供的服务不达标，第一次考核不合格，甲方有权要求乙方限期整改；第二次考核不合格，甲方有权从本合同履约保证金中扣除20万元作为违约金；第三次考核不合格，甲方有权终止本合同，并不予支付剩余的合同款，且不退回剩余的履约保证金。</w:t>
      </w:r>
    </w:p>
    <w:p>
      <w:pPr>
        <w:numPr>
          <w:ilvl w:val="-1"/>
          <w:numId w:val="0"/>
        </w:numPr>
        <w:spacing w:line="360" w:lineRule="auto"/>
        <w:ind w:left="0" w:firstLine="482" w:firstLineChars="200"/>
        <w:contextualSpacing/>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lang w:eastAsia="zh-CN"/>
        </w:rPr>
        <w:t>三、</w:t>
      </w:r>
      <w:r>
        <w:rPr>
          <w:rFonts w:hint="eastAsia" w:ascii="仿宋_GB2312" w:hAnsi="仿宋_GB2312" w:eastAsia="仿宋_GB2312" w:cs="仿宋_GB2312"/>
          <w:b/>
          <w:sz w:val="24"/>
          <w:szCs w:val="24"/>
        </w:rPr>
        <w:t>技术标准</w:t>
      </w:r>
    </w:p>
    <w:p>
      <w:pPr>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1.质量标准</w:t>
      </w:r>
    </w:p>
    <w:p>
      <w:pPr>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1.1采购标的需实现的功能或者目标</w:t>
      </w:r>
    </w:p>
    <w:p>
      <w:pPr>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园博园再生水利用项目是保障水处理及回用水资源供应平稳、正常、安全，保障园博园正常开放所设立的常态化项目。</w:t>
      </w:r>
    </w:p>
    <w:p>
      <w:pPr>
        <w:spacing w:line="360" w:lineRule="auto"/>
        <w:ind w:firstLine="360" w:firstLineChars="150"/>
        <w:contextualSpacing/>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 1.2再生水利用项目服务质量和标准</w:t>
      </w:r>
    </w:p>
    <w:p>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bCs/>
          <w:sz w:val="24"/>
          <w:szCs w:val="24"/>
        </w:rPr>
        <w:t>1.2.1按《旅游景区质量等级的评定与划分》规定的标准和与</w:t>
      </w:r>
      <w:r>
        <w:rPr>
          <w:rFonts w:hint="eastAsia" w:ascii="仿宋_GB2312" w:hAnsi="仿宋_GB2312" w:eastAsia="仿宋_GB2312" w:cs="仿宋_GB2312"/>
          <w:sz w:val="24"/>
          <w:szCs w:val="24"/>
        </w:rPr>
        <w:t>再生水利用技术</w:t>
      </w:r>
      <w:r>
        <w:rPr>
          <w:rFonts w:hint="eastAsia" w:ascii="仿宋_GB2312" w:hAnsi="仿宋_GB2312" w:eastAsia="仿宋_GB2312" w:cs="仿宋_GB2312"/>
          <w:bCs/>
          <w:sz w:val="24"/>
          <w:szCs w:val="24"/>
        </w:rPr>
        <w:t>服务相关的规范性文件及招标文件的要求、投标文件的承诺进行</w:t>
      </w:r>
      <w:r>
        <w:rPr>
          <w:rFonts w:hint="eastAsia" w:ascii="仿宋_GB2312" w:hAnsi="仿宋_GB2312" w:eastAsia="仿宋_GB2312" w:cs="仿宋_GB2312"/>
          <w:sz w:val="24"/>
          <w:szCs w:val="24"/>
        </w:rPr>
        <w:t>再生水利用技术</w:t>
      </w:r>
      <w:r>
        <w:rPr>
          <w:rFonts w:hint="eastAsia" w:ascii="仿宋_GB2312" w:hAnsi="仿宋_GB2312" w:eastAsia="仿宋_GB2312" w:cs="仿宋_GB2312"/>
          <w:bCs/>
          <w:sz w:val="24"/>
          <w:szCs w:val="24"/>
        </w:rPr>
        <w:t>服务。如前述标准、文件间不一致，按高标准执行。本项目服务期内的服务标准应保持或高于上述标准。出水水质满足《城市污水再生利用城市杂用水水质》（GB/T18920-2020）：</w:t>
      </w:r>
    </w:p>
    <w:tbl>
      <w:tblPr>
        <w:tblStyle w:val="19"/>
        <w:tblW w:w="70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6"/>
        <w:gridCol w:w="1269"/>
        <w:gridCol w:w="1283"/>
        <w:gridCol w:w="1701"/>
        <w:gridCol w:w="15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项目</w:t>
            </w:r>
          </w:p>
        </w:tc>
        <w:tc>
          <w:tcPr>
            <w:tcW w:w="126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BOD</w:t>
            </w:r>
            <w:r>
              <w:rPr>
                <w:rFonts w:hint="eastAsia" w:ascii="仿宋_GB2312" w:hAnsi="仿宋_GB2312" w:eastAsia="仿宋_GB2312" w:cs="仿宋_GB2312"/>
                <w:sz w:val="24"/>
                <w:szCs w:val="24"/>
                <w:vertAlign w:val="subscript"/>
              </w:rPr>
              <w:t>5</w:t>
            </w:r>
            <w:r>
              <w:rPr>
                <w:rFonts w:hint="eastAsia" w:ascii="仿宋_GB2312" w:hAnsi="仿宋_GB2312" w:eastAsia="仿宋_GB2312" w:cs="仿宋_GB2312"/>
                <w:sz w:val="24"/>
                <w:szCs w:val="24"/>
              </w:rPr>
              <w:t xml:space="preserve"> mg/L</w:t>
            </w:r>
          </w:p>
        </w:tc>
        <w:tc>
          <w:tcPr>
            <w:tcW w:w="128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浊度 NTU</w:t>
            </w:r>
          </w:p>
        </w:tc>
        <w:tc>
          <w:tcPr>
            <w:tcW w:w="170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氨氮  mg/L</w:t>
            </w:r>
          </w:p>
        </w:tc>
        <w:tc>
          <w:tcPr>
            <w:tcW w:w="155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pH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出水水质</w:t>
            </w:r>
          </w:p>
        </w:tc>
        <w:tc>
          <w:tcPr>
            <w:tcW w:w="126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≤10</w:t>
            </w:r>
          </w:p>
        </w:tc>
        <w:tc>
          <w:tcPr>
            <w:tcW w:w="128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≤10</w:t>
            </w:r>
          </w:p>
        </w:tc>
        <w:tc>
          <w:tcPr>
            <w:tcW w:w="170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≤8</w:t>
            </w:r>
          </w:p>
        </w:tc>
        <w:tc>
          <w:tcPr>
            <w:tcW w:w="155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6.0-9.0</w:t>
            </w:r>
          </w:p>
        </w:tc>
      </w:tr>
    </w:tbl>
    <w:p>
      <w:pPr>
        <w:spacing w:line="360" w:lineRule="auto"/>
        <w:ind w:firstLine="0" w:firstLineChars="0"/>
        <w:contextualSpacing/>
        <w:rPr>
          <w:rFonts w:hint="eastAsia" w:ascii="仿宋_GB2312" w:hAnsi="仿宋_GB2312" w:eastAsia="仿宋_GB2312" w:cs="仿宋_GB2312"/>
          <w:bCs/>
          <w:sz w:val="24"/>
          <w:szCs w:val="24"/>
        </w:rPr>
      </w:pPr>
    </w:p>
    <w:p>
      <w:pPr>
        <w:spacing w:line="360" w:lineRule="auto"/>
        <w:ind w:firstLine="480" w:firstLineChars="200"/>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北京园博园是4A级景区，是西山永定河文化带精华区的重要组成部分，投标人所提供服务及日常管理需符合</w:t>
      </w:r>
      <w:r>
        <w:rPr>
          <w:rFonts w:hint="eastAsia" w:ascii="仿宋_GB2312" w:hAnsi="仿宋_GB2312" w:eastAsia="仿宋_GB2312" w:cs="仿宋_GB2312"/>
          <w:bCs/>
          <w:sz w:val="24"/>
          <w:szCs w:val="24"/>
          <w:lang w:val="en-US" w:eastAsia="zh-CN"/>
        </w:rPr>
        <w:t>4</w:t>
      </w:r>
      <w:r>
        <w:rPr>
          <w:rFonts w:hint="eastAsia" w:ascii="仿宋_GB2312" w:hAnsi="仿宋_GB2312" w:eastAsia="仿宋_GB2312" w:cs="仿宋_GB2312"/>
          <w:bCs/>
          <w:sz w:val="24"/>
          <w:szCs w:val="24"/>
        </w:rPr>
        <w:t>A级景区标准，全力配合园博园争创5A，要求如下：</w:t>
      </w:r>
    </w:p>
    <w:p>
      <w:pPr>
        <w:spacing w:line="360" w:lineRule="auto"/>
        <w:ind w:firstLine="480" w:firstLineChars="200"/>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（一）提供的服务及管理必须符合《旅游景区质量等级的划分与评定》国家标准对4A级景区的各项要求，按照5A级景区标准提高各项工作标准，全力配合园博园创建5A级景区。</w:t>
      </w:r>
    </w:p>
    <w:p>
      <w:pPr>
        <w:spacing w:line="360" w:lineRule="auto"/>
        <w:ind w:firstLine="480" w:firstLineChars="200"/>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（二）提供的服务和从业人员的行为及作业应达到安全生产标准化（二级）相应的标准。</w:t>
      </w:r>
    </w:p>
    <w:p>
      <w:pPr>
        <w:spacing w:line="360" w:lineRule="auto"/>
        <w:ind w:firstLine="480" w:firstLineChars="200"/>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（三）遵守园博园各项管理规定，高标准、无条件全力配合园博园内开展的各类大型活动。</w:t>
      </w:r>
    </w:p>
    <w:p>
      <w:pPr>
        <w:spacing w:line="360" w:lineRule="auto"/>
        <w:ind w:firstLine="480" w:firstLineChars="200"/>
        <w:contextualSpacing/>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1.2.2</w:t>
      </w:r>
      <w:r>
        <w:rPr>
          <w:rFonts w:hint="eastAsia" w:ascii="仿宋_GB2312" w:hAnsi="仿宋_GB2312" w:eastAsia="仿宋_GB2312" w:cs="仿宋_GB2312"/>
          <w:sz w:val="24"/>
          <w:szCs w:val="24"/>
        </w:rPr>
        <w:t>执行相关国家标准、行业标准、地方标准以及园博制定的标准化文件。</w:t>
      </w:r>
    </w:p>
    <w:p>
      <w:pPr>
        <w:spacing w:line="360" w:lineRule="auto"/>
        <w:ind w:firstLine="480" w:firstLineChars="200"/>
        <w:contextualSpacing/>
        <w:rPr>
          <w:rFonts w:hint="eastAsia" w:ascii="仿宋_GB2312" w:hAnsi="仿宋_GB2312" w:eastAsia="仿宋_GB2312" w:cs="仿宋_GB2312"/>
          <w:bCs/>
          <w:sz w:val="24"/>
          <w:szCs w:val="24"/>
        </w:rPr>
      </w:pPr>
      <w:r>
        <w:rPr>
          <w:rFonts w:hint="eastAsia" w:ascii="仿宋_GB2312" w:hAnsi="仿宋_GB2312" w:eastAsia="仿宋_GB2312" w:cs="仿宋_GB2312"/>
          <w:sz w:val="24"/>
          <w:szCs w:val="24"/>
        </w:rPr>
        <w:t>1.2.3再生水利用项目服务要达到的基本服务指标：</w:t>
      </w:r>
    </w:p>
    <w:p>
      <w:pPr>
        <w:numPr>
          <w:ilvl w:val="0"/>
          <w:numId w:val="15"/>
        </w:numPr>
        <w:spacing w:line="360" w:lineRule="auto"/>
        <w:ind w:left="0" w:firstLine="567"/>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设备完好率达到100%</w:t>
      </w:r>
      <w:r>
        <w:rPr>
          <w:rFonts w:hint="eastAsia" w:ascii="仿宋_GB2312" w:hAnsi="仿宋_GB2312" w:eastAsia="仿宋_GB2312" w:cs="仿宋_GB2312"/>
          <w:sz w:val="24"/>
          <w:szCs w:val="24"/>
          <w:lang w:eastAsia="zh-CN"/>
        </w:rPr>
        <w:t>；</w:t>
      </w:r>
    </w:p>
    <w:p>
      <w:pPr>
        <w:numPr>
          <w:ilvl w:val="0"/>
          <w:numId w:val="15"/>
        </w:numPr>
        <w:spacing w:line="360" w:lineRule="auto"/>
        <w:ind w:left="0" w:firstLine="567"/>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消防设施设备完好率达到100%</w:t>
      </w:r>
      <w:r>
        <w:rPr>
          <w:rFonts w:hint="eastAsia" w:ascii="仿宋_GB2312" w:hAnsi="仿宋_GB2312" w:eastAsia="仿宋_GB2312" w:cs="仿宋_GB2312"/>
          <w:sz w:val="24"/>
          <w:szCs w:val="24"/>
          <w:lang w:eastAsia="zh-CN"/>
        </w:rPr>
        <w:t>；</w:t>
      </w:r>
    </w:p>
    <w:p>
      <w:pPr>
        <w:numPr>
          <w:ilvl w:val="0"/>
          <w:numId w:val="15"/>
        </w:numPr>
        <w:spacing w:line="360" w:lineRule="auto"/>
        <w:ind w:left="0" w:firstLine="567"/>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维修及时率达到100%，返修率低于1%</w:t>
      </w:r>
      <w:r>
        <w:rPr>
          <w:rFonts w:hint="eastAsia" w:ascii="仿宋_GB2312" w:hAnsi="仿宋_GB2312" w:eastAsia="仿宋_GB2312" w:cs="仿宋_GB2312"/>
          <w:sz w:val="24"/>
          <w:szCs w:val="24"/>
          <w:lang w:eastAsia="zh-CN"/>
        </w:rPr>
        <w:t>；</w:t>
      </w:r>
    </w:p>
    <w:p>
      <w:pPr>
        <w:numPr>
          <w:ilvl w:val="0"/>
          <w:numId w:val="15"/>
        </w:numPr>
        <w:spacing w:line="360" w:lineRule="auto"/>
        <w:ind w:left="0" w:firstLine="567"/>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出水水质指标达标天数应为全年天数的95％以上（含95%）</w:t>
      </w:r>
      <w:r>
        <w:rPr>
          <w:rFonts w:hint="eastAsia" w:ascii="仿宋_GB2312" w:hAnsi="仿宋_GB2312" w:eastAsia="仿宋_GB2312" w:cs="仿宋_GB2312"/>
          <w:sz w:val="24"/>
          <w:szCs w:val="24"/>
          <w:lang w:eastAsia="zh-CN"/>
        </w:rPr>
        <w:t>；</w:t>
      </w:r>
    </w:p>
    <w:p>
      <w:pPr>
        <w:numPr>
          <w:ilvl w:val="0"/>
          <w:numId w:val="15"/>
        </w:numPr>
        <w:spacing w:line="360" w:lineRule="auto"/>
        <w:ind w:left="0" w:firstLine="567"/>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内部职工对再生水利用项目技术服务工作满意率达到98%</w:t>
      </w:r>
      <w:r>
        <w:rPr>
          <w:rFonts w:hint="eastAsia" w:ascii="仿宋_GB2312" w:hAnsi="仿宋_GB2312" w:eastAsia="仿宋_GB2312" w:cs="仿宋_GB2312"/>
          <w:sz w:val="24"/>
          <w:szCs w:val="24"/>
          <w:lang w:eastAsia="zh-CN"/>
        </w:rPr>
        <w:t>；</w:t>
      </w:r>
    </w:p>
    <w:p>
      <w:pPr>
        <w:numPr>
          <w:ilvl w:val="0"/>
          <w:numId w:val="15"/>
        </w:numPr>
        <w:spacing w:line="360" w:lineRule="auto"/>
        <w:ind w:left="0" w:firstLine="567"/>
        <w:contextualSpacing/>
        <w:rPr>
          <w:rFonts w:hint="eastAsia" w:ascii="仿宋_GB2312" w:hAnsi="仿宋_GB2312" w:eastAsia="仿宋_GB2312" w:cs="仿宋_GB2312"/>
          <w:sz w:val="24"/>
        </w:rPr>
      </w:pPr>
      <w:r>
        <w:rPr>
          <w:rFonts w:hint="eastAsia" w:ascii="仿宋_GB2312" w:hAnsi="仿宋_GB2312" w:eastAsia="仿宋_GB2312" w:cs="仿宋_GB2312"/>
          <w:sz w:val="24"/>
          <w:szCs w:val="24"/>
          <w:lang w:eastAsia="zh-CN"/>
        </w:rPr>
        <w:t>出水水质满足</w:t>
      </w:r>
      <w:r>
        <w:rPr>
          <w:rFonts w:hint="eastAsia" w:ascii="仿宋_GB2312" w:hAnsi="仿宋_GB2312" w:eastAsia="仿宋_GB2312" w:cs="仿宋_GB2312"/>
          <w:bCs/>
          <w:sz w:val="24"/>
          <w:szCs w:val="24"/>
        </w:rPr>
        <w:t>《城市污水再生利用城市杂用水水质》（GB/T18920-2020）</w:t>
      </w:r>
      <w:r>
        <w:rPr>
          <w:rFonts w:hint="eastAsia" w:ascii="仿宋_GB2312" w:hAnsi="仿宋_GB2312" w:eastAsia="仿宋_GB2312" w:cs="仿宋_GB2312"/>
          <w:sz w:val="24"/>
          <w:szCs w:val="24"/>
          <w:lang w:eastAsia="zh-CN"/>
        </w:rPr>
        <w:t>；</w:t>
      </w:r>
    </w:p>
    <w:p>
      <w:pPr>
        <w:numPr>
          <w:ilvl w:val="0"/>
          <w:numId w:val="15"/>
        </w:numPr>
        <w:spacing w:line="360" w:lineRule="auto"/>
        <w:ind w:left="0" w:firstLine="567"/>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杜绝火灾责任事故，杜绝刑事案件率达到100%。</w:t>
      </w:r>
    </w:p>
    <w:p>
      <w:pPr>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2.人员标准</w:t>
      </w:r>
    </w:p>
    <w:p>
      <w:pPr>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2.1项目团队</w:t>
      </w:r>
    </w:p>
    <w:p>
      <w:pPr>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项目团队人数不少于10人，岗位配置合理。</w:t>
      </w:r>
    </w:p>
    <w:p>
      <w:pPr>
        <w:spacing w:line="360" w:lineRule="auto"/>
        <w:ind w:firstLine="480" w:firstLineChars="200"/>
        <w:contextualSpacing/>
        <w:rPr>
          <w:rFonts w:hint="eastAsia" w:ascii="仿宋_GB2312" w:hAnsi="仿宋_GB2312" w:eastAsia="仿宋_GB2312" w:cs="仿宋_GB2312"/>
          <w:sz w:val="24"/>
          <w:szCs w:val="24"/>
        </w:rPr>
      </w:pPr>
    </w:p>
    <w:p>
      <w:pPr>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2.2项目人员</w:t>
      </w:r>
    </w:p>
    <w:tbl>
      <w:tblPr>
        <w:tblStyle w:val="19"/>
        <w:tblpPr w:leftFromText="180" w:rightFromText="180" w:vertAnchor="text" w:horzAnchor="page" w:tblpX="1157" w:tblpY="168"/>
        <w:tblOverlap w:val="never"/>
        <w:tblW w:w="9000" w:type="dxa"/>
        <w:tblInd w:w="0" w:type="dxa"/>
        <w:tblLayout w:type="fixed"/>
        <w:tblCellMar>
          <w:top w:w="0" w:type="dxa"/>
          <w:left w:w="0" w:type="dxa"/>
          <w:bottom w:w="0" w:type="dxa"/>
          <w:right w:w="0" w:type="dxa"/>
        </w:tblCellMar>
      </w:tblPr>
      <w:tblGrid>
        <w:gridCol w:w="750"/>
        <w:gridCol w:w="1525"/>
        <w:gridCol w:w="1025"/>
        <w:gridCol w:w="5700"/>
      </w:tblGrid>
      <w:tr>
        <w:tblPrEx>
          <w:tblCellMar>
            <w:top w:w="0" w:type="dxa"/>
            <w:left w:w="0" w:type="dxa"/>
            <w:bottom w:w="0" w:type="dxa"/>
            <w:right w:w="0" w:type="dxa"/>
          </w:tblCellMar>
        </w:tblPrEx>
        <w:trPr>
          <w:trHeight w:val="48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仿宋_GB2312" w:hAnsi="仿宋_GB2312" w:eastAsia="仿宋_GB2312" w:cs="仿宋_GB2312"/>
                <w:b/>
                <w:sz w:val="24"/>
                <w:szCs w:val="24"/>
              </w:rPr>
            </w:pPr>
            <w:r>
              <w:rPr>
                <w:rFonts w:hint="eastAsia" w:ascii="仿宋_GB2312" w:hAnsi="仿宋_GB2312" w:eastAsia="仿宋_GB2312" w:cs="仿宋_GB2312"/>
                <w:b/>
                <w:kern w:val="0"/>
                <w:sz w:val="24"/>
                <w:szCs w:val="24"/>
              </w:rPr>
              <w:t>序号</w:t>
            </w:r>
          </w:p>
        </w:tc>
        <w:tc>
          <w:tcPr>
            <w:tcW w:w="15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仿宋_GB2312" w:hAnsi="仿宋_GB2312" w:eastAsia="仿宋_GB2312" w:cs="仿宋_GB2312"/>
                <w:b/>
                <w:sz w:val="24"/>
                <w:szCs w:val="24"/>
              </w:rPr>
            </w:pPr>
            <w:r>
              <w:rPr>
                <w:rFonts w:hint="eastAsia" w:ascii="仿宋_GB2312" w:hAnsi="仿宋_GB2312" w:eastAsia="仿宋_GB2312" w:cs="仿宋_GB2312"/>
                <w:b/>
                <w:kern w:val="0"/>
                <w:sz w:val="24"/>
                <w:szCs w:val="24"/>
              </w:rPr>
              <w:t>岗位名称</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仿宋_GB2312" w:hAnsi="仿宋_GB2312" w:eastAsia="仿宋_GB2312" w:cs="仿宋_GB2312"/>
                <w:b/>
                <w:sz w:val="24"/>
                <w:szCs w:val="24"/>
              </w:rPr>
            </w:pPr>
            <w:r>
              <w:rPr>
                <w:rFonts w:hint="eastAsia" w:ascii="仿宋_GB2312" w:hAnsi="仿宋_GB2312" w:eastAsia="仿宋_GB2312" w:cs="仿宋_GB2312"/>
                <w:b/>
                <w:kern w:val="0"/>
                <w:sz w:val="24"/>
                <w:szCs w:val="24"/>
              </w:rPr>
              <w:t>人数</w:t>
            </w:r>
          </w:p>
        </w:tc>
        <w:tc>
          <w:tcPr>
            <w:tcW w:w="57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rPr>
                <w:rFonts w:hint="eastAsia" w:ascii="仿宋_GB2312" w:hAnsi="仿宋_GB2312" w:eastAsia="仿宋_GB2312" w:cs="仿宋_GB2312"/>
                <w:b/>
                <w:kern w:val="0"/>
                <w:sz w:val="24"/>
                <w:szCs w:val="24"/>
              </w:rPr>
            </w:pPr>
            <w:r>
              <w:rPr>
                <w:rFonts w:hint="eastAsia" w:ascii="仿宋_GB2312" w:hAnsi="仿宋_GB2312" w:eastAsia="仿宋_GB2312" w:cs="仿宋_GB2312"/>
                <w:b/>
                <w:kern w:val="0"/>
                <w:sz w:val="24"/>
                <w:szCs w:val="24"/>
              </w:rPr>
              <w:t>岗位要求</w:t>
            </w:r>
          </w:p>
        </w:tc>
      </w:tr>
      <w:tr>
        <w:tblPrEx>
          <w:tblCellMar>
            <w:top w:w="0" w:type="dxa"/>
            <w:left w:w="0" w:type="dxa"/>
            <w:bottom w:w="0" w:type="dxa"/>
            <w:right w:w="0" w:type="dxa"/>
          </w:tblCellMar>
        </w:tblPrEx>
        <w:trPr>
          <w:trHeight w:val="48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rPr>
              <w:t>1</w:t>
            </w:r>
          </w:p>
        </w:tc>
        <w:tc>
          <w:tcPr>
            <w:tcW w:w="15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rPr>
              <w:t>项目经理</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rPr>
              <w:t>1</w:t>
            </w:r>
          </w:p>
        </w:tc>
        <w:tc>
          <w:tcPr>
            <w:tcW w:w="57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tcPr>
          <w:p>
            <w:pPr>
              <w:snapToGrid w:val="0"/>
              <w:rPr>
                <w:rFonts w:hint="eastAsia" w:ascii="仿宋_GB2312" w:hAnsi="仿宋_GB2312" w:eastAsia="仿宋_GB2312" w:cs="仿宋_GB2312"/>
                <w:sz w:val="24"/>
                <w:szCs w:val="24"/>
                <w:lang w:val="zh-CN"/>
              </w:rPr>
            </w:pPr>
            <w:r>
              <w:rPr>
                <w:rFonts w:hint="eastAsia" w:ascii="仿宋_GB2312" w:hAnsi="仿宋_GB2312" w:eastAsia="仿宋_GB2312" w:cs="仿宋_GB2312"/>
                <w:sz w:val="24"/>
                <w:szCs w:val="24"/>
                <w:lang w:val="zh-CN"/>
              </w:rPr>
              <w:t>1、具有项目经理职业资格证书；</w:t>
            </w:r>
          </w:p>
          <w:p>
            <w:pPr>
              <w:snapToGrid w:val="0"/>
              <w:rPr>
                <w:rFonts w:hint="eastAsia" w:ascii="仿宋_GB2312" w:hAnsi="仿宋_GB2312" w:eastAsia="仿宋_GB2312" w:cs="仿宋_GB2312"/>
                <w:sz w:val="24"/>
                <w:szCs w:val="24"/>
                <w:lang w:val="zh-CN"/>
              </w:rPr>
            </w:pPr>
            <w:r>
              <w:rPr>
                <w:rFonts w:hint="eastAsia" w:ascii="仿宋_GB2312" w:hAnsi="仿宋_GB2312" w:eastAsia="仿宋_GB2312" w:cs="仿宋_GB2312"/>
                <w:sz w:val="24"/>
                <w:szCs w:val="24"/>
                <w:lang w:val="en-US" w:eastAsia="zh-CN"/>
              </w:rPr>
              <w:t>2</w:t>
            </w:r>
            <w:r>
              <w:rPr>
                <w:rFonts w:hint="eastAsia" w:ascii="仿宋_GB2312" w:hAnsi="仿宋_GB2312" w:eastAsia="仿宋_GB2312" w:cs="仿宋_GB2312"/>
                <w:sz w:val="24"/>
                <w:szCs w:val="24"/>
                <w:lang w:val="zh-CN"/>
              </w:rPr>
              <w:t>、</w:t>
            </w:r>
            <w:r>
              <w:rPr>
                <w:rFonts w:hint="eastAsia" w:ascii="仿宋_GB2312" w:hAnsi="仿宋_GB2312" w:eastAsia="仿宋_GB2312" w:cs="仿宋_GB2312"/>
                <w:sz w:val="24"/>
                <w:szCs w:val="24"/>
              </w:rPr>
              <w:t>组织管理能力强</w:t>
            </w:r>
            <w:r>
              <w:rPr>
                <w:rFonts w:hint="eastAsia" w:ascii="仿宋_GB2312" w:hAnsi="仿宋_GB2312" w:eastAsia="仿宋_GB2312" w:cs="仿宋_GB2312"/>
                <w:sz w:val="24"/>
                <w:szCs w:val="24"/>
                <w:lang w:val="zh-CN"/>
              </w:rPr>
              <w:t>；</w:t>
            </w:r>
          </w:p>
          <w:p>
            <w:pPr>
              <w:snapToGrid w:val="0"/>
              <w:rPr>
                <w:rFonts w:hint="eastAsia" w:ascii="仿宋_GB2312" w:hAnsi="仿宋_GB2312" w:eastAsia="仿宋_GB2312" w:cs="仿宋_GB2312"/>
                <w:kern w:val="0"/>
                <w:sz w:val="24"/>
                <w:szCs w:val="24"/>
              </w:rPr>
            </w:pPr>
            <w:r>
              <w:rPr>
                <w:rFonts w:hint="eastAsia" w:ascii="仿宋_GB2312" w:hAnsi="仿宋_GB2312" w:eastAsia="仿宋_GB2312" w:cs="仿宋_GB2312"/>
                <w:sz w:val="24"/>
                <w:szCs w:val="24"/>
                <w:lang w:val="en-US" w:eastAsia="zh-CN"/>
              </w:rPr>
              <w:t>3</w:t>
            </w:r>
            <w:r>
              <w:rPr>
                <w:rFonts w:hint="eastAsia" w:ascii="仿宋_GB2312" w:hAnsi="仿宋_GB2312" w:eastAsia="仿宋_GB2312" w:cs="仿宋_GB2312"/>
                <w:sz w:val="24"/>
                <w:szCs w:val="24"/>
                <w:lang w:val="zh-CN"/>
              </w:rPr>
              <w:t>、本人有5年及以上类似项目工作经历。</w:t>
            </w:r>
          </w:p>
        </w:tc>
      </w:tr>
      <w:tr>
        <w:tblPrEx>
          <w:tblCellMar>
            <w:top w:w="0" w:type="dxa"/>
            <w:left w:w="0" w:type="dxa"/>
            <w:bottom w:w="0" w:type="dxa"/>
            <w:right w:w="0" w:type="dxa"/>
          </w:tblCellMar>
        </w:tblPrEx>
        <w:trPr>
          <w:trHeight w:val="48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rPr>
              <w:t>2</w:t>
            </w:r>
          </w:p>
        </w:tc>
        <w:tc>
          <w:tcPr>
            <w:tcW w:w="15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rPr>
              <w:t>行政主管</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rPr>
              <w:t>1</w:t>
            </w:r>
          </w:p>
        </w:tc>
        <w:tc>
          <w:tcPr>
            <w:tcW w:w="57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tcPr>
          <w:p>
            <w:pPr>
              <w:snapToGrid w:val="0"/>
              <w:rPr>
                <w:rFonts w:hint="eastAsia" w:ascii="仿宋_GB2312" w:hAnsi="仿宋_GB2312" w:eastAsia="仿宋_GB2312" w:cs="仿宋_GB2312"/>
                <w:kern w:val="0"/>
                <w:sz w:val="24"/>
                <w:szCs w:val="24"/>
              </w:rPr>
            </w:pPr>
            <w:r>
              <w:rPr>
                <w:rFonts w:hint="eastAsia" w:ascii="仿宋_GB2312" w:hAnsi="仿宋_GB2312" w:eastAsia="仿宋_GB2312" w:cs="仿宋_GB2312"/>
                <w:sz w:val="24"/>
                <w:szCs w:val="24"/>
                <w:lang w:val="zh-CN"/>
              </w:rPr>
              <w:t>具有5年及以上办公室行政、档案管理经历</w:t>
            </w:r>
          </w:p>
        </w:tc>
      </w:tr>
      <w:tr>
        <w:tblPrEx>
          <w:tblCellMar>
            <w:top w:w="0" w:type="dxa"/>
            <w:left w:w="0" w:type="dxa"/>
            <w:bottom w:w="0" w:type="dxa"/>
            <w:right w:w="0" w:type="dxa"/>
          </w:tblCellMar>
        </w:tblPrEx>
        <w:trPr>
          <w:trHeight w:val="48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rPr>
              <w:t>3</w:t>
            </w:r>
          </w:p>
        </w:tc>
        <w:tc>
          <w:tcPr>
            <w:tcW w:w="15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rPr>
              <w:t>后勤专员</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rPr>
              <w:t>1</w:t>
            </w:r>
          </w:p>
        </w:tc>
        <w:tc>
          <w:tcPr>
            <w:tcW w:w="57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tcPr>
          <w:p>
            <w:pPr>
              <w:snapToGrid w:val="0"/>
              <w:rPr>
                <w:rFonts w:hint="eastAsia" w:ascii="仿宋_GB2312" w:hAnsi="仿宋_GB2312" w:eastAsia="仿宋_GB2312" w:cs="仿宋_GB2312"/>
                <w:kern w:val="0"/>
                <w:sz w:val="24"/>
                <w:szCs w:val="24"/>
              </w:rPr>
            </w:pPr>
            <w:r>
              <w:rPr>
                <w:rFonts w:hint="eastAsia" w:ascii="仿宋_GB2312" w:hAnsi="仿宋_GB2312" w:eastAsia="仿宋_GB2312" w:cs="仿宋_GB2312"/>
                <w:sz w:val="24"/>
                <w:szCs w:val="24"/>
                <w:lang w:val="zh-CN"/>
              </w:rPr>
              <w:t>类似后勤工作</w:t>
            </w:r>
            <w:r>
              <w:rPr>
                <w:rFonts w:hint="eastAsia" w:ascii="仿宋_GB2312" w:hAnsi="仿宋_GB2312" w:eastAsia="仿宋_GB2312" w:cs="仿宋_GB2312"/>
                <w:sz w:val="24"/>
                <w:szCs w:val="24"/>
              </w:rPr>
              <w:t>3年以上工作经历</w:t>
            </w:r>
          </w:p>
        </w:tc>
      </w:tr>
      <w:tr>
        <w:tblPrEx>
          <w:tblCellMar>
            <w:top w:w="0" w:type="dxa"/>
            <w:left w:w="0" w:type="dxa"/>
            <w:bottom w:w="0" w:type="dxa"/>
            <w:right w:w="0" w:type="dxa"/>
          </w:tblCellMar>
        </w:tblPrEx>
        <w:trPr>
          <w:trHeight w:val="48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rPr>
              <w:t>4</w:t>
            </w:r>
          </w:p>
        </w:tc>
        <w:tc>
          <w:tcPr>
            <w:tcW w:w="15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操作员</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6</w:t>
            </w:r>
          </w:p>
        </w:tc>
        <w:tc>
          <w:tcPr>
            <w:tcW w:w="57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tcPr>
          <w:p>
            <w:pPr>
              <w:snapToGrid w:val="0"/>
              <w:rPr>
                <w:rFonts w:hint="eastAsia" w:ascii="仿宋_GB2312" w:hAnsi="仿宋_GB2312" w:eastAsia="仿宋_GB2312" w:cs="仿宋_GB2312"/>
                <w:kern w:val="0"/>
                <w:sz w:val="24"/>
                <w:szCs w:val="24"/>
              </w:rPr>
            </w:pPr>
            <w:r>
              <w:rPr>
                <w:rFonts w:hint="eastAsia" w:ascii="仿宋_GB2312" w:hAnsi="仿宋_GB2312" w:eastAsia="仿宋_GB2312" w:cs="仿宋_GB2312"/>
                <w:sz w:val="24"/>
                <w:szCs w:val="24"/>
                <w:lang w:val="zh-CN"/>
              </w:rPr>
              <w:t>类似项目3年及以上工作经历</w:t>
            </w:r>
          </w:p>
        </w:tc>
      </w:tr>
      <w:tr>
        <w:tblPrEx>
          <w:tblCellMar>
            <w:top w:w="0" w:type="dxa"/>
            <w:left w:w="0" w:type="dxa"/>
            <w:bottom w:w="0" w:type="dxa"/>
            <w:right w:w="0" w:type="dxa"/>
          </w:tblCellMar>
        </w:tblPrEx>
        <w:trPr>
          <w:trHeight w:val="48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w:t>
            </w:r>
          </w:p>
        </w:tc>
        <w:tc>
          <w:tcPr>
            <w:tcW w:w="15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rPr>
              <w:t>电工</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p>
        </w:tc>
        <w:tc>
          <w:tcPr>
            <w:tcW w:w="57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tcPr>
          <w:p>
            <w:pPr>
              <w:snapToGrid w:val="0"/>
              <w:rPr>
                <w:rFonts w:hint="eastAsia" w:ascii="仿宋_GB2312" w:hAnsi="仿宋_GB2312" w:eastAsia="仿宋_GB2312" w:cs="仿宋_GB2312"/>
                <w:sz w:val="24"/>
                <w:szCs w:val="24"/>
                <w:lang w:val="zh-CN"/>
              </w:rPr>
            </w:pPr>
            <w:r>
              <w:rPr>
                <w:rFonts w:hint="eastAsia" w:ascii="仿宋_GB2312" w:hAnsi="仿宋_GB2312" w:eastAsia="仿宋_GB2312" w:cs="仿宋_GB2312"/>
                <w:sz w:val="24"/>
                <w:szCs w:val="24"/>
                <w:lang w:val="en-US" w:eastAsia="zh-CN"/>
              </w:rPr>
              <w:t>1</w:t>
            </w:r>
            <w:r>
              <w:rPr>
                <w:rFonts w:hint="eastAsia" w:ascii="仿宋_GB2312" w:hAnsi="仿宋_GB2312" w:eastAsia="仿宋_GB2312" w:cs="仿宋_GB2312"/>
                <w:sz w:val="24"/>
                <w:szCs w:val="24"/>
                <w:lang w:val="zh-CN"/>
              </w:rPr>
              <w:t>、具有高压电工证</w:t>
            </w:r>
          </w:p>
          <w:p>
            <w:pPr>
              <w:snapToGrid w:val="0"/>
              <w:rPr>
                <w:rFonts w:hint="eastAsia" w:ascii="仿宋_GB2312" w:hAnsi="仿宋_GB2312" w:eastAsia="仿宋_GB2312" w:cs="仿宋_GB2312"/>
                <w:kern w:val="0"/>
                <w:sz w:val="24"/>
                <w:szCs w:val="24"/>
              </w:rPr>
            </w:pPr>
            <w:r>
              <w:rPr>
                <w:rFonts w:hint="eastAsia" w:ascii="仿宋_GB2312" w:hAnsi="仿宋_GB2312" w:eastAsia="仿宋_GB2312" w:cs="仿宋_GB2312"/>
                <w:sz w:val="24"/>
                <w:szCs w:val="24"/>
                <w:lang w:val="en-US" w:eastAsia="zh-CN"/>
              </w:rPr>
              <w:t>2</w:t>
            </w:r>
            <w:r>
              <w:rPr>
                <w:rFonts w:hint="eastAsia" w:ascii="仿宋_GB2312" w:hAnsi="仿宋_GB2312" w:eastAsia="仿宋_GB2312" w:cs="仿宋_GB2312"/>
                <w:sz w:val="24"/>
                <w:szCs w:val="24"/>
                <w:lang w:val="zh-CN"/>
              </w:rPr>
              <w:t>、类似项目3年及以上工作经历</w:t>
            </w:r>
          </w:p>
        </w:tc>
      </w:tr>
      <w:tr>
        <w:tblPrEx>
          <w:tblCellMar>
            <w:top w:w="0" w:type="dxa"/>
            <w:left w:w="0" w:type="dxa"/>
            <w:bottom w:w="0" w:type="dxa"/>
            <w:right w:w="0" w:type="dxa"/>
          </w:tblCellMar>
        </w:tblPrEx>
        <w:trPr>
          <w:trHeight w:val="48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仿宋_GB2312" w:hAnsi="仿宋_GB2312" w:eastAsia="仿宋_GB2312" w:cs="仿宋_GB2312"/>
                <w:sz w:val="24"/>
                <w:szCs w:val="24"/>
              </w:rPr>
            </w:pPr>
          </w:p>
        </w:tc>
        <w:tc>
          <w:tcPr>
            <w:tcW w:w="15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仿宋_GB2312" w:hAnsi="仿宋_GB2312" w:eastAsia="仿宋_GB2312" w:cs="仿宋_GB2312"/>
                <w:b/>
                <w:sz w:val="24"/>
                <w:szCs w:val="24"/>
              </w:rPr>
            </w:pPr>
            <w:r>
              <w:rPr>
                <w:rFonts w:hint="eastAsia" w:ascii="仿宋_GB2312" w:hAnsi="仿宋_GB2312" w:eastAsia="仿宋_GB2312" w:cs="仿宋_GB2312"/>
                <w:b/>
                <w:kern w:val="0"/>
                <w:sz w:val="24"/>
                <w:szCs w:val="24"/>
              </w:rPr>
              <w:t>合计</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10</w:t>
            </w:r>
          </w:p>
        </w:tc>
        <w:tc>
          <w:tcPr>
            <w:tcW w:w="57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仿宋_GB2312" w:hAnsi="仿宋_GB2312" w:eastAsia="仿宋_GB2312" w:cs="仿宋_GB2312"/>
                <w:b/>
                <w:kern w:val="0"/>
                <w:sz w:val="24"/>
                <w:szCs w:val="24"/>
              </w:rPr>
            </w:pPr>
          </w:p>
        </w:tc>
      </w:tr>
    </w:tbl>
    <w:p>
      <w:pPr>
        <w:spacing w:line="360" w:lineRule="auto"/>
        <w:contextualSpacing/>
        <w:rPr>
          <w:rFonts w:hint="eastAsia" w:ascii="仿宋_GB2312" w:hAnsi="仿宋_GB2312" w:eastAsia="仿宋_GB2312" w:cs="仿宋_GB2312"/>
          <w:sz w:val="24"/>
          <w:szCs w:val="24"/>
        </w:rPr>
      </w:pPr>
    </w:p>
    <w:p>
      <w:pPr>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2.3其他标准、要求</w:t>
      </w:r>
    </w:p>
    <w:p>
      <w:pPr>
        <w:widowControl/>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2.3.1投标人应根据国家相关规定为项目团队人员缴纳保险。</w:t>
      </w:r>
    </w:p>
    <w:p>
      <w:pPr>
        <w:widowControl/>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2.3.2投标人应为项目团队人员提供统一工装。</w:t>
      </w:r>
    </w:p>
    <w:p>
      <w:pPr>
        <w:widowControl/>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2.3.3投标人应提供本项目服务所需的全部工具和劳动保护用品，劳动保护用品和安全用具须在有效检测期内。每年定期开展安全、业务培训。</w:t>
      </w:r>
    </w:p>
    <w:p>
      <w:pPr>
        <w:widowControl/>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2.3.4投标人应负责清运本项目服务过程中所产生的建筑垃圾、渣土、杂物、污泥等。定期更换罗茨风机滤芯，更换破损门窗、纱窗，完善设备标识，配备相应灭火器，完善安全防护设施，负责中、小修材料。</w:t>
      </w:r>
    </w:p>
    <w:p>
      <w:pPr>
        <w:widowControl/>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2.3.5投标人应做好各项工作记录，定期整理归档。</w:t>
      </w:r>
    </w:p>
    <w:p>
      <w:pPr>
        <w:widowControl/>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2.3.6投标人应建立设备台帐，定期更新。</w:t>
      </w:r>
    </w:p>
    <w:p>
      <w:pPr>
        <w:spacing w:line="360" w:lineRule="auto"/>
        <w:ind w:firstLine="482" w:firstLineChars="200"/>
        <w:contextualSpacing/>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四、服务内容及要求</w:t>
      </w:r>
    </w:p>
    <w:p>
      <w:pPr>
        <w:widowControl/>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1.再生水利用站点日常技术服务内容及要求</w:t>
      </w:r>
      <w:r>
        <w:rPr>
          <w:rFonts w:hint="eastAsia" w:ascii="仿宋_GB2312" w:hAnsi="仿宋_GB2312" w:eastAsia="仿宋_GB2312" w:cs="仿宋_GB2312"/>
          <w:bCs/>
          <w:sz w:val="24"/>
          <w:szCs w:val="24"/>
        </w:rPr>
        <w:t>（包括但不限于）</w:t>
      </w:r>
    </w:p>
    <w:p>
      <w:pPr>
        <w:widowControl/>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1.1总体要求</w:t>
      </w:r>
    </w:p>
    <w:p>
      <w:pPr>
        <w:widowControl/>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1.1.1运行管理要求</w:t>
      </w:r>
    </w:p>
    <w:p>
      <w:pPr>
        <w:widowControl/>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设备的操作员必须具备相关证书、操作证；设备操作员上岗前应经过培训，考试合格后签署保密协议、安全责任保证书，方可上岗操作；</w:t>
      </w:r>
    </w:p>
    <w:p>
      <w:pPr>
        <w:widowControl/>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设备操作员应按园博设备操作规程进行操作，对再生水利用站点设备的运转过程进行记录填写设备运行录，定期整理存档；设备操作员对特殊情况需变更操作流程、改变设备运行方式的应事先进行详细安排，书面报项目经理批准后方可执行，所有操作变更应有记录；</w:t>
      </w:r>
    </w:p>
    <w:p>
      <w:pPr>
        <w:widowControl/>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再生水利用设备的开启关闭应严格按照计划执行；除电工和操作员，其它人员禁止操作使用设施设备；</w:t>
      </w:r>
    </w:p>
    <w:p>
      <w:pPr>
        <w:widowControl/>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如有特殊情况，更设备检修等，设备需要关闭时，应由工程物业部授权才可进行；</w:t>
      </w:r>
    </w:p>
    <w:p>
      <w:pPr>
        <w:widowControl/>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设备操作员遇异常情况应及时报告项目经理，不应轻率处理；设备运行过程中发生意外事故和故障时，按照应急预案流程处理，处理完毕后应填写设备故障维修记录、设备故障分析报告；</w:t>
      </w:r>
    </w:p>
    <w:p>
      <w:pPr>
        <w:widowControl/>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遇有进水量超过处理能力上线或调水设备突发情况，应预先制定相应的应对保障方案，并严格按照方案落实执行，填写相关记录表单。</w:t>
      </w:r>
    </w:p>
    <w:p>
      <w:pPr>
        <w:widowControl/>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做好机房、设备间出入管理、安全管理、钥匙管理，不得堆放杂物。</w:t>
      </w:r>
    </w:p>
    <w:p>
      <w:pPr>
        <w:widowControl/>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1.1.2巡检管理要求</w:t>
      </w:r>
    </w:p>
    <w:p>
      <w:pPr>
        <w:widowControl/>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制定再生水利用站点设施设备巡视规范及标准并组织实施；设备设施巡视规范中应体现巡视工作的周期、频次及设施设备的检查内容及标准；</w:t>
      </w:r>
    </w:p>
    <w:p>
      <w:pPr>
        <w:widowControl/>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对机房布局、设备运行规律进行分析研究，制定合理可行的巡视路线，并将路线以图或表的形式体现；设备设施巡视规范及巡视路线图应在明显位置悬挂，定期对员工进行培训考核以确保员工熟悉巡视路线及相关内容；</w:t>
      </w:r>
    </w:p>
    <w:p>
      <w:pPr>
        <w:widowControl/>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巡视人员必须按规定巡视路线进行巡视，并熟知工作内容及各巡视站、点的基本情况，设施设备主要控制的范围、工作界面，了解系统的走向位置及其中的各种附属件的作用和功能，掌握各种设施设备的工作状态；</w:t>
      </w:r>
    </w:p>
    <w:p>
      <w:pPr>
        <w:widowControl/>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对于具有危险性、影响性及特种设施设备必须每日进行巡视，并适当加强巡视力度；对于无人值守的设施设备机房、井间应设立签到表，巡视人员按要求的频次及标准进行检查，并在签到表上签署姓名；离开无人值守的设施设备机房、井间应关闭照明设施，做到节约用电;</w:t>
      </w:r>
    </w:p>
    <w:p>
      <w:pPr>
        <w:widowControl/>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巡视过程中如发现运行的设施设备有异常现象时，应马上采取相应维修措施消除，对于无法消除的异常，采取临时措施后立即上报相关工程物业部，由工程物业部协调后续工作；</w:t>
      </w:r>
    </w:p>
    <w:p>
      <w:pPr>
        <w:widowControl/>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设施设备的巡视工作应建立相应的巡视记录，定期整理存档。</w:t>
      </w:r>
    </w:p>
    <w:p>
      <w:pPr>
        <w:widowControl/>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1.1.3维修管理要求</w:t>
      </w:r>
    </w:p>
    <w:p>
      <w:pPr>
        <w:widowControl/>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特种设施设备的维修人员必须具备相关证书、操作证；维修人员上岗前应经过培训，考核合格后签署保密协议、安全责任保证书，方可上岗；</w:t>
      </w:r>
    </w:p>
    <w:p>
      <w:pPr>
        <w:widowControl/>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维修工作中应注意环境保护及成品保护，</w:t>
      </w:r>
    </w:p>
    <w:p>
      <w:pPr>
        <w:widowControl/>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登高作业时不应少于两人，必须注意下方物品保护，下方应有专人看管并设置“维修牌及警戒线”；使用电气焊设备维修时必须取得动火证后，方可进行作业，作业时应有人看火，并配备灭火器材；产生噪音或特殊气味的维修工作，应得到工程物业部的批准；</w:t>
      </w:r>
    </w:p>
    <w:p>
      <w:pPr>
        <w:widowControl/>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按设备精度标准及设备技术要求进行维修；满足工艺要求和使用要求；维修过程拆卸部分（罩、壳、防护等）在修理完成后必须恢复，并防止维修导致的水、电、油、气的泄漏问题；维修中更换的零部件必须按照说明书安装，电气部件安全可靠，机械部件牢固、灵活。</w:t>
      </w:r>
    </w:p>
    <w:p>
      <w:pPr>
        <w:widowControl/>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一般情况下维修工作应在当日完成，并对完成情况告知报修人，如当天不能完成，应做好记录，项目经理应对维修工作的完成情况进行确认；</w:t>
      </w:r>
    </w:p>
    <w:p>
      <w:pPr>
        <w:widowControl/>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设备运行过程中发生意外事故和故障时，按照具体应急预案流程处理；</w:t>
      </w:r>
    </w:p>
    <w:p>
      <w:pPr>
        <w:widowControl/>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维修工作必须建立档案，每月应对维修工作进行统计分析，中修、小修及时率达到100%，返修率不超过2%。</w:t>
      </w:r>
    </w:p>
    <w:p>
      <w:pPr>
        <w:widowControl/>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1.1.4技术服务管理要求</w:t>
      </w:r>
    </w:p>
    <w:p>
      <w:pPr>
        <w:widowControl/>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制定年度技术服务工作计划，并按计划严格执行；</w:t>
      </w:r>
    </w:p>
    <w:p>
      <w:pPr>
        <w:widowControl/>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特种作业人员须具有在有效期内的特种作业操作证；</w:t>
      </w:r>
    </w:p>
    <w:p>
      <w:pPr>
        <w:widowControl/>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自行实施的技术服务工作，按要求标准在规定时间进行，由工程物业部检查技术服务结果；</w:t>
      </w:r>
    </w:p>
    <w:p>
      <w:pPr>
        <w:widowControl/>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当设备出现故障时，维保单位应在规定时间内到达现场进行处置维修，事后还应提供详细的故障原因分析报告及措施；</w:t>
      </w:r>
    </w:p>
    <w:p>
      <w:pPr>
        <w:widowControl/>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由于乙方原因给甲方造成任何经济损失时，甲方有权要求乙方赔偿甲方的直接经济损失。</w:t>
      </w:r>
    </w:p>
    <w:p>
      <w:pPr>
        <w:widowControl/>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各级行政主管部门或检测机构对本项目设备设施检查、检测中出现的问题，乙方须及时整改，并承担由于自身原因造成损失的相应责任和处罚。</w:t>
      </w:r>
    </w:p>
    <w:p>
      <w:pPr>
        <w:widowControl/>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对于再生水利用站点设备设施应急保障工作，乙方须全力协助配合甲方的工作。</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1.2房屋建筑日常管理内容及要求（包括但不限于）</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工作对象：保持本项目房屋原有完好等级和正常使用。</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工作要求：日常养护和小破损的及时修复等房屋管理维护。</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1.2.1土建、结构及装饰装修（包括但不限于）</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工作对象：土建、结构及装饰装修设施。</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巡检、维修项目工作要求：</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对墙体墙面进行巡检、修缮，每半年一次。</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对所有走廊、窗、楼梯间进行巡视检查，每半年一次。</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对屋面防水设施进行巡视、检查，雨季每周一次。</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对项目周边地面铺装进行巡视、修缮，每半年一次。</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对所有大门进行巡视修缮，每月一次。</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对门、窗、锁件、窗帘等进行巡检、修缮，每月一次。</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对通道防火门及锁件等进行巡检、修缮，每月一次。</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对项目建筑内所有吊顶天花板进行巡检、修缮，每月一次。</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对对项目建筑所有梁柱楼板进行巡检、修缮，每两月一次。</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对对项目建筑内楼梯不锈钢扶手进行巡检、修缮，每两月一次。</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对机房站点水箅子进行巡视检查、确实补足，每两月一次。</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每季度对室外木围栏进行检查，每年对木围栏进行整体保养等。</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对屋架、柱、梁、沉降缝、伸缩缝、装饰区域的墙与顶棚、地面、铝板、踢脚线、踏步、快速卷帘门等巡查，每半年一次。</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对室内钢结构件进行一次目测检查，每半年一次。</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1.3再生水利用设施日常管理内容及要求（包括但不限于）</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1.3.1保持本项目再生水利用设施原有完好等级和正常使用。</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工作对象：日常养护和小破损的及时修复等设施管理维护。</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具体工作要求（包括但不限于）：</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每日根据巡视时间，做好各类设施的记录工作；</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制订设施的维修保养工作计划。</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每年对设施做好清扫工作。</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完善做好设备安全标识。</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1.4强电系统日常管理内容及要求（包括但不限于）</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1.4.1配电室</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工作对象：2台配电柜。</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具体工作要求（包括但不限于）：</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每日根据巡视时间，做好各类运行数据的记录工作；掌握整个配电室设备的系统原理、运转状态。</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制订配电室设备的维修保养工作计划。</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每年对低压柜做好清扫工作。</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完善做好设备安全标识。</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1.4.2强电竖井配电柜及配套设备</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工作对象：地下一层至地面强电管井。</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具体工作要求（包括但不限于）：</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每日根据巡视时间，对建筑内强电管井进行巡视、检查工作，并记录好相关数据。</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制定工作计划，负责强电管井内配电柜进行维护、保养工作。</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定期做好强电管井的清洁工作。</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负责对强电管井内配电柜进行维修、改造工作。</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封堵强电管井配电柜入缆口。</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完善做好设备安全标识。</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负责专业组织机构检查后的整改工作。</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1.4.3照明系统（室内照明，）</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工作对象：设备间、值班室室内照明。</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具体工作要求（包括但不限于）：</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每日根据巡视时间，对再生水站点室内照明进行巡视、检查工作，并记录好相关数据。</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制定工作计划，负责对基础照明设备进行维护、保养工作。</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负责对基础照明进行维修工作。</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定期对安全指示灯做好巡视、检查、维修工作。</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负责专业组织机构检查后的整改工作。</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1.5弱电系统日常管理内容及要求（包括但不限于）</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r>
        <w:rPr>
          <w:rFonts w:hint="eastAsia" w:ascii="仿宋_GB2312" w:hAnsi="仿宋_GB2312" w:eastAsia="仿宋_GB2312" w:cs="仿宋_GB2312"/>
          <w:sz w:val="24"/>
          <w:szCs w:val="24"/>
          <w:lang w:val="en-US" w:eastAsia="zh-CN"/>
        </w:rPr>
        <w:t>5</w:t>
      </w:r>
      <w:r>
        <w:rPr>
          <w:rFonts w:hint="eastAsia" w:ascii="仿宋_GB2312" w:hAnsi="仿宋_GB2312" w:eastAsia="仿宋_GB2312" w:cs="仿宋_GB2312"/>
          <w:sz w:val="24"/>
          <w:szCs w:val="24"/>
        </w:rPr>
        <w:t>.1自控系统</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工作对象：PLC自控系统。</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工作内容（包括但不限于）：</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自控系统的运行与操作，确保设备正常工作。</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自控系统的巡检与巡检记录。</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自控系统故障及时维修。</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设备及机房环境整洁，无杂物、灰尘积垢，无鼠、虫害发生，机房环境符合设备要求。</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1.6主要设备日常管理内容及要求（包括但不限于）</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1.6.1进水闸阀、格栅（包括但不限于）</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工作对象:进水闸阀、格栅。</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巡检、维修项目工作要求：</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再生水进水闸阀、格栅正常运行。</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对进水闸、格栅进行巡视、检查，每日一次。</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每半年对所有闸阀门进行加油保养，活络一次。</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每季度对安全阀及各区域压力表进行检查，对故障压力表进行更换。</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完成日常维修工作。</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1.6.2提升泵、过滤泵、污泥泵等（包括但不限于）</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工作对象:提升泵、过滤泵、污泥泵、反洗泵。</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巡检、维修项目工作要求：</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保障再生水提升泵、过滤泵、污泥泵、反洗泵正常工作。</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对进提升泵、过滤泵、污泥泵、反洗泵进行巡视、检查，每日一次。</w:t>
      </w:r>
    </w:p>
    <w:p>
      <w:pPr>
        <w:tabs>
          <w:tab w:val="left" w:pos="840"/>
        </w:tabs>
        <w:spacing w:line="360" w:lineRule="auto"/>
        <w:ind w:left="547" w:leftChars="228"/>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水泵启动后，电机及线路电压表和电流表，若有异常现象，应立即停机查明原因，排除障碍后方能重新合闸启动。</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完成日常维修工作。</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1.6.3加药装置（包括但不限于）</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工作对象:PAC、PAM加药装置、二氧化氯发生器。</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巡检、维修项目工作要求：</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保障再生水PAC、PAM加药装置、次氯酸钠加药泵正常工作，按需加药。</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对PAC、PAM加药装置、次氯酸钠加药装置进行巡视、检查，每日一次。</w:t>
      </w:r>
    </w:p>
    <w:p>
      <w:pPr>
        <w:tabs>
          <w:tab w:val="left" w:pos="840"/>
        </w:tabs>
        <w:spacing w:line="360" w:lineRule="auto"/>
        <w:ind w:left="0" w:leftChars="0"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设备清洗，清理过滤阀半年清洗一次。</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完成日常维修工作。</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1.7消防内容及要求（包括但不限于）</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工作对象：干粉灭火器等。</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巡检、维修项目工作要求：</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每日做好巡检维护设备设施并记录</w:t>
      </w:r>
    </w:p>
    <w:p>
      <w:pPr>
        <w:tabs>
          <w:tab w:val="left" w:pos="840"/>
        </w:tabs>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对负责区域内灭火器进行月检工作，每月一次。</w:t>
      </w:r>
    </w:p>
    <w:p>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2.施工项目监管内容及要求（包括但不限于）</w:t>
      </w:r>
    </w:p>
    <w:p>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工作对象：配合第三方对再生水利用站点改造的过程进行管理。</w:t>
      </w:r>
    </w:p>
    <w:p>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工作要求：</w:t>
      </w:r>
    </w:p>
    <w:p>
      <w:pPr>
        <w:spacing w:line="360" w:lineRule="auto"/>
        <w:ind w:left="547" w:leftChars="228"/>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施工项目方案审批管理，结合再生水利用站情况对施工方案合理性、安全性等提出要求。</w:t>
      </w:r>
    </w:p>
    <w:p>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配合提供临时用水用电。</w:t>
      </w:r>
    </w:p>
    <w:p>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监督施工方规范使用施工工具，监督施工方严格执行临时用电相关规范要求。</w:t>
      </w:r>
    </w:p>
    <w:p>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监督施工方按照施工方案进行施工。</w:t>
      </w:r>
    </w:p>
    <w:p>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监督施工方做好文明施工和成品保护工作。</w:t>
      </w:r>
    </w:p>
    <w:p>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3.能源管理内容及要求（包括但不限于）</w:t>
      </w:r>
    </w:p>
    <w:p>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工作对象：再生水利用站所有用能设备设施（水电等）。</w:t>
      </w:r>
    </w:p>
    <w:p>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工作要求：</w:t>
      </w:r>
    </w:p>
    <w:p>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贯彻执行政府部门的能源法规、方针、政策和技术标准及北京园博园能源管理规范。</w:t>
      </w:r>
    </w:p>
    <w:p>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负责执行相关能源管理规范并进行监督。</w:t>
      </w:r>
    </w:p>
    <w:p>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参与新增用能设施设备的用能评价。</w:t>
      </w:r>
    </w:p>
    <w:p>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发现能源浪费及不合理使用情况及时上报。</w:t>
      </w:r>
    </w:p>
    <w:p>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组织编写并报送园博再生水利用站能源使用状况统计和分析报告。</w:t>
      </w:r>
    </w:p>
    <w:p>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组织再生水利用站能源分析工作，协助工程物业部完成节能监测，对发现的问题及时整改。</w:t>
      </w:r>
    </w:p>
    <w:p>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开展节能宣传，组织节能培训。</w:t>
      </w:r>
    </w:p>
    <w:p>
      <w:pPr>
        <w:widowControl/>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积极推进节能新技术、新工艺、新设备、新材料的应用。</w:t>
      </w:r>
    </w:p>
    <w:p>
      <w:pPr>
        <w:spacing w:line="360" w:lineRule="auto"/>
        <w:ind w:firstLine="482" w:firstLineChars="200"/>
        <w:contextualSpacing/>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lang w:eastAsia="zh-CN"/>
        </w:rPr>
        <w:t>五</w:t>
      </w:r>
      <w:r>
        <w:rPr>
          <w:rFonts w:hint="eastAsia" w:ascii="仿宋_GB2312" w:hAnsi="仿宋_GB2312" w:eastAsia="仿宋_GB2312" w:cs="仿宋_GB2312"/>
          <w:b/>
          <w:sz w:val="24"/>
          <w:szCs w:val="24"/>
        </w:rPr>
        <w:t>、验收标准</w:t>
      </w:r>
    </w:p>
    <w:p>
      <w:pPr>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需执行的国家相关标准、行业标准、地方标准或者其他标准、规范</w:t>
      </w:r>
    </w:p>
    <w:p>
      <w:pPr>
        <w:spacing w:line="360" w:lineRule="auto"/>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包括且不限于以下国家、地方及行业相关规范，凡是不注日期的引用文件，其最新版本（包括所有的修改单）适用于本文件：</w:t>
      </w:r>
    </w:p>
    <w:p>
      <w:pPr>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《特种设备安全监察条例》</w:t>
      </w:r>
    </w:p>
    <w:p>
      <w:pPr>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《城市污水再生利用 城市杂用水水质》（GB/T18920-2020）</w:t>
      </w:r>
    </w:p>
    <w:p>
      <w:pPr>
        <w:spacing w:line="360" w:lineRule="auto"/>
        <w:ind w:firstLine="480" w:firstLineChars="200"/>
        <w:contextualSpacing/>
        <w:rPr>
          <w:rFonts w:hint="eastAsia" w:ascii="仿宋_GB2312" w:hAnsi="仿宋_GB2312" w:eastAsia="仿宋_GB2312" w:cs="仿宋_GB2312"/>
          <w:sz w:val="24"/>
        </w:rPr>
      </w:pPr>
      <w:r>
        <w:rPr>
          <w:rFonts w:hint="eastAsia" w:ascii="仿宋_GB2312" w:hAnsi="仿宋_GB2312" w:eastAsia="仿宋_GB2312" w:cs="仿宋_GB2312"/>
          <w:sz w:val="24"/>
          <w:szCs w:val="24"/>
          <w:lang w:val="en-US" w:eastAsia="zh-CN"/>
        </w:rPr>
        <w:t>3.</w:t>
      </w:r>
      <w:r>
        <w:rPr>
          <w:rFonts w:hint="eastAsia" w:ascii="仿宋_GB2312" w:hAnsi="仿宋_GB2312" w:eastAsia="仿宋_GB2312" w:cs="仿宋_GB2312"/>
          <w:sz w:val="24"/>
        </w:rPr>
        <w:t>《220 kV～750 kV电网继电保护和安全自动装置配置技术规范》</w:t>
      </w:r>
    </w:p>
    <w:p>
      <w:pPr>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4.</w:t>
      </w:r>
      <w:r>
        <w:rPr>
          <w:rFonts w:hint="eastAsia" w:ascii="仿宋_GB2312" w:hAnsi="仿宋_GB2312" w:eastAsia="仿宋_GB2312" w:cs="仿宋_GB2312"/>
          <w:sz w:val="24"/>
          <w:szCs w:val="24"/>
        </w:rPr>
        <w:t>《供配电系统设计规范》（GB50052-2009）</w:t>
      </w:r>
    </w:p>
    <w:p>
      <w:pPr>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5.</w:t>
      </w:r>
      <w:r>
        <w:rPr>
          <w:rFonts w:hint="eastAsia" w:ascii="仿宋_GB2312" w:hAnsi="仿宋_GB2312" w:eastAsia="仿宋_GB2312" w:cs="仿宋_GB2312"/>
          <w:sz w:val="24"/>
          <w:szCs w:val="24"/>
        </w:rPr>
        <w:t>《低压配电系统设计规范》（GB50054-2011）</w:t>
      </w:r>
    </w:p>
    <w:p>
      <w:pPr>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6.</w:t>
      </w:r>
      <w:r>
        <w:rPr>
          <w:rFonts w:hint="eastAsia" w:ascii="仿宋_GB2312" w:hAnsi="仿宋_GB2312" w:eastAsia="仿宋_GB2312" w:cs="仿宋_GB2312"/>
          <w:sz w:val="24"/>
          <w:szCs w:val="24"/>
        </w:rPr>
        <w:t>《职业健康安全管理体系》</w:t>
      </w:r>
    </w:p>
    <w:p>
      <w:pPr>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7.</w:t>
      </w:r>
      <w:r>
        <w:rPr>
          <w:rFonts w:hint="eastAsia" w:ascii="仿宋_GB2312" w:hAnsi="仿宋_GB2312" w:eastAsia="仿宋_GB2312" w:cs="仿宋_GB2312"/>
          <w:sz w:val="24"/>
          <w:szCs w:val="24"/>
        </w:rPr>
        <w:t>《中华人民共和国消防法》（2009年5月1日实施）</w:t>
      </w:r>
    </w:p>
    <w:p>
      <w:pPr>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8.</w:t>
      </w:r>
      <w:r>
        <w:rPr>
          <w:rFonts w:hint="eastAsia" w:ascii="仿宋_GB2312" w:hAnsi="仿宋_GB2312" w:eastAsia="仿宋_GB2312" w:cs="仿宋_GB2312"/>
          <w:sz w:val="24"/>
          <w:szCs w:val="24"/>
        </w:rPr>
        <w:t>公安部61号令--《机关、团体、企业、事业单位消防安全管理规定》</w:t>
      </w:r>
    </w:p>
    <w:p>
      <w:pPr>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9.</w:t>
      </w:r>
      <w:r>
        <w:rPr>
          <w:rFonts w:hint="eastAsia" w:ascii="仿宋_GB2312" w:hAnsi="仿宋_GB2312" w:eastAsia="仿宋_GB2312" w:cs="仿宋_GB2312"/>
          <w:sz w:val="24"/>
          <w:szCs w:val="24"/>
        </w:rPr>
        <w:t>《建筑消防设施的维护管理》(GB25201-2010)</w:t>
      </w:r>
    </w:p>
    <w:p>
      <w:pPr>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r>
        <w:rPr>
          <w:rFonts w:hint="eastAsia" w:ascii="仿宋_GB2312" w:hAnsi="仿宋_GB2312" w:eastAsia="仿宋_GB2312" w:cs="仿宋_GB2312"/>
          <w:sz w:val="24"/>
          <w:szCs w:val="24"/>
          <w:lang w:val="en-US" w:eastAsia="zh-CN"/>
        </w:rPr>
        <w:t>0.</w:t>
      </w:r>
      <w:r>
        <w:rPr>
          <w:rFonts w:hint="eastAsia" w:ascii="仿宋_GB2312" w:hAnsi="仿宋_GB2312" w:eastAsia="仿宋_GB2312" w:cs="仿宋_GB2312"/>
          <w:sz w:val="24"/>
          <w:szCs w:val="24"/>
        </w:rPr>
        <w:t>《井用潜水泵(GB/T 2816-2014)》</w:t>
      </w:r>
    </w:p>
    <w:p>
      <w:pPr>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r>
        <w:rPr>
          <w:rFonts w:hint="eastAsia" w:ascii="仿宋_GB2312" w:hAnsi="仿宋_GB2312" w:eastAsia="仿宋_GB2312" w:cs="仿宋_GB2312"/>
          <w:sz w:val="24"/>
          <w:szCs w:val="24"/>
          <w:lang w:val="en-US" w:eastAsia="zh-CN"/>
        </w:rPr>
        <w:t>1.</w:t>
      </w:r>
      <w:r>
        <w:rPr>
          <w:rFonts w:hint="eastAsia" w:ascii="仿宋_GB2312" w:hAnsi="仿宋_GB2312" w:eastAsia="仿宋_GB2312" w:cs="仿宋_GB2312"/>
          <w:sz w:val="24"/>
          <w:szCs w:val="24"/>
        </w:rPr>
        <w:t>《卷帘门窗》（JG/T302-20</w:t>
      </w:r>
      <w:r>
        <w:rPr>
          <w:rFonts w:hint="eastAsia" w:ascii="仿宋_GB2312" w:hAnsi="仿宋_GB2312" w:eastAsia="仿宋_GB2312" w:cs="仿宋_GB2312"/>
          <w:sz w:val="24"/>
          <w:szCs w:val="24"/>
          <w:lang w:val="en-US" w:eastAsia="zh-CN"/>
        </w:rPr>
        <w:t>22</w:t>
      </w:r>
      <w:r>
        <w:rPr>
          <w:rFonts w:hint="eastAsia" w:ascii="仿宋_GB2312" w:hAnsi="仿宋_GB2312" w:eastAsia="仿宋_GB2312" w:cs="仿宋_GB2312"/>
          <w:sz w:val="24"/>
          <w:szCs w:val="24"/>
        </w:rPr>
        <w:t>）</w:t>
      </w:r>
    </w:p>
    <w:p>
      <w:pPr>
        <w:spacing w:line="360" w:lineRule="auto"/>
        <w:ind w:firstLine="480" w:firstLineChars="20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r>
        <w:rPr>
          <w:rFonts w:hint="eastAsia" w:ascii="仿宋_GB2312" w:hAnsi="仿宋_GB2312" w:eastAsia="仿宋_GB2312" w:cs="仿宋_GB2312"/>
          <w:sz w:val="24"/>
          <w:szCs w:val="24"/>
          <w:lang w:val="en-US" w:eastAsia="zh-CN"/>
        </w:rPr>
        <w:t>2.</w:t>
      </w:r>
      <w:r>
        <w:rPr>
          <w:rFonts w:hint="eastAsia" w:ascii="仿宋_GB2312" w:hAnsi="仿宋_GB2312" w:eastAsia="仿宋_GB2312" w:cs="仿宋_GB2312"/>
          <w:sz w:val="24"/>
          <w:szCs w:val="24"/>
        </w:rPr>
        <w:t>《离心泵技术条件（III类）》(GB/T5657-2013)</w:t>
      </w:r>
    </w:p>
    <w:p>
      <w:pPr>
        <w:spacing w:line="360" w:lineRule="auto"/>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    1</w:t>
      </w:r>
      <w:r>
        <w:rPr>
          <w:rFonts w:hint="eastAsia" w:ascii="仿宋_GB2312" w:hAnsi="仿宋_GB2312" w:eastAsia="仿宋_GB2312" w:cs="仿宋_GB2312"/>
          <w:sz w:val="24"/>
          <w:szCs w:val="24"/>
          <w:lang w:val="en-US" w:eastAsia="zh-CN"/>
        </w:rPr>
        <w:t>3.</w:t>
      </w:r>
      <w:r>
        <w:rPr>
          <w:rFonts w:hint="eastAsia" w:ascii="仿宋_GB2312" w:hAnsi="仿宋_GB2312" w:eastAsia="仿宋_GB2312" w:cs="仿宋_GB2312"/>
          <w:sz w:val="24"/>
          <w:szCs w:val="24"/>
        </w:rPr>
        <w:t>《有限空间作业安全技术规范》（DB11T 852-2019）</w:t>
      </w:r>
    </w:p>
    <w:p>
      <w:pPr>
        <w:pStyle w:val="2"/>
        <w:ind w:firstLine="480"/>
        <w:rPr>
          <w:rFonts w:hint="eastAsia" w:ascii="仿宋_GB2312" w:hAnsi="仿宋_GB2312" w:eastAsia="仿宋_GB2312" w:cs="仿宋_GB2312"/>
          <w:iCs/>
          <w:sz w:val="24"/>
          <w:szCs w:val="24"/>
        </w:rPr>
      </w:pPr>
      <w:r>
        <w:rPr>
          <w:rFonts w:hint="eastAsia" w:ascii="仿宋_GB2312" w:hAnsi="仿宋_GB2312" w:eastAsia="仿宋_GB2312" w:cs="仿宋_GB2312"/>
          <w:sz w:val="24"/>
          <w:szCs w:val="24"/>
          <w:lang w:val="en-US" w:eastAsia="zh-CN"/>
        </w:rPr>
        <w:t>14.</w:t>
      </w:r>
      <w:r>
        <w:rPr>
          <w:rFonts w:hint="eastAsia" w:ascii="仿宋_GB2312" w:hAnsi="仿宋_GB2312" w:eastAsia="仿宋_GB2312" w:cs="仿宋_GB2312"/>
          <w:sz w:val="24"/>
          <w:szCs w:val="24"/>
        </w:rPr>
        <w:t>《高处作业分级》（GB/T 3608）</w:t>
      </w:r>
    </w:p>
    <w:p>
      <w:pPr>
        <w:spacing w:line="360" w:lineRule="auto"/>
        <w:ind w:firstLine="480"/>
        <w:contextualSpacing/>
        <w:rPr>
          <w:rFonts w:hint="eastAsia" w:ascii="仿宋_GB2312" w:hAnsi="仿宋_GB2312" w:eastAsia="仿宋_GB2312" w:cs="仿宋_GB2312"/>
          <w:iCs/>
          <w:sz w:val="24"/>
          <w:szCs w:val="24"/>
        </w:rPr>
      </w:pPr>
      <w:r>
        <w:rPr>
          <w:rFonts w:hint="eastAsia" w:ascii="仿宋_GB2312" w:hAnsi="仿宋_GB2312" w:eastAsia="仿宋_GB2312" w:cs="仿宋_GB2312"/>
          <w:iCs/>
          <w:sz w:val="24"/>
          <w:szCs w:val="24"/>
        </w:rPr>
        <w:t>1</w:t>
      </w:r>
      <w:r>
        <w:rPr>
          <w:rFonts w:hint="eastAsia" w:ascii="仿宋_GB2312" w:hAnsi="仿宋_GB2312" w:eastAsia="仿宋_GB2312" w:cs="仿宋_GB2312"/>
          <w:iCs/>
          <w:sz w:val="24"/>
          <w:szCs w:val="24"/>
          <w:lang w:val="en-US" w:eastAsia="zh-CN"/>
        </w:rPr>
        <w:t>5.</w:t>
      </w:r>
      <w:r>
        <w:rPr>
          <w:rFonts w:hint="eastAsia" w:ascii="仿宋_GB2312" w:hAnsi="仿宋_GB2312" w:eastAsia="仿宋_GB2312" w:cs="仿宋_GB2312"/>
          <w:iCs/>
          <w:sz w:val="24"/>
          <w:szCs w:val="24"/>
        </w:rPr>
        <w:t>《施工现场临时用电安全技术规范》（JGJ 46）</w:t>
      </w:r>
    </w:p>
    <w:p>
      <w:pPr>
        <w:pStyle w:val="2"/>
        <w:spacing w:line="360" w:lineRule="auto"/>
        <w:ind w:firstLine="48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r>
        <w:rPr>
          <w:rFonts w:hint="eastAsia" w:ascii="仿宋_GB2312" w:hAnsi="仿宋_GB2312" w:eastAsia="仿宋_GB2312" w:cs="仿宋_GB2312"/>
          <w:sz w:val="24"/>
          <w:szCs w:val="24"/>
          <w:lang w:val="en-US" w:eastAsia="zh-CN"/>
        </w:rPr>
        <w:t>6.</w:t>
      </w:r>
      <w:r>
        <w:rPr>
          <w:rFonts w:hint="eastAsia" w:ascii="仿宋_GB2312" w:hAnsi="仿宋_GB2312" w:eastAsia="仿宋_GB2312" w:cs="仿宋_GB2312"/>
          <w:sz w:val="24"/>
          <w:szCs w:val="24"/>
        </w:rPr>
        <w:t>《作业场所环境气体检测报警仪通用技术要求》（GB 12358）</w:t>
      </w:r>
    </w:p>
    <w:p>
      <w:pPr>
        <w:pStyle w:val="2"/>
        <w:spacing w:line="360" w:lineRule="auto"/>
        <w:ind w:firstLine="480"/>
        <w:contextualSpacing/>
        <w:rPr>
          <w:rFonts w:hint="eastAsia" w:ascii="仿宋_GB2312" w:hAnsi="仿宋_GB2312" w:eastAsia="仿宋_GB2312" w:cs="仿宋_GB2312"/>
          <w:iCs/>
          <w:sz w:val="24"/>
          <w:szCs w:val="24"/>
        </w:rPr>
      </w:pPr>
      <w:r>
        <w:rPr>
          <w:rFonts w:hint="eastAsia" w:ascii="仿宋_GB2312" w:hAnsi="仿宋_GB2312" w:eastAsia="仿宋_GB2312" w:cs="仿宋_GB2312"/>
          <w:iCs/>
          <w:sz w:val="24"/>
          <w:szCs w:val="24"/>
        </w:rPr>
        <w:t>1</w:t>
      </w:r>
      <w:r>
        <w:rPr>
          <w:rFonts w:hint="eastAsia" w:ascii="仿宋_GB2312" w:hAnsi="仿宋_GB2312" w:eastAsia="仿宋_GB2312" w:cs="仿宋_GB2312"/>
          <w:iCs/>
          <w:sz w:val="24"/>
          <w:szCs w:val="24"/>
          <w:lang w:val="en-US" w:eastAsia="zh-CN"/>
        </w:rPr>
        <w:t>7.</w:t>
      </w:r>
      <w:r>
        <w:rPr>
          <w:rFonts w:hint="eastAsia" w:ascii="仿宋_GB2312" w:hAnsi="仿宋_GB2312" w:eastAsia="仿宋_GB2312" w:cs="仿宋_GB2312"/>
          <w:iCs/>
          <w:sz w:val="24"/>
          <w:szCs w:val="24"/>
        </w:rPr>
        <w:t>《手持式电动工具的管理、使用、检查和维修安全技术规程》（GB/T 3787）</w:t>
      </w:r>
    </w:p>
    <w:p>
      <w:pPr>
        <w:pStyle w:val="2"/>
        <w:spacing w:line="360" w:lineRule="auto"/>
        <w:ind w:firstLine="480"/>
        <w:contextualSpacing/>
        <w:rPr>
          <w:rFonts w:hint="eastAsia" w:ascii="仿宋_GB2312" w:hAnsi="仿宋_GB2312" w:eastAsia="仿宋_GB2312" w:cs="仿宋_GB2312"/>
          <w:iCs/>
          <w:sz w:val="24"/>
          <w:szCs w:val="24"/>
        </w:rPr>
      </w:pPr>
      <w:r>
        <w:rPr>
          <w:rFonts w:hint="eastAsia" w:ascii="仿宋_GB2312" w:hAnsi="仿宋_GB2312" w:eastAsia="仿宋_GB2312" w:cs="仿宋_GB2312"/>
          <w:iCs/>
          <w:sz w:val="24"/>
          <w:szCs w:val="24"/>
          <w:lang w:val="en-US" w:eastAsia="zh-CN"/>
        </w:rPr>
        <w:t>18.</w:t>
      </w:r>
      <w:r>
        <w:rPr>
          <w:rFonts w:hint="eastAsia" w:ascii="仿宋_GB2312" w:hAnsi="仿宋_GB2312" w:eastAsia="仿宋_GB2312" w:cs="仿宋_GB2312"/>
          <w:iCs/>
          <w:sz w:val="24"/>
          <w:szCs w:val="24"/>
        </w:rPr>
        <w:t>《安全帽》（GB 2811）</w:t>
      </w:r>
    </w:p>
    <w:p>
      <w:pPr>
        <w:pStyle w:val="2"/>
        <w:spacing w:line="360" w:lineRule="auto"/>
        <w:ind w:firstLine="480"/>
        <w:contextualSpacing/>
        <w:rPr>
          <w:rFonts w:hint="eastAsia" w:ascii="仿宋_GB2312" w:hAnsi="仿宋_GB2312" w:eastAsia="仿宋_GB2312" w:cs="仿宋_GB2312"/>
          <w:iCs/>
          <w:sz w:val="24"/>
          <w:szCs w:val="24"/>
        </w:rPr>
      </w:pPr>
      <w:r>
        <w:rPr>
          <w:rFonts w:hint="eastAsia" w:ascii="仿宋_GB2312" w:hAnsi="仿宋_GB2312" w:eastAsia="仿宋_GB2312" w:cs="仿宋_GB2312"/>
          <w:iCs/>
          <w:sz w:val="24"/>
          <w:szCs w:val="24"/>
          <w:lang w:val="en-US" w:eastAsia="zh-CN"/>
        </w:rPr>
        <w:t>19.</w:t>
      </w:r>
      <w:r>
        <w:rPr>
          <w:rFonts w:hint="eastAsia" w:ascii="仿宋_GB2312" w:hAnsi="仿宋_GB2312" w:eastAsia="仿宋_GB2312" w:cs="仿宋_GB2312"/>
          <w:iCs/>
          <w:sz w:val="24"/>
          <w:szCs w:val="24"/>
        </w:rPr>
        <w:t>《呼吸防护长管呼吸器》（GB 6220）</w:t>
      </w:r>
    </w:p>
    <w:p>
      <w:pPr>
        <w:pStyle w:val="2"/>
        <w:spacing w:line="360" w:lineRule="auto"/>
        <w:ind w:firstLine="480"/>
        <w:contextualSpacing/>
        <w:rPr>
          <w:rFonts w:hint="eastAsia" w:ascii="仿宋_GB2312" w:hAnsi="仿宋_GB2312" w:eastAsia="仿宋_GB2312" w:cs="仿宋_GB2312"/>
          <w:iCs/>
          <w:sz w:val="24"/>
          <w:szCs w:val="24"/>
        </w:rPr>
      </w:pPr>
      <w:r>
        <w:rPr>
          <w:rFonts w:hint="eastAsia" w:ascii="仿宋_GB2312" w:hAnsi="仿宋_GB2312" w:eastAsia="仿宋_GB2312" w:cs="仿宋_GB2312"/>
          <w:iCs/>
          <w:sz w:val="24"/>
          <w:szCs w:val="24"/>
        </w:rPr>
        <w:t>2</w:t>
      </w:r>
      <w:r>
        <w:rPr>
          <w:rFonts w:hint="eastAsia" w:ascii="仿宋_GB2312" w:hAnsi="仿宋_GB2312" w:eastAsia="仿宋_GB2312" w:cs="仿宋_GB2312"/>
          <w:iCs/>
          <w:sz w:val="24"/>
          <w:szCs w:val="24"/>
          <w:lang w:val="en-US" w:eastAsia="zh-CN"/>
        </w:rPr>
        <w:t>0.</w:t>
      </w:r>
      <w:r>
        <w:rPr>
          <w:rFonts w:hint="eastAsia" w:ascii="仿宋_GB2312" w:hAnsi="仿宋_GB2312" w:eastAsia="仿宋_GB2312" w:cs="仿宋_GB2312"/>
          <w:iCs/>
          <w:sz w:val="24"/>
          <w:szCs w:val="24"/>
        </w:rPr>
        <w:t>《用电安全导则》（GB/T 13869）</w:t>
      </w:r>
    </w:p>
    <w:p>
      <w:pPr>
        <w:pStyle w:val="2"/>
        <w:spacing w:line="360" w:lineRule="auto"/>
        <w:ind w:firstLine="480"/>
        <w:contextualSpacing/>
        <w:rPr>
          <w:rFonts w:hint="eastAsia" w:ascii="仿宋_GB2312" w:hAnsi="仿宋_GB2312" w:eastAsia="仿宋_GB2312" w:cs="仿宋_GB2312"/>
          <w:iCs/>
          <w:sz w:val="24"/>
          <w:szCs w:val="24"/>
        </w:rPr>
      </w:pPr>
      <w:r>
        <w:rPr>
          <w:rFonts w:hint="eastAsia" w:ascii="仿宋_GB2312" w:hAnsi="仿宋_GB2312" w:eastAsia="仿宋_GB2312" w:cs="仿宋_GB2312"/>
          <w:iCs/>
          <w:sz w:val="24"/>
          <w:szCs w:val="24"/>
        </w:rPr>
        <w:t>2</w:t>
      </w:r>
      <w:r>
        <w:rPr>
          <w:rFonts w:hint="eastAsia" w:ascii="仿宋_GB2312" w:hAnsi="仿宋_GB2312" w:eastAsia="仿宋_GB2312" w:cs="仿宋_GB2312"/>
          <w:iCs/>
          <w:sz w:val="24"/>
          <w:szCs w:val="24"/>
          <w:lang w:val="en-US" w:eastAsia="zh-CN"/>
        </w:rPr>
        <w:t>1.</w:t>
      </w:r>
      <w:r>
        <w:rPr>
          <w:rFonts w:hint="eastAsia" w:ascii="仿宋_GB2312" w:hAnsi="仿宋_GB2312" w:eastAsia="仿宋_GB2312" w:cs="仿宋_GB2312"/>
          <w:iCs/>
          <w:sz w:val="24"/>
          <w:szCs w:val="24"/>
        </w:rPr>
        <w:t>《粉尘防爆安全规程》（GB 15577）</w:t>
      </w:r>
    </w:p>
    <w:p>
      <w:pPr>
        <w:pStyle w:val="2"/>
        <w:spacing w:line="360" w:lineRule="auto"/>
        <w:ind w:firstLine="480"/>
        <w:contextualSpacing/>
        <w:rPr>
          <w:rFonts w:hint="eastAsia" w:ascii="仿宋_GB2312" w:hAnsi="仿宋_GB2312" w:eastAsia="仿宋_GB2312" w:cs="仿宋_GB2312"/>
          <w:iCs/>
          <w:sz w:val="24"/>
          <w:szCs w:val="24"/>
        </w:rPr>
      </w:pPr>
      <w:r>
        <w:rPr>
          <w:rFonts w:hint="eastAsia" w:ascii="仿宋_GB2312" w:hAnsi="仿宋_GB2312" w:eastAsia="仿宋_GB2312" w:cs="仿宋_GB2312"/>
          <w:iCs/>
          <w:sz w:val="24"/>
          <w:szCs w:val="24"/>
        </w:rPr>
        <w:t>2</w:t>
      </w:r>
      <w:r>
        <w:rPr>
          <w:rFonts w:hint="eastAsia" w:ascii="仿宋_GB2312" w:hAnsi="仿宋_GB2312" w:eastAsia="仿宋_GB2312" w:cs="仿宋_GB2312"/>
          <w:iCs/>
          <w:sz w:val="24"/>
          <w:szCs w:val="24"/>
          <w:lang w:val="en-US" w:eastAsia="zh-CN"/>
        </w:rPr>
        <w:t>2.</w:t>
      </w:r>
      <w:r>
        <w:rPr>
          <w:rFonts w:hint="eastAsia" w:ascii="仿宋_GB2312" w:hAnsi="仿宋_GB2312" w:eastAsia="仿宋_GB2312" w:cs="仿宋_GB2312"/>
          <w:iCs/>
          <w:sz w:val="24"/>
          <w:szCs w:val="24"/>
        </w:rPr>
        <w:t>《自给开路式压缩空气呼吸器》（GB/T 16556）</w:t>
      </w:r>
    </w:p>
    <w:p>
      <w:pPr>
        <w:pStyle w:val="2"/>
        <w:spacing w:line="360" w:lineRule="auto"/>
        <w:ind w:firstLine="480"/>
        <w:contextualSpacing/>
        <w:rPr>
          <w:rFonts w:hint="eastAsia" w:ascii="仿宋_GB2312" w:hAnsi="仿宋_GB2312" w:eastAsia="仿宋_GB2312" w:cs="仿宋_GB2312"/>
          <w:iCs/>
          <w:sz w:val="24"/>
          <w:szCs w:val="24"/>
        </w:rPr>
      </w:pPr>
      <w:r>
        <w:rPr>
          <w:rFonts w:hint="eastAsia" w:ascii="仿宋_GB2312" w:hAnsi="仿宋_GB2312" w:eastAsia="仿宋_GB2312" w:cs="仿宋_GB2312"/>
          <w:iCs/>
          <w:sz w:val="24"/>
          <w:szCs w:val="24"/>
        </w:rPr>
        <w:t>2</w:t>
      </w:r>
      <w:r>
        <w:rPr>
          <w:rFonts w:hint="eastAsia" w:ascii="仿宋_GB2312" w:hAnsi="仿宋_GB2312" w:eastAsia="仿宋_GB2312" w:cs="仿宋_GB2312"/>
          <w:iCs/>
          <w:sz w:val="24"/>
          <w:szCs w:val="24"/>
          <w:lang w:val="en-US" w:eastAsia="zh-CN"/>
        </w:rPr>
        <w:t>3.</w:t>
      </w:r>
      <w:r>
        <w:rPr>
          <w:rFonts w:hint="eastAsia" w:ascii="仿宋_GB2312" w:hAnsi="仿宋_GB2312" w:eastAsia="仿宋_GB2312" w:cs="仿宋_GB2312"/>
          <w:iCs/>
          <w:sz w:val="24"/>
          <w:szCs w:val="24"/>
        </w:rPr>
        <w:t>《职业用高可视性警示服》（GB 20653）</w:t>
      </w:r>
    </w:p>
    <w:p>
      <w:pPr>
        <w:pStyle w:val="2"/>
        <w:spacing w:line="360" w:lineRule="auto"/>
        <w:ind w:firstLine="48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r>
        <w:rPr>
          <w:rFonts w:hint="eastAsia" w:ascii="仿宋_GB2312" w:hAnsi="仿宋_GB2312" w:eastAsia="仿宋_GB2312" w:cs="仿宋_GB2312"/>
          <w:sz w:val="24"/>
          <w:szCs w:val="24"/>
          <w:lang w:val="en-US" w:eastAsia="zh-CN"/>
        </w:rPr>
        <w:t>4.</w:t>
      </w:r>
      <w:r>
        <w:rPr>
          <w:rFonts w:hint="eastAsia" w:ascii="仿宋_GB2312" w:hAnsi="仿宋_GB2312" w:eastAsia="仿宋_GB2312" w:cs="仿宋_GB2312"/>
          <w:sz w:val="24"/>
          <w:szCs w:val="24"/>
        </w:rPr>
        <w:t>《坠落防护安全绳》（GB 24543）</w:t>
      </w:r>
    </w:p>
    <w:p>
      <w:pPr>
        <w:pStyle w:val="2"/>
        <w:spacing w:line="360" w:lineRule="auto"/>
        <w:ind w:firstLine="48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r>
        <w:rPr>
          <w:rFonts w:hint="eastAsia" w:ascii="仿宋_GB2312" w:hAnsi="仿宋_GB2312" w:eastAsia="仿宋_GB2312" w:cs="仿宋_GB2312"/>
          <w:sz w:val="24"/>
          <w:szCs w:val="24"/>
          <w:lang w:val="en-US" w:eastAsia="zh-CN"/>
        </w:rPr>
        <w:t>5.</w:t>
      </w:r>
      <w:r>
        <w:rPr>
          <w:rFonts w:hint="eastAsia" w:ascii="仿宋_GB2312" w:hAnsi="仿宋_GB2312" w:eastAsia="仿宋_GB2312" w:cs="仿宋_GB2312"/>
          <w:sz w:val="24"/>
          <w:szCs w:val="24"/>
        </w:rPr>
        <w:t>《坠落防护速差自控器》（GB 24544）</w:t>
      </w:r>
    </w:p>
    <w:p>
      <w:pPr>
        <w:pStyle w:val="2"/>
        <w:spacing w:line="360" w:lineRule="auto"/>
        <w:ind w:firstLine="48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r>
        <w:rPr>
          <w:rFonts w:hint="eastAsia" w:ascii="仿宋_GB2312" w:hAnsi="仿宋_GB2312" w:eastAsia="仿宋_GB2312" w:cs="仿宋_GB2312"/>
          <w:sz w:val="24"/>
          <w:szCs w:val="24"/>
          <w:lang w:val="en-US" w:eastAsia="zh-CN"/>
        </w:rPr>
        <w:t>6.</w:t>
      </w:r>
      <w:r>
        <w:rPr>
          <w:rFonts w:hint="eastAsia" w:ascii="仿宋_GB2312" w:hAnsi="仿宋_GB2312" w:eastAsia="仿宋_GB2312" w:cs="仿宋_GB2312"/>
          <w:sz w:val="24"/>
          <w:szCs w:val="24"/>
        </w:rPr>
        <w:t>《生产经营单位生产安全事故应急预案编制导则》（GB/T 29639）</w:t>
      </w:r>
    </w:p>
    <w:p>
      <w:pPr>
        <w:pStyle w:val="2"/>
        <w:spacing w:line="360" w:lineRule="auto"/>
        <w:ind w:firstLine="48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27.</w:t>
      </w:r>
      <w:r>
        <w:rPr>
          <w:rFonts w:hint="eastAsia" w:ascii="仿宋_GB2312" w:hAnsi="仿宋_GB2312" w:eastAsia="仿宋_GB2312" w:cs="仿宋_GB2312"/>
          <w:sz w:val="24"/>
          <w:szCs w:val="24"/>
        </w:rPr>
        <w:t>《坠落防护挂点装置》（GB 30862）</w:t>
      </w:r>
    </w:p>
    <w:p>
      <w:pPr>
        <w:pStyle w:val="2"/>
        <w:spacing w:line="360" w:lineRule="auto"/>
        <w:ind w:firstLine="48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28.</w:t>
      </w:r>
      <w:r>
        <w:rPr>
          <w:rFonts w:hint="eastAsia" w:ascii="仿宋_GB2312" w:hAnsi="仿宋_GB2312" w:eastAsia="仿宋_GB2312" w:cs="仿宋_GB2312"/>
          <w:sz w:val="24"/>
          <w:szCs w:val="24"/>
        </w:rPr>
        <w:t>《占道作业交通安全设施设置技术要求》（DB11/ 854）</w:t>
      </w:r>
    </w:p>
    <w:p>
      <w:pPr>
        <w:pStyle w:val="2"/>
        <w:spacing w:line="360" w:lineRule="auto"/>
        <w:ind w:firstLine="48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w:t>
      </w:r>
      <w:r>
        <w:rPr>
          <w:rFonts w:hint="eastAsia" w:ascii="仿宋_GB2312" w:hAnsi="仿宋_GB2312" w:eastAsia="仿宋_GB2312" w:cs="仿宋_GB2312"/>
          <w:sz w:val="24"/>
          <w:szCs w:val="24"/>
          <w:lang w:val="en-US" w:eastAsia="zh-CN"/>
        </w:rPr>
        <w:t>9.</w:t>
      </w:r>
      <w:r>
        <w:rPr>
          <w:rFonts w:hint="eastAsia" w:ascii="仿宋_GB2312" w:hAnsi="仿宋_GB2312" w:eastAsia="仿宋_GB2312" w:cs="仿宋_GB2312"/>
          <w:sz w:val="24"/>
          <w:szCs w:val="24"/>
        </w:rPr>
        <w:t>《工作场所有害因素职业接触限值》（GBZ 2）</w:t>
      </w:r>
    </w:p>
    <w:p>
      <w:pPr>
        <w:pStyle w:val="2"/>
        <w:spacing w:line="360" w:lineRule="auto"/>
        <w:ind w:firstLine="48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w:t>
      </w:r>
      <w:r>
        <w:rPr>
          <w:rFonts w:hint="eastAsia" w:ascii="仿宋_GB2312" w:hAnsi="仿宋_GB2312" w:eastAsia="仿宋_GB2312" w:cs="仿宋_GB2312"/>
          <w:sz w:val="24"/>
          <w:szCs w:val="24"/>
          <w:lang w:val="en-US" w:eastAsia="zh-CN"/>
        </w:rPr>
        <w:t>0.</w:t>
      </w:r>
      <w:r>
        <w:rPr>
          <w:rFonts w:hint="eastAsia" w:ascii="仿宋_GB2312" w:hAnsi="仿宋_GB2312" w:eastAsia="仿宋_GB2312" w:cs="仿宋_GB2312"/>
          <w:sz w:val="24"/>
          <w:szCs w:val="24"/>
        </w:rPr>
        <w:t>《电业安全工作规程》（GB 26859）</w:t>
      </w:r>
    </w:p>
    <w:p>
      <w:pPr>
        <w:pStyle w:val="2"/>
        <w:spacing w:line="360" w:lineRule="auto"/>
        <w:ind w:firstLine="48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w:t>
      </w:r>
      <w:r>
        <w:rPr>
          <w:rFonts w:hint="eastAsia" w:ascii="仿宋_GB2312" w:hAnsi="仿宋_GB2312" w:eastAsia="仿宋_GB2312" w:cs="仿宋_GB2312"/>
          <w:sz w:val="24"/>
          <w:szCs w:val="24"/>
          <w:lang w:val="en-US" w:eastAsia="zh-CN"/>
        </w:rPr>
        <w:t>1.</w:t>
      </w:r>
      <w:r>
        <w:rPr>
          <w:rFonts w:hint="eastAsia" w:ascii="仿宋_GB2312" w:hAnsi="仿宋_GB2312" w:eastAsia="仿宋_GB2312" w:cs="仿宋_GB2312"/>
          <w:sz w:val="24"/>
          <w:szCs w:val="24"/>
        </w:rPr>
        <w:t>《安全生产等级评定技术规范》（DB11/T 1322）</w:t>
      </w:r>
    </w:p>
    <w:p>
      <w:pPr>
        <w:pStyle w:val="2"/>
        <w:spacing w:line="360" w:lineRule="auto"/>
        <w:ind w:firstLine="480"/>
        <w:contextualSpacing/>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w:t>
      </w:r>
      <w:r>
        <w:rPr>
          <w:rFonts w:hint="eastAsia" w:ascii="仿宋_GB2312" w:hAnsi="仿宋_GB2312" w:eastAsia="仿宋_GB2312" w:cs="仿宋_GB2312"/>
          <w:sz w:val="24"/>
          <w:szCs w:val="24"/>
          <w:lang w:val="en-US" w:eastAsia="zh-CN"/>
        </w:rPr>
        <w:t>2.</w:t>
      </w:r>
      <w:r>
        <w:rPr>
          <w:rFonts w:hint="eastAsia" w:ascii="仿宋_GB2312" w:hAnsi="仿宋_GB2312" w:eastAsia="仿宋_GB2312" w:cs="仿宋_GB2312"/>
          <w:sz w:val="24"/>
          <w:szCs w:val="24"/>
        </w:rPr>
        <w:t>《危险化学品企业特殊作业安全规程》（GB 30871）</w:t>
      </w:r>
    </w:p>
    <w:p>
      <w:pPr>
        <w:spacing w:line="360" w:lineRule="auto"/>
        <w:ind w:firstLine="480" w:firstLineChars="200"/>
        <w:contextualSpacing/>
        <w:rPr>
          <w:rFonts w:ascii="仿宋_GB2312" w:hAnsi="Times New Roman" w:eastAsia="仿宋_GB2312" w:cs="Times New Roman"/>
          <w:sz w:val="24"/>
        </w:rPr>
      </w:pPr>
    </w:p>
    <w:p>
      <w:pPr>
        <w:spacing w:before="624"/>
        <w:ind w:firstLine="480"/>
      </w:pPr>
    </w:p>
    <w:p>
      <w:pPr>
        <w:widowControl/>
        <w:adjustRightInd/>
        <w:snapToGrid/>
        <w:spacing w:before="624" w:line="240" w:lineRule="auto"/>
        <w:ind w:firstLine="480"/>
        <w:jc w:val="left"/>
      </w:pPr>
      <w:r>
        <w:br w:type="page"/>
      </w:r>
    </w:p>
    <w:p>
      <w:pPr>
        <w:pStyle w:val="3"/>
      </w:pPr>
      <w:bookmarkStart w:id="168" w:name="_Toc28941"/>
      <w:r>
        <w:rPr>
          <w:rFonts w:hint="eastAsia"/>
        </w:rPr>
        <w:t>第五章  拟签订的合同文本</w:t>
      </w:r>
      <w:bookmarkEnd w:id="168"/>
    </w:p>
    <w:p>
      <w:pPr>
        <w:tabs>
          <w:tab w:val="left" w:pos="900"/>
          <w:tab w:val="left" w:pos="1080"/>
        </w:tabs>
        <w:snapToGrid w:val="0"/>
        <w:spacing w:line="360" w:lineRule="auto"/>
        <w:rPr>
          <w:rFonts w:hint="eastAsia" w:eastAsiaTheme="minorEastAsia"/>
          <w:kern w:val="0"/>
          <w:sz w:val="18"/>
          <w:szCs w:val="18"/>
          <w:lang w:eastAsia="zh-CN"/>
        </w:rPr>
      </w:pPr>
    </w:p>
    <w:p>
      <w:pPr>
        <w:adjustRightInd/>
        <w:snapToGrid/>
        <w:spacing w:line="560" w:lineRule="exact"/>
        <w:jc w:val="both"/>
        <w:rPr>
          <w:rFonts w:ascii="仿宋_GB2312" w:hAnsi="Times New Roman" w:eastAsia="仿宋_GB2312" w:cs="Times New Roman"/>
          <w:sz w:val="28"/>
          <w:szCs w:val="28"/>
        </w:rPr>
      </w:pPr>
      <w:r>
        <w:rPr>
          <w:rFonts w:hint="eastAsia" w:ascii="仿宋_GB2312" w:eastAsia="仿宋_GB2312"/>
          <w:sz w:val="28"/>
          <w:szCs w:val="28"/>
        </w:rPr>
        <w:t xml:space="preserve">           </w:t>
      </w:r>
      <w:r>
        <w:rPr>
          <w:rFonts w:hint="eastAsia" w:ascii="仿宋_GB2312" w:eastAsia="仿宋_GB2312"/>
          <w:sz w:val="28"/>
          <w:szCs w:val="28"/>
          <w:lang w:val="en-US" w:eastAsia="zh-CN"/>
        </w:rPr>
        <w:t xml:space="preserve">                      </w:t>
      </w:r>
      <w:r>
        <w:rPr>
          <w:rFonts w:hint="eastAsia" w:ascii="仿宋_GB2312" w:hAnsi="Times New Roman" w:eastAsia="仿宋_GB2312" w:cs="Times New Roman"/>
          <w:sz w:val="28"/>
          <w:szCs w:val="28"/>
        </w:rPr>
        <w:t>合同编号：</w:t>
      </w:r>
      <w:r>
        <w:rPr>
          <w:rFonts w:hint="eastAsia" w:ascii="仿宋_GB2312" w:hAnsi="Times New Roman" w:eastAsia="仿宋_GB2312" w:cs="Times New Roman"/>
          <w:sz w:val="28"/>
          <w:szCs w:val="28"/>
          <w:u w:val="single"/>
        </w:rPr>
        <w:t xml:space="preserve">                    </w:t>
      </w:r>
    </w:p>
    <w:p>
      <w:pPr>
        <w:adjustRightInd/>
        <w:snapToGrid/>
        <w:spacing w:line="560" w:lineRule="exact"/>
        <w:rPr>
          <w:rFonts w:ascii="仿宋_GB2312" w:hAnsi="Times New Roman" w:eastAsia="仿宋_GB2312" w:cs="Times New Roman"/>
          <w:sz w:val="28"/>
          <w:szCs w:val="28"/>
        </w:rPr>
      </w:pPr>
    </w:p>
    <w:p>
      <w:pPr>
        <w:adjustRightInd/>
        <w:snapToGrid/>
        <w:spacing w:line="560" w:lineRule="exact"/>
        <w:rPr>
          <w:rFonts w:ascii="仿宋_GB2312" w:hAnsi="Times New Roman" w:eastAsia="仿宋_GB2312" w:cs="Times New Roman"/>
          <w:sz w:val="28"/>
          <w:szCs w:val="28"/>
        </w:rPr>
      </w:pPr>
    </w:p>
    <w:p>
      <w:pPr>
        <w:adjustRightInd/>
        <w:snapToGrid/>
        <w:spacing w:line="560" w:lineRule="exact"/>
        <w:jc w:val="center"/>
        <w:rPr>
          <w:rFonts w:ascii="仿宋_GB2312" w:hAnsi="Times New Roman" w:eastAsia="仿宋_GB2312" w:cs="Times New Roman"/>
          <w:b/>
          <w:bCs/>
          <w:sz w:val="44"/>
          <w:szCs w:val="44"/>
        </w:rPr>
      </w:pPr>
      <w:r>
        <w:rPr>
          <w:rFonts w:hint="eastAsia" w:ascii="仿宋_GB2312" w:hAnsi="Times New Roman" w:eastAsia="仿宋_GB2312" w:cs="Times New Roman"/>
          <w:b/>
          <w:bCs/>
          <w:sz w:val="44"/>
          <w:szCs w:val="44"/>
        </w:rPr>
        <w:t>2024年园博园再生水利用项目</w:t>
      </w:r>
    </w:p>
    <w:p>
      <w:pPr>
        <w:adjustRightInd/>
        <w:snapToGrid/>
        <w:spacing w:line="560" w:lineRule="exact"/>
        <w:jc w:val="center"/>
        <w:rPr>
          <w:rFonts w:ascii="仿宋_GB2312" w:hAnsi="Times New Roman" w:eastAsia="仿宋_GB2312" w:cs="Times New Roman"/>
          <w:b/>
          <w:bCs/>
          <w:sz w:val="44"/>
          <w:szCs w:val="44"/>
        </w:rPr>
      </w:pPr>
      <w:r>
        <w:rPr>
          <w:rFonts w:hint="eastAsia" w:ascii="仿宋_GB2312" w:hAnsi="Times New Roman" w:eastAsia="仿宋_GB2312" w:cs="Times New Roman"/>
          <w:b/>
          <w:bCs/>
          <w:sz w:val="44"/>
          <w:szCs w:val="44"/>
        </w:rPr>
        <w:t>合同</w:t>
      </w:r>
    </w:p>
    <w:p>
      <w:pPr>
        <w:adjustRightInd/>
        <w:snapToGrid/>
        <w:spacing w:line="560" w:lineRule="exact"/>
        <w:rPr>
          <w:rFonts w:ascii="仿宋_GB2312" w:hAnsi="Times New Roman" w:eastAsia="仿宋_GB2312" w:cs="Times New Roman"/>
          <w:sz w:val="28"/>
          <w:szCs w:val="28"/>
        </w:rPr>
      </w:pPr>
    </w:p>
    <w:p>
      <w:pPr>
        <w:adjustRightInd/>
        <w:snapToGrid/>
        <w:spacing w:line="560" w:lineRule="exact"/>
        <w:rPr>
          <w:rFonts w:ascii="仿宋_GB2312" w:hAnsi="Times New Roman" w:eastAsia="仿宋_GB2312" w:cs="Times New Roman"/>
          <w:sz w:val="28"/>
          <w:szCs w:val="28"/>
        </w:rPr>
      </w:pPr>
    </w:p>
    <w:p>
      <w:pPr>
        <w:adjustRightInd/>
        <w:snapToGrid/>
        <w:spacing w:line="560" w:lineRule="exact"/>
        <w:rPr>
          <w:rFonts w:ascii="仿宋_GB2312" w:hAnsi="Times New Roman" w:eastAsia="仿宋_GB2312" w:cs="Times New Roman"/>
          <w:sz w:val="28"/>
          <w:szCs w:val="28"/>
        </w:rPr>
      </w:pPr>
    </w:p>
    <w:p>
      <w:pPr>
        <w:adjustRightInd/>
        <w:snapToGrid/>
        <w:spacing w:line="560" w:lineRule="exact"/>
        <w:rPr>
          <w:rFonts w:ascii="仿宋_GB2312" w:hAnsi="Times New Roman" w:eastAsia="仿宋_GB2312" w:cs="Times New Roman"/>
          <w:sz w:val="28"/>
          <w:szCs w:val="28"/>
        </w:rPr>
      </w:pPr>
    </w:p>
    <w:p>
      <w:pPr>
        <w:adjustRightInd/>
        <w:snapToGrid/>
        <w:spacing w:line="560" w:lineRule="exact"/>
        <w:rPr>
          <w:rFonts w:ascii="仿宋_GB2312" w:hAnsi="Times New Roman" w:eastAsia="仿宋_GB2312" w:cs="Times New Roman"/>
          <w:sz w:val="28"/>
          <w:szCs w:val="28"/>
        </w:rPr>
      </w:pPr>
    </w:p>
    <w:p>
      <w:pPr>
        <w:widowControl w:val="0"/>
        <w:autoSpaceDE w:val="0"/>
        <w:autoSpaceDN w:val="0"/>
        <w:adjustRightInd w:val="0"/>
        <w:ind w:firstLine="420"/>
        <w:jc w:val="left"/>
        <w:rPr>
          <w:rFonts w:ascii="仿宋_GB2312" w:hAnsi="Times New Roman" w:eastAsia="仿宋_GB2312" w:cs="Times New Roman"/>
          <w:kern w:val="2"/>
          <w:sz w:val="28"/>
          <w:szCs w:val="28"/>
          <w:lang w:val="en-US" w:eastAsia="zh-CN" w:bidi="ar-SA"/>
        </w:rPr>
      </w:pPr>
    </w:p>
    <w:p>
      <w:pPr>
        <w:widowControl w:val="0"/>
        <w:autoSpaceDE w:val="0"/>
        <w:autoSpaceDN w:val="0"/>
        <w:adjustRightInd w:val="0"/>
        <w:ind w:firstLine="420"/>
        <w:jc w:val="left"/>
        <w:rPr>
          <w:rFonts w:ascii="仿宋_GB2312" w:hAnsi="Times New Roman" w:eastAsia="仿宋_GB2312" w:cs="Times New Roman"/>
          <w:kern w:val="2"/>
          <w:sz w:val="28"/>
          <w:szCs w:val="28"/>
          <w:lang w:val="en-US" w:eastAsia="zh-CN" w:bidi="ar-SA"/>
        </w:rPr>
      </w:pPr>
    </w:p>
    <w:p>
      <w:pPr>
        <w:widowControl w:val="0"/>
        <w:autoSpaceDE w:val="0"/>
        <w:autoSpaceDN w:val="0"/>
        <w:adjustRightInd w:val="0"/>
        <w:ind w:firstLine="420"/>
        <w:jc w:val="left"/>
        <w:rPr>
          <w:rFonts w:ascii="仿宋_GB2312" w:hAnsi="Times New Roman" w:eastAsia="仿宋_GB2312" w:cs="Times New Roman"/>
          <w:kern w:val="2"/>
          <w:sz w:val="28"/>
          <w:szCs w:val="28"/>
          <w:lang w:val="en-US" w:eastAsia="zh-CN" w:bidi="ar-SA"/>
        </w:rPr>
      </w:pPr>
    </w:p>
    <w:p>
      <w:pPr>
        <w:widowControl w:val="0"/>
        <w:autoSpaceDE w:val="0"/>
        <w:autoSpaceDN w:val="0"/>
        <w:adjustRightInd w:val="0"/>
        <w:ind w:firstLine="420"/>
        <w:jc w:val="left"/>
        <w:rPr>
          <w:rFonts w:ascii="仿宋_GB2312" w:hAnsi="Times New Roman" w:eastAsia="仿宋_GB2312" w:cs="Times New Roman"/>
          <w:kern w:val="2"/>
          <w:sz w:val="28"/>
          <w:szCs w:val="28"/>
          <w:lang w:val="en-US" w:eastAsia="zh-CN" w:bidi="ar-SA"/>
        </w:rPr>
      </w:pPr>
    </w:p>
    <w:p>
      <w:pPr>
        <w:widowControl w:val="0"/>
        <w:autoSpaceDE w:val="0"/>
        <w:autoSpaceDN w:val="0"/>
        <w:adjustRightInd w:val="0"/>
        <w:ind w:firstLine="420"/>
        <w:jc w:val="left"/>
        <w:rPr>
          <w:rFonts w:ascii="仿宋_GB2312" w:hAnsi="Times New Roman" w:eastAsia="仿宋_GB2312" w:cs="Times New Roman"/>
          <w:kern w:val="2"/>
          <w:sz w:val="28"/>
          <w:szCs w:val="28"/>
          <w:lang w:val="en-US" w:eastAsia="zh-CN" w:bidi="ar-SA"/>
        </w:rPr>
      </w:pPr>
    </w:p>
    <w:p>
      <w:pPr>
        <w:widowControl w:val="0"/>
        <w:autoSpaceDE w:val="0"/>
        <w:autoSpaceDN w:val="0"/>
        <w:adjustRightInd w:val="0"/>
        <w:ind w:firstLine="420"/>
        <w:jc w:val="left"/>
        <w:rPr>
          <w:rFonts w:ascii="仿宋_GB2312" w:hAnsi="Times New Roman" w:eastAsia="仿宋_GB2312" w:cs="Times New Roman"/>
          <w:kern w:val="2"/>
          <w:sz w:val="28"/>
          <w:szCs w:val="28"/>
          <w:lang w:val="en-US" w:eastAsia="zh-CN" w:bidi="ar-SA"/>
        </w:rPr>
      </w:pPr>
    </w:p>
    <w:p>
      <w:pPr>
        <w:adjustRightInd/>
        <w:snapToGrid/>
        <w:spacing w:line="560" w:lineRule="exact"/>
        <w:rPr>
          <w:rFonts w:ascii="仿宋_GB2312" w:hAnsi="Times New Roman" w:eastAsia="仿宋_GB2312" w:cs="Times New Roman"/>
          <w:sz w:val="32"/>
          <w:szCs w:val="32"/>
        </w:rPr>
      </w:pPr>
      <w:r>
        <w:rPr>
          <w:rFonts w:hint="eastAsia" w:ascii="仿宋_GB2312" w:hAnsi="Times New Roman" w:eastAsia="仿宋_GB2312" w:cs="Times New Roman"/>
          <w:sz w:val="32"/>
          <w:szCs w:val="32"/>
        </w:rPr>
        <w:t>甲    方：</w:t>
      </w:r>
      <w:r>
        <w:rPr>
          <w:rFonts w:hint="eastAsia" w:ascii="仿宋_GB2312" w:hAnsi="Times New Roman" w:eastAsia="仿宋_GB2312" w:cs="Times New Roman"/>
          <w:sz w:val="32"/>
          <w:szCs w:val="32"/>
          <w:u w:val="single"/>
        </w:rPr>
        <w:t xml:space="preserve">北京园博园管理中心      </w:t>
      </w:r>
    </w:p>
    <w:p>
      <w:pPr>
        <w:adjustRightInd/>
        <w:snapToGrid/>
        <w:spacing w:line="560" w:lineRule="exact"/>
        <w:rPr>
          <w:rFonts w:ascii="仿宋_GB2312" w:hAnsi="Times New Roman" w:eastAsia="仿宋_GB2312" w:cs="Times New Roman"/>
          <w:sz w:val="32"/>
          <w:szCs w:val="32"/>
        </w:rPr>
      </w:pPr>
      <w:r>
        <w:rPr>
          <w:rFonts w:hint="eastAsia" w:ascii="仿宋_GB2312" w:hAnsi="Times New Roman" w:eastAsia="仿宋_GB2312" w:cs="Times New Roman"/>
          <w:sz w:val="32"/>
          <w:szCs w:val="32"/>
        </w:rPr>
        <w:t>乙    方：</w:t>
      </w:r>
      <w:r>
        <w:rPr>
          <w:rFonts w:hint="eastAsia" w:ascii="仿宋_GB2312" w:hAnsi="Times New Roman" w:eastAsia="仿宋_GB2312" w:cs="Times New Roman"/>
          <w:sz w:val="32"/>
          <w:szCs w:val="32"/>
          <w:u w:val="single"/>
        </w:rPr>
        <w:t xml:space="preserve">                        </w:t>
      </w:r>
    </w:p>
    <w:p>
      <w:pPr>
        <w:adjustRightInd/>
        <w:snapToGrid/>
        <w:spacing w:line="560" w:lineRule="exact"/>
        <w:rPr>
          <w:rFonts w:ascii="仿宋_GB2312" w:hAnsi="Times New Roman" w:eastAsia="仿宋_GB2312" w:cs="Times New Roman"/>
          <w:sz w:val="32"/>
          <w:szCs w:val="32"/>
          <w:u w:val="single"/>
        </w:rPr>
      </w:pPr>
      <w:r>
        <w:rPr>
          <w:rFonts w:hint="eastAsia" w:ascii="仿宋_GB2312" w:hAnsi="Times New Roman" w:eastAsia="仿宋_GB2312" w:cs="Times New Roman"/>
          <w:sz w:val="32"/>
          <w:szCs w:val="32"/>
        </w:rPr>
        <w:t>签订地点：</w:t>
      </w:r>
      <w:r>
        <w:rPr>
          <w:rFonts w:hint="eastAsia" w:ascii="仿宋_GB2312" w:hAnsi="Times New Roman" w:eastAsia="仿宋_GB2312" w:cs="Times New Roman"/>
          <w:sz w:val="32"/>
          <w:szCs w:val="32"/>
          <w:u w:val="single"/>
        </w:rPr>
        <w:t xml:space="preserve">北京市丰台区园博园      </w:t>
      </w:r>
    </w:p>
    <w:p>
      <w:pPr>
        <w:spacing w:line="560" w:lineRule="exact"/>
        <w:rPr>
          <w:rFonts w:ascii="仿宋_GB2312" w:eastAsia="仿宋_GB2312"/>
          <w:sz w:val="32"/>
          <w:szCs w:val="32"/>
        </w:rPr>
        <w:sectPr>
          <w:headerReference r:id="rId8" w:type="default"/>
          <w:pgSz w:w="11906" w:h="16838"/>
          <w:pgMar w:top="1440" w:right="1536" w:bottom="1440" w:left="1536" w:header="851" w:footer="992" w:gutter="0"/>
          <w:cols w:space="425" w:num="1"/>
          <w:docGrid w:type="lines" w:linePitch="312" w:charSpace="0"/>
        </w:sectPr>
      </w:pPr>
      <w:r>
        <w:rPr>
          <w:rFonts w:hint="eastAsia" w:ascii="仿宋_GB2312" w:hAnsi="Times New Roman" w:eastAsia="仿宋_GB2312" w:cs="Times New Roman"/>
          <w:sz w:val="32"/>
          <w:szCs w:val="32"/>
        </w:rPr>
        <w:t>签订日期：</w:t>
      </w:r>
      <w:r>
        <w:rPr>
          <w:rFonts w:hint="eastAsia" w:ascii="仿宋_GB2312" w:hAnsi="Times New Roman" w:eastAsia="仿宋_GB2312" w:cs="Times New Roman"/>
          <w:sz w:val="32"/>
          <w:szCs w:val="32"/>
          <w:u w:val="single"/>
        </w:rPr>
        <w:t xml:space="preserve">        </w:t>
      </w:r>
      <w:r>
        <w:rPr>
          <w:rFonts w:hint="eastAsia" w:ascii="仿宋_GB2312" w:hAnsi="Times New Roman" w:eastAsia="仿宋_GB2312" w:cs="Times New Roman"/>
          <w:sz w:val="32"/>
          <w:szCs w:val="32"/>
        </w:rPr>
        <w:t>年</w:t>
      </w:r>
      <w:r>
        <w:rPr>
          <w:rFonts w:hint="eastAsia" w:ascii="仿宋_GB2312" w:hAnsi="Times New Roman" w:eastAsia="仿宋_GB2312" w:cs="Times New Roman"/>
          <w:sz w:val="32"/>
          <w:szCs w:val="32"/>
          <w:u w:val="single"/>
        </w:rPr>
        <w:t xml:space="preserve">        </w:t>
      </w:r>
      <w:r>
        <w:rPr>
          <w:rFonts w:hint="eastAsia" w:ascii="仿宋_GB2312" w:hAnsi="Times New Roman" w:eastAsia="仿宋_GB2312" w:cs="Times New Roman"/>
          <w:sz w:val="32"/>
          <w:szCs w:val="32"/>
        </w:rPr>
        <w:t>月</w:t>
      </w:r>
      <w:r>
        <w:rPr>
          <w:rFonts w:hint="eastAsia" w:ascii="仿宋_GB2312" w:hAnsi="Times New Roman" w:eastAsia="仿宋_GB2312" w:cs="Times New Roman"/>
          <w:sz w:val="32"/>
          <w:szCs w:val="32"/>
          <w:u w:val="single"/>
        </w:rPr>
        <w:t xml:space="preserve">       </w:t>
      </w:r>
    </w:p>
    <w:p>
      <w:pPr>
        <w:adjustRightInd/>
        <w:snapToGrid/>
        <w:spacing w:line="560" w:lineRule="exact"/>
        <w:jc w:val="center"/>
        <w:rPr>
          <w:rFonts w:ascii="仿宋_GB2312" w:hAnsi="Times New Roman" w:eastAsia="仿宋_GB2312" w:cs="Times New Roman"/>
          <w:b/>
          <w:bCs/>
          <w:sz w:val="32"/>
          <w:szCs w:val="32"/>
        </w:rPr>
      </w:pPr>
      <w:bookmarkStart w:id="169" w:name="_Hlk160477011"/>
      <w:r>
        <w:rPr>
          <w:rFonts w:hint="eastAsia" w:ascii="仿宋_GB2312" w:hAnsi="Times New Roman" w:eastAsia="仿宋_GB2312" w:cs="Times New Roman"/>
          <w:b/>
          <w:bCs/>
          <w:sz w:val="32"/>
          <w:szCs w:val="32"/>
        </w:rPr>
        <w:t>2024年园博园再生水利用项目合同</w:t>
      </w:r>
      <w:bookmarkEnd w:id="169"/>
    </w:p>
    <w:p>
      <w:pPr>
        <w:adjustRightInd/>
        <w:snapToGrid/>
        <w:spacing w:line="560" w:lineRule="exact"/>
        <w:rPr>
          <w:rFonts w:ascii="仿宋_GB2312" w:hAnsi="Times New Roman" w:eastAsia="仿宋_GB2312" w:cs="Times New Roman"/>
          <w:sz w:val="28"/>
          <w:szCs w:val="28"/>
        </w:rPr>
      </w:pPr>
    </w:p>
    <w:p>
      <w:pPr>
        <w:adjustRightInd/>
        <w:snapToGrid/>
        <w:spacing w:line="560" w:lineRule="exact"/>
        <w:rPr>
          <w:rFonts w:ascii="仿宋_GB2312" w:hAnsi="Times New Roman" w:eastAsia="仿宋_GB2312" w:cs="Times New Roman"/>
          <w:sz w:val="28"/>
          <w:szCs w:val="28"/>
        </w:rPr>
      </w:pPr>
      <w:r>
        <w:rPr>
          <w:rFonts w:hint="eastAsia" w:ascii="仿宋_GB2312" w:hAnsi="Times New Roman" w:eastAsia="仿宋_GB2312" w:cs="Times New Roman"/>
          <w:sz w:val="28"/>
          <w:szCs w:val="28"/>
        </w:rPr>
        <w:t>甲方：北京园博园管理中心</w:t>
      </w:r>
    </w:p>
    <w:p>
      <w:pPr>
        <w:adjustRightInd/>
        <w:snapToGrid/>
        <w:spacing w:line="560" w:lineRule="exact"/>
        <w:rPr>
          <w:rFonts w:ascii="仿宋_GB2312" w:hAnsi="Times New Roman" w:eastAsia="仿宋_GB2312" w:cs="Times New Roman"/>
          <w:sz w:val="28"/>
          <w:szCs w:val="28"/>
        </w:rPr>
      </w:pPr>
      <w:r>
        <w:rPr>
          <w:rFonts w:hint="eastAsia" w:ascii="仿宋_GB2312" w:hAnsi="Times New Roman" w:eastAsia="仿宋_GB2312" w:cs="Times New Roman"/>
          <w:sz w:val="28"/>
          <w:szCs w:val="28"/>
        </w:rPr>
        <w:t xml:space="preserve">乙方： </w:t>
      </w:r>
    </w:p>
    <w:p>
      <w:pPr>
        <w:adjustRightInd/>
        <w:snapToGrid/>
        <w:spacing w:line="560" w:lineRule="exact"/>
        <w:rPr>
          <w:rFonts w:ascii="仿宋_GB2312" w:hAnsi="Times New Roman" w:eastAsia="仿宋_GB2312" w:cs="Times New Roman"/>
          <w:sz w:val="28"/>
          <w:szCs w:val="28"/>
        </w:rPr>
      </w:pPr>
    </w:p>
    <w:p>
      <w:pPr>
        <w:adjustRightInd/>
        <w:snapToGrid/>
        <w:spacing w:line="560" w:lineRule="exact"/>
        <w:jc w:val="center"/>
        <w:rPr>
          <w:rFonts w:ascii="仿宋_GB2312" w:hAnsi="Times New Roman" w:eastAsia="仿宋_GB2312" w:cs="Times New Roman"/>
          <w:b/>
          <w:bCs/>
          <w:sz w:val="28"/>
          <w:szCs w:val="28"/>
        </w:rPr>
      </w:pPr>
      <w:r>
        <w:rPr>
          <w:rFonts w:hint="eastAsia" w:ascii="仿宋_GB2312" w:hAnsi="Times New Roman" w:eastAsia="仿宋_GB2312" w:cs="Times New Roman"/>
          <w:b/>
          <w:bCs/>
          <w:sz w:val="28"/>
          <w:szCs w:val="28"/>
        </w:rPr>
        <w:t>第一部分 协议书</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甲方拟委托合格的专业再生水利用项目公司为北京园博园管理中心提供再生水技术支持及能源管理等服务。</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鉴于</w:t>
      </w:r>
      <w:r>
        <w:rPr>
          <w:rFonts w:ascii="仿宋_GB2312" w:hAnsi="Times New Roman" w:eastAsia="仿宋_GB2312" w:cs="Times New Roman"/>
          <w:sz w:val="28"/>
          <w:szCs w:val="28"/>
          <w:u w:val="single"/>
        </w:rPr>
        <w:t xml:space="preserve">    </w:t>
      </w:r>
      <w:r>
        <w:rPr>
          <w:rFonts w:hint="eastAsia" w:ascii="仿宋_GB2312" w:hAnsi="Times New Roman" w:eastAsia="仿宋_GB2312" w:cs="Times New Roman"/>
          <w:sz w:val="28"/>
          <w:szCs w:val="28"/>
          <w:u w:val="single"/>
        </w:rPr>
        <w:t xml:space="preserve">                      </w:t>
      </w:r>
      <w:r>
        <w:rPr>
          <w:rFonts w:hint="eastAsia" w:ascii="仿宋_GB2312" w:hAnsi="Times New Roman" w:eastAsia="仿宋_GB2312" w:cs="Times New Roman"/>
          <w:sz w:val="28"/>
          <w:szCs w:val="28"/>
        </w:rPr>
        <w:t>是在2024年园博园再生水利用项目项目采购中通过公开招标方式选定的中标单位，根据《中华人民共和国民法典》、《北京市节水条例》、《北京市实施《中华人民共和国水法》办法》、《北京市水污染防治条例》及有关规定，甲乙双方本着诚实信用、平等互利的原则，经友好协商就园博园再生水利用项目项目，签订本合同并共同遵守。</w:t>
      </w:r>
    </w:p>
    <w:p>
      <w:pPr>
        <w:adjustRightInd/>
        <w:snapToGrid/>
        <w:spacing w:line="560" w:lineRule="exact"/>
        <w:ind w:firstLine="562" w:firstLineChars="200"/>
        <w:rPr>
          <w:rFonts w:ascii="仿宋_GB2312" w:hAnsi="Times New Roman" w:eastAsia="仿宋_GB2312" w:cs="Times New Roman"/>
          <w:b/>
          <w:bCs/>
          <w:sz w:val="28"/>
          <w:szCs w:val="28"/>
        </w:rPr>
      </w:pPr>
      <w:r>
        <w:rPr>
          <w:rFonts w:hint="eastAsia" w:ascii="仿宋_GB2312" w:hAnsi="Times New Roman" w:eastAsia="仿宋_GB2312" w:cs="Times New Roman"/>
          <w:b/>
          <w:bCs/>
          <w:sz w:val="28"/>
          <w:szCs w:val="28"/>
        </w:rPr>
        <w:t>1.项目概况</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名称：2024年园博园再生水利用项目项目</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座落：北京市丰台区北宫镇射击场路15号</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园区内三座再生水站点情况：2700T再生水站点位于园博园1号门区附近，规模为2700m³/d，240T园博园再生水站点位于园博园6号门附近，规模为240m³/d，200T/d园博园再生水站点位于6号门附近，目前已停止运行，保留集水池，通过提升泵将水提升至240T再生水站点。均采用A/O生化工艺。</w:t>
      </w:r>
    </w:p>
    <w:p>
      <w:pPr>
        <w:widowControl w:val="0"/>
        <w:autoSpaceDE w:val="0"/>
        <w:autoSpaceDN w:val="0"/>
        <w:adjustRightInd w:val="0"/>
        <w:ind w:firstLine="0"/>
        <w:jc w:val="left"/>
        <w:rPr>
          <w:rFonts w:ascii="宋体" w:hAnsi="Times New Roman" w:eastAsia="宋体" w:cs="Times New Roman"/>
          <w:kern w:val="2"/>
          <w:sz w:val="24"/>
          <w:szCs w:val="24"/>
          <w:lang w:val="en-US" w:eastAsia="zh-CN" w:bidi="ar-SA"/>
        </w:rPr>
      </w:pPr>
    </w:p>
    <w:p>
      <w:pPr>
        <w:adjustRightInd/>
        <w:snapToGrid/>
        <w:spacing w:line="560" w:lineRule="exact"/>
        <w:ind w:firstLine="562" w:firstLineChars="200"/>
        <w:rPr>
          <w:rFonts w:ascii="仿宋_GB2312" w:hAnsi="Times New Roman" w:eastAsia="仿宋_GB2312" w:cs="Times New Roman"/>
          <w:b/>
          <w:bCs/>
          <w:sz w:val="28"/>
          <w:szCs w:val="28"/>
        </w:rPr>
      </w:pPr>
      <w:r>
        <w:rPr>
          <w:rFonts w:hint="eastAsia" w:ascii="仿宋_GB2312" w:hAnsi="Times New Roman" w:eastAsia="仿宋_GB2312" w:cs="Times New Roman"/>
          <w:b/>
          <w:bCs/>
          <w:sz w:val="28"/>
          <w:szCs w:val="28"/>
        </w:rPr>
        <w:t>2.服务内容</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包括但不限于：再生水利用设施设备技术服务、值守、处理药剂、污泥处置、水质检测、设备维修等。</w:t>
      </w:r>
    </w:p>
    <w:p>
      <w:pPr>
        <w:adjustRightInd/>
        <w:snapToGrid/>
        <w:spacing w:line="560" w:lineRule="exact"/>
        <w:ind w:firstLine="562" w:firstLineChars="200"/>
        <w:rPr>
          <w:rFonts w:ascii="仿宋_GB2312" w:hAnsi="Times New Roman" w:eastAsia="仿宋_GB2312" w:cs="Times New Roman"/>
          <w:b/>
          <w:bCs/>
          <w:sz w:val="28"/>
          <w:szCs w:val="28"/>
        </w:rPr>
      </w:pPr>
      <w:r>
        <w:rPr>
          <w:rFonts w:hint="eastAsia" w:ascii="仿宋_GB2312" w:hAnsi="Times New Roman" w:eastAsia="仿宋_GB2312" w:cs="Times New Roman"/>
          <w:b/>
          <w:bCs/>
          <w:sz w:val="28"/>
          <w:szCs w:val="28"/>
        </w:rPr>
        <w:t>3.服务期限</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3.1 合同签订后2日内达到运营的要求，并在正式运营前完成再生水利用项目全部交接等工作。</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3.2 服务期限：合同签订之日起至2024年12月31日。</w:t>
      </w:r>
    </w:p>
    <w:p>
      <w:pPr>
        <w:widowControl w:val="0"/>
        <w:autoSpaceDE w:val="0"/>
        <w:autoSpaceDN w:val="0"/>
        <w:adjustRightInd w:val="0"/>
        <w:ind w:firstLine="420"/>
        <w:jc w:val="left"/>
        <w:rPr>
          <w:rFonts w:ascii="宋体" w:hAnsi="Times New Roman" w:eastAsia="宋体" w:cs="Times New Roman"/>
          <w:kern w:val="2"/>
          <w:sz w:val="24"/>
          <w:szCs w:val="24"/>
          <w:lang w:val="en-US" w:eastAsia="zh-CN" w:bidi="ar-SA"/>
        </w:rPr>
      </w:pPr>
    </w:p>
    <w:p>
      <w:pPr>
        <w:adjustRightInd/>
        <w:snapToGrid/>
        <w:spacing w:line="560" w:lineRule="exact"/>
        <w:ind w:firstLine="562" w:firstLineChars="200"/>
        <w:rPr>
          <w:rFonts w:ascii="仿宋_GB2312" w:hAnsi="Times New Roman" w:eastAsia="仿宋_GB2312" w:cs="Times New Roman"/>
          <w:b/>
          <w:bCs/>
          <w:sz w:val="28"/>
          <w:szCs w:val="28"/>
        </w:rPr>
      </w:pPr>
      <w:r>
        <w:rPr>
          <w:rFonts w:hint="eastAsia" w:ascii="仿宋_GB2312" w:hAnsi="Times New Roman" w:eastAsia="仿宋_GB2312" w:cs="Times New Roman"/>
          <w:b/>
          <w:bCs/>
          <w:sz w:val="28"/>
          <w:szCs w:val="28"/>
        </w:rPr>
        <w:t>4.服务标准和目标</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4.1按《旅游景区质量等级的划分与评定》规定的标准和与再生水利用技术服务相关的规范性文件及招标文件的要求、投标文件的承诺进行再生水利用技术服务。如前述标准、文件间不一致，按高标准执行。本项目服务期内的服务标准应保持或高于上述标准。出水水质满足《城市污水再生利用城市杂用水水质》（GB/T18920-2020）：</w:t>
      </w:r>
    </w:p>
    <w:tbl>
      <w:tblPr>
        <w:tblStyle w:val="19"/>
        <w:tblW w:w="8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1"/>
        <w:gridCol w:w="1635"/>
        <w:gridCol w:w="1749"/>
        <w:gridCol w:w="1665"/>
        <w:gridCol w:w="16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61" w:type="dxa"/>
            <w:tcBorders>
              <w:top w:val="single" w:color="auto" w:sz="4" w:space="0"/>
              <w:left w:val="single" w:color="auto" w:sz="4" w:space="0"/>
              <w:bottom w:val="single" w:color="auto" w:sz="4" w:space="0"/>
              <w:right w:val="single" w:color="auto" w:sz="4" w:space="0"/>
            </w:tcBorders>
            <w:vAlign w:val="center"/>
          </w:tcPr>
          <w:p>
            <w:pPr>
              <w:adjustRightInd/>
              <w:snapToGrid/>
              <w:spacing w:line="560" w:lineRule="exact"/>
              <w:jc w:val="center"/>
              <w:rPr>
                <w:rFonts w:ascii="仿宋_GB2312" w:hAnsi="Times New Roman" w:eastAsia="仿宋_GB2312" w:cs="Times New Roman"/>
                <w:sz w:val="28"/>
                <w:szCs w:val="28"/>
              </w:rPr>
            </w:pPr>
            <w:r>
              <w:rPr>
                <w:rFonts w:hint="eastAsia" w:ascii="仿宋_GB2312" w:hAnsi="Times New Roman" w:eastAsia="仿宋_GB2312" w:cs="Times New Roman"/>
                <w:sz w:val="28"/>
                <w:szCs w:val="28"/>
              </w:rPr>
              <w:t>项目</w:t>
            </w:r>
          </w:p>
        </w:tc>
        <w:tc>
          <w:tcPr>
            <w:tcW w:w="1635" w:type="dxa"/>
            <w:tcBorders>
              <w:top w:val="single" w:color="auto" w:sz="4" w:space="0"/>
              <w:left w:val="single" w:color="auto" w:sz="4" w:space="0"/>
              <w:bottom w:val="single" w:color="auto" w:sz="4" w:space="0"/>
              <w:right w:val="single" w:color="auto" w:sz="4" w:space="0"/>
            </w:tcBorders>
            <w:vAlign w:val="center"/>
          </w:tcPr>
          <w:p>
            <w:pPr>
              <w:adjustRightInd/>
              <w:snapToGrid/>
              <w:spacing w:line="560" w:lineRule="exact"/>
              <w:jc w:val="center"/>
              <w:rPr>
                <w:rFonts w:ascii="仿宋_GB2312" w:hAnsi="Times New Roman" w:eastAsia="仿宋_GB2312" w:cs="Times New Roman"/>
                <w:sz w:val="28"/>
                <w:szCs w:val="28"/>
              </w:rPr>
            </w:pPr>
            <w:r>
              <w:rPr>
                <w:rFonts w:hint="eastAsia" w:ascii="仿宋_GB2312" w:hAnsi="Times New Roman" w:eastAsia="仿宋_GB2312" w:cs="Times New Roman"/>
                <w:sz w:val="28"/>
                <w:szCs w:val="28"/>
              </w:rPr>
              <w:t>BOD</w:t>
            </w:r>
            <w:r>
              <w:rPr>
                <w:rFonts w:hint="eastAsia" w:ascii="仿宋_GB2312" w:hAnsi="Times New Roman" w:eastAsia="仿宋_GB2312" w:cs="Times New Roman"/>
                <w:sz w:val="28"/>
                <w:szCs w:val="28"/>
                <w:vertAlign w:val="subscript"/>
              </w:rPr>
              <w:t>5</w:t>
            </w:r>
            <w:r>
              <w:rPr>
                <w:rFonts w:hint="eastAsia" w:ascii="仿宋_GB2312" w:hAnsi="Times New Roman" w:eastAsia="仿宋_GB2312" w:cs="Times New Roman"/>
                <w:sz w:val="28"/>
                <w:szCs w:val="28"/>
              </w:rPr>
              <w:t xml:space="preserve"> mg/L</w:t>
            </w:r>
          </w:p>
        </w:tc>
        <w:tc>
          <w:tcPr>
            <w:tcW w:w="1749" w:type="dxa"/>
            <w:tcBorders>
              <w:top w:val="single" w:color="auto" w:sz="4" w:space="0"/>
              <w:left w:val="single" w:color="auto" w:sz="4" w:space="0"/>
              <w:bottom w:val="single" w:color="auto" w:sz="4" w:space="0"/>
              <w:right w:val="single" w:color="auto" w:sz="4" w:space="0"/>
            </w:tcBorders>
            <w:vAlign w:val="center"/>
          </w:tcPr>
          <w:p>
            <w:pPr>
              <w:adjustRightInd/>
              <w:snapToGrid/>
              <w:spacing w:line="560" w:lineRule="exact"/>
              <w:jc w:val="center"/>
              <w:rPr>
                <w:rFonts w:ascii="仿宋_GB2312" w:hAnsi="Times New Roman" w:eastAsia="仿宋_GB2312" w:cs="Times New Roman"/>
                <w:sz w:val="28"/>
                <w:szCs w:val="28"/>
              </w:rPr>
            </w:pPr>
            <w:r>
              <w:rPr>
                <w:rFonts w:hint="eastAsia" w:ascii="仿宋_GB2312" w:hAnsi="Times New Roman" w:eastAsia="仿宋_GB2312" w:cs="Times New Roman"/>
                <w:sz w:val="28"/>
                <w:szCs w:val="28"/>
              </w:rPr>
              <w:t>浊度 NTU</w:t>
            </w:r>
          </w:p>
        </w:tc>
        <w:tc>
          <w:tcPr>
            <w:tcW w:w="1665" w:type="dxa"/>
            <w:tcBorders>
              <w:top w:val="single" w:color="auto" w:sz="4" w:space="0"/>
              <w:left w:val="single" w:color="auto" w:sz="4" w:space="0"/>
              <w:bottom w:val="single" w:color="auto" w:sz="4" w:space="0"/>
              <w:right w:val="single" w:color="auto" w:sz="4" w:space="0"/>
            </w:tcBorders>
            <w:vAlign w:val="center"/>
          </w:tcPr>
          <w:p>
            <w:pPr>
              <w:adjustRightInd/>
              <w:snapToGrid/>
              <w:spacing w:line="560" w:lineRule="exact"/>
              <w:jc w:val="center"/>
              <w:rPr>
                <w:rFonts w:ascii="仿宋_GB2312" w:hAnsi="Times New Roman" w:eastAsia="仿宋_GB2312" w:cs="Times New Roman"/>
                <w:sz w:val="28"/>
                <w:szCs w:val="28"/>
              </w:rPr>
            </w:pPr>
            <w:r>
              <w:rPr>
                <w:rFonts w:hint="eastAsia" w:ascii="仿宋_GB2312" w:hAnsi="Times New Roman" w:eastAsia="仿宋_GB2312" w:cs="Times New Roman"/>
                <w:sz w:val="28"/>
                <w:szCs w:val="28"/>
              </w:rPr>
              <w:t>氨氮  mg/L</w:t>
            </w:r>
          </w:p>
        </w:tc>
        <w:tc>
          <w:tcPr>
            <w:tcW w:w="1650" w:type="dxa"/>
            <w:tcBorders>
              <w:top w:val="single" w:color="auto" w:sz="4" w:space="0"/>
              <w:left w:val="single" w:color="auto" w:sz="4" w:space="0"/>
              <w:bottom w:val="single" w:color="auto" w:sz="4" w:space="0"/>
              <w:right w:val="single" w:color="auto" w:sz="4" w:space="0"/>
            </w:tcBorders>
            <w:vAlign w:val="center"/>
          </w:tcPr>
          <w:p>
            <w:pPr>
              <w:adjustRightInd/>
              <w:snapToGrid/>
              <w:spacing w:line="560" w:lineRule="exact"/>
              <w:jc w:val="center"/>
              <w:rPr>
                <w:rFonts w:ascii="仿宋_GB2312" w:hAnsi="Times New Roman" w:eastAsia="仿宋_GB2312" w:cs="Times New Roman"/>
                <w:sz w:val="28"/>
                <w:szCs w:val="28"/>
              </w:rPr>
            </w:pPr>
            <w:r>
              <w:rPr>
                <w:rFonts w:hint="eastAsia" w:ascii="仿宋_GB2312" w:hAnsi="Times New Roman" w:eastAsia="仿宋_GB2312" w:cs="Times New Roman"/>
                <w:sz w:val="28"/>
                <w:szCs w:val="28"/>
              </w:rPr>
              <w:t>pH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61" w:type="dxa"/>
            <w:tcBorders>
              <w:top w:val="single" w:color="auto" w:sz="4" w:space="0"/>
              <w:left w:val="single" w:color="auto" w:sz="4" w:space="0"/>
              <w:bottom w:val="single" w:color="auto" w:sz="4" w:space="0"/>
              <w:right w:val="single" w:color="auto" w:sz="4" w:space="0"/>
            </w:tcBorders>
            <w:vAlign w:val="center"/>
          </w:tcPr>
          <w:p>
            <w:pPr>
              <w:adjustRightInd/>
              <w:snapToGrid/>
              <w:spacing w:line="560" w:lineRule="exact"/>
              <w:jc w:val="center"/>
              <w:rPr>
                <w:rFonts w:ascii="仿宋_GB2312" w:hAnsi="Times New Roman" w:eastAsia="仿宋_GB2312" w:cs="Times New Roman"/>
                <w:sz w:val="28"/>
                <w:szCs w:val="28"/>
              </w:rPr>
            </w:pPr>
            <w:r>
              <w:rPr>
                <w:rFonts w:hint="eastAsia" w:ascii="仿宋_GB2312" w:hAnsi="Times New Roman" w:eastAsia="仿宋_GB2312" w:cs="Times New Roman"/>
                <w:sz w:val="28"/>
                <w:szCs w:val="28"/>
              </w:rPr>
              <w:t>出水水质</w:t>
            </w:r>
          </w:p>
        </w:tc>
        <w:tc>
          <w:tcPr>
            <w:tcW w:w="1635" w:type="dxa"/>
            <w:tcBorders>
              <w:top w:val="single" w:color="auto" w:sz="4" w:space="0"/>
              <w:left w:val="single" w:color="auto" w:sz="4" w:space="0"/>
              <w:bottom w:val="single" w:color="auto" w:sz="4" w:space="0"/>
              <w:right w:val="single" w:color="auto" w:sz="4" w:space="0"/>
            </w:tcBorders>
            <w:vAlign w:val="center"/>
          </w:tcPr>
          <w:p>
            <w:pPr>
              <w:adjustRightInd/>
              <w:snapToGrid/>
              <w:spacing w:line="560" w:lineRule="exact"/>
              <w:jc w:val="center"/>
              <w:rPr>
                <w:rFonts w:ascii="仿宋_GB2312" w:hAnsi="Times New Roman" w:eastAsia="仿宋_GB2312" w:cs="Times New Roman"/>
                <w:sz w:val="28"/>
                <w:szCs w:val="28"/>
              </w:rPr>
            </w:pPr>
            <w:r>
              <w:rPr>
                <w:rFonts w:hint="eastAsia" w:ascii="仿宋_GB2312" w:hAnsi="Times New Roman" w:eastAsia="仿宋_GB2312" w:cs="Times New Roman"/>
                <w:sz w:val="28"/>
                <w:szCs w:val="28"/>
              </w:rPr>
              <w:t>≤10</w:t>
            </w:r>
          </w:p>
        </w:tc>
        <w:tc>
          <w:tcPr>
            <w:tcW w:w="1749" w:type="dxa"/>
            <w:tcBorders>
              <w:top w:val="single" w:color="auto" w:sz="4" w:space="0"/>
              <w:left w:val="single" w:color="auto" w:sz="4" w:space="0"/>
              <w:bottom w:val="single" w:color="auto" w:sz="4" w:space="0"/>
              <w:right w:val="single" w:color="auto" w:sz="4" w:space="0"/>
            </w:tcBorders>
            <w:vAlign w:val="center"/>
          </w:tcPr>
          <w:p>
            <w:pPr>
              <w:adjustRightInd/>
              <w:snapToGrid/>
              <w:spacing w:line="560" w:lineRule="exact"/>
              <w:jc w:val="center"/>
              <w:rPr>
                <w:rFonts w:ascii="仿宋_GB2312" w:hAnsi="Times New Roman" w:eastAsia="仿宋_GB2312" w:cs="Times New Roman"/>
                <w:sz w:val="28"/>
                <w:szCs w:val="28"/>
              </w:rPr>
            </w:pPr>
            <w:r>
              <w:rPr>
                <w:rFonts w:hint="eastAsia" w:ascii="仿宋_GB2312" w:hAnsi="Times New Roman" w:eastAsia="仿宋_GB2312" w:cs="Times New Roman"/>
                <w:sz w:val="28"/>
                <w:szCs w:val="28"/>
              </w:rPr>
              <w:t>≤10</w:t>
            </w:r>
          </w:p>
        </w:tc>
        <w:tc>
          <w:tcPr>
            <w:tcW w:w="1665" w:type="dxa"/>
            <w:tcBorders>
              <w:top w:val="single" w:color="auto" w:sz="4" w:space="0"/>
              <w:left w:val="single" w:color="auto" w:sz="4" w:space="0"/>
              <w:bottom w:val="single" w:color="auto" w:sz="4" w:space="0"/>
              <w:right w:val="single" w:color="auto" w:sz="4" w:space="0"/>
            </w:tcBorders>
            <w:vAlign w:val="center"/>
          </w:tcPr>
          <w:p>
            <w:pPr>
              <w:adjustRightInd/>
              <w:snapToGrid/>
              <w:spacing w:line="560" w:lineRule="exact"/>
              <w:jc w:val="center"/>
              <w:rPr>
                <w:rFonts w:ascii="仿宋_GB2312" w:hAnsi="Times New Roman" w:eastAsia="仿宋_GB2312" w:cs="Times New Roman"/>
                <w:sz w:val="28"/>
                <w:szCs w:val="28"/>
              </w:rPr>
            </w:pPr>
            <w:r>
              <w:rPr>
                <w:rFonts w:hint="eastAsia" w:ascii="仿宋_GB2312" w:hAnsi="Times New Roman" w:eastAsia="仿宋_GB2312" w:cs="Times New Roman"/>
                <w:sz w:val="28"/>
                <w:szCs w:val="28"/>
              </w:rPr>
              <w:t>≤8</w:t>
            </w:r>
          </w:p>
        </w:tc>
        <w:tc>
          <w:tcPr>
            <w:tcW w:w="1650" w:type="dxa"/>
            <w:tcBorders>
              <w:top w:val="single" w:color="auto" w:sz="4" w:space="0"/>
              <w:left w:val="single" w:color="auto" w:sz="4" w:space="0"/>
              <w:bottom w:val="single" w:color="auto" w:sz="4" w:space="0"/>
              <w:right w:val="single" w:color="auto" w:sz="4" w:space="0"/>
            </w:tcBorders>
            <w:vAlign w:val="center"/>
          </w:tcPr>
          <w:p>
            <w:pPr>
              <w:adjustRightInd/>
              <w:snapToGrid/>
              <w:spacing w:line="560" w:lineRule="exact"/>
              <w:jc w:val="center"/>
              <w:rPr>
                <w:rFonts w:ascii="仿宋_GB2312" w:hAnsi="Times New Roman" w:eastAsia="仿宋_GB2312" w:cs="Times New Roman"/>
                <w:sz w:val="28"/>
                <w:szCs w:val="28"/>
              </w:rPr>
            </w:pPr>
            <w:r>
              <w:rPr>
                <w:rFonts w:hint="eastAsia" w:ascii="仿宋_GB2312" w:hAnsi="Times New Roman" w:eastAsia="仿宋_GB2312" w:cs="Times New Roman"/>
                <w:sz w:val="28"/>
                <w:szCs w:val="28"/>
              </w:rPr>
              <w:t>6.0-9.0</w:t>
            </w:r>
          </w:p>
        </w:tc>
      </w:tr>
    </w:tbl>
    <w:p>
      <w:pPr>
        <w:adjustRightInd/>
        <w:snapToGrid/>
        <w:spacing w:line="560" w:lineRule="exact"/>
        <w:rPr>
          <w:rFonts w:ascii="仿宋_GB2312" w:hAnsi="Times New Roman" w:eastAsia="仿宋_GB2312" w:cs="Times New Roman"/>
          <w:sz w:val="28"/>
          <w:szCs w:val="28"/>
        </w:rPr>
      </w:pP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北京园博园是4A级景区，是西山永定河文化带精华区的重要组成部分，投标人所提供服务及日常管理需符合4A级景区标准，全力配合园博园争创5A，要求如下：</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4.1.1提供的服务及管理必须符合《旅游景区质量等级的划分与评定》国家标准对4A级景区的各项要求，按照5A级景区标准提高各项工作标准，全力配合园博园创建5A级景区。</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4.1.2提供的服务和从业人员的行为及作业应达到安全生产标准化（二级）相应的标准。</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4.1.3遵守园博园各项管理规定，高标准、无条件全力配合园博园内开展的各类大型活动。</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4.2执行相关国家标准、行业标准、地方标准以及甲方制定的标准化文件。</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4.3再生水利用项目服务要达到的基本服务指标：</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设备完好率达到100%；</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消防设施设备完好率达到100%；</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维修及时率达到100%，返修率低于1%；</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出水水质指标达标天数应为全年天数的95％以上（含95%）；</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内部职工对再生水利用项目技术服务工作满意率达到98%；</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出水水质满足《城市污水再生利用城市杂用水水质》（GB/T18920-2020）；</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杜绝火灾责任事故，杜绝刑事案件率达到100%。</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4.4乙方保障在再生水利用项目交接期间各项工作正常运行，保障园博运营及相关会议、活动及保障任务不受影响。</w:t>
      </w:r>
    </w:p>
    <w:p>
      <w:pPr>
        <w:widowControl w:val="0"/>
        <w:autoSpaceDE w:val="0"/>
        <w:autoSpaceDN w:val="0"/>
        <w:adjustRightInd w:val="0"/>
        <w:ind w:firstLine="420"/>
        <w:jc w:val="left"/>
        <w:rPr>
          <w:rFonts w:ascii="宋体" w:hAnsi="Times New Roman" w:eastAsia="宋体" w:cs="Times New Roman"/>
          <w:kern w:val="2"/>
          <w:sz w:val="24"/>
          <w:szCs w:val="24"/>
          <w:lang w:val="en-US" w:eastAsia="zh-CN" w:bidi="ar-SA"/>
        </w:rPr>
      </w:pPr>
    </w:p>
    <w:p>
      <w:pPr>
        <w:adjustRightInd/>
        <w:snapToGrid/>
        <w:spacing w:line="560" w:lineRule="exact"/>
        <w:ind w:firstLine="562" w:firstLineChars="200"/>
        <w:rPr>
          <w:rFonts w:ascii="仿宋_GB2312" w:hAnsi="Times New Roman" w:eastAsia="仿宋_GB2312" w:cs="Times New Roman"/>
          <w:b/>
          <w:bCs/>
          <w:sz w:val="28"/>
          <w:szCs w:val="28"/>
        </w:rPr>
      </w:pPr>
      <w:r>
        <w:rPr>
          <w:rFonts w:hint="eastAsia" w:ascii="仿宋_GB2312" w:hAnsi="Times New Roman" w:eastAsia="仿宋_GB2312" w:cs="Times New Roman"/>
          <w:b/>
          <w:bCs/>
          <w:sz w:val="28"/>
          <w:szCs w:val="28"/>
        </w:rPr>
        <w:t>5.服务费用</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5.1 本合同服务费为人民币</w:t>
      </w:r>
      <w:r>
        <w:rPr>
          <w:rFonts w:ascii="仿宋_GB2312" w:hAnsi="Times New Roman" w:eastAsia="仿宋_GB2312" w:cs="Times New Roman"/>
          <w:sz w:val="28"/>
          <w:szCs w:val="28"/>
          <w:u w:val="single"/>
        </w:rPr>
        <w:t xml:space="preserve">    </w:t>
      </w:r>
      <w:r>
        <w:rPr>
          <w:rFonts w:hint="eastAsia" w:ascii="仿宋_GB2312" w:hAnsi="Times New Roman" w:eastAsia="仿宋_GB2312" w:cs="Times New Roman"/>
          <w:sz w:val="28"/>
          <w:szCs w:val="28"/>
          <w:u w:val="single"/>
        </w:rPr>
        <w:t xml:space="preserve">    </w:t>
      </w:r>
      <w:r>
        <w:rPr>
          <w:rFonts w:hint="eastAsia" w:ascii="仿宋_GB2312" w:hAnsi="Times New Roman" w:eastAsia="仿宋_GB2312" w:cs="Times New Roman"/>
          <w:sz w:val="28"/>
          <w:szCs w:val="28"/>
        </w:rPr>
        <w:t>元（大写：佰万仟元角分）。</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5.2 本合同约定乙方工作对接人为：</w:t>
      </w:r>
      <w:r>
        <w:rPr>
          <w:rFonts w:hint="eastAsia" w:ascii="仿宋_GB2312" w:hAnsi="Times New Roman" w:eastAsia="仿宋_GB2312" w:cs="Times New Roman"/>
          <w:sz w:val="28"/>
          <w:szCs w:val="28"/>
          <w:u w:val="single"/>
        </w:rPr>
        <w:t xml:space="preserve">        </w:t>
      </w:r>
      <w:r>
        <w:rPr>
          <w:rFonts w:hint="eastAsia" w:ascii="仿宋_GB2312" w:hAnsi="Times New Roman" w:eastAsia="仿宋_GB2312" w:cs="Times New Roman"/>
          <w:sz w:val="28"/>
          <w:szCs w:val="28"/>
        </w:rPr>
        <w:t>，联系方式：</w:t>
      </w:r>
      <w:r>
        <w:rPr>
          <w:rFonts w:hint="eastAsia" w:ascii="仿宋_GB2312" w:hAnsi="Times New Roman" w:eastAsia="仿宋_GB2312" w:cs="Times New Roman"/>
          <w:sz w:val="28"/>
          <w:szCs w:val="28"/>
          <w:u w:val="single"/>
        </w:rPr>
        <w:t xml:space="preserve">       </w:t>
      </w:r>
      <w:r>
        <w:rPr>
          <w:rFonts w:hint="eastAsia" w:ascii="仿宋_GB2312" w:hAnsi="Times New Roman" w:eastAsia="仿宋_GB2312" w:cs="Times New Roman"/>
          <w:sz w:val="28"/>
          <w:szCs w:val="28"/>
        </w:rPr>
        <w:t>，身份证号：</w:t>
      </w:r>
      <w:r>
        <w:rPr>
          <w:rFonts w:hint="eastAsia" w:ascii="仿宋_GB2312" w:hAnsi="Times New Roman" w:eastAsia="仿宋_GB2312" w:cs="Times New Roman"/>
          <w:sz w:val="28"/>
          <w:szCs w:val="28"/>
          <w:u w:val="single"/>
        </w:rPr>
        <w:t xml:space="preserve">               </w:t>
      </w:r>
      <w:r>
        <w:rPr>
          <w:rFonts w:hint="eastAsia" w:ascii="仿宋_GB2312" w:hAnsi="Times New Roman" w:eastAsia="仿宋_GB2312" w:cs="Times New Roman"/>
          <w:sz w:val="28"/>
          <w:szCs w:val="28"/>
        </w:rPr>
        <w:t>。非合同约定对接人取款，甲方有权拒绝支付。</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5.3 本合同约定项目负责人为：</w:t>
      </w:r>
      <w:r>
        <w:rPr>
          <w:rFonts w:hint="eastAsia" w:ascii="仿宋_GB2312" w:hAnsi="Times New Roman" w:eastAsia="仿宋_GB2312" w:cs="Times New Roman"/>
          <w:sz w:val="28"/>
          <w:szCs w:val="28"/>
          <w:u w:val="single"/>
        </w:rPr>
        <w:t xml:space="preserve">              </w:t>
      </w:r>
      <w:r>
        <w:rPr>
          <w:rFonts w:hint="eastAsia" w:ascii="仿宋_GB2312" w:hAnsi="Times New Roman" w:eastAsia="仿宋_GB2312" w:cs="Times New Roman"/>
          <w:sz w:val="28"/>
          <w:szCs w:val="28"/>
        </w:rPr>
        <w:t>，联系方式：</w:t>
      </w:r>
      <w:r>
        <w:rPr>
          <w:rFonts w:hint="eastAsia" w:ascii="仿宋_GB2312" w:hAnsi="Times New Roman" w:eastAsia="仿宋_GB2312" w:cs="Times New Roman"/>
          <w:sz w:val="28"/>
          <w:szCs w:val="28"/>
          <w:u w:val="single"/>
        </w:rPr>
        <w:t xml:space="preserve">            </w:t>
      </w:r>
      <w:r>
        <w:rPr>
          <w:rFonts w:hint="eastAsia" w:ascii="仿宋_GB2312" w:hAnsi="Times New Roman" w:eastAsia="仿宋_GB2312" w:cs="Times New Roman"/>
          <w:sz w:val="28"/>
          <w:szCs w:val="28"/>
        </w:rPr>
        <w:t>，身份证号：</w:t>
      </w:r>
      <w:r>
        <w:rPr>
          <w:rFonts w:hint="eastAsia" w:ascii="仿宋_GB2312" w:hAnsi="Times New Roman" w:eastAsia="仿宋_GB2312" w:cs="Times New Roman"/>
          <w:sz w:val="28"/>
          <w:szCs w:val="28"/>
          <w:u w:val="single"/>
        </w:rPr>
        <w:t xml:space="preserve">             </w:t>
      </w:r>
      <w:r>
        <w:rPr>
          <w:rFonts w:hint="eastAsia" w:ascii="仿宋_GB2312" w:hAnsi="Times New Roman" w:eastAsia="仿宋_GB2312" w:cs="Times New Roman"/>
          <w:sz w:val="28"/>
          <w:szCs w:val="28"/>
        </w:rPr>
        <w:t>。项目负责人和工作对接人发生变更，乙方应提前30天向甲方书面申请，经甲方书面同意后，乙方出具正式的书面授权文件，并经双方在授权文件上签字盖章后，项目负责人和工作对接人方可变更。</w:t>
      </w:r>
    </w:p>
    <w:p>
      <w:pPr>
        <w:widowControl w:val="0"/>
        <w:autoSpaceDE w:val="0"/>
        <w:autoSpaceDN w:val="0"/>
        <w:adjustRightInd w:val="0"/>
        <w:ind w:firstLine="420"/>
        <w:jc w:val="left"/>
        <w:rPr>
          <w:rFonts w:ascii="宋体" w:hAnsi="Times New Roman" w:eastAsia="宋体" w:cs="Times New Roman"/>
          <w:kern w:val="2"/>
          <w:sz w:val="24"/>
          <w:szCs w:val="24"/>
          <w:lang w:val="en-US" w:eastAsia="zh-CN" w:bidi="ar-SA"/>
        </w:rPr>
      </w:pPr>
    </w:p>
    <w:p>
      <w:pPr>
        <w:adjustRightInd/>
        <w:snapToGrid/>
        <w:spacing w:line="560" w:lineRule="exact"/>
        <w:ind w:firstLine="562" w:firstLineChars="200"/>
        <w:rPr>
          <w:rFonts w:ascii="仿宋_GB2312" w:hAnsi="Times New Roman" w:eastAsia="仿宋_GB2312" w:cs="Times New Roman"/>
          <w:b/>
          <w:bCs/>
          <w:sz w:val="28"/>
          <w:szCs w:val="28"/>
        </w:rPr>
      </w:pPr>
      <w:r>
        <w:rPr>
          <w:rFonts w:hint="eastAsia" w:ascii="仿宋_GB2312" w:hAnsi="Times New Roman" w:eastAsia="仿宋_GB2312" w:cs="Times New Roman"/>
          <w:b/>
          <w:bCs/>
          <w:sz w:val="28"/>
          <w:szCs w:val="28"/>
        </w:rPr>
        <w:t>6.合同文件</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6.1 下列文件均为本合同的组成部分：</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6.1.1 协议书；</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6.1.2 合同条款；</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6.1.3 招标文件及其附件；</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6.1.4 投标文件；</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6.1.5 中标通知书；</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6.1.6 组织架构图（附件1）</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6.1.7 考核办法（附件2）</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6.1.8</w:t>
      </w:r>
      <w:r>
        <w:rPr>
          <w:rFonts w:hint="eastAsia" w:ascii="仿宋_GB2312" w:hAnsi="Times New Roman" w:eastAsia="仿宋_GB2312" w:cs="Times New Roman"/>
          <w:sz w:val="28"/>
          <w:szCs w:val="28"/>
          <w:lang w:val="en-US" w:eastAsia="zh-CN"/>
        </w:rPr>
        <w:t xml:space="preserve"> </w:t>
      </w:r>
      <w:r>
        <w:rPr>
          <w:rFonts w:hint="eastAsia" w:ascii="仿宋_GB2312" w:hAnsi="Times New Roman" w:eastAsia="仿宋_GB2312" w:cs="Times New Roman"/>
          <w:sz w:val="28"/>
          <w:szCs w:val="28"/>
        </w:rPr>
        <w:t>考核评分表（出水水质部分）（附件3）</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6.1.9</w:t>
      </w:r>
      <w:r>
        <w:rPr>
          <w:rFonts w:hint="eastAsia" w:ascii="仿宋_GB2312" w:hAnsi="Times New Roman" w:eastAsia="仿宋_GB2312" w:cs="Times New Roman"/>
          <w:sz w:val="28"/>
          <w:szCs w:val="28"/>
          <w:lang w:val="en-US" w:eastAsia="zh-CN"/>
        </w:rPr>
        <w:t xml:space="preserve"> </w:t>
      </w:r>
      <w:r>
        <w:rPr>
          <w:rFonts w:hint="eastAsia" w:ascii="仿宋_GB2312" w:hAnsi="Times New Roman" w:eastAsia="仿宋_GB2312" w:cs="Times New Roman"/>
          <w:sz w:val="28"/>
          <w:szCs w:val="28"/>
        </w:rPr>
        <w:t>考核评分表（技术服务及安全管理部分）（附件4）</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6.1.10 季度考核评分表（附件5）</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6.1.11 安全安全生产书（附件6）</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6.1.12 保密责任书（附件7）</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6.1.13</w:t>
      </w:r>
      <w:r>
        <w:rPr>
          <w:rFonts w:hint="eastAsia" w:ascii="仿宋_GB2312" w:hAnsi="Times New Roman" w:eastAsia="仿宋_GB2312" w:cs="Times New Roman"/>
          <w:sz w:val="28"/>
          <w:szCs w:val="28"/>
          <w:lang w:val="en-US" w:eastAsia="zh-CN"/>
        </w:rPr>
        <w:t xml:space="preserve"> </w:t>
      </w:r>
      <w:r>
        <w:rPr>
          <w:rFonts w:hint="eastAsia" w:ascii="仿宋_GB2312" w:hAnsi="Times New Roman" w:eastAsia="仿宋_GB2312" w:cs="Times New Roman"/>
          <w:sz w:val="28"/>
          <w:szCs w:val="28"/>
        </w:rPr>
        <w:t>廉政责任书（附件8）</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6.1.14 双方因签署和履行本合同而相互往来的加盖公章和/或签字的书面往来函电、会议记录、工作报告、数据记录等；</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6.1.15 双方在履行本合同过程中签订的补充协议和协商一致的其他书面文件。</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6.2 合同组成文件对甲乙双方均有约束力。当合同文件的内容存在冲突时，以最有利于实现再生水利用项目目标的内容为准。</w:t>
      </w:r>
    </w:p>
    <w:p>
      <w:pPr>
        <w:widowControl w:val="0"/>
        <w:autoSpaceDE w:val="0"/>
        <w:autoSpaceDN w:val="0"/>
        <w:adjustRightInd w:val="0"/>
        <w:ind w:firstLine="420"/>
        <w:jc w:val="left"/>
        <w:rPr>
          <w:rFonts w:ascii="宋体" w:hAnsi="Times New Roman" w:eastAsia="宋体" w:cs="Times New Roman"/>
          <w:kern w:val="2"/>
          <w:sz w:val="24"/>
          <w:szCs w:val="24"/>
          <w:lang w:val="en-US" w:eastAsia="zh-CN" w:bidi="ar-SA"/>
        </w:rPr>
      </w:pPr>
    </w:p>
    <w:p>
      <w:pPr>
        <w:adjustRightInd/>
        <w:snapToGrid/>
        <w:spacing w:line="560" w:lineRule="exact"/>
        <w:ind w:firstLine="562" w:firstLineChars="200"/>
        <w:rPr>
          <w:rFonts w:ascii="仿宋_GB2312" w:hAnsi="Times New Roman" w:eastAsia="仿宋_GB2312" w:cs="Times New Roman"/>
          <w:b/>
          <w:bCs/>
          <w:sz w:val="28"/>
          <w:szCs w:val="28"/>
        </w:rPr>
      </w:pPr>
      <w:r>
        <w:rPr>
          <w:rFonts w:hint="eastAsia" w:ascii="仿宋_GB2312" w:hAnsi="Times New Roman" w:eastAsia="仿宋_GB2312" w:cs="Times New Roman"/>
          <w:b/>
          <w:bCs/>
          <w:sz w:val="28"/>
          <w:szCs w:val="28"/>
        </w:rPr>
        <w:t>7.双方承诺</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7.1 乙方承诺按照合同约定的范围、内容、标准、目标向甲方提供再生水利用项目。</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7.2 甲方承诺按照合同约定向乙方支付合同费用。</w:t>
      </w:r>
    </w:p>
    <w:p>
      <w:pPr>
        <w:widowControl w:val="0"/>
        <w:autoSpaceDE w:val="0"/>
        <w:autoSpaceDN w:val="0"/>
        <w:adjustRightInd w:val="0"/>
        <w:ind w:firstLine="420"/>
        <w:jc w:val="left"/>
        <w:rPr>
          <w:rFonts w:ascii="宋体" w:hAnsi="Times New Roman" w:eastAsia="宋体" w:cs="Times New Roman"/>
          <w:kern w:val="2"/>
          <w:sz w:val="24"/>
          <w:szCs w:val="24"/>
          <w:lang w:val="en-US" w:eastAsia="zh-CN" w:bidi="ar-SA"/>
        </w:rPr>
      </w:pPr>
    </w:p>
    <w:p>
      <w:pPr>
        <w:adjustRightInd/>
        <w:snapToGrid/>
        <w:spacing w:line="560" w:lineRule="exact"/>
        <w:ind w:firstLine="562" w:firstLineChars="200"/>
        <w:rPr>
          <w:rFonts w:ascii="仿宋_GB2312" w:hAnsi="Times New Roman" w:eastAsia="仿宋_GB2312" w:cs="Times New Roman"/>
          <w:b/>
          <w:bCs/>
          <w:sz w:val="28"/>
          <w:szCs w:val="28"/>
        </w:rPr>
      </w:pPr>
      <w:r>
        <w:rPr>
          <w:rFonts w:hint="eastAsia" w:ascii="仿宋_GB2312" w:hAnsi="Times New Roman" w:eastAsia="仿宋_GB2312" w:cs="Times New Roman"/>
          <w:b/>
          <w:bCs/>
          <w:sz w:val="28"/>
          <w:szCs w:val="28"/>
        </w:rPr>
        <w:t>8.合同签订和生效</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本合同一式</w:t>
      </w:r>
      <w:r>
        <w:rPr>
          <w:rFonts w:hint="eastAsia" w:ascii="仿宋_GB2312" w:hAnsi="Times New Roman" w:eastAsia="仿宋_GB2312" w:cs="Times New Roman"/>
          <w:sz w:val="28"/>
          <w:szCs w:val="28"/>
          <w:lang w:eastAsia="zh-CN"/>
        </w:rPr>
        <w:t>陆</w:t>
      </w:r>
      <w:r>
        <w:rPr>
          <w:rFonts w:hint="eastAsia" w:ascii="仿宋_GB2312" w:hAnsi="Times New Roman" w:eastAsia="仿宋_GB2312" w:cs="Times New Roman"/>
          <w:sz w:val="28"/>
          <w:szCs w:val="28"/>
        </w:rPr>
        <w:t>份，甲方执</w:t>
      </w:r>
      <w:r>
        <w:rPr>
          <w:rFonts w:hint="eastAsia" w:ascii="仿宋_GB2312" w:hAnsi="Times New Roman" w:eastAsia="仿宋_GB2312" w:cs="Times New Roman"/>
          <w:sz w:val="28"/>
          <w:szCs w:val="28"/>
          <w:lang w:eastAsia="zh-CN"/>
        </w:rPr>
        <w:t>叁</w:t>
      </w:r>
      <w:r>
        <w:rPr>
          <w:rFonts w:hint="eastAsia" w:ascii="仿宋_GB2312" w:hAnsi="Times New Roman" w:eastAsia="仿宋_GB2312" w:cs="Times New Roman"/>
          <w:sz w:val="28"/>
          <w:szCs w:val="28"/>
        </w:rPr>
        <w:t>份，乙方执</w:t>
      </w:r>
      <w:r>
        <w:rPr>
          <w:rFonts w:hint="eastAsia" w:ascii="仿宋_GB2312" w:hAnsi="Times New Roman" w:eastAsia="仿宋_GB2312" w:cs="Times New Roman"/>
          <w:sz w:val="28"/>
          <w:szCs w:val="28"/>
          <w:lang w:eastAsia="zh-CN"/>
        </w:rPr>
        <w:t>叁</w:t>
      </w:r>
      <w:r>
        <w:rPr>
          <w:rFonts w:hint="eastAsia" w:ascii="仿宋_GB2312" w:hAnsi="Times New Roman" w:eastAsia="仿宋_GB2312" w:cs="Times New Roman"/>
          <w:sz w:val="28"/>
          <w:szCs w:val="28"/>
        </w:rPr>
        <w:t>份，自双方签字盖章后生效。</w:t>
      </w:r>
    </w:p>
    <w:p>
      <w:pPr>
        <w:adjustRightInd/>
        <w:snapToGrid/>
        <w:spacing w:line="560" w:lineRule="exact"/>
        <w:ind w:firstLine="560" w:firstLineChars="200"/>
        <w:rPr>
          <w:rFonts w:ascii="仿宋_GB2312" w:hAnsi="Times New Roman" w:eastAsia="仿宋_GB2312" w:cs="Times New Roman"/>
          <w:sz w:val="28"/>
          <w:szCs w:val="28"/>
        </w:rPr>
      </w:pPr>
    </w:p>
    <w:p>
      <w:pPr>
        <w:adjustRightInd/>
        <w:snapToGrid/>
        <w:spacing w:line="560" w:lineRule="exact"/>
        <w:rPr>
          <w:rFonts w:ascii="仿宋_GB2312" w:hAnsi="Times New Roman" w:eastAsia="仿宋_GB2312" w:cs="Times New Roman"/>
          <w:sz w:val="28"/>
          <w:szCs w:val="28"/>
        </w:rPr>
      </w:pPr>
    </w:p>
    <w:p>
      <w:pPr>
        <w:widowControl w:val="0"/>
        <w:autoSpaceDE w:val="0"/>
        <w:autoSpaceDN w:val="0"/>
        <w:adjustRightInd w:val="0"/>
        <w:ind w:firstLine="0"/>
        <w:jc w:val="left"/>
        <w:rPr>
          <w:rFonts w:ascii="仿宋_GB2312" w:hAnsi="Times New Roman" w:eastAsia="仿宋_GB2312" w:cs="Times New Roman"/>
          <w:kern w:val="2"/>
          <w:sz w:val="28"/>
          <w:szCs w:val="28"/>
          <w:lang w:val="en-US" w:eastAsia="zh-CN" w:bidi="ar-SA"/>
        </w:rPr>
      </w:pPr>
    </w:p>
    <w:p>
      <w:pPr>
        <w:widowControl w:val="0"/>
        <w:autoSpaceDE w:val="0"/>
        <w:autoSpaceDN w:val="0"/>
        <w:adjustRightInd w:val="0"/>
        <w:ind w:firstLine="420"/>
        <w:jc w:val="left"/>
        <w:rPr>
          <w:rFonts w:ascii="仿宋_GB2312" w:hAnsi="Times New Roman" w:eastAsia="仿宋_GB2312" w:cs="Times New Roman"/>
          <w:kern w:val="2"/>
          <w:sz w:val="28"/>
          <w:szCs w:val="28"/>
          <w:lang w:val="en-US" w:eastAsia="zh-CN" w:bidi="ar-SA"/>
        </w:rPr>
      </w:pPr>
      <w:r>
        <w:rPr>
          <w:rFonts w:hint="eastAsia" w:ascii="仿宋_GB2312" w:hAnsi="Times New Roman" w:eastAsia="仿宋_GB2312" w:cs="Times New Roman"/>
          <w:kern w:val="2"/>
          <w:sz w:val="28"/>
          <w:szCs w:val="28"/>
          <w:lang w:val="en-US" w:eastAsia="zh-CN" w:bidi="ar-SA"/>
        </w:rPr>
        <w:t>（本页为盖章页，无正文）</w:t>
      </w:r>
    </w:p>
    <w:p>
      <w:pPr>
        <w:widowControl w:val="0"/>
        <w:autoSpaceDE w:val="0"/>
        <w:autoSpaceDN w:val="0"/>
        <w:adjustRightInd w:val="0"/>
        <w:ind w:firstLine="0"/>
        <w:jc w:val="left"/>
        <w:rPr>
          <w:rFonts w:ascii="宋体" w:hAnsi="Times New Roman" w:eastAsia="宋体" w:cs="Times New Roman"/>
          <w:kern w:val="2"/>
          <w:sz w:val="24"/>
          <w:szCs w:val="24"/>
          <w:lang w:val="en-US" w:eastAsia="zh-CN" w:bidi="ar-SA"/>
        </w:rPr>
      </w:pPr>
    </w:p>
    <w:p>
      <w:pPr>
        <w:adjustRightInd/>
        <w:snapToGrid/>
        <w:spacing w:line="560" w:lineRule="exact"/>
        <w:rPr>
          <w:rFonts w:ascii="仿宋_GB2312" w:hAnsi="Times New Roman" w:eastAsia="仿宋_GB2312" w:cs="Times New Roman"/>
          <w:sz w:val="28"/>
          <w:szCs w:val="28"/>
        </w:rPr>
      </w:pPr>
      <w:r>
        <w:rPr>
          <w:rFonts w:hint="eastAsia" w:ascii="仿宋_GB2312" w:hAnsi="Times New Roman" w:eastAsia="仿宋_GB2312" w:cs="Times New Roman"/>
          <w:sz w:val="28"/>
          <w:szCs w:val="28"/>
        </w:rPr>
        <w:t xml:space="preserve">甲方（公章）：         </w:t>
      </w:r>
      <w:r>
        <w:rPr>
          <w:rFonts w:hint="eastAsia" w:ascii="仿宋_GB2312" w:hAnsi="Times New Roman" w:eastAsia="仿宋_GB2312" w:cs="Times New Roman"/>
          <w:sz w:val="28"/>
          <w:szCs w:val="28"/>
          <w:lang w:val="en-US" w:eastAsia="zh-CN"/>
        </w:rPr>
        <w:t xml:space="preserve">        </w:t>
      </w:r>
      <w:r>
        <w:rPr>
          <w:rFonts w:hint="eastAsia" w:ascii="仿宋_GB2312" w:hAnsi="Times New Roman" w:eastAsia="仿宋_GB2312" w:cs="Times New Roman"/>
          <w:sz w:val="28"/>
          <w:szCs w:val="28"/>
        </w:rPr>
        <w:t>乙方（公章）：</w:t>
      </w:r>
    </w:p>
    <w:p>
      <w:pPr>
        <w:adjustRightInd/>
        <w:snapToGrid/>
        <w:spacing w:line="560" w:lineRule="exact"/>
        <w:rPr>
          <w:rFonts w:ascii="仿宋_GB2312" w:hAnsi="Times New Roman" w:eastAsia="仿宋_GB2312" w:cs="Times New Roman"/>
          <w:sz w:val="28"/>
          <w:szCs w:val="28"/>
        </w:rPr>
      </w:pPr>
      <w:r>
        <w:rPr>
          <w:rFonts w:hint="eastAsia" w:ascii="仿宋_GB2312" w:hAnsi="Times New Roman" w:eastAsia="仿宋_GB2312" w:cs="Times New Roman"/>
          <w:sz w:val="28"/>
          <w:szCs w:val="28"/>
        </w:rPr>
        <w:t xml:space="preserve">北京园博园管理中心                 </w:t>
      </w:r>
    </w:p>
    <w:p>
      <w:pPr>
        <w:adjustRightInd/>
        <w:snapToGrid/>
        <w:spacing w:line="560" w:lineRule="exact"/>
        <w:rPr>
          <w:rFonts w:ascii="仿宋_GB2312" w:hAnsi="Times New Roman" w:eastAsia="仿宋_GB2312" w:cs="Times New Roman"/>
          <w:sz w:val="28"/>
          <w:szCs w:val="28"/>
        </w:rPr>
      </w:pPr>
      <w:r>
        <w:rPr>
          <w:rFonts w:hint="eastAsia" w:ascii="仿宋_GB2312" w:hAnsi="Times New Roman" w:eastAsia="仿宋_GB2312" w:cs="Times New Roman"/>
          <w:sz w:val="28"/>
          <w:szCs w:val="28"/>
        </w:rPr>
        <w:t xml:space="preserve">             </w:t>
      </w:r>
    </w:p>
    <w:p>
      <w:pPr>
        <w:adjustRightInd/>
        <w:snapToGrid/>
        <w:spacing w:line="560" w:lineRule="exact"/>
        <w:rPr>
          <w:rFonts w:ascii="仿宋_GB2312" w:hAnsi="Times New Roman" w:eastAsia="仿宋_GB2312" w:cs="Times New Roman"/>
          <w:sz w:val="28"/>
          <w:szCs w:val="28"/>
        </w:rPr>
      </w:pPr>
      <w:r>
        <w:rPr>
          <w:rFonts w:hint="eastAsia" w:ascii="仿宋_GB2312" w:hAnsi="Times New Roman" w:eastAsia="仿宋_GB2312" w:cs="Times New Roman"/>
          <w:sz w:val="28"/>
          <w:szCs w:val="28"/>
        </w:rPr>
        <w:t>法定代表人或委托               法定代表人或委托</w:t>
      </w:r>
    </w:p>
    <w:p>
      <w:pPr>
        <w:adjustRightInd/>
        <w:snapToGrid/>
        <w:spacing w:line="560" w:lineRule="exact"/>
        <w:rPr>
          <w:rFonts w:hint="eastAsia" w:ascii="仿宋_GB2312" w:hAnsi="Times New Roman" w:eastAsia="仿宋_GB2312" w:cs="Times New Roman"/>
          <w:sz w:val="28"/>
          <w:szCs w:val="28"/>
          <w:lang w:eastAsia="zh-CN"/>
        </w:rPr>
      </w:pPr>
      <w:r>
        <w:rPr>
          <w:rFonts w:hint="eastAsia" w:ascii="仿宋_GB2312" w:hAnsi="Times New Roman" w:eastAsia="仿宋_GB2312" w:cs="Times New Roman"/>
          <w:sz w:val="28"/>
          <w:szCs w:val="28"/>
          <w:lang w:eastAsia="zh-CN"/>
        </w:rPr>
        <w:t>地址：</w:t>
      </w:r>
      <w:r>
        <w:rPr>
          <w:rFonts w:hint="eastAsia" w:ascii="仿宋_GB2312" w:hAnsi="Times New Roman" w:eastAsia="仿宋_GB2312" w:cs="Times New Roman"/>
          <w:sz w:val="28"/>
          <w:szCs w:val="28"/>
          <w:lang w:val="en-US" w:eastAsia="zh-CN"/>
        </w:rPr>
        <w:t xml:space="preserve">                         </w:t>
      </w:r>
      <w:r>
        <w:rPr>
          <w:rFonts w:hint="eastAsia" w:ascii="仿宋_GB2312" w:hAnsi="Times New Roman" w:eastAsia="仿宋_GB2312" w:cs="Times New Roman"/>
          <w:sz w:val="28"/>
          <w:szCs w:val="28"/>
          <w:lang w:eastAsia="zh-CN"/>
        </w:rPr>
        <w:t>地址：</w:t>
      </w:r>
    </w:p>
    <w:p>
      <w:pPr>
        <w:adjustRightInd/>
        <w:snapToGrid/>
        <w:spacing w:line="560" w:lineRule="exact"/>
        <w:rPr>
          <w:rFonts w:hint="default" w:ascii="仿宋_GB2312" w:hAnsi="Times New Roman" w:eastAsia="仿宋_GB2312" w:cs="Times New Roman"/>
          <w:sz w:val="28"/>
          <w:szCs w:val="28"/>
          <w:lang w:val="en-US" w:eastAsia="zh-CN"/>
        </w:rPr>
      </w:pPr>
      <w:r>
        <w:rPr>
          <w:rFonts w:hint="eastAsia" w:ascii="仿宋_GB2312" w:hAnsi="Times New Roman" w:eastAsia="仿宋_GB2312" w:cs="Times New Roman"/>
          <w:sz w:val="28"/>
          <w:szCs w:val="28"/>
        </w:rPr>
        <w:t>联系方式：</w:t>
      </w:r>
      <w:r>
        <w:rPr>
          <w:rFonts w:hint="eastAsia" w:ascii="仿宋_GB2312" w:hAnsi="Times New Roman" w:eastAsia="仿宋_GB2312" w:cs="Times New Roman"/>
          <w:sz w:val="28"/>
          <w:szCs w:val="28"/>
          <w:lang w:val="en-US" w:eastAsia="zh-CN"/>
        </w:rPr>
        <w:t xml:space="preserve">                     </w:t>
      </w:r>
      <w:r>
        <w:rPr>
          <w:rFonts w:hint="eastAsia" w:ascii="仿宋_GB2312" w:hAnsi="Times New Roman" w:eastAsia="仿宋_GB2312" w:cs="Times New Roman"/>
          <w:sz w:val="28"/>
          <w:szCs w:val="28"/>
        </w:rPr>
        <w:t>联系方式：</w:t>
      </w:r>
      <w:r>
        <w:rPr>
          <w:rFonts w:hint="eastAsia" w:ascii="仿宋_GB2312" w:hAnsi="Times New Roman" w:eastAsia="仿宋_GB2312" w:cs="Times New Roman"/>
          <w:sz w:val="28"/>
          <w:szCs w:val="28"/>
          <w:lang w:eastAsia="zh-CN"/>
        </w:rPr>
        <w:t>：</w:t>
      </w:r>
    </w:p>
    <w:p>
      <w:pPr>
        <w:adjustRightInd/>
        <w:snapToGrid/>
        <w:spacing w:line="560" w:lineRule="exact"/>
        <w:rPr>
          <w:rFonts w:hint="default" w:ascii="仿宋_GB2312" w:hAnsi="Times New Roman" w:eastAsia="仿宋_GB2312" w:cs="Times New Roman"/>
          <w:sz w:val="28"/>
          <w:szCs w:val="28"/>
          <w:lang w:val="en-US" w:eastAsia="zh-CN"/>
        </w:rPr>
      </w:pPr>
      <w:r>
        <w:rPr>
          <w:rFonts w:hint="eastAsia" w:ascii="仿宋_GB2312" w:hAnsi="Times New Roman" w:eastAsia="仿宋_GB2312" w:cs="Times New Roman"/>
          <w:sz w:val="28"/>
          <w:szCs w:val="28"/>
          <w:lang w:eastAsia="zh-CN"/>
        </w:rPr>
        <w:t>账户名称：</w:t>
      </w:r>
      <w:r>
        <w:rPr>
          <w:rFonts w:hint="eastAsia" w:ascii="仿宋_GB2312" w:hAnsi="Times New Roman" w:eastAsia="仿宋_GB2312" w:cs="Times New Roman"/>
          <w:sz w:val="28"/>
          <w:szCs w:val="28"/>
          <w:lang w:val="en-US" w:eastAsia="zh-CN"/>
        </w:rPr>
        <w:t xml:space="preserve">                     </w:t>
      </w:r>
      <w:r>
        <w:rPr>
          <w:rFonts w:hint="eastAsia" w:ascii="仿宋_GB2312" w:hAnsi="Times New Roman" w:eastAsia="仿宋_GB2312" w:cs="Times New Roman"/>
          <w:sz w:val="28"/>
          <w:szCs w:val="28"/>
          <w:lang w:eastAsia="zh-CN"/>
        </w:rPr>
        <w:t>账户名称：</w:t>
      </w:r>
    </w:p>
    <w:p>
      <w:pPr>
        <w:adjustRightInd/>
        <w:snapToGrid/>
        <w:spacing w:line="560" w:lineRule="exact"/>
        <w:rPr>
          <w:rFonts w:hint="default" w:ascii="仿宋_GB2312" w:hAnsi="Times New Roman" w:eastAsia="仿宋_GB2312" w:cs="Times New Roman"/>
          <w:sz w:val="28"/>
          <w:szCs w:val="28"/>
          <w:lang w:val="en-US" w:eastAsia="zh-CN"/>
        </w:rPr>
      </w:pPr>
      <w:r>
        <w:rPr>
          <w:rFonts w:hint="eastAsia" w:ascii="仿宋_GB2312" w:hAnsi="Times New Roman" w:eastAsia="仿宋_GB2312" w:cs="Times New Roman"/>
          <w:sz w:val="28"/>
          <w:szCs w:val="28"/>
          <w:lang w:eastAsia="zh-CN"/>
        </w:rPr>
        <w:t>开户银行：</w:t>
      </w:r>
      <w:r>
        <w:rPr>
          <w:rFonts w:hint="eastAsia" w:ascii="仿宋_GB2312" w:hAnsi="Times New Roman" w:eastAsia="仿宋_GB2312" w:cs="Times New Roman"/>
          <w:sz w:val="28"/>
          <w:szCs w:val="28"/>
          <w:lang w:val="en-US" w:eastAsia="zh-CN"/>
        </w:rPr>
        <w:t xml:space="preserve">                     </w:t>
      </w:r>
      <w:r>
        <w:rPr>
          <w:rFonts w:hint="eastAsia" w:ascii="仿宋_GB2312" w:hAnsi="Times New Roman" w:eastAsia="仿宋_GB2312" w:cs="Times New Roman"/>
          <w:sz w:val="28"/>
          <w:szCs w:val="28"/>
          <w:lang w:eastAsia="zh-CN"/>
        </w:rPr>
        <w:t>开户银行：</w:t>
      </w:r>
    </w:p>
    <w:p>
      <w:pPr>
        <w:adjustRightInd/>
        <w:snapToGrid/>
        <w:spacing w:line="560" w:lineRule="exact"/>
        <w:rPr>
          <w:rFonts w:ascii="仿宋_GB2312" w:hAnsi="Times New Roman" w:eastAsia="仿宋_GB2312" w:cs="Times New Roman"/>
          <w:sz w:val="28"/>
          <w:szCs w:val="28"/>
        </w:rPr>
      </w:pPr>
      <w:r>
        <w:rPr>
          <w:rFonts w:hint="eastAsia" w:ascii="仿宋_GB2312" w:hAnsi="Times New Roman" w:eastAsia="仿宋_GB2312" w:cs="Times New Roman"/>
          <w:sz w:val="28"/>
          <w:szCs w:val="28"/>
          <w:lang w:eastAsia="zh-CN"/>
        </w:rPr>
        <w:t>银行账号：</w:t>
      </w:r>
      <w:r>
        <w:rPr>
          <w:rFonts w:hint="eastAsia" w:ascii="仿宋_GB2312" w:hAnsi="Times New Roman" w:eastAsia="仿宋_GB2312" w:cs="Times New Roman"/>
          <w:sz w:val="28"/>
          <w:szCs w:val="28"/>
          <w:lang w:val="en-US" w:eastAsia="zh-CN"/>
        </w:rPr>
        <w:t xml:space="preserve">                     </w:t>
      </w:r>
      <w:r>
        <w:rPr>
          <w:rFonts w:hint="eastAsia" w:ascii="仿宋_GB2312" w:hAnsi="Times New Roman" w:eastAsia="仿宋_GB2312" w:cs="Times New Roman"/>
          <w:sz w:val="28"/>
          <w:szCs w:val="28"/>
          <w:lang w:eastAsia="zh-CN"/>
        </w:rPr>
        <w:t>银行账号：</w:t>
      </w:r>
    </w:p>
    <w:p>
      <w:pPr>
        <w:adjustRightInd/>
        <w:snapToGrid/>
        <w:spacing w:line="560" w:lineRule="exact"/>
        <w:rPr>
          <w:rFonts w:ascii="仿宋_GB2312" w:hAnsi="Times New Roman" w:eastAsia="仿宋_GB2312" w:cs="Times New Roman"/>
          <w:sz w:val="28"/>
          <w:szCs w:val="28"/>
        </w:rPr>
      </w:pPr>
      <w:r>
        <w:rPr>
          <w:rFonts w:hint="eastAsia" w:ascii="仿宋_GB2312" w:hAnsi="Times New Roman" w:eastAsia="仿宋_GB2312" w:cs="Times New Roman"/>
          <w:sz w:val="28"/>
          <w:szCs w:val="28"/>
        </w:rPr>
        <w:t xml:space="preserve">日期：    年    月    日       日期：    年    月   日   </w:t>
      </w:r>
    </w:p>
    <w:p>
      <w:pPr>
        <w:adjustRightInd/>
        <w:snapToGrid/>
        <w:spacing w:line="560" w:lineRule="exact"/>
        <w:rPr>
          <w:rFonts w:ascii="仿宋_GB2312" w:hAnsi="Times New Roman" w:eastAsia="仿宋_GB2312" w:cs="Times New Roman"/>
          <w:sz w:val="28"/>
          <w:szCs w:val="28"/>
        </w:rPr>
      </w:pPr>
    </w:p>
    <w:p>
      <w:pPr>
        <w:widowControl w:val="0"/>
        <w:autoSpaceDE w:val="0"/>
        <w:autoSpaceDN w:val="0"/>
        <w:adjustRightInd w:val="0"/>
        <w:ind w:firstLine="0"/>
        <w:jc w:val="left"/>
        <w:rPr>
          <w:rFonts w:ascii="仿宋_GB2312" w:hAnsi="Times New Roman" w:eastAsia="仿宋_GB2312" w:cs="Times New Roman"/>
          <w:kern w:val="2"/>
          <w:sz w:val="28"/>
          <w:szCs w:val="28"/>
          <w:lang w:val="en-US" w:eastAsia="zh-CN" w:bidi="ar-SA"/>
        </w:rPr>
      </w:pPr>
    </w:p>
    <w:p>
      <w:pPr>
        <w:adjustRightInd/>
        <w:snapToGrid/>
        <w:spacing w:line="560" w:lineRule="exact"/>
        <w:jc w:val="center"/>
        <w:rPr>
          <w:rFonts w:ascii="仿宋_GB2312" w:hAnsi="Times New Roman" w:eastAsia="仿宋_GB2312" w:cs="Times New Roman"/>
          <w:sz w:val="28"/>
          <w:szCs w:val="28"/>
        </w:rPr>
      </w:pPr>
    </w:p>
    <w:p>
      <w:pPr>
        <w:adjustRightInd/>
        <w:snapToGrid/>
        <w:spacing w:line="560" w:lineRule="exact"/>
        <w:jc w:val="center"/>
        <w:rPr>
          <w:rFonts w:ascii="仿宋_GB2312" w:hAnsi="Times New Roman" w:eastAsia="仿宋_GB2312" w:cs="Times New Roman"/>
          <w:sz w:val="28"/>
          <w:szCs w:val="28"/>
        </w:rPr>
      </w:pPr>
    </w:p>
    <w:p>
      <w:pPr>
        <w:adjustRightInd/>
        <w:snapToGrid/>
        <w:spacing w:line="560" w:lineRule="exact"/>
        <w:jc w:val="center"/>
        <w:rPr>
          <w:rFonts w:ascii="仿宋_GB2312" w:hAnsi="Times New Roman" w:eastAsia="仿宋_GB2312" w:cs="Times New Roman"/>
          <w:sz w:val="28"/>
          <w:szCs w:val="28"/>
        </w:rPr>
      </w:pPr>
    </w:p>
    <w:p>
      <w:pPr>
        <w:adjustRightInd/>
        <w:snapToGrid/>
        <w:spacing w:line="560" w:lineRule="exact"/>
        <w:jc w:val="center"/>
        <w:rPr>
          <w:rFonts w:ascii="仿宋_GB2312" w:hAnsi="Times New Roman" w:eastAsia="仿宋_GB2312" w:cs="Times New Roman"/>
          <w:sz w:val="28"/>
          <w:szCs w:val="28"/>
        </w:rPr>
      </w:pPr>
    </w:p>
    <w:p>
      <w:pPr>
        <w:adjustRightInd/>
        <w:snapToGrid/>
        <w:spacing w:line="560" w:lineRule="exact"/>
        <w:jc w:val="center"/>
        <w:rPr>
          <w:rFonts w:ascii="仿宋_GB2312" w:hAnsi="Times New Roman" w:eastAsia="仿宋_GB2312" w:cs="Times New Roman"/>
          <w:sz w:val="28"/>
          <w:szCs w:val="28"/>
        </w:rPr>
      </w:pPr>
    </w:p>
    <w:p>
      <w:pPr>
        <w:adjustRightInd/>
        <w:snapToGrid/>
        <w:spacing w:line="560" w:lineRule="exact"/>
        <w:jc w:val="center"/>
        <w:rPr>
          <w:rFonts w:ascii="仿宋_GB2312" w:hAnsi="Times New Roman" w:eastAsia="仿宋_GB2312" w:cs="Times New Roman"/>
          <w:sz w:val="28"/>
          <w:szCs w:val="28"/>
        </w:rPr>
      </w:pPr>
    </w:p>
    <w:p>
      <w:pPr>
        <w:adjustRightInd/>
        <w:snapToGrid/>
        <w:spacing w:line="560" w:lineRule="exact"/>
        <w:jc w:val="center"/>
        <w:rPr>
          <w:rFonts w:ascii="仿宋_GB2312" w:hAnsi="Times New Roman" w:eastAsia="仿宋_GB2312" w:cs="Times New Roman"/>
          <w:sz w:val="28"/>
          <w:szCs w:val="28"/>
        </w:rPr>
      </w:pPr>
    </w:p>
    <w:p>
      <w:pPr>
        <w:adjustRightInd/>
        <w:snapToGrid/>
        <w:spacing w:line="560" w:lineRule="exact"/>
        <w:jc w:val="center"/>
        <w:rPr>
          <w:rFonts w:ascii="仿宋_GB2312" w:hAnsi="Times New Roman" w:eastAsia="仿宋_GB2312" w:cs="Times New Roman"/>
          <w:sz w:val="28"/>
          <w:szCs w:val="28"/>
        </w:rPr>
      </w:pPr>
    </w:p>
    <w:p>
      <w:pPr>
        <w:adjustRightInd/>
        <w:snapToGrid/>
        <w:spacing w:line="560" w:lineRule="exact"/>
        <w:jc w:val="center"/>
        <w:rPr>
          <w:rFonts w:ascii="仿宋_GB2312" w:hAnsi="Times New Roman" w:eastAsia="仿宋_GB2312" w:cs="Times New Roman"/>
          <w:sz w:val="28"/>
          <w:szCs w:val="28"/>
        </w:rPr>
      </w:pPr>
    </w:p>
    <w:p>
      <w:pPr>
        <w:widowControl w:val="0"/>
        <w:autoSpaceDE w:val="0"/>
        <w:autoSpaceDN w:val="0"/>
        <w:adjustRightInd w:val="0"/>
        <w:ind w:firstLine="420"/>
        <w:jc w:val="left"/>
        <w:rPr>
          <w:rFonts w:ascii="仿宋_GB2312" w:hAnsi="Times New Roman" w:eastAsia="仿宋_GB2312" w:cs="Times New Roman"/>
          <w:kern w:val="2"/>
          <w:sz w:val="28"/>
          <w:szCs w:val="28"/>
          <w:lang w:val="en-US" w:eastAsia="zh-CN" w:bidi="ar-SA"/>
        </w:rPr>
      </w:pPr>
    </w:p>
    <w:p>
      <w:pPr>
        <w:widowControl w:val="0"/>
        <w:autoSpaceDE w:val="0"/>
        <w:autoSpaceDN w:val="0"/>
        <w:adjustRightInd w:val="0"/>
        <w:ind w:firstLine="420"/>
        <w:jc w:val="left"/>
        <w:rPr>
          <w:rFonts w:ascii="仿宋_GB2312" w:hAnsi="Times New Roman" w:eastAsia="仿宋_GB2312" w:cs="Times New Roman"/>
          <w:kern w:val="2"/>
          <w:sz w:val="28"/>
          <w:szCs w:val="28"/>
          <w:lang w:val="en-US" w:eastAsia="zh-CN" w:bidi="ar-SA"/>
        </w:rPr>
      </w:pPr>
    </w:p>
    <w:p>
      <w:pPr>
        <w:widowControl w:val="0"/>
        <w:autoSpaceDE w:val="0"/>
        <w:autoSpaceDN w:val="0"/>
        <w:adjustRightInd w:val="0"/>
        <w:ind w:firstLine="420"/>
        <w:jc w:val="left"/>
        <w:rPr>
          <w:rFonts w:ascii="仿宋_GB2312" w:hAnsi="Times New Roman" w:eastAsia="仿宋_GB2312" w:cs="Times New Roman"/>
          <w:kern w:val="2"/>
          <w:sz w:val="28"/>
          <w:szCs w:val="28"/>
          <w:lang w:val="en-US" w:eastAsia="zh-CN" w:bidi="ar-SA"/>
        </w:rPr>
      </w:pPr>
    </w:p>
    <w:p>
      <w:pPr>
        <w:widowControl w:val="0"/>
        <w:autoSpaceDE w:val="0"/>
        <w:autoSpaceDN w:val="0"/>
        <w:adjustRightInd w:val="0"/>
        <w:ind w:firstLine="420"/>
        <w:jc w:val="left"/>
        <w:rPr>
          <w:rFonts w:ascii="仿宋_GB2312" w:hAnsi="Times New Roman" w:eastAsia="仿宋_GB2312" w:cs="Times New Roman"/>
          <w:kern w:val="2"/>
          <w:sz w:val="28"/>
          <w:szCs w:val="28"/>
          <w:lang w:val="en-US" w:eastAsia="zh-CN" w:bidi="ar-SA"/>
        </w:rPr>
      </w:pPr>
    </w:p>
    <w:p>
      <w:pPr>
        <w:widowControl w:val="0"/>
        <w:autoSpaceDE w:val="0"/>
        <w:autoSpaceDN w:val="0"/>
        <w:adjustRightInd w:val="0"/>
        <w:ind w:firstLine="420"/>
        <w:jc w:val="left"/>
        <w:rPr>
          <w:rFonts w:ascii="仿宋_GB2312" w:hAnsi="Times New Roman" w:eastAsia="仿宋_GB2312" w:cs="Times New Roman"/>
          <w:kern w:val="2"/>
          <w:sz w:val="28"/>
          <w:szCs w:val="28"/>
          <w:lang w:val="en-US" w:eastAsia="zh-CN" w:bidi="ar-SA"/>
        </w:rPr>
      </w:pPr>
    </w:p>
    <w:p>
      <w:pPr>
        <w:adjustRightInd/>
        <w:snapToGrid/>
        <w:spacing w:line="560" w:lineRule="exact"/>
        <w:jc w:val="center"/>
        <w:rPr>
          <w:rFonts w:ascii="仿宋_GB2312" w:hAnsi="Times New Roman" w:eastAsia="仿宋_GB2312" w:cs="Times New Roman"/>
          <w:sz w:val="28"/>
          <w:szCs w:val="28"/>
        </w:rPr>
      </w:pPr>
      <w:r>
        <w:rPr>
          <w:rFonts w:hint="eastAsia" w:ascii="仿宋_GB2312" w:hAnsi="Times New Roman" w:eastAsia="仿宋_GB2312" w:cs="Times New Roman"/>
          <w:sz w:val="28"/>
          <w:szCs w:val="28"/>
        </w:rPr>
        <w:t>第二部分 合同条款</w:t>
      </w:r>
    </w:p>
    <w:p>
      <w:pPr>
        <w:adjustRightInd/>
        <w:snapToGrid/>
        <w:spacing w:line="560" w:lineRule="exact"/>
        <w:ind w:firstLine="562" w:firstLineChars="200"/>
        <w:rPr>
          <w:rFonts w:ascii="仿宋_GB2312" w:hAnsi="Times New Roman" w:eastAsia="仿宋_GB2312" w:cs="Times New Roman"/>
          <w:sz w:val="28"/>
          <w:szCs w:val="28"/>
        </w:rPr>
      </w:pPr>
      <w:r>
        <w:rPr>
          <w:rFonts w:hint="eastAsia" w:ascii="仿宋_GB2312" w:hAnsi="Times New Roman" w:eastAsia="仿宋_GB2312" w:cs="Times New Roman"/>
          <w:b/>
          <w:bCs/>
          <w:sz w:val="28"/>
          <w:szCs w:val="28"/>
        </w:rPr>
        <w:t>1.词语定义</w:t>
      </w:r>
    </w:p>
    <w:p>
      <w:pPr>
        <w:adjustRightInd/>
        <w:snapToGrid/>
        <w:spacing w:line="560" w:lineRule="exact"/>
        <w:ind w:firstLine="560" w:firstLineChars="200"/>
        <w:rPr>
          <w:rFonts w:ascii="仿宋_GB2312" w:hAnsi="Times New Roman" w:eastAsia="仿宋_GB2312" w:cs="Times New Roman"/>
          <w:color w:val="000000"/>
          <w:sz w:val="28"/>
          <w:szCs w:val="28"/>
        </w:rPr>
      </w:pPr>
      <w:r>
        <w:rPr>
          <w:rFonts w:hint="eastAsia" w:ascii="仿宋_GB2312" w:hAnsi="Times New Roman" w:eastAsia="仿宋_GB2312" w:cs="Times New Roman"/>
          <w:color w:val="000000"/>
          <w:sz w:val="28"/>
          <w:szCs w:val="28"/>
        </w:rPr>
        <w:t>1.1 甲方：是区属全额事业单位，负责园博园运行保障相关工作。</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1.2 乙方：是本合同中接受甲方委托为甲方提供再生水利用技术服务的公司。</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1.3 再生水利用项目：是指乙方对园区内三座再生水站点进行维护管理，维护环境卫生和相关秩序的活动。</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1.5 工作计划：合同期限内的工作计划和乙方为提供更优质服务自身应做的准备工作，是再生水利用项目的组成部分。</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1.6 再生水利用项目部：是指乙方派驻北京园博园实施运行保障管理服务的机构。</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1.7 项目经理：是指经甲方同意，乙方派驻再生水利用项目部全面履行本合同的全权负责人。</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1.8 特约服务：是指在本合同再生水利用项目范围和内容中未约定，需甲方另行委托乙方或第三方提供的运行保障管理服务。</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1.9 日：除特别明确为工作日外，均指日历天数。</w:t>
      </w:r>
    </w:p>
    <w:p>
      <w:pPr>
        <w:widowControl w:val="0"/>
        <w:autoSpaceDE w:val="0"/>
        <w:autoSpaceDN w:val="0"/>
        <w:adjustRightInd w:val="0"/>
        <w:ind w:firstLine="420"/>
        <w:jc w:val="left"/>
        <w:rPr>
          <w:rFonts w:ascii="宋体" w:hAnsi="Times New Roman" w:eastAsia="宋体" w:cs="Times New Roman"/>
          <w:kern w:val="2"/>
          <w:sz w:val="24"/>
          <w:szCs w:val="24"/>
          <w:lang w:val="en-US" w:eastAsia="zh-CN" w:bidi="ar-SA"/>
        </w:rPr>
      </w:pPr>
    </w:p>
    <w:p>
      <w:pPr>
        <w:adjustRightInd/>
        <w:snapToGrid/>
        <w:spacing w:line="560" w:lineRule="exact"/>
        <w:ind w:firstLine="562" w:firstLineChars="200"/>
        <w:rPr>
          <w:rFonts w:ascii="仿宋_GB2312" w:hAnsi="Times New Roman" w:eastAsia="仿宋_GB2312" w:cs="Times New Roman"/>
          <w:b/>
          <w:bCs/>
          <w:sz w:val="28"/>
          <w:szCs w:val="28"/>
        </w:rPr>
      </w:pPr>
      <w:r>
        <w:rPr>
          <w:rFonts w:hint="eastAsia" w:ascii="仿宋_GB2312" w:hAnsi="Times New Roman" w:eastAsia="仿宋_GB2312" w:cs="Times New Roman"/>
          <w:b/>
          <w:bCs/>
          <w:sz w:val="28"/>
          <w:szCs w:val="28"/>
        </w:rPr>
        <w:t>2.服务范围和内容</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2.1 项目位置</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北京园博园内。</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2.2 工作计划</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2.2.1 乙方应在本合同签订时向甲方提交本合同服务期内的方案和进度计划，经甲方审查确认后实施。该方案的内容包括但不限于：</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2.2.1.1 合同服务期限内的工作计划；</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2.2.1.2 服务期服务管理人员的结构、资历和资质；</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2.2.1.3 各项工作的时间进度及与之前供应商的衔接方法；</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2.2.1.4 满足甲方运营要求和标准的保障措施。</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2.2.2 工作计划内容包括但不限于：</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2.2.2.1 乙方应当完成再生水站点内的设备设施及资料的盘点，完成乙方管理的资料与甲方的交接。</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2.2.2.2 乙方应当完成所有员工的上岗培训；</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2.2.2.3 乙方负责管理区域内的设备、系统的运行维护管理和环境保洁工作；</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A.完善服务范围内的标识管理；</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 xml:space="preserve">B.在管理区域保洁。 </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2.2.2.4 在本合同正式服务开始前，乙方应完成如下工作：</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A.完善与甲方和其他相关各方之间的运行协调机制；</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B.按岗位配置要求调配员工，全员到岗，对全体员工进行岗位知识培训；</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C.派人员接受设施设备维保单位进行的专项培训；</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D.组织/参加应急预案演练等。</w:t>
      </w:r>
    </w:p>
    <w:p>
      <w:pPr>
        <w:adjustRightInd/>
        <w:snapToGrid/>
        <w:spacing w:line="560" w:lineRule="exact"/>
        <w:ind w:firstLine="560" w:firstLineChars="200"/>
        <w:rPr>
          <w:rFonts w:ascii="仿宋_GB2312" w:hAnsi="Times New Roman" w:eastAsia="仿宋_GB2312" w:cs="Times New Roman"/>
          <w:sz w:val="28"/>
          <w:szCs w:val="28"/>
        </w:rPr>
      </w:pPr>
      <w:r>
        <w:rPr>
          <w:rFonts w:ascii="仿宋_GB2312" w:hAnsi="Times New Roman" w:eastAsia="仿宋_GB2312" w:cs="Times New Roman"/>
          <w:sz w:val="28"/>
          <w:szCs w:val="28"/>
        </w:rPr>
        <w:t xml:space="preserve">2.2.2.5 </w:t>
      </w:r>
      <w:r>
        <w:rPr>
          <w:rFonts w:hint="eastAsia" w:ascii="仿宋_GB2312" w:hAnsi="Times New Roman" w:eastAsia="仿宋_GB2312" w:cs="Times New Roman"/>
          <w:sz w:val="28"/>
          <w:szCs w:val="28"/>
        </w:rPr>
        <w:t>完成设施设备、图纸和技术资料、站点门钥匙等所有设备及资料的盘点，须向甲方归档的资料要完成与甲方档案室的交接。</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2.2.2.6 在本合同正式服务后15日内向甲方提交再生水利用项目制度汇编和服务期限内再生水利用项目工作计划，经甲方审查确认后实施。</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2.2.2.7 做好服务期前其他准备工作。</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2.2.3 乙方完成2.2.2约定的各项工作，满足甲方运营的标准和要求。</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2.2.4 在两个服务期衔接过程中，乙方分阶段、分区域、分系统完成盘点和全部交接完成后，乙方对所接收的图纸、文件资料负有保管、保密、备份责任，对所接管的设施设备系统及钥匙有维护保养与安全保障责任。</w:t>
      </w:r>
    </w:p>
    <w:p>
      <w:pPr>
        <w:widowControl w:val="0"/>
        <w:autoSpaceDE w:val="0"/>
        <w:autoSpaceDN w:val="0"/>
        <w:adjustRightInd w:val="0"/>
        <w:ind w:firstLine="420"/>
        <w:jc w:val="left"/>
        <w:rPr>
          <w:rFonts w:ascii="宋体" w:hAnsi="Times New Roman" w:eastAsia="宋体" w:cs="Times New Roman"/>
          <w:kern w:val="2"/>
          <w:sz w:val="24"/>
          <w:szCs w:val="24"/>
          <w:lang w:val="en-US" w:eastAsia="zh-CN" w:bidi="ar-SA"/>
        </w:rPr>
      </w:pPr>
    </w:p>
    <w:p>
      <w:pPr>
        <w:widowControl w:val="0"/>
        <w:numPr>
          <w:ilvl w:val="255"/>
          <w:numId w:val="0"/>
        </w:numPr>
        <w:autoSpaceDE w:val="0"/>
        <w:autoSpaceDN w:val="0"/>
        <w:adjustRightInd w:val="0"/>
        <w:spacing w:line="560" w:lineRule="exact"/>
        <w:ind w:firstLine="562" w:firstLineChars="200"/>
        <w:jc w:val="left"/>
        <w:rPr>
          <w:rFonts w:ascii="仿宋_GB2312" w:hAnsi="Times New Roman" w:eastAsia="仿宋_GB2312" w:cs="Times New Roman"/>
          <w:b/>
          <w:bCs/>
          <w:kern w:val="2"/>
          <w:sz w:val="28"/>
          <w:szCs w:val="28"/>
          <w:lang w:val="en-US" w:eastAsia="zh-CN" w:bidi="ar-SA"/>
        </w:rPr>
      </w:pPr>
      <w:r>
        <w:rPr>
          <w:rFonts w:hint="eastAsia" w:ascii="仿宋_GB2312" w:hAnsi="Times New Roman" w:eastAsia="仿宋_GB2312" w:cs="Times New Roman"/>
          <w:b/>
          <w:bCs/>
          <w:kern w:val="2"/>
          <w:sz w:val="28"/>
          <w:szCs w:val="28"/>
          <w:lang w:val="en-US" w:eastAsia="zh-CN" w:bidi="ar-SA"/>
        </w:rPr>
        <w:t>3.内容及工作要求详见招标文件第五章采购需求。</w:t>
      </w:r>
    </w:p>
    <w:p>
      <w:pPr>
        <w:adjustRightInd/>
        <w:snapToGrid/>
        <w:spacing w:line="560" w:lineRule="exact"/>
        <w:ind w:firstLine="562" w:firstLineChars="200"/>
        <w:rPr>
          <w:rFonts w:ascii="仿宋_GB2312" w:hAnsi="Times New Roman" w:eastAsia="仿宋_GB2312" w:cs="Times New Roman"/>
          <w:b/>
          <w:bCs/>
          <w:sz w:val="28"/>
          <w:szCs w:val="28"/>
        </w:rPr>
      </w:pPr>
      <w:r>
        <w:rPr>
          <w:rFonts w:hint="eastAsia" w:ascii="仿宋_GB2312" w:hAnsi="Times New Roman" w:eastAsia="仿宋_GB2312" w:cs="Times New Roman"/>
          <w:b/>
          <w:bCs/>
          <w:sz w:val="28"/>
          <w:szCs w:val="28"/>
        </w:rPr>
        <w:t>4.服务期限</w:t>
      </w:r>
    </w:p>
    <w:p>
      <w:pPr>
        <w:adjustRightInd/>
        <w:snapToGrid/>
        <w:spacing w:line="560" w:lineRule="exact"/>
        <w:ind w:firstLine="560" w:firstLineChars="200"/>
        <w:rPr>
          <w:rFonts w:ascii="仿宋_GB2312" w:hAnsi="Times New Roman" w:eastAsia="仿宋_GB2312" w:cs="Times New Roman"/>
          <w:sz w:val="28"/>
          <w:szCs w:val="28"/>
        </w:rPr>
      </w:pPr>
      <w:r>
        <w:rPr>
          <w:rFonts w:ascii="仿宋_GB2312" w:hAnsi="Times New Roman" w:eastAsia="仿宋_GB2312" w:cs="Times New Roman"/>
          <w:sz w:val="28"/>
          <w:szCs w:val="28"/>
        </w:rPr>
        <w:t xml:space="preserve">4.1 </w:t>
      </w:r>
      <w:r>
        <w:rPr>
          <w:rFonts w:hint="eastAsia" w:ascii="仿宋_GB2312" w:hAnsi="Times New Roman" w:eastAsia="仿宋_GB2312" w:cs="Times New Roman"/>
          <w:sz w:val="28"/>
          <w:szCs w:val="28"/>
        </w:rPr>
        <w:t>再生水利用项目服务期限：合同签订之日至2024年12月31日。</w:t>
      </w:r>
    </w:p>
    <w:p>
      <w:pPr>
        <w:adjustRightInd/>
        <w:snapToGrid/>
        <w:spacing w:line="560" w:lineRule="exact"/>
        <w:ind w:firstLine="560" w:firstLineChars="200"/>
        <w:rPr>
          <w:rFonts w:ascii="仿宋_GB2312" w:hAnsi="Times New Roman" w:eastAsia="仿宋_GB2312" w:cs="Times New Roman"/>
          <w:sz w:val="28"/>
          <w:szCs w:val="28"/>
          <w:highlight w:val="yellow"/>
        </w:rPr>
      </w:pPr>
      <w:r>
        <w:rPr>
          <w:rFonts w:hint="eastAsia" w:ascii="仿宋_GB2312" w:hAnsi="Times New Roman" w:eastAsia="仿宋_GB2312" w:cs="Times New Roman"/>
          <w:sz w:val="28"/>
          <w:szCs w:val="28"/>
        </w:rPr>
        <w:t>4.2 乙方理解前期准备服务并承诺积极认真配合，按甲方要求和双方约定提供服务，保证两个服务期的顺利衔接。</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4.3 本合同期限届满，合同自行终止。</w:t>
      </w:r>
    </w:p>
    <w:p>
      <w:pPr>
        <w:widowControl w:val="0"/>
        <w:autoSpaceDE w:val="0"/>
        <w:autoSpaceDN w:val="0"/>
        <w:adjustRightInd w:val="0"/>
        <w:ind w:firstLine="420"/>
        <w:jc w:val="left"/>
        <w:rPr>
          <w:rFonts w:ascii="宋体" w:hAnsi="Times New Roman" w:eastAsia="宋体" w:cs="Times New Roman"/>
          <w:kern w:val="2"/>
          <w:sz w:val="24"/>
          <w:szCs w:val="24"/>
          <w:lang w:val="en-US" w:eastAsia="zh-CN" w:bidi="ar-SA"/>
        </w:rPr>
      </w:pPr>
    </w:p>
    <w:p>
      <w:pPr>
        <w:adjustRightInd/>
        <w:snapToGrid/>
        <w:spacing w:line="560" w:lineRule="exact"/>
        <w:ind w:firstLine="562" w:firstLineChars="200"/>
        <w:rPr>
          <w:rFonts w:ascii="仿宋_GB2312" w:hAnsi="Times New Roman" w:eastAsia="仿宋_GB2312" w:cs="Times New Roman"/>
          <w:b/>
          <w:bCs/>
          <w:sz w:val="28"/>
          <w:szCs w:val="28"/>
        </w:rPr>
      </w:pPr>
      <w:r>
        <w:rPr>
          <w:rFonts w:hint="eastAsia" w:ascii="仿宋_GB2312" w:hAnsi="Times New Roman" w:eastAsia="仿宋_GB2312" w:cs="Times New Roman"/>
          <w:b/>
          <w:bCs/>
          <w:sz w:val="28"/>
          <w:szCs w:val="28"/>
        </w:rPr>
        <w:t>5.费用及支付</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5.1 本合同再生水利用项目服务费为人民币</w:t>
      </w:r>
      <w:r>
        <w:rPr>
          <w:rFonts w:hint="eastAsia" w:ascii="仿宋_GB2312" w:hAnsi="Times New Roman" w:eastAsia="仿宋_GB2312" w:cs="Times New Roman"/>
          <w:sz w:val="28"/>
          <w:szCs w:val="28"/>
          <w:u w:val="single"/>
        </w:rPr>
        <w:t xml:space="preserve">              </w:t>
      </w:r>
      <w:r>
        <w:rPr>
          <w:rFonts w:hint="eastAsia" w:ascii="仿宋_GB2312" w:hAnsi="Times New Roman" w:eastAsia="仿宋_GB2312" w:cs="Times New Roman"/>
          <w:sz w:val="28"/>
          <w:szCs w:val="28"/>
        </w:rPr>
        <w:t>元（大写：</w:t>
      </w:r>
      <w:r>
        <w:rPr>
          <w:rFonts w:hint="eastAsia" w:ascii="仿宋_GB2312" w:hAnsi="Times New Roman" w:eastAsia="仿宋_GB2312" w:cs="Times New Roman"/>
          <w:sz w:val="28"/>
          <w:szCs w:val="28"/>
          <w:u w:val="single"/>
        </w:rPr>
        <w:t xml:space="preserve">             </w:t>
      </w:r>
      <w:r>
        <w:rPr>
          <w:rFonts w:hint="eastAsia" w:ascii="仿宋_GB2312" w:hAnsi="Times New Roman" w:eastAsia="仿宋_GB2312" w:cs="Times New Roman"/>
          <w:sz w:val="28"/>
          <w:szCs w:val="28"/>
        </w:rPr>
        <w:t>）。</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5.2 乙方承诺：甲方支付的所有费用将全部用于本项目。</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5.3 本合同约定的服务费已包括前期准备服务的费用及合同期限届满时交接期的费用。</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 xml:space="preserve">5.4 付款方式 </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5.4.1 支付办法</w:t>
      </w:r>
    </w:p>
    <w:p>
      <w:pPr>
        <w:adjustRightInd/>
        <w:snapToGrid/>
        <w:spacing w:line="560" w:lineRule="exact"/>
        <w:ind w:firstLine="560" w:firstLineChars="200"/>
        <w:rPr>
          <w:rFonts w:ascii="仿宋_GB2312" w:hAnsi="Times New Roman" w:eastAsia="仿宋_GB2312" w:cs="Times New Roman"/>
          <w:sz w:val="28"/>
          <w:szCs w:val="28"/>
          <w:u w:val="single"/>
        </w:rPr>
      </w:pPr>
      <w:r>
        <w:rPr>
          <w:rFonts w:hint="eastAsia" w:ascii="仿宋_GB2312" w:hAnsi="Times New Roman" w:eastAsia="仿宋_GB2312" w:cs="Times New Roman"/>
          <w:sz w:val="28"/>
          <w:szCs w:val="28"/>
        </w:rPr>
        <w:t>合同签订后3日内，乙方向甲方支付合同金额的10%作为履约保证金，即人民币</w:t>
      </w:r>
      <w:r>
        <w:rPr>
          <w:rFonts w:hint="eastAsia" w:ascii="仿宋_GB2312" w:hAnsi="Times New Roman" w:eastAsia="仿宋_GB2312" w:cs="Times New Roman"/>
          <w:sz w:val="28"/>
          <w:szCs w:val="28"/>
          <w:u w:val="single"/>
        </w:rPr>
        <w:t xml:space="preserve">              元（</w:t>
      </w:r>
      <w:r>
        <w:rPr>
          <w:rFonts w:hint="eastAsia" w:ascii="仿宋_GB2312" w:hAnsi="Times New Roman" w:eastAsia="仿宋_GB2312" w:cs="Times New Roman"/>
          <w:sz w:val="28"/>
          <w:szCs w:val="28"/>
        </w:rPr>
        <w:t>大写：</w:t>
      </w:r>
      <w:r>
        <w:rPr>
          <w:rFonts w:hint="eastAsia" w:ascii="仿宋_GB2312" w:hAnsi="Times New Roman" w:eastAsia="仿宋_GB2312" w:cs="Times New Roman"/>
          <w:sz w:val="28"/>
          <w:szCs w:val="28"/>
          <w:u w:val="single"/>
        </w:rPr>
        <w:t xml:space="preserve">              </w:t>
      </w:r>
      <w:r>
        <w:rPr>
          <w:rFonts w:hint="eastAsia" w:ascii="仿宋_GB2312" w:hAnsi="Times New Roman" w:eastAsia="仿宋_GB2312" w:cs="Times New Roman"/>
          <w:sz w:val="28"/>
          <w:szCs w:val="28"/>
        </w:rPr>
        <w:t>）。</w:t>
      </w:r>
    </w:p>
    <w:p>
      <w:pPr>
        <w:adjustRightInd/>
        <w:snapToGrid/>
        <w:spacing w:line="560" w:lineRule="exact"/>
        <w:ind w:firstLine="560" w:firstLineChars="200"/>
        <w:rPr>
          <w:rFonts w:hint="eastAsia" w:ascii="仿宋_GB2312" w:hAnsi="Times New Roman" w:eastAsia="仿宋_GB2312" w:cs="Times New Roman"/>
          <w:color w:val="FF0000"/>
          <w:sz w:val="28"/>
          <w:szCs w:val="28"/>
        </w:rPr>
      </w:pPr>
      <w:r>
        <w:rPr>
          <w:rFonts w:hint="default" w:ascii="仿宋_GB2312" w:hAnsi="Times New Roman" w:eastAsia="仿宋_GB2312" w:cs="Times New Roman"/>
          <w:color w:val="FF0000"/>
          <w:sz w:val="28"/>
          <w:szCs w:val="28"/>
        </w:rPr>
        <w:t>甲方收到乙方履约保证金后，</w:t>
      </w:r>
      <w:r>
        <w:rPr>
          <w:rFonts w:hint="default" w:ascii="仿宋_GB2312" w:hAnsi="Times New Roman" w:eastAsia="仿宋_GB2312" w:cs="Times New Roman"/>
          <w:color w:val="FF0000"/>
          <w:sz w:val="28"/>
          <w:szCs w:val="28"/>
          <w:highlight w:val="none"/>
          <w:lang w:val="en-US" w:eastAsia="zh-CN"/>
        </w:rPr>
        <w:t>15个工作日内</w:t>
      </w:r>
      <w:r>
        <w:rPr>
          <w:rFonts w:hint="default" w:ascii="仿宋_GB2312" w:hAnsi="Times New Roman" w:eastAsia="仿宋_GB2312" w:cs="Times New Roman"/>
          <w:color w:val="FF0000"/>
          <w:sz w:val="28"/>
          <w:szCs w:val="28"/>
          <w:lang w:val="en-US" w:eastAsia="zh-CN"/>
        </w:rPr>
        <w:t>向乙方</w:t>
      </w:r>
      <w:r>
        <w:rPr>
          <w:rFonts w:hint="default" w:ascii="仿宋_GB2312" w:hAnsi="Times New Roman" w:eastAsia="仿宋_GB2312" w:cs="Times New Roman"/>
          <w:color w:val="FF0000"/>
          <w:sz w:val="28"/>
          <w:szCs w:val="28"/>
        </w:rPr>
        <w:t>支付第一笔服务费，即合同金额的30%，人民币</w:t>
      </w:r>
      <w:r>
        <w:rPr>
          <w:rFonts w:hint="default" w:ascii="仿宋_GB2312" w:hAnsi="Times New Roman" w:eastAsia="仿宋_GB2312" w:cs="Times New Roman"/>
          <w:color w:val="FF0000"/>
          <w:sz w:val="28"/>
          <w:szCs w:val="28"/>
          <w:u w:val="single"/>
        </w:rPr>
        <w:t xml:space="preserve">  </w:t>
      </w:r>
      <w:r>
        <w:rPr>
          <w:rFonts w:hint="eastAsia" w:ascii="仿宋_GB2312" w:hAnsi="Times New Roman" w:eastAsia="仿宋_GB2312" w:cs="Times New Roman"/>
          <w:color w:val="FF0000"/>
          <w:sz w:val="28"/>
          <w:szCs w:val="28"/>
          <w:u w:val="single"/>
          <w:lang w:val="en-US" w:eastAsia="zh-CN"/>
        </w:rPr>
        <w:t xml:space="preserve">  </w:t>
      </w:r>
      <w:r>
        <w:rPr>
          <w:rFonts w:hint="default" w:ascii="仿宋_GB2312" w:hAnsi="Times New Roman" w:eastAsia="仿宋_GB2312" w:cs="Times New Roman"/>
          <w:color w:val="FF0000"/>
          <w:sz w:val="28"/>
          <w:szCs w:val="28"/>
          <w:u w:val="single"/>
        </w:rPr>
        <w:t xml:space="preserve"> </w:t>
      </w:r>
      <w:r>
        <w:rPr>
          <w:rFonts w:hint="eastAsia" w:ascii="仿宋_GB2312" w:hAnsi="Times New Roman" w:eastAsia="仿宋_GB2312" w:cs="Times New Roman"/>
          <w:color w:val="FF0000"/>
          <w:sz w:val="28"/>
          <w:szCs w:val="28"/>
          <w:u w:val="single"/>
          <w:lang w:val="en-US" w:eastAsia="zh-CN"/>
        </w:rPr>
        <w:t xml:space="preserve">  </w:t>
      </w:r>
      <w:r>
        <w:rPr>
          <w:rFonts w:hint="default" w:ascii="仿宋_GB2312" w:hAnsi="Times New Roman" w:eastAsia="仿宋_GB2312" w:cs="Times New Roman"/>
          <w:color w:val="FF0000"/>
          <w:sz w:val="28"/>
          <w:szCs w:val="28"/>
        </w:rPr>
        <w:t>元（大写：</w:t>
      </w:r>
      <w:r>
        <w:rPr>
          <w:rFonts w:hint="default" w:ascii="仿宋_GB2312" w:hAnsi="Times New Roman" w:eastAsia="仿宋_GB2312" w:cs="Times New Roman"/>
          <w:color w:val="FF0000"/>
          <w:sz w:val="28"/>
          <w:szCs w:val="28"/>
          <w:u w:val="single"/>
        </w:rPr>
        <w:t xml:space="preserve">     </w:t>
      </w:r>
      <w:r>
        <w:rPr>
          <w:rFonts w:hint="eastAsia" w:ascii="仿宋_GB2312" w:hAnsi="Times New Roman" w:eastAsia="仿宋_GB2312" w:cs="Times New Roman"/>
          <w:color w:val="FF0000"/>
          <w:sz w:val="28"/>
          <w:szCs w:val="28"/>
          <w:u w:val="single"/>
          <w:lang w:val="en-US" w:eastAsia="zh-CN"/>
        </w:rPr>
        <w:t xml:space="preserve">  </w:t>
      </w:r>
      <w:r>
        <w:rPr>
          <w:rFonts w:hint="default" w:ascii="仿宋_GB2312" w:hAnsi="Times New Roman" w:eastAsia="仿宋_GB2312" w:cs="Times New Roman"/>
          <w:color w:val="FF0000"/>
          <w:sz w:val="28"/>
          <w:szCs w:val="28"/>
        </w:rPr>
        <w:t>）；2024年6月30日前</w:t>
      </w:r>
      <w:r>
        <w:rPr>
          <w:rFonts w:hint="eastAsia" w:ascii="仿宋_GB2312" w:hAnsi="Times New Roman" w:eastAsia="仿宋_GB2312" w:cs="Times New Roman"/>
          <w:color w:val="FF0000"/>
          <w:sz w:val="28"/>
          <w:szCs w:val="28"/>
          <w:lang w:eastAsia="zh-CN"/>
        </w:rPr>
        <w:t>向乙方</w:t>
      </w:r>
      <w:r>
        <w:rPr>
          <w:rFonts w:hint="default" w:ascii="仿宋_GB2312" w:hAnsi="Times New Roman" w:eastAsia="仿宋_GB2312" w:cs="Times New Roman"/>
          <w:color w:val="FF0000"/>
          <w:sz w:val="28"/>
          <w:szCs w:val="28"/>
        </w:rPr>
        <w:t>支付第二笔服务费，即合同金额的30%，人民币</w:t>
      </w:r>
      <w:r>
        <w:rPr>
          <w:rFonts w:hint="default" w:ascii="仿宋_GB2312" w:hAnsi="Times New Roman" w:eastAsia="仿宋_GB2312" w:cs="Times New Roman"/>
          <w:color w:val="FF0000"/>
          <w:sz w:val="28"/>
          <w:szCs w:val="28"/>
          <w:u w:val="single"/>
        </w:rPr>
        <w:t xml:space="preserve">      </w:t>
      </w:r>
      <w:r>
        <w:rPr>
          <w:rFonts w:hint="eastAsia" w:ascii="仿宋_GB2312" w:hAnsi="Times New Roman" w:eastAsia="仿宋_GB2312" w:cs="Times New Roman"/>
          <w:color w:val="FF0000"/>
          <w:sz w:val="28"/>
          <w:szCs w:val="28"/>
          <w:u w:val="single"/>
          <w:lang w:val="en-US" w:eastAsia="zh-CN"/>
        </w:rPr>
        <w:t xml:space="preserve">  </w:t>
      </w:r>
      <w:r>
        <w:rPr>
          <w:rFonts w:hint="default" w:ascii="仿宋_GB2312" w:hAnsi="Times New Roman" w:eastAsia="仿宋_GB2312" w:cs="Times New Roman"/>
          <w:color w:val="FF0000"/>
          <w:sz w:val="28"/>
          <w:szCs w:val="28"/>
        </w:rPr>
        <w:t>元（大写：</w:t>
      </w:r>
      <w:r>
        <w:rPr>
          <w:rFonts w:hint="default" w:ascii="仿宋_GB2312" w:hAnsi="Times New Roman" w:eastAsia="仿宋_GB2312" w:cs="Times New Roman"/>
          <w:color w:val="FF0000"/>
          <w:sz w:val="28"/>
          <w:szCs w:val="28"/>
          <w:u w:val="single"/>
        </w:rPr>
        <w:t xml:space="preserve">     </w:t>
      </w:r>
      <w:r>
        <w:rPr>
          <w:rFonts w:hint="eastAsia" w:ascii="仿宋_GB2312" w:hAnsi="Times New Roman" w:eastAsia="仿宋_GB2312" w:cs="Times New Roman"/>
          <w:color w:val="FF0000"/>
          <w:sz w:val="28"/>
          <w:szCs w:val="28"/>
          <w:u w:val="single"/>
          <w:lang w:val="en-US" w:eastAsia="zh-CN"/>
        </w:rPr>
        <w:t xml:space="preserve">   </w:t>
      </w:r>
      <w:r>
        <w:rPr>
          <w:rFonts w:hint="default" w:ascii="仿宋_GB2312" w:hAnsi="Times New Roman" w:eastAsia="仿宋_GB2312" w:cs="Times New Roman"/>
          <w:color w:val="FF0000"/>
          <w:sz w:val="28"/>
          <w:szCs w:val="28"/>
        </w:rPr>
        <w:t>）；2024年9月30日前</w:t>
      </w:r>
      <w:r>
        <w:rPr>
          <w:rFonts w:hint="eastAsia" w:ascii="仿宋_GB2312" w:hAnsi="Times New Roman" w:eastAsia="仿宋_GB2312" w:cs="Times New Roman"/>
          <w:color w:val="FF0000"/>
          <w:sz w:val="28"/>
          <w:szCs w:val="28"/>
          <w:lang w:eastAsia="zh-CN"/>
        </w:rPr>
        <w:t>向乙方</w:t>
      </w:r>
      <w:r>
        <w:rPr>
          <w:rFonts w:hint="default" w:ascii="仿宋_GB2312" w:hAnsi="Times New Roman" w:eastAsia="仿宋_GB2312" w:cs="Times New Roman"/>
          <w:color w:val="FF0000"/>
          <w:sz w:val="28"/>
          <w:szCs w:val="28"/>
        </w:rPr>
        <w:t>支付第三笔服务费，</w:t>
      </w:r>
      <w:r>
        <w:rPr>
          <w:rFonts w:hint="eastAsia" w:ascii="仿宋_GB2312" w:hAnsi="Times New Roman" w:eastAsia="仿宋_GB2312" w:cs="Times New Roman"/>
          <w:color w:val="FF0000"/>
          <w:sz w:val="28"/>
          <w:szCs w:val="28"/>
        </w:rPr>
        <w:t>即合同金额的25%，人民币</w:t>
      </w:r>
      <w:r>
        <w:rPr>
          <w:rFonts w:hint="default" w:ascii="仿宋_GB2312" w:hAnsi="Times New Roman" w:eastAsia="仿宋_GB2312" w:cs="Times New Roman"/>
          <w:color w:val="FF0000"/>
          <w:sz w:val="28"/>
          <w:szCs w:val="28"/>
          <w:u w:val="single"/>
          <w:lang w:val="en-US" w:eastAsia="zh-CN"/>
        </w:rPr>
        <w:t xml:space="preserve">    </w:t>
      </w:r>
      <w:r>
        <w:rPr>
          <w:rFonts w:hint="eastAsia" w:ascii="仿宋_GB2312" w:hAnsi="Times New Roman" w:eastAsia="仿宋_GB2312" w:cs="Times New Roman"/>
          <w:color w:val="FF0000"/>
          <w:sz w:val="28"/>
          <w:szCs w:val="28"/>
          <w:u w:val="single"/>
          <w:lang w:val="en-US" w:eastAsia="zh-CN"/>
        </w:rPr>
        <w:t xml:space="preserve">    </w:t>
      </w:r>
      <w:r>
        <w:rPr>
          <w:rFonts w:hint="eastAsia" w:ascii="仿宋_GB2312" w:hAnsi="Times New Roman" w:eastAsia="仿宋_GB2312" w:cs="Times New Roman"/>
          <w:color w:val="FF0000"/>
          <w:sz w:val="28"/>
          <w:szCs w:val="28"/>
        </w:rPr>
        <w:t>元（大写：</w:t>
      </w:r>
      <w:r>
        <w:rPr>
          <w:rFonts w:hint="eastAsia" w:ascii="仿宋_GB2312" w:hAnsi="Times New Roman" w:eastAsia="仿宋_GB2312" w:cs="Times New Roman"/>
          <w:color w:val="FF0000"/>
          <w:sz w:val="28"/>
          <w:szCs w:val="28"/>
          <w:u w:val="single"/>
        </w:rPr>
        <w:t xml:space="preserve">    </w:t>
      </w:r>
      <w:r>
        <w:rPr>
          <w:rFonts w:hint="eastAsia" w:ascii="仿宋_GB2312" w:hAnsi="Times New Roman" w:eastAsia="仿宋_GB2312" w:cs="Times New Roman"/>
          <w:color w:val="FF0000"/>
          <w:sz w:val="28"/>
          <w:szCs w:val="28"/>
          <w:u w:val="single"/>
          <w:lang w:val="en-US" w:eastAsia="zh-CN"/>
        </w:rPr>
        <w:t xml:space="preserve">    </w:t>
      </w:r>
      <w:r>
        <w:rPr>
          <w:rFonts w:hint="eastAsia" w:ascii="仿宋_GB2312" w:hAnsi="Times New Roman" w:eastAsia="仿宋_GB2312" w:cs="Times New Roman"/>
          <w:color w:val="FF0000"/>
          <w:sz w:val="28"/>
          <w:szCs w:val="28"/>
        </w:rPr>
        <w:t>）；2024年11月30日前</w:t>
      </w:r>
      <w:r>
        <w:rPr>
          <w:rFonts w:hint="eastAsia" w:ascii="仿宋_GB2312" w:hAnsi="Times New Roman" w:eastAsia="仿宋_GB2312" w:cs="Times New Roman"/>
          <w:color w:val="FF0000"/>
          <w:sz w:val="28"/>
          <w:szCs w:val="28"/>
          <w:lang w:eastAsia="zh-CN"/>
        </w:rPr>
        <w:t>向乙方</w:t>
      </w:r>
      <w:r>
        <w:rPr>
          <w:rFonts w:hint="eastAsia" w:ascii="仿宋_GB2312" w:hAnsi="Times New Roman" w:eastAsia="仿宋_GB2312" w:cs="Times New Roman"/>
          <w:color w:val="FF0000"/>
          <w:sz w:val="28"/>
          <w:szCs w:val="28"/>
        </w:rPr>
        <w:t>支付第四笔服务费，即合同金额的15%，人民币</w:t>
      </w:r>
      <w:r>
        <w:rPr>
          <w:rFonts w:hint="eastAsia" w:ascii="仿宋_GB2312" w:hAnsi="Times New Roman" w:eastAsia="仿宋_GB2312" w:cs="Times New Roman"/>
          <w:color w:val="FF0000"/>
          <w:sz w:val="28"/>
          <w:szCs w:val="28"/>
          <w:u w:val="single"/>
        </w:rPr>
        <w:t xml:space="preserve">       </w:t>
      </w:r>
      <w:r>
        <w:rPr>
          <w:rFonts w:hint="eastAsia" w:ascii="仿宋_GB2312" w:hAnsi="Times New Roman" w:eastAsia="仿宋_GB2312" w:cs="Times New Roman"/>
          <w:color w:val="FF0000"/>
          <w:sz w:val="28"/>
          <w:szCs w:val="28"/>
          <w:u w:val="single"/>
          <w:lang w:val="en-US" w:eastAsia="zh-CN"/>
        </w:rPr>
        <w:t xml:space="preserve"> </w:t>
      </w:r>
      <w:r>
        <w:rPr>
          <w:rFonts w:hint="eastAsia" w:ascii="仿宋_GB2312" w:hAnsi="Times New Roman" w:eastAsia="仿宋_GB2312" w:cs="Times New Roman"/>
          <w:color w:val="FF0000"/>
          <w:sz w:val="28"/>
          <w:szCs w:val="28"/>
        </w:rPr>
        <w:t>元（大写：</w:t>
      </w:r>
      <w:r>
        <w:rPr>
          <w:rFonts w:hint="eastAsia" w:ascii="仿宋_GB2312" w:hAnsi="Times New Roman" w:eastAsia="仿宋_GB2312" w:cs="Times New Roman"/>
          <w:color w:val="FF0000"/>
          <w:sz w:val="28"/>
          <w:szCs w:val="28"/>
          <w:u w:val="single"/>
        </w:rPr>
        <w:t xml:space="preserve">        </w:t>
      </w:r>
      <w:r>
        <w:rPr>
          <w:rFonts w:hint="eastAsia" w:ascii="仿宋_GB2312" w:hAnsi="Times New Roman" w:eastAsia="仿宋_GB2312" w:cs="Times New Roman"/>
          <w:color w:val="FF0000"/>
          <w:sz w:val="28"/>
          <w:szCs w:val="28"/>
        </w:rPr>
        <w:t>）。</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5.5 支付条件 季度考核结果为合格。</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5.6 甲方每次付款前，乙方应提供等额正规发票，否则甲方有权暂不付款且不构成违约。</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5.7 履约保证金</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5.7.1 收取：自本合同签订之日起3日内，乙方应向甲方一次性缴纳履约保证金（合同金额的10%）作为约定的服务期限、内容和标准履行本合同的担保。</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5.7.2 返还：园博园再生水利用项目考评项目按照合同附件相关内容执行。合同期结束后的60个工作日依据甲方合同期考评结果，确认是否一次性无息返还或扣除乙方全部（或部分）履约保证金。</w:t>
      </w:r>
    </w:p>
    <w:p>
      <w:pPr>
        <w:adjustRightInd/>
        <w:snapToGrid/>
        <w:spacing w:line="560" w:lineRule="exact"/>
        <w:ind w:firstLine="560" w:firstLineChars="200"/>
        <w:contextualSpacing w:val="0"/>
        <w:rPr>
          <w:rFonts w:hint="eastAsia" w:ascii="仿宋_GB2312" w:hAnsi="Times New Roman" w:eastAsia="仿宋_GB2312" w:cs="Times New Roman"/>
          <w:color w:val="FF0000"/>
          <w:sz w:val="28"/>
          <w:szCs w:val="28"/>
          <w:lang w:val="en-US" w:eastAsia="zh-CN"/>
        </w:rPr>
      </w:pPr>
      <w:r>
        <w:rPr>
          <w:rFonts w:hint="eastAsia" w:ascii="仿宋_GB2312" w:hAnsi="Times New Roman" w:eastAsia="仿宋_GB2312" w:cs="Times New Roman"/>
          <w:color w:val="FF0000"/>
          <w:sz w:val="28"/>
          <w:szCs w:val="28"/>
          <w:lang w:val="en-US" w:eastAsia="zh-CN"/>
        </w:rPr>
        <w:t>5.8本项目财政批复的服务期限为2024年1月1日至2024年12月31日，投标人须按照服务期一年进行报价。中标人实际服务期限为合同签订之日起至2024年12月31日。鉴于实际情况，为保证北京园博园的正常运转和再生水利用项目服务的连续性，自2024年1月1日至本招标项目确定2024年的服务供应商并完成正式交接前，暂时继续由2023年园博园再生水利用项目的服务供应商提供相应服务。2024年本项目的中标服务供应商如果非原服务供应商，则应当在正式接管北京园博园再生水利用服务工作后，根据本项目2024年中标金额,按实际服务天数进行结算。2024年未提供的服务时长，按2024年度中标标准，中标单位正式接管2024年本项目15个工作日内支付到上一年度中标单位账户。</w:t>
      </w:r>
    </w:p>
    <w:p>
      <w:pPr>
        <w:widowControl w:val="0"/>
        <w:autoSpaceDE w:val="0"/>
        <w:autoSpaceDN w:val="0"/>
        <w:adjustRightInd w:val="0"/>
        <w:ind w:firstLine="420"/>
        <w:jc w:val="left"/>
        <w:rPr>
          <w:rFonts w:ascii="宋体" w:hAnsi="Times New Roman" w:eastAsia="宋体" w:cs="Times New Roman"/>
          <w:kern w:val="2"/>
          <w:sz w:val="24"/>
          <w:szCs w:val="24"/>
          <w:lang w:val="en-US" w:eastAsia="zh-CN" w:bidi="ar-SA"/>
        </w:rPr>
      </w:pPr>
    </w:p>
    <w:p>
      <w:pPr>
        <w:adjustRightInd/>
        <w:snapToGrid/>
        <w:spacing w:line="560" w:lineRule="exact"/>
        <w:ind w:firstLine="562" w:firstLineChars="200"/>
        <w:rPr>
          <w:rFonts w:ascii="仿宋_GB2312" w:hAnsi="Times New Roman" w:eastAsia="仿宋_GB2312" w:cs="Times New Roman"/>
          <w:b/>
          <w:bCs/>
          <w:sz w:val="28"/>
          <w:szCs w:val="28"/>
        </w:rPr>
      </w:pPr>
      <w:r>
        <w:rPr>
          <w:rFonts w:hint="eastAsia" w:ascii="仿宋_GB2312" w:hAnsi="Times New Roman" w:eastAsia="仿宋_GB2312" w:cs="Times New Roman"/>
          <w:b/>
          <w:bCs/>
          <w:sz w:val="28"/>
          <w:szCs w:val="28"/>
        </w:rPr>
        <w:t>6.服务考核与验收</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6.1考核的组织：由甲方负责对本合同约定的工作内容进行考核、验收。</w:t>
      </w:r>
    </w:p>
    <w:p>
      <w:pPr>
        <w:adjustRightInd/>
        <w:snapToGrid/>
        <w:spacing w:line="560" w:lineRule="exact"/>
        <w:ind w:firstLine="560" w:firstLineChars="200"/>
        <w:rPr>
          <w:rFonts w:ascii="仿宋_GB2312" w:hAnsi="Times New Roman" w:eastAsia="仿宋_GB2312" w:cs="Times New Roman"/>
          <w:color w:val="000000"/>
          <w:sz w:val="28"/>
          <w:szCs w:val="28"/>
        </w:rPr>
      </w:pPr>
      <w:r>
        <w:rPr>
          <w:rFonts w:hint="eastAsia" w:ascii="仿宋_GB2312" w:hAnsi="Times New Roman" w:eastAsia="仿宋_GB2312" w:cs="Times New Roman"/>
          <w:color w:val="000000"/>
          <w:sz w:val="28"/>
          <w:szCs w:val="28"/>
        </w:rPr>
        <w:t>6.2考核的次数：全年12次。</w:t>
      </w:r>
    </w:p>
    <w:p>
      <w:pPr>
        <w:adjustRightInd/>
        <w:snapToGrid/>
        <w:spacing w:line="560" w:lineRule="exact"/>
        <w:ind w:firstLine="560" w:firstLineChars="200"/>
        <w:rPr>
          <w:rFonts w:ascii="仿宋_GB2312" w:hAnsi="Times New Roman" w:eastAsia="仿宋_GB2312" w:cs="Times New Roman"/>
          <w:color w:val="000000"/>
          <w:sz w:val="28"/>
          <w:szCs w:val="28"/>
        </w:rPr>
      </w:pPr>
      <w:r>
        <w:rPr>
          <w:rFonts w:hint="eastAsia" w:ascii="仿宋_GB2312" w:hAnsi="Times New Roman" w:eastAsia="仿宋_GB2312" w:cs="Times New Roman"/>
          <w:color w:val="000000"/>
          <w:sz w:val="28"/>
          <w:szCs w:val="28"/>
        </w:rPr>
        <w:t>6.3考核验收的实施与评定：</w:t>
      </w:r>
    </w:p>
    <w:p>
      <w:pPr>
        <w:adjustRightInd/>
        <w:snapToGrid/>
        <w:spacing w:line="560" w:lineRule="exact"/>
        <w:ind w:firstLine="560" w:firstLineChars="200"/>
        <w:rPr>
          <w:rFonts w:ascii="仿宋_GB2312" w:hAnsi="Times New Roman" w:eastAsia="仿宋_GB2312" w:cs="Times New Roman"/>
          <w:color w:val="000000"/>
          <w:sz w:val="28"/>
          <w:szCs w:val="28"/>
        </w:rPr>
      </w:pPr>
      <w:r>
        <w:rPr>
          <w:rFonts w:hint="eastAsia" w:ascii="仿宋_GB2312" w:hAnsi="Times New Roman" w:eastAsia="仿宋_GB2312" w:cs="Times New Roman"/>
          <w:color w:val="000000"/>
          <w:sz w:val="28"/>
          <w:szCs w:val="28"/>
        </w:rPr>
        <w:t>按照合同和附件对合同服务内容进行考核与验收，根据验收组人员打分总和的平均分值确定考核等级，85分（含）以上为合格，85分以下为不合格。</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color w:val="000000"/>
          <w:sz w:val="28"/>
          <w:szCs w:val="28"/>
        </w:rPr>
        <w:t>6.4乙方提供的服务不达标，第一次考核不合格，甲方有权要求乙方限期整改；第二次考核不合格，甲方有权从本合同履约保证金中扣除50万元作为违约金；第三次考核不合格，</w:t>
      </w:r>
      <w:r>
        <w:rPr>
          <w:rFonts w:hint="eastAsia" w:ascii="仿宋_GB2312" w:hAnsi="Times New Roman" w:eastAsia="仿宋_GB2312" w:cs="Times New Roman"/>
          <w:sz w:val="28"/>
          <w:szCs w:val="28"/>
        </w:rPr>
        <w:t>甲方有权终止本合同，并不予支付剩余的合同款，且不退回剩余的履约保证金。</w:t>
      </w:r>
    </w:p>
    <w:p>
      <w:pPr>
        <w:widowControl w:val="0"/>
        <w:autoSpaceDE w:val="0"/>
        <w:autoSpaceDN w:val="0"/>
        <w:adjustRightInd w:val="0"/>
        <w:ind w:firstLine="420"/>
        <w:jc w:val="left"/>
        <w:rPr>
          <w:rFonts w:ascii="宋体" w:hAnsi="Times New Roman" w:eastAsia="宋体" w:cs="Times New Roman"/>
          <w:kern w:val="2"/>
          <w:sz w:val="24"/>
          <w:szCs w:val="24"/>
          <w:lang w:val="en-US" w:eastAsia="zh-CN" w:bidi="ar-SA"/>
        </w:rPr>
      </w:pPr>
    </w:p>
    <w:p>
      <w:pPr>
        <w:adjustRightInd/>
        <w:snapToGrid/>
        <w:spacing w:line="560" w:lineRule="exact"/>
        <w:ind w:firstLine="562" w:firstLineChars="200"/>
        <w:rPr>
          <w:rFonts w:ascii="仿宋_GB2312" w:hAnsi="Times New Roman" w:eastAsia="仿宋_GB2312" w:cs="Times New Roman"/>
          <w:b/>
          <w:bCs/>
          <w:sz w:val="28"/>
          <w:szCs w:val="28"/>
        </w:rPr>
      </w:pPr>
      <w:r>
        <w:rPr>
          <w:rFonts w:hint="eastAsia" w:ascii="仿宋_GB2312" w:hAnsi="Times New Roman" w:eastAsia="仿宋_GB2312" w:cs="Times New Roman"/>
          <w:b/>
          <w:bCs/>
          <w:sz w:val="28"/>
          <w:szCs w:val="28"/>
        </w:rPr>
        <w:t>7.甲方的权利与义务</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7.1 甲方拥有本合同项下设备、设施之所有权。由本项目所产生之任何孳息、收益、收费均属甲方所有并归其支配。甲方拥有乙方为履行本合同而在甲方支付再生水利用项目费用中列支而购置的财物之所有权，并享有该财物孳息、收益、收费的权利。</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7.2 甲方设立北京园博园管理中心外包服务团队考评小组，对乙方的提供的管理服务进行监督、考核、奖罚。甲方再生水利用项目主管部门负责协调乙方与甲方各部门及外部各相关第三方的关系。</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7.3 甲方有权制定并根据再生水利用项目的需要调整该项目的方针、目标、标准和内容。</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7.4 甲方有权审核乙方的再生水利用项目制度汇编，工作计划、预算，各项再生水利用项目方案，维护、检修、检测计划，提出修改意见并有权予以批准或不批准。</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7.5 甲方有权要求乙方撤换甲方认为不称职的包括项目经理在内的乙方委派人员，乙方应予执行。</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7.6 在本合同项下举办重大活动或重要接待任务或政府指令其它重要事项时，甲方有权临时变更乙方管理服务的范围和内容，乙方应予服从。</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7</w:t>
      </w:r>
      <w:r>
        <w:rPr>
          <w:rFonts w:ascii="仿宋_GB2312" w:hAnsi="Times New Roman" w:eastAsia="仿宋_GB2312" w:cs="Times New Roman"/>
          <w:sz w:val="28"/>
          <w:szCs w:val="28"/>
        </w:rPr>
        <w:t xml:space="preserve">.7 </w:t>
      </w:r>
      <w:r>
        <w:rPr>
          <w:rFonts w:hint="eastAsia" w:ascii="仿宋_GB2312" w:hAnsi="Times New Roman" w:eastAsia="仿宋_GB2312" w:cs="Times New Roman"/>
          <w:sz w:val="28"/>
          <w:szCs w:val="28"/>
        </w:rPr>
        <w:t>甲方负责组织完善归集己方及乙方配合所取得的再生水利用项目所需的相关资料，并以备份形式在合同生效之日起向乙方提供，相关资料包括：</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7.7.1 市政、房建、园林、设备工程竣工图等竣工验收资料；</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7.7.2 开展再生水利用项目所必需的其它资料。</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7.8 甲方有义务按合同约定向乙方支付再生水利用项目费。</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7.9 甲方对乙方工作的支持与配合</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7.9.1 督促乙方按照合同规定的维保期和维保范围承担设备设施维保责任。</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7.9.2 协调处理建设施工安装单位与本项目有关的遗留问题。</w:t>
      </w:r>
    </w:p>
    <w:p>
      <w:pPr>
        <w:widowControl w:val="0"/>
        <w:autoSpaceDE w:val="0"/>
        <w:autoSpaceDN w:val="0"/>
        <w:adjustRightInd w:val="0"/>
        <w:ind w:firstLine="420"/>
        <w:jc w:val="left"/>
        <w:rPr>
          <w:rFonts w:ascii="宋体" w:hAnsi="Times New Roman" w:eastAsia="宋体" w:cs="Times New Roman"/>
          <w:kern w:val="2"/>
          <w:sz w:val="24"/>
          <w:szCs w:val="24"/>
          <w:lang w:val="en-US" w:eastAsia="zh-CN" w:bidi="ar-SA"/>
        </w:rPr>
      </w:pPr>
    </w:p>
    <w:p>
      <w:pPr>
        <w:adjustRightInd/>
        <w:snapToGrid/>
        <w:spacing w:line="560" w:lineRule="exact"/>
        <w:ind w:firstLine="562" w:firstLineChars="200"/>
        <w:rPr>
          <w:rFonts w:ascii="仿宋_GB2312" w:hAnsi="Times New Roman" w:eastAsia="仿宋_GB2312" w:cs="Times New Roman"/>
          <w:b/>
          <w:bCs/>
          <w:sz w:val="28"/>
          <w:szCs w:val="28"/>
        </w:rPr>
      </w:pPr>
      <w:r>
        <w:rPr>
          <w:rFonts w:hint="eastAsia" w:ascii="仿宋_GB2312" w:hAnsi="Times New Roman" w:eastAsia="仿宋_GB2312" w:cs="Times New Roman"/>
          <w:b/>
          <w:bCs/>
          <w:sz w:val="28"/>
          <w:szCs w:val="28"/>
        </w:rPr>
        <w:t>8.乙方的权利与义务</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8.1 乙方应根据法律、法规及本合同约定，以再生水利用项目行业公认的最高管理水准，勤勉、尽职地从事本合同项下之再生水利用项目工作。</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8.2 乙方应遵守甲方现有及/或以后随时制定的各项与履行本合同相关之规定及/或规章制度、规范，并在本合同项下甲方授权权限制约下从事本合同约定的管理服务工作。</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8.3 乙方应服从甲方就本合同项下再生水利用项目之各项管理要求，建立并健全有效的管理体系，乙方应在正式服务开始前完成再生水利用项目制度汇编，并在正式服务后，根据管理服务的实际需要予以完善。</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8.4 乙方应自觉接受甲方对其履行本合同项下义务行为的监督、指导、管理，并依甲方要求随时纠正或改进其工作。</w:t>
      </w:r>
    </w:p>
    <w:p>
      <w:pPr>
        <w:adjustRightInd/>
        <w:snapToGrid/>
        <w:spacing w:line="560" w:lineRule="exact"/>
        <w:ind w:firstLine="560" w:firstLineChars="200"/>
        <w:rPr>
          <w:rFonts w:ascii="仿宋_GB2312" w:hAnsi="Times New Roman" w:eastAsia="仿宋_GB2312" w:cs="Times New Roman"/>
          <w:sz w:val="28"/>
          <w:szCs w:val="28"/>
          <w:highlight w:val="yellow"/>
        </w:rPr>
      </w:pPr>
      <w:r>
        <w:rPr>
          <w:rFonts w:hint="eastAsia" w:ascii="仿宋_GB2312" w:hAnsi="Times New Roman" w:eastAsia="仿宋_GB2312" w:cs="Times New Roman"/>
          <w:sz w:val="28"/>
          <w:szCs w:val="28"/>
        </w:rPr>
        <w:t>8</w:t>
      </w:r>
      <w:r>
        <w:rPr>
          <w:rFonts w:ascii="仿宋_GB2312" w:hAnsi="Times New Roman" w:eastAsia="仿宋_GB2312" w:cs="Times New Roman"/>
          <w:sz w:val="28"/>
          <w:szCs w:val="28"/>
        </w:rPr>
        <w:t xml:space="preserve">.5 </w:t>
      </w:r>
      <w:r>
        <w:rPr>
          <w:rFonts w:hint="eastAsia" w:ascii="仿宋_GB2312" w:hAnsi="Times New Roman" w:eastAsia="仿宋_GB2312" w:cs="Times New Roman"/>
          <w:sz w:val="28"/>
          <w:szCs w:val="28"/>
        </w:rPr>
        <w:t>乙方应在再生水利用项目所在现场设立项目部，由该机构具体实施本合同项下的管理服务工作。该机构负责人、领班以上管理层及技术骨干，应为具备相应从业资格及具有相关工作经验的专职（专业）人员。上述人员、人选应由乙方征求甲方书面同意后予以委任，乙方若需撤换、借调该等人员，必须提前30日告知甲方，并保证本项目的管理服务工作不因此受影响。</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8.6 乙方应委派一名项目经理，代表乙方统一行使本合同项下乙方权利，并在合同履行过程中负责与甲方协调。乙方应授予该项目经理相应的权力，并向甲方出具授权委托书。</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8.7 乙方人员按相关要求持证上岗，乙方负责再生水利用项目员工的招收、培训、教育、使用考核工作。</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8.8 乙方保证上岗员工身体健康、精神饱满、文明礼貌、工作达标。对不符合要求的员工应自行调整或在甲方要求撤换的情况下48小时内撤换。</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8.9 乙方应以乙方名义自行聘用其为履行本合同义务所需各类人员，并依法办理用工手续和实施劳动管理（包括但不限于签订劳动合同，办理社会保险、住房公积金、提供劳动保护、按期足额发放工资等）。乙方应自行承担聘用上述人员所涉的法律责任，并与甲方无涉。乙方应对其所聘人员从事本合同项下管理服务行为负责，并承担责任。</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8.10 乙方为本再生水利用项目设置的岗位人数不少于10人（含）。如工作中该人数不能满足实际需要时，乙方应调整上岗人数。乙方应建立有效的人力资源管理制度，合理调度、安排员工上岗，保证员工队伍的稳定性，各岗位不得使用年龄在18周岁以下的人员和60周岁以上的人员。在甲方对管理服务有临时安排和/或有特殊要求时，乙方应积极响应，满足甲方的需要。乙方员工月流失率不得超过5%，主管级以上管理人员全年流失不得超过管理人员编制的15%。超出部分将按乙方所提交预算标准执行扣除相应岗位人员费用。乙方应按约定提供甲方人员保障，确保人员在岗率达到100%，如缺岗人员超过45天仍未到岗，甲方将按乙方所提交预算标准执行扣除相应岗位人员费用。</w:t>
      </w:r>
    </w:p>
    <w:p>
      <w:pPr>
        <w:adjustRightInd/>
        <w:snapToGrid/>
        <w:spacing w:line="560" w:lineRule="exact"/>
        <w:ind w:firstLine="560" w:firstLineChars="200"/>
        <w:rPr>
          <w:rFonts w:ascii="仿宋_GB2312" w:hAnsi="Times New Roman" w:eastAsia="仿宋_GB2312" w:cs="Times New Roman"/>
          <w:sz w:val="28"/>
          <w:szCs w:val="28"/>
          <w:highlight w:val="yellow"/>
        </w:rPr>
      </w:pPr>
      <w:r>
        <w:rPr>
          <w:rFonts w:hint="eastAsia" w:ascii="仿宋_GB2312" w:hAnsi="Times New Roman" w:eastAsia="仿宋_GB2312" w:cs="Times New Roman"/>
          <w:sz w:val="28"/>
          <w:szCs w:val="28"/>
        </w:rPr>
        <w:t>8</w:t>
      </w:r>
      <w:r>
        <w:rPr>
          <w:rFonts w:ascii="仿宋_GB2312" w:hAnsi="Times New Roman" w:eastAsia="仿宋_GB2312" w:cs="Times New Roman"/>
          <w:sz w:val="28"/>
          <w:szCs w:val="28"/>
        </w:rPr>
        <w:t xml:space="preserve">.11 </w:t>
      </w:r>
      <w:r>
        <w:rPr>
          <w:rFonts w:hint="eastAsia" w:ascii="仿宋_GB2312" w:hAnsi="Times New Roman" w:eastAsia="仿宋_GB2312" w:cs="Times New Roman"/>
          <w:sz w:val="28"/>
          <w:szCs w:val="28"/>
        </w:rPr>
        <w:t>乙方所有上岗员工须统一着装（服装的样式和面料须经甲方认可并符合劳动保护的要求）和佩带工牌（样式经甲方认可后由乙方制作）。</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8.12 乙方对甲方依据本合同委托其管理及/或供其使用的财物（包括但不限于建筑物、场地、设备、设施、钥匙、用具、资金、档案资料等）负有保管、维修、养护及合理使用的义务，乙方不得以任何形式予以擅自处分（置）或变更用途或人为损坏。乙方于本合同再生水利用项目范围内的任何搭建、占用、张贴均需经甲方事先同意方可实施。</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8.13 经甲方事先书面同意，乙方可选聘合格的专业供方承担本合同项下设的专项服务工作，但不得将本项目的管理责任转让给第三方。</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8.14 乙方应针对本再生水利用项目对公众开放之特定用途，采取切实可行的措施，建立并健全可靠的安全防范体系，制订各类应急预案，杜绝安全隐患，以保障公众人身及其财产的安全。</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8.15 乙方在履行本合同过程中，应善意树立并维护甲方在公众中的良好形象及服务品牌。乙方对任何有损甲方形象及/或品牌的行为有责任予以制止。乙方保证员工有任何有损甲方形象及/或品牌的行为，一经发现，除名处理，同时乙方应承担消除影响、赔偿损失的法律责任。</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8.16 乙方应就所管理再生水利用项目受到之损害，应由第三方承担责任的，乙方受甲方委托，负责向第三方索赔。</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8.17 乙方应自行承担因其履行本合同的过错行为所引致的法律责任。</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8.18 乙方承诺，不因再生水利用项目用房、设备、工具、办公用品用具、员工的住宿、用餐、交通等问题，而影响包括前期准备服务在内的再生水利用项目的内容和质量。</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8.19 乙方承诺，当再生水利用项目所需的资源保障暂时存在缺陷或不足时，将采取积极主动的措施予以弥补，努力使之不影响服务质量或使该影响降低至最低限度。</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8.20 乙方除应按合同约定向甲方提交工作计划外，在实施各项维护、检修、检测计划前还应向甲方提交方案。方案和计划的内容应包括工作项目、工作内容、工作标准、工作安排、工作进度、人员数量等。方案和计划经甲方批准后，乙方应严格遵照执行，执行中的任何变更都须由甲方书面同意。乙方应及时根据工作需要调整自己的工作方案和计划。发现问题及时报告甲方，并提出对策，解决问题。</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8.21 计划以外的管理服务任务，甲方以书面形式向乙方下达，乙方应严格遵照执行并纳入考核。</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8.22 乙方应向甲方提交每周工作总结、月度工作总结、半年度工作总结、服务期内工作总结或年度工作总结等文件，作为甲方对乙方进行考核的参考。</w:t>
      </w:r>
    </w:p>
    <w:p>
      <w:pPr>
        <w:adjustRightInd/>
        <w:snapToGrid/>
        <w:spacing w:line="560" w:lineRule="exact"/>
        <w:ind w:firstLine="560" w:firstLineChars="200"/>
        <w:rPr>
          <w:rFonts w:ascii="仿宋_GB2312" w:hAnsi="Times New Roman" w:eastAsia="仿宋_GB2312" w:cs="Times New Roman"/>
          <w:sz w:val="28"/>
          <w:szCs w:val="28"/>
        </w:rPr>
      </w:pP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8.23 乙方有义务向甲方和其他使用人告知设备设施使用、特种作业、临电等的有关规定并负责监督。对甲方人员和其他使用人违反本项目相关规定的行为，有权进行规劝、警告、制止；如发现甲方人员和其他使用人有重大违规行为而又无法制止时，应及时向甲方报告，并协助采取相应措施制止或追究。对不听劝告造成严重后果的情况（包括但不限于火灾事故、治安事件、交通事故等）应提交政府主管部门或司法机关处理。</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8.24 乙方有义务收集、分析本项目能源（水、电）消耗的数据资料，随时向甲方提出节能建议，采取节能措施，并在供暖季、供冷季结束时分别提出完整的能源使用分析报告。在服务开始前，向甲方提交年度能源计划和预算。</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8.25 有权依本合同向甲方收取再生水利用项目费，有权对甲方要求的特约服务经协商达成一致意见后收取合理费用。</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8.26 本合同终止时，乙方必须向甲方移交再生水利用项目的全部档案资料。</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8.27 乙方应按本合同10、1</w:t>
      </w:r>
      <w:r>
        <w:rPr>
          <w:rFonts w:ascii="仿宋_GB2312" w:hAnsi="Times New Roman" w:eastAsia="仿宋_GB2312" w:cs="Times New Roman"/>
          <w:sz w:val="28"/>
          <w:szCs w:val="28"/>
        </w:rPr>
        <w:t>3</w:t>
      </w:r>
      <w:r>
        <w:rPr>
          <w:rFonts w:hint="eastAsia" w:ascii="仿宋_GB2312" w:hAnsi="Times New Roman" w:eastAsia="仿宋_GB2312" w:cs="Times New Roman"/>
          <w:sz w:val="28"/>
          <w:szCs w:val="28"/>
        </w:rPr>
        <w:t>和其他条款中的约定全面履行义务。</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8.28 乙方作为受委托方依法及/或依良好的行业惯例享有和承担的其它权利义务。</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8.</w:t>
      </w:r>
      <w:r>
        <w:rPr>
          <w:rFonts w:ascii="仿宋_GB2312" w:hAnsi="Times New Roman" w:eastAsia="仿宋_GB2312" w:cs="Times New Roman"/>
          <w:sz w:val="28"/>
          <w:szCs w:val="28"/>
        </w:rPr>
        <w:t>29</w:t>
      </w:r>
      <w:r>
        <w:rPr>
          <w:rFonts w:hint="eastAsia" w:ascii="仿宋_GB2312" w:hAnsi="Times New Roman" w:eastAsia="仿宋_GB2312" w:cs="Times New Roman"/>
          <w:sz w:val="28"/>
          <w:szCs w:val="28"/>
        </w:rPr>
        <w:t xml:space="preserve"> 各级行政主管部门或检测机构在检查中提出的问题，乙方必须及时整改，并承担由于乙方原因造成损失的相应责任和处罚。</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8.3</w:t>
      </w:r>
      <w:r>
        <w:rPr>
          <w:rFonts w:ascii="仿宋_GB2312" w:hAnsi="Times New Roman" w:eastAsia="仿宋_GB2312" w:cs="Times New Roman"/>
          <w:sz w:val="28"/>
          <w:szCs w:val="28"/>
        </w:rPr>
        <w:t>0</w:t>
      </w:r>
      <w:r>
        <w:rPr>
          <w:rFonts w:hint="eastAsia" w:ascii="仿宋_GB2312" w:hAnsi="Times New Roman" w:eastAsia="仿宋_GB2312" w:cs="Times New Roman"/>
          <w:sz w:val="28"/>
          <w:szCs w:val="28"/>
        </w:rPr>
        <w:t xml:space="preserve"> 基础设备设施维保基本要求</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8.3</w:t>
      </w:r>
      <w:r>
        <w:rPr>
          <w:rFonts w:ascii="仿宋_GB2312" w:hAnsi="Times New Roman" w:eastAsia="仿宋_GB2312" w:cs="Times New Roman"/>
          <w:sz w:val="28"/>
          <w:szCs w:val="28"/>
        </w:rPr>
        <w:t>0</w:t>
      </w:r>
      <w:r>
        <w:rPr>
          <w:rFonts w:hint="eastAsia" w:ascii="仿宋_GB2312" w:hAnsi="Times New Roman" w:eastAsia="仿宋_GB2312" w:cs="Times New Roman"/>
          <w:sz w:val="28"/>
          <w:szCs w:val="28"/>
        </w:rPr>
        <w:t>.1 乙方做出维保期维护保养方案，由甲方审核。维保期内及时、高效地对设备设施进行维护保养工作，维护保养过程中应做好维护保养记录，甲乙双方各存档一份。</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8.3</w:t>
      </w:r>
      <w:r>
        <w:rPr>
          <w:rFonts w:ascii="仿宋_GB2312" w:hAnsi="Times New Roman" w:eastAsia="仿宋_GB2312" w:cs="Times New Roman"/>
          <w:sz w:val="28"/>
          <w:szCs w:val="28"/>
        </w:rPr>
        <w:t>0</w:t>
      </w:r>
      <w:r>
        <w:rPr>
          <w:rFonts w:hint="eastAsia" w:ascii="仿宋_GB2312" w:hAnsi="Times New Roman" w:eastAsia="仿宋_GB2312" w:cs="Times New Roman"/>
          <w:sz w:val="28"/>
          <w:szCs w:val="28"/>
        </w:rPr>
        <w:t>.2 属于维保范围的项目，乙方自接到甲方的报修通知起2小时内派人到达现场。乙方须在当天完成维修工作。如果当天不能完成的维修工作，乙方须当天提出解决方案和完成此项工作的最短时间，完成时间一般情况下，最长不超过3天。如维保项目另有约定，按约定执行。</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8.3</w:t>
      </w:r>
      <w:r>
        <w:rPr>
          <w:rFonts w:ascii="仿宋_GB2312" w:hAnsi="Times New Roman" w:eastAsia="仿宋_GB2312" w:cs="Times New Roman"/>
          <w:sz w:val="28"/>
          <w:szCs w:val="28"/>
        </w:rPr>
        <w:t>0</w:t>
      </w:r>
      <w:r>
        <w:rPr>
          <w:rFonts w:hint="eastAsia" w:ascii="仿宋_GB2312" w:hAnsi="Times New Roman" w:eastAsia="仿宋_GB2312" w:cs="Times New Roman"/>
          <w:sz w:val="28"/>
          <w:szCs w:val="28"/>
        </w:rPr>
        <w:t>.3 甲方负责监督管理本项目工作的质量。乙方须遵守甲方的监督管理。乙方在每次进行服务工作时，甲方可随时进行抽查。乙方应根据设备运行情况情况，及时调整设备相关技术指标及维保频次。遇有重大活动时，乙方应提供维保等人员现场保障。当设备出现重大故障时，乙方除应在规定时间内到达现场进行处理解决，事后还应提供详细的故障原因分析报告及避免措施，以便杜绝或减少类似事件的发生。</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若乙方未在本合同约定的时间内到场维修或维修质量不合格或维修后仍无法正常使用，甲方可随时自行或委托第三方进行维修而无需承担违约责任，并有权直接从乙方的维保费中扣除维修设备的直接费用。</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8.3</w:t>
      </w:r>
      <w:r>
        <w:rPr>
          <w:rFonts w:ascii="仿宋_GB2312" w:hAnsi="Times New Roman" w:eastAsia="仿宋_GB2312" w:cs="Times New Roman"/>
          <w:sz w:val="28"/>
          <w:szCs w:val="28"/>
        </w:rPr>
        <w:t>0</w:t>
      </w:r>
      <w:r>
        <w:rPr>
          <w:rFonts w:hint="eastAsia" w:ascii="仿宋_GB2312" w:hAnsi="Times New Roman" w:eastAsia="仿宋_GB2312" w:cs="Times New Roman"/>
          <w:sz w:val="28"/>
          <w:szCs w:val="28"/>
        </w:rPr>
        <w:t>.4 乙方在每次维保工作完成后应及时通知甲方，甲方负责检查乙方维保工作完成质量和完成时间。若甲方认为乙方维保的设备设施仍存在问题，由乙方继续进行维保，直至甲方认定维保工作全面完成为止。</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8.3</w:t>
      </w:r>
      <w:r>
        <w:rPr>
          <w:rFonts w:ascii="仿宋_GB2312" w:hAnsi="Times New Roman" w:eastAsia="仿宋_GB2312" w:cs="Times New Roman"/>
          <w:sz w:val="28"/>
          <w:szCs w:val="28"/>
        </w:rPr>
        <w:t>0</w:t>
      </w:r>
      <w:r>
        <w:rPr>
          <w:rFonts w:hint="eastAsia" w:ascii="仿宋_GB2312" w:hAnsi="Times New Roman" w:eastAsia="仿宋_GB2312" w:cs="Times New Roman"/>
          <w:sz w:val="28"/>
          <w:szCs w:val="28"/>
        </w:rPr>
        <w:t>.5 乙方的特种作业人员须持有有效期内的特种作业操作证。</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8.3</w:t>
      </w:r>
      <w:r>
        <w:rPr>
          <w:rFonts w:ascii="仿宋_GB2312" w:hAnsi="Times New Roman" w:eastAsia="仿宋_GB2312" w:cs="Times New Roman"/>
          <w:sz w:val="28"/>
          <w:szCs w:val="28"/>
        </w:rPr>
        <w:t>0</w:t>
      </w:r>
      <w:r>
        <w:rPr>
          <w:rFonts w:hint="eastAsia" w:ascii="仿宋_GB2312" w:hAnsi="Times New Roman" w:eastAsia="仿宋_GB2312" w:cs="Times New Roman"/>
          <w:sz w:val="28"/>
          <w:szCs w:val="28"/>
        </w:rPr>
        <w:t>.6 乙方维保作业时要严格执行甲方对现场的管理规定，对维保人员要进行安全和维保操作技术交底，并负责自身维保作业人员安全。非甲方原因造成乙方的意外伤害和损失均由乙方承担全部责任。</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8.3</w:t>
      </w:r>
      <w:r>
        <w:rPr>
          <w:rFonts w:ascii="仿宋_GB2312" w:hAnsi="Times New Roman" w:eastAsia="仿宋_GB2312" w:cs="Times New Roman"/>
          <w:sz w:val="28"/>
          <w:szCs w:val="28"/>
        </w:rPr>
        <w:t>0</w:t>
      </w:r>
      <w:r>
        <w:rPr>
          <w:rFonts w:hint="eastAsia" w:ascii="仿宋_GB2312" w:hAnsi="Times New Roman" w:eastAsia="仿宋_GB2312" w:cs="Times New Roman"/>
          <w:sz w:val="28"/>
          <w:szCs w:val="28"/>
        </w:rPr>
        <w:t>.7 若在维保过程中需要更换设备设施零部件，乙方须提供设备设施厂家认可的零部件，且符合国家标准。</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8.3</w:t>
      </w:r>
      <w:r>
        <w:rPr>
          <w:rFonts w:ascii="仿宋_GB2312" w:hAnsi="Times New Roman" w:eastAsia="仿宋_GB2312" w:cs="Times New Roman"/>
          <w:sz w:val="28"/>
          <w:szCs w:val="28"/>
        </w:rPr>
        <w:t>0</w:t>
      </w:r>
      <w:r>
        <w:rPr>
          <w:rFonts w:hint="eastAsia" w:ascii="仿宋_GB2312" w:hAnsi="Times New Roman" w:eastAsia="仿宋_GB2312" w:cs="Times New Roman"/>
          <w:sz w:val="28"/>
          <w:szCs w:val="28"/>
        </w:rPr>
        <w:t>.8 由于乙方原因给甲方造成任何经济损失时，甲方有权要求乙方赔偿甲方的直接经济损失。</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8.3</w:t>
      </w:r>
      <w:r>
        <w:rPr>
          <w:rFonts w:ascii="仿宋_GB2312" w:hAnsi="Times New Roman" w:eastAsia="仿宋_GB2312" w:cs="Times New Roman"/>
          <w:sz w:val="28"/>
          <w:szCs w:val="28"/>
        </w:rPr>
        <w:t>0</w:t>
      </w:r>
      <w:r>
        <w:rPr>
          <w:rFonts w:hint="eastAsia" w:ascii="仿宋_GB2312" w:hAnsi="Times New Roman" w:eastAsia="仿宋_GB2312" w:cs="Times New Roman"/>
          <w:sz w:val="28"/>
          <w:szCs w:val="28"/>
        </w:rPr>
        <w:t>.9 各级行政主管部门或检测机构在设备设施检查、检测中出现的问题，乙方须及时整改，并承担由于自身原因造成损失的相应责任和处罚。</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8.3</w:t>
      </w:r>
      <w:r>
        <w:rPr>
          <w:rFonts w:ascii="仿宋_GB2312" w:hAnsi="Times New Roman" w:eastAsia="仿宋_GB2312" w:cs="Times New Roman"/>
          <w:sz w:val="28"/>
          <w:szCs w:val="28"/>
        </w:rPr>
        <w:t>0</w:t>
      </w:r>
      <w:r>
        <w:rPr>
          <w:rFonts w:hint="eastAsia" w:ascii="仿宋_GB2312" w:hAnsi="Times New Roman" w:eastAsia="仿宋_GB2312" w:cs="Times New Roman"/>
          <w:sz w:val="28"/>
          <w:szCs w:val="28"/>
        </w:rPr>
        <w:t>.10 对于设备设施应急保障工作，乙方须全力协助配合甲方的工作。</w:t>
      </w:r>
    </w:p>
    <w:p>
      <w:pPr>
        <w:widowControl w:val="0"/>
        <w:autoSpaceDE w:val="0"/>
        <w:autoSpaceDN w:val="0"/>
        <w:adjustRightInd w:val="0"/>
        <w:ind w:firstLine="420"/>
        <w:jc w:val="left"/>
        <w:rPr>
          <w:rFonts w:ascii="宋体" w:hAnsi="Times New Roman" w:eastAsia="宋体" w:cs="Times New Roman"/>
          <w:kern w:val="2"/>
          <w:sz w:val="24"/>
          <w:szCs w:val="24"/>
          <w:lang w:val="en-US" w:eastAsia="zh-CN" w:bidi="ar-SA"/>
        </w:rPr>
      </w:pPr>
    </w:p>
    <w:p>
      <w:pPr>
        <w:adjustRightInd/>
        <w:snapToGrid/>
        <w:spacing w:line="560" w:lineRule="exact"/>
        <w:ind w:firstLine="562" w:firstLineChars="200"/>
        <w:rPr>
          <w:rFonts w:ascii="仿宋_GB2312" w:hAnsi="Times New Roman" w:eastAsia="仿宋_GB2312" w:cs="Times New Roman"/>
          <w:b/>
          <w:bCs/>
          <w:sz w:val="28"/>
          <w:szCs w:val="28"/>
        </w:rPr>
      </w:pPr>
      <w:r>
        <w:rPr>
          <w:rFonts w:hint="eastAsia" w:ascii="仿宋_GB2312" w:hAnsi="Times New Roman" w:eastAsia="仿宋_GB2312" w:cs="Times New Roman"/>
          <w:b/>
          <w:bCs/>
          <w:sz w:val="28"/>
          <w:szCs w:val="28"/>
        </w:rPr>
        <w:t>9.乙方权利限制与责任不免除</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9.1 乙方作为甲方委托之再生水利用项目人，其应在本合同项下甲方授权范围内从事相关管理及服务工作。乙方不得超出甲方授权范围行事。</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9.2 除非本合同约定及/或经甲方书面授权，乙方不得以甲方名义及/或以甲方代理人名义对外洽商、谈判或签约。在任何情况下，乙方不得明示或暗示或误导任何第三方使其认为乙方拥有上述权利。</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9.3 乙方为履行本合同需使用甲方名称、商标、标记或其它甲方享有专有权及特许使用权的文字、图案等，均需经甲方批准后方可使用。</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9.4 乙方为履行本合同需在项目范围内标注并使用乙方名称、商标、标记或载有上述内容的其它文字、图案等，均需事先经甲方同意并依甲方指定方式使用。乙方应自行对其标注并使用上述内容的合法性负责。</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9.5 乙方在投标和合同签订时已知悉并充分理解本合同项下再生水利用项目所具备的特点和要求。乙方在本合同项下的义务及其应承担的责任，并不因甲方依本合同所进行的审查、审核、确认、批准、同意或保险而获得免除。</w:t>
      </w:r>
    </w:p>
    <w:p>
      <w:pPr>
        <w:widowControl w:val="0"/>
        <w:autoSpaceDE w:val="0"/>
        <w:autoSpaceDN w:val="0"/>
        <w:adjustRightInd w:val="0"/>
        <w:ind w:firstLine="420"/>
        <w:jc w:val="left"/>
        <w:rPr>
          <w:rFonts w:ascii="宋体" w:hAnsi="Times New Roman" w:eastAsia="宋体" w:cs="Times New Roman"/>
          <w:kern w:val="2"/>
          <w:sz w:val="24"/>
          <w:szCs w:val="24"/>
          <w:lang w:val="en-US" w:eastAsia="zh-CN" w:bidi="ar-SA"/>
        </w:rPr>
      </w:pPr>
    </w:p>
    <w:p>
      <w:pPr>
        <w:adjustRightInd/>
        <w:snapToGrid/>
        <w:spacing w:line="560" w:lineRule="exact"/>
        <w:ind w:firstLine="562" w:firstLineChars="200"/>
        <w:rPr>
          <w:rFonts w:ascii="仿宋_GB2312" w:hAnsi="Times New Roman" w:eastAsia="仿宋_GB2312" w:cs="Times New Roman"/>
          <w:b/>
          <w:bCs/>
          <w:sz w:val="28"/>
          <w:szCs w:val="28"/>
        </w:rPr>
      </w:pPr>
      <w:r>
        <w:rPr>
          <w:rFonts w:hint="eastAsia" w:ascii="仿宋_GB2312" w:hAnsi="Times New Roman" w:eastAsia="仿宋_GB2312" w:cs="Times New Roman"/>
          <w:b/>
          <w:bCs/>
          <w:sz w:val="28"/>
          <w:szCs w:val="28"/>
        </w:rPr>
        <w:t>1</w:t>
      </w:r>
      <w:r>
        <w:rPr>
          <w:rFonts w:ascii="仿宋_GB2312" w:hAnsi="Times New Roman" w:eastAsia="仿宋_GB2312" w:cs="Times New Roman"/>
          <w:b/>
          <w:bCs/>
          <w:sz w:val="28"/>
          <w:szCs w:val="28"/>
        </w:rPr>
        <w:t>0</w:t>
      </w:r>
      <w:r>
        <w:rPr>
          <w:rFonts w:hint="eastAsia" w:ascii="仿宋_GB2312" w:hAnsi="Times New Roman" w:eastAsia="仿宋_GB2312" w:cs="Times New Roman"/>
          <w:b/>
          <w:bCs/>
          <w:sz w:val="28"/>
          <w:szCs w:val="28"/>
        </w:rPr>
        <w:t>.保险</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w:t>
      </w:r>
      <w:r>
        <w:rPr>
          <w:rFonts w:ascii="仿宋_GB2312" w:hAnsi="Times New Roman" w:eastAsia="仿宋_GB2312" w:cs="Times New Roman"/>
          <w:sz w:val="28"/>
          <w:szCs w:val="28"/>
        </w:rPr>
        <w:t>0</w:t>
      </w:r>
      <w:r>
        <w:rPr>
          <w:rFonts w:hint="eastAsia" w:ascii="仿宋_GB2312" w:hAnsi="Times New Roman" w:eastAsia="仿宋_GB2312" w:cs="Times New Roman"/>
          <w:sz w:val="28"/>
          <w:szCs w:val="28"/>
        </w:rPr>
        <w:t>.1 本合同有效期限内，乙方应负责为其委派至再生水利用项目现场从事本合同项下管理及服务的工作人员依政府规定投保各类保险。乙方应自费投保在再生水利用项目现场使用之乙方财产的各类保险。</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w:t>
      </w:r>
      <w:r>
        <w:rPr>
          <w:rFonts w:hint="eastAsia" w:ascii="仿宋_GB2312" w:hAnsi="Times New Roman" w:eastAsia="仿宋_GB2312" w:cs="Times New Roman"/>
          <w:sz w:val="28"/>
          <w:szCs w:val="28"/>
          <w:lang w:val="en-US" w:eastAsia="zh-CN"/>
        </w:rPr>
        <w:t>0</w:t>
      </w:r>
      <w:r>
        <w:rPr>
          <w:rFonts w:hint="eastAsia" w:ascii="仿宋_GB2312" w:hAnsi="Times New Roman" w:eastAsia="仿宋_GB2312" w:cs="Times New Roman"/>
          <w:sz w:val="28"/>
          <w:szCs w:val="28"/>
        </w:rPr>
        <w:t>.2 前期准备服务时，乙方应从再生水利用项目的角度，对甲方就本合同项下再生水利用项目所应投保之险种、保险范围、保险金额、保险风险评估等提出专业意见及建议，若甲方授权，乙方将负责该保险的理赔手续。</w:t>
      </w:r>
    </w:p>
    <w:p>
      <w:pPr>
        <w:widowControl w:val="0"/>
        <w:autoSpaceDE w:val="0"/>
        <w:autoSpaceDN w:val="0"/>
        <w:adjustRightInd w:val="0"/>
        <w:ind w:firstLine="420"/>
        <w:jc w:val="left"/>
        <w:rPr>
          <w:rFonts w:ascii="宋体" w:hAnsi="Times New Roman" w:eastAsia="宋体" w:cs="Times New Roman"/>
          <w:kern w:val="2"/>
          <w:sz w:val="24"/>
          <w:szCs w:val="24"/>
          <w:lang w:val="en-US" w:eastAsia="zh-CN" w:bidi="ar-SA"/>
        </w:rPr>
      </w:pPr>
    </w:p>
    <w:p>
      <w:pPr>
        <w:adjustRightInd/>
        <w:snapToGrid/>
        <w:spacing w:line="560" w:lineRule="exact"/>
        <w:ind w:firstLine="562" w:firstLineChars="200"/>
        <w:rPr>
          <w:rFonts w:ascii="仿宋_GB2312" w:hAnsi="Times New Roman" w:eastAsia="仿宋_GB2312" w:cs="Times New Roman"/>
          <w:b/>
          <w:bCs/>
          <w:sz w:val="28"/>
          <w:szCs w:val="28"/>
        </w:rPr>
      </w:pPr>
      <w:r>
        <w:rPr>
          <w:rFonts w:hint="eastAsia" w:ascii="仿宋_GB2312" w:hAnsi="Times New Roman" w:eastAsia="仿宋_GB2312" w:cs="Times New Roman"/>
          <w:b/>
          <w:bCs/>
          <w:sz w:val="28"/>
          <w:szCs w:val="28"/>
        </w:rPr>
        <w:t>1</w:t>
      </w:r>
      <w:r>
        <w:rPr>
          <w:rFonts w:hint="eastAsia" w:ascii="仿宋_GB2312" w:hAnsi="Times New Roman" w:eastAsia="仿宋_GB2312" w:cs="Times New Roman"/>
          <w:b/>
          <w:bCs/>
          <w:sz w:val="28"/>
          <w:szCs w:val="28"/>
          <w:lang w:val="en-US" w:eastAsia="zh-CN"/>
        </w:rPr>
        <w:t>1</w:t>
      </w:r>
      <w:r>
        <w:rPr>
          <w:rFonts w:hint="eastAsia" w:ascii="仿宋_GB2312" w:hAnsi="Times New Roman" w:eastAsia="仿宋_GB2312" w:cs="Times New Roman"/>
          <w:b/>
          <w:bCs/>
          <w:sz w:val="28"/>
          <w:szCs w:val="28"/>
        </w:rPr>
        <w:t>.违约责任</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w:t>
      </w:r>
      <w:r>
        <w:rPr>
          <w:rFonts w:hint="eastAsia" w:ascii="仿宋_GB2312" w:hAnsi="Times New Roman" w:eastAsia="仿宋_GB2312" w:cs="Times New Roman"/>
          <w:sz w:val="28"/>
          <w:szCs w:val="28"/>
          <w:lang w:val="en-US" w:eastAsia="zh-CN"/>
        </w:rPr>
        <w:t>1</w:t>
      </w:r>
      <w:r>
        <w:rPr>
          <w:rFonts w:hint="eastAsia" w:ascii="仿宋_GB2312" w:hAnsi="Times New Roman" w:eastAsia="仿宋_GB2312" w:cs="Times New Roman"/>
          <w:sz w:val="28"/>
          <w:szCs w:val="28"/>
        </w:rPr>
        <w:t>.1 甲、乙双方任何一方不履行、不完全履行合同义务或者履行的义务不符合合同约定条件的，应当承担违约责任，并赔偿守约方由此遭受的全部经济损失。</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w:t>
      </w:r>
      <w:r>
        <w:rPr>
          <w:rFonts w:hint="eastAsia" w:ascii="仿宋_GB2312" w:hAnsi="Times New Roman" w:eastAsia="仿宋_GB2312" w:cs="Times New Roman"/>
          <w:sz w:val="28"/>
          <w:szCs w:val="28"/>
          <w:lang w:val="en-US" w:eastAsia="zh-CN"/>
        </w:rPr>
        <w:t>1</w:t>
      </w:r>
      <w:r>
        <w:rPr>
          <w:rFonts w:hint="eastAsia" w:ascii="仿宋_GB2312" w:hAnsi="Times New Roman" w:eastAsia="仿宋_GB2312" w:cs="Times New Roman"/>
          <w:sz w:val="28"/>
          <w:szCs w:val="28"/>
        </w:rPr>
        <w:t>.2 当乙方出现下列任一情形时，应向甲方支付人民币2000.00元以上，40000.00元以下的违约金（由甲方根据违约情节酌定，从履约保证金中扣除）：</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w:t>
      </w:r>
      <w:r>
        <w:rPr>
          <w:rFonts w:hint="eastAsia" w:ascii="仿宋_GB2312" w:hAnsi="Times New Roman" w:eastAsia="仿宋_GB2312" w:cs="Times New Roman"/>
          <w:sz w:val="28"/>
          <w:szCs w:val="28"/>
          <w:lang w:val="en-US" w:eastAsia="zh-CN"/>
        </w:rPr>
        <w:t>1</w:t>
      </w:r>
      <w:r>
        <w:rPr>
          <w:rFonts w:hint="eastAsia" w:ascii="仿宋_GB2312" w:hAnsi="Times New Roman" w:eastAsia="仿宋_GB2312" w:cs="Times New Roman"/>
          <w:sz w:val="28"/>
          <w:szCs w:val="28"/>
        </w:rPr>
        <w:t>.2.1 乙方未按本合同的约定完成前期准备服务的；</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w:t>
      </w:r>
      <w:r>
        <w:rPr>
          <w:rFonts w:hint="eastAsia" w:ascii="仿宋_GB2312" w:hAnsi="Times New Roman" w:eastAsia="仿宋_GB2312" w:cs="Times New Roman"/>
          <w:sz w:val="28"/>
          <w:szCs w:val="28"/>
          <w:lang w:val="en-US" w:eastAsia="zh-CN"/>
        </w:rPr>
        <w:t>1</w:t>
      </w:r>
      <w:r>
        <w:rPr>
          <w:rFonts w:hint="eastAsia" w:ascii="仿宋_GB2312" w:hAnsi="Times New Roman" w:eastAsia="仿宋_GB2312" w:cs="Times New Roman"/>
          <w:sz w:val="28"/>
          <w:szCs w:val="28"/>
        </w:rPr>
        <w:t>.2.2 乙方未按本合同的约定完成再生水利用项目的；</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w:t>
      </w:r>
      <w:r>
        <w:rPr>
          <w:rFonts w:hint="eastAsia" w:ascii="仿宋_GB2312" w:hAnsi="Times New Roman" w:eastAsia="仿宋_GB2312" w:cs="Times New Roman"/>
          <w:sz w:val="28"/>
          <w:szCs w:val="28"/>
          <w:lang w:val="en-US" w:eastAsia="zh-CN"/>
        </w:rPr>
        <w:t>1</w:t>
      </w:r>
      <w:r>
        <w:rPr>
          <w:rFonts w:hint="eastAsia" w:ascii="仿宋_GB2312" w:hAnsi="Times New Roman" w:eastAsia="仿宋_GB2312" w:cs="Times New Roman"/>
          <w:sz w:val="28"/>
          <w:szCs w:val="28"/>
        </w:rPr>
        <w:t>.2.3 乙方未能达到本合同约定的再生水利用项目质量和标准的；</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w:t>
      </w:r>
      <w:r>
        <w:rPr>
          <w:rFonts w:hint="eastAsia" w:ascii="仿宋_GB2312" w:hAnsi="Times New Roman" w:eastAsia="仿宋_GB2312" w:cs="Times New Roman"/>
          <w:sz w:val="28"/>
          <w:szCs w:val="28"/>
          <w:lang w:val="en-US" w:eastAsia="zh-CN"/>
        </w:rPr>
        <w:t>1</w:t>
      </w:r>
      <w:r>
        <w:rPr>
          <w:rFonts w:hint="eastAsia" w:ascii="仿宋_GB2312" w:hAnsi="Times New Roman" w:eastAsia="仿宋_GB2312" w:cs="Times New Roman"/>
          <w:sz w:val="28"/>
          <w:szCs w:val="28"/>
        </w:rPr>
        <w:t>.2.4 乙方擅自更换项目经理或项目经理无正当理由脱岗的；</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w:t>
      </w:r>
      <w:r>
        <w:rPr>
          <w:rFonts w:hint="eastAsia" w:ascii="仿宋_GB2312" w:hAnsi="Times New Roman" w:eastAsia="仿宋_GB2312" w:cs="Times New Roman"/>
          <w:sz w:val="28"/>
          <w:szCs w:val="28"/>
          <w:lang w:val="en-US" w:eastAsia="zh-CN"/>
        </w:rPr>
        <w:t>1</w:t>
      </w:r>
      <w:r>
        <w:rPr>
          <w:rFonts w:hint="eastAsia" w:ascii="仿宋_GB2312" w:hAnsi="Times New Roman" w:eastAsia="仿宋_GB2312" w:cs="Times New Roman"/>
          <w:sz w:val="28"/>
          <w:szCs w:val="28"/>
        </w:rPr>
        <w:t>.2.5 乙方在员工的招聘、培训、使用等方面未满足本合同要求的；</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w:t>
      </w:r>
      <w:r>
        <w:rPr>
          <w:rFonts w:hint="eastAsia" w:ascii="仿宋_GB2312" w:hAnsi="Times New Roman" w:eastAsia="仿宋_GB2312" w:cs="Times New Roman"/>
          <w:sz w:val="28"/>
          <w:szCs w:val="28"/>
          <w:lang w:val="en-US" w:eastAsia="zh-CN"/>
        </w:rPr>
        <w:t>1</w:t>
      </w:r>
      <w:r>
        <w:rPr>
          <w:rFonts w:hint="eastAsia" w:ascii="仿宋_GB2312" w:hAnsi="Times New Roman" w:eastAsia="仿宋_GB2312" w:cs="Times New Roman"/>
          <w:sz w:val="28"/>
          <w:szCs w:val="28"/>
        </w:rPr>
        <w:t>.2.6 因乙方过错，导致建筑、设备、设施等及游客和其他人员遭受损害，或者导致伤亡事故，造成损失的；</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w:t>
      </w:r>
      <w:r>
        <w:rPr>
          <w:rFonts w:hint="eastAsia" w:ascii="仿宋_GB2312" w:hAnsi="Times New Roman" w:eastAsia="仿宋_GB2312" w:cs="Times New Roman"/>
          <w:sz w:val="28"/>
          <w:szCs w:val="28"/>
          <w:lang w:val="en-US" w:eastAsia="zh-CN"/>
        </w:rPr>
        <w:t>1</w:t>
      </w:r>
      <w:r>
        <w:rPr>
          <w:rFonts w:hint="eastAsia" w:ascii="仿宋_GB2312" w:hAnsi="Times New Roman" w:eastAsia="仿宋_GB2312" w:cs="Times New Roman"/>
          <w:sz w:val="28"/>
          <w:szCs w:val="28"/>
        </w:rPr>
        <w:t>.2.7 乙方未按本合同约定办理移交接收手续的；</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w:t>
      </w:r>
      <w:r>
        <w:rPr>
          <w:rFonts w:hint="eastAsia" w:ascii="仿宋_GB2312" w:hAnsi="Times New Roman" w:eastAsia="仿宋_GB2312" w:cs="Times New Roman"/>
          <w:sz w:val="28"/>
          <w:szCs w:val="28"/>
          <w:lang w:val="en-US" w:eastAsia="zh-CN"/>
        </w:rPr>
        <w:t>1</w:t>
      </w:r>
      <w:r>
        <w:rPr>
          <w:rFonts w:hint="eastAsia" w:ascii="仿宋_GB2312" w:hAnsi="Times New Roman" w:eastAsia="仿宋_GB2312" w:cs="Times New Roman"/>
          <w:sz w:val="28"/>
          <w:szCs w:val="28"/>
        </w:rPr>
        <w:t>.2.8 乙方有违反合同约定的其它行为，并经甲方书面催告未及时纠正的。</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w:t>
      </w:r>
      <w:r>
        <w:rPr>
          <w:rFonts w:hint="eastAsia" w:ascii="仿宋_GB2312" w:hAnsi="Times New Roman" w:eastAsia="仿宋_GB2312" w:cs="Times New Roman"/>
          <w:sz w:val="28"/>
          <w:szCs w:val="28"/>
          <w:lang w:val="en-US" w:eastAsia="zh-CN"/>
        </w:rPr>
        <w:t>1</w:t>
      </w:r>
      <w:r>
        <w:rPr>
          <w:rFonts w:hint="eastAsia" w:ascii="仿宋_GB2312" w:hAnsi="Times New Roman" w:eastAsia="仿宋_GB2312" w:cs="Times New Roman"/>
          <w:sz w:val="28"/>
          <w:szCs w:val="28"/>
        </w:rPr>
        <w:t>.3 因本合同1</w:t>
      </w:r>
      <w:r>
        <w:rPr>
          <w:rFonts w:ascii="仿宋_GB2312" w:hAnsi="Times New Roman" w:eastAsia="仿宋_GB2312" w:cs="Times New Roman"/>
          <w:sz w:val="28"/>
          <w:szCs w:val="28"/>
        </w:rPr>
        <w:t>1</w:t>
      </w:r>
      <w:r>
        <w:rPr>
          <w:rFonts w:hint="eastAsia" w:ascii="仿宋_GB2312" w:hAnsi="Times New Roman" w:eastAsia="仿宋_GB2312" w:cs="Times New Roman"/>
          <w:sz w:val="28"/>
          <w:szCs w:val="28"/>
        </w:rPr>
        <w:t>.2约定的情形，导致一方单方面解除本合同的，违约方应向守约方支付违约金人民币40000.00元整。</w:t>
      </w:r>
    </w:p>
    <w:p>
      <w:pPr>
        <w:adjustRightInd/>
        <w:snapToGrid/>
        <w:spacing w:line="560" w:lineRule="exact"/>
        <w:ind w:firstLine="560" w:firstLineChars="200"/>
        <w:rPr>
          <w:rFonts w:ascii="仿宋_GB2312" w:hAnsi="Times New Roman" w:eastAsia="仿宋_GB2312" w:cs="Times New Roman"/>
          <w:sz w:val="28"/>
          <w:szCs w:val="28"/>
          <w:highlight w:val="yellow"/>
        </w:rPr>
      </w:pPr>
      <w:r>
        <w:rPr>
          <w:rFonts w:hint="eastAsia" w:ascii="仿宋_GB2312" w:hAnsi="Times New Roman" w:eastAsia="仿宋_GB2312" w:cs="Times New Roman"/>
          <w:sz w:val="28"/>
          <w:szCs w:val="28"/>
        </w:rPr>
        <w:t>1</w:t>
      </w:r>
      <w:r>
        <w:rPr>
          <w:rFonts w:hint="eastAsia" w:ascii="仿宋_GB2312" w:hAnsi="Times New Roman" w:eastAsia="仿宋_GB2312" w:cs="Times New Roman"/>
          <w:sz w:val="28"/>
          <w:szCs w:val="28"/>
          <w:lang w:val="en-US" w:eastAsia="zh-CN"/>
        </w:rPr>
        <w:t>1</w:t>
      </w:r>
      <w:r>
        <w:rPr>
          <w:rFonts w:hint="eastAsia" w:ascii="仿宋_GB2312" w:hAnsi="Times New Roman" w:eastAsia="仿宋_GB2312" w:cs="Times New Roman"/>
          <w:sz w:val="28"/>
          <w:szCs w:val="28"/>
        </w:rPr>
        <w:t>.4 除不可抗力事件及/或本合同另有约定外，甲、乙双方任何一方没有正当理由且未经对方同意擅自终止履行本合同的，违约方应向守约方支付违约金人民币60000.00元整。</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w:t>
      </w:r>
      <w:r>
        <w:rPr>
          <w:rFonts w:hint="eastAsia" w:ascii="仿宋_GB2312" w:hAnsi="Times New Roman" w:eastAsia="仿宋_GB2312" w:cs="Times New Roman"/>
          <w:sz w:val="28"/>
          <w:szCs w:val="28"/>
          <w:lang w:val="en-US" w:eastAsia="zh-CN"/>
        </w:rPr>
        <w:t>1</w:t>
      </w:r>
      <w:r>
        <w:rPr>
          <w:rFonts w:hint="eastAsia" w:ascii="仿宋_GB2312" w:hAnsi="Times New Roman" w:eastAsia="仿宋_GB2312" w:cs="Times New Roman"/>
          <w:sz w:val="28"/>
          <w:szCs w:val="28"/>
        </w:rPr>
        <w:t>.5 因合同一方履行本合同义务的过错行为，造成另一方及/或任何第三方人身、财产损害的，过失方应承担责任，并赔偿另一方或该第三方由此遭受的全部损失。</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w:t>
      </w:r>
      <w:r>
        <w:rPr>
          <w:rFonts w:hint="eastAsia" w:ascii="仿宋_GB2312" w:hAnsi="Times New Roman" w:eastAsia="仿宋_GB2312" w:cs="Times New Roman"/>
          <w:sz w:val="28"/>
          <w:szCs w:val="28"/>
          <w:lang w:val="en-US" w:eastAsia="zh-CN"/>
        </w:rPr>
        <w:t>1</w:t>
      </w:r>
      <w:r>
        <w:rPr>
          <w:rFonts w:hint="eastAsia" w:ascii="仿宋_GB2312" w:hAnsi="Times New Roman" w:eastAsia="仿宋_GB2312" w:cs="Times New Roman"/>
          <w:sz w:val="28"/>
          <w:szCs w:val="28"/>
        </w:rPr>
        <w:t>.6 若违约金不足弥补守约方由此遭受的经济损失，违约方仍应承担赔偿损失的责任。</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w:t>
      </w:r>
      <w:r>
        <w:rPr>
          <w:rFonts w:hint="eastAsia" w:ascii="仿宋_GB2312" w:hAnsi="Times New Roman" w:eastAsia="仿宋_GB2312" w:cs="Times New Roman"/>
          <w:sz w:val="28"/>
          <w:szCs w:val="28"/>
          <w:lang w:val="en-US" w:eastAsia="zh-CN"/>
        </w:rPr>
        <w:t>1</w:t>
      </w:r>
      <w:r>
        <w:rPr>
          <w:rFonts w:hint="eastAsia" w:ascii="仿宋_GB2312" w:hAnsi="Times New Roman" w:eastAsia="仿宋_GB2312" w:cs="Times New Roman"/>
          <w:sz w:val="28"/>
          <w:szCs w:val="28"/>
        </w:rPr>
        <w:t>.7 乙方未达到管理服务承诺目标，甲方有权扣除部分直至全部履约保证金。</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w:t>
      </w:r>
      <w:r>
        <w:rPr>
          <w:rFonts w:hint="eastAsia" w:ascii="仿宋_GB2312" w:hAnsi="Times New Roman" w:eastAsia="仿宋_GB2312" w:cs="Times New Roman"/>
          <w:sz w:val="28"/>
          <w:szCs w:val="28"/>
          <w:lang w:val="en-US" w:eastAsia="zh-CN"/>
        </w:rPr>
        <w:t>1</w:t>
      </w:r>
      <w:r>
        <w:rPr>
          <w:rFonts w:hint="eastAsia" w:ascii="仿宋_GB2312" w:hAnsi="Times New Roman" w:eastAsia="仿宋_GB2312" w:cs="Times New Roman"/>
          <w:sz w:val="28"/>
          <w:szCs w:val="28"/>
        </w:rPr>
        <w:t>.8 乙方违约，甲方有权直接从履约保证金中提取乙方违约金；保证金不足时，甲方有权直接从应付再生水利用项目费中扣除乙方违约金。</w:t>
      </w:r>
    </w:p>
    <w:p>
      <w:pPr>
        <w:widowControl w:val="0"/>
        <w:autoSpaceDE w:val="0"/>
        <w:autoSpaceDN w:val="0"/>
        <w:adjustRightInd w:val="0"/>
        <w:ind w:firstLine="420"/>
        <w:jc w:val="left"/>
        <w:rPr>
          <w:rFonts w:ascii="宋体" w:hAnsi="Times New Roman" w:eastAsia="宋体" w:cs="Times New Roman"/>
          <w:kern w:val="2"/>
          <w:sz w:val="24"/>
          <w:szCs w:val="24"/>
          <w:lang w:val="en-US" w:eastAsia="zh-CN" w:bidi="ar-SA"/>
        </w:rPr>
      </w:pPr>
    </w:p>
    <w:p>
      <w:pPr>
        <w:adjustRightInd/>
        <w:snapToGrid/>
        <w:spacing w:line="560" w:lineRule="exact"/>
        <w:ind w:firstLine="562" w:firstLineChars="200"/>
        <w:rPr>
          <w:rFonts w:ascii="仿宋_GB2312" w:hAnsi="Times New Roman" w:eastAsia="仿宋_GB2312" w:cs="Times New Roman"/>
          <w:b/>
          <w:bCs/>
          <w:sz w:val="28"/>
          <w:szCs w:val="28"/>
        </w:rPr>
      </w:pPr>
      <w:r>
        <w:rPr>
          <w:rFonts w:hint="eastAsia" w:ascii="仿宋_GB2312" w:hAnsi="Times New Roman" w:eastAsia="仿宋_GB2312" w:cs="Times New Roman"/>
          <w:b/>
          <w:bCs/>
          <w:sz w:val="28"/>
          <w:szCs w:val="28"/>
        </w:rPr>
        <w:t>1</w:t>
      </w:r>
      <w:r>
        <w:rPr>
          <w:rFonts w:hint="eastAsia" w:ascii="仿宋_GB2312" w:hAnsi="Times New Roman" w:eastAsia="仿宋_GB2312" w:cs="Times New Roman"/>
          <w:b/>
          <w:bCs/>
          <w:sz w:val="28"/>
          <w:szCs w:val="28"/>
          <w:lang w:val="en-US" w:eastAsia="zh-CN"/>
        </w:rPr>
        <w:t>2</w:t>
      </w:r>
      <w:r>
        <w:rPr>
          <w:rFonts w:hint="eastAsia" w:ascii="仿宋_GB2312" w:hAnsi="Times New Roman" w:eastAsia="仿宋_GB2312" w:cs="Times New Roman"/>
          <w:b/>
          <w:bCs/>
          <w:sz w:val="28"/>
          <w:szCs w:val="28"/>
        </w:rPr>
        <w:t>.合同变更、解除和争议解决</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w:t>
      </w:r>
      <w:r>
        <w:rPr>
          <w:rFonts w:hint="eastAsia" w:ascii="仿宋_GB2312" w:hAnsi="Times New Roman" w:eastAsia="仿宋_GB2312" w:cs="Times New Roman"/>
          <w:sz w:val="28"/>
          <w:szCs w:val="28"/>
          <w:lang w:val="en-US" w:eastAsia="zh-CN"/>
        </w:rPr>
        <w:t>2</w:t>
      </w:r>
      <w:r>
        <w:rPr>
          <w:rFonts w:hint="eastAsia" w:ascii="仿宋_GB2312" w:hAnsi="Times New Roman" w:eastAsia="仿宋_GB2312" w:cs="Times New Roman"/>
          <w:sz w:val="28"/>
          <w:szCs w:val="28"/>
        </w:rPr>
        <w:t>.1 经双方方协商一致，可变更本合同，并形成有效的合同变更文件。</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w:t>
      </w:r>
      <w:r>
        <w:rPr>
          <w:rFonts w:hint="eastAsia" w:ascii="仿宋_GB2312" w:hAnsi="Times New Roman" w:eastAsia="仿宋_GB2312" w:cs="Times New Roman"/>
          <w:sz w:val="28"/>
          <w:szCs w:val="28"/>
          <w:lang w:val="en-US" w:eastAsia="zh-CN"/>
        </w:rPr>
        <w:t>2</w:t>
      </w:r>
      <w:r>
        <w:rPr>
          <w:rFonts w:hint="eastAsia" w:ascii="仿宋_GB2312" w:hAnsi="Times New Roman" w:eastAsia="仿宋_GB2312" w:cs="Times New Roman"/>
          <w:sz w:val="28"/>
          <w:szCs w:val="28"/>
        </w:rPr>
        <w:t>.2 当乙方出现下列任一情形时，甲方可以随时单方面书面通知乙方解除本合同：</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w:t>
      </w:r>
      <w:r>
        <w:rPr>
          <w:rFonts w:hint="eastAsia" w:ascii="仿宋_GB2312" w:hAnsi="Times New Roman" w:eastAsia="仿宋_GB2312" w:cs="Times New Roman"/>
          <w:sz w:val="28"/>
          <w:szCs w:val="28"/>
          <w:lang w:val="en-US" w:eastAsia="zh-CN"/>
        </w:rPr>
        <w:t>2</w:t>
      </w:r>
      <w:r>
        <w:rPr>
          <w:rFonts w:hint="eastAsia" w:ascii="仿宋_GB2312" w:hAnsi="Times New Roman" w:eastAsia="仿宋_GB2312" w:cs="Times New Roman"/>
          <w:sz w:val="28"/>
          <w:szCs w:val="28"/>
        </w:rPr>
        <w:t>.2.1 乙方未能达到本合同约定的再生水利用项目质量和标准，并在甲方要求的合理时间内经整改仍未达到约定要求的；</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w:t>
      </w:r>
      <w:r>
        <w:rPr>
          <w:rFonts w:hint="eastAsia" w:ascii="仿宋_GB2312" w:hAnsi="Times New Roman" w:eastAsia="仿宋_GB2312" w:cs="Times New Roman"/>
          <w:sz w:val="28"/>
          <w:szCs w:val="28"/>
          <w:lang w:val="en-US" w:eastAsia="zh-CN"/>
        </w:rPr>
        <w:t>2</w:t>
      </w:r>
      <w:r>
        <w:rPr>
          <w:rFonts w:hint="eastAsia" w:ascii="仿宋_GB2312" w:hAnsi="Times New Roman" w:eastAsia="仿宋_GB2312" w:cs="Times New Roman"/>
          <w:sz w:val="28"/>
          <w:szCs w:val="28"/>
        </w:rPr>
        <w:t>.2.2 因乙方过错，导致含建筑、设备、设施等及游客和其他人员遭受严重损害并运营受阻，或者导致重大伤亡事故，造成重大损失影响正常开园的；</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w:t>
      </w:r>
      <w:r>
        <w:rPr>
          <w:rFonts w:hint="eastAsia" w:ascii="仿宋_GB2312" w:hAnsi="Times New Roman" w:eastAsia="仿宋_GB2312" w:cs="Times New Roman"/>
          <w:sz w:val="28"/>
          <w:szCs w:val="28"/>
          <w:lang w:val="en-US" w:eastAsia="zh-CN"/>
        </w:rPr>
        <w:t>2</w:t>
      </w:r>
      <w:r>
        <w:rPr>
          <w:rFonts w:hint="eastAsia" w:ascii="仿宋_GB2312" w:hAnsi="Times New Roman" w:eastAsia="仿宋_GB2312" w:cs="Times New Roman"/>
          <w:sz w:val="28"/>
          <w:szCs w:val="28"/>
        </w:rPr>
        <w:t>.2.3 乙方擅自挪用资金，及/或丧失商业信誉及债务清偿能力的；</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w:t>
      </w:r>
      <w:r>
        <w:rPr>
          <w:rFonts w:hint="eastAsia" w:ascii="仿宋_GB2312" w:hAnsi="Times New Roman" w:eastAsia="仿宋_GB2312" w:cs="Times New Roman"/>
          <w:sz w:val="28"/>
          <w:szCs w:val="28"/>
          <w:lang w:val="en-US" w:eastAsia="zh-CN"/>
        </w:rPr>
        <w:t>2</w:t>
      </w:r>
      <w:r>
        <w:rPr>
          <w:rFonts w:hint="eastAsia" w:ascii="仿宋_GB2312" w:hAnsi="Times New Roman" w:eastAsia="仿宋_GB2312" w:cs="Times New Roman"/>
          <w:sz w:val="28"/>
          <w:szCs w:val="28"/>
        </w:rPr>
        <w:t>.2.4 乙方有违反合同约定的其它行为，并经甲方书面催告拒不纠正，导致合同不能履行的。</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w:t>
      </w:r>
      <w:r>
        <w:rPr>
          <w:rFonts w:hint="eastAsia" w:ascii="仿宋_GB2312" w:hAnsi="Times New Roman" w:eastAsia="仿宋_GB2312" w:cs="Times New Roman"/>
          <w:sz w:val="28"/>
          <w:szCs w:val="28"/>
          <w:lang w:val="en-US" w:eastAsia="zh-CN"/>
        </w:rPr>
        <w:t>2</w:t>
      </w:r>
      <w:r>
        <w:rPr>
          <w:rFonts w:hint="eastAsia" w:ascii="仿宋_GB2312" w:hAnsi="Times New Roman" w:eastAsia="仿宋_GB2312" w:cs="Times New Roman"/>
          <w:sz w:val="28"/>
          <w:szCs w:val="28"/>
        </w:rPr>
        <w:t>.3 因甲方过错，致甲方未能依本合同约定如期支付乙方款项逾期超过90天，致使乙方无法履行本合同义务时，乙方可以随时单方面书面通知甲方解除本合同。</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w:t>
      </w:r>
      <w:r>
        <w:rPr>
          <w:rFonts w:hint="eastAsia" w:ascii="仿宋_GB2312" w:hAnsi="Times New Roman" w:eastAsia="仿宋_GB2312" w:cs="Times New Roman"/>
          <w:sz w:val="28"/>
          <w:szCs w:val="28"/>
          <w:lang w:val="en-US" w:eastAsia="zh-CN"/>
        </w:rPr>
        <w:t>2</w:t>
      </w:r>
      <w:r>
        <w:rPr>
          <w:rFonts w:hint="eastAsia" w:ascii="仿宋_GB2312" w:hAnsi="Times New Roman" w:eastAsia="仿宋_GB2312" w:cs="Times New Roman"/>
          <w:sz w:val="28"/>
          <w:szCs w:val="28"/>
        </w:rPr>
        <w:t>.4 在单方解除合同情况下，本合同自一方的书面解除合同通知送达另一方之日起失效。乙方应在收到甲方解除合同通知书后10日内或甲方收到乙方解除合同通知书后20日内，双方按本合同的约定办理移交接收手续后，乙方无条件撤出现场。在移交接收手续未办理完毕前，乙方不得停止再生水利用项目。</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w:t>
      </w:r>
      <w:r>
        <w:rPr>
          <w:rFonts w:hint="eastAsia" w:ascii="仿宋_GB2312" w:hAnsi="Times New Roman" w:eastAsia="仿宋_GB2312" w:cs="Times New Roman"/>
          <w:sz w:val="28"/>
          <w:szCs w:val="28"/>
          <w:lang w:val="en-US" w:eastAsia="zh-CN"/>
        </w:rPr>
        <w:t>2</w:t>
      </w:r>
      <w:r>
        <w:rPr>
          <w:rFonts w:hint="eastAsia" w:ascii="仿宋_GB2312" w:hAnsi="Times New Roman" w:eastAsia="仿宋_GB2312" w:cs="Times New Roman"/>
          <w:sz w:val="28"/>
          <w:szCs w:val="28"/>
        </w:rPr>
        <w:t>.5 甲、乙双方因履行本合同所发生的任何争议，乙方不得以任何理由停止再生水利用项目或以停止再生水利用项目相要挟。</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w:t>
      </w:r>
      <w:r>
        <w:rPr>
          <w:rFonts w:hint="eastAsia" w:ascii="仿宋_GB2312" w:hAnsi="Times New Roman" w:eastAsia="仿宋_GB2312" w:cs="Times New Roman"/>
          <w:sz w:val="28"/>
          <w:szCs w:val="28"/>
          <w:lang w:val="en-US" w:eastAsia="zh-CN"/>
        </w:rPr>
        <w:t>2</w:t>
      </w:r>
      <w:r>
        <w:rPr>
          <w:rFonts w:hint="eastAsia" w:ascii="仿宋_GB2312" w:hAnsi="Times New Roman" w:eastAsia="仿宋_GB2312" w:cs="Times New Roman"/>
          <w:sz w:val="28"/>
          <w:szCs w:val="28"/>
        </w:rPr>
        <w:t>.6 甲、乙双方因履行本合同所发生的任何争议，应由双方协商解决。若协商不成，任何一方均可向本合同项下所在地有管辖权的人民法院起诉。</w:t>
      </w:r>
    </w:p>
    <w:p>
      <w:pPr>
        <w:widowControl w:val="0"/>
        <w:autoSpaceDE w:val="0"/>
        <w:autoSpaceDN w:val="0"/>
        <w:adjustRightInd w:val="0"/>
        <w:ind w:firstLine="420"/>
        <w:jc w:val="left"/>
        <w:rPr>
          <w:rFonts w:ascii="宋体" w:hAnsi="Times New Roman" w:eastAsia="宋体" w:cs="Times New Roman"/>
          <w:kern w:val="2"/>
          <w:sz w:val="24"/>
          <w:szCs w:val="24"/>
          <w:lang w:val="en-US" w:eastAsia="zh-CN" w:bidi="ar-SA"/>
        </w:rPr>
      </w:pPr>
    </w:p>
    <w:p>
      <w:pPr>
        <w:adjustRightInd/>
        <w:snapToGrid/>
        <w:spacing w:line="560" w:lineRule="exact"/>
        <w:ind w:firstLine="562" w:firstLineChars="200"/>
        <w:rPr>
          <w:rFonts w:ascii="仿宋_GB2312" w:hAnsi="Times New Roman" w:eastAsia="仿宋_GB2312" w:cs="Times New Roman"/>
          <w:b/>
          <w:bCs/>
          <w:sz w:val="28"/>
          <w:szCs w:val="28"/>
        </w:rPr>
      </w:pPr>
      <w:r>
        <w:rPr>
          <w:rFonts w:hint="eastAsia" w:ascii="仿宋_GB2312" w:hAnsi="Times New Roman" w:eastAsia="仿宋_GB2312" w:cs="Times New Roman"/>
          <w:b/>
          <w:bCs/>
          <w:sz w:val="28"/>
          <w:szCs w:val="28"/>
        </w:rPr>
        <w:t>1</w:t>
      </w:r>
      <w:r>
        <w:rPr>
          <w:rFonts w:hint="eastAsia" w:ascii="仿宋_GB2312" w:hAnsi="Times New Roman" w:eastAsia="仿宋_GB2312" w:cs="Times New Roman"/>
          <w:b/>
          <w:bCs/>
          <w:sz w:val="28"/>
          <w:szCs w:val="28"/>
          <w:lang w:val="en-US" w:eastAsia="zh-CN"/>
        </w:rPr>
        <w:t>3</w:t>
      </w:r>
      <w:r>
        <w:rPr>
          <w:rFonts w:hint="eastAsia" w:ascii="仿宋_GB2312" w:hAnsi="Times New Roman" w:eastAsia="仿宋_GB2312" w:cs="Times New Roman"/>
          <w:b/>
          <w:bCs/>
          <w:sz w:val="28"/>
          <w:szCs w:val="28"/>
        </w:rPr>
        <w:t>.合同期届满或解除合同时的移交接收</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w:t>
      </w:r>
      <w:r>
        <w:rPr>
          <w:rFonts w:hint="eastAsia" w:ascii="仿宋_GB2312" w:hAnsi="Times New Roman" w:eastAsia="仿宋_GB2312" w:cs="Times New Roman"/>
          <w:sz w:val="28"/>
          <w:szCs w:val="28"/>
          <w:lang w:val="en-US" w:eastAsia="zh-CN"/>
        </w:rPr>
        <w:t>3</w:t>
      </w:r>
      <w:r>
        <w:rPr>
          <w:rFonts w:hint="eastAsia" w:ascii="仿宋_GB2312" w:hAnsi="Times New Roman" w:eastAsia="仿宋_GB2312" w:cs="Times New Roman"/>
          <w:sz w:val="28"/>
          <w:szCs w:val="28"/>
        </w:rPr>
        <w:t>.1 无论何种情况下的移交接收，均应保障北京园博园运营的连续性、安全性和优质的服务质量，满足公共文化设施的功能、服务公众和财产安全的需求。</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w:t>
      </w:r>
      <w:r>
        <w:rPr>
          <w:rFonts w:hint="eastAsia" w:ascii="仿宋_GB2312" w:hAnsi="Times New Roman" w:eastAsia="仿宋_GB2312" w:cs="Times New Roman"/>
          <w:sz w:val="28"/>
          <w:szCs w:val="28"/>
          <w:lang w:val="en-US" w:eastAsia="zh-CN"/>
        </w:rPr>
        <w:t>3</w:t>
      </w:r>
      <w:r>
        <w:rPr>
          <w:rFonts w:hint="eastAsia" w:ascii="仿宋_GB2312" w:hAnsi="Times New Roman" w:eastAsia="仿宋_GB2312" w:cs="Times New Roman"/>
          <w:sz w:val="28"/>
          <w:szCs w:val="28"/>
        </w:rPr>
        <w:t>.2 在合同期届满，乙方应将北京园博园在正常运营状态下移交给甲方和/或甲方指定的接收方，并保证北京园博园资料齐全、功能完善、设施良好。最迟在合同期届满前30日乙方应当开始进行移交准备，在接到甲方通知后7日内办理交接。移交时，乙方应：</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w:t>
      </w:r>
      <w:r>
        <w:rPr>
          <w:rFonts w:hint="eastAsia" w:ascii="仿宋_GB2312" w:hAnsi="Times New Roman" w:eastAsia="仿宋_GB2312" w:cs="Times New Roman"/>
          <w:sz w:val="28"/>
          <w:szCs w:val="28"/>
          <w:lang w:val="en-US" w:eastAsia="zh-CN"/>
        </w:rPr>
        <w:t>3</w:t>
      </w:r>
      <w:r>
        <w:rPr>
          <w:rFonts w:hint="eastAsia" w:ascii="仿宋_GB2312" w:hAnsi="Times New Roman" w:eastAsia="仿宋_GB2312" w:cs="Times New Roman"/>
          <w:sz w:val="28"/>
          <w:szCs w:val="28"/>
        </w:rPr>
        <w:t>.2.1 移交不存在任何他项权利或其他请求的乙方在本合同项下的的全部权利和义务；</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w:t>
      </w:r>
      <w:r>
        <w:rPr>
          <w:rFonts w:hint="eastAsia" w:ascii="仿宋_GB2312" w:hAnsi="Times New Roman" w:eastAsia="仿宋_GB2312" w:cs="Times New Roman"/>
          <w:sz w:val="28"/>
          <w:szCs w:val="28"/>
          <w:lang w:val="en-US" w:eastAsia="zh-CN"/>
        </w:rPr>
        <w:t>3</w:t>
      </w:r>
      <w:r>
        <w:rPr>
          <w:rFonts w:hint="eastAsia" w:ascii="仿宋_GB2312" w:hAnsi="Times New Roman" w:eastAsia="仿宋_GB2312" w:cs="Times New Roman"/>
          <w:sz w:val="28"/>
          <w:szCs w:val="28"/>
        </w:rPr>
        <w:t>.2.2 按照甲方和/或甲方指定接收方的要求移交北京园博园场地、设施、设备、用具、用品和其他资产；</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w:t>
      </w:r>
      <w:r>
        <w:rPr>
          <w:rFonts w:hint="eastAsia" w:ascii="仿宋_GB2312" w:hAnsi="Times New Roman" w:eastAsia="仿宋_GB2312" w:cs="Times New Roman"/>
          <w:sz w:val="28"/>
          <w:szCs w:val="28"/>
          <w:lang w:val="en-US" w:eastAsia="zh-CN"/>
        </w:rPr>
        <w:t>3</w:t>
      </w:r>
      <w:r>
        <w:rPr>
          <w:rFonts w:hint="eastAsia" w:ascii="仿宋_GB2312" w:hAnsi="Times New Roman" w:eastAsia="仿宋_GB2312" w:cs="Times New Roman"/>
          <w:sz w:val="28"/>
          <w:szCs w:val="28"/>
        </w:rPr>
        <w:t>.2.3 移交在本合同签订和履行中接收、形成的所有图纸、文件、记录档案等资料；</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w:t>
      </w:r>
      <w:r>
        <w:rPr>
          <w:rFonts w:hint="eastAsia" w:ascii="仿宋_GB2312" w:hAnsi="Times New Roman" w:eastAsia="仿宋_GB2312" w:cs="Times New Roman"/>
          <w:sz w:val="28"/>
          <w:szCs w:val="28"/>
          <w:lang w:val="en-US" w:eastAsia="zh-CN"/>
        </w:rPr>
        <w:t>3</w:t>
      </w:r>
      <w:r>
        <w:rPr>
          <w:rFonts w:hint="eastAsia" w:ascii="仿宋_GB2312" w:hAnsi="Times New Roman" w:eastAsia="仿宋_GB2312" w:cs="Times New Roman"/>
          <w:sz w:val="28"/>
          <w:szCs w:val="28"/>
        </w:rPr>
        <w:t>.2.4 在甲方或甲方指定接收方的要求下，在甲方限定的移交期限内尽快从本项目中移除甲方或甲方指定接收方并不需要的乙方为再生水利用项目置备的财产。如果在甲方或甲方指定接收方发出要求乙方进行移除的通知后的5日之内，乙方未能完成移除，甲方或甲方指定接收方可以移除处理并不承担任何责任；</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w:t>
      </w:r>
      <w:r>
        <w:rPr>
          <w:rFonts w:hint="eastAsia" w:ascii="仿宋_GB2312" w:hAnsi="Times New Roman" w:eastAsia="仿宋_GB2312" w:cs="Times New Roman"/>
          <w:sz w:val="28"/>
          <w:szCs w:val="28"/>
          <w:lang w:val="en-US" w:eastAsia="zh-CN"/>
        </w:rPr>
        <w:t>3</w:t>
      </w:r>
      <w:r>
        <w:rPr>
          <w:rFonts w:hint="eastAsia" w:ascii="仿宋_GB2312" w:hAnsi="Times New Roman" w:eastAsia="仿宋_GB2312" w:cs="Times New Roman"/>
          <w:sz w:val="28"/>
          <w:szCs w:val="28"/>
        </w:rPr>
        <w:t>.2.5 对甲方或甲方指定接收方的接收人员进行专业培训，使其熟悉乙方对北京园博园再生水利用项目的的历史和现状、管理技术、维护技术、服务规范等，直至接收人员能够独立胜任工作；</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w:t>
      </w:r>
      <w:r>
        <w:rPr>
          <w:rFonts w:hint="eastAsia" w:ascii="仿宋_GB2312" w:hAnsi="Times New Roman" w:eastAsia="仿宋_GB2312" w:cs="Times New Roman"/>
          <w:sz w:val="28"/>
          <w:szCs w:val="28"/>
          <w:lang w:val="en-US" w:eastAsia="zh-CN"/>
        </w:rPr>
        <w:t>3</w:t>
      </w:r>
      <w:r>
        <w:rPr>
          <w:rFonts w:hint="eastAsia" w:ascii="仿宋_GB2312" w:hAnsi="Times New Roman" w:eastAsia="仿宋_GB2312" w:cs="Times New Roman"/>
          <w:sz w:val="28"/>
          <w:szCs w:val="28"/>
        </w:rPr>
        <w:t>.2.6 保持移交区域的整洁有序。</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w:t>
      </w:r>
      <w:r>
        <w:rPr>
          <w:rFonts w:hint="eastAsia" w:ascii="仿宋_GB2312" w:hAnsi="Times New Roman" w:eastAsia="仿宋_GB2312" w:cs="Times New Roman"/>
          <w:sz w:val="28"/>
          <w:szCs w:val="28"/>
          <w:lang w:val="en-US" w:eastAsia="zh-CN"/>
        </w:rPr>
        <w:t>3</w:t>
      </w:r>
      <w:r>
        <w:rPr>
          <w:rFonts w:hint="eastAsia" w:ascii="仿宋_GB2312" w:hAnsi="Times New Roman" w:eastAsia="仿宋_GB2312" w:cs="Times New Roman"/>
          <w:sz w:val="28"/>
          <w:szCs w:val="28"/>
        </w:rPr>
        <w:t>.3 解除合同（合同期内提前终止）时，乙方应在收到甲方解除合同通知书后10日内或甲方收到乙方解除合同通知书后20日内，按本合同13.2除“最迟在合同期届满前30日乙方应当开始进行移交准备，在接到甲方通知后7日内办理交接”时间约定外，办理移交。</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w:t>
      </w:r>
      <w:r>
        <w:rPr>
          <w:rFonts w:hint="eastAsia" w:ascii="仿宋_GB2312" w:hAnsi="Times New Roman" w:eastAsia="仿宋_GB2312" w:cs="Times New Roman"/>
          <w:sz w:val="28"/>
          <w:szCs w:val="28"/>
          <w:lang w:val="en-US" w:eastAsia="zh-CN"/>
        </w:rPr>
        <w:t>3</w:t>
      </w:r>
      <w:r>
        <w:rPr>
          <w:rFonts w:hint="eastAsia" w:ascii="仿宋_GB2312" w:hAnsi="Times New Roman" w:eastAsia="仿宋_GB2312" w:cs="Times New Roman"/>
          <w:sz w:val="28"/>
          <w:szCs w:val="28"/>
        </w:rPr>
        <w:t>.4 乙方的移交工作，应在保持再生水利用项目完整、持续、有效中进行，移交工作须达到甲方或甲方指定接收方满意的程度，收到甲方或甲方指定接收方的书面通知后，方可撤离。</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w:t>
      </w:r>
      <w:r>
        <w:rPr>
          <w:rFonts w:hint="eastAsia" w:ascii="仿宋_GB2312" w:hAnsi="Times New Roman" w:eastAsia="仿宋_GB2312" w:cs="Times New Roman"/>
          <w:sz w:val="28"/>
          <w:szCs w:val="28"/>
          <w:lang w:val="en-US" w:eastAsia="zh-CN"/>
        </w:rPr>
        <w:t>3</w:t>
      </w:r>
      <w:r>
        <w:rPr>
          <w:rFonts w:hint="eastAsia" w:ascii="仿宋_GB2312" w:hAnsi="Times New Roman" w:eastAsia="仿宋_GB2312" w:cs="Times New Roman"/>
          <w:sz w:val="28"/>
          <w:szCs w:val="28"/>
        </w:rPr>
        <w:t>.5 无论是合同期届满时的移交，还是解除合同时的移交，移交过程中项目范围内遭受的损失或损害的一切风险由乙方承担，除非该等损失或损害是由于甲方或甲方指定接收方造成的。</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w:t>
      </w:r>
      <w:r>
        <w:rPr>
          <w:rFonts w:hint="eastAsia" w:ascii="仿宋_GB2312" w:hAnsi="Times New Roman" w:eastAsia="仿宋_GB2312" w:cs="Times New Roman"/>
          <w:sz w:val="28"/>
          <w:szCs w:val="28"/>
          <w:lang w:val="en-US" w:eastAsia="zh-CN"/>
        </w:rPr>
        <w:t>3</w:t>
      </w:r>
      <w:r>
        <w:rPr>
          <w:rFonts w:hint="eastAsia" w:ascii="仿宋_GB2312" w:hAnsi="Times New Roman" w:eastAsia="仿宋_GB2312" w:cs="Times New Roman"/>
          <w:sz w:val="28"/>
          <w:szCs w:val="28"/>
        </w:rPr>
        <w:t>.6 甲方或甲方指定接收方无须为按照本合同约定的移交向乙方支付任何费用。甲方或甲方指定接收方和乙方应各自承担因移交与接收产生的成本和费用。</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w:t>
      </w:r>
      <w:r>
        <w:rPr>
          <w:rFonts w:hint="eastAsia" w:ascii="仿宋_GB2312" w:hAnsi="Times New Roman" w:eastAsia="仿宋_GB2312" w:cs="Times New Roman"/>
          <w:sz w:val="28"/>
          <w:szCs w:val="28"/>
          <w:lang w:val="en-US" w:eastAsia="zh-CN"/>
        </w:rPr>
        <w:t>3</w:t>
      </w:r>
      <w:r>
        <w:rPr>
          <w:rFonts w:hint="eastAsia" w:ascii="仿宋_GB2312" w:hAnsi="Times New Roman" w:eastAsia="仿宋_GB2312" w:cs="Times New Roman"/>
          <w:sz w:val="28"/>
          <w:szCs w:val="28"/>
        </w:rPr>
        <w:t>.7 移交接收完成，乙方在本合同中的权利和义务即告终止，但并不影响本合同中有关双方保密、结算、违约、争议解决等条款的效力。</w:t>
      </w:r>
    </w:p>
    <w:p>
      <w:pPr>
        <w:widowControl w:val="0"/>
        <w:autoSpaceDE w:val="0"/>
        <w:autoSpaceDN w:val="0"/>
        <w:adjustRightInd w:val="0"/>
        <w:ind w:firstLine="420"/>
        <w:jc w:val="left"/>
        <w:rPr>
          <w:rFonts w:ascii="宋体" w:hAnsi="Times New Roman" w:eastAsia="宋体" w:cs="Times New Roman"/>
          <w:kern w:val="2"/>
          <w:sz w:val="24"/>
          <w:szCs w:val="24"/>
          <w:lang w:val="en-US" w:eastAsia="zh-CN" w:bidi="ar-SA"/>
        </w:rPr>
      </w:pPr>
    </w:p>
    <w:p>
      <w:pPr>
        <w:adjustRightInd/>
        <w:snapToGrid/>
        <w:spacing w:line="560" w:lineRule="exact"/>
        <w:ind w:firstLine="562" w:firstLineChars="200"/>
        <w:rPr>
          <w:rFonts w:ascii="仿宋_GB2312" w:hAnsi="Times New Roman" w:eastAsia="仿宋_GB2312" w:cs="Times New Roman"/>
          <w:b/>
          <w:bCs/>
          <w:sz w:val="28"/>
          <w:szCs w:val="28"/>
        </w:rPr>
      </w:pPr>
      <w:r>
        <w:rPr>
          <w:rFonts w:hint="eastAsia" w:ascii="仿宋_GB2312" w:hAnsi="Times New Roman" w:eastAsia="仿宋_GB2312" w:cs="Times New Roman"/>
          <w:b/>
          <w:bCs/>
          <w:sz w:val="28"/>
          <w:szCs w:val="28"/>
        </w:rPr>
        <w:t>1</w:t>
      </w:r>
      <w:r>
        <w:rPr>
          <w:rFonts w:hint="eastAsia" w:ascii="仿宋_GB2312" w:hAnsi="Times New Roman" w:eastAsia="仿宋_GB2312" w:cs="Times New Roman"/>
          <w:b/>
          <w:bCs/>
          <w:sz w:val="28"/>
          <w:szCs w:val="28"/>
          <w:lang w:val="en-US" w:eastAsia="zh-CN"/>
        </w:rPr>
        <w:t>4</w:t>
      </w:r>
      <w:r>
        <w:rPr>
          <w:rFonts w:hint="eastAsia" w:ascii="仿宋_GB2312" w:hAnsi="Times New Roman" w:eastAsia="仿宋_GB2312" w:cs="Times New Roman"/>
          <w:b/>
          <w:bCs/>
          <w:sz w:val="28"/>
          <w:szCs w:val="28"/>
        </w:rPr>
        <w:t>.其他</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w:t>
      </w:r>
      <w:r>
        <w:rPr>
          <w:rFonts w:hint="eastAsia" w:ascii="仿宋_GB2312" w:hAnsi="Times New Roman" w:eastAsia="仿宋_GB2312" w:cs="Times New Roman"/>
          <w:sz w:val="28"/>
          <w:szCs w:val="28"/>
          <w:lang w:val="en-US" w:eastAsia="zh-CN"/>
        </w:rPr>
        <w:t>4</w:t>
      </w:r>
      <w:r>
        <w:rPr>
          <w:rFonts w:hint="eastAsia" w:ascii="仿宋_GB2312" w:hAnsi="Times New Roman" w:eastAsia="仿宋_GB2312" w:cs="Times New Roman"/>
          <w:sz w:val="28"/>
          <w:szCs w:val="28"/>
        </w:rPr>
        <w:t>.1 双方对在本合同签订、履行中获悉对方的商业秘密负有保密义务。双方在签订本合同同时签订保密责任书。</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w:t>
      </w:r>
      <w:r>
        <w:rPr>
          <w:rFonts w:hint="eastAsia" w:ascii="仿宋_GB2312" w:hAnsi="Times New Roman" w:eastAsia="仿宋_GB2312" w:cs="Times New Roman"/>
          <w:sz w:val="28"/>
          <w:szCs w:val="28"/>
          <w:lang w:val="en-US" w:eastAsia="zh-CN"/>
        </w:rPr>
        <w:t>4</w:t>
      </w:r>
      <w:r>
        <w:rPr>
          <w:rFonts w:hint="eastAsia" w:ascii="仿宋_GB2312" w:hAnsi="Times New Roman" w:eastAsia="仿宋_GB2312" w:cs="Times New Roman"/>
          <w:sz w:val="28"/>
          <w:szCs w:val="28"/>
        </w:rPr>
        <w:t>.2 非经甲方事先书面同意，乙方不得将本合同项下的权利和义务全部或部分转让给任何第三方。</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w:t>
      </w:r>
      <w:r>
        <w:rPr>
          <w:rFonts w:hint="eastAsia" w:ascii="仿宋_GB2312" w:hAnsi="Times New Roman" w:eastAsia="仿宋_GB2312" w:cs="Times New Roman"/>
          <w:sz w:val="28"/>
          <w:szCs w:val="28"/>
          <w:lang w:val="en-US" w:eastAsia="zh-CN"/>
        </w:rPr>
        <w:t>4</w:t>
      </w:r>
      <w:r>
        <w:rPr>
          <w:rFonts w:hint="eastAsia" w:ascii="仿宋_GB2312" w:hAnsi="Times New Roman" w:eastAsia="仿宋_GB2312" w:cs="Times New Roman"/>
          <w:sz w:val="28"/>
          <w:szCs w:val="28"/>
        </w:rPr>
        <w:t>.3 本合同任何一方对各自拥有合同权利的不行使或延迟行使，均不视为其对该权利的放弃及/或对双方合同义务的任何豁免。</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w:t>
      </w:r>
      <w:r>
        <w:rPr>
          <w:rFonts w:hint="eastAsia" w:ascii="仿宋_GB2312" w:hAnsi="Times New Roman" w:eastAsia="仿宋_GB2312" w:cs="Times New Roman"/>
          <w:sz w:val="28"/>
          <w:szCs w:val="28"/>
          <w:lang w:val="en-US" w:eastAsia="zh-CN"/>
        </w:rPr>
        <w:t>4</w:t>
      </w:r>
      <w:r>
        <w:rPr>
          <w:rFonts w:hint="eastAsia" w:ascii="仿宋_GB2312" w:hAnsi="Times New Roman" w:eastAsia="仿宋_GB2312" w:cs="Times New Roman"/>
          <w:sz w:val="28"/>
          <w:szCs w:val="28"/>
        </w:rPr>
        <w:t>.4 本合同附件为本合同不可分割的组成部分，与本合同具有同等法律效力。</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w:t>
      </w:r>
      <w:r>
        <w:rPr>
          <w:rFonts w:hint="eastAsia" w:ascii="仿宋_GB2312" w:hAnsi="Times New Roman" w:eastAsia="仿宋_GB2312" w:cs="Times New Roman"/>
          <w:sz w:val="28"/>
          <w:szCs w:val="28"/>
          <w:lang w:val="en-US" w:eastAsia="zh-CN"/>
        </w:rPr>
        <w:t>4</w:t>
      </w:r>
      <w:r>
        <w:rPr>
          <w:rFonts w:hint="eastAsia" w:ascii="仿宋_GB2312" w:hAnsi="Times New Roman" w:eastAsia="仿宋_GB2312" w:cs="Times New Roman"/>
          <w:sz w:val="28"/>
          <w:szCs w:val="28"/>
        </w:rPr>
        <w:t>.5 本合同及其补充协议中未规定的事宜，均遵照中华人民共和国有关法律、法规和规章执行。</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1</w:t>
      </w:r>
      <w:r>
        <w:rPr>
          <w:rFonts w:hint="eastAsia" w:ascii="仿宋_GB2312" w:hAnsi="Times New Roman" w:eastAsia="仿宋_GB2312" w:cs="Times New Roman"/>
          <w:sz w:val="28"/>
          <w:szCs w:val="28"/>
          <w:lang w:val="en-US" w:eastAsia="zh-CN"/>
        </w:rPr>
        <w:t>4</w:t>
      </w:r>
      <w:r>
        <w:rPr>
          <w:rFonts w:hint="eastAsia" w:ascii="仿宋_GB2312" w:hAnsi="Times New Roman" w:eastAsia="仿宋_GB2312" w:cs="Times New Roman"/>
          <w:sz w:val="28"/>
          <w:szCs w:val="28"/>
        </w:rPr>
        <w:t>.6 因房屋建筑质量、设施设备质量或安装技术等原因，达不到使用功能，造成重大事故的，由甲方承担责任并做善后处理。产生质量事故的直接原因，以政府主管部门的鉴定为准。乙方应积极配合甲方与有关方的协调工作。</w:t>
      </w:r>
    </w:p>
    <w:p>
      <w:pPr>
        <w:adjustRightInd/>
        <w:snapToGrid/>
        <w:spacing w:line="560"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lang w:val="en-US" w:eastAsia="zh-CN"/>
        </w:rPr>
        <w:t>14</w:t>
      </w:r>
      <w:r>
        <w:rPr>
          <w:rFonts w:hint="eastAsia" w:ascii="仿宋_GB2312" w:hAnsi="Times New Roman" w:eastAsia="仿宋_GB2312" w:cs="Times New Roman"/>
          <w:sz w:val="28"/>
          <w:szCs w:val="28"/>
        </w:rPr>
        <w:t>.7 乙方须积极协助配合甲方的标准化建设工作，整理各项标准化建设规范，并通过标准化建设不断规范自身管理。</w:t>
      </w:r>
    </w:p>
    <w:p>
      <w:pPr>
        <w:widowControl/>
        <w:adjustRightInd/>
        <w:snapToGrid/>
        <w:spacing w:line="560" w:lineRule="exact"/>
        <w:ind w:firstLine="560" w:firstLineChars="200"/>
        <w:contextualSpacing/>
        <w:rPr>
          <w:rFonts w:ascii="仿宋_GB2312" w:hAnsi="仿宋_GB2312" w:eastAsia="仿宋_GB2312" w:cs="仿宋_GB2312"/>
          <w:sz w:val="28"/>
          <w:szCs w:val="28"/>
        </w:rPr>
      </w:pP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lang w:val="en-US" w:eastAsia="zh-CN"/>
        </w:rPr>
        <w:t>4</w:t>
      </w:r>
      <w:r>
        <w:rPr>
          <w:rFonts w:hint="eastAsia" w:ascii="仿宋_GB2312" w:hAnsi="仿宋_GB2312" w:eastAsia="仿宋_GB2312" w:cs="仿宋_GB2312"/>
          <w:sz w:val="28"/>
          <w:szCs w:val="28"/>
        </w:rPr>
        <w:t>.8 乙方应为项目团队人员提供统一工装。</w:t>
      </w:r>
    </w:p>
    <w:p>
      <w:pPr>
        <w:widowControl/>
        <w:adjustRightInd/>
        <w:snapToGrid/>
        <w:spacing w:line="560" w:lineRule="exact"/>
        <w:ind w:firstLine="560" w:firstLineChars="200"/>
        <w:contextualSpacing/>
        <w:rPr>
          <w:rFonts w:ascii="仿宋_GB2312" w:hAnsi="仿宋_GB2312" w:eastAsia="仿宋_GB2312" w:cs="仿宋_GB2312"/>
          <w:sz w:val="28"/>
          <w:szCs w:val="28"/>
        </w:rPr>
      </w:pP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lang w:val="en-US" w:eastAsia="zh-CN"/>
        </w:rPr>
        <w:t>4</w:t>
      </w:r>
      <w:r>
        <w:rPr>
          <w:rFonts w:hint="eastAsia" w:ascii="仿宋_GB2312" w:hAnsi="仿宋_GB2312" w:eastAsia="仿宋_GB2312" w:cs="仿宋_GB2312"/>
          <w:sz w:val="28"/>
          <w:szCs w:val="28"/>
        </w:rPr>
        <w:t>.9 乙方应提供本项目服务所需的全部工具和劳动保护用品，劳动保护用品和安全用具须在有效检测期内。</w:t>
      </w:r>
    </w:p>
    <w:p>
      <w:pPr>
        <w:widowControl/>
        <w:adjustRightInd/>
        <w:snapToGrid/>
        <w:spacing w:line="560" w:lineRule="exact"/>
        <w:ind w:firstLine="560" w:firstLineChars="200"/>
        <w:contextualSpacing/>
        <w:rPr>
          <w:rFonts w:ascii="Times New Roman" w:hAnsi="Times New Roman" w:eastAsia="宋体" w:cs="Times New Roman"/>
          <w:sz w:val="21"/>
          <w:szCs w:val="24"/>
        </w:rPr>
      </w:pP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lang w:val="en-US" w:eastAsia="zh-CN"/>
        </w:rPr>
        <w:t>4</w:t>
      </w:r>
      <w:r>
        <w:rPr>
          <w:rFonts w:hint="eastAsia" w:ascii="仿宋_GB2312" w:hAnsi="仿宋_GB2312" w:eastAsia="仿宋_GB2312" w:cs="仿宋_GB2312"/>
          <w:sz w:val="28"/>
          <w:szCs w:val="28"/>
        </w:rPr>
        <w:t>.10 乙方应负责清运本项目服务过程中所产生的垃圾、渣土、杂物等。</w:t>
      </w:r>
    </w:p>
    <w:p>
      <w:pPr>
        <w:adjustRightInd/>
        <w:snapToGrid/>
        <w:spacing w:line="560" w:lineRule="exact"/>
        <w:ind w:firstLine="560" w:firstLineChars="200"/>
        <w:rPr>
          <w:rFonts w:hint="eastAsia" w:ascii="仿宋_GB2312" w:hAnsi="Times New Roman" w:eastAsia="仿宋_GB2312" w:cs="Times New Roman"/>
          <w:sz w:val="28"/>
          <w:szCs w:val="28"/>
        </w:rPr>
      </w:pPr>
      <w:r>
        <w:rPr>
          <w:rFonts w:hint="eastAsia" w:ascii="仿宋_GB2312" w:hAnsi="Times New Roman" w:eastAsia="仿宋_GB2312" w:cs="Times New Roman"/>
          <w:sz w:val="28"/>
          <w:szCs w:val="28"/>
        </w:rPr>
        <w:t>1</w:t>
      </w:r>
      <w:r>
        <w:rPr>
          <w:rFonts w:hint="eastAsia" w:ascii="仿宋_GB2312" w:hAnsi="Times New Roman" w:eastAsia="仿宋_GB2312" w:cs="Times New Roman"/>
          <w:sz w:val="28"/>
          <w:szCs w:val="28"/>
          <w:lang w:val="en-US" w:eastAsia="zh-CN"/>
        </w:rPr>
        <w:t>4</w:t>
      </w:r>
      <w:r>
        <w:rPr>
          <w:rFonts w:hint="eastAsia" w:ascii="仿宋_GB2312" w:hAnsi="Times New Roman" w:eastAsia="仿宋_GB2312" w:cs="Times New Roman"/>
          <w:sz w:val="28"/>
          <w:szCs w:val="28"/>
        </w:rPr>
        <w:t>.11 本合同双方签字盖章后生效。</w:t>
      </w:r>
    </w:p>
    <w:p>
      <w:pPr>
        <w:pStyle w:val="2"/>
      </w:pPr>
    </w:p>
    <w:p>
      <w:pPr>
        <w:adjustRightInd/>
        <w:snapToGrid/>
        <w:spacing w:line="560" w:lineRule="exact"/>
        <w:rPr>
          <w:rFonts w:ascii="仿宋" w:hAnsi="仿宋" w:eastAsia="仿宋" w:cs="Times New Roman"/>
          <w:b/>
          <w:bCs/>
          <w:sz w:val="32"/>
          <w:szCs w:val="24"/>
        </w:rPr>
      </w:pPr>
      <w:bookmarkStart w:id="170" w:name="_Toc83723847"/>
      <w:r>
        <w:rPr>
          <w:rFonts w:hint="eastAsia" w:ascii="仿宋" w:hAnsi="仿宋" w:eastAsia="仿宋" w:cs="Times New Roman"/>
          <w:b/>
          <w:bCs/>
          <w:sz w:val="32"/>
          <w:szCs w:val="24"/>
        </w:rPr>
        <w:t>附件1 2024年园博园再生水利用项目项目部组织架构图</w:t>
      </w:r>
      <w:bookmarkEnd w:id="170"/>
    </w:p>
    <w:p>
      <w:pPr>
        <w:adjustRightInd/>
        <w:snapToGrid/>
        <w:spacing w:line="560" w:lineRule="exact"/>
        <w:ind w:firstLine="560" w:firstLineChars="200"/>
        <w:outlineLvl w:val="0"/>
        <w:rPr>
          <w:rFonts w:ascii="仿宋_GB2312" w:hAnsi="微软雅黑" w:eastAsia="仿宋_GB2312" w:cs="仿宋_GB2312"/>
          <w:bCs/>
          <w:kern w:val="4"/>
          <w:sz w:val="28"/>
          <w:szCs w:val="28"/>
        </w:rPr>
      </w:pPr>
      <w:bookmarkStart w:id="171" w:name="_Toc31042"/>
      <w:r>
        <w:rPr>
          <w:rFonts w:hint="eastAsia" w:ascii="仿宋_GB2312" w:hAnsi="微软雅黑" w:eastAsia="仿宋_GB2312" w:cs="仿宋_GB2312"/>
          <w:bCs/>
          <w:kern w:val="4"/>
          <w:sz w:val="28"/>
          <w:szCs w:val="28"/>
        </w:rPr>
        <w:t>由中标方提供</w:t>
      </w:r>
      <w:bookmarkEnd w:id="171"/>
    </w:p>
    <w:p>
      <w:pPr>
        <w:adjustRightInd/>
        <w:snapToGrid/>
        <w:spacing w:line="240" w:lineRule="auto"/>
        <w:rPr>
          <w:rFonts w:ascii="仿宋" w:hAnsi="仿宋" w:eastAsia="仿宋" w:cs="仿宋_GB2312"/>
          <w:bCs/>
          <w:kern w:val="4"/>
          <w:sz w:val="24"/>
          <w:szCs w:val="24"/>
        </w:rPr>
      </w:pPr>
    </w:p>
    <w:p>
      <w:pPr>
        <w:keepNext/>
        <w:keepLines/>
        <w:widowControl w:val="0"/>
        <w:tabs>
          <w:tab w:val="left" w:pos="3828"/>
        </w:tabs>
        <w:autoSpaceDE w:val="0"/>
        <w:autoSpaceDN w:val="0"/>
        <w:adjustRightInd w:val="0"/>
        <w:spacing w:before="360" w:after="120"/>
        <w:jc w:val="left"/>
        <w:outlineLvl w:val="2"/>
        <w:rPr>
          <w:rFonts w:ascii="仿宋" w:hAnsi="仿宋" w:eastAsia="仿宋" w:cs="Times New Roman"/>
          <w:b/>
          <w:bCs/>
          <w:kern w:val="2"/>
          <w:sz w:val="32"/>
          <w:szCs w:val="24"/>
          <w:u w:val="none"/>
          <w:lang w:val="en-US" w:eastAsia="zh-CN" w:bidi="ar-SA"/>
        </w:rPr>
      </w:pPr>
      <w:bookmarkStart w:id="172" w:name="_Toc83723848"/>
      <w:bookmarkStart w:id="173" w:name="_Toc9340"/>
      <w:r>
        <w:rPr>
          <w:rFonts w:hint="eastAsia" w:ascii="仿宋" w:hAnsi="仿宋" w:eastAsia="仿宋" w:cs="Times New Roman"/>
          <w:b/>
          <w:bCs/>
          <w:kern w:val="2"/>
          <w:sz w:val="32"/>
          <w:szCs w:val="24"/>
          <w:u w:val="none"/>
          <w:lang w:val="en-US" w:eastAsia="zh-CN" w:bidi="ar-SA"/>
        </w:rPr>
        <w:t>附件2 再生水利用项目考核办法</w:t>
      </w:r>
      <w:bookmarkEnd w:id="172"/>
      <w:bookmarkEnd w:id="173"/>
      <w:bookmarkStart w:id="174" w:name="_Toc306612485"/>
    </w:p>
    <w:p>
      <w:pPr>
        <w:adjustRightInd/>
        <w:snapToGrid/>
        <w:spacing w:line="360" w:lineRule="auto"/>
        <w:ind w:firstLine="482" w:firstLineChars="200"/>
        <w:rPr>
          <w:rFonts w:ascii="仿宋" w:hAnsi="仿宋" w:eastAsia="仿宋" w:cs="仿宋_GB2312"/>
          <w:b/>
          <w:sz w:val="24"/>
          <w:szCs w:val="24"/>
        </w:rPr>
      </w:pPr>
      <w:r>
        <w:rPr>
          <w:rFonts w:ascii="仿宋" w:hAnsi="仿宋" w:eastAsia="仿宋" w:cs="仿宋_GB2312"/>
          <w:b/>
          <w:sz w:val="24"/>
          <w:szCs w:val="24"/>
        </w:rPr>
        <w:t>1</w:t>
      </w:r>
      <w:r>
        <w:rPr>
          <w:rFonts w:hint="eastAsia" w:ascii="仿宋" w:hAnsi="仿宋" w:eastAsia="仿宋" w:cs="仿宋_GB2312"/>
          <w:b/>
          <w:sz w:val="24"/>
          <w:szCs w:val="24"/>
        </w:rPr>
        <w:t>.目的</w:t>
      </w:r>
      <w:bookmarkEnd w:id="174"/>
    </w:p>
    <w:p>
      <w:pPr>
        <w:adjustRightInd/>
        <w:snapToGrid/>
        <w:spacing w:line="360" w:lineRule="auto"/>
        <w:ind w:firstLine="480" w:firstLineChars="200"/>
        <w:rPr>
          <w:rFonts w:ascii="仿宋" w:hAnsi="仿宋" w:eastAsia="仿宋" w:cs="仿宋_GB2312"/>
          <w:sz w:val="24"/>
          <w:szCs w:val="24"/>
        </w:rPr>
      </w:pPr>
      <w:r>
        <w:rPr>
          <w:rFonts w:hint="eastAsia" w:ascii="仿宋" w:hAnsi="仿宋" w:eastAsia="仿宋" w:cs="仿宋_GB2312"/>
          <w:sz w:val="24"/>
          <w:szCs w:val="24"/>
        </w:rPr>
        <w:t>为保障北京园博园管理中心开放运行达到“展示一流、服务一流、效率一流”的运营目标，为广大参观者创造良好参观环境与优质服务，加强、巩固和提升外包服务质量和标准，特制定本考核办法（暂行）。</w:t>
      </w:r>
    </w:p>
    <w:p>
      <w:pPr>
        <w:adjustRightInd/>
        <w:snapToGrid/>
        <w:spacing w:line="360" w:lineRule="auto"/>
        <w:ind w:firstLine="482" w:firstLineChars="200"/>
        <w:rPr>
          <w:rFonts w:ascii="仿宋" w:hAnsi="仿宋" w:eastAsia="仿宋" w:cs="仿宋_GB2312"/>
          <w:b/>
          <w:sz w:val="24"/>
          <w:szCs w:val="24"/>
        </w:rPr>
      </w:pPr>
      <w:bookmarkStart w:id="175" w:name="_Toc306612486"/>
      <w:r>
        <w:rPr>
          <w:rFonts w:ascii="仿宋" w:hAnsi="仿宋" w:eastAsia="仿宋" w:cs="仿宋_GB2312"/>
          <w:b/>
          <w:sz w:val="24"/>
          <w:szCs w:val="24"/>
        </w:rPr>
        <w:t>2</w:t>
      </w:r>
      <w:r>
        <w:rPr>
          <w:rFonts w:hint="eastAsia" w:ascii="仿宋" w:hAnsi="仿宋" w:eastAsia="仿宋" w:cs="仿宋_GB2312"/>
          <w:b/>
          <w:sz w:val="24"/>
          <w:szCs w:val="24"/>
        </w:rPr>
        <w:t>.适用范围</w:t>
      </w:r>
      <w:bookmarkEnd w:id="175"/>
    </w:p>
    <w:p>
      <w:pPr>
        <w:adjustRightInd/>
        <w:snapToGrid/>
        <w:spacing w:line="360" w:lineRule="auto"/>
        <w:ind w:firstLine="480" w:firstLineChars="200"/>
        <w:rPr>
          <w:rFonts w:ascii="仿宋" w:hAnsi="仿宋" w:eastAsia="仿宋" w:cs="Times New Roman"/>
          <w:sz w:val="24"/>
          <w:szCs w:val="24"/>
        </w:rPr>
      </w:pPr>
      <w:r>
        <w:rPr>
          <w:rFonts w:hint="eastAsia" w:ascii="仿宋" w:hAnsi="仿宋" w:eastAsia="仿宋" w:cs="仿宋_GB2312"/>
          <w:sz w:val="24"/>
          <w:szCs w:val="24"/>
        </w:rPr>
        <w:t>根据《2024年园博园再生水利用项目合同》的有关规定，本办法适用于北京园博园管理中心对再生水利用项目所聘用的外包服务团队的服务管理工作进行考核和评价。</w:t>
      </w:r>
    </w:p>
    <w:p>
      <w:pPr>
        <w:adjustRightInd/>
        <w:snapToGrid/>
        <w:spacing w:line="360" w:lineRule="auto"/>
        <w:ind w:firstLine="482" w:firstLineChars="200"/>
        <w:rPr>
          <w:rFonts w:ascii="仿宋" w:hAnsi="仿宋" w:eastAsia="仿宋" w:cs="仿宋_GB2312"/>
          <w:b/>
          <w:sz w:val="24"/>
          <w:szCs w:val="24"/>
        </w:rPr>
      </w:pPr>
      <w:bookmarkStart w:id="176" w:name="_Toc306612487"/>
      <w:r>
        <w:rPr>
          <w:rFonts w:ascii="仿宋" w:hAnsi="仿宋" w:eastAsia="仿宋" w:cs="仿宋_GB2312"/>
          <w:b/>
          <w:sz w:val="24"/>
          <w:szCs w:val="24"/>
        </w:rPr>
        <w:t>3</w:t>
      </w:r>
      <w:r>
        <w:rPr>
          <w:rFonts w:hint="eastAsia" w:ascii="仿宋" w:hAnsi="仿宋" w:eastAsia="仿宋" w:cs="仿宋_GB2312"/>
          <w:b/>
          <w:sz w:val="24"/>
          <w:szCs w:val="24"/>
        </w:rPr>
        <w:t>.组织领导</w:t>
      </w:r>
      <w:bookmarkEnd w:id="176"/>
    </w:p>
    <w:p>
      <w:pPr>
        <w:adjustRightInd/>
        <w:snapToGrid/>
        <w:spacing w:line="360" w:lineRule="auto"/>
        <w:ind w:firstLine="480" w:firstLineChars="200"/>
        <w:jc w:val="left"/>
        <w:rPr>
          <w:rFonts w:ascii="仿宋" w:hAnsi="仿宋" w:eastAsia="仿宋" w:cs="Times New Roman"/>
          <w:sz w:val="24"/>
          <w:szCs w:val="24"/>
        </w:rPr>
      </w:pPr>
      <w:r>
        <w:rPr>
          <w:rFonts w:ascii="仿宋" w:hAnsi="仿宋" w:eastAsia="仿宋" w:cs="仿宋_GB2312"/>
          <w:sz w:val="24"/>
          <w:szCs w:val="24"/>
        </w:rPr>
        <w:t xml:space="preserve">3.1 </w:t>
      </w:r>
      <w:r>
        <w:rPr>
          <w:rFonts w:hint="eastAsia" w:ascii="仿宋" w:hAnsi="仿宋" w:eastAsia="仿宋" w:cs="仿宋_GB2312"/>
          <w:sz w:val="24"/>
          <w:szCs w:val="24"/>
        </w:rPr>
        <w:t>再生水利用项目项目由北京园博园管理中心工程物业部负责本办法的落实（考核）工作。</w:t>
      </w:r>
    </w:p>
    <w:p>
      <w:pPr>
        <w:adjustRightInd/>
        <w:snapToGrid/>
        <w:spacing w:line="360" w:lineRule="auto"/>
        <w:ind w:firstLine="480" w:firstLineChars="200"/>
        <w:jc w:val="left"/>
        <w:rPr>
          <w:rFonts w:ascii="仿宋" w:hAnsi="仿宋" w:eastAsia="仿宋" w:cs="Times New Roman"/>
          <w:sz w:val="24"/>
          <w:szCs w:val="24"/>
        </w:rPr>
      </w:pPr>
      <w:r>
        <w:rPr>
          <w:rFonts w:ascii="仿宋" w:hAnsi="仿宋" w:eastAsia="仿宋" w:cs="仿宋_GB2312"/>
          <w:sz w:val="24"/>
          <w:szCs w:val="24"/>
        </w:rPr>
        <w:t xml:space="preserve">3.2 </w:t>
      </w:r>
      <w:r>
        <w:rPr>
          <w:rFonts w:hint="eastAsia" w:ascii="仿宋" w:hAnsi="仿宋" w:eastAsia="仿宋" w:cs="仿宋_GB2312"/>
          <w:sz w:val="24"/>
          <w:szCs w:val="24"/>
        </w:rPr>
        <w:t>由北京园博园管理中心工程物业部成立考核组。</w:t>
      </w:r>
    </w:p>
    <w:p>
      <w:pPr>
        <w:adjustRightInd/>
        <w:snapToGrid/>
        <w:spacing w:line="360" w:lineRule="auto"/>
        <w:ind w:firstLine="480" w:firstLineChars="200"/>
        <w:jc w:val="left"/>
        <w:rPr>
          <w:rFonts w:ascii="仿宋" w:hAnsi="仿宋" w:eastAsia="仿宋" w:cs="仿宋_GB2312"/>
          <w:sz w:val="24"/>
          <w:szCs w:val="24"/>
          <w:highlight w:val="yellow"/>
        </w:rPr>
      </w:pPr>
      <w:r>
        <w:rPr>
          <w:rFonts w:ascii="仿宋" w:hAnsi="仿宋" w:eastAsia="仿宋" w:cs="仿宋_GB2312"/>
          <w:sz w:val="24"/>
          <w:szCs w:val="24"/>
        </w:rPr>
        <w:t>3.3</w:t>
      </w:r>
      <w:r>
        <w:rPr>
          <w:rFonts w:hint="eastAsia" w:ascii="仿宋" w:hAnsi="仿宋" w:eastAsia="仿宋" w:cs="仿宋_GB2312"/>
          <w:sz w:val="24"/>
          <w:szCs w:val="24"/>
        </w:rPr>
        <w:t xml:space="preserve"> 北京园博园管理中心部门副主任（业务部门主管领导）负责考评的总体管理、督查及对考核结果的审核。</w:t>
      </w:r>
    </w:p>
    <w:p>
      <w:pPr>
        <w:adjustRightInd/>
        <w:snapToGrid/>
        <w:spacing w:line="360" w:lineRule="auto"/>
        <w:ind w:firstLine="482" w:firstLineChars="200"/>
        <w:rPr>
          <w:rFonts w:ascii="仿宋" w:hAnsi="仿宋" w:eastAsia="仿宋" w:cs="仿宋_GB2312"/>
          <w:b/>
          <w:sz w:val="24"/>
          <w:szCs w:val="24"/>
        </w:rPr>
      </w:pPr>
      <w:bookmarkStart w:id="177" w:name="_Toc306612488"/>
      <w:r>
        <w:rPr>
          <w:rFonts w:ascii="仿宋" w:hAnsi="仿宋" w:eastAsia="仿宋" w:cs="仿宋_GB2312"/>
          <w:b/>
          <w:sz w:val="24"/>
          <w:szCs w:val="24"/>
        </w:rPr>
        <w:t>4</w:t>
      </w:r>
      <w:r>
        <w:rPr>
          <w:rFonts w:hint="eastAsia" w:ascii="仿宋" w:hAnsi="仿宋" w:eastAsia="仿宋" w:cs="仿宋_GB2312"/>
          <w:b/>
          <w:sz w:val="24"/>
          <w:szCs w:val="24"/>
        </w:rPr>
        <w:t>.考核依据</w:t>
      </w:r>
      <w:bookmarkEnd w:id="177"/>
    </w:p>
    <w:p>
      <w:pPr>
        <w:adjustRightInd/>
        <w:snapToGrid/>
        <w:spacing w:line="360" w:lineRule="auto"/>
        <w:ind w:firstLine="480" w:firstLineChars="200"/>
        <w:jc w:val="left"/>
        <w:rPr>
          <w:rFonts w:ascii="仿宋" w:hAnsi="仿宋" w:eastAsia="仿宋" w:cs="Times New Roman"/>
          <w:sz w:val="24"/>
          <w:szCs w:val="24"/>
        </w:rPr>
      </w:pPr>
      <w:r>
        <w:rPr>
          <w:rFonts w:ascii="仿宋" w:hAnsi="仿宋" w:eastAsia="仿宋" w:cs="仿宋_GB2312"/>
          <w:sz w:val="24"/>
          <w:szCs w:val="24"/>
        </w:rPr>
        <w:t>4.1</w:t>
      </w:r>
      <w:r>
        <w:rPr>
          <w:rFonts w:hint="eastAsia" w:ascii="仿宋" w:hAnsi="仿宋" w:eastAsia="仿宋" w:cs="仿宋_GB2312"/>
          <w:sz w:val="24"/>
          <w:szCs w:val="24"/>
        </w:rPr>
        <w:t>外包服务管理委托合同及附件要求</w:t>
      </w:r>
    </w:p>
    <w:p>
      <w:pPr>
        <w:adjustRightInd/>
        <w:snapToGrid/>
        <w:spacing w:line="360" w:lineRule="auto"/>
        <w:ind w:firstLine="480" w:firstLineChars="200"/>
        <w:jc w:val="left"/>
        <w:rPr>
          <w:rFonts w:ascii="仿宋" w:hAnsi="仿宋" w:eastAsia="仿宋" w:cs="Times New Roman"/>
          <w:sz w:val="24"/>
          <w:szCs w:val="24"/>
        </w:rPr>
      </w:pPr>
      <w:r>
        <w:rPr>
          <w:rFonts w:ascii="仿宋" w:hAnsi="仿宋" w:eastAsia="仿宋" w:cs="仿宋_GB2312"/>
          <w:sz w:val="24"/>
          <w:szCs w:val="24"/>
        </w:rPr>
        <w:t>4.2</w:t>
      </w:r>
      <w:r>
        <w:rPr>
          <w:rFonts w:hint="eastAsia" w:ascii="仿宋" w:hAnsi="仿宋" w:eastAsia="仿宋" w:cs="仿宋_GB2312"/>
          <w:sz w:val="24"/>
          <w:szCs w:val="24"/>
        </w:rPr>
        <w:t>行业法律法规要求</w:t>
      </w:r>
    </w:p>
    <w:p>
      <w:pPr>
        <w:adjustRightInd/>
        <w:snapToGrid/>
        <w:spacing w:line="360" w:lineRule="auto"/>
        <w:ind w:firstLine="480" w:firstLineChars="200"/>
        <w:jc w:val="left"/>
        <w:rPr>
          <w:rFonts w:ascii="仿宋" w:hAnsi="仿宋" w:eastAsia="仿宋" w:cs="Times New Roman"/>
          <w:sz w:val="24"/>
          <w:szCs w:val="24"/>
        </w:rPr>
      </w:pPr>
      <w:r>
        <w:rPr>
          <w:rFonts w:ascii="仿宋" w:hAnsi="仿宋" w:eastAsia="仿宋" w:cs="仿宋_GB2312"/>
          <w:sz w:val="24"/>
          <w:szCs w:val="24"/>
        </w:rPr>
        <w:t>4.3</w:t>
      </w:r>
      <w:r>
        <w:rPr>
          <w:rFonts w:hint="eastAsia" w:ascii="仿宋" w:hAnsi="仿宋" w:eastAsia="仿宋" w:cs="仿宋_GB2312"/>
          <w:sz w:val="24"/>
          <w:szCs w:val="24"/>
        </w:rPr>
        <w:t>北京园博园管理中心相关制度、工作手册等</w:t>
      </w:r>
    </w:p>
    <w:p>
      <w:pPr>
        <w:adjustRightInd/>
        <w:snapToGrid/>
        <w:spacing w:line="360" w:lineRule="auto"/>
        <w:ind w:firstLine="480" w:firstLineChars="200"/>
        <w:jc w:val="left"/>
        <w:rPr>
          <w:rFonts w:ascii="仿宋" w:hAnsi="仿宋" w:eastAsia="仿宋" w:cs="Times New Roman"/>
          <w:sz w:val="24"/>
          <w:szCs w:val="24"/>
        </w:rPr>
      </w:pPr>
      <w:r>
        <w:rPr>
          <w:rFonts w:ascii="仿宋" w:hAnsi="仿宋" w:eastAsia="仿宋" w:cs="仿宋_GB2312"/>
          <w:sz w:val="24"/>
          <w:szCs w:val="24"/>
        </w:rPr>
        <w:t>4.4</w:t>
      </w:r>
      <w:r>
        <w:rPr>
          <w:rFonts w:hint="eastAsia" w:ascii="仿宋" w:hAnsi="仿宋" w:eastAsia="仿宋" w:cs="仿宋_GB2312"/>
          <w:sz w:val="24"/>
          <w:szCs w:val="24"/>
        </w:rPr>
        <w:t>乙方及其北京园博园外包服务管理文件、作业指导书</w:t>
      </w:r>
    </w:p>
    <w:p>
      <w:pPr>
        <w:adjustRightInd/>
        <w:snapToGrid/>
        <w:spacing w:line="360" w:lineRule="auto"/>
        <w:ind w:firstLine="482" w:firstLineChars="200"/>
        <w:rPr>
          <w:rFonts w:ascii="仿宋" w:hAnsi="仿宋" w:eastAsia="仿宋" w:cs="仿宋_GB2312"/>
          <w:b/>
          <w:sz w:val="24"/>
          <w:szCs w:val="24"/>
        </w:rPr>
      </w:pPr>
      <w:bookmarkStart w:id="178" w:name="_Toc306612489"/>
      <w:r>
        <w:rPr>
          <w:rFonts w:ascii="仿宋" w:hAnsi="仿宋" w:eastAsia="仿宋" w:cs="仿宋_GB2312"/>
          <w:b/>
          <w:sz w:val="24"/>
          <w:szCs w:val="24"/>
        </w:rPr>
        <w:t>5</w:t>
      </w:r>
      <w:r>
        <w:rPr>
          <w:rFonts w:hint="eastAsia" w:ascii="仿宋" w:hAnsi="仿宋" w:eastAsia="仿宋" w:cs="仿宋_GB2312"/>
          <w:b/>
          <w:sz w:val="24"/>
          <w:szCs w:val="24"/>
        </w:rPr>
        <w:t>.考核形式</w:t>
      </w:r>
      <w:bookmarkEnd w:id="178"/>
    </w:p>
    <w:p>
      <w:pPr>
        <w:adjustRightInd/>
        <w:snapToGrid/>
        <w:spacing w:line="360" w:lineRule="auto"/>
        <w:ind w:firstLine="480" w:firstLineChars="200"/>
        <w:jc w:val="left"/>
        <w:rPr>
          <w:rFonts w:ascii="仿宋" w:hAnsi="仿宋" w:eastAsia="仿宋" w:cs="Times New Roman"/>
          <w:sz w:val="24"/>
          <w:szCs w:val="24"/>
        </w:rPr>
      </w:pPr>
      <w:r>
        <w:rPr>
          <w:rFonts w:ascii="仿宋" w:hAnsi="仿宋" w:eastAsia="仿宋" w:cs="仿宋_GB2312"/>
          <w:sz w:val="24"/>
          <w:szCs w:val="24"/>
        </w:rPr>
        <w:t>5.</w:t>
      </w:r>
      <w:r>
        <w:rPr>
          <w:rFonts w:hint="eastAsia" w:ascii="仿宋" w:hAnsi="仿宋" w:eastAsia="仿宋" w:cs="仿宋_GB2312"/>
          <w:sz w:val="24"/>
          <w:szCs w:val="24"/>
        </w:rPr>
        <w:t>1每年考核12次</w:t>
      </w:r>
    </w:p>
    <w:p>
      <w:pPr>
        <w:adjustRightInd/>
        <w:snapToGrid/>
        <w:spacing w:line="360" w:lineRule="auto"/>
        <w:ind w:firstLine="480" w:firstLineChars="200"/>
        <w:jc w:val="left"/>
        <w:rPr>
          <w:rFonts w:ascii="仿宋" w:hAnsi="仿宋" w:eastAsia="仿宋" w:cs="Times New Roman"/>
          <w:sz w:val="24"/>
          <w:szCs w:val="24"/>
        </w:rPr>
      </w:pPr>
      <w:r>
        <w:rPr>
          <w:rFonts w:ascii="仿宋" w:hAnsi="仿宋" w:eastAsia="仿宋" w:cs="仿宋_GB2312"/>
          <w:sz w:val="24"/>
          <w:szCs w:val="24"/>
        </w:rPr>
        <w:t>5.</w:t>
      </w:r>
      <w:r>
        <w:rPr>
          <w:rFonts w:hint="eastAsia" w:ascii="仿宋" w:hAnsi="仿宋" w:eastAsia="仿宋" w:cs="仿宋_GB2312"/>
          <w:sz w:val="24"/>
          <w:szCs w:val="24"/>
        </w:rPr>
        <w:t>2 季度考核，季度内三次平均分为季度考核分数</w:t>
      </w:r>
    </w:p>
    <w:p>
      <w:pPr>
        <w:adjustRightInd/>
        <w:snapToGrid/>
        <w:spacing w:line="360" w:lineRule="auto"/>
        <w:ind w:firstLine="482" w:firstLineChars="200"/>
        <w:rPr>
          <w:rFonts w:ascii="仿宋" w:hAnsi="仿宋" w:eastAsia="仿宋" w:cs="仿宋_GB2312"/>
          <w:b/>
          <w:sz w:val="24"/>
          <w:szCs w:val="24"/>
        </w:rPr>
      </w:pPr>
      <w:bookmarkStart w:id="179" w:name="_Toc306612490"/>
      <w:r>
        <w:rPr>
          <w:rFonts w:ascii="仿宋" w:hAnsi="仿宋" w:eastAsia="仿宋" w:cs="仿宋_GB2312"/>
          <w:b/>
          <w:sz w:val="24"/>
          <w:szCs w:val="24"/>
        </w:rPr>
        <w:t>6</w:t>
      </w:r>
      <w:r>
        <w:rPr>
          <w:rFonts w:hint="eastAsia" w:ascii="仿宋" w:hAnsi="仿宋" w:eastAsia="仿宋" w:cs="仿宋_GB2312"/>
          <w:b/>
          <w:sz w:val="24"/>
          <w:szCs w:val="24"/>
        </w:rPr>
        <w:t>.内容与方法</w:t>
      </w:r>
      <w:bookmarkEnd w:id="179"/>
    </w:p>
    <w:p>
      <w:pPr>
        <w:adjustRightInd/>
        <w:snapToGrid/>
        <w:spacing w:line="360" w:lineRule="auto"/>
        <w:ind w:firstLine="480" w:firstLineChars="200"/>
        <w:jc w:val="left"/>
        <w:rPr>
          <w:rFonts w:ascii="仿宋" w:hAnsi="仿宋" w:eastAsia="仿宋" w:cs="仿宋_GB2312"/>
          <w:sz w:val="24"/>
          <w:szCs w:val="24"/>
        </w:rPr>
      </w:pPr>
      <w:r>
        <w:rPr>
          <w:rFonts w:ascii="仿宋" w:hAnsi="仿宋" w:eastAsia="仿宋" w:cs="仿宋_GB2312"/>
          <w:sz w:val="24"/>
          <w:szCs w:val="24"/>
        </w:rPr>
        <w:t>6.1</w:t>
      </w:r>
      <w:r>
        <w:rPr>
          <w:rFonts w:hint="eastAsia" w:ascii="仿宋" w:hAnsi="仿宋" w:eastAsia="仿宋" w:cs="仿宋_GB2312"/>
          <w:sz w:val="24"/>
          <w:szCs w:val="24"/>
        </w:rPr>
        <w:t xml:space="preserve"> 设施维护考核</w:t>
      </w:r>
    </w:p>
    <w:p>
      <w:pPr>
        <w:adjustRightInd/>
        <w:snapToGrid/>
        <w:spacing w:line="360" w:lineRule="auto"/>
        <w:ind w:firstLine="480" w:firstLineChars="200"/>
        <w:jc w:val="left"/>
        <w:rPr>
          <w:rFonts w:ascii="仿宋" w:hAnsi="仿宋" w:eastAsia="仿宋" w:cs="仿宋_GB2312"/>
          <w:sz w:val="24"/>
          <w:szCs w:val="24"/>
        </w:rPr>
      </w:pPr>
      <w:r>
        <w:rPr>
          <w:rFonts w:ascii="仿宋" w:hAnsi="仿宋" w:eastAsia="仿宋" w:cs="仿宋_GB2312"/>
          <w:sz w:val="24"/>
          <w:szCs w:val="24"/>
        </w:rPr>
        <w:t>6.1.1</w:t>
      </w:r>
      <w:r>
        <w:rPr>
          <w:rFonts w:hint="eastAsia" w:ascii="仿宋" w:hAnsi="仿宋" w:eastAsia="仿宋" w:cs="仿宋_GB2312"/>
          <w:sz w:val="24"/>
          <w:szCs w:val="24"/>
        </w:rPr>
        <w:t>对本周期内涉及的服务工作进行考核。考核内容包括各专项工作落实、管理情况等。</w:t>
      </w:r>
    </w:p>
    <w:p>
      <w:pPr>
        <w:adjustRightInd/>
        <w:snapToGrid/>
        <w:spacing w:line="360" w:lineRule="auto"/>
        <w:ind w:firstLine="480" w:firstLineChars="200"/>
        <w:jc w:val="left"/>
        <w:rPr>
          <w:rFonts w:ascii="仿宋" w:hAnsi="仿宋" w:eastAsia="仿宋" w:cs="仿宋_GB2312"/>
          <w:sz w:val="24"/>
          <w:szCs w:val="24"/>
        </w:rPr>
      </w:pPr>
      <w:r>
        <w:rPr>
          <w:rFonts w:ascii="仿宋" w:hAnsi="仿宋" w:eastAsia="仿宋" w:cs="仿宋_GB2312"/>
          <w:sz w:val="24"/>
          <w:szCs w:val="24"/>
        </w:rPr>
        <w:t>6.1.2 每次</w:t>
      </w:r>
      <w:r>
        <w:rPr>
          <w:rFonts w:hint="eastAsia" w:ascii="仿宋" w:hAnsi="仿宋" w:eastAsia="仿宋" w:cs="仿宋_GB2312"/>
          <w:sz w:val="24"/>
          <w:szCs w:val="24"/>
        </w:rPr>
        <w:t>考核实行计分制，满分为</w:t>
      </w:r>
      <w:r>
        <w:rPr>
          <w:rFonts w:ascii="仿宋" w:hAnsi="仿宋" w:eastAsia="仿宋" w:cs="仿宋_GB2312"/>
          <w:sz w:val="24"/>
          <w:szCs w:val="24"/>
        </w:rPr>
        <w:t>100</w:t>
      </w:r>
      <w:r>
        <w:rPr>
          <w:rFonts w:hint="eastAsia" w:ascii="仿宋" w:hAnsi="仿宋" w:eastAsia="仿宋" w:cs="仿宋_GB2312"/>
          <w:sz w:val="24"/>
          <w:szCs w:val="24"/>
        </w:rPr>
        <w:t>分。其中：考核项目、考核要求与标准参见合同附件2。</w:t>
      </w:r>
    </w:p>
    <w:p>
      <w:pPr>
        <w:adjustRightInd/>
        <w:snapToGrid/>
        <w:spacing w:line="360" w:lineRule="auto"/>
        <w:ind w:firstLine="482" w:firstLineChars="200"/>
        <w:rPr>
          <w:rFonts w:ascii="仿宋" w:hAnsi="仿宋" w:eastAsia="仿宋" w:cs="仿宋_GB2312"/>
          <w:b/>
          <w:sz w:val="24"/>
          <w:szCs w:val="24"/>
        </w:rPr>
      </w:pPr>
      <w:bookmarkStart w:id="180" w:name="_Toc306612491"/>
      <w:r>
        <w:rPr>
          <w:rFonts w:ascii="仿宋" w:hAnsi="仿宋" w:eastAsia="仿宋" w:cs="仿宋_GB2312"/>
          <w:b/>
          <w:sz w:val="24"/>
          <w:szCs w:val="24"/>
        </w:rPr>
        <w:t>7</w:t>
      </w:r>
      <w:r>
        <w:rPr>
          <w:rFonts w:hint="eastAsia" w:ascii="仿宋" w:hAnsi="仿宋" w:eastAsia="仿宋" w:cs="仿宋_GB2312"/>
          <w:b/>
          <w:sz w:val="24"/>
          <w:szCs w:val="24"/>
        </w:rPr>
        <w:t>.奖惩标准</w:t>
      </w:r>
      <w:bookmarkEnd w:id="180"/>
    </w:p>
    <w:p>
      <w:pPr>
        <w:adjustRightInd/>
        <w:snapToGrid/>
        <w:spacing w:line="360" w:lineRule="auto"/>
        <w:ind w:firstLine="480" w:firstLineChars="200"/>
        <w:jc w:val="left"/>
        <w:rPr>
          <w:rFonts w:ascii="仿宋" w:hAnsi="仿宋" w:eastAsia="仿宋" w:cs="仿宋_GB2312"/>
          <w:sz w:val="24"/>
          <w:szCs w:val="24"/>
        </w:rPr>
      </w:pPr>
      <w:r>
        <w:rPr>
          <w:rFonts w:ascii="仿宋" w:hAnsi="仿宋" w:eastAsia="仿宋" w:cs="仿宋_GB2312"/>
          <w:sz w:val="24"/>
          <w:szCs w:val="24"/>
        </w:rPr>
        <w:t xml:space="preserve">7.1 </w:t>
      </w:r>
      <w:r>
        <w:rPr>
          <w:rFonts w:hint="eastAsia" w:ascii="仿宋" w:hAnsi="仿宋" w:eastAsia="仿宋" w:cs="仿宋_GB2312"/>
          <w:sz w:val="24"/>
          <w:szCs w:val="24"/>
        </w:rPr>
        <w:t>项目季度综合考核总分与履约保证金进行挂钩，其中：</w:t>
      </w:r>
    </w:p>
    <w:p>
      <w:pPr>
        <w:adjustRightInd/>
        <w:snapToGrid/>
        <w:spacing w:line="360" w:lineRule="auto"/>
        <w:ind w:firstLine="480" w:firstLineChars="200"/>
        <w:jc w:val="left"/>
        <w:rPr>
          <w:rFonts w:ascii="仿宋" w:hAnsi="仿宋" w:eastAsia="仿宋" w:cs="仿宋_GB2312"/>
          <w:sz w:val="24"/>
          <w:szCs w:val="24"/>
        </w:rPr>
      </w:pPr>
      <w:r>
        <w:rPr>
          <w:rFonts w:ascii="仿宋" w:hAnsi="仿宋" w:eastAsia="仿宋" w:cs="仿宋_GB2312"/>
          <w:sz w:val="24"/>
          <w:szCs w:val="24"/>
        </w:rPr>
        <w:t xml:space="preserve">7.1.1 </w:t>
      </w:r>
      <w:r>
        <w:rPr>
          <w:rFonts w:hint="eastAsia" w:ascii="仿宋" w:hAnsi="仿宋" w:eastAsia="仿宋" w:cs="仿宋_GB2312"/>
          <w:sz w:val="24"/>
          <w:szCs w:val="24"/>
        </w:rPr>
        <w:t>季度综合考评总分≥</w:t>
      </w:r>
      <w:r>
        <w:rPr>
          <w:rFonts w:ascii="仿宋" w:hAnsi="仿宋" w:eastAsia="仿宋" w:cs="仿宋_GB2312"/>
          <w:sz w:val="24"/>
          <w:szCs w:val="24"/>
        </w:rPr>
        <w:t>90</w:t>
      </w:r>
      <w:r>
        <w:rPr>
          <w:rFonts w:hint="eastAsia" w:ascii="仿宋" w:hAnsi="仿宋" w:eastAsia="仿宋" w:cs="仿宋_GB2312"/>
          <w:sz w:val="24"/>
          <w:szCs w:val="24"/>
        </w:rPr>
        <w:t>分，为“优秀”，足额支付费用，甲方同意配合出具满意度评价；</w:t>
      </w:r>
    </w:p>
    <w:p>
      <w:pPr>
        <w:adjustRightInd/>
        <w:snapToGrid/>
        <w:spacing w:line="360" w:lineRule="auto"/>
        <w:ind w:firstLine="480" w:firstLineChars="200"/>
        <w:jc w:val="left"/>
        <w:rPr>
          <w:rFonts w:ascii="仿宋" w:hAnsi="仿宋" w:eastAsia="仿宋" w:cs="仿宋_GB2312"/>
          <w:sz w:val="24"/>
          <w:szCs w:val="24"/>
        </w:rPr>
      </w:pPr>
      <w:r>
        <w:rPr>
          <w:rFonts w:ascii="仿宋" w:hAnsi="仿宋" w:eastAsia="仿宋" w:cs="仿宋_GB2312"/>
          <w:sz w:val="24"/>
          <w:szCs w:val="24"/>
        </w:rPr>
        <w:t xml:space="preserve">7.1.2 </w:t>
      </w:r>
      <w:r>
        <w:rPr>
          <w:rFonts w:hint="eastAsia" w:ascii="仿宋" w:hAnsi="仿宋" w:eastAsia="仿宋" w:cs="仿宋_GB2312"/>
          <w:sz w:val="24"/>
          <w:szCs w:val="24"/>
        </w:rPr>
        <w:t>季度综合考评总分≥</w:t>
      </w:r>
      <w:r>
        <w:rPr>
          <w:rFonts w:ascii="仿宋" w:hAnsi="仿宋" w:eastAsia="仿宋" w:cs="仿宋_GB2312"/>
          <w:sz w:val="24"/>
          <w:szCs w:val="24"/>
        </w:rPr>
        <w:t>8</w:t>
      </w:r>
      <w:r>
        <w:rPr>
          <w:rFonts w:hint="eastAsia" w:ascii="仿宋" w:hAnsi="仿宋" w:eastAsia="仿宋" w:cs="仿宋_GB2312"/>
          <w:sz w:val="24"/>
          <w:szCs w:val="24"/>
        </w:rPr>
        <w:t>5分，为“达标”，足额支付费用；</w:t>
      </w:r>
    </w:p>
    <w:p>
      <w:pPr>
        <w:adjustRightInd/>
        <w:snapToGrid/>
        <w:spacing w:line="360" w:lineRule="auto"/>
        <w:ind w:firstLine="480" w:firstLineChars="200"/>
        <w:jc w:val="left"/>
        <w:rPr>
          <w:rFonts w:ascii="仿宋" w:hAnsi="仿宋" w:eastAsia="仿宋" w:cs="仿宋_GB2312"/>
          <w:sz w:val="24"/>
          <w:szCs w:val="24"/>
        </w:rPr>
      </w:pPr>
      <w:r>
        <w:rPr>
          <w:rFonts w:ascii="仿宋" w:hAnsi="仿宋" w:eastAsia="仿宋" w:cs="仿宋_GB2312"/>
          <w:sz w:val="24"/>
          <w:szCs w:val="24"/>
        </w:rPr>
        <w:t xml:space="preserve">7.1.3 </w:t>
      </w:r>
      <w:r>
        <w:rPr>
          <w:rFonts w:hint="eastAsia" w:ascii="仿宋" w:hAnsi="仿宋" w:eastAsia="仿宋" w:cs="仿宋_GB2312"/>
          <w:sz w:val="24"/>
          <w:szCs w:val="24"/>
        </w:rPr>
        <w:t>乙方提供的服务不达标，第一次考核不合格，甲方有权要求乙方限期整改；第二次考核不合格，甲方有权从本合同履约保证金中扣除10万元作为违约金；第三次考核不合格，甲方有权终止本合同，并不予支付剩余的合同款，且不退回剩余的履约保证金。</w:t>
      </w:r>
    </w:p>
    <w:p>
      <w:pPr>
        <w:adjustRightInd/>
        <w:snapToGrid/>
        <w:spacing w:line="360" w:lineRule="auto"/>
        <w:ind w:firstLine="480" w:firstLineChars="200"/>
        <w:jc w:val="left"/>
        <w:rPr>
          <w:rFonts w:ascii="仿宋" w:hAnsi="仿宋" w:eastAsia="仿宋" w:cs="仿宋_GB2312"/>
          <w:sz w:val="24"/>
          <w:szCs w:val="24"/>
        </w:rPr>
      </w:pPr>
      <w:r>
        <w:rPr>
          <w:rFonts w:ascii="仿宋" w:hAnsi="仿宋" w:eastAsia="仿宋" w:cs="仿宋_GB2312"/>
          <w:sz w:val="24"/>
          <w:szCs w:val="24"/>
        </w:rPr>
        <w:t>7.</w:t>
      </w:r>
      <w:r>
        <w:rPr>
          <w:rFonts w:hint="eastAsia" w:ascii="仿宋" w:hAnsi="仿宋" w:eastAsia="仿宋" w:cs="仿宋_GB2312"/>
          <w:sz w:val="24"/>
          <w:szCs w:val="24"/>
        </w:rPr>
        <w:t>2外包服务团队有如下突出表现时，季度综合评定适当加分：</w:t>
      </w:r>
    </w:p>
    <w:p>
      <w:pPr>
        <w:adjustRightInd/>
        <w:snapToGrid/>
        <w:spacing w:line="360" w:lineRule="auto"/>
        <w:ind w:firstLine="480" w:firstLineChars="200"/>
        <w:jc w:val="left"/>
        <w:rPr>
          <w:rFonts w:ascii="仿宋" w:hAnsi="仿宋" w:eastAsia="仿宋" w:cs="仿宋_GB2312"/>
          <w:sz w:val="24"/>
          <w:szCs w:val="24"/>
        </w:rPr>
      </w:pPr>
      <w:r>
        <w:rPr>
          <w:rFonts w:ascii="仿宋" w:hAnsi="仿宋" w:eastAsia="仿宋" w:cs="仿宋_GB2312"/>
          <w:sz w:val="24"/>
          <w:szCs w:val="24"/>
        </w:rPr>
        <w:t>7.</w:t>
      </w:r>
      <w:r>
        <w:rPr>
          <w:rFonts w:hint="eastAsia" w:ascii="仿宋" w:hAnsi="仿宋" w:eastAsia="仿宋" w:cs="仿宋_GB2312"/>
          <w:sz w:val="24"/>
          <w:szCs w:val="24"/>
        </w:rPr>
        <w:t>2</w:t>
      </w:r>
      <w:r>
        <w:rPr>
          <w:rFonts w:ascii="仿宋" w:hAnsi="仿宋" w:eastAsia="仿宋" w:cs="仿宋_GB2312"/>
          <w:sz w:val="24"/>
          <w:szCs w:val="24"/>
        </w:rPr>
        <w:t xml:space="preserve">.1 </w:t>
      </w:r>
      <w:r>
        <w:rPr>
          <w:rFonts w:hint="eastAsia" w:ascii="仿宋" w:hAnsi="仿宋" w:eastAsia="仿宋" w:cs="仿宋_GB2312"/>
          <w:sz w:val="24"/>
          <w:szCs w:val="24"/>
        </w:rPr>
        <w:t>有效处置突发事件或员工有见义勇为行为并为北京园博园管理中心挽回损失的，加</w:t>
      </w:r>
      <w:r>
        <w:rPr>
          <w:rFonts w:ascii="仿宋" w:hAnsi="仿宋" w:eastAsia="仿宋" w:cs="仿宋_GB2312"/>
          <w:sz w:val="24"/>
          <w:szCs w:val="24"/>
        </w:rPr>
        <w:t>1</w:t>
      </w:r>
      <w:r>
        <w:rPr>
          <w:rFonts w:hint="eastAsia" w:ascii="仿宋" w:hAnsi="仿宋" w:eastAsia="仿宋" w:cs="仿宋_GB2312"/>
          <w:sz w:val="24"/>
          <w:szCs w:val="24"/>
        </w:rPr>
        <w:t>分；</w:t>
      </w:r>
    </w:p>
    <w:p>
      <w:pPr>
        <w:adjustRightInd/>
        <w:snapToGrid/>
        <w:spacing w:line="360" w:lineRule="auto"/>
        <w:ind w:firstLine="480" w:firstLineChars="200"/>
        <w:jc w:val="left"/>
        <w:rPr>
          <w:rFonts w:ascii="仿宋" w:hAnsi="仿宋" w:eastAsia="仿宋" w:cs="仿宋_GB2312"/>
          <w:sz w:val="24"/>
          <w:szCs w:val="24"/>
        </w:rPr>
      </w:pPr>
      <w:r>
        <w:rPr>
          <w:rFonts w:ascii="仿宋" w:hAnsi="仿宋" w:eastAsia="仿宋" w:cs="仿宋_GB2312"/>
          <w:sz w:val="24"/>
          <w:szCs w:val="24"/>
        </w:rPr>
        <w:t>7.</w:t>
      </w:r>
      <w:r>
        <w:rPr>
          <w:rFonts w:hint="eastAsia" w:ascii="仿宋" w:hAnsi="仿宋" w:eastAsia="仿宋" w:cs="仿宋_GB2312"/>
          <w:sz w:val="24"/>
          <w:szCs w:val="24"/>
        </w:rPr>
        <w:t>2</w:t>
      </w:r>
      <w:r>
        <w:rPr>
          <w:rFonts w:ascii="仿宋" w:hAnsi="仿宋" w:eastAsia="仿宋" w:cs="仿宋_GB2312"/>
          <w:sz w:val="24"/>
          <w:szCs w:val="24"/>
        </w:rPr>
        <w:t xml:space="preserve">.2 </w:t>
      </w:r>
      <w:r>
        <w:rPr>
          <w:rFonts w:hint="eastAsia" w:ascii="仿宋" w:hAnsi="仿宋" w:eastAsia="仿宋" w:cs="仿宋_GB2312"/>
          <w:sz w:val="24"/>
          <w:szCs w:val="24"/>
        </w:rPr>
        <w:t>为配合甲方获得市级以上荣誉做出突出成绩的，加</w:t>
      </w:r>
      <w:r>
        <w:rPr>
          <w:rFonts w:ascii="仿宋" w:hAnsi="仿宋" w:eastAsia="仿宋" w:cs="仿宋_GB2312"/>
          <w:sz w:val="24"/>
          <w:szCs w:val="24"/>
        </w:rPr>
        <w:t>1</w:t>
      </w:r>
      <w:r>
        <w:rPr>
          <w:rFonts w:hint="eastAsia" w:ascii="仿宋" w:hAnsi="仿宋" w:eastAsia="仿宋" w:cs="仿宋_GB2312"/>
          <w:sz w:val="24"/>
          <w:szCs w:val="24"/>
        </w:rPr>
        <w:t>分；</w:t>
      </w:r>
    </w:p>
    <w:p>
      <w:pPr>
        <w:adjustRightInd/>
        <w:snapToGrid/>
        <w:spacing w:line="360" w:lineRule="auto"/>
        <w:ind w:firstLine="480" w:firstLineChars="200"/>
        <w:jc w:val="left"/>
        <w:rPr>
          <w:rFonts w:ascii="仿宋" w:hAnsi="仿宋" w:eastAsia="仿宋" w:cs="仿宋_GB2312"/>
          <w:sz w:val="24"/>
          <w:szCs w:val="24"/>
        </w:rPr>
      </w:pPr>
      <w:r>
        <w:rPr>
          <w:rFonts w:ascii="仿宋" w:hAnsi="仿宋" w:eastAsia="仿宋" w:cs="仿宋_GB2312"/>
          <w:sz w:val="24"/>
          <w:szCs w:val="24"/>
        </w:rPr>
        <w:t>7.</w:t>
      </w:r>
      <w:r>
        <w:rPr>
          <w:rFonts w:hint="eastAsia" w:ascii="仿宋" w:hAnsi="仿宋" w:eastAsia="仿宋" w:cs="仿宋_GB2312"/>
          <w:sz w:val="24"/>
          <w:szCs w:val="24"/>
        </w:rPr>
        <w:t>2</w:t>
      </w:r>
      <w:r>
        <w:rPr>
          <w:rFonts w:ascii="仿宋" w:hAnsi="仿宋" w:eastAsia="仿宋" w:cs="仿宋_GB2312"/>
          <w:sz w:val="24"/>
          <w:szCs w:val="24"/>
        </w:rPr>
        <w:t xml:space="preserve">.3 </w:t>
      </w:r>
      <w:r>
        <w:rPr>
          <w:rFonts w:hint="eastAsia" w:ascii="仿宋" w:hAnsi="仿宋" w:eastAsia="仿宋" w:cs="仿宋_GB2312"/>
          <w:sz w:val="24"/>
          <w:szCs w:val="24"/>
        </w:rPr>
        <w:t>在配合重大活动保障过程中做出成绩的，加</w:t>
      </w:r>
      <w:r>
        <w:rPr>
          <w:rFonts w:ascii="仿宋" w:hAnsi="仿宋" w:eastAsia="仿宋" w:cs="仿宋_GB2312"/>
          <w:sz w:val="24"/>
          <w:szCs w:val="24"/>
        </w:rPr>
        <w:t>1</w:t>
      </w:r>
      <w:r>
        <w:rPr>
          <w:rFonts w:hint="eastAsia" w:ascii="仿宋" w:hAnsi="仿宋" w:eastAsia="仿宋" w:cs="仿宋_GB2312"/>
          <w:sz w:val="24"/>
          <w:szCs w:val="24"/>
        </w:rPr>
        <w:t>分；</w:t>
      </w:r>
    </w:p>
    <w:p>
      <w:pPr>
        <w:adjustRightInd/>
        <w:snapToGrid/>
        <w:spacing w:line="360" w:lineRule="auto"/>
        <w:ind w:firstLine="480" w:firstLineChars="200"/>
        <w:jc w:val="left"/>
        <w:rPr>
          <w:rFonts w:ascii="仿宋" w:hAnsi="仿宋" w:eastAsia="仿宋" w:cs="仿宋_GB2312"/>
          <w:sz w:val="24"/>
          <w:szCs w:val="24"/>
        </w:rPr>
      </w:pPr>
      <w:r>
        <w:rPr>
          <w:rFonts w:ascii="仿宋" w:hAnsi="仿宋" w:eastAsia="仿宋" w:cs="仿宋_GB2312"/>
          <w:sz w:val="24"/>
          <w:szCs w:val="24"/>
        </w:rPr>
        <w:t>7.</w:t>
      </w:r>
      <w:r>
        <w:rPr>
          <w:rFonts w:hint="eastAsia" w:ascii="仿宋" w:hAnsi="仿宋" w:eastAsia="仿宋" w:cs="仿宋_GB2312"/>
          <w:sz w:val="24"/>
          <w:szCs w:val="24"/>
        </w:rPr>
        <w:t>2</w:t>
      </w:r>
      <w:r>
        <w:rPr>
          <w:rFonts w:ascii="仿宋" w:hAnsi="仿宋" w:eastAsia="仿宋" w:cs="仿宋_GB2312"/>
          <w:sz w:val="24"/>
          <w:szCs w:val="24"/>
        </w:rPr>
        <w:t xml:space="preserve">.4 </w:t>
      </w:r>
      <w:r>
        <w:rPr>
          <w:rFonts w:hint="eastAsia" w:ascii="仿宋" w:hAnsi="仿宋" w:eastAsia="仿宋" w:cs="仿宋_GB2312"/>
          <w:sz w:val="24"/>
          <w:szCs w:val="24"/>
        </w:rPr>
        <w:t>通过技术更新、观念或管理创新，为甲方增收节支做出突出贡献的，加</w:t>
      </w:r>
      <w:r>
        <w:rPr>
          <w:rFonts w:ascii="仿宋" w:hAnsi="仿宋" w:eastAsia="仿宋" w:cs="仿宋_GB2312"/>
          <w:sz w:val="24"/>
          <w:szCs w:val="24"/>
        </w:rPr>
        <w:t>2</w:t>
      </w:r>
      <w:r>
        <w:rPr>
          <w:rFonts w:hint="eastAsia" w:ascii="仿宋" w:hAnsi="仿宋" w:eastAsia="仿宋" w:cs="仿宋_GB2312"/>
          <w:sz w:val="24"/>
          <w:szCs w:val="24"/>
        </w:rPr>
        <w:t>分；</w:t>
      </w:r>
    </w:p>
    <w:p>
      <w:pPr>
        <w:adjustRightInd/>
        <w:snapToGrid/>
        <w:spacing w:line="360" w:lineRule="auto"/>
        <w:ind w:firstLine="480" w:firstLineChars="200"/>
        <w:jc w:val="left"/>
        <w:rPr>
          <w:rFonts w:ascii="仿宋" w:hAnsi="仿宋" w:eastAsia="仿宋" w:cs="仿宋_GB2312"/>
          <w:sz w:val="24"/>
          <w:szCs w:val="24"/>
        </w:rPr>
      </w:pPr>
      <w:r>
        <w:rPr>
          <w:rFonts w:ascii="仿宋" w:hAnsi="仿宋" w:eastAsia="仿宋" w:cs="仿宋_GB2312"/>
          <w:sz w:val="24"/>
          <w:szCs w:val="24"/>
        </w:rPr>
        <w:t>7.</w:t>
      </w:r>
      <w:r>
        <w:rPr>
          <w:rFonts w:hint="eastAsia" w:ascii="仿宋" w:hAnsi="仿宋" w:eastAsia="仿宋" w:cs="仿宋_GB2312"/>
          <w:sz w:val="24"/>
          <w:szCs w:val="24"/>
        </w:rPr>
        <w:t>2</w:t>
      </w:r>
      <w:r>
        <w:rPr>
          <w:rFonts w:ascii="仿宋" w:hAnsi="仿宋" w:eastAsia="仿宋" w:cs="仿宋_GB2312"/>
          <w:sz w:val="24"/>
          <w:szCs w:val="24"/>
        </w:rPr>
        <w:t xml:space="preserve">.5 </w:t>
      </w:r>
      <w:r>
        <w:rPr>
          <w:rFonts w:hint="eastAsia" w:ascii="仿宋" w:hAnsi="仿宋" w:eastAsia="仿宋" w:cs="仿宋_GB2312"/>
          <w:sz w:val="24"/>
          <w:szCs w:val="24"/>
        </w:rPr>
        <w:t>有其他突出表现或成绩，为甲方赢得良好社会形象或经济效益的，加</w:t>
      </w:r>
      <w:r>
        <w:rPr>
          <w:rFonts w:ascii="仿宋" w:hAnsi="仿宋" w:eastAsia="仿宋" w:cs="仿宋_GB2312"/>
          <w:sz w:val="24"/>
          <w:szCs w:val="24"/>
        </w:rPr>
        <w:t>2</w:t>
      </w:r>
      <w:r>
        <w:rPr>
          <w:rFonts w:hint="eastAsia" w:ascii="仿宋" w:hAnsi="仿宋" w:eastAsia="仿宋" w:cs="仿宋_GB2312"/>
          <w:sz w:val="24"/>
          <w:szCs w:val="24"/>
        </w:rPr>
        <w:t>分；</w:t>
      </w:r>
    </w:p>
    <w:p>
      <w:pPr>
        <w:adjustRightInd/>
        <w:snapToGrid/>
        <w:spacing w:line="360" w:lineRule="auto"/>
        <w:ind w:firstLine="480" w:firstLineChars="200"/>
        <w:jc w:val="left"/>
        <w:rPr>
          <w:rFonts w:ascii="仿宋" w:hAnsi="仿宋" w:eastAsia="仿宋" w:cs="仿宋_GB2312"/>
          <w:sz w:val="24"/>
          <w:szCs w:val="24"/>
        </w:rPr>
      </w:pPr>
      <w:r>
        <w:rPr>
          <w:rFonts w:ascii="仿宋" w:hAnsi="仿宋" w:eastAsia="仿宋" w:cs="仿宋_GB2312"/>
          <w:sz w:val="24"/>
          <w:szCs w:val="24"/>
        </w:rPr>
        <w:t>7.</w:t>
      </w:r>
      <w:r>
        <w:rPr>
          <w:rFonts w:hint="eastAsia" w:ascii="仿宋" w:hAnsi="仿宋" w:eastAsia="仿宋" w:cs="仿宋_GB2312"/>
          <w:sz w:val="24"/>
          <w:szCs w:val="24"/>
        </w:rPr>
        <w:t>2</w:t>
      </w:r>
      <w:r>
        <w:rPr>
          <w:rFonts w:ascii="仿宋" w:hAnsi="仿宋" w:eastAsia="仿宋" w:cs="仿宋_GB2312"/>
          <w:sz w:val="24"/>
          <w:szCs w:val="24"/>
        </w:rPr>
        <w:t xml:space="preserve">.6 </w:t>
      </w:r>
      <w:r>
        <w:rPr>
          <w:rFonts w:hint="eastAsia" w:ascii="仿宋" w:hAnsi="仿宋" w:eastAsia="仿宋" w:cs="仿宋_GB2312"/>
          <w:sz w:val="24"/>
          <w:szCs w:val="24"/>
        </w:rPr>
        <w:t>季度内受到甲方表扬次数达到和超过3次的，加</w:t>
      </w:r>
      <w:r>
        <w:rPr>
          <w:rFonts w:ascii="仿宋" w:hAnsi="仿宋" w:eastAsia="仿宋" w:cs="仿宋_GB2312"/>
          <w:sz w:val="24"/>
          <w:szCs w:val="24"/>
        </w:rPr>
        <w:t>1</w:t>
      </w:r>
      <w:r>
        <w:rPr>
          <w:rFonts w:hint="eastAsia" w:ascii="仿宋" w:hAnsi="仿宋" w:eastAsia="仿宋" w:cs="仿宋_GB2312"/>
          <w:sz w:val="24"/>
          <w:szCs w:val="24"/>
        </w:rPr>
        <w:t>分；</w:t>
      </w:r>
    </w:p>
    <w:p>
      <w:pPr>
        <w:adjustRightInd/>
        <w:snapToGrid/>
        <w:spacing w:line="360" w:lineRule="auto"/>
        <w:ind w:firstLine="480" w:firstLineChars="200"/>
        <w:jc w:val="left"/>
        <w:rPr>
          <w:rFonts w:ascii="仿宋" w:hAnsi="仿宋" w:eastAsia="仿宋" w:cs="仿宋_GB2312"/>
          <w:sz w:val="24"/>
          <w:szCs w:val="24"/>
        </w:rPr>
      </w:pPr>
      <w:r>
        <w:rPr>
          <w:rFonts w:ascii="仿宋" w:hAnsi="仿宋" w:eastAsia="仿宋" w:cs="仿宋_GB2312"/>
          <w:sz w:val="24"/>
          <w:szCs w:val="24"/>
        </w:rPr>
        <w:t>7.</w:t>
      </w:r>
      <w:r>
        <w:rPr>
          <w:rFonts w:hint="eastAsia" w:ascii="仿宋" w:hAnsi="仿宋" w:eastAsia="仿宋" w:cs="仿宋_GB2312"/>
          <w:sz w:val="24"/>
          <w:szCs w:val="24"/>
        </w:rPr>
        <w:t>3</w:t>
      </w:r>
      <w:r>
        <w:rPr>
          <w:rFonts w:ascii="仿宋" w:hAnsi="仿宋" w:eastAsia="仿宋" w:cs="仿宋_GB2312"/>
          <w:sz w:val="24"/>
          <w:szCs w:val="24"/>
        </w:rPr>
        <w:t xml:space="preserve"> </w:t>
      </w:r>
      <w:r>
        <w:rPr>
          <w:rFonts w:hint="eastAsia" w:ascii="仿宋" w:hAnsi="仿宋" w:eastAsia="仿宋" w:cs="仿宋_GB2312"/>
          <w:sz w:val="24"/>
          <w:szCs w:val="24"/>
        </w:rPr>
        <w:t>在考核期内，发生以下任何一种情况，全年单项指标考核不合格。因乙方工作失误，给甲方造成损失（经济的或信誉的），甲方有权罚减乙方的服务费。</w:t>
      </w:r>
    </w:p>
    <w:p>
      <w:pPr>
        <w:adjustRightInd/>
        <w:snapToGrid/>
        <w:spacing w:line="360" w:lineRule="auto"/>
        <w:ind w:firstLine="480" w:firstLineChars="200"/>
        <w:jc w:val="left"/>
        <w:rPr>
          <w:rFonts w:ascii="仿宋" w:hAnsi="仿宋" w:eastAsia="仿宋" w:cs="仿宋_GB2312"/>
          <w:sz w:val="24"/>
          <w:szCs w:val="24"/>
        </w:rPr>
      </w:pPr>
      <w:r>
        <w:rPr>
          <w:rFonts w:ascii="仿宋" w:hAnsi="仿宋" w:eastAsia="仿宋" w:cs="仿宋_GB2312"/>
          <w:sz w:val="24"/>
          <w:szCs w:val="24"/>
        </w:rPr>
        <w:t>7.</w:t>
      </w:r>
      <w:r>
        <w:rPr>
          <w:rFonts w:hint="eastAsia" w:ascii="仿宋" w:hAnsi="仿宋" w:eastAsia="仿宋" w:cs="仿宋_GB2312"/>
          <w:sz w:val="24"/>
          <w:szCs w:val="24"/>
        </w:rPr>
        <w:t>3</w:t>
      </w:r>
      <w:r>
        <w:rPr>
          <w:rFonts w:ascii="仿宋" w:hAnsi="仿宋" w:eastAsia="仿宋" w:cs="仿宋_GB2312"/>
          <w:sz w:val="24"/>
          <w:szCs w:val="24"/>
        </w:rPr>
        <w:t xml:space="preserve">.1 </w:t>
      </w:r>
      <w:r>
        <w:rPr>
          <w:rFonts w:hint="eastAsia" w:ascii="仿宋" w:hAnsi="仿宋" w:eastAsia="仿宋" w:cs="仿宋_GB2312"/>
          <w:sz w:val="24"/>
          <w:szCs w:val="24"/>
        </w:rPr>
        <w:t>发生重大人身伤亡事故；</w:t>
      </w:r>
    </w:p>
    <w:p>
      <w:pPr>
        <w:adjustRightInd/>
        <w:snapToGrid/>
        <w:spacing w:line="360" w:lineRule="auto"/>
        <w:ind w:firstLine="480" w:firstLineChars="200"/>
        <w:jc w:val="left"/>
        <w:rPr>
          <w:rFonts w:ascii="仿宋" w:hAnsi="仿宋" w:eastAsia="仿宋" w:cs="仿宋_GB2312"/>
          <w:sz w:val="24"/>
          <w:szCs w:val="24"/>
        </w:rPr>
      </w:pPr>
      <w:r>
        <w:rPr>
          <w:rFonts w:ascii="仿宋" w:hAnsi="仿宋" w:eastAsia="仿宋" w:cs="仿宋_GB2312"/>
          <w:sz w:val="24"/>
          <w:szCs w:val="24"/>
        </w:rPr>
        <w:t>7.</w:t>
      </w:r>
      <w:r>
        <w:rPr>
          <w:rFonts w:hint="eastAsia" w:ascii="仿宋" w:hAnsi="仿宋" w:eastAsia="仿宋" w:cs="仿宋_GB2312"/>
          <w:sz w:val="24"/>
          <w:szCs w:val="24"/>
        </w:rPr>
        <w:t>3</w:t>
      </w:r>
      <w:r>
        <w:rPr>
          <w:rFonts w:ascii="仿宋" w:hAnsi="仿宋" w:eastAsia="仿宋" w:cs="仿宋_GB2312"/>
          <w:sz w:val="24"/>
          <w:szCs w:val="24"/>
        </w:rPr>
        <w:t xml:space="preserve">.2 </w:t>
      </w:r>
      <w:r>
        <w:rPr>
          <w:rFonts w:hint="eastAsia" w:ascii="仿宋" w:hAnsi="仿宋" w:eastAsia="仿宋" w:cs="仿宋_GB2312"/>
          <w:sz w:val="24"/>
          <w:szCs w:val="24"/>
        </w:rPr>
        <w:t>发生重大责任事故（影响全园正常对外开放及重要政务接待活动）；</w:t>
      </w:r>
    </w:p>
    <w:p>
      <w:pPr>
        <w:adjustRightInd/>
        <w:snapToGrid/>
        <w:spacing w:line="360" w:lineRule="auto"/>
        <w:ind w:firstLine="480" w:firstLineChars="200"/>
        <w:jc w:val="left"/>
        <w:rPr>
          <w:rFonts w:ascii="仿宋" w:hAnsi="仿宋" w:eastAsia="仿宋" w:cs="仿宋_GB2312"/>
          <w:sz w:val="24"/>
          <w:szCs w:val="24"/>
        </w:rPr>
      </w:pPr>
      <w:r>
        <w:rPr>
          <w:rFonts w:ascii="仿宋" w:hAnsi="仿宋" w:eastAsia="仿宋" w:cs="仿宋_GB2312"/>
          <w:sz w:val="24"/>
          <w:szCs w:val="24"/>
        </w:rPr>
        <w:t>7.</w:t>
      </w:r>
      <w:r>
        <w:rPr>
          <w:rFonts w:hint="eastAsia" w:ascii="仿宋" w:hAnsi="仿宋" w:eastAsia="仿宋" w:cs="仿宋_GB2312"/>
          <w:sz w:val="24"/>
          <w:szCs w:val="24"/>
        </w:rPr>
        <w:t>3</w:t>
      </w:r>
      <w:r>
        <w:rPr>
          <w:rFonts w:ascii="仿宋" w:hAnsi="仿宋" w:eastAsia="仿宋" w:cs="仿宋_GB2312"/>
          <w:sz w:val="24"/>
          <w:szCs w:val="24"/>
        </w:rPr>
        <w:t xml:space="preserve">.3 </w:t>
      </w:r>
      <w:r>
        <w:rPr>
          <w:rFonts w:hint="eastAsia" w:ascii="仿宋" w:hAnsi="仿宋" w:eastAsia="仿宋" w:cs="仿宋_GB2312"/>
          <w:sz w:val="24"/>
          <w:szCs w:val="24"/>
        </w:rPr>
        <w:t>严重影响甲方品牌和对外形象及利益（以不正当行为占有客户、顾客和甲方的财产、泄露有关保密信息等而导致甲方形象或利益受损）。</w:t>
      </w:r>
    </w:p>
    <w:p>
      <w:pPr>
        <w:spacing w:line="360" w:lineRule="auto"/>
        <w:ind w:left="595" w:leftChars="248" w:firstLine="480" w:firstLineChars="200"/>
        <w:jc w:val="left"/>
        <w:rPr>
          <w:rFonts w:ascii="仿宋" w:hAnsi="仿宋" w:eastAsia="仿宋" w:cs="仿宋_GB2312"/>
          <w:sz w:val="24"/>
        </w:rPr>
        <w:sectPr>
          <w:footerReference r:id="rId9" w:type="default"/>
          <w:pgSz w:w="11906" w:h="16838"/>
          <w:pgMar w:top="1134" w:right="1797" w:bottom="1134" w:left="1134" w:header="851" w:footer="992" w:gutter="0"/>
          <w:cols w:space="720" w:num="1"/>
          <w:docGrid w:linePitch="312" w:charSpace="0"/>
        </w:sectPr>
      </w:pPr>
    </w:p>
    <w:tbl>
      <w:tblPr>
        <w:tblStyle w:val="19"/>
        <w:tblpPr w:leftFromText="180" w:rightFromText="180" w:vertAnchor="page" w:horzAnchor="page" w:tblpX="1832" w:tblpY="3609"/>
        <w:tblW w:w="8379" w:type="dxa"/>
        <w:tblInd w:w="0" w:type="dxa"/>
        <w:tblLayout w:type="fixed"/>
        <w:tblCellMar>
          <w:top w:w="0" w:type="dxa"/>
          <w:left w:w="108" w:type="dxa"/>
          <w:bottom w:w="0" w:type="dxa"/>
          <w:right w:w="108" w:type="dxa"/>
        </w:tblCellMar>
      </w:tblPr>
      <w:tblGrid>
        <w:gridCol w:w="236"/>
        <w:gridCol w:w="484"/>
        <w:gridCol w:w="484"/>
        <w:gridCol w:w="866"/>
        <w:gridCol w:w="557"/>
        <w:gridCol w:w="1993"/>
        <w:gridCol w:w="1620"/>
        <w:gridCol w:w="1095"/>
        <w:gridCol w:w="1044"/>
      </w:tblGrid>
      <w:tr>
        <w:tblPrEx>
          <w:tblCellMar>
            <w:top w:w="0" w:type="dxa"/>
            <w:left w:w="108" w:type="dxa"/>
            <w:bottom w:w="0" w:type="dxa"/>
            <w:right w:w="108" w:type="dxa"/>
          </w:tblCellMar>
        </w:tblPrEx>
        <w:trPr>
          <w:trHeight w:val="624" w:hRule="atLeast"/>
        </w:trPr>
        <w:tc>
          <w:tcPr>
            <w:tcW w:w="7335" w:type="dxa"/>
            <w:gridSpan w:val="8"/>
            <w:tcBorders>
              <w:top w:val="nil"/>
              <w:left w:val="nil"/>
              <w:bottom w:val="nil"/>
              <w:right w:val="nil"/>
            </w:tcBorders>
            <w:shd w:val="clear" w:color="auto" w:fill="auto"/>
            <w:vAlign w:val="center"/>
          </w:tcPr>
          <w:p>
            <w:pPr>
              <w:widowControl/>
              <w:adjustRightInd/>
              <w:snapToGrid/>
              <w:spacing w:line="360" w:lineRule="auto"/>
              <w:jc w:val="center"/>
              <w:rPr>
                <w:rFonts w:ascii="宋体" w:hAnsi="宋体" w:eastAsia="宋体" w:cs="Times New Roman"/>
                <w:b/>
                <w:kern w:val="0"/>
                <w:sz w:val="28"/>
                <w:szCs w:val="28"/>
              </w:rPr>
            </w:pPr>
            <w:bookmarkStart w:id="181" w:name="_Toc83723849"/>
            <w:r>
              <w:rPr>
                <w:rFonts w:hint="eastAsia" w:ascii="仿宋_GB2312" w:hAnsi="Times New Roman" w:eastAsia="仿宋_GB2312" w:cs="Times New Roman"/>
                <w:b/>
                <w:sz w:val="28"/>
                <w:szCs w:val="28"/>
              </w:rPr>
              <w:t>2024年园博园再生水利用项目考核评分表</w:t>
            </w:r>
          </w:p>
        </w:tc>
        <w:tc>
          <w:tcPr>
            <w:tcW w:w="1044" w:type="dxa"/>
            <w:tcBorders>
              <w:top w:val="nil"/>
              <w:left w:val="nil"/>
              <w:bottom w:val="nil"/>
              <w:right w:val="nil"/>
            </w:tcBorders>
            <w:shd w:val="clear" w:color="auto" w:fill="auto"/>
            <w:vAlign w:val="center"/>
          </w:tcPr>
          <w:p>
            <w:pPr>
              <w:widowControl/>
              <w:adjustRightInd/>
              <w:snapToGrid/>
              <w:spacing w:line="360" w:lineRule="auto"/>
              <w:jc w:val="center"/>
              <w:rPr>
                <w:rFonts w:ascii="仿宋_GB2312" w:hAnsi="Times New Roman" w:eastAsia="仿宋_GB2312" w:cs="Times New Roman"/>
                <w:b/>
                <w:sz w:val="28"/>
                <w:szCs w:val="28"/>
              </w:rPr>
            </w:pPr>
          </w:p>
        </w:tc>
      </w:tr>
      <w:tr>
        <w:tblPrEx>
          <w:tblCellMar>
            <w:top w:w="0" w:type="dxa"/>
            <w:left w:w="108" w:type="dxa"/>
            <w:bottom w:w="0" w:type="dxa"/>
            <w:right w:w="108" w:type="dxa"/>
          </w:tblCellMar>
        </w:tblPrEx>
        <w:trPr>
          <w:trHeight w:val="624" w:hRule="atLeast"/>
        </w:trPr>
        <w:tc>
          <w:tcPr>
            <w:tcW w:w="7335" w:type="dxa"/>
            <w:gridSpan w:val="8"/>
            <w:tcBorders>
              <w:top w:val="nil"/>
              <w:left w:val="nil"/>
              <w:bottom w:val="nil"/>
              <w:right w:val="nil"/>
            </w:tcBorders>
            <w:shd w:val="clear" w:color="auto" w:fill="auto"/>
            <w:vAlign w:val="center"/>
          </w:tcPr>
          <w:p>
            <w:pPr>
              <w:widowControl/>
              <w:adjustRightInd/>
              <w:snapToGrid/>
              <w:spacing w:line="360" w:lineRule="auto"/>
              <w:jc w:val="center"/>
              <w:rPr>
                <w:rFonts w:ascii="宋体" w:hAnsi="宋体" w:eastAsia="宋体" w:cs="Times New Roman"/>
                <w:kern w:val="0"/>
                <w:sz w:val="28"/>
                <w:szCs w:val="28"/>
              </w:rPr>
            </w:pPr>
            <w:r>
              <w:rPr>
                <w:rFonts w:hint="eastAsia" w:ascii="仿宋_GB2312" w:hAnsi="Times New Roman" w:eastAsia="仿宋_GB2312" w:cs="Times New Roman"/>
                <w:b/>
                <w:sz w:val="28"/>
                <w:szCs w:val="28"/>
              </w:rPr>
              <w:t>（出水水质部分）</w:t>
            </w:r>
          </w:p>
        </w:tc>
        <w:tc>
          <w:tcPr>
            <w:tcW w:w="1044" w:type="dxa"/>
            <w:tcBorders>
              <w:top w:val="nil"/>
              <w:left w:val="nil"/>
              <w:bottom w:val="nil"/>
              <w:right w:val="nil"/>
            </w:tcBorders>
            <w:shd w:val="clear" w:color="auto" w:fill="auto"/>
            <w:vAlign w:val="center"/>
          </w:tcPr>
          <w:p>
            <w:pPr>
              <w:widowControl/>
              <w:adjustRightInd/>
              <w:snapToGrid/>
              <w:spacing w:line="360" w:lineRule="auto"/>
              <w:jc w:val="center"/>
              <w:rPr>
                <w:rFonts w:ascii="仿宋_GB2312" w:hAnsi="Times New Roman" w:eastAsia="仿宋_GB2312" w:cs="Times New Roman"/>
                <w:b/>
                <w:sz w:val="28"/>
                <w:szCs w:val="28"/>
              </w:rPr>
            </w:pPr>
          </w:p>
        </w:tc>
      </w:tr>
      <w:tr>
        <w:tblPrEx>
          <w:tblCellMar>
            <w:top w:w="0" w:type="dxa"/>
            <w:left w:w="108" w:type="dxa"/>
            <w:bottom w:w="0" w:type="dxa"/>
            <w:right w:w="108" w:type="dxa"/>
          </w:tblCellMar>
        </w:tblPrEx>
        <w:trPr>
          <w:trHeight w:val="624" w:hRule="atLeast"/>
        </w:trPr>
        <w:tc>
          <w:tcPr>
            <w:tcW w:w="236" w:type="dxa"/>
            <w:tcBorders>
              <w:top w:val="nil"/>
              <w:left w:val="nil"/>
              <w:bottom w:val="nil"/>
              <w:right w:val="nil"/>
            </w:tcBorders>
            <w:shd w:val="clear" w:color="auto" w:fill="auto"/>
            <w:vAlign w:val="center"/>
          </w:tcPr>
          <w:p>
            <w:pPr>
              <w:widowControl/>
              <w:adjustRightInd/>
              <w:snapToGrid/>
              <w:spacing w:line="360" w:lineRule="auto"/>
              <w:jc w:val="center"/>
              <w:rPr>
                <w:rFonts w:ascii="宋体" w:hAnsi="宋体" w:eastAsia="宋体" w:cs="Times New Roman"/>
                <w:kern w:val="0"/>
                <w:sz w:val="28"/>
                <w:szCs w:val="28"/>
              </w:rPr>
            </w:pPr>
          </w:p>
        </w:tc>
        <w:tc>
          <w:tcPr>
            <w:tcW w:w="968" w:type="dxa"/>
            <w:gridSpan w:val="2"/>
            <w:tcBorders>
              <w:top w:val="nil"/>
              <w:left w:val="nil"/>
              <w:bottom w:val="nil"/>
              <w:right w:val="nil"/>
            </w:tcBorders>
            <w:shd w:val="clear" w:color="auto" w:fill="auto"/>
            <w:vAlign w:val="center"/>
          </w:tcPr>
          <w:p>
            <w:pPr>
              <w:widowControl/>
              <w:adjustRightInd/>
              <w:snapToGrid/>
              <w:spacing w:line="360" w:lineRule="auto"/>
              <w:jc w:val="center"/>
              <w:rPr>
                <w:rFonts w:ascii="宋体" w:hAnsi="宋体" w:eastAsia="宋体" w:cs="Times New Roman"/>
                <w:kern w:val="0"/>
                <w:sz w:val="28"/>
                <w:szCs w:val="28"/>
              </w:rPr>
            </w:pPr>
          </w:p>
        </w:tc>
        <w:tc>
          <w:tcPr>
            <w:tcW w:w="1423" w:type="dxa"/>
            <w:gridSpan w:val="2"/>
            <w:tcBorders>
              <w:top w:val="nil"/>
              <w:left w:val="nil"/>
              <w:bottom w:val="nil"/>
              <w:right w:val="nil"/>
            </w:tcBorders>
            <w:shd w:val="clear" w:color="auto" w:fill="auto"/>
            <w:vAlign w:val="center"/>
          </w:tcPr>
          <w:p>
            <w:pPr>
              <w:widowControl/>
              <w:adjustRightInd/>
              <w:snapToGrid/>
              <w:spacing w:line="360" w:lineRule="auto"/>
              <w:jc w:val="center"/>
              <w:rPr>
                <w:rFonts w:ascii="宋体" w:hAnsi="宋体" w:eastAsia="宋体" w:cs="Times New Roman"/>
                <w:kern w:val="0"/>
                <w:sz w:val="28"/>
                <w:szCs w:val="28"/>
              </w:rPr>
            </w:pPr>
          </w:p>
        </w:tc>
        <w:tc>
          <w:tcPr>
            <w:tcW w:w="1993" w:type="dxa"/>
            <w:tcBorders>
              <w:top w:val="nil"/>
              <w:left w:val="nil"/>
              <w:bottom w:val="nil"/>
              <w:right w:val="nil"/>
            </w:tcBorders>
            <w:shd w:val="clear" w:color="auto" w:fill="auto"/>
            <w:vAlign w:val="center"/>
          </w:tcPr>
          <w:p>
            <w:pPr>
              <w:widowControl/>
              <w:adjustRightInd/>
              <w:snapToGrid/>
              <w:spacing w:line="360" w:lineRule="auto"/>
              <w:jc w:val="center"/>
              <w:rPr>
                <w:rFonts w:ascii="宋体" w:hAnsi="宋体" w:eastAsia="宋体" w:cs="Times New Roman"/>
                <w:kern w:val="0"/>
                <w:sz w:val="28"/>
                <w:szCs w:val="28"/>
              </w:rPr>
            </w:pPr>
          </w:p>
        </w:tc>
        <w:tc>
          <w:tcPr>
            <w:tcW w:w="2715" w:type="dxa"/>
            <w:gridSpan w:val="2"/>
            <w:tcBorders>
              <w:top w:val="nil"/>
              <w:left w:val="nil"/>
              <w:bottom w:val="nil"/>
              <w:right w:val="nil"/>
            </w:tcBorders>
            <w:shd w:val="clear" w:color="auto" w:fill="auto"/>
            <w:vAlign w:val="center"/>
          </w:tcPr>
          <w:p>
            <w:pPr>
              <w:widowControl/>
              <w:adjustRightInd/>
              <w:snapToGrid/>
              <w:spacing w:line="360" w:lineRule="auto"/>
              <w:jc w:val="center"/>
              <w:rPr>
                <w:rFonts w:ascii="宋体" w:hAnsi="宋体" w:eastAsia="宋体" w:cs="Times New Roman"/>
                <w:kern w:val="0"/>
                <w:sz w:val="28"/>
                <w:szCs w:val="28"/>
              </w:rPr>
            </w:pPr>
          </w:p>
        </w:tc>
        <w:tc>
          <w:tcPr>
            <w:tcW w:w="1044" w:type="dxa"/>
            <w:tcBorders>
              <w:top w:val="nil"/>
              <w:left w:val="nil"/>
              <w:bottom w:val="nil"/>
              <w:right w:val="nil"/>
            </w:tcBorders>
            <w:shd w:val="clear" w:color="auto" w:fill="auto"/>
            <w:vAlign w:val="center"/>
          </w:tcPr>
          <w:p>
            <w:pPr>
              <w:widowControl/>
              <w:adjustRightInd/>
              <w:snapToGrid/>
              <w:spacing w:line="360" w:lineRule="auto"/>
              <w:jc w:val="center"/>
              <w:rPr>
                <w:rFonts w:ascii="宋体" w:hAnsi="宋体" w:eastAsia="宋体" w:cs="Times New Roman"/>
                <w:kern w:val="0"/>
                <w:sz w:val="28"/>
                <w:szCs w:val="28"/>
              </w:rPr>
            </w:pPr>
          </w:p>
        </w:tc>
      </w:tr>
      <w:tr>
        <w:tblPrEx>
          <w:tblCellMar>
            <w:top w:w="0" w:type="dxa"/>
            <w:left w:w="108" w:type="dxa"/>
            <w:bottom w:w="0" w:type="dxa"/>
            <w:right w:w="108" w:type="dxa"/>
          </w:tblCellMar>
        </w:tblPrEx>
        <w:trPr>
          <w:trHeight w:val="624" w:hRule="atLeast"/>
        </w:trPr>
        <w:tc>
          <w:tcPr>
            <w:tcW w:w="7335" w:type="dxa"/>
            <w:gridSpan w:val="8"/>
            <w:tcBorders>
              <w:top w:val="nil"/>
              <w:left w:val="nil"/>
              <w:bottom w:val="single" w:color="auto" w:sz="4" w:space="0"/>
              <w:right w:val="nil"/>
            </w:tcBorders>
            <w:shd w:val="clear" w:color="auto" w:fill="auto"/>
            <w:vAlign w:val="bottom"/>
          </w:tcPr>
          <w:p>
            <w:pPr>
              <w:widowControl/>
              <w:adjustRightInd/>
              <w:snapToGrid/>
              <w:spacing w:line="360" w:lineRule="auto"/>
              <w:rPr>
                <w:rFonts w:ascii="宋体" w:hAnsi="宋体" w:eastAsia="宋体" w:cs="Times New Roman"/>
                <w:kern w:val="0"/>
                <w:sz w:val="28"/>
                <w:szCs w:val="28"/>
              </w:rPr>
            </w:pPr>
            <w:r>
              <w:rPr>
                <w:rFonts w:ascii="宋体" w:hAnsi="宋体" w:eastAsia="宋体" w:cs="Times New Roman"/>
                <w:kern w:val="0"/>
                <w:sz w:val="28"/>
                <w:szCs w:val="28"/>
              </w:rPr>
              <w:t>考核周期：</w:t>
            </w:r>
            <w:r>
              <w:rPr>
                <w:rFonts w:hint="eastAsia" w:ascii="宋体" w:hAnsi="宋体" w:eastAsia="宋体" w:cs="Times New Roman"/>
                <w:kern w:val="0"/>
                <w:sz w:val="28"/>
                <w:szCs w:val="28"/>
              </w:rPr>
              <w:t>2024</w:t>
            </w:r>
            <w:r>
              <w:rPr>
                <w:rFonts w:ascii="宋体" w:hAnsi="宋体" w:eastAsia="宋体" w:cs="Times New Roman"/>
                <w:kern w:val="0"/>
                <w:sz w:val="28"/>
                <w:szCs w:val="28"/>
              </w:rPr>
              <w:t xml:space="preserve"> 年第 </w:t>
            </w:r>
            <w:r>
              <w:rPr>
                <w:rFonts w:hint="eastAsia" w:ascii="宋体" w:hAnsi="宋体" w:eastAsia="宋体" w:cs="Times New Roman"/>
                <w:kern w:val="0"/>
                <w:sz w:val="28"/>
                <w:szCs w:val="28"/>
              </w:rPr>
              <w:t xml:space="preserve">  </w:t>
            </w:r>
            <w:r>
              <w:rPr>
                <w:rFonts w:ascii="宋体" w:hAnsi="宋体" w:eastAsia="宋体" w:cs="Times New Roman"/>
                <w:kern w:val="0"/>
                <w:sz w:val="28"/>
                <w:szCs w:val="28"/>
              </w:rPr>
              <w:t xml:space="preserve"> </w:t>
            </w:r>
            <w:r>
              <w:rPr>
                <w:rFonts w:hint="eastAsia" w:ascii="宋体" w:hAnsi="宋体" w:eastAsia="宋体" w:cs="Times New Roman"/>
                <w:kern w:val="0"/>
                <w:sz w:val="28"/>
                <w:szCs w:val="28"/>
              </w:rPr>
              <w:t>次</w:t>
            </w:r>
          </w:p>
        </w:tc>
        <w:tc>
          <w:tcPr>
            <w:tcW w:w="1044" w:type="dxa"/>
            <w:tcBorders>
              <w:top w:val="nil"/>
              <w:left w:val="nil"/>
              <w:bottom w:val="single" w:color="auto" w:sz="4" w:space="0"/>
              <w:right w:val="nil"/>
            </w:tcBorders>
            <w:shd w:val="clear" w:color="auto" w:fill="auto"/>
            <w:vAlign w:val="bottom"/>
          </w:tcPr>
          <w:p>
            <w:pPr>
              <w:widowControl/>
              <w:adjustRightInd/>
              <w:snapToGrid/>
              <w:spacing w:line="360" w:lineRule="auto"/>
              <w:rPr>
                <w:rFonts w:ascii="宋体" w:hAnsi="宋体" w:eastAsia="宋体" w:cs="Times New Roman"/>
                <w:kern w:val="0"/>
                <w:sz w:val="28"/>
                <w:szCs w:val="28"/>
              </w:rPr>
            </w:pPr>
            <w:r>
              <w:rPr>
                <w:rFonts w:hint="eastAsia" w:ascii="宋体" w:hAnsi="宋体" w:eastAsia="宋体" w:cs="Times New Roman"/>
                <w:kern w:val="0"/>
                <w:sz w:val="28"/>
                <w:szCs w:val="28"/>
              </w:rPr>
              <w:t>得分</w:t>
            </w:r>
          </w:p>
        </w:tc>
      </w:tr>
      <w:tr>
        <w:tblPrEx>
          <w:tblCellMar>
            <w:top w:w="0" w:type="dxa"/>
            <w:left w:w="108" w:type="dxa"/>
            <w:bottom w:w="0" w:type="dxa"/>
            <w:right w:w="108" w:type="dxa"/>
          </w:tblCellMar>
        </w:tblPrEx>
        <w:trPr>
          <w:trHeight w:val="1259" w:hRule="atLeast"/>
        </w:trPr>
        <w:tc>
          <w:tcPr>
            <w:tcW w:w="720" w:type="dxa"/>
            <w:gridSpan w:val="2"/>
            <w:tcBorders>
              <w:top w:val="nil"/>
              <w:left w:val="single" w:color="auto" w:sz="4" w:space="0"/>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kern w:val="0"/>
                <w:sz w:val="28"/>
                <w:szCs w:val="28"/>
              </w:rPr>
            </w:pPr>
            <w:r>
              <w:rPr>
                <w:rFonts w:ascii="宋体" w:hAnsi="宋体" w:eastAsia="宋体" w:cs="Times New Roman"/>
                <w:kern w:val="0"/>
                <w:sz w:val="28"/>
                <w:szCs w:val="28"/>
              </w:rPr>
              <w:t>序号</w:t>
            </w:r>
          </w:p>
        </w:tc>
        <w:tc>
          <w:tcPr>
            <w:tcW w:w="1350" w:type="dxa"/>
            <w:gridSpan w:val="2"/>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kern w:val="0"/>
                <w:sz w:val="28"/>
                <w:szCs w:val="28"/>
              </w:rPr>
            </w:pPr>
            <w:r>
              <w:rPr>
                <w:rFonts w:ascii="宋体" w:hAnsi="宋体" w:eastAsia="宋体" w:cs="Times New Roman"/>
                <w:kern w:val="0"/>
                <w:sz w:val="28"/>
                <w:szCs w:val="28"/>
              </w:rPr>
              <w:t>考核内容</w:t>
            </w:r>
          </w:p>
        </w:tc>
        <w:tc>
          <w:tcPr>
            <w:tcW w:w="2550" w:type="dxa"/>
            <w:gridSpan w:val="2"/>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kern w:val="0"/>
                <w:sz w:val="28"/>
                <w:szCs w:val="28"/>
              </w:rPr>
            </w:pPr>
            <w:r>
              <w:rPr>
                <w:rFonts w:ascii="宋体" w:hAnsi="宋体" w:eastAsia="宋体" w:cs="Times New Roman"/>
                <w:kern w:val="0"/>
                <w:sz w:val="28"/>
                <w:szCs w:val="28"/>
              </w:rPr>
              <w:t>考核标准</w:t>
            </w:r>
          </w:p>
        </w:tc>
        <w:tc>
          <w:tcPr>
            <w:tcW w:w="1620"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kern w:val="0"/>
                <w:sz w:val="28"/>
                <w:szCs w:val="28"/>
              </w:rPr>
            </w:pPr>
            <w:r>
              <w:rPr>
                <w:rFonts w:ascii="宋体" w:hAnsi="宋体" w:eastAsia="宋体" w:cs="Times New Roman"/>
                <w:kern w:val="0"/>
                <w:sz w:val="28"/>
                <w:szCs w:val="28"/>
              </w:rPr>
              <w:t>考核</w:t>
            </w:r>
            <w:r>
              <w:rPr>
                <w:rFonts w:hint="eastAsia" w:ascii="宋体" w:hAnsi="宋体" w:eastAsia="宋体" w:cs="Times New Roman"/>
                <w:kern w:val="0"/>
                <w:sz w:val="28"/>
                <w:szCs w:val="28"/>
              </w:rPr>
              <w:t>分数</w:t>
            </w:r>
          </w:p>
        </w:tc>
        <w:tc>
          <w:tcPr>
            <w:tcW w:w="1095"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kern w:val="0"/>
                <w:sz w:val="28"/>
                <w:szCs w:val="28"/>
              </w:rPr>
            </w:pPr>
            <w:r>
              <w:rPr>
                <w:rFonts w:hint="eastAsia" w:ascii="宋体" w:hAnsi="宋体" w:eastAsia="宋体" w:cs="Times New Roman"/>
                <w:kern w:val="0"/>
                <w:sz w:val="28"/>
                <w:szCs w:val="28"/>
              </w:rPr>
              <w:t>得分</w:t>
            </w:r>
          </w:p>
        </w:tc>
        <w:tc>
          <w:tcPr>
            <w:tcW w:w="1044"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kern w:val="0"/>
                <w:sz w:val="28"/>
                <w:szCs w:val="28"/>
              </w:rPr>
            </w:pPr>
            <w:r>
              <w:rPr>
                <w:rFonts w:hint="eastAsia" w:ascii="宋体" w:hAnsi="宋体" w:eastAsia="宋体" w:cs="Times New Roman"/>
                <w:kern w:val="0"/>
                <w:sz w:val="28"/>
                <w:szCs w:val="28"/>
              </w:rPr>
              <w:t>扣分及建议</w:t>
            </w:r>
          </w:p>
        </w:tc>
      </w:tr>
      <w:tr>
        <w:tblPrEx>
          <w:tblCellMar>
            <w:top w:w="0" w:type="dxa"/>
            <w:left w:w="108" w:type="dxa"/>
            <w:bottom w:w="0" w:type="dxa"/>
            <w:right w:w="108" w:type="dxa"/>
          </w:tblCellMar>
        </w:tblPrEx>
        <w:trPr>
          <w:trHeight w:val="3038" w:hRule="atLeast"/>
        </w:trPr>
        <w:tc>
          <w:tcPr>
            <w:tcW w:w="720" w:type="dxa"/>
            <w:gridSpan w:val="2"/>
            <w:tcBorders>
              <w:top w:val="nil"/>
              <w:left w:val="single" w:color="auto" w:sz="4" w:space="0"/>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kern w:val="0"/>
                <w:sz w:val="28"/>
                <w:szCs w:val="28"/>
              </w:rPr>
            </w:pPr>
            <w:r>
              <w:rPr>
                <w:rFonts w:ascii="宋体" w:hAnsi="宋体" w:eastAsia="宋体" w:cs="Times New Roman"/>
                <w:kern w:val="0"/>
                <w:sz w:val="28"/>
                <w:szCs w:val="28"/>
              </w:rPr>
              <w:t>1</w:t>
            </w:r>
          </w:p>
        </w:tc>
        <w:tc>
          <w:tcPr>
            <w:tcW w:w="1350" w:type="dxa"/>
            <w:gridSpan w:val="2"/>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kern w:val="0"/>
                <w:sz w:val="28"/>
                <w:szCs w:val="28"/>
              </w:rPr>
            </w:pPr>
            <w:r>
              <w:rPr>
                <w:rFonts w:ascii="宋体" w:hAnsi="宋体" w:eastAsia="宋体" w:cs="Times New Roman"/>
                <w:kern w:val="0"/>
                <w:sz w:val="28"/>
                <w:szCs w:val="28"/>
              </w:rPr>
              <w:t>乙方日常水质检测</w:t>
            </w:r>
          </w:p>
        </w:tc>
        <w:tc>
          <w:tcPr>
            <w:tcW w:w="2550" w:type="dxa"/>
            <w:gridSpan w:val="2"/>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kern w:val="0"/>
                <w:sz w:val="28"/>
                <w:szCs w:val="28"/>
              </w:rPr>
            </w:pPr>
            <w:r>
              <w:rPr>
                <w:rFonts w:ascii="宋体" w:hAnsi="宋体" w:eastAsia="宋体" w:cs="Times New Roman"/>
                <w:kern w:val="0"/>
                <w:sz w:val="28"/>
                <w:szCs w:val="28"/>
              </w:rPr>
              <w:t>日常检测出水水质达标天数达95%以上（含95%）</w:t>
            </w:r>
            <w:r>
              <w:rPr>
                <w:rFonts w:hint="eastAsia" w:ascii="宋体" w:hAnsi="宋体" w:eastAsia="宋体" w:cs="Times New Roman"/>
                <w:kern w:val="0"/>
                <w:sz w:val="28"/>
                <w:szCs w:val="28"/>
              </w:rPr>
              <w:t>为合格。</w:t>
            </w:r>
          </w:p>
        </w:tc>
        <w:tc>
          <w:tcPr>
            <w:tcW w:w="1620"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kern w:val="0"/>
                <w:sz w:val="28"/>
                <w:szCs w:val="28"/>
              </w:rPr>
            </w:pPr>
            <w:r>
              <w:rPr>
                <w:rFonts w:ascii="宋体" w:hAnsi="宋体" w:eastAsia="宋体" w:cs="Times New Roman"/>
                <w:kern w:val="0"/>
                <w:sz w:val="28"/>
                <w:szCs w:val="28"/>
              </w:rPr>
              <w:t xml:space="preserve"> □ 合格</w:t>
            </w:r>
            <w:r>
              <w:rPr>
                <w:rFonts w:hint="eastAsia" w:ascii="宋体" w:hAnsi="宋体" w:eastAsia="宋体" w:cs="Times New Roman"/>
                <w:kern w:val="0"/>
                <w:sz w:val="28"/>
                <w:szCs w:val="28"/>
              </w:rPr>
              <w:t>为50分</w:t>
            </w:r>
          </w:p>
          <w:p>
            <w:pPr>
              <w:widowControl/>
              <w:adjustRightInd/>
              <w:snapToGrid/>
              <w:spacing w:line="360" w:lineRule="auto"/>
              <w:jc w:val="center"/>
              <w:rPr>
                <w:rFonts w:ascii="宋体" w:hAnsi="宋体" w:eastAsia="宋体" w:cs="Times New Roman"/>
                <w:kern w:val="0"/>
                <w:sz w:val="28"/>
                <w:szCs w:val="28"/>
              </w:rPr>
            </w:pPr>
            <w:r>
              <w:rPr>
                <w:rFonts w:ascii="宋体" w:hAnsi="宋体" w:eastAsia="宋体" w:cs="Times New Roman"/>
                <w:kern w:val="0"/>
                <w:sz w:val="28"/>
                <w:szCs w:val="28"/>
              </w:rPr>
              <w:t xml:space="preserve"> □ 不合格</w:t>
            </w:r>
            <w:r>
              <w:rPr>
                <w:rFonts w:hint="eastAsia" w:ascii="宋体" w:hAnsi="宋体" w:eastAsia="宋体" w:cs="Times New Roman"/>
                <w:kern w:val="0"/>
                <w:sz w:val="28"/>
                <w:szCs w:val="28"/>
              </w:rPr>
              <w:t>为0分</w:t>
            </w:r>
          </w:p>
        </w:tc>
        <w:tc>
          <w:tcPr>
            <w:tcW w:w="1095"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kern w:val="0"/>
                <w:sz w:val="28"/>
                <w:szCs w:val="28"/>
              </w:rPr>
            </w:pPr>
            <w:r>
              <w:rPr>
                <w:rFonts w:ascii="宋体" w:hAnsi="宋体" w:eastAsia="宋体" w:cs="Times New Roman"/>
                <w:kern w:val="0"/>
                <w:sz w:val="28"/>
                <w:szCs w:val="28"/>
              </w:rPr>
              <w:t>　</w:t>
            </w:r>
          </w:p>
        </w:tc>
        <w:tc>
          <w:tcPr>
            <w:tcW w:w="1044"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kern w:val="0"/>
                <w:sz w:val="28"/>
                <w:szCs w:val="28"/>
              </w:rPr>
            </w:pPr>
          </w:p>
        </w:tc>
      </w:tr>
      <w:tr>
        <w:tblPrEx>
          <w:tblCellMar>
            <w:top w:w="0" w:type="dxa"/>
            <w:left w:w="108" w:type="dxa"/>
            <w:bottom w:w="0" w:type="dxa"/>
            <w:right w:w="108" w:type="dxa"/>
          </w:tblCellMar>
        </w:tblPrEx>
        <w:trPr>
          <w:trHeight w:val="2089" w:hRule="atLeast"/>
        </w:trPr>
        <w:tc>
          <w:tcPr>
            <w:tcW w:w="720" w:type="dxa"/>
            <w:gridSpan w:val="2"/>
            <w:tcBorders>
              <w:top w:val="nil"/>
              <w:left w:val="single" w:color="auto" w:sz="4" w:space="0"/>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kern w:val="0"/>
                <w:sz w:val="28"/>
                <w:szCs w:val="28"/>
              </w:rPr>
            </w:pPr>
            <w:r>
              <w:rPr>
                <w:rFonts w:ascii="宋体" w:hAnsi="宋体" w:eastAsia="宋体" w:cs="Times New Roman"/>
                <w:kern w:val="0"/>
                <w:sz w:val="28"/>
                <w:szCs w:val="28"/>
              </w:rPr>
              <w:t>2</w:t>
            </w:r>
          </w:p>
        </w:tc>
        <w:tc>
          <w:tcPr>
            <w:tcW w:w="1350" w:type="dxa"/>
            <w:gridSpan w:val="2"/>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kern w:val="0"/>
                <w:sz w:val="28"/>
                <w:szCs w:val="28"/>
              </w:rPr>
            </w:pPr>
            <w:r>
              <w:rPr>
                <w:rFonts w:ascii="宋体" w:hAnsi="宋体" w:eastAsia="宋体" w:cs="Times New Roman"/>
                <w:kern w:val="0"/>
                <w:sz w:val="28"/>
                <w:szCs w:val="28"/>
              </w:rPr>
              <w:t>第三方水质检测</w:t>
            </w:r>
          </w:p>
        </w:tc>
        <w:tc>
          <w:tcPr>
            <w:tcW w:w="2550" w:type="dxa"/>
            <w:gridSpan w:val="2"/>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kern w:val="0"/>
                <w:sz w:val="28"/>
                <w:szCs w:val="28"/>
              </w:rPr>
            </w:pPr>
            <w:r>
              <w:rPr>
                <w:rFonts w:ascii="宋体" w:hAnsi="宋体" w:eastAsia="宋体" w:cs="Times New Roman"/>
                <w:kern w:val="0"/>
                <w:sz w:val="28"/>
                <w:szCs w:val="28"/>
              </w:rPr>
              <w:t>第三方检测出水水质达标</w:t>
            </w:r>
            <w:r>
              <w:rPr>
                <w:rFonts w:hint="eastAsia" w:ascii="宋体" w:hAnsi="宋体" w:eastAsia="宋体" w:cs="Times New Roman"/>
                <w:kern w:val="0"/>
                <w:sz w:val="28"/>
                <w:szCs w:val="28"/>
              </w:rPr>
              <w:t>，为合格。</w:t>
            </w:r>
          </w:p>
        </w:tc>
        <w:tc>
          <w:tcPr>
            <w:tcW w:w="1620"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kern w:val="0"/>
                <w:sz w:val="28"/>
                <w:szCs w:val="28"/>
              </w:rPr>
            </w:pPr>
            <w:r>
              <w:rPr>
                <w:rFonts w:ascii="宋体" w:hAnsi="宋体" w:eastAsia="宋体" w:cs="Times New Roman"/>
                <w:kern w:val="0"/>
                <w:sz w:val="28"/>
                <w:szCs w:val="28"/>
              </w:rPr>
              <w:t xml:space="preserve"> □ 合格</w:t>
            </w:r>
            <w:r>
              <w:rPr>
                <w:rFonts w:hint="eastAsia" w:ascii="宋体" w:hAnsi="宋体" w:eastAsia="宋体" w:cs="Times New Roman"/>
                <w:kern w:val="0"/>
                <w:sz w:val="28"/>
                <w:szCs w:val="28"/>
              </w:rPr>
              <w:t>为50分</w:t>
            </w:r>
          </w:p>
          <w:p>
            <w:pPr>
              <w:widowControl/>
              <w:adjustRightInd/>
              <w:snapToGrid/>
              <w:spacing w:line="360" w:lineRule="auto"/>
              <w:jc w:val="center"/>
              <w:rPr>
                <w:rFonts w:ascii="宋体" w:hAnsi="宋体" w:eastAsia="宋体" w:cs="Times New Roman"/>
                <w:kern w:val="0"/>
                <w:sz w:val="28"/>
                <w:szCs w:val="28"/>
              </w:rPr>
            </w:pPr>
            <w:r>
              <w:rPr>
                <w:rFonts w:ascii="宋体" w:hAnsi="宋体" w:eastAsia="宋体" w:cs="Times New Roman"/>
                <w:kern w:val="0"/>
                <w:sz w:val="28"/>
                <w:szCs w:val="28"/>
              </w:rPr>
              <w:t xml:space="preserve"> □ 不合格</w:t>
            </w:r>
            <w:r>
              <w:rPr>
                <w:rFonts w:hint="eastAsia" w:ascii="宋体" w:hAnsi="宋体" w:eastAsia="宋体" w:cs="Times New Roman"/>
                <w:kern w:val="0"/>
                <w:sz w:val="28"/>
                <w:szCs w:val="28"/>
              </w:rPr>
              <w:t>为0</w:t>
            </w:r>
          </w:p>
        </w:tc>
        <w:tc>
          <w:tcPr>
            <w:tcW w:w="1095"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kern w:val="0"/>
                <w:sz w:val="28"/>
                <w:szCs w:val="28"/>
              </w:rPr>
            </w:pPr>
            <w:r>
              <w:rPr>
                <w:rFonts w:ascii="宋体" w:hAnsi="宋体" w:eastAsia="宋体" w:cs="Times New Roman"/>
                <w:kern w:val="0"/>
                <w:sz w:val="28"/>
                <w:szCs w:val="28"/>
              </w:rPr>
              <w:t>　</w:t>
            </w:r>
          </w:p>
        </w:tc>
        <w:tc>
          <w:tcPr>
            <w:tcW w:w="1044"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kern w:val="0"/>
                <w:sz w:val="28"/>
                <w:szCs w:val="28"/>
              </w:rPr>
            </w:pPr>
          </w:p>
        </w:tc>
      </w:tr>
    </w:tbl>
    <w:p>
      <w:pPr>
        <w:keepNext/>
        <w:keepLines/>
        <w:widowControl w:val="0"/>
        <w:tabs>
          <w:tab w:val="left" w:pos="3828"/>
        </w:tabs>
        <w:autoSpaceDE w:val="0"/>
        <w:autoSpaceDN w:val="0"/>
        <w:adjustRightInd w:val="0"/>
        <w:spacing w:before="360" w:after="120"/>
        <w:jc w:val="left"/>
        <w:outlineLvl w:val="2"/>
        <w:rPr>
          <w:rFonts w:ascii="宋体" w:hAnsi="Times New Roman" w:eastAsia="宋体" w:cs="Times New Roman"/>
          <w:b/>
          <w:kern w:val="0"/>
          <w:sz w:val="24"/>
          <w:szCs w:val="20"/>
          <w:u w:val="single"/>
          <w:lang w:val="en-US" w:eastAsia="zh-CN" w:bidi="ar-SA"/>
        </w:rPr>
      </w:pPr>
      <w:bookmarkStart w:id="182" w:name="_Toc10161"/>
      <w:r>
        <w:rPr>
          <w:rFonts w:hint="eastAsia" w:ascii="仿宋" w:hAnsi="仿宋" w:eastAsia="仿宋" w:cs="Times New Roman"/>
          <w:b/>
          <w:kern w:val="0"/>
          <w:sz w:val="32"/>
          <w:szCs w:val="20"/>
          <w:u w:val="single"/>
          <w:lang w:val="en-US" w:eastAsia="zh-CN" w:bidi="ar-SA"/>
        </w:rPr>
        <w:t>附件3</w:t>
      </w:r>
      <w:r>
        <w:rPr>
          <w:rFonts w:ascii="仿宋" w:hAnsi="仿宋" w:eastAsia="仿宋" w:cs="Times New Roman"/>
          <w:b/>
          <w:kern w:val="0"/>
          <w:sz w:val="32"/>
          <w:szCs w:val="20"/>
          <w:u w:val="single"/>
          <w:lang w:val="en-US" w:eastAsia="zh-CN" w:bidi="ar-SA"/>
        </w:rPr>
        <w:t xml:space="preserve"> </w:t>
      </w:r>
      <w:r>
        <w:rPr>
          <w:rFonts w:hint="eastAsia" w:ascii="仿宋" w:hAnsi="仿宋" w:eastAsia="仿宋" w:cs="Times New Roman"/>
          <w:b/>
          <w:kern w:val="0"/>
          <w:sz w:val="32"/>
          <w:szCs w:val="20"/>
          <w:u w:val="single"/>
          <w:lang w:val="en-US" w:eastAsia="zh-CN" w:bidi="ar-SA"/>
        </w:rPr>
        <w:t>再生水利用项目考核评分表（出水水质部分）</w:t>
      </w:r>
      <w:bookmarkEnd w:id="181"/>
      <w:bookmarkEnd w:id="182"/>
      <w:r>
        <w:rPr>
          <w:rFonts w:hint="eastAsia" w:ascii="仿宋" w:hAnsi="仿宋" w:eastAsia="仿宋" w:cs="Times New Roman"/>
          <w:b/>
          <w:kern w:val="0"/>
          <w:sz w:val="32"/>
          <w:szCs w:val="20"/>
          <w:u w:val="single"/>
          <w:lang w:val="en-US" w:eastAsia="zh-CN" w:bidi="ar-SA"/>
        </w:rPr>
        <w:t xml:space="preserve">   </w:t>
      </w:r>
    </w:p>
    <w:p>
      <w:pPr>
        <w:widowControl w:val="0"/>
        <w:autoSpaceDE w:val="0"/>
        <w:autoSpaceDN w:val="0"/>
        <w:adjustRightInd w:val="0"/>
        <w:ind w:firstLine="0"/>
        <w:jc w:val="left"/>
        <w:rPr>
          <w:rFonts w:ascii="宋体" w:hAnsi="Times New Roman" w:eastAsia="宋体" w:cs="Times New Roman"/>
          <w:kern w:val="2"/>
          <w:sz w:val="24"/>
          <w:szCs w:val="21"/>
          <w:lang w:val="en-US" w:eastAsia="zh-CN" w:bidi="ar-SA"/>
        </w:rPr>
      </w:pPr>
    </w:p>
    <w:p>
      <w:pPr>
        <w:widowControl w:val="0"/>
        <w:autoSpaceDE w:val="0"/>
        <w:autoSpaceDN w:val="0"/>
        <w:adjustRightInd w:val="0"/>
        <w:ind w:firstLine="0"/>
        <w:jc w:val="left"/>
        <w:rPr>
          <w:rFonts w:ascii="宋体" w:hAnsi="Times New Roman" w:eastAsia="宋体" w:cs="Times New Roman"/>
          <w:kern w:val="2"/>
          <w:sz w:val="24"/>
          <w:szCs w:val="21"/>
          <w:lang w:val="en-US" w:eastAsia="zh-CN" w:bidi="ar-SA"/>
        </w:rPr>
      </w:pPr>
    </w:p>
    <w:p>
      <w:pPr>
        <w:widowControl w:val="0"/>
        <w:autoSpaceDE w:val="0"/>
        <w:autoSpaceDN w:val="0"/>
        <w:adjustRightInd w:val="0"/>
        <w:ind w:firstLine="0"/>
        <w:jc w:val="left"/>
        <w:rPr>
          <w:rFonts w:hint="default" w:ascii="宋体" w:hAnsi="Times New Roman" w:eastAsia="宋体" w:cs="Times New Roman"/>
          <w:kern w:val="2"/>
          <w:sz w:val="24"/>
          <w:szCs w:val="21"/>
          <w:lang w:val="en-US" w:eastAsia="zh-CN" w:bidi="ar-SA"/>
        </w:rPr>
      </w:pPr>
    </w:p>
    <w:p>
      <w:pPr>
        <w:widowControl w:val="0"/>
        <w:autoSpaceDE w:val="0"/>
        <w:autoSpaceDN w:val="0"/>
        <w:adjustRightInd w:val="0"/>
        <w:ind w:firstLine="0"/>
        <w:jc w:val="left"/>
        <w:rPr>
          <w:rFonts w:ascii="宋体" w:hAnsi="Times New Roman" w:eastAsia="宋体" w:cs="Times New Roman"/>
          <w:kern w:val="2"/>
          <w:sz w:val="24"/>
          <w:szCs w:val="21"/>
          <w:lang w:val="en-US" w:eastAsia="zh-CN" w:bidi="ar-SA"/>
        </w:rPr>
      </w:pPr>
    </w:p>
    <w:p>
      <w:pPr>
        <w:widowControl w:val="0"/>
        <w:autoSpaceDE w:val="0"/>
        <w:autoSpaceDN w:val="0"/>
        <w:adjustRightInd w:val="0"/>
        <w:ind w:firstLine="0"/>
        <w:jc w:val="left"/>
        <w:rPr>
          <w:rFonts w:ascii="宋体" w:hAnsi="Times New Roman" w:eastAsia="宋体" w:cs="Times New Roman"/>
          <w:kern w:val="2"/>
          <w:sz w:val="24"/>
          <w:szCs w:val="21"/>
          <w:lang w:val="en-US" w:eastAsia="zh-CN" w:bidi="ar-SA"/>
        </w:rPr>
      </w:pPr>
    </w:p>
    <w:p>
      <w:pPr>
        <w:widowControl w:val="0"/>
        <w:autoSpaceDE w:val="0"/>
        <w:autoSpaceDN w:val="0"/>
        <w:adjustRightInd w:val="0"/>
        <w:ind w:firstLine="0"/>
        <w:jc w:val="left"/>
        <w:rPr>
          <w:rFonts w:ascii="宋体" w:hAnsi="Times New Roman" w:eastAsia="宋体" w:cs="Times New Roman"/>
          <w:kern w:val="2"/>
          <w:sz w:val="24"/>
          <w:szCs w:val="21"/>
          <w:lang w:val="en-US" w:eastAsia="zh-CN" w:bidi="ar-SA"/>
        </w:rPr>
      </w:pPr>
    </w:p>
    <w:p>
      <w:pPr>
        <w:widowControl w:val="0"/>
        <w:autoSpaceDE w:val="0"/>
        <w:autoSpaceDN w:val="0"/>
        <w:adjustRightInd w:val="0"/>
        <w:ind w:firstLine="0"/>
        <w:jc w:val="left"/>
        <w:rPr>
          <w:rFonts w:ascii="宋体" w:hAnsi="Times New Roman" w:eastAsia="宋体" w:cs="Times New Roman"/>
          <w:kern w:val="2"/>
          <w:sz w:val="24"/>
          <w:szCs w:val="21"/>
          <w:lang w:val="en-US" w:eastAsia="zh-CN" w:bidi="ar-SA"/>
        </w:rPr>
      </w:pPr>
    </w:p>
    <w:p>
      <w:pPr>
        <w:widowControl w:val="0"/>
        <w:autoSpaceDE w:val="0"/>
        <w:autoSpaceDN w:val="0"/>
        <w:adjustRightInd w:val="0"/>
        <w:ind w:firstLine="0"/>
        <w:jc w:val="left"/>
        <w:rPr>
          <w:rFonts w:ascii="宋体" w:hAnsi="Times New Roman" w:eastAsia="宋体" w:cs="Times New Roman"/>
          <w:kern w:val="2"/>
          <w:sz w:val="24"/>
          <w:szCs w:val="21"/>
          <w:lang w:val="en-US" w:eastAsia="zh-CN" w:bidi="ar-SA"/>
        </w:rPr>
      </w:pPr>
    </w:p>
    <w:p>
      <w:pPr>
        <w:widowControl w:val="0"/>
        <w:autoSpaceDE w:val="0"/>
        <w:autoSpaceDN w:val="0"/>
        <w:adjustRightInd w:val="0"/>
        <w:ind w:firstLine="0"/>
        <w:jc w:val="left"/>
        <w:rPr>
          <w:rFonts w:ascii="宋体" w:hAnsi="Times New Roman" w:eastAsia="宋体" w:cs="Times New Roman"/>
          <w:kern w:val="2"/>
          <w:sz w:val="24"/>
          <w:szCs w:val="21"/>
          <w:lang w:val="en-US" w:eastAsia="zh-CN" w:bidi="ar-SA"/>
        </w:rPr>
      </w:pPr>
    </w:p>
    <w:p>
      <w:pPr>
        <w:widowControl w:val="0"/>
        <w:autoSpaceDE w:val="0"/>
        <w:autoSpaceDN w:val="0"/>
        <w:adjustRightInd w:val="0"/>
        <w:ind w:firstLine="0"/>
        <w:jc w:val="left"/>
        <w:rPr>
          <w:rFonts w:ascii="宋体" w:hAnsi="Times New Roman" w:eastAsia="宋体" w:cs="Times New Roman"/>
          <w:kern w:val="2"/>
          <w:sz w:val="24"/>
          <w:szCs w:val="21"/>
          <w:lang w:val="en-US" w:eastAsia="zh-CN" w:bidi="ar-SA"/>
        </w:rPr>
      </w:pPr>
    </w:p>
    <w:p>
      <w:pPr>
        <w:keepNext/>
        <w:keepLines/>
        <w:widowControl w:val="0"/>
        <w:tabs>
          <w:tab w:val="left" w:pos="3828"/>
        </w:tabs>
        <w:autoSpaceDE w:val="0"/>
        <w:autoSpaceDN w:val="0"/>
        <w:adjustRightInd w:val="0"/>
        <w:spacing w:before="360" w:after="120"/>
        <w:jc w:val="left"/>
        <w:outlineLvl w:val="2"/>
        <w:rPr>
          <w:rFonts w:ascii="仿宋" w:hAnsi="仿宋" w:eastAsia="仿宋" w:cs="Times New Roman"/>
          <w:b/>
          <w:kern w:val="0"/>
          <w:sz w:val="32"/>
          <w:szCs w:val="20"/>
          <w:u w:val="single"/>
          <w:lang w:val="en-US" w:eastAsia="zh-CN" w:bidi="ar-SA"/>
        </w:rPr>
      </w:pPr>
      <w:bookmarkStart w:id="183" w:name="_Toc83723850"/>
      <w:bookmarkStart w:id="184" w:name="_Toc24085"/>
      <w:r>
        <w:rPr>
          <w:rFonts w:hint="eastAsia" w:ascii="仿宋" w:hAnsi="仿宋" w:eastAsia="仿宋" w:cs="Times New Roman"/>
          <w:b/>
          <w:kern w:val="0"/>
          <w:sz w:val="32"/>
          <w:szCs w:val="20"/>
          <w:u w:val="single"/>
          <w:lang w:val="en-US" w:eastAsia="zh-CN" w:bidi="ar-SA"/>
        </w:rPr>
        <w:t xml:space="preserve">附件4 </w:t>
      </w:r>
      <w:bookmarkEnd w:id="183"/>
      <w:r>
        <w:rPr>
          <w:rFonts w:hint="eastAsia" w:ascii="仿宋" w:hAnsi="仿宋" w:eastAsia="仿宋" w:cs="Times New Roman"/>
          <w:b/>
          <w:kern w:val="0"/>
          <w:sz w:val="32"/>
          <w:szCs w:val="20"/>
          <w:u w:val="single"/>
          <w:lang w:val="en-US" w:eastAsia="zh-CN" w:bidi="ar-SA"/>
        </w:rPr>
        <w:t>再生水利用项目考核评分表（技术服务及安全管理部分）</w:t>
      </w:r>
      <w:bookmarkEnd w:id="184"/>
    </w:p>
    <w:p>
      <w:pPr>
        <w:adjustRightInd/>
        <w:snapToGrid/>
        <w:spacing w:line="240" w:lineRule="auto"/>
        <w:jc w:val="center"/>
        <w:rPr>
          <w:rFonts w:ascii="仿宋_GB2312" w:hAnsi="Times New Roman" w:eastAsia="仿宋_GB2312" w:cs="Times New Roman"/>
          <w:b/>
          <w:sz w:val="28"/>
          <w:szCs w:val="28"/>
        </w:rPr>
      </w:pPr>
      <w:r>
        <w:rPr>
          <w:rFonts w:hint="eastAsia" w:ascii="仿宋_GB2312" w:hAnsi="Times New Roman" w:eastAsia="仿宋_GB2312" w:cs="Times New Roman"/>
          <w:b/>
          <w:sz w:val="28"/>
          <w:szCs w:val="28"/>
        </w:rPr>
        <w:t>2024年园博园再生水利用项目考核评分表</w:t>
      </w:r>
    </w:p>
    <w:p>
      <w:pPr>
        <w:adjustRightInd/>
        <w:snapToGrid/>
        <w:spacing w:line="240" w:lineRule="auto"/>
        <w:jc w:val="center"/>
        <w:rPr>
          <w:rFonts w:ascii="仿宋_GB2312" w:hAnsi="Times New Roman" w:eastAsia="仿宋_GB2312" w:cs="Times New Roman"/>
          <w:b/>
          <w:sz w:val="28"/>
          <w:szCs w:val="28"/>
        </w:rPr>
      </w:pPr>
      <w:r>
        <w:rPr>
          <w:rFonts w:hint="eastAsia" w:ascii="仿宋_GB2312" w:hAnsi="Times New Roman" w:eastAsia="仿宋_GB2312" w:cs="Times New Roman"/>
          <w:b/>
          <w:sz w:val="28"/>
          <w:szCs w:val="28"/>
        </w:rPr>
        <w:t>（技术服务及安全管理部分）</w:t>
      </w:r>
    </w:p>
    <w:p>
      <w:pPr>
        <w:adjustRightInd/>
        <w:snapToGrid/>
        <w:spacing w:line="240" w:lineRule="auto"/>
        <w:jc w:val="center"/>
        <w:rPr>
          <w:rFonts w:ascii="宋体" w:hAnsi="宋体" w:eastAsia="宋体" w:cs="Times New Roman"/>
          <w:b/>
          <w:sz w:val="24"/>
          <w:szCs w:val="24"/>
        </w:rPr>
      </w:pPr>
      <w:r>
        <w:rPr>
          <w:rFonts w:hint="eastAsia" w:ascii="仿宋_GB2312" w:hAnsi="Times New Roman" w:eastAsia="仿宋_GB2312" w:cs="Times New Roman"/>
          <w:b/>
          <w:sz w:val="28"/>
          <w:szCs w:val="28"/>
        </w:rPr>
        <w:t xml:space="preserve">                              </w:t>
      </w:r>
      <w:r>
        <w:rPr>
          <w:rFonts w:hint="eastAsia" w:ascii="宋体" w:hAnsi="宋体" w:eastAsia="宋体" w:cs="Times New Roman"/>
          <w:color w:val="000000"/>
          <w:kern w:val="0"/>
          <w:sz w:val="24"/>
          <w:szCs w:val="24"/>
        </w:rPr>
        <w:t xml:space="preserve">                                                             </w:t>
      </w:r>
      <w:r>
        <w:rPr>
          <w:rFonts w:ascii="宋体" w:hAnsi="宋体" w:eastAsia="宋体" w:cs="Times New Roman"/>
          <w:color w:val="000000"/>
          <w:kern w:val="0"/>
          <w:sz w:val="24"/>
          <w:szCs w:val="24"/>
        </w:rPr>
        <w:t>考核周期：</w:t>
      </w:r>
      <w:r>
        <w:rPr>
          <w:rFonts w:hint="eastAsia" w:ascii="宋体" w:hAnsi="宋体" w:eastAsia="宋体" w:cs="Times New Roman"/>
          <w:color w:val="000000"/>
          <w:kern w:val="0"/>
          <w:sz w:val="24"/>
          <w:szCs w:val="24"/>
        </w:rPr>
        <w:t>2024</w:t>
      </w:r>
      <w:r>
        <w:rPr>
          <w:rFonts w:ascii="宋体" w:hAnsi="宋体" w:eastAsia="宋体" w:cs="Times New Roman"/>
          <w:color w:val="000000"/>
          <w:kern w:val="0"/>
          <w:sz w:val="24"/>
          <w:szCs w:val="24"/>
        </w:rPr>
        <w:t>年</w:t>
      </w:r>
      <w:r>
        <w:rPr>
          <w:rFonts w:hint="eastAsia" w:ascii="宋体" w:hAnsi="宋体" w:eastAsia="宋体" w:cs="Times New Roman"/>
          <w:color w:val="000000"/>
          <w:kern w:val="0"/>
          <w:sz w:val="24"/>
          <w:szCs w:val="24"/>
        </w:rPr>
        <w:t>第  次                    得分</w:t>
      </w:r>
    </w:p>
    <w:tbl>
      <w:tblPr>
        <w:tblStyle w:val="19"/>
        <w:tblW w:w="10697" w:type="dxa"/>
        <w:jc w:val="center"/>
        <w:tblLayout w:type="fixed"/>
        <w:tblCellMar>
          <w:top w:w="0" w:type="dxa"/>
          <w:left w:w="108" w:type="dxa"/>
          <w:bottom w:w="0" w:type="dxa"/>
          <w:right w:w="108" w:type="dxa"/>
        </w:tblCellMar>
      </w:tblPr>
      <w:tblGrid>
        <w:gridCol w:w="722"/>
        <w:gridCol w:w="1115"/>
        <w:gridCol w:w="3046"/>
        <w:gridCol w:w="541"/>
        <w:gridCol w:w="2488"/>
        <w:gridCol w:w="1012"/>
        <w:gridCol w:w="1773"/>
      </w:tblGrid>
      <w:tr>
        <w:tblPrEx>
          <w:tblCellMar>
            <w:top w:w="0" w:type="dxa"/>
            <w:left w:w="108" w:type="dxa"/>
            <w:bottom w:w="0" w:type="dxa"/>
            <w:right w:w="108" w:type="dxa"/>
          </w:tblCellMar>
        </w:tblPrEx>
        <w:trPr>
          <w:trHeight w:val="451" w:hRule="atLeast"/>
          <w:tblHeader/>
          <w:jc w:val="center"/>
        </w:trPr>
        <w:tc>
          <w:tcPr>
            <w:tcW w:w="72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ascii="宋体" w:hAnsi="宋体" w:eastAsia="宋体" w:cs="Times New Roman"/>
                <w:color w:val="000000"/>
                <w:kern w:val="0"/>
                <w:sz w:val="18"/>
                <w:szCs w:val="18"/>
              </w:rPr>
              <w:t>序号</w:t>
            </w:r>
          </w:p>
        </w:tc>
        <w:tc>
          <w:tcPr>
            <w:tcW w:w="1115" w:type="dxa"/>
            <w:tcBorders>
              <w:top w:val="single" w:color="auto" w:sz="4" w:space="0"/>
              <w:left w:val="nil"/>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ascii="宋体" w:hAnsi="宋体" w:eastAsia="宋体" w:cs="Times New Roman"/>
                <w:color w:val="000000"/>
                <w:kern w:val="0"/>
                <w:sz w:val="18"/>
                <w:szCs w:val="18"/>
              </w:rPr>
              <w:t>考核因素</w:t>
            </w:r>
          </w:p>
        </w:tc>
        <w:tc>
          <w:tcPr>
            <w:tcW w:w="3046" w:type="dxa"/>
            <w:tcBorders>
              <w:top w:val="single" w:color="auto" w:sz="4" w:space="0"/>
              <w:left w:val="nil"/>
              <w:bottom w:val="single" w:color="auto" w:sz="4" w:space="0"/>
              <w:right w:val="nil"/>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ascii="宋体" w:hAnsi="宋体" w:eastAsia="宋体" w:cs="Times New Roman"/>
                <w:color w:val="000000"/>
                <w:kern w:val="0"/>
                <w:sz w:val="18"/>
                <w:szCs w:val="18"/>
              </w:rPr>
              <w:t>考核内容及标准</w:t>
            </w:r>
          </w:p>
        </w:tc>
        <w:tc>
          <w:tcPr>
            <w:tcW w:w="5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ascii="宋体" w:hAnsi="宋体" w:eastAsia="宋体" w:cs="Times New Roman"/>
                <w:color w:val="000000"/>
                <w:kern w:val="0"/>
                <w:sz w:val="18"/>
                <w:szCs w:val="18"/>
              </w:rPr>
              <w:t>分值</w:t>
            </w:r>
          </w:p>
        </w:tc>
        <w:tc>
          <w:tcPr>
            <w:tcW w:w="2488" w:type="dxa"/>
            <w:tcBorders>
              <w:top w:val="single" w:color="auto" w:sz="4" w:space="0"/>
              <w:left w:val="nil"/>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ascii="宋体" w:hAnsi="宋体" w:eastAsia="宋体" w:cs="Times New Roman"/>
                <w:color w:val="000000"/>
                <w:kern w:val="0"/>
                <w:sz w:val="18"/>
                <w:szCs w:val="18"/>
              </w:rPr>
              <w:t>计分方法</w:t>
            </w:r>
          </w:p>
        </w:tc>
        <w:tc>
          <w:tcPr>
            <w:tcW w:w="1012" w:type="dxa"/>
            <w:tcBorders>
              <w:top w:val="single" w:color="auto" w:sz="4" w:space="0"/>
              <w:left w:val="nil"/>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ascii="宋体" w:hAnsi="宋体" w:eastAsia="宋体" w:cs="Times New Roman"/>
                <w:color w:val="000000"/>
                <w:kern w:val="0"/>
                <w:sz w:val="18"/>
                <w:szCs w:val="18"/>
              </w:rPr>
              <w:t>评分</w:t>
            </w:r>
          </w:p>
        </w:tc>
        <w:tc>
          <w:tcPr>
            <w:tcW w:w="1773" w:type="dxa"/>
            <w:tcBorders>
              <w:top w:val="single" w:color="auto" w:sz="4" w:space="0"/>
              <w:left w:val="nil"/>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hint="eastAsia" w:ascii="宋体" w:hAnsi="宋体" w:eastAsia="宋体" w:cs="Times New Roman"/>
                <w:color w:val="000000"/>
                <w:kern w:val="0"/>
                <w:sz w:val="18"/>
                <w:szCs w:val="18"/>
              </w:rPr>
              <w:t>扣分及建议</w:t>
            </w:r>
          </w:p>
        </w:tc>
      </w:tr>
      <w:tr>
        <w:tblPrEx>
          <w:tblCellMar>
            <w:top w:w="0" w:type="dxa"/>
            <w:left w:w="108" w:type="dxa"/>
            <w:bottom w:w="0" w:type="dxa"/>
            <w:right w:w="108" w:type="dxa"/>
          </w:tblCellMar>
        </w:tblPrEx>
        <w:trPr>
          <w:trHeight w:val="846" w:hRule="atLeast"/>
          <w:jc w:val="center"/>
        </w:trPr>
        <w:tc>
          <w:tcPr>
            <w:tcW w:w="722" w:type="dxa"/>
            <w:tcBorders>
              <w:top w:val="nil"/>
              <w:left w:val="single" w:color="auto" w:sz="4" w:space="0"/>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ascii="宋体" w:hAnsi="宋体" w:eastAsia="宋体" w:cs="Times New Roman"/>
                <w:color w:val="000000"/>
                <w:kern w:val="0"/>
                <w:sz w:val="18"/>
                <w:szCs w:val="18"/>
              </w:rPr>
              <w:t>1</w:t>
            </w:r>
          </w:p>
        </w:tc>
        <w:tc>
          <w:tcPr>
            <w:tcW w:w="1115" w:type="dxa"/>
            <w:vMerge w:val="restart"/>
            <w:tcBorders>
              <w:top w:val="nil"/>
              <w:left w:val="single" w:color="auto" w:sz="4" w:space="0"/>
              <w:bottom w:val="single" w:color="auto" w:sz="4" w:space="0"/>
              <w:right w:val="single" w:color="auto" w:sz="4" w:space="0"/>
            </w:tcBorders>
            <w:vAlign w:val="center"/>
          </w:tcPr>
          <w:p>
            <w:pPr>
              <w:widowControl/>
              <w:adjustRightInd/>
              <w:snapToGrid/>
              <w:spacing w:line="360" w:lineRule="auto"/>
              <w:jc w:val="center"/>
              <w:rPr>
                <w:rFonts w:ascii="宋体" w:hAnsi="宋体" w:eastAsia="宋体" w:cs="Times New Roman"/>
                <w:color w:val="000000"/>
                <w:kern w:val="0"/>
                <w:sz w:val="18"/>
                <w:szCs w:val="18"/>
              </w:rPr>
            </w:pPr>
            <w:r>
              <w:rPr>
                <w:rFonts w:hint="eastAsia" w:ascii="宋体" w:hAnsi="宋体" w:eastAsia="宋体" w:cs="Times New Roman"/>
                <w:color w:val="000000"/>
                <w:kern w:val="0"/>
                <w:sz w:val="18"/>
                <w:szCs w:val="18"/>
              </w:rPr>
              <w:t>技术支持</w:t>
            </w:r>
          </w:p>
        </w:tc>
        <w:tc>
          <w:tcPr>
            <w:tcW w:w="3046"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color w:val="000000"/>
                <w:kern w:val="0"/>
                <w:sz w:val="18"/>
                <w:szCs w:val="18"/>
              </w:rPr>
            </w:pPr>
            <w:r>
              <w:rPr>
                <w:rFonts w:hint="eastAsia" w:ascii="宋体" w:hAnsi="宋体" w:eastAsia="宋体" w:cs="Times New Roman"/>
                <w:color w:val="000000"/>
                <w:kern w:val="0"/>
                <w:sz w:val="18"/>
                <w:szCs w:val="18"/>
              </w:rPr>
              <w:t>提供站点再生水利用相关资料/如供水量等</w:t>
            </w:r>
          </w:p>
        </w:tc>
        <w:tc>
          <w:tcPr>
            <w:tcW w:w="541" w:type="dxa"/>
            <w:vMerge w:val="restart"/>
            <w:tcBorders>
              <w:top w:val="nil"/>
              <w:left w:val="single" w:color="auto" w:sz="4" w:space="0"/>
              <w:bottom w:val="single" w:color="auto" w:sz="4" w:space="0"/>
              <w:right w:val="single" w:color="auto" w:sz="4" w:space="0"/>
            </w:tcBorders>
            <w:vAlign w:val="center"/>
          </w:tcPr>
          <w:p>
            <w:pPr>
              <w:widowControl/>
              <w:adjustRightInd/>
              <w:snapToGrid/>
              <w:spacing w:line="360" w:lineRule="auto"/>
              <w:jc w:val="center"/>
              <w:rPr>
                <w:rFonts w:ascii="宋体" w:hAnsi="宋体" w:eastAsia="宋体" w:cs="Times New Roman"/>
                <w:color w:val="000000"/>
                <w:kern w:val="0"/>
                <w:sz w:val="18"/>
                <w:szCs w:val="18"/>
              </w:rPr>
            </w:pPr>
            <w:r>
              <w:rPr>
                <w:rFonts w:hint="eastAsia" w:ascii="宋体" w:hAnsi="宋体" w:eastAsia="宋体" w:cs="Times New Roman"/>
                <w:color w:val="000000"/>
                <w:kern w:val="0"/>
                <w:sz w:val="18"/>
                <w:szCs w:val="18"/>
              </w:rPr>
              <w:t>3</w:t>
            </w:r>
            <w:r>
              <w:rPr>
                <w:rFonts w:ascii="宋体" w:hAnsi="宋体" w:eastAsia="宋体" w:cs="Times New Roman"/>
                <w:color w:val="000000"/>
                <w:kern w:val="0"/>
                <w:sz w:val="18"/>
                <w:szCs w:val="18"/>
              </w:rPr>
              <w:t>0</w:t>
            </w:r>
          </w:p>
        </w:tc>
        <w:tc>
          <w:tcPr>
            <w:tcW w:w="2488"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hint="eastAsia" w:ascii="宋体" w:hAnsi="宋体" w:eastAsia="宋体" w:cs="Times New Roman"/>
                <w:color w:val="000000"/>
                <w:kern w:val="0"/>
                <w:sz w:val="18"/>
                <w:szCs w:val="18"/>
              </w:rPr>
              <w:t>资料</w:t>
            </w:r>
            <w:r>
              <w:rPr>
                <w:rFonts w:ascii="宋体" w:hAnsi="宋体" w:eastAsia="宋体" w:cs="Times New Roman"/>
                <w:color w:val="000000"/>
                <w:kern w:val="0"/>
                <w:sz w:val="18"/>
                <w:szCs w:val="18"/>
              </w:rPr>
              <w:t>不符合要求扣</w:t>
            </w:r>
            <w:r>
              <w:rPr>
                <w:rFonts w:hint="eastAsia" w:ascii="宋体" w:hAnsi="宋体" w:eastAsia="宋体" w:cs="Times New Roman"/>
                <w:color w:val="000000"/>
                <w:kern w:val="0"/>
                <w:sz w:val="18"/>
                <w:szCs w:val="18"/>
              </w:rPr>
              <w:t>2分</w:t>
            </w:r>
          </w:p>
        </w:tc>
        <w:tc>
          <w:tcPr>
            <w:tcW w:w="101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adjustRightInd/>
              <w:snapToGrid/>
              <w:spacing w:line="360" w:lineRule="auto"/>
              <w:jc w:val="left"/>
              <w:rPr>
                <w:rFonts w:ascii="宋体" w:hAnsi="宋体" w:eastAsia="宋体" w:cs="Times New Roman"/>
                <w:color w:val="000000"/>
                <w:kern w:val="0"/>
                <w:sz w:val="18"/>
                <w:szCs w:val="18"/>
              </w:rPr>
            </w:pPr>
          </w:p>
        </w:tc>
        <w:tc>
          <w:tcPr>
            <w:tcW w:w="1773"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color w:val="000000"/>
                <w:kern w:val="0"/>
                <w:sz w:val="18"/>
                <w:szCs w:val="18"/>
              </w:rPr>
            </w:pPr>
            <w:r>
              <w:rPr>
                <w:rFonts w:ascii="宋体" w:hAnsi="宋体" w:eastAsia="宋体" w:cs="Times New Roman"/>
                <w:color w:val="000000"/>
                <w:kern w:val="0"/>
                <w:sz w:val="18"/>
                <w:szCs w:val="18"/>
              </w:rPr>
              <w:t>　</w:t>
            </w:r>
          </w:p>
        </w:tc>
      </w:tr>
      <w:tr>
        <w:tblPrEx>
          <w:tblCellMar>
            <w:top w:w="0" w:type="dxa"/>
            <w:left w:w="108" w:type="dxa"/>
            <w:bottom w:w="0" w:type="dxa"/>
            <w:right w:w="108" w:type="dxa"/>
          </w:tblCellMar>
        </w:tblPrEx>
        <w:trPr>
          <w:trHeight w:val="891" w:hRule="atLeast"/>
          <w:jc w:val="center"/>
        </w:trPr>
        <w:tc>
          <w:tcPr>
            <w:tcW w:w="722" w:type="dxa"/>
            <w:tcBorders>
              <w:top w:val="nil"/>
              <w:left w:val="single" w:color="auto" w:sz="4" w:space="0"/>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ascii="宋体" w:hAnsi="宋体" w:eastAsia="宋体" w:cs="Times New Roman"/>
                <w:color w:val="000000"/>
                <w:kern w:val="0"/>
                <w:sz w:val="18"/>
                <w:szCs w:val="18"/>
              </w:rPr>
              <w:t>2</w:t>
            </w:r>
          </w:p>
        </w:tc>
        <w:tc>
          <w:tcPr>
            <w:tcW w:w="1115" w:type="dxa"/>
            <w:vMerge w:val="continue"/>
            <w:tcBorders>
              <w:top w:val="nil"/>
              <w:left w:val="single" w:color="auto" w:sz="4" w:space="0"/>
              <w:bottom w:val="single" w:color="auto" w:sz="4" w:space="0"/>
              <w:right w:val="single" w:color="auto" w:sz="4" w:space="0"/>
            </w:tcBorders>
            <w:vAlign w:val="center"/>
          </w:tcPr>
          <w:p>
            <w:pPr>
              <w:widowControl/>
              <w:adjustRightInd/>
              <w:snapToGrid/>
              <w:spacing w:line="360" w:lineRule="auto"/>
              <w:jc w:val="left"/>
              <w:rPr>
                <w:rFonts w:ascii="宋体" w:hAnsi="宋体" w:eastAsia="宋体" w:cs="Times New Roman"/>
                <w:color w:val="000000"/>
                <w:kern w:val="0"/>
                <w:sz w:val="18"/>
                <w:szCs w:val="18"/>
              </w:rPr>
            </w:pPr>
          </w:p>
        </w:tc>
        <w:tc>
          <w:tcPr>
            <w:tcW w:w="3046"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color w:val="000000"/>
                <w:kern w:val="0"/>
                <w:sz w:val="18"/>
                <w:szCs w:val="18"/>
              </w:rPr>
            </w:pPr>
            <w:r>
              <w:rPr>
                <w:rFonts w:hint="eastAsia" w:ascii="宋体" w:hAnsi="宋体" w:eastAsia="宋体" w:cs="Times New Roman"/>
                <w:color w:val="000000"/>
                <w:kern w:val="0"/>
                <w:sz w:val="18"/>
                <w:szCs w:val="18"/>
              </w:rPr>
              <w:t>对厂区内再生水生产各系统进行技术服务支持</w:t>
            </w:r>
          </w:p>
        </w:tc>
        <w:tc>
          <w:tcPr>
            <w:tcW w:w="541" w:type="dxa"/>
            <w:vMerge w:val="continue"/>
            <w:tcBorders>
              <w:top w:val="nil"/>
              <w:left w:val="single" w:color="auto" w:sz="4" w:space="0"/>
              <w:bottom w:val="single" w:color="auto" w:sz="4" w:space="0"/>
              <w:right w:val="single" w:color="auto" w:sz="4" w:space="0"/>
            </w:tcBorders>
            <w:vAlign w:val="center"/>
          </w:tcPr>
          <w:p>
            <w:pPr>
              <w:widowControl/>
              <w:adjustRightInd/>
              <w:snapToGrid/>
              <w:spacing w:line="360" w:lineRule="auto"/>
              <w:jc w:val="left"/>
              <w:rPr>
                <w:rFonts w:ascii="宋体" w:hAnsi="宋体" w:eastAsia="宋体" w:cs="Times New Roman"/>
                <w:color w:val="000000"/>
                <w:kern w:val="0"/>
                <w:sz w:val="18"/>
                <w:szCs w:val="18"/>
              </w:rPr>
            </w:pPr>
          </w:p>
        </w:tc>
        <w:tc>
          <w:tcPr>
            <w:tcW w:w="2488"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ascii="宋体" w:hAnsi="宋体" w:eastAsia="宋体" w:cs="Times New Roman"/>
                <w:color w:val="000000"/>
                <w:kern w:val="0"/>
                <w:sz w:val="18"/>
                <w:szCs w:val="18"/>
              </w:rPr>
              <w:t>未按要求执行每发现1次扣5分</w:t>
            </w:r>
          </w:p>
        </w:tc>
        <w:tc>
          <w:tcPr>
            <w:tcW w:w="101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adjustRightInd/>
              <w:snapToGrid/>
              <w:spacing w:line="360" w:lineRule="auto"/>
              <w:jc w:val="left"/>
              <w:rPr>
                <w:rFonts w:ascii="宋体" w:hAnsi="宋体" w:eastAsia="宋体" w:cs="Times New Roman"/>
                <w:color w:val="000000"/>
                <w:kern w:val="0"/>
                <w:sz w:val="18"/>
                <w:szCs w:val="18"/>
              </w:rPr>
            </w:pPr>
          </w:p>
        </w:tc>
        <w:tc>
          <w:tcPr>
            <w:tcW w:w="1773"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color w:val="000000"/>
                <w:kern w:val="0"/>
                <w:sz w:val="18"/>
                <w:szCs w:val="18"/>
              </w:rPr>
            </w:pPr>
            <w:r>
              <w:rPr>
                <w:rFonts w:ascii="宋体" w:hAnsi="宋体" w:eastAsia="宋体" w:cs="Times New Roman"/>
                <w:color w:val="000000"/>
                <w:kern w:val="0"/>
                <w:sz w:val="18"/>
                <w:szCs w:val="18"/>
              </w:rPr>
              <w:t>　</w:t>
            </w:r>
          </w:p>
        </w:tc>
      </w:tr>
      <w:tr>
        <w:tblPrEx>
          <w:tblCellMar>
            <w:top w:w="0" w:type="dxa"/>
            <w:left w:w="108" w:type="dxa"/>
            <w:bottom w:w="0" w:type="dxa"/>
            <w:right w:w="108" w:type="dxa"/>
          </w:tblCellMar>
        </w:tblPrEx>
        <w:trPr>
          <w:trHeight w:val="891" w:hRule="atLeast"/>
          <w:jc w:val="center"/>
        </w:trPr>
        <w:tc>
          <w:tcPr>
            <w:tcW w:w="722" w:type="dxa"/>
            <w:tcBorders>
              <w:top w:val="nil"/>
              <w:left w:val="single" w:color="auto" w:sz="4" w:space="0"/>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ascii="宋体" w:hAnsi="宋体" w:eastAsia="宋体" w:cs="Times New Roman"/>
                <w:color w:val="000000"/>
                <w:kern w:val="0"/>
                <w:sz w:val="18"/>
                <w:szCs w:val="18"/>
              </w:rPr>
              <w:t>3</w:t>
            </w:r>
          </w:p>
        </w:tc>
        <w:tc>
          <w:tcPr>
            <w:tcW w:w="1115" w:type="dxa"/>
            <w:vMerge w:val="continue"/>
            <w:tcBorders>
              <w:top w:val="nil"/>
              <w:left w:val="single" w:color="auto" w:sz="4" w:space="0"/>
              <w:bottom w:val="single" w:color="auto" w:sz="4" w:space="0"/>
              <w:right w:val="single" w:color="auto" w:sz="4" w:space="0"/>
            </w:tcBorders>
            <w:vAlign w:val="center"/>
          </w:tcPr>
          <w:p>
            <w:pPr>
              <w:widowControl/>
              <w:adjustRightInd/>
              <w:snapToGrid/>
              <w:spacing w:line="360" w:lineRule="auto"/>
              <w:jc w:val="left"/>
              <w:rPr>
                <w:rFonts w:ascii="宋体" w:hAnsi="宋体" w:eastAsia="宋体" w:cs="Times New Roman"/>
                <w:color w:val="000000"/>
                <w:kern w:val="0"/>
                <w:sz w:val="18"/>
                <w:szCs w:val="18"/>
              </w:rPr>
            </w:pPr>
          </w:p>
        </w:tc>
        <w:tc>
          <w:tcPr>
            <w:tcW w:w="3046"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color w:val="000000"/>
                <w:kern w:val="0"/>
                <w:sz w:val="18"/>
                <w:szCs w:val="18"/>
              </w:rPr>
            </w:pPr>
            <w:r>
              <w:rPr>
                <w:rFonts w:ascii="宋体" w:hAnsi="宋体" w:eastAsia="宋体" w:cs="Times New Roman"/>
                <w:color w:val="000000"/>
                <w:kern w:val="0"/>
                <w:sz w:val="18"/>
                <w:szCs w:val="18"/>
              </w:rPr>
              <w:t>项目设施出现问题应及时处理或上报</w:t>
            </w:r>
          </w:p>
        </w:tc>
        <w:tc>
          <w:tcPr>
            <w:tcW w:w="541" w:type="dxa"/>
            <w:vMerge w:val="continue"/>
            <w:tcBorders>
              <w:top w:val="nil"/>
              <w:left w:val="single" w:color="auto" w:sz="4" w:space="0"/>
              <w:bottom w:val="single" w:color="auto" w:sz="4" w:space="0"/>
              <w:right w:val="single" w:color="auto" w:sz="4" w:space="0"/>
            </w:tcBorders>
            <w:vAlign w:val="center"/>
          </w:tcPr>
          <w:p>
            <w:pPr>
              <w:widowControl/>
              <w:adjustRightInd/>
              <w:snapToGrid/>
              <w:spacing w:line="360" w:lineRule="auto"/>
              <w:jc w:val="left"/>
              <w:rPr>
                <w:rFonts w:ascii="宋体" w:hAnsi="宋体" w:eastAsia="宋体" w:cs="Times New Roman"/>
                <w:color w:val="000000"/>
                <w:kern w:val="0"/>
                <w:sz w:val="18"/>
                <w:szCs w:val="18"/>
              </w:rPr>
            </w:pPr>
          </w:p>
        </w:tc>
        <w:tc>
          <w:tcPr>
            <w:tcW w:w="2488"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ascii="宋体" w:hAnsi="宋体" w:eastAsia="宋体" w:cs="Times New Roman"/>
                <w:color w:val="000000"/>
                <w:kern w:val="0"/>
                <w:sz w:val="18"/>
                <w:szCs w:val="18"/>
              </w:rPr>
              <w:t>无记录扣5分，记录不符合要求每处扣1分</w:t>
            </w:r>
          </w:p>
        </w:tc>
        <w:tc>
          <w:tcPr>
            <w:tcW w:w="101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adjustRightInd/>
              <w:snapToGrid/>
              <w:spacing w:line="360" w:lineRule="auto"/>
              <w:jc w:val="left"/>
              <w:rPr>
                <w:rFonts w:ascii="宋体" w:hAnsi="宋体" w:eastAsia="宋体" w:cs="Times New Roman"/>
                <w:color w:val="000000"/>
                <w:kern w:val="0"/>
                <w:sz w:val="18"/>
                <w:szCs w:val="18"/>
              </w:rPr>
            </w:pPr>
          </w:p>
        </w:tc>
        <w:tc>
          <w:tcPr>
            <w:tcW w:w="1773"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color w:val="000000"/>
                <w:kern w:val="0"/>
                <w:sz w:val="18"/>
                <w:szCs w:val="18"/>
              </w:rPr>
            </w:pPr>
            <w:r>
              <w:rPr>
                <w:rFonts w:ascii="宋体" w:hAnsi="宋体" w:eastAsia="宋体" w:cs="Times New Roman"/>
                <w:color w:val="000000"/>
                <w:kern w:val="0"/>
                <w:sz w:val="18"/>
                <w:szCs w:val="18"/>
              </w:rPr>
              <w:t>　</w:t>
            </w:r>
          </w:p>
        </w:tc>
      </w:tr>
      <w:tr>
        <w:tblPrEx>
          <w:tblCellMar>
            <w:top w:w="0" w:type="dxa"/>
            <w:left w:w="108" w:type="dxa"/>
            <w:bottom w:w="0" w:type="dxa"/>
            <w:right w:w="108" w:type="dxa"/>
          </w:tblCellMar>
        </w:tblPrEx>
        <w:trPr>
          <w:trHeight w:val="1332" w:hRule="atLeast"/>
          <w:jc w:val="center"/>
        </w:trPr>
        <w:tc>
          <w:tcPr>
            <w:tcW w:w="722" w:type="dxa"/>
            <w:tcBorders>
              <w:top w:val="nil"/>
              <w:left w:val="single" w:color="auto" w:sz="4" w:space="0"/>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ascii="宋体" w:hAnsi="宋体" w:eastAsia="宋体" w:cs="Times New Roman"/>
                <w:color w:val="000000"/>
                <w:kern w:val="0"/>
                <w:sz w:val="18"/>
                <w:szCs w:val="18"/>
              </w:rPr>
              <w:t>4</w:t>
            </w:r>
          </w:p>
        </w:tc>
        <w:tc>
          <w:tcPr>
            <w:tcW w:w="1115" w:type="dxa"/>
            <w:vMerge w:val="continue"/>
            <w:tcBorders>
              <w:top w:val="nil"/>
              <w:left w:val="single" w:color="auto" w:sz="4" w:space="0"/>
              <w:bottom w:val="single" w:color="auto" w:sz="4" w:space="0"/>
              <w:right w:val="single" w:color="auto" w:sz="4" w:space="0"/>
            </w:tcBorders>
            <w:vAlign w:val="center"/>
          </w:tcPr>
          <w:p>
            <w:pPr>
              <w:widowControl/>
              <w:adjustRightInd/>
              <w:snapToGrid/>
              <w:spacing w:line="360" w:lineRule="auto"/>
              <w:jc w:val="left"/>
              <w:rPr>
                <w:rFonts w:ascii="宋体" w:hAnsi="宋体" w:eastAsia="宋体" w:cs="Times New Roman"/>
                <w:color w:val="000000"/>
                <w:kern w:val="0"/>
                <w:sz w:val="18"/>
                <w:szCs w:val="18"/>
              </w:rPr>
            </w:pPr>
          </w:p>
        </w:tc>
        <w:tc>
          <w:tcPr>
            <w:tcW w:w="3046"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color w:val="000000"/>
                <w:kern w:val="0"/>
                <w:sz w:val="18"/>
                <w:szCs w:val="18"/>
              </w:rPr>
            </w:pPr>
            <w:r>
              <w:rPr>
                <w:rFonts w:ascii="宋体" w:hAnsi="宋体" w:eastAsia="宋体" w:cs="Times New Roman"/>
                <w:color w:val="000000"/>
                <w:kern w:val="0"/>
                <w:sz w:val="18"/>
                <w:szCs w:val="18"/>
              </w:rPr>
              <w:t>定期对出水水质进行日常检测和第三方检测。日常检测宜每天进行，每周不得少于1次，第三方检测每季度至少抽检1次</w:t>
            </w:r>
          </w:p>
        </w:tc>
        <w:tc>
          <w:tcPr>
            <w:tcW w:w="541" w:type="dxa"/>
            <w:vMerge w:val="continue"/>
            <w:tcBorders>
              <w:top w:val="nil"/>
              <w:left w:val="single" w:color="auto" w:sz="4" w:space="0"/>
              <w:bottom w:val="single" w:color="auto" w:sz="4" w:space="0"/>
              <w:right w:val="single" w:color="auto" w:sz="4" w:space="0"/>
            </w:tcBorders>
            <w:vAlign w:val="center"/>
          </w:tcPr>
          <w:p>
            <w:pPr>
              <w:widowControl/>
              <w:adjustRightInd/>
              <w:snapToGrid/>
              <w:spacing w:line="360" w:lineRule="auto"/>
              <w:jc w:val="left"/>
              <w:rPr>
                <w:rFonts w:ascii="宋体" w:hAnsi="宋体" w:eastAsia="宋体" w:cs="Times New Roman"/>
                <w:color w:val="000000"/>
                <w:kern w:val="0"/>
                <w:sz w:val="18"/>
                <w:szCs w:val="18"/>
              </w:rPr>
            </w:pPr>
          </w:p>
        </w:tc>
        <w:tc>
          <w:tcPr>
            <w:tcW w:w="2488"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ascii="宋体" w:hAnsi="宋体" w:eastAsia="宋体" w:cs="Times New Roman"/>
                <w:color w:val="000000"/>
                <w:kern w:val="0"/>
                <w:sz w:val="18"/>
                <w:szCs w:val="18"/>
              </w:rPr>
              <w:t>未按要求开展水质检测工作每发现1次扣10分</w:t>
            </w:r>
          </w:p>
        </w:tc>
        <w:tc>
          <w:tcPr>
            <w:tcW w:w="101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adjustRightInd/>
              <w:snapToGrid/>
              <w:spacing w:line="360" w:lineRule="auto"/>
              <w:jc w:val="left"/>
              <w:rPr>
                <w:rFonts w:ascii="宋体" w:hAnsi="宋体" w:eastAsia="宋体" w:cs="Times New Roman"/>
                <w:color w:val="000000"/>
                <w:kern w:val="0"/>
                <w:sz w:val="18"/>
                <w:szCs w:val="18"/>
              </w:rPr>
            </w:pPr>
          </w:p>
        </w:tc>
        <w:tc>
          <w:tcPr>
            <w:tcW w:w="1773"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color w:val="000000"/>
                <w:kern w:val="0"/>
                <w:sz w:val="18"/>
                <w:szCs w:val="18"/>
              </w:rPr>
            </w:pPr>
            <w:r>
              <w:rPr>
                <w:rFonts w:ascii="宋体" w:hAnsi="宋体" w:eastAsia="宋体" w:cs="Times New Roman"/>
                <w:color w:val="000000"/>
                <w:kern w:val="0"/>
                <w:sz w:val="18"/>
                <w:szCs w:val="18"/>
              </w:rPr>
              <w:t>　</w:t>
            </w:r>
          </w:p>
        </w:tc>
      </w:tr>
      <w:tr>
        <w:tblPrEx>
          <w:tblCellMar>
            <w:top w:w="0" w:type="dxa"/>
            <w:left w:w="108" w:type="dxa"/>
            <w:bottom w:w="0" w:type="dxa"/>
            <w:right w:w="108" w:type="dxa"/>
          </w:tblCellMar>
        </w:tblPrEx>
        <w:trPr>
          <w:trHeight w:val="1072" w:hRule="atLeast"/>
          <w:jc w:val="center"/>
        </w:trPr>
        <w:tc>
          <w:tcPr>
            <w:tcW w:w="722" w:type="dxa"/>
            <w:tcBorders>
              <w:top w:val="nil"/>
              <w:left w:val="single" w:color="auto" w:sz="4" w:space="0"/>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ascii="宋体" w:hAnsi="宋体" w:eastAsia="宋体" w:cs="Times New Roman"/>
                <w:color w:val="000000"/>
                <w:kern w:val="0"/>
                <w:sz w:val="18"/>
                <w:szCs w:val="18"/>
              </w:rPr>
              <w:t>5</w:t>
            </w:r>
          </w:p>
        </w:tc>
        <w:tc>
          <w:tcPr>
            <w:tcW w:w="1115" w:type="dxa"/>
            <w:vMerge w:val="continue"/>
            <w:tcBorders>
              <w:top w:val="nil"/>
              <w:left w:val="single" w:color="auto" w:sz="4" w:space="0"/>
              <w:bottom w:val="single" w:color="auto" w:sz="4" w:space="0"/>
              <w:right w:val="single" w:color="auto" w:sz="4" w:space="0"/>
            </w:tcBorders>
            <w:vAlign w:val="center"/>
          </w:tcPr>
          <w:p>
            <w:pPr>
              <w:widowControl/>
              <w:adjustRightInd/>
              <w:snapToGrid/>
              <w:spacing w:line="360" w:lineRule="auto"/>
              <w:jc w:val="left"/>
              <w:rPr>
                <w:rFonts w:ascii="宋体" w:hAnsi="宋体" w:eastAsia="宋体" w:cs="Times New Roman"/>
                <w:color w:val="000000"/>
                <w:kern w:val="0"/>
                <w:sz w:val="18"/>
                <w:szCs w:val="18"/>
              </w:rPr>
            </w:pPr>
          </w:p>
        </w:tc>
        <w:tc>
          <w:tcPr>
            <w:tcW w:w="3046"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color w:val="000000"/>
                <w:kern w:val="0"/>
                <w:sz w:val="18"/>
                <w:szCs w:val="18"/>
              </w:rPr>
            </w:pPr>
            <w:r>
              <w:rPr>
                <w:rFonts w:ascii="宋体" w:hAnsi="宋体" w:eastAsia="宋体" w:cs="Times New Roman"/>
                <w:color w:val="000000"/>
                <w:kern w:val="0"/>
                <w:sz w:val="18"/>
                <w:szCs w:val="18"/>
              </w:rPr>
              <w:t>及时安全处理处置污泥并留存记录</w:t>
            </w:r>
          </w:p>
        </w:tc>
        <w:tc>
          <w:tcPr>
            <w:tcW w:w="541" w:type="dxa"/>
            <w:vMerge w:val="continue"/>
            <w:tcBorders>
              <w:top w:val="nil"/>
              <w:left w:val="single" w:color="auto" w:sz="4" w:space="0"/>
              <w:bottom w:val="single" w:color="auto" w:sz="4" w:space="0"/>
              <w:right w:val="single" w:color="auto" w:sz="4" w:space="0"/>
            </w:tcBorders>
            <w:vAlign w:val="center"/>
          </w:tcPr>
          <w:p>
            <w:pPr>
              <w:widowControl/>
              <w:adjustRightInd/>
              <w:snapToGrid/>
              <w:spacing w:line="360" w:lineRule="auto"/>
              <w:jc w:val="left"/>
              <w:rPr>
                <w:rFonts w:ascii="宋体" w:hAnsi="宋体" w:eastAsia="宋体" w:cs="Times New Roman"/>
                <w:color w:val="000000"/>
                <w:kern w:val="0"/>
                <w:sz w:val="18"/>
                <w:szCs w:val="18"/>
              </w:rPr>
            </w:pPr>
          </w:p>
        </w:tc>
        <w:tc>
          <w:tcPr>
            <w:tcW w:w="2488"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ascii="宋体" w:hAnsi="宋体" w:eastAsia="宋体" w:cs="Times New Roman"/>
                <w:color w:val="000000"/>
                <w:kern w:val="0"/>
                <w:sz w:val="18"/>
                <w:szCs w:val="18"/>
              </w:rPr>
              <w:t>随意处置每次扣10分，无处理处置记录每次扣2分</w:t>
            </w:r>
          </w:p>
        </w:tc>
        <w:tc>
          <w:tcPr>
            <w:tcW w:w="101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adjustRightInd/>
              <w:snapToGrid/>
              <w:spacing w:line="360" w:lineRule="auto"/>
              <w:jc w:val="left"/>
              <w:rPr>
                <w:rFonts w:ascii="宋体" w:hAnsi="宋体" w:eastAsia="宋体" w:cs="Times New Roman"/>
                <w:color w:val="000000"/>
                <w:kern w:val="0"/>
                <w:sz w:val="18"/>
                <w:szCs w:val="18"/>
              </w:rPr>
            </w:pPr>
          </w:p>
        </w:tc>
        <w:tc>
          <w:tcPr>
            <w:tcW w:w="1773"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color w:val="000000"/>
                <w:kern w:val="0"/>
                <w:sz w:val="18"/>
                <w:szCs w:val="18"/>
              </w:rPr>
            </w:pPr>
            <w:r>
              <w:rPr>
                <w:rFonts w:ascii="宋体" w:hAnsi="宋体" w:eastAsia="宋体" w:cs="Times New Roman"/>
                <w:color w:val="000000"/>
                <w:kern w:val="0"/>
                <w:sz w:val="18"/>
                <w:szCs w:val="18"/>
              </w:rPr>
              <w:t>　</w:t>
            </w:r>
          </w:p>
        </w:tc>
      </w:tr>
      <w:tr>
        <w:tblPrEx>
          <w:tblCellMar>
            <w:top w:w="0" w:type="dxa"/>
            <w:left w:w="108" w:type="dxa"/>
            <w:bottom w:w="0" w:type="dxa"/>
            <w:right w:w="108" w:type="dxa"/>
          </w:tblCellMar>
        </w:tblPrEx>
        <w:trPr>
          <w:trHeight w:val="891" w:hRule="atLeast"/>
          <w:jc w:val="center"/>
        </w:trPr>
        <w:tc>
          <w:tcPr>
            <w:tcW w:w="722" w:type="dxa"/>
            <w:tcBorders>
              <w:top w:val="nil"/>
              <w:left w:val="single" w:color="auto" w:sz="4" w:space="0"/>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hint="eastAsia" w:ascii="宋体" w:hAnsi="宋体" w:eastAsia="宋体" w:cs="Times New Roman"/>
                <w:color w:val="000000"/>
                <w:kern w:val="0"/>
                <w:sz w:val="18"/>
                <w:szCs w:val="18"/>
              </w:rPr>
              <w:t>6</w:t>
            </w:r>
          </w:p>
        </w:tc>
        <w:tc>
          <w:tcPr>
            <w:tcW w:w="1115" w:type="dxa"/>
            <w:tcBorders>
              <w:top w:val="nil"/>
              <w:left w:val="single" w:color="auto" w:sz="4" w:space="0"/>
              <w:right w:val="single" w:color="auto" w:sz="4" w:space="0"/>
            </w:tcBorders>
            <w:shd w:val="clear" w:color="auto" w:fill="auto"/>
            <w:vAlign w:val="center"/>
          </w:tcPr>
          <w:p>
            <w:pPr>
              <w:adjustRightInd/>
              <w:snapToGrid/>
              <w:spacing w:line="360" w:lineRule="auto"/>
              <w:jc w:val="center"/>
              <w:rPr>
                <w:rFonts w:ascii="宋体" w:hAnsi="宋体" w:eastAsia="宋体" w:cs="Times New Roman"/>
                <w:color w:val="000000"/>
                <w:kern w:val="0"/>
                <w:sz w:val="18"/>
                <w:szCs w:val="18"/>
              </w:rPr>
            </w:pPr>
          </w:p>
        </w:tc>
        <w:tc>
          <w:tcPr>
            <w:tcW w:w="3046"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color w:val="000000"/>
                <w:kern w:val="0"/>
                <w:sz w:val="18"/>
                <w:szCs w:val="18"/>
              </w:rPr>
            </w:pPr>
            <w:r>
              <w:rPr>
                <w:rFonts w:ascii="宋体" w:hAnsi="宋体" w:eastAsia="宋体" w:cs="Times New Roman"/>
                <w:color w:val="000000"/>
                <w:kern w:val="0"/>
                <w:sz w:val="18"/>
                <w:szCs w:val="18"/>
              </w:rPr>
              <w:t>制定适用于本项目的管理制度、保障措施及应急预案并认真执行</w:t>
            </w:r>
          </w:p>
        </w:tc>
        <w:tc>
          <w:tcPr>
            <w:tcW w:w="541" w:type="dxa"/>
            <w:vMerge w:val="restart"/>
            <w:tcBorders>
              <w:top w:val="nil"/>
              <w:left w:val="single" w:color="auto" w:sz="4" w:space="0"/>
              <w:right w:val="single" w:color="auto" w:sz="4" w:space="0"/>
            </w:tcBorders>
            <w:shd w:val="clear" w:color="auto" w:fill="auto"/>
            <w:vAlign w:val="center"/>
          </w:tcPr>
          <w:p>
            <w:pPr>
              <w:adjustRightInd/>
              <w:snapToGrid/>
              <w:spacing w:line="360" w:lineRule="auto"/>
              <w:jc w:val="center"/>
              <w:rPr>
                <w:rFonts w:ascii="宋体" w:hAnsi="宋体" w:eastAsia="宋体" w:cs="Times New Roman"/>
                <w:color w:val="000000"/>
                <w:kern w:val="0"/>
                <w:sz w:val="18"/>
                <w:szCs w:val="18"/>
              </w:rPr>
            </w:pPr>
            <w:r>
              <w:rPr>
                <w:rFonts w:ascii="宋体" w:hAnsi="宋体" w:eastAsia="宋体" w:cs="Times New Roman"/>
                <w:color w:val="000000"/>
                <w:kern w:val="0"/>
                <w:sz w:val="18"/>
                <w:szCs w:val="18"/>
              </w:rPr>
              <w:t>30</w:t>
            </w:r>
          </w:p>
        </w:tc>
        <w:tc>
          <w:tcPr>
            <w:tcW w:w="2488"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ascii="宋体" w:hAnsi="宋体" w:eastAsia="宋体" w:cs="Times New Roman"/>
                <w:color w:val="000000"/>
                <w:kern w:val="0"/>
                <w:sz w:val="18"/>
                <w:szCs w:val="18"/>
              </w:rPr>
              <w:t>每发现1处不符合要求扣2分</w:t>
            </w:r>
          </w:p>
        </w:tc>
        <w:tc>
          <w:tcPr>
            <w:tcW w:w="1012" w:type="dxa"/>
            <w:tcBorders>
              <w:top w:val="single" w:color="auto" w:sz="4" w:space="0"/>
              <w:left w:val="nil"/>
              <w:right w:val="single" w:color="auto" w:sz="4" w:space="0"/>
            </w:tcBorders>
            <w:shd w:val="clear" w:color="auto" w:fill="auto"/>
            <w:vAlign w:val="center"/>
          </w:tcPr>
          <w:p>
            <w:pPr>
              <w:adjustRightInd/>
              <w:snapToGrid/>
              <w:spacing w:line="360" w:lineRule="auto"/>
              <w:jc w:val="left"/>
              <w:rPr>
                <w:rFonts w:ascii="宋体" w:hAnsi="宋体" w:eastAsia="宋体" w:cs="Times New Roman"/>
                <w:color w:val="000000"/>
                <w:kern w:val="0"/>
                <w:sz w:val="18"/>
                <w:szCs w:val="18"/>
              </w:rPr>
            </w:pPr>
          </w:p>
        </w:tc>
        <w:tc>
          <w:tcPr>
            <w:tcW w:w="1773"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color w:val="000000"/>
                <w:kern w:val="0"/>
                <w:sz w:val="18"/>
                <w:szCs w:val="18"/>
              </w:rPr>
            </w:pPr>
          </w:p>
        </w:tc>
      </w:tr>
      <w:tr>
        <w:tblPrEx>
          <w:tblCellMar>
            <w:top w:w="0" w:type="dxa"/>
            <w:left w:w="108" w:type="dxa"/>
            <w:bottom w:w="0" w:type="dxa"/>
            <w:right w:w="108" w:type="dxa"/>
          </w:tblCellMar>
        </w:tblPrEx>
        <w:trPr>
          <w:trHeight w:val="787" w:hRule="atLeast"/>
          <w:jc w:val="center"/>
        </w:trPr>
        <w:tc>
          <w:tcPr>
            <w:tcW w:w="722" w:type="dxa"/>
            <w:tcBorders>
              <w:top w:val="nil"/>
              <w:left w:val="single" w:color="auto" w:sz="4" w:space="0"/>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hint="eastAsia" w:ascii="宋体" w:hAnsi="宋体" w:eastAsia="宋体" w:cs="Times New Roman"/>
                <w:color w:val="000000"/>
                <w:kern w:val="0"/>
                <w:sz w:val="18"/>
                <w:szCs w:val="18"/>
              </w:rPr>
              <w:t>7</w:t>
            </w:r>
          </w:p>
        </w:tc>
        <w:tc>
          <w:tcPr>
            <w:tcW w:w="1115" w:type="dxa"/>
            <w:vMerge w:val="restart"/>
            <w:tcBorders>
              <w:top w:val="nil"/>
              <w:left w:val="single" w:color="auto" w:sz="4" w:space="0"/>
              <w:right w:val="single" w:color="auto" w:sz="4" w:space="0"/>
            </w:tcBorders>
            <w:shd w:val="clear" w:color="auto" w:fill="auto"/>
            <w:vAlign w:val="center"/>
          </w:tcPr>
          <w:p>
            <w:pPr>
              <w:adjustRightInd/>
              <w:snapToGrid/>
              <w:spacing w:line="360" w:lineRule="auto"/>
              <w:jc w:val="center"/>
              <w:rPr>
                <w:rFonts w:ascii="宋体" w:hAnsi="宋体" w:eastAsia="宋体" w:cs="Times New Roman"/>
                <w:color w:val="000000"/>
                <w:kern w:val="0"/>
                <w:sz w:val="18"/>
                <w:szCs w:val="18"/>
              </w:rPr>
            </w:pPr>
            <w:r>
              <w:rPr>
                <w:rFonts w:ascii="宋体" w:hAnsi="宋体" w:eastAsia="宋体" w:cs="Times New Roman"/>
                <w:color w:val="000000"/>
                <w:kern w:val="0"/>
                <w:sz w:val="18"/>
                <w:szCs w:val="18"/>
              </w:rPr>
              <w:t>安全管理</w:t>
            </w:r>
          </w:p>
        </w:tc>
        <w:tc>
          <w:tcPr>
            <w:tcW w:w="3046"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color w:val="000000"/>
                <w:kern w:val="0"/>
                <w:sz w:val="18"/>
                <w:szCs w:val="18"/>
              </w:rPr>
            </w:pPr>
            <w:r>
              <w:rPr>
                <w:rFonts w:hint="eastAsia" w:ascii="宋体" w:hAnsi="宋体" w:eastAsia="宋体" w:cs="Times New Roman"/>
                <w:color w:val="000000"/>
                <w:kern w:val="0"/>
                <w:sz w:val="18"/>
                <w:szCs w:val="18"/>
              </w:rPr>
              <w:t>技术</w:t>
            </w:r>
            <w:r>
              <w:rPr>
                <w:rFonts w:ascii="宋体" w:hAnsi="宋体" w:eastAsia="宋体" w:cs="Times New Roman"/>
                <w:color w:val="000000"/>
                <w:kern w:val="0"/>
                <w:sz w:val="18"/>
                <w:szCs w:val="18"/>
              </w:rPr>
              <w:t>人员遵守工作纪律，</w:t>
            </w:r>
            <w:r>
              <w:rPr>
                <w:rFonts w:hint="eastAsia" w:ascii="宋体" w:hAnsi="宋体" w:eastAsia="宋体" w:cs="Times New Roman"/>
                <w:color w:val="000000"/>
                <w:kern w:val="0"/>
                <w:sz w:val="18"/>
                <w:szCs w:val="18"/>
              </w:rPr>
              <w:t>严禁</w:t>
            </w:r>
            <w:r>
              <w:rPr>
                <w:rFonts w:ascii="宋体" w:hAnsi="宋体" w:eastAsia="宋体" w:cs="Times New Roman"/>
                <w:color w:val="000000"/>
                <w:kern w:val="0"/>
                <w:sz w:val="18"/>
                <w:szCs w:val="18"/>
              </w:rPr>
              <w:t>酒后上岗等现象</w:t>
            </w:r>
          </w:p>
        </w:tc>
        <w:tc>
          <w:tcPr>
            <w:tcW w:w="541" w:type="dxa"/>
            <w:vMerge w:val="continue"/>
            <w:tcBorders>
              <w:left w:val="single" w:color="auto" w:sz="4" w:space="0"/>
              <w:right w:val="single" w:color="auto" w:sz="4" w:space="0"/>
            </w:tcBorders>
            <w:shd w:val="clear" w:color="auto" w:fill="auto"/>
            <w:vAlign w:val="center"/>
          </w:tcPr>
          <w:p>
            <w:pPr>
              <w:adjustRightInd/>
              <w:snapToGrid/>
              <w:spacing w:line="360" w:lineRule="auto"/>
              <w:jc w:val="center"/>
              <w:rPr>
                <w:rFonts w:ascii="宋体" w:hAnsi="宋体" w:eastAsia="宋体" w:cs="Times New Roman"/>
                <w:color w:val="000000"/>
                <w:kern w:val="0"/>
                <w:sz w:val="18"/>
                <w:szCs w:val="18"/>
              </w:rPr>
            </w:pPr>
          </w:p>
        </w:tc>
        <w:tc>
          <w:tcPr>
            <w:tcW w:w="2488"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ascii="宋体" w:hAnsi="宋体" w:eastAsia="宋体" w:cs="Times New Roman"/>
                <w:color w:val="000000"/>
                <w:kern w:val="0"/>
                <w:sz w:val="18"/>
                <w:szCs w:val="18"/>
              </w:rPr>
              <w:t>每发现1次不符合要求扣1分</w:t>
            </w:r>
          </w:p>
        </w:tc>
        <w:tc>
          <w:tcPr>
            <w:tcW w:w="1012" w:type="dxa"/>
            <w:tcBorders>
              <w:top w:val="nil"/>
              <w:left w:val="nil"/>
              <w:right w:val="single" w:color="auto" w:sz="4" w:space="0"/>
            </w:tcBorders>
            <w:shd w:val="clear" w:color="auto" w:fill="auto"/>
            <w:vAlign w:val="center"/>
          </w:tcPr>
          <w:p>
            <w:pPr>
              <w:adjustRightInd/>
              <w:snapToGrid/>
              <w:spacing w:line="360" w:lineRule="auto"/>
              <w:jc w:val="left"/>
              <w:rPr>
                <w:rFonts w:ascii="宋体" w:hAnsi="宋体" w:eastAsia="宋体" w:cs="Times New Roman"/>
                <w:color w:val="000000"/>
                <w:kern w:val="0"/>
                <w:sz w:val="18"/>
                <w:szCs w:val="18"/>
              </w:rPr>
            </w:pPr>
          </w:p>
        </w:tc>
        <w:tc>
          <w:tcPr>
            <w:tcW w:w="1773"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color w:val="000000"/>
                <w:kern w:val="0"/>
                <w:sz w:val="18"/>
                <w:szCs w:val="18"/>
              </w:rPr>
            </w:pPr>
          </w:p>
        </w:tc>
      </w:tr>
      <w:tr>
        <w:tblPrEx>
          <w:tblCellMar>
            <w:top w:w="0" w:type="dxa"/>
            <w:left w:w="108" w:type="dxa"/>
            <w:bottom w:w="0" w:type="dxa"/>
            <w:right w:w="108" w:type="dxa"/>
          </w:tblCellMar>
        </w:tblPrEx>
        <w:trPr>
          <w:trHeight w:val="891" w:hRule="atLeast"/>
          <w:jc w:val="center"/>
        </w:trPr>
        <w:tc>
          <w:tcPr>
            <w:tcW w:w="722" w:type="dxa"/>
            <w:tcBorders>
              <w:top w:val="nil"/>
              <w:left w:val="single" w:color="auto" w:sz="4" w:space="0"/>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ascii="宋体" w:hAnsi="宋体" w:eastAsia="宋体" w:cs="Times New Roman"/>
                <w:color w:val="000000"/>
                <w:kern w:val="0"/>
                <w:sz w:val="18"/>
                <w:szCs w:val="18"/>
              </w:rPr>
              <w:t>8</w:t>
            </w:r>
          </w:p>
        </w:tc>
        <w:tc>
          <w:tcPr>
            <w:tcW w:w="1115" w:type="dxa"/>
            <w:vMerge w:val="continue"/>
            <w:tcBorders>
              <w:left w:val="single" w:color="auto" w:sz="4" w:space="0"/>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p>
        </w:tc>
        <w:tc>
          <w:tcPr>
            <w:tcW w:w="3046"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color w:val="000000"/>
                <w:kern w:val="0"/>
                <w:sz w:val="18"/>
                <w:szCs w:val="18"/>
              </w:rPr>
            </w:pPr>
            <w:r>
              <w:rPr>
                <w:rFonts w:ascii="宋体" w:hAnsi="宋体" w:eastAsia="宋体" w:cs="Times New Roman"/>
                <w:color w:val="000000"/>
                <w:kern w:val="0"/>
                <w:sz w:val="18"/>
                <w:szCs w:val="18"/>
              </w:rPr>
              <w:t>定期组织专业技能和安全生产教育培训，每月不应少于2次</w:t>
            </w:r>
          </w:p>
        </w:tc>
        <w:tc>
          <w:tcPr>
            <w:tcW w:w="541" w:type="dxa"/>
            <w:vMerge w:val="continue"/>
            <w:tcBorders>
              <w:left w:val="single" w:color="auto" w:sz="4" w:space="0"/>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p>
        </w:tc>
        <w:tc>
          <w:tcPr>
            <w:tcW w:w="2488"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ascii="宋体" w:hAnsi="宋体" w:eastAsia="宋体" w:cs="Times New Roman"/>
                <w:color w:val="000000"/>
                <w:kern w:val="0"/>
                <w:sz w:val="18"/>
                <w:szCs w:val="18"/>
              </w:rPr>
              <w:t>未按要求执行每次扣2分</w:t>
            </w:r>
          </w:p>
        </w:tc>
        <w:tc>
          <w:tcPr>
            <w:tcW w:w="1012" w:type="dxa"/>
            <w:vMerge w:val="restart"/>
            <w:tcBorders>
              <w:top w:val="nil"/>
              <w:left w:val="nil"/>
              <w:bottom w:val="single" w:color="auto" w:sz="4" w:space="0"/>
              <w:right w:val="single" w:color="auto" w:sz="4" w:space="0"/>
            </w:tcBorders>
            <w:shd w:val="clear" w:color="auto" w:fill="auto"/>
            <w:vAlign w:val="center"/>
          </w:tcPr>
          <w:p>
            <w:pPr>
              <w:adjustRightInd/>
              <w:snapToGrid/>
              <w:spacing w:line="360" w:lineRule="auto"/>
              <w:jc w:val="left"/>
              <w:rPr>
                <w:rFonts w:ascii="宋体" w:hAnsi="宋体" w:eastAsia="宋体" w:cs="Times New Roman"/>
                <w:color w:val="000000"/>
                <w:kern w:val="0"/>
                <w:sz w:val="18"/>
                <w:szCs w:val="18"/>
              </w:rPr>
            </w:pPr>
          </w:p>
        </w:tc>
        <w:tc>
          <w:tcPr>
            <w:tcW w:w="1773"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color w:val="000000"/>
                <w:kern w:val="0"/>
                <w:sz w:val="18"/>
                <w:szCs w:val="18"/>
              </w:rPr>
            </w:pPr>
            <w:r>
              <w:rPr>
                <w:rFonts w:ascii="宋体" w:hAnsi="宋体" w:eastAsia="宋体" w:cs="Times New Roman"/>
                <w:color w:val="000000"/>
                <w:kern w:val="0"/>
                <w:sz w:val="18"/>
                <w:szCs w:val="18"/>
              </w:rPr>
              <w:t>　</w:t>
            </w:r>
          </w:p>
        </w:tc>
      </w:tr>
      <w:tr>
        <w:tblPrEx>
          <w:tblCellMar>
            <w:top w:w="0" w:type="dxa"/>
            <w:left w:w="108" w:type="dxa"/>
            <w:bottom w:w="0" w:type="dxa"/>
            <w:right w:w="108" w:type="dxa"/>
          </w:tblCellMar>
        </w:tblPrEx>
        <w:trPr>
          <w:trHeight w:val="1737" w:hRule="atLeast"/>
          <w:jc w:val="center"/>
        </w:trPr>
        <w:tc>
          <w:tcPr>
            <w:tcW w:w="722" w:type="dxa"/>
            <w:tcBorders>
              <w:top w:val="nil"/>
              <w:left w:val="single" w:color="auto" w:sz="4" w:space="0"/>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ascii="宋体" w:hAnsi="宋体" w:eastAsia="宋体" w:cs="Times New Roman"/>
                <w:color w:val="000000"/>
                <w:kern w:val="0"/>
                <w:sz w:val="18"/>
                <w:szCs w:val="18"/>
              </w:rPr>
              <w:t>9</w:t>
            </w:r>
          </w:p>
        </w:tc>
        <w:tc>
          <w:tcPr>
            <w:tcW w:w="1115" w:type="dxa"/>
            <w:vMerge w:val="continue"/>
            <w:tcBorders>
              <w:top w:val="single" w:color="auto" w:sz="4" w:space="0"/>
              <w:left w:val="single" w:color="auto" w:sz="4" w:space="0"/>
              <w:right w:val="single" w:color="auto" w:sz="4" w:space="0"/>
            </w:tcBorders>
            <w:vAlign w:val="center"/>
          </w:tcPr>
          <w:p>
            <w:pPr>
              <w:widowControl/>
              <w:adjustRightInd/>
              <w:snapToGrid/>
              <w:spacing w:line="360" w:lineRule="auto"/>
              <w:jc w:val="left"/>
              <w:rPr>
                <w:rFonts w:ascii="宋体" w:hAnsi="宋体" w:eastAsia="宋体" w:cs="Times New Roman"/>
                <w:color w:val="000000"/>
                <w:kern w:val="0"/>
                <w:sz w:val="18"/>
                <w:szCs w:val="18"/>
              </w:rPr>
            </w:pPr>
          </w:p>
        </w:tc>
        <w:tc>
          <w:tcPr>
            <w:tcW w:w="3046" w:type="dxa"/>
            <w:tcBorders>
              <w:top w:val="single" w:color="auto" w:sz="4" w:space="0"/>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color w:val="000000"/>
                <w:kern w:val="0"/>
                <w:sz w:val="18"/>
                <w:szCs w:val="18"/>
              </w:rPr>
            </w:pPr>
            <w:r>
              <w:rPr>
                <w:rFonts w:ascii="宋体" w:hAnsi="宋体" w:eastAsia="宋体" w:cs="Times New Roman"/>
                <w:color w:val="000000"/>
                <w:kern w:val="0"/>
                <w:sz w:val="18"/>
                <w:szCs w:val="18"/>
              </w:rPr>
              <w:t>落实安全管理制度及相关要求，遵守各项安全操作规程，实施有限空间作业时必须采取有效的安全防护措施</w:t>
            </w:r>
          </w:p>
        </w:tc>
        <w:tc>
          <w:tcPr>
            <w:tcW w:w="541" w:type="dxa"/>
            <w:vMerge w:val="continue"/>
            <w:tcBorders>
              <w:top w:val="single" w:color="auto" w:sz="4" w:space="0"/>
              <w:left w:val="single" w:color="auto" w:sz="4" w:space="0"/>
              <w:right w:val="single" w:color="auto" w:sz="4" w:space="0"/>
            </w:tcBorders>
            <w:vAlign w:val="center"/>
          </w:tcPr>
          <w:p>
            <w:pPr>
              <w:widowControl/>
              <w:adjustRightInd/>
              <w:snapToGrid/>
              <w:spacing w:line="360" w:lineRule="auto"/>
              <w:jc w:val="left"/>
              <w:rPr>
                <w:rFonts w:ascii="宋体" w:hAnsi="宋体" w:eastAsia="宋体" w:cs="Times New Roman"/>
                <w:color w:val="000000"/>
                <w:kern w:val="0"/>
                <w:sz w:val="18"/>
                <w:szCs w:val="18"/>
              </w:rPr>
            </w:pPr>
          </w:p>
        </w:tc>
        <w:tc>
          <w:tcPr>
            <w:tcW w:w="2488" w:type="dxa"/>
            <w:tcBorders>
              <w:top w:val="single" w:color="auto" w:sz="4" w:space="0"/>
              <w:left w:val="nil"/>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ascii="宋体" w:hAnsi="宋体" w:eastAsia="宋体" w:cs="Times New Roman"/>
                <w:color w:val="000000"/>
                <w:kern w:val="0"/>
                <w:sz w:val="18"/>
                <w:szCs w:val="18"/>
              </w:rPr>
              <w:t>未按要求执行每发现1次扣5分</w:t>
            </w:r>
          </w:p>
        </w:tc>
        <w:tc>
          <w:tcPr>
            <w:tcW w:w="1012" w:type="dxa"/>
            <w:vMerge w:val="continue"/>
            <w:tcBorders>
              <w:top w:val="single" w:color="auto" w:sz="4" w:space="0"/>
              <w:left w:val="nil"/>
              <w:right w:val="single" w:color="auto" w:sz="4" w:space="0"/>
            </w:tcBorders>
            <w:shd w:val="clear" w:color="auto" w:fill="auto"/>
            <w:vAlign w:val="center"/>
          </w:tcPr>
          <w:p>
            <w:pPr>
              <w:adjustRightInd/>
              <w:snapToGrid/>
              <w:spacing w:line="360" w:lineRule="auto"/>
              <w:jc w:val="left"/>
              <w:rPr>
                <w:rFonts w:ascii="宋体" w:hAnsi="宋体" w:eastAsia="宋体" w:cs="Times New Roman"/>
                <w:color w:val="000000"/>
                <w:kern w:val="0"/>
                <w:sz w:val="18"/>
                <w:szCs w:val="18"/>
              </w:rPr>
            </w:pPr>
          </w:p>
        </w:tc>
        <w:tc>
          <w:tcPr>
            <w:tcW w:w="1773" w:type="dxa"/>
            <w:tcBorders>
              <w:top w:val="single" w:color="auto" w:sz="4" w:space="0"/>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color w:val="000000"/>
                <w:kern w:val="0"/>
                <w:sz w:val="18"/>
                <w:szCs w:val="18"/>
              </w:rPr>
            </w:pPr>
            <w:r>
              <w:rPr>
                <w:rFonts w:ascii="宋体" w:hAnsi="宋体" w:eastAsia="宋体" w:cs="Times New Roman"/>
                <w:color w:val="000000"/>
                <w:kern w:val="0"/>
                <w:sz w:val="18"/>
                <w:szCs w:val="18"/>
              </w:rPr>
              <w:t>　</w:t>
            </w:r>
          </w:p>
        </w:tc>
      </w:tr>
      <w:tr>
        <w:tblPrEx>
          <w:tblCellMar>
            <w:top w:w="0" w:type="dxa"/>
            <w:left w:w="108" w:type="dxa"/>
            <w:bottom w:w="0" w:type="dxa"/>
            <w:right w:w="108" w:type="dxa"/>
          </w:tblCellMar>
        </w:tblPrEx>
        <w:trPr>
          <w:trHeight w:val="1178" w:hRule="atLeast"/>
          <w:jc w:val="center"/>
        </w:trPr>
        <w:tc>
          <w:tcPr>
            <w:tcW w:w="722" w:type="dxa"/>
            <w:tcBorders>
              <w:top w:val="nil"/>
              <w:left w:val="single" w:color="auto" w:sz="4" w:space="0"/>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ascii="宋体" w:hAnsi="宋体" w:eastAsia="宋体" w:cs="Times New Roman"/>
                <w:color w:val="000000"/>
                <w:kern w:val="0"/>
                <w:sz w:val="18"/>
                <w:szCs w:val="18"/>
              </w:rPr>
              <w:t>10</w:t>
            </w:r>
          </w:p>
        </w:tc>
        <w:tc>
          <w:tcPr>
            <w:tcW w:w="1115" w:type="dxa"/>
            <w:vMerge w:val="continue"/>
            <w:tcBorders>
              <w:left w:val="single" w:color="auto" w:sz="4" w:space="0"/>
              <w:right w:val="single" w:color="auto" w:sz="4" w:space="0"/>
            </w:tcBorders>
            <w:vAlign w:val="center"/>
          </w:tcPr>
          <w:p>
            <w:pPr>
              <w:widowControl/>
              <w:adjustRightInd/>
              <w:snapToGrid/>
              <w:spacing w:line="360" w:lineRule="auto"/>
              <w:jc w:val="left"/>
              <w:rPr>
                <w:rFonts w:ascii="宋体" w:hAnsi="宋体" w:eastAsia="宋体" w:cs="Times New Roman"/>
                <w:color w:val="000000"/>
                <w:kern w:val="0"/>
                <w:sz w:val="18"/>
                <w:szCs w:val="18"/>
              </w:rPr>
            </w:pPr>
          </w:p>
        </w:tc>
        <w:tc>
          <w:tcPr>
            <w:tcW w:w="3046"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color w:val="000000"/>
                <w:kern w:val="0"/>
                <w:sz w:val="18"/>
                <w:szCs w:val="18"/>
              </w:rPr>
            </w:pPr>
            <w:r>
              <w:rPr>
                <w:rFonts w:ascii="宋体" w:hAnsi="宋体" w:eastAsia="宋体" w:cs="Times New Roman"/>
                <w:color w:val="000000"/>
                <w:kern w:val="0"/>
                <w:sz w:val="18"/>
                <w:szCs w:val="18"/>
              </w:rPr>
              <w:t>定期开展项目范围内的安全隐患自检自查工作，每月不应少于1次。发现安全隐患应及时整改或上报，情况紧急的应立即采取防范措施</w:t>
            </w:r>
          </w:p>
        </w:tc>
        <w:tc>
          <w:tcPr>
            <w:tcW w:w="541" w:type="dxa"/>
            <w:vMerge w:val="continue"/>
            <w:tcBorders>
              <w:left w:val="single" w:color="auto" w:sz="4" w:space="0"/>
              <w:right w:val="single" w:color="auto" w:sz="4" w:space="0"/>
            </w:tcBorders>
            <w:vAlign w:val="center"/>
          </w:tcPr>
          <w:p>
            <w:pPr>
              <w:widowControl/>
              <w:adjustRightInd/>
              <w:snapToGrid/>
              <w:spacing w:line="360" w:lineRule="auto"/>
              <w:jc w:val="left"/>
              <w:rPr>
                <w:rFonts w:ascii="宋体" w:hAnsi="宋体" w:eastAsia="宋体" w:cs="Times New Roman"/>
                <w:color w:val="000000"/>
                <w:kern w:val="0"/>
                <w:sz w:val="18"/>
                <w:szCs w:val="18"/>
              </w:rPr>
            </w:pPr>
          </w:p>
        </w:tc>
        <w:tc>
          <w:tcPr>
            <w:tcW w:w="2488"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ascii="宋体" w:hAnsi="宋体" w:eastAsia="宋体" w:cs="Times New Roman"/>
                <w:color w:val="000000"/>
                <w:kern w:val="0"/>
                <w:sz w:val="18"/>
                <w:szCs w:val="18"/>
              </w:rPr>
              <w:t>未按要求执行每发现1次扣2分</w:t>
            </w:r>
          </w:p>
        </w:tc>
        <w:tc>
          <w:tcPr>
            <w:tcW w:w="1012" w:type="dxa"/>
            <w:vMerge w:val="continue"/>
            <w:tcBorders>
              <w:left w:val="nil"/>
              <w:right w:val="single" w:color="auto" w:sz="4" w:space="0"/>
            </w:tcBorders>
            <w:shd w:val="clear" w:color="auto" w:fill="auto"/>
            <w:vAlign w:val="center"/>
          </w:tcPr>
          <w:p>
            <w:pPr>
              <w:adjustRightInd/>
              <w:snapToGrid/>
              <w:spacing w:line="360" w:lineRule="auto"/>
              <w:jc w:val="left"/>
              <w:rPr>
                <w:rFonts w:ascii="宋体" w:hAnsi="宋体" w:eastAsia="宋体" w:cs="Times New Roman"/>
                <w:color w:val="000000"/>
                <w:kern w:val="0"/>
                <w:sz w:val="18"/>
                <w:szCs w:val="18"/>
              </w:rPr>
            </w:pPr>
          </w:p>
        </w:tc>
        <w:tc>
          <w:tcPr>
            <w:tcW w:w="1773"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color w:val="000000"/>
                <w:kern w:val="0"/>
                <w:sz w:val="18"/>
                <w:szCs w:val="18"/>
              </w:rPr>
            </w:pPr>
            <w:r>
              <w:rPr>
                <w:rFonts w:ascii="宋体" w:hAnsi="宋体" w:eastAsia="宋体" w:cs="Times New Roman"/>
                <w:color w:val="000000"/>
                <w:kern w:val="0"/>
                <w:sz w:val="18"/>
                <w:szCs w:val="18"/>
              </w:rPr>
              <w:t>　</w:t>
            </w:r>
          </w:p>
        </w:tc>
      </w:tr>
      <w:tr>
        <w:tblPrEx>
          <w:tblCellMar>
            <w:top w:w="0" w:type="dxa"/>
            <w:left w:w="108" w:type="dxa"/>
            <w:bottom w:w="0" w:type="dxa"/>
            <w:right w:w="108" w:type="dxa"/>
          </w:tblCellMar>
        </w:tblPrEx>
        <w:trPr>
          <w:trHeight w:val="90" w:hRule="atLeast"/>
          <w:jc w:val="center"/>
        </w:trPr>
        <w:tc>
          <w:tcPr>
            <w:tcW w:w="722" w:type="dxa"/>
            <w:tcBorders>
              <w:top w:val="nil"/>
              <w:left w:val="single" w:color="auto" w:sz="4" w:space="0"/>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ascii="宋体" w:hAnsi="宋体" w:eastAsia="宋体" w:cs="Times New Roman"/>
                <w:color w:val="000000"/>
                <w:kern w:val="0"/>
                <w:sz w:val="18"/>
                <w:szCs w:val="18"/>
              </w:rPr>
              <w:t>11</w:t>
            </w:r>
          </w:p>
        </w:tc>
        <w:tc>
          <w:tcPr>
            <w:tcW w:w="1115" w:type="dxa"/>
            <w:vMerge w:val="continue"/>
            <w:tcBorders>
              <w:left w:val="single" w:color="auto" w:sz="4" w:space="0"/>
              <w:bottom w:val="single" w:color="auto" w:sz="4" w:space="0"/>
              <w:right w:val="single" w:color="auto" w:sz="4" w:space="0"/>
            </w:tcBorders>
            <w:vAlign w:val="center"/>
          </w:tcPr>
          <w:p>
            <w:pPr>
              <w:widowControl/>
              <w:adjustRightInd/>
              <w:snapToGrid/>
              <w:spacing w:line="360" w:lineRule="auto"/>
              <w:jc w:val="left"/>
              <w:rPr>
                <w:rFonts w:ascii="宋体" w:hAnsi="宋体" w:eastAsia="宋体" w:cs="Times New Roman"/>
                <w:color w:val="000000"/>
                <w:kern w:val="0"/>
                <w:sz w:val="18"/>
                <w:szCs w:val="18"/>
              </w:rPr>
            </w:pPr>
          </w:p>
        </w:tc>
        <w:tc>
          <w:tcPr>
            <w:tcW w:w="3046"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color w:val="000000"/>
                <w:kern w:val="0"/>
                <w:sz w:val="18"/>
                <w:szCs w:val="18"/>
              </w:rPr>
            </w:pPr>
            <w:r>
              <w:rPr>
                <w:rFonts w:ascii="宋体" w:hAnsi="宋体" w:eastAsia="宋体" w:cs="Times New Roman"/>
                <w:color w:val="000000"/>
                <w:kern w:val="0"/>
                <w:sz w:val="18"/>
                <w:szCs w:val="18"/>
              </w:rPr>
              <w:t>灭火器等消防设施设备齐备有效且功能正常</w:t>
            </w:r>
          </w:p>
        </w:tc>
        <w:tc>
          <w:tcPr>
            <w:tcW w:w="541" w:type="dxa"/>
            <w:vMerge w:val="continue"/>
            <w:tcBorders>
              <w:left w:val="single" w:color="auto" w:sz="4" w:space="0"/>
              <w:bottom w:val="single" w:color="auto" w:sz="4" w:space="0"/>
              <w:right w:val="single" w:color="auto" w:sz="4" w:space="0"/>
            </w:tcBorders>
            <w:vAlign w:val="center"/>
          </w:tcPr>
          <w:p>
            <w:pPr>
              <w:widowControl/>
              <w:adjustRightInd/>
              <w:snapToGrid/>
              <w:spacing w:line="360" w:lineRule="auto"/>
              <w:jc w:val="left"/>
              <w:rPr>
                <w:rFonts w:ascii="宋体" w:hAnsi="宋体" w:eastAsia="宋体" w:cs="Times New Roman"/>
                <w:color w:val="000000"/>
                <w:kern w:val="0"/>
                <w:sz w:val="18"/>
                <w:szCs w:val="18"/>
              </w:rPr>
            </w:pPr>
          </w:p>
        </w:tc>
        <w:tc>
          <w:tcPr>
            <w:tcW w:w="2488"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ascii="宋体" w:hAnsi="宋体" w:eastAsia="宋体" w:cs="Times New Roman"/>
                <w:color w:val="000000"/>
                <w:kern w:val="0"/>
                <w:sz w:val="18"/>
                <w:szCs w:val="18"/>
              </w:rPr>
              <w:t>每发现1处不符合要求扣2分</w:t>
            </w:r>
          </w:p>
        </w:tc>
        <w:tc>
          <w:tcPr>
            <w:tcW w:w="1012" w:type="dxa"/>
            <w:vMerge w:val="continue"/>
            <w:tcBorders>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color w:val="000000"/>
                <w:kern w:val="0"/>
                <w:sz w:val="18"/>
                <w:szCs w:val="18"/>
              </w:rPr>
            </w:pPr>
          </w:p>
        </w:tc>
        <w:tc>
          <w:tcPr>
            <w:tcW w:w="1773"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color w:val="000000"/>
                <w:kern w:val="0"/>
                <w:sz w:val="18"/>
                <w:szCs w:val="18"/>
              </w:rPr>
            </w:pPr>
            <w:r>
              <w:rPr>
                <w:rFonts w:ascii="宋体" w:hAnsi="宋体" w:eastAsia="宋体" w:cs="Times New Roman"/>
                <w:color w:val="000000"/>
                <w:kern w:val="0"/>
                <w:sz w:val="18"/>
                <w:szCs w:val="18"/>
              </w:rPr>
              <w:t>　</w:t>
            </w:r>
          </w:p>
        </w:tc>
      </w:tr>
      <w:tr>
        <w:tblPrEx>
          <w:tblCellMar>
            <w:top w:w="0" w:type="dxa"/>
            <w:left w:w="108" w:type="dxa"/>
            <w:bottom w:w="0" w:type="dxa"/>
            <w:right w:w="108" w:type="dxa"/>
          </w:tblCellMar>
        </w:tblPrEx>
        <w:trPr>
          <w:trHeight w:val="900" w:hRule="atLeast"/>
          <w:jc w:val="center"/>
        </w:trPr>
        <w:tc>
          <w:tcPr>
            <w:tcW w:w="722" w:type="dxa"/>
            <w:tcBorders>
              <w:top w:val="nil"/>
              <w:left w:val="single" w:color="auto" w:sz="4" w:space="0"/>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ascii="宋体" w:hAnsi="宋体" w:eastAsia="宋体" w:cs="Times New Roman"/>
                <w:color w:val="000000"/>
                <w:kern w:val="0"/>
                <w:sz w:val="18"/>
                <w:szCs w:val="18"/>
              </w:rPr>
              <w:t>12</w:t>
            </w:r>
          </w:p>
        </w:tc>
        <w:tc>
          <w:tcPr>
            <w:tcW w:w="1115" w:type="dxa"/>
            <w:vMerge w:val="restart"/>
            <w:tcBorders>
              <w:top w:val="nil"/>
              <w:left w:val="single" w:color="auto" w:sz="4" w:space="0"/>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ascii="宋体" w:hAnsi="宋体" w:eastAsia="宋体" w:cs="Times New Roman"/>
                <w:color w:val="000000"/>
                <w:kern w:val="0"/>
                <w:sz w:val="18"/>
                <w:szCs w:val="18"/>
              </w:rPr>
              <w:t>环境卫生管理</w:t>
            </w:r>
          </w:p>
        </w:tc>
        <w:tc>
          <w:tcPr>
            <w:tcW w:w="3046"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color w:val="000000"/>
                <w:kern w:val="0"/>
                <w:sz w:val="18"/>
                <w:szCs w:val="18"/>
              </w:rPr>
            </w:pPr>
            <w:r>
              <w:rPr>
                <w:rFonts w:ascii="宋体" w:hAnsi="宋体" w:eastAsia="宋体" w:cs="Times New Roman"/>
                <w:color w:val="000000"/>
                <w:kern w:val="0"/>
                <w:sz w:val="18"/>
                <w:szCs w:val="18"/>
              </w:rPr>
              <w:t>认真开展</w:t>
            </w:r>
            <w:r>
              <w:rPr>
                <w:rFonts w:hint="eastAsia" w:ascii="宋体" w:hAnsi="宋体" w:eastAsia="宋体" w:cs="Times New Roman"/>
                <w:color w:val="000000"/>
                <w:kern w:val="0"/>
                <w:sz w:val="18"/>
                <w:szCs w:val="18"/>
              </w:rPr>
              <w:t>技术服务</w:t>
            </w:r>
            <w:r>
              <w:rPr>
                <w:rFonts w:ascii="宋体" w:hAnsi="宋体" w:eastAsia="宋体" w:cs="Times New Roman"/>
                <w:color w:val="000000"/>
                <w:kern w:val="0"/>
                <w:sz w:val="18"/>
                <w:szCs w:val="18"/>
              </w:rPr>
              <w:t>工作，因管理不善或操作不规范造成的环境突发事件</w:t>
            </w:r>
          </w:p>
        </w:tc>
        <w:tc>
          <w:tcPr>
            <w:tcW w:w="541" w:type="dxa"/>
            <w:vMerge w:val="restart"/>
            <w:tcBorders>
              <w:top w:val="nil"/>
              <w:left w:val="single" w:color="auto" w:sz="4" w:space="0"/>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ascii="宋体" w:hAnsi="宋体" w:eastAsia="宋体" w:cs="Times New Roman"/>
                <w:color w:val="000000"/>
                <w:kern w:val="0"/>
                <w:sz w:val="18"/>
                <w:szCs w:val="18"/>
              </w:rPr>
              <w:t>20</w:t>
            </w:r>
          </w:p>
        </w:tc>
        <w:tc>
          <w:tcPr>
            <w:tcW w:w="2488"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ascii="宋体" w:hAnsi="宋体" w:eastAsia="宋体" w:cs="Times New Roman"/>
                <w:color w:val="000000"/>
                <w:kern w:val="0"/>
                <w:sz w:val="18"/>
                <w:szCs w:val="18"/>
              </w:rPr>
              <w:t>每发生1次环境突发事件扣10分</w:t>
            </w:r>
          </w:p>
        </w:tc>
        <w:tc>
          <w:tcPr>
            <w:tcW w:w="1012" w:type="dxa"/>
            <w:vMerge w:val="restart"/>
            <w:tcBorders>
              <w:top w:val="nil"/>
              <w:left w:val="nil"/>
              <w:right w:val="single" w:color="auto" w:sz="4" w:space="0"/>
            </w:tcBorders>
            <w:shd w:val="clear" w:color="auto" w:fill="auto"/>
            <w:vAlign w:val="center"/>
          </w:tcPr>
          <w:p>
            <w:pPr>
              <w:adjustRightInd/>
              <w:snapToGrid/>
              <w:spacing w:line="360" w:lineRule="auto"/>
              <w:jc w:val="left"/>
              <w:rPr>
                <w:rFonts w:ascii="宋体" w:hAnsi="宋体" w:eastAsia="宋体" w:cs="Times New Roman"/>
                <w:color w:val="000000"/>
                <w:kern w:val="0"/>
                <w:sz w:val="18"/>
                <w:szCs w:val="18"/>
              </w:rPr>
            </w:pPr>
          </w:p>
        </w:tc>
        <w:tc>
          <w:tcPr>
            <w:tcW w:w="1773"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color w:val="000000"/>
                <w:kern w:val="0"/>
                <w:sz w:val="18"/>
                <w:szCs w:val="18"/>
              </w:rPr>
            </w:pPr>
            <w:r>
              <w:rPr>
                <w:rFonts w:ascii="宋体" w:hAnsi="宋体" w:eastAsia="宋体" w:cs="Times New Roman"/>
                <w:color w:val="000000"/>
                <w:kern w:val="0"/>
                <w:sz w:val="18"/>
                <w:szCs w:val="18"/>
              </w:rPr>
              <w:t>　</w:t>
            </w:r>
          </w:p>
        </w:tc>
      </w:tr>
      <w:tr>
        <w:tblPrEx>
          <w:tblCellMar>
            <w:top w:w="0" w:type="dxa"/>
            <w:left w:w="108" w:type="dxa"/>
            <w:bottom w:w="0" w:type="dxa"/>
            <w:right w:w="108" w:type="dxa"/>
          </w:tblCellMar>
        </w:tblPrEx>
        <w:trPr>
          <w:trHeight w:val="1732" w:hRule="atLeast"/>
          <w:jc w:val="center"/>
        </w:trPr>
        <w:tc>
          <w:tcPr>
            <w:tcW w:w="722" w:type="dxa"/>
            <w:tcBorders>
              <w:top w:val="nil"/>
              <w:left w:val="single" w:color="auto" w:sz="4" w:space="0"/>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ascii="宋体" w:hAnsi="宋体" w:eastAsia="宋体" w:cs="Times New Roman"/>
                <w:color w:val="000000"/>
                <w:kern w:val="0"/>
                <w:sz w:val="18"/>
                <w:szCs w:val="18"/>
              </w:rPr>
              <w:t>13</w:t>
            </w:r>
          </w:p>
        </w:tc>
        <w:tc>
          <w:tcPr>
            <w:tcW w:w="1115" w:type="dxa"/>
            <w:vMerge w:val="continue"/>
            <w:tcBorders>
              <w:top w:val="nil"/>
              <w:left w:val="single" w:color="auto" w:sz="4" w:space="0"/>
              <w:bottom w:val="single" w:color="auto" w:sz="4" w:space="0"/>
              <w:right w:val="single" w:color="auto" w:sz="4" w:space="0"/>
            </w:tcBorders>
            <w:vAlign w:val="center"/>
          </w:tcPr>
          <w:p>
            <w:pPr>
              <w:widowControl/>
              <w:adjustRightInd/>
              <w:snapToGrid/>
              <w:spacing w:line="360" w:lineRule="auto"/>
              <w:jc w:val="left"/>
              <w:rPr>
                <w:rFonts w:ascii="宋体" w:hAnsi="宋体" w:eastAsia="宋体" w:cs="Times New Roman"/>
                <w:color w:val="000000"/>
                <w:kern w:val="0"/>
                <w:sz w:val="18"/>
                <w:szCs w:val="18"/>
              </w:rPr>
            </w:pPr>
          </w:p>
        </w:tc>
        <w:tc>
          <w:tcPr>
            <w:tcW w:w="3046"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color w:val="000000"/>
                <w:kern w:val="0"/>
                <w:sz w:val="18"/>
                <w:szCs w:val="18"/>
              </w:rPr>
            </w:pPr>
            <w:r>
              <w:rPr>
                <w:rFonts w:ascii="宋体" w:hAnsi="宋体" w:eastAsia="宋体" w:cs="Times New Roman"/>
                <w:color w:val="000000"/>
                <w:kern w:val="0"/>
                <w:sz w:val="18"/>
                <w:szCs w:val="18"/>
              </w:rPr>
              <w:t>发生环境突发事件时立即启动应急预案，迅速到达事故现场处理，如实报告事故现场情况及可能造成的影响</w:t>
            </w:r>
          </w:p>
        </w:tc>
        <w:tc>
          <w:tcPr>
            <w:tcW w:w="541" w:type="dxa"/>
            <w:vMerge w:val="continue"/>
            <w:tcBorders>
              <w:top w:val="nil"/>
              <w:left w:val="single" w:color="auto" w:sz="4" w:space="0"/>
              <w:bottom w:val="single" w:color="auto" w:sz="4" w:space="0"/>
              <w:right w:val="single" w:color="auto" w:sz="4" w:space="0"/>
            </w:tcBorders>
            <w:vAlign w:val="center"/>
          </w:tcPr>
          <w:p>
            <w:pPr>
              <w:widowControl/>
              <w:adjustRightInd/>
              <w:snapToGrid/>
              <w:spacing w:line="360" w:lineRule="auto"/>
              <w:jc w:val="left"/>
              <w:rPr>
                <w:rFonts w:ascii="宋体" w:hAnsi="宋体" w:eastAsia="宋体" w:cs="Times New Roman"/>
                <w:color w:val="000000"/>
                <w:kern w:val="0"/>
                <w:sz w:val="18"/>
                <w:szCs w:val="18"/>
              </w:rPr>
            </w:pPr>
          </w:p>
        </w:tc>
        <w:tc>
          <w:tcPr>
            <w:tcW w:w="2488"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ascii="宋体" w:hAnsi="宋体" w:eastAsia="宋体" w:cs="Times New Roman"/>
                <w:color w:val="000000"/>
                <w:kern w:val="0"/>
                <w:sz w:val="18"/>
                <w:szCs w:val="18"/>
              </w:rPr>
              <w:t>未按要求执行每次扣10分</w:t>
            </w:r>
          </w:p>
        </w:tc>
        <w:tc>
          <w:tcPr>
            <w:tcW w:w="1012" w:type="dxa"/>
            <w:vMerge w:val="continue"/>
            <w:tcBorders>
              <w:left w:val="nil"/>
              <w:right w:val="single" w:color="auto" w:sz="4" w:space="0"/>
            </w:tcBorders>
            <w:shd w:val="clear" w:color="auto" w:fill="auto"/>
            <w:vAlign w:val="center"/>
          </w:tcPr>
          <w:p>
            <w:pPr>
              <w:adjustRightInd/>
              <w:snapToGrid/>
              <w:spacing w:line="360" w:lineRule="auto"/>
              <w:jc w:val="left"/>
              <w:rPr>
                <w:rFonts w:ascii="宋体" w:hAnsi="宋体" w:eastAsia="宋体" w:cs="Times New Roman"/>
                <w:color w:val="000000"/>
                <w:kern w:val="0"/>
                <w:sz w:val="18"/>
                <w:szCs w:val="18"/>
              </w:rPr>
            </w:pPr>
          </w:p>
        </w:tc>
        <w:tc>
          <w:tcPr>
            <w:tcW w:w="1773"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color w:val="000000"/>
                <w:kern w:val="0"/>
                <w:sz w:val="18"/>
                <w:szCs w:val="18"/>
              </w:rPr>
            </w:pPr>
            <w:r>
              <w:rPr>
                <w:rFonts w:ascii="宋体" w:hAnsi="宋体" w:eastAsia="宋体" w:cs="Times New Roman"/>
                <w:color w:val="000000"/>
                <w:kern w:val="0"/>
                <w:sz w:val="18"/>
                <w:szCs w:val="18"/>
              </w:rPr>
              <w:t>　</w:t>
            </w:r>
          </w:p>
        </w:tc>
      </w:tr>
      <w:tr>
        <w:tblPrEx>
          <w:tblCellMar>
            <w:top w:w="0" w:type="dxa"/>
            <w:left w:w="108" w:type="dxa"/>
            <w:bottom w:w="0" w:type="dxa"/>
            <w:right w:w="108" w:type="dxa"/>
          </w:tblCellMar>
        </w:tblPrEx>
        <w:trPr>
          <w:trHeight w:val="1136" w:hRule="atLeast"/>
          <w:jc w:val="center"/>
        </w:trPr>
        <w:tc>
          <w:tcPr>
            <w:tcW w:w="722" w:type="dxa"/>
            <w:tcBorders>
              <w:top w:val="nil"/>
              <w:left w:val="single" w:color="auto" w:sz="4" w:space="0"/>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ascii="宋体" w:hAnsi="宋体" w:eastAsia="宋体" w:cs="Times New Roman"/>
                <w:color w:val="000000"/>
                <w:kern w:val="0"/>
                <w:sz w:val="18"/>
                <w:szCs w:val="18"/>
              </w:rPr>
              <w:t>14</w:t>
            </w:r>
          </w:p>
        </w:tc>
        <w:tc>
          <w:tcPr>
            <w:tcW w:w="1115" w:type="dxa"/>
            <w:vMerge w:val="continue"/>
            <w:tcBorders>
              <w:top w:val="nil"/>
              <w:left w:val="single" w:color="auto" w:sz="4" w:space="0"/>
              <w:bottom w:val="single" w:color="auto" w:sz="4" w:space="0"/>
              <w:right w:val="single" w:color="auto" w:sz="4" w:space="0"/>
            </w:tcBorders>
            <w:vAlign w:val="center"/>
          </w:tcPr>
          <w:p>
            <w:pPr>
              <w:widowControl/>
              <w:adjustRightInd/>
              <w:snapToGrid/>
              <w:spacing w:line="360" w:lineRule="auto"/>
              <w:jc w:val="left"/>
              <w:rPr>
                <w:rFonts w:ascii="宋体" w:hAnsi="宋体" w:eastAsia="宋体" w:cs="Times New Roman"/>
                <w:color w:val="000000"/>
                <w:kern w:val="0"/>
                <w:sz w:val="18"/>
                <w:szCs w:val="18"/>
              </w:rPr>
            </w:pPr>
          </w:p>
        </w:tc>
        <w:tc>
          <w:tcPr>
            <w:tcW w:w="3046"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color w:val="000000"/>
                <w:kern w:val="0"/>
                <w:sz w:val="18"/>
                <w:szCs w:val="18"/>
              </w:rPr>
            </w:pPr>
            <w:r>
              <w:rPr>
                <w:rFonts w:ascii="宋体" w:hAnsi="宋体" w:eastAsia="宋体" w:cs="Times New Roman"/>
                <w:color w:val="000000"/>
                <w:kern w:val="0"/>
                <w:sz w:val="18"/>
                <w:szCs w:val="18"/>
              </w:rPr>
              <w:t>认真履行“门前三包”责任，站</w:t>
            </w:r>
            <w:r>
              <w:rPr>
                <w:rFonts w:hint="eastAsia" w:ascii="宋体" w:hAnsi="宋体" w:eastAsia="宋体" w:cs="Times New Roman"/>
                <w:color w:val="000000"/>
                <w:kern w:val="0"/>
                <w:sz w:val="18"/>
                <w:szCs w:val="18"/>
              </w:rPr>
              <w:t>点</w:t>
            </w:r>
            <w:r>
              <w:rPr>
                <w:rFonts w:ascii="宋体" w:hAnsi="宋体" w:eastAsia="宋体" w:cs="Times New Roman"/>
                <w:color w:val="000000"/>
                <w:kern w:val="0"/>
                <w:sz w:val="18"/>
                <w:szCs w:val="18"/>
              </w:rPr>
              <w:t>及周边环境卫生整洁，无卫生死角、无垃圾堆放</w:t>
            </w:r>
          </w:p>
        </w:tc>
        <w:tc>
          <w:tcPr>
            <w:tcW w:w="541" w:type="dxa"/>
            <w:vMerge w:val="continue"/>
            <w:tcBorders>
              <w:top w:val="nil"/>
              <w:left w:val="single" w:color="auto" w:sz="4" w:space="0"/>
              <w:bottom w:val="single" w:color="auto" w:sz="4" w:space="0"/>
              <w:right w:val="single" w:color="auto" w:sz="4" w:space="0"/>
            </w:tcBorders>
            <w:vAlign w:val="center"/>
          </w:tcPr>
          <w:p>
            <w:pPr>
              <w:widowControl/>
              <w:adjustRightInd/>
              <w:snapToGrid/>
              <w:spacing w:line="360" w:lineRule="auto"/>
              <w:jc w:val="left"/>
              <w:rPr>
                <w:rFonts w:ascii="宋体" w:hAnsi="宋体" w:eastAsia="宋体" w:cs="Times New Roman"/>
                <w:color w:val="000000"/>
                <w:kern w:val="0"/>
                <w:sz w:val="18"/>
                <w:szCs w:val="18"/>
              </w:rPr>
            </w:pPr>
          </w:p>
        </w:tc>
        <w:tc>
          <w:tcPr>
            <w:tcW w:w="2488"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ascii="宋体" w:hAnsi="宋体" w:eastAsia="宋体" w:cs="Times New Roman"/>
                <w:color w:val="000000"/>
                <w:kern w:val="0"/>
                <w:sz w:val="18"/>
                <w:szCs w:val="18"/>
              </w:rPr>
              <w:t>每发现1处不符合要求扣1分</w:t>
            </w:r>
          </w:p>
        </w:tc>
        <w:tc>
          <w:tcPr>
            <w:tcW w:w="1012" w:type="dxa"/>
            <w:vMerge w:val="continue"/>
            <w:tcBorders>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color w:val="000000"/>
                <w:kern w:val="0"/>
                <w:sz w:val="18"/>
                <w:szCs w:val="18"/>
              </w:rPr>
            </w:pPr>
          </w:p>
        </w:tc>
        <w:tc>
          <w:tcPr>
            <w:tcW w:w="1773"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color w:val="000000"/>
                <w:kern w:val="0"/>
                <w:sz w:val="18"/>
                <w:szCs w:val="18"/>
              </w:rPr>
            </w:pPr>
            <w:r>
              <w:rPr>
                <w:rFonts w:ascii="宋体" w:hAnsi="宋体" w:eastAsia="宋体" w:cs="Times New Roman"/>
                <w:color w:val="000000"/>
                <w:kern w:val="0"/>
                <w:sz w:val="18"/>
                <w:szCs w:val="18"/>
              </w:rPr>
              <w:t>　</w:t>
            </w:r>
          </w:p>
        </w:tc>
      </w:tr>
      <w:tr>
        <w:tblPrEx>
          <w:tblCellMar>
            <w:top w:w="0" w:type="dxa"/>
            <w:left w:w="108" w:type="dxa"/>
            <w:bottom w:w="0" w:type="dxa"/>
            <w:right w:w="108" w:type="dxa"/>
          </w:tblCellMar>
        </w:tblPrEx>
        <w:trPr>
          <w:trHeight w:val="2936" w:hRule="atLeast"/>
          <w:jc w:val="center"/>
        </w:trPr>
        <w:tc>
          <w:tcPr>
            <w:tcW w:w="722" w:type="dxa"/>
            <w:tcBorders>
              <w:top w:val="nil"/>
              <w:left w:val="single" w:color="auto" w:sz="4" w:space="0"/>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ascii="宋体" w:hAnsi="宋体" w:eastAsia="宋体" w:cs="Times New Roman"/>
                <w:color w:val="000000"/>
                <w:kern w:val="0"/>
                <w:sz w:val="18"/>
                <w:szCs w:val="18"/>
              </w:rPr>
              <w:t>1</w:t>
            </w:r>
            <w:r>
              <w:rPr>
                <w:rFonts w:hint="eastAsia" w:ascii="宋体" w:hAnsi="宋体" w:eastAsia="宋体" w:cs="Times New Roman"/>
                <w:color w:val="000000"/>
                <w:kern w:val="0"/>
                <w:sz w:val="18"/>
                <w:szCs w:val="18"/>
              </w:rPr>
              <w:t>5</w:t>
            </w:r>
          </w:p>
        </w:tc>
        <w:tc>
          <w:tcPr>
            <w:tcW w:w="1115"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ascii="宋体" w:hAnsi="宋体" w:eastAsia="宋体" w:cs="Times New Roman"/>
                <w:color w:val="000000"/>
                <w:kern w:val="0"/>
                <w:sz w:val="18"/>
                <w:szCs w:val="18"/>
              </w:rPr>
              <w:t>档案资料管理</w:t>
            </w:r>
          </w:p>
        </w:tc>
        <w:tc>
          <w:tcPr>
            <w:tcW w:w="3046"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color w:val="000000"/>
                <w:kern w:val="0"/>
                <w:sz w:val="18"/>
                <w:szCs w:val="18"/>
              </w:rPr>
            </w:pPr>
            <w:r>
              <w:rPr>
                <w:rFonts w:ascii="宋体" w:hAnsi="宋体" w:eastAsia="宋体" w:cs="Times New Roman"/>
                <w:color w:val="000000"/>
                <w:kern w:val="0"/>
                <w:sz w:val="18"/>
                <w:szCs w:val="18"/>
              </w:rPr>
              <w:t>做好站</w:t>
            </w:r>
            <w:r>
              <w:rPr>
                <w:rFonts w:hint="eastAsia" w:ascii="宋体" w:hAnsi="宋体" w:eastAsia="宋体" w:cs="Times New Roman"/>
                <w:color w:val="000000"/>
                <w:kern w:val="0"/>
                <w:sz w:val="18"/>
                <w:szCs w:val="18"/>
              </w:rPr>
              <w:t>点</w:t>
            </w:r>
            <w:r>
              <w:rPr>
                <w:rFonts w:ascii="宋体" w:hAnsi="宋体" w:eastAsia="宋体" w:cs="Times New Roman"/>
                <w:color w:val="000000"/>
                <w:kern w:val="0"/>
                <w:sz w:val="18"/>
                <w:szCs w:val="18"/>
              </w:rPr>
              <w:t>档案管理工作，档案资料归档及时、全面准确、保存完好、查阅方便。归档资料应包括但不限于</w:t>
            </w:r>
            <w:r>
              <w:rPr>
                <w:rFonts w:hint="eastAsia" w:ascii="宋体" w:hAnsi="宋体" w:eastAsia="宋体" w:cs="Times New Roman"/>
                <w:color w:val="000000"/>
                <w:kern w:val="0"/>
                <w:sz w:val="18"/>
                <w:szCs w:val="18"/>
              </w:rPr>
              <w:t>工作</w:t>
            </w:r>
            <w:r>
              <w:rPr>
                <w:rFonts w:ascii="宋体" w:hAnsi="宋体" w:eastAsia="宋体" w:cs="Times New Roman"/>
                <w:color w:val="000000"/>
                <w:kern w:val="0"/>
                <w:sz w:val="18"/>
                <w:szCs w:val="18"/>
              </w:rPr>
              <w:t>日志、设施</w:t>
            </w:r>
            <w:r>
              <w:rPr>
                <w:rFonts w:hint="eastAsia" w:ascii="宋体" w:hAnsi="宋体" w:eastAsia="宋体" w:cs="Times New Roman"/>
                <w:color w:val="000000"/>
                <w:kern w:val="0"/>
                <w:sz w:val="18"/>
                <w:szCs w:val="18"/>
              </w:rPr>
              <w:t>技</w:t>
            </w:r>
            <w:r>
              <w:rPr>
                <w:rFonts w:ascii="宋体" w:hAnsi="宋体" w:eastAsia="宋体" w:cs="Times New Roman"/>
                <w:color w:val="000000"/>
                <w:kern w:val="0"/>
                <w:sz w:val="18"/>
                <w:szCs w:val="18"/>
              </w:rPr>
              <w:t>术支持记录、水质检测结果、水量情况、污泥处置情况、教育培训记录、安全隐患检查整改台帐</w:t>
            </w:r>
          </w:p>
        </w:tc>
        <w:tc>
          <w:tcPr>
            <w:tcW w:w="541"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ascii="宋体" w:hAnsi="宋体" w:eastAsia="宋体" w:cs="Times New Roman"/>
                <w:color w:val="000000"/>
                <w:kern w:val="0"/>
                <w:sz w:val="18"/>
                <w:szCs w:val="18"/>
              </w:rPr>
              <w:t>5</w:t>
            </w:r>
          </w:p>
        </w:tc>
        <w:tc>
          <w:tcPr>
            <w:tcW w:w="2488"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ascii="宋体" w:hAnsi="宋体" w:eastAsia="宋体" w:cs="Times New Roman"/>
                <w:color w:val="000000"/>
                <w:kern w:val="0"/>
                <w:sz w:val="18"/>
                <w:szCs w:val="18"/>
              </w:rPr>
              <w:t>未按要求执行每次扣1分</w:t>
            </w:r>
          </w:p>
        </w:tc>
        <w:tc>
          <w:tcPr>
            <w:tcW w:w="1012"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color w:val="000000"/>
                <w:kern w:val="0"/>
                <w:sz w:val="18"/>
                <w:szCs w:val="18"/>
              </w:rPr>
            </w:pPr>
            <w:r>
              <w:rPr>
                <w:rFonts w:ascii="宋体" w:hAnsi="宋体" w:eastAsia="宋体" w:cs="Times New Roman"/>
                <w:color w:val="000000"/>
                <w:kern w:val="0"/>
                <w:sz w:val="18"/>
                <w:szCs w:val="18"/>
              </w:rPr>
              <w:t>　</w:t>
            </w:r>
          </w:p>
        </w:tc>
        <w:tc>
          <w:tcPr>
            <w:tcW w:w="1773"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color w:val="000000"/>
                <w:kern w:val="0"/>
                <w:sz w:val="18"/>
                <w:szCs w:val="18"/>
              </w:rPr>
            </w:pPr>
            <w:r>
              <w:rPr>
                <w:rFonts w:ascii="宋体" w:hAnsi="宋体" w:eastAsia="宋体" w:cs="Times New Roman"/>
                <w:color w:val="000000"/>
                <w:kern w:val="0"/>
                <w:sz w:val="18"/>
                <w:szCs w:val="18"/>
              </w:rPr>
              <w:t>　</w:t>
            </w:r>
          </w:p>
        </w:tc>
      </w:tr>
      <w:tr>
        <w:tblPrEx>
          <w:tblCellMar>
            <w:top w:w="0" w:type="dxa"/>
            <w:left w:w="108" w:type="dxa"/>
            <w:bottom w:w="0" w:type="dxa"/>
            <w:right w:w="108" w:type="dxa"/>
          </w:tblCellMar>
        </w:tblPrEx>
        <w:trPr>
          <w:trHeight w:val="1294" w:hRule="atLeast"/>
          <w:jc w:val="center"/>
        </w:trPr>
        <w:tc>
          <w:tcPr>
            <w:tcW w:w="722" w:type="dxa"/>
            <w:tcBorders>
              <w:top w:val="nil"/>
              <w:left w:val="single" w:color="auto" w:sz="4" w:space="0"/>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hint="eastAsia" w:ascii="宋体" w:hAnsi="宋体" w:eastAsia="宋体" w:cs="Times New Roman"/>
                <w:color w:val="000000"/>
                <w:kern w:val="0"/>
                <w:sz w:val="18"/>
                <w:szCs w:val="18"/>
              </w:rPr>
              <w:t>16</w:t>
            </w:r>
          </w:p>
        </w:tc>
        <w:tc>
          <w:tcPr>
            <w:tcW w:w="1115" w:type="dxa"/>
            <w:vMerge w:val="restart"/>
            <w:tcBorders>
              <w:top w:val="nil"/>
              <w:left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ascii="宋体" w:hAnsi="宋体" w:eastAsia="宋体" w:cs="Times New Roman"/>
                <w:color w:val="000000"/>
                <w:kern w:val="0"/>
                <w:sz w:val="18"/>
                <w:szCs w:val="18"/>
              </w:rPr>
              <w:t>其他</w:t>
            </w:r>
          </w:p>
        </w:tc>
        <w:tc>
          <w:tcPr>
            <w:tcW w:w="3046"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color w:val="000000"/>
                <w:kern w:val="0"/>
                <w:sz w:val="18"/>
                <w:szCs w:val="18"/>
              </w:rPr>
            </w:pPr>
            <w:r>
              <w:rPr>
                <w:rFonts w:hint="eastAsia" w:ascii="宋体" w:hAnsi="宋体" w:eastAsia="宋体" w:cs="Times New Roman"/>
                <w:color w:val="000000"/>
                <w:kern w:val="0"/>
                <w:sz w:val="18"/>
                <w:szCs w:val="18"/>
              </w:rPr>
              <w:t>按照北京园博园管理中心各项要求，严格落实相关政策，做好人员管理及消杀工作</w:t>
            </w:r>
          </w:p>
        </w:tc>
        <w:tc>
          <w:tcPr>
            <w:tcW w:w="541" w:type="dxa"/>
            <w:vMerge w:val="restart"/>
            <w:tcBorders>
              <w:top w:val="nil"/>
              <w:left w:val="single" w:color="auto" w:sz="4" w:space="0"/>
              <w:right w:val="single" w:color="auto" w:sz="4" w:space="0"/>
            </w:tcBorders>
            <w:shd w:val="clear" w:color="auto" w:fill="auto"/>
            <w:vAlign w:val="center"/>
          </w:tcPr>
          <w:p>
            <w:pPr>
              <w:adjustRightInd/>
              <w:snapToGrid/>
              <w:spacing w:line="360" w:lineRule="auto"/>
              <w:jc w:val="center"/>
              <w:rPr>
                <w:rFonts w:ascii="宋体" w:hAnsi="宋体" w:eastAsia="宋体" w:cs="Times New Roman"/>
                <w:color w:val="000000"/>
                <w:kern w:val="0"/>
                <w:sz w:val="18"/>
                <w:szCs w:val="18"/>
              </w:rPr>
            </w:pPr>
            <w:r>
              <w:rPr>
                <w:rFonts w:ascii="宋体" w:hAnsi="宋体" w:eastAsia="宋体" w:cs="Times New Roman"/>
                <w:color w:val="000000"/>
                <w:kern w:val="0"/>
                <w:sz w:val="18"/>
                <w:szCs w:val="18"/>
              </w:rPr>
              <w:t>15</w:t>
            </w:r>
          </w:p>
        </w:tc>
        <w:tc>
          <w:tcPr>
            <w:tcW w:w="2488"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ascii="宋体" w:hAnsi="宋体" w:eastAsia="宋体" w:cs="Times New Roman"/>
                <w:color w:val="000000"/>
                <w:kern w:val="0"/>
                <w:sz w:val="18"/>
                <w:szCs w:val="18"/>
              </w:rPr>
              <w:t>未按要求执行每次扣5分</w:t>
            </w:r>
          </w:p>
        </w:tc>
        <w:tc>
          <w:tcPr>
            <w:tcW w:w="1012" w:type="dxa"/>
            <w:tcBorders>
              <w:top w:val="nil"/>
              <w:left w:val="nil"/>
              <w:right w:val="single" w:color="auto" w:sz="4" w:space="0"/>
            </w:tcBorders>
            <w:shd w:val="clear" w:color="auto" w:fill="auto"/>
            <w:vAlign w:val="center"/>
          </w:tcPr>
          <w:p>
            <w:pPr>
              <w:adjustRightInd/>
              <w:snapToGrid/>
              <w:spacing w:line="360" w:lineRule="auto"/>
              <w:jc w:val="left"/>
              <w:rPr>
                <w:rFonts w:ascii="宋体" w:hAnsi="宋体" w:eastAsia="宋体" w:cs="Times New Roman"/>
                <w:color w:val="000000"/>
                <w:kern w:val="0"/>
                <w:sz w:val="18"/>
                <w:szCs w:val="18"/>
              </w:rPr>
            </w:pPr>
          </w:p>
        </w:tc>
        <w:tc>
          <w:tcPr>
            <w:tcW w:w="1773"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color w:val="000000"/>
                <w:kern w:val="0"/>
                <w:sz w:val="18"/>
                <w:szCs w:val="18"/>
              </w:rPr>
            </w:pPr>
          </w:p>
        </w:tc>
      </w:tr>
      <w:tr>
        <w:tblPrEx>
          <w:tblCellMar>
            <w:top w:w="0" w:type="dxa"/>
            <w:left w:w="108" w:type="dxa"/>
            <w:bottom w:w="0" w:type="dxa"/>
            <w:right w:w="108" w:type="dxa"/>
          </w:tblCellMar>
        </w:tblPrEx>
        <w:trPr>
          <w:trHeight w:val="1762" w:hRule="atLeast"/>
          <w:jc w:val="center"/>
        </w:trPr>
        <w:tc>
          <w:tcPr>
            <w:tcW w:w="722" w:type="dxa"/>
            <w:tcBorders>
              <w:top w:val="nil"/>
              <w:left w:val="single" w:color="auto" w:sz="4" w:space="0"/>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ascii="宋体" w:hAnsi="宋体" w:eastAsia="宋体" w:cs="Times New Roman"/>
                <w:color w:val="000000"/>
                <w:kern w:val="0"/>
                <w:sz w:val="18"/>
                <w:szCs w:val="18"/>
              </w:rPr>
              <w:t>17</w:t>
            </w:r>
          </w:p>
        </w:tc>
        <w:tc>
          <w:tcPr>
            <w:tcW w:w="1115" w:type="dxa"/>
            <w:vMerge w:val="continue"/>
            <w:tcBorders>
              <w:left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p>
        </w:tc>
        <w:tc>
          <w:tcPr>
            <w:tcW w:w="3046"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color w:val="000000"/>
                <w:kern w:val="0"/>
                <w:sz w:val="18"/>
                <w:szCs w:val="18"/>
              </w:rPr>
            </w:pPr>
            <w:r>
              <w:rPr>
                <w:rFonts w:ascii="宋体" w:hAnsi="宋体" w:eastAsia="宋体" w:cs="Times New Roman"/>
                <w:color w:val="000000"/>
                <w:kern w:val="0"/>
                <w:sz w:val="18"/>
                <w:szCs w:val="18"/>
              </w:rPr>
              <w:t>主动接受政府部门的行业监管，配合做好各项监督检查工作，无拒绝、阻挠、妨碍监督检查人员依法执行公务的行为发生</w:t>
            </w:r>
          </w:p>
        </w:tc>
        <w:tc>
          <w:tcPr>
            <w:tcW w:w="541" w:type="dxa"/>
            <w:vMerge w:val="continue"/>
            <w:tcBorders>
              <w:left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p>
        </w:tc>
        <w:tc>
          <w:tcPr>
            <w:tcW w:w="2488"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ascii="宋体" w:hAnsi="宋体" w:eastAsia="宋体" w:cs="Times New Roman"/>
                <w:color w:val="000000"/>
                <w:kern w:val="0"/>
                <w:sz w:val="18"/>
                <w:szCs w:val="18"/>
              </w:rPr>
              <w:t>未按要求执行每次扣5分</w:t>
            </w:r>
          </w:p>
        </w:tc>
        <w:tc>
          <w:tcPr>
            <w:tcW w:w="1012" w:type="dxa"/>
            <w:vMerge w:val="restart"/>
            <w:tcBorders>
              <w:top w:val="nil"/>
              <w:left w:val="nil"/>
              <w:right w:val="single" w:color="auto" w:sz="4" w:space="0"/>
            </w:tcBorders>
            <w:shd w:val="clear" w:color="auto" w:fill="auto"/>
            <w:vAlign w:val="center"/>
          </w:tcPr>
          <w:p>
            <w:pPr>
              <w:adjustRightInd/>
              <w:snapToGrid/>
              <w:spacing w:line="360" w:lineRule="auto"/>
              <w:jc w:val="left"/>
              <w:rPr>
                <w:rFonts w:ascii="宋体" w:hAnsi="宋体" w:eastAsia="宋体" w:cs="Times New Roman"/>
                <w:color w:val="000000"/>
                <w:kern w:val="0"/>
                <w:sz w:val="18"/>
                <w:szCs w:val="18"/>
              </w:rPr>
            </w:pPr>
          </w:p>
        </w:tc>
        <w:tc>
          <w:tcPr>
            <w:tcW w:w="1773"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color w:val="000000"/>
                <w:kern w:val="0"/>
                <w:sz w:val="18"/>
                <w:szCs w:val="18"/>
              </w:rPr>
            </w:pPr>
            <w:r>
              <w:rPr>
                <w:rFonts w:ascii="宋体" w:hAnsi="宋体" w:eastAsia="宋体" w:cs="Times New Roman"/>
                <w:color w:val="000000"/>
                <w:kern w:val="0"/>
                <w:sz w:val="18"/>
                <w:szCs w:val="18"/>
              </w:rPr>
              <w:t>　</w:t>
            </w:r>
          </w:p>
        </w:tc>
      </w:tr>
      <w:tr>
        <w:tblPrEx>
          <w:tblCellMar>
            <w:top w:w="0" w:type="dxa"/>
            <w:left w:w="108" w:type="dxa"/>
            <w:bottom w:w="0" w:type="dxa"/>
            <w:right w:w="108" w:type="dxa"/>
          </w:tblCellMar>
        </w:tblPrEx>
        <w:trPr>
          <w:trHeight w:val="1332" w:hRule="atLeast"/>
          <w:jc w:val="center"/>
        </w:trPr>
        <w:tc>
          <w:tcPr>
            <w:tcW w:w="722" w:type="dxa"/>
            <w:tcBorders>
              <w:top w:val="nil"/>
              <w:left w:val="single" w:color="auto" w:sz="4" w:space="0"/>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ascii="宋体" w:hAnsi="宋体" w:eastAsia="宋体" w:cs="Times New Roman"/>
                <w:color w:val="000000"/>
                <w:kern w:val="0"/>
                <w:sz w:val="18"/>
                <w:szCs w:val="18"/>
              </w:rPr>
              <w:t>18</w:t>
            </w:r>
          </w:p>
        </w:tc>
        <w:tc>
          <w:tcPr>
            <w:tcW w:w="1115" w:type="dxa"/>
            <w:vMerge w:val="continue"/>
            <w:tcBorders>
              <w:left w:val="single" w:color="auto" w:sz="4" w:space="0"/>
              <w:right w:val="single" w:color="auto" w:sz="4" w:space="0"/>
            </w:tcBorders>
            <w:vAlign w:val="center"/>
          </w:tcPr>
          <w:p>
            <w:pPr>
              <w:widowControl/>
              <w:adjustRightInd/>
              <w:snapToGrid/>
              <w:spacing w:line="360" w:lineRule="auto"/>
              <w:jc w:val="left"/>
              <w:rPr>
                <w:rFonts w:ascii="宋体" w:hAnsi="宋体" w:eastAsia="宋体" w:cs="Times New Roman"/>
                <w:color w:val="000000"/>
                <w:kern w:val="0"/>
                <w:sz w:val="18"/>
                <w:szCs w:val="18"/>
              </w:rPr>
            </w:pPr>
          </w:p>
        </w:tc>
        <w:tc>
          <w:tcPr>
            <w:tcW w:w="3046"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color w:val="000000"/>
                <w:kern w:val="0"/>
                <w:sz w:val="18"/>
                <w:szCs w:val="18"/>
              </w:rPr>
            </w:pPr>
            <w:r>
              <w:rPr>
                <w:rFonts w:ascii="宋体" w:hAnsi="宋体" w:eastAsia="宋体" w:cs="Times New Roman"/>
                <w:color w:val="000000"/>
                <w:kern w:val="0"/>
                <w:sz w:val="18"/>
                <w:szCs w:val="18"/>
              </w:rPr>
              <w:t>认真开展</w:t>
            </w:r>
            <w:r>
              <w:rPr>
                <w:rFonts w:hint="eastAsia" w:ascii="宋体" w:hAnsi="宋体" w:eastAsia="宋体" w:cs="Times New Roman"/>
                <w:color w:val="000000"/>
                <w:kern w:val="0"/>
                <w:sz w:val="18"/>
                <w:szCs w:val="18"/>
              </w:rPr>
              <w:t>技术</w:t>
            </w:r>
            <w:r>
              <w:rPr>
                <w:rFonts w:ascii="宋体" w:hAnsi="宋体" w:eastAsia="宋体" w:cs="Times New Roman"/>
                <w:color w:val="000000"/>
                <w:kern w:val="0"/>
                <w:sz w:val="18"/>
                <w:szCs w:val="18"/>
              </w:rPr>
              <w:t>服务管理工作，主动维护项目范围内的公共安全、环境卫生和公共秩序，无因管理不善或操作不规范引起的相关投诉事件</w:t>
            </w:r>
          </w:p>
        </w:tc>
        <w:tc>
          <w:tcPr>
            <w:tcW w:w="541" w:type="dxa"/>
            <w:vMerge w:val="continue"/>
            <w:tcBorders>
              <w:left w:val="single" w:color="auto" w:sz="4" w:space="0"/>
              <w:right w:val="single" w:color="auto" w:sz="4" w:space="0"/>
            </w:tcBorders>
            <w:vAlign w:val="center"/>
          </w:tcPr>
          <w:p>
            <w:pPr>
              <w:widowControl/>
              <w:adjustRightInd/>
              <w:snapToGrid/>
              <w:spacing w:line="360" w:lineRule="auto"/>
              <w:jc w:val="left"/>
              <w:rPr>
                <w:rFonts w:ascii="宋体" w:hAnsi="宋体" w:eastAsia="宋体" w:cs="Times New Roman"/>
                <w:color w:val="000000"/>
                <w:kern w:val="0"/>
                <w:sz w:val="18"/>
                <w:szCs w:val="18"/>
              </w:rPr>
            </w:pPr>
          </w:p>
        </w:tc>
        <w:tc>
          <w:tcPr>
            <w:tcW w:w="2488"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ascii="宋体" w:hAnsi="宋体" w:eastAsia="宋体" w:cs="Times New Roman"/>
                <w:color w:val="000000"/>
                <w:kern w:val="0"/>
                <w:sz w:val="18"/>
                <w:szCs w:val="18"/>
              </w:rPr>
              <w:t>每接到1次有效投诉扣2分</w:t>
            </w:r>
          </w:p>
        </w:tc>
        <w:tc>
          <w:tcPr>
            <w:tcW w:w="1012" w:type="dxa"/>
            <w:vMerge w:val="continue"/>
            <w:tcBorders>
              <w:left w:val="nil"/>
              <w:right w:val="single" w:color="auto" w:sz="4" w:space="0"/>
            </w:tcBorders>
            <w:shd w:val="clear" w:color="auto" w:fill="auto"/>
            <w:vAlign w:val="center"/>
          </w:tcPr>
          <w:p>
            <w:pPr>
              <w:adjustRightInd/>
              <w:snapToGrid/>
              <w:spacing w:line="360" w:lineRule="auto"/>
              <w:jc w:val="left"/>
              <w:rPr>
                <w:rFonts w:ascii="宋体" w:hAnsi="宋体" w:eastAsia="宋体" w:cs="Times New Roman"/>
                <w:color w:val="000000"/>
                <w:kern w:val="0"/>
                <w:sz w:val="18"/>
                <w:szCs w:val="18"/>
              </w:rPr>
            </w:pPr>
          </w:p>
        </w:tc>
        <w:tc>
          <w:tcPr>
            <w:tcW w:w="1773"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color w:val="000000"/>
                <w:kern w:val="0"/>
                <w:sz w:val="18"/>
                <w:szCs w:val="18"/>
              </w:rPr>
            </w:pPr>
            <w:r>
              <w:rPr>
                <w:rFonts w:ascii="宋体" w:hAnsi="宋体" w:eastAsia="宋体" w:cs="Times New Roman"/>
                <w:color w:val="000000"/>
                <w:kern w:val="0"/>
                <w:sz w:val="18"/>
                <w:szCs w:val="18"/>
              </w:rPr>
              <w:t>　</w:t>
            </w:r>
          </w:p>
        </w:tc>
      </w:tr>
      <w:tr>
        <w:tblPrEx>
          <w:tblCellMar>
            <w:top w:w="0" w:type="dxa"/>
            <w:left w:w="108" w:type="dxa"/>
            <w:bottom w:w="0" w:type="dxa"/>
            <w:right w:w="108" w:type="dxa"/>
          </w:tblCellMar>
        </w:tblPrEx>
        <w:trPr>
          <w:trHeight w:val="891" w:hRule="atLeast"/>
          <w:jc w:val="center"/>
        </w:trPr>
        <w:tc>
          <w:tcPr>
            <w:tcW w:w="722" w:type="dxa"/>
            <w:tcBorders>
              <w:top w:val="nil"/>
              <w:left w:val="single" w:color="auto" w:sz="4" w:space="0"/>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ascii="宋体" w:hAnsi="宋体" w:eastAsia="宋体" w:cs="Times New Roman"/>
                <w:color w:val="000000"/>
                <w:kern w:val="0"/>
                <w:sz w:val="18"/>
                <w:szCs w:val="18"/>
              </w:rPr>
              <w:t>19</w:t>
            </w:r>
          </w:p>
        </w:tc>
        <w:tc>
          <w:tcPr>
            <w:tcW w:w="1115" w:type="dxa"/>
            <w:vMerge w:val="continue"/>
            <w:tcBorders>
              <w:left w:val="single" w:color="auto" w:sz="4" w:space="0"/>
              <w:right w:val="single" w:color="auto" w:sz="4" w:space="0"/>
            </w:tcBorders>
            <w:vAlign w:val="center"/>
          </w:tcPr>
          <w:p>
            <w:pPr>
              <w:widowControl/>
              <w:adjustRightInd/>
              <w:snapToGrid/>
              <w:spacing w:line="360" w:lineRule="auto"/>
              <w:jc w:val="left"/>
              <w:rPr>
                <w:rFonts w:ascii="宋体" w:hAnsi="宋体" w:eastAsia="宋体" w:cs="Times New Roman"/>
                <w:color w:val="000000"/>
                <w:kern w:val="0"/>
                <w:sz w:val="18"/>
                <w:szCs w:val="18"/>
              </w:rPr>
            </w:pPr>
          </w:p>
        </w:tc>
        <w:tc>
          <w:tcPr>
            <w:tcW w:w="3046"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color w:val="000000"/>
                <w:kern w:val="0"/>
                <w:sz w:val="18"/>
                <w:szCs w:val="18"/>
              </w:rPr>
            </w:pPr>
            <w:r>
              <w:rPr>
                <w:rFonts w:ascii="宋体" w:hAnsi="宋体" w:eastAsia="宋体" w:cs="Times New Roman"/>
                <w:color w:val="000000"/>
                <w:kern w:val="0"/>
                <w:sz w:val="18"/>
                <w:szCs w:val="18"/>
              </w:rPr>
              <w:t>遵守和执行甲方的相关管理规定、制度、规范等文件要求</w:t>
            </w:r>
          </w:p>
        </w:tc>
        <w:tc>
          <w:tcPr>
            <w:tcW w:w="541" w:type="dxa"/>
            <w:vMerge w:val="continue"/>
            <w:tcBorders>
              <w:left w:val="single" w:color="auto" w:sz="4" w:space="0"/>
              <w:right w:val="single" w:color="auto" w:sz="4" w:space="0"/>
            </w:tcBorders>
            <w:vAlign w:val="center"/>
          </w:tcPr>
          <w:p>
            <w:pPr>
              <w:widowControl/>
              <w:adjustRightInd/>
              <w:snapToGrid/>
              <w:spacing w:line="360" w:lineRule="auto"/>
              <w:jc w:val="left"/>
              <w:rPr>
                <w:rFonts w:ascii="宋体" w:hAnsi="宋体" w:eastAsia="宋体" w:cs="Times New Roman"/>
                <w:color w:val="000000"/>
                <w:kern w:val="0"/>
                <w:sz w:val="18"/>
                <w:szCs w:val="18"/>
              </w:rPr>
            </w:pPr>
          </w:p>
        </w:tc>
        <w:tc>
          <w:tcPr>
            <w:tcW w:w="2488"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ascii="宋体" w:hAnsi="宋体" w:eastAsia="宋体" w:cs="Times New Roman"/>
                <w:color w:val="000000"/>
                <w:kern w:val="0"/>
                <w:sz w:val="18"/>
                <w:szCs w:val="18"/>
              </w:rPr>
              <w:t>每发现1次不符合要求扣5分</w:t>
            </w:r>
          </w:p>
        </w:tc>
        <w:tc>
          <w:tcPr>
            <w:tcW w:w="1012" w:type="dxa"/>
            <w:vMerge w:val="continue"/>
            <w:tcBorders>
              <w:left w:val="nil"/>
              <w:right w:val="single" w:color="auto" w:sz="4" w:space="0"/>
            </w:tcBorders>
            <w:shd w:val="clear" w:color="auto" w:fill="auto"/>
            <w:vAlign w:val="center"/>
          </w:tcPr>
          <w:p>
            <w:pPr>
              <w:adjustRightInd/>
              <w:snapToGrid/>
              <w:spacing w:line="360" w:lineRule="auto"/>
              <w:jc w:val="left"/>
              <w:rPr>
                <w:rFonts w:ascii="宋体" w:hAnsi="宋体" w:eastAsia="宋体" w:cs="Times New Roman"/>
                <w:color w:val="000000"/>
                <w:kern w:val="0"/>
                <w:sz w:val="18"/>
                <w:szCs w:val="18"/>
              </w:rPr>
            </w:pPr>
          </w:p>
        </w:tc>
        <w:tc>
          <w:tcPr>
            <w:tcW w:w="1773"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color w:val="000000"/>
                <w:kern w:val="0"/>
                <w:sz w:val="18"/>
                <w:szCs w:val="18"/>
              </w:rPr>
            </w:pPr>
            <w:r>
              <w:rPr>
                <w:rFonts w:ascii="宋体" w:hAnsi="宋体" w:eastAsia="宋体" w:cs="Times New Roman"/>
                <w:color w:val="000000"/>
                <w:kern w:val="0"/>
                <w:sz w:val="18"/>
                <w:szCs w:val="18"/>
              </w:rPr>
              <w:t>　</w:t>
            </w:r>
          </w:p>
        </w:tc>
      </w:tr>
      <w:tr>
        <w:tblPrEx>
          <w:tblCellMar>
            <w:top w:w="0" w:type="dxa"/>
            <w:left w:w="108" w:type="dxa"/>
            <w:bottom w:w="0" w:type="dxa"/>
            <w:right w:w="108" w:type="dxa"/>
          </w:tblCellMar>
        </w:tblPrEx>
        <w:trPr>
          <w:trHeight w:val="891"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ascii="宋体" w:hAnsi="宋体" w:eastAsia="宋体" w:cs="Times New Roman"/>
                <w:color w:val="000000"/>
                <w:kern w:val="0"/>
                <w:sz w:val="18"/>
                <w:szCs w:val="18"/>
              </w:rPr>
              <w:t>20</w:t>
            </w:r>
          </w:p>
        </w:tc>
        <w:tc>
          <w:tcPr>
            <w:tcW w:w="1115" w:type="dxa"/>
            <w:vMerge w:val="continue"/>
            <w:tcBorders>
              <w:left w:val="single" w:color="auto" w:sz="4" w:space="0"/>
              <w:bottom w:val="single" w:color="auto" w:sz="4" w:space="0"/>
              <w:right w:val="single" w:color="auto" w:sz="4" w:space="0"/>
            </w:tcBorders>
            <w:vAlign w:val="center"/>
          </w:tcPr>
          <w:p>
            <w:pPr>
              <w:widowControl/>
              <w:adjustRightInd/>
              <w:snapToGrid/>
              <w:spacing w:line="360" w:lineRule="auto"/>
              <w:jc w:val="left"/>
              <w:rPr>
                <w:rFonts w:ascii="宋体" w:hAnsi="宋体" w:eastAsia="宋体" w:cs="Times New Roman"/>
                <w:color w:val="000000"/>
                <w:kern w:val="0"/>
                <w:sz w:val="18"/>
                <w:szCs w:val="18"/>
              </w:rPr>
            </w:pPr>
          </w:p>
        </w:tc>
        <w:tc>
          <w:tcPr>
            <w:tcW w:w="3046" w:type="dxa"/>
            <w:tcBorders>
              <w:top w:val="single" w:color="auto" w:sz="4" w:space="0"/>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color w:val="000000"/>
                <w:kern w:val="0"/>
                <w:sz w:val="18"/>
                <w:szCs w:val="18"/>
              </w:rPr>
            </w:pPr>
            <w:r>
              <w:rPr>
                <w:rFonts w:ascii="宋体" w:hAnsi="宋体" w:eastAsia="宋体" w:cs="Times New Roman"/>
                <w:color w:val="000000"/>
                <w:kern w:val="0"/>
                <w:sz w:val="18"/>
                <w:szCs w:val="18"/>
              </w:rPr>
              <w:t>遇重大事件和突发事件，积极主动配合甲方开展各项相关工作</w:t>
            </w:r>
          </w:p>
        </w:tc>
        <w:tc>
          <w:tcPr>
            <w:tcW w:w="541" w:type="dxa"/>
            <w:vMerge w:val="continue"/>
            <w:tcBorders>
              <w:left w:val="single" w:color="auto" w:sz="4" w:space="0"/>
              <w:bottom w:val="single" w:color="auto" w:sz="4" w:space="0"/>
              <w:right w:val="single" w:color="auto" w:sz="4" w:space="0"/>
            </w:tcBorders>
            <w:vAlign w:val="center"/>
          </w:tcPr>
          <w:p>
            <w:pPr>
              <w:widowControl/>
              <w:adjustRightInd/>
              <w:snapToGrid/>
              <w:spacing w:line="360" w:lineRule="auto"/>
              <w:jc w:val="left"/>
              <w:rPr>
                <w:rFonts w:ascii="宋体" w:hAnsi="宋体" w:eastAsia="宋体" w:cs="Times New Roman"/>
                <w:color w:val="000000"/>
                <w:kern w:val="0"/>
                <w:sz w:val="18"/>
                <w:szCs w:val="18"/>
              </w:rPr>
            </w:pPr>
          </w:p>
        </w:tc>
        <w:tc>
          <w:tcPr>
            <w:tcW w:w="2488" w:type="dxa"/>
            <w:tcBorders>
              <w:top w:val="single" w:color="auto" w:sz="4" w:space="0"/>
              <w:left w:val="nil"/>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ascii="宋体" w:hAnsi="宋体" w:eastAsia="宋体" w:cs="Times New Roman"/>
                <w:color w:val="000000"/>
                <w:kern w:val="0"/>
                <w:sz w:val="18"/>
                <w:szCs w:val="18"/>
              </w:rPr>
              <w:t>未按要求执行每次扣5分</w:t>
            </w:r>
          </w:p>
        </w:tc>
        <w:tc>
          <w:tcPr>
            <w:tcW w:w="1012" w:type="dxa"/>
            <w:vMerge w:val="continue"/>
            <w:tcBorders>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color w:val="000000"/>
                <w:kern w:val="0"/>
                <w:sz w:val="18"/>
                <w:szCs w:val="18"/>
              </w:rPr>
            </w:pPr>
          </w:p>
        </w:tc>
        <w:tc>
          <w:tcPr>
            <w:tcW w:w="1773" w:type="dxa"/>
            <w:tcBorders>
              <w:top w:val="single" w:color="auto" w:sz="4" w:space="0"/>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color w:val="000000"/>
                <w:kern w:val="0"/>
                <w:sz w:val="18"/>
                <w:szCs w:val="18"/>
              </w:rPr>
            </w:pPr>
            <w:r>
              <w:rPr>
                <w:rFonts w:ascii="宋体" w:hAnsi="宋体" w:eastAsia="宋体" w:cs="Times New Roman"/>
                <w:color w:val="000000"/>
                <w:kern w:val="0"/>
                <w:sz w:val="18"/>
                <w:szCs w:val="18"/>
              </w:rPr>
              <w:t>　</w:t>
            </w:r>
          </w:p>
        </w:tc>
      </w:tr>
      <w:tr>
        <w:tblPrEx>
          <w:tblCellMar>
            <w:top w:w="0" w:type="dxa"/>
            <w:left w:w="108" w:type="dxa"/>
            <w:bottom w:w="0" w:type="dxa"/>
            <w:right w:w="108" w:type="dxa"/>
          </w:tblCellMar>
        </w:tblPrEx>
        <w:trPr>
          <w:trHeight w:val="1806"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snapToGrid/>
              <w:spacing w:line="360" w:lineRule="auto"/>
              <w:jc w:val="center"/>
              <w:rPr>
                <w:rFonts w:hint="default" w:ascii="宋体" w:hAnsi="宋体" w:eastAsia="宋体" w:cs="Times New Roman"/>
                <w:color w:val="000000"/>
                <w:kern w:val="0"/>
                <w:sz w:val="18"/>
                <w:szCs w:val="18"/>
                <w:lang w:val="en-US" w:eastAsia="zh-CN" w:bidi="ar-SA"/>
              </w:rPr>
            </w:pPr>
            <w:r>
              <w:rPr>
                <w:rFonts w:hint="eastAsia" w:ascii="宋体" w:hAnsi="宋体" w:eastAsia="宋体" w:cs="Times New Roman"/>
                <w:color w:val="000000"/>
                <w:kern w:val="0"/>
                <w:sz w:val="18"/>
                <w:szCs w:val="18"/>
                <w:lang w:val="en-US" w:eastAsia="zh-CN"/>
              </w:rPr>
              <w:t>21</w:t>
            </w:r>
          </w:p>
        </w:tc>
        <w:tc>
          <w:tcPr>
            <w:tcW w:w="1115" w:type="dxa"/>
            <w:tcBorders>
              <w:left w:val="single" w:color="auto" w:sz="4" w:space="0"/>
              <w:bottom w:val="single" w:color="auto" w:sz="4" w:space="0"/>
              <w:right w:val="single" w:color="auto" w:sz="4" w:space="0"/>
            </w:tcBorders>
            <w:vAlign w:val="center"/>
          </w:tcPr>
          <w:p>
            <w:pPr>
              <w:widowControl/>
              <w:adjustRightInd/>
              <w:snapToGrid/>
              <w:spacing w:line="360" w:lineRule="auto"/>
              <w:jc w:val="center"/>
              <w:rPr>
                <w:rFonts w:hint="eastAsia" w:ascii="宋体" w:hAnsi="宋体" w:eastAsia="宋体" w:cs="Times New Roman"/>
                <w:color w:val="000000"/>
                <w:kern w:val="0"/>
                <w:sz w:val="18"/>
                <w:szCs w:val="18"/>
                <w:lang w:val="en-US" w:eastAsia="zh-CN"/>
              </w:rPr>
            </w:pPr>
            <w:r>
              <w:rPr>
                <w:rFonts w:hint="eastAsia" w:ascii="宋体" w:hAnsi="宋体" w:eastAsia="宋体" w:cs="Times New Roman"/>
                <w:color w:val="000000"/>
                <w:kern w:val="0"/>
                <w:sz w:val="18"/>
                <w:szCs w:val="18"/>
                <w:lang w:val="en-US" w:eastAsia="zh-CN"/>
              </w:rPr>
              <w:t>服务</w:t>
            </w:r>
          </w:p>
          <w:p>
            <w:pPr>
              <w:widowControl/>
              <w:adjustRightInd/>
              <w:snapToGrid/>
              <w:spacing w:line="360" w:lineRule="auto"/>
              <w:jc w:val="center"/>
              <w:rPr>
                <w:rFonts w:hint="eastAsia" w:ascii="宋体" w:hAnsi="宋体" w:eastAsia="宋体" w:cs="Times New Roman"/>
                <w:color w:val="000000"/>
                <w:kern w:val="0"/>
                <w:sz w:val="18"/>
                <w:szCs w:val="18"/>
                <w:lang w:val="en-US" w:eastAsia="zh-CN" w:bidi="ar-SA"/>
              </w:rPr>
            </w:pPr>
            <w:r>
              <w:rPr>
                <w:rFonts w:hint="eastAsia" w:ascii="宋体" w:hAnsi="宋体" w:eastAsia="宋体" w:cs="Times New Roman"/>
                <w:color w:val="000000"/>
                <w:kern w:val="0"/>
                <w:sz w:val="18"/>
                <w:szCs w:val="18"/>
                <w:lang w:val="en-US" w:eastAsia="zh-CN"/>
              </w:rPr>
              <w:t>满意度</w:t>
            </w:r>
          </w:p>
        </w:tc>
        <w:tc>
          <w:tcPr>
            <w:tcW w:w="3046" w:type="dxa"/>
            <w:tcBorders>
              <w:top w:val="single" w:color="auto" w:sz="4" w:space="0"/>
              <w:left w:val="nil"/>
              <w:bottom w:val="single" w:color="auto" w:sz="4" w:space="0"/>
              <w:right w:val="single" w:color="auto" w:sz="4" w:space="0"/>
            </w:tcBorders>
            <w:shd w:val="clear" w:color="auto" w:fill="auto"/>
            <w:vAlign w:val="center"/>
          </w:tcPr>
          <w:p>
            <w:pPr>
              <w:widowControl/>
              <w:adjustRightInd/>
              <w:snapToGrid/>
              <w:spacing w:line="240" w:lineRule="auto"/>
              <w:jc w:val="left"/>
              <w:rPr>
                <w:rFonts w:hint="eastAsia" w:ascii="宋体" w:hAnsi="宋体" w:eastAsia="宋体" w:cs="宋体"/>
                <w:kern w:val="0"/>
                <w:sz w:val="18"/>
                <w:szCs w:val="18"/>
                <w:lang w:val="en-US" w:eastAsia="zh-CN" w:bidi="ar-SA"/>
              </w:rPr>
            </w:pPr>
            <w:r>
              <w:rPr>
                <w:rFonts w:hint="eastAsia" w:ascii="宋体" w:hAnsi="宋体" w:eastAsia="宋体" w:cs="宋体"/>
                <w:kern w:val="0"/>
                <w:sz w:val="18"/>
                <w:szCs w:val="18"/>
                <w:lang w:eastAsia="zh-CN"/>
              </w:rPr>
              <w:t>被服务对象对服务结果的评价</w:t>
            </w:r>
          </w:p>
        </w:tc>
        <w:tc>
          <w:tcPr>
            <w:tcW w:w="541" w:type="dxa"/>
            <w:tcBorders>
              <w:left w:val="single" w:color="auto" w:sz="4" w:space="0"/>
              <w:bottom w:val="single" w:color="auto" w:sz="4" w:space="0"/>
              <w:right w:val="single" w:color="auto" w:sz="4" w:space="0"/>
            </w:tcBorders>
            <w:vAlign w:val="center"/>
          </w:tcPr>
          <w:p>
            <w:pPr>
              <w:widowControl/>
              <w:adjustRightInd/>
              <w:snapToGrid/>
              <w:spacing w:line="240" w:lineRule="auto"/>
              <w:jc w:val="left"/>
              <w:rPr>
                <w:rFonts w:hint="default" w:ascii="Times New Roman" w:hAnsi="Times New Roman" w:eastAsia="宋体" w:cs="Times New Roman"/>
                <w:kern w:val="2"/>
                <w:sz w:val="18"/>
                <w:szCs w:val="18"/>
                <w:lang w:val="en-US" w:eastAsia="zh-CN" w:bidi="ar-SA"/>
              </w:rPr>
            </w:pPr>
          </w:p>
        </w:tc>
        <w:tc>
          <w:tcPr>
            <w:tcW w:w="2488" w:type="dxa"/>
            <w:tcBorders>
              <w:top w:val="single" w:color="auto" w:sz="4" w:space="0"/>
              <w:left w:val="nil"/>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lang w:val="en-US" w:eastAsia="zh-CN" w:bidi="ar-SA"/>
              </w:rPr>
            </w:pPr>
            <w:r>
              <w:rPr>
                <w:rFonts w:hint="eastAsia" w:ascii="Times New Roman" w:hAnsi="Times New Roman" w:eastAsia="宋体" w:cs="Times New Roman"/>
                <w:sz w:val="18"/>
                <w:szCs w:val="18"/>
                <w:lang w:eastAsia="zh-CN"/>
              </w:rPr>
              <w:t>每一次不满意扣</w:t>
            </w:r>
            <w:r>
              <w:rPr>
                <w:rFonts w:hint="eastAsia" w:ascii="Times New Roman" w:hAnsi="Times New Roman" w:eastAsia="宋体" w:cs="Times New Roman"/>
                <w:sz w:val="18"/>
                <w:szCs w:val="18"/>
                <w:lang w:val="en-US" w:eastAsia="zh-CN"/>
              </w:rPr>
              <w:t>1分</w:t>
            </w:r>
          </w:p>
        </w:tc>
        <w:tc>
          <w:tcPr>
            <w:tcW w:w="1012" w:type="dxa"/>
            <w:tcBorders>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color w:val="000000"/>
                <w:kern w:val="0"/>
                <w:sz w:val="18"/>
                <w:szCs w:val="18"/>
                <w:lang w:val="en-US" w:eastAsia="zh-CN" w:bidi="ar-SA"/>
              </w:rPr>
            </w:pPr>
          </w:p>
        </w:tc>
        <w:tc>
          <w:tcPr>
            <w:tcW w:w="1773" w:type="dxa"/>
            <w:tcBorders>
              <w:top w:val="single" w:color="auto" w:sz="4" w:space="0"/>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color w:val="000000"/>
                <w:kern w:val="0"/>
                <w:sz w:val="18"/>
                <w:szCs w:val="18"/>
                <w:lang w:val="en-US" w:eastAsia="zh-CN" w:bidi="ar-SA"/>
              </w:rPr>
            </w:pPr>
          </w:p>
        </w:tc>
      </w:tr>
      <w:tr>
        <w:tblPrEx>
          <w:tblCellMar>
            <w:top w:w="0" w:type="dxa"/>
            <w:left w:w="108" w:type="dxa"/>
            <w:bottom w:w="0" w:type="dxa"/>
            <w:right w:w="108" w:type="dxa"/>
          </w:tblCellMar>
        </w:tblPrEx>
        <w:trPr>
          <w:trHeight w:val="491" w:hRule="atLeast"/>
          <w:jc w:val="center"/>
        </w:trPr>
        <w:tc>
          <w:tcPr>
            <w:tcW w:w="7912"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color w:val="000000"/>
                <w:kern w:val="0"/>
                <w:sz w:val="18"/>
                <w:szCs w:val="18"/>
              </w:rPr>
            </w:pPr>
            <w:r>
              <w:rPr>
                <w:rFonts w:hint="eastAsia" w:ascii="宋体" w:hAnsi="宋体" w:eastAsia="宋体" w:cs="Times New Roman"/>
                <w:color w:val="000000"/>
                <w:kern w:val="0"/>
                <w:sz w:val="18"/>
                <w:szCs w:val="18"/>
              </w:rPr>
              <w:t>技术</w:t>
            </w:r>
            <w:r>
              <w:rPr>
                <w:rFonts w:ascii="宋体" w:hAnsi="宋体" w:eastAsia="宋体" w:cs="Times New Roman"/>
                <w:color w:val="000000"/>
                <w:kern w:val="0"/>
                <w:sz w:val="18"/>
                <w:szCs w:val="18"/>
              </w:rPr>
              <w:t>支持考核得分</w:t>
            </w:r>
          </w:p>
        </w:tc>
        <w:tc>
          <w:tcPr>
            <w:tcW w:w="1012" w:type="dxa"/>
            <w:tcBorders>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color w:val="000000"/>
                <w:kern w:val="0"/>
                <w:sz w:val="18"/>
                <w:szCs w:val="18"/>
              </w:rPr>
            </w:pPr>
          </w:p>
        </w:tc>
        <w:tc>
          <w:tcPr>
            <w:tcW w:w="1773" w:type="dxa"/>
            <w:tcBorders>
              <w:top w:val="single" w:color="auto" w:sz="4" w:space="0"/>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color w:val="000000"/>
                <w:kern w:val="0"/>
                <w:sz w:val="18"/>
                <w:szCs w:val="18"/>
              </w:rPr>
            </w:pPr>
          </w:p>
        </w:tc>
      </w:tr>
      <w:tr>
        <w:tblPrEx>
          <w:tblCellMar>
            <w:top w:w="0" w:type="dxa"/>
            <w:left w:w="108" w:type="dxa"/>
            <w:bottom w:w="0" w:type="dxa"/>
            <w:right w:w="108" w:type="dxa"/>
          </w:tblCellMar>
        </w:tblPrEx>
        <w:trPr>
          <w:trHeight w:val="1027" w:hRule="atLeast"/>
          <w:jc w:val="center"/>
        </w:trPr>
        <w:tc>
          <w:tcPr>
            <w:tcW w:w="10697" w:type="dxa"/>
            <w:gridSpan w:val="7"/>
            <w:tcBorders>
              <w:top w:val="single" w:color="auto" w:sz="4" w:space="0"/>
            </w:tcBorders>
            <w:shd w:val="clear" w:color="auto" w:fill="auto"/>
            <w:vAlign w:val="center"/>
          </w:tcPr>
          <w:p>
            <w:pPr>
              <w:widowControl/>
              <w:adjustRightInd/>
              <w:snapToGrid/>
              <w:spacing w:line="360" w:lineRule="auto"/>
              <w:jc w:val="left"/>
              <w:rPr>
                <w:rFonts w:ascii="宋体" w:hAnsi="宋体" w:eastAsia="宋体" w:cs="Times New Roman"/>
                <w:color w:val="000000"/>
                <w:kern w:val="0"/>
                <w:sz w:val="18"/>
                <w:szCs w:val="18"/>
              </w:rPr>
            </w:pPr>
            <w:r>
              <w:rPr>
                <w:rFonts w:ascii="宋体" w:hAnsi="宋体" w:eastAsia="宋体" w:cs="Times New Roman"/>
                <w:color w:val="000000"/>
                <w:kern w:val="0"/>
                <w:sz w:val="18"/>
                <w:szCs w:val="18"/>
              </w:rPr>
              <w:t>考核人员：                                            时间：</w:t>
            </w:r>
          </w:p>
        </w:tc>
      </w:tr>
    </w:tbl>
    <w:p>
      <w:pPr>
        <w:keepNext/>
        <w:keepLines/>
        <w:widowControl w:val="0"/>
        <w:spacing w:before="468" w:line="372" w:lineRule="auto"/>
        <w:jc w:val="both"/>
        <w:outlineLvl w:val="3"/>
        <w:rPr>
          <w:rFonts w:ascii="仿宋" w:hAnsi="仿宋" w:eastAsia="仿宋" w:cs="Times New Roman"/>
          <w:b/>
          <w:kern w:val="0"/>
          <w:sz w:val="32"/>
          <w:szCs w:val="20"/>
          <w:u w:val="single"/>
          <w:lang w:val="en-US" w:eastAsia="zh-CN" w:bidi="ar-SA"/>
        </w:rPr>
      </w:pPr>
      <w:r>
        <w:rPr>
          <w:rFonts w:hint="eastAsia" w:ascii="仿宋" w:hAnsi="仿宋" w:eastAsia="仿宋" w:cs="Times New Roman"/>
          <w:b/>
          <w:kern w:val="0"/>
          <w:sz w:val="32"/>
          <w:szCs w:val="20"/>
          <w:u w:val="single"/>
          <w:lang w:val="en-US" w:eastAsia="zh-CN" w:bidi="ar-SA"/>
        </w:rPr>
        <w:t>附件5 再生水利用项目季度考核评分表</w:t>
      </w:r>
    </w:p>
    <w:p>
      <w:pPr>
        <w:widowControl w:val="0"/>
        <w:autoSpaceDE w:val="0"/>
        <w:autoSpaceDN w:val="0"/>
        <w:adjustRightInd w:val="0"/>
        <w:ind w:firstLine="420"/>
        <w:jc w:val="left"/>
        <w:rPr>
          <w:rFonts w:ascii="宋体" w:hAnsi="Times New Roman" w:eastAsia="宋体" w:cs="Times New Roman"/>
          <w:kern w:val="2"/>
          <w:sz w:val="24"/>
          <w:szCs w:val="24"/>
          <w:lang w:val="en-US" w:eastAsia="zh-CN" w:bidi="ar-SA"/>
        </w:rPr>
      </w:pPr>
    </w:p>
    <w:p>
      <w:pPr>
        <w:widowControl w:val="0"/>
        <w:autoSpaceDE w:val="0"/>
        <w:autoSpaceDN w:val="0"/>
        <w:adjustRightInd w:val="0"/>
        <w:ind w:firstLine="420"/>
        <w:jc w:val="left"/>
        <w:rPr>
          <w:rFonts w:ascii="宋体" w:hAnsi="Times New Roman" w:eastAsia="宋体" w:cs="Times New Roman"/>
          <w:kern w:val="2"/>
          <w:sz w:val="24"/>
          <w:szCs w:val="24"/>
          <w:lang w:val="en-US" w:eastAsia="zh-CN" w:bidi="ar-SA"/>
        </w:rPr>
      </w:pPr>
    </w:p>
    <w:p>
      <w:pPr>
        <w:widowControl w:val="0"/>
        <w:autoSpaceDE w:val="0"/>
        <w:autoSpaceDN w:val="0"/>
        <w:adjustRightInd w:val="0"/>
        <w:ind w:firstLine="420"/>
        <w:jc w:val="left"/>
        <w:rPr>
          <w:rFonts w:ascii="宋体" w:hAnsi="Times New Roman" w:eastAsia="宋体" w:cs="Times New Roman"/>
          <w:kern w:val="2"/>
          <w:sz w:val="24"/>
          <w:szCs w:val="24"/>
          <w:lang w:val="en-US" w:eastAsia="zh-CN" w:bidi="ar-SA"/>
        </w:rPr>
      </w:pPr>
    </w:p>
    <w:p>
      <w:pPr>
        <w:widowControl w:val="0"/>
        <w:autoSpaceDE w:val="0"/>
        <w:autoSpaceDN w:val="0"/>
        <w:adjustRightInd w:val="0"/>
        <w:ind w:firstLine="420"/>
        <w:jc w:val="left"/>
        <w:rPr>
          <w:rFonts w:ascii="宋体" w:hAnsi="Times New Roman" w:eastAsia="宋体" w:cs="Times New Roman"/>
          <w:kern w:val="2"/>
          <w:sz w:val="24"/>
          <w:szCs w:val="24"/>
          <w:lang w:val="en-US" w:eastAsia="zh-CN" w:bidi="ar-SA"/>
        </w:rPr>
      </w:pPr>
    </w:p>
    <w:p>
      <w:pPr>
        <w:adjustRightInd/>
        <w:snapToGrid/>
        <w:spacing w:line="240" w:lineRule="auto"/>
        <w:rPr>
          <w:rFonts w:ascii="Times New Roman" w:hAnsi="Times New Roman" w:eastAsia="宋体" w:cs="Times New Roman"/>
          <w:sz w:val="21"/>
          <w:szCs w:val="24"/>
        </w:rPr>
      </w:pPr>
    </w:p>
    <w:tbl>
      <w:tblPr>
        <w:tblStyle w:val="19"/>
        <w:tblpPr w:leftFromText="180" w:rightFromText="180" w:vertAnchor="page" w:horzAnchor="page" w:tblpX="1817" w:tblpY="4288"/>
        <w:tblW w:w="9270" w:type="dxa"/>
        <w:jc w:val="center"/>
        <w:tblLayout w:type="fixed"/>
        <w:tblCellMar>
          <w:top w:w="0" w:type="dxa"/>
          <w:left w:w="108" w:type="dxa"/>
          <w:bottom w:w="0" w:type="dxa"/>
          <w:right w:w="108" w:type="dxa"/>
        </w:tblCellMar>
      </w:tblPr>
      <w:tblGrid>
        <w:gridCol w:w="766"/>
        <w:gridCol w:w="1697"/>
        <w:gridCol w:w="874"/>
        <w:gridCol w:w="874"/>
        <w:gridCol w:w="150"/>
        <w:gridCol w:w="2443"/>
        <w:gridCol w:w="689"/>
        <w:gridCol w:w="1777"/>
      </w:tblGrid>
      <w:tr>
        <w:tblPrEx>
          <w:tblCellMar>
            <w:top w:w="0" w:type="dxa"/>
            <w:left w:w="108" w:type="dxa"/>
            <w:bottom w:w="0" w:type="dxa"/>
            <w:right w:w="108" w:type="dxa"/>
          </w:tblCellMar>
        </w:tblPrEx>
        <w:trPr>
          <w:trHeight w:val="480" w:hRule="atLeast"/>
          <w:jc w:val="center"/>
        </w:trPr>
        <w:tc>
          <w:tcPr>
            <w:tcW w:w="9270" w:type="dxa"/>
            <w:gridSpan w:val="8"/>
            <w:tcBorders>
              <w:top w:val="nil"/>
              <w:left w:val="nil"/>
              <w:bottom w:val="nil"/>
              <w:right w:val="nil"/>
            </w:tcBorders>
            <w:shd w:val="clear" w:color="auto" w:fill="auto"/>
            <w:vAlign w:val="center"/>
          </w:tcPr>
          <w:p>
            <w:pPr>
              <w:adjustRightInd/>
              <w:snapToGrid/>
              <w:spacing w:line="240" w:lineRule="auto"/>
              <w:jc w:val="center"/>
              <w:rPr>
                <w:rFonts w:ascii="仿宋_GB2312" w:hAnsi="Times New Roman" w:eastAsia="仿宋_GB2312" w:cs="Times New Roman"/>
                <w:b/>
                <w:sz w:val="28"/>
                <w:szCs w:val="28"/>
              </w:rPr>
            </w:pPr>
            <w:r>
              <w:rPr>
                <w:rFonts w:hint="eastAsia" w:ascii="仿宋_GB2312" w:hAnsi="Times New Roman" w:eastAsia="仿宋_GB2312" w:cs="Times New Roman"/>
                <w:b/>
                <w:sz w:val="28"/>
                <w:szCs w:val="28"/>
              </w:rPr>
              <w:t>2024年园博园再生水利用项目季度考核评分表</w:t>
            </w:r>
          </w:p>
        </w:tc>
      </w:tr>
      <w:tr>
        <w:tblPrEx>
          <w:tblCellMar>
            <w:top w:w="0" w:type="dxa"/>
            <w:left w:w="108" w:type="dxa"/>
            <w:bottom w:w="0" w:type="dxa"/>
            <w:right w:w="108" w:type="dxa"/>
          </w:tblCellMar>
        </w:tblPrEx>
        <w:trPr>
          <w:trHeight w:val="495" w:hRule="atLeast"/>
          <w:jc w:val="center"/>
        </w:trPr>
        <w:tc>
          <w:tcPr>
            <w:tcW w:w="9270" w:type="dxa"/>
            <w:gridSpan w:val="8"/>
            <w:tcBorders>
              <w:top w:val="nil"/>
              <w:left w:val="nil"/>
              <w:bottom w:val="nil"/>
              <w:right w:val="nil"/>
            </w:tcBorders>
            <w:shd w:val="clear" w:color="auto" w:fill="auto"/>
            <w:vAlign w:val="center"/>
          </w:tcPr>
          <w:p>
            <w:pPr>
              <w:adjustRightInd/>
              <w:snapToGrid/>
              <w:spacing w:line="240" w:lineRule="auto"/>
              <w:jc w:val="center"/>
              <w:rPr>
                <w:rFonts w:ascii="仿宋_GB2312" w:hAnsi="Times New Roman" w:eastAsia="仿宋_GB2312" w:cs="Times New Roman"/>
                <w:b/>
                <w:sz w:val="28"/>
                <w:szCs w:val="28"/>
              </w:rPr>
            </w:pPr>
          </w:p>
        </w:tc>
      </w:tr>
      <w:tr>
        <w:tblPrEx>
          <w:tblCellMar>
            <w:top w:w="0" w:type="dxa"/>
            <w:left w:w="108" w:type="dxa"/>
            <w:bottom w:w="0" w:type="dxa"/>
            <w:right w:w="108" w:type="dxa"/>
          </w:tblCellMar>
        </w:tblPrEx>
        <w:trPr>
          <w:trHeight w:val="270" w:hRule="atLeast"/>
          <w:jc w:val="center"/>
        </w:trPr>
        <w:tc>
          <w:tcPr>
            <w:tcW w:w="766" w:type="dxa"/>
            <w:tcBorders>
              <w:top w:val="nil"/>
              <w:left w:val="nil"/>
              <w:bottom w:val="nil"/>
              <w:right w:val="nil"/>
            </w:tcBorders>
            <w:shd w:val="clear" w:color="auto" w:fill="auto"/>
            <w:vAlign w:val="center"/>
          </w:tcPr>
          <w:p>
            <w:pPr>
              <w:widowControl/>
              <w:adjustRightInd/>
              <w:snapToGrid/>
              <w:spacing w:line="360" w:lineRule="auto"/>
              <w:jc w:val="center"/>
              <w:rPr>
                <w:rFonts w:ascii="宋体" w:hAnsi="宋体" w:eastAsia="宋体" w:cs="Times New Roman"/>
                <w:kern w:val="0"/>
                <w:sz w:val="28"/>
                <w:szCs w:val="28"/>
              </w:rPr>
            </w:pPr>
          </w:p>
        </w:tc>
        <w:tc>
          <w:tcPr>
            <w:tcW w:w="1697" w:type="dxa"/>
            <w:tcBorders>
              <w:top w:val="nil"/>
              <w:left w:val="nil"/>
              <w:bottom w:val="nil"/>
              <w:right w:val="nil"/>
            </w:tcBorders>
            <w:shd w:val="clear" w:color="auto" w:fill="auto"/>
            <w:vAlign w:val="center"/>
          </w:tcPr>
          <w:p>
            <w:pPr>
              <w:widowControl/>
              <w:adjustRightInd/>
              <w:snapToGrid/>
              <w:spacing w:line="360" w:lineRule="auto"/>
              <w:jc w:val="center"/>
              <w:rPr>
                <w:rFonts w:ascii="宋体" w:hAnsi="宋体" w:eastAsia="宋体" w:cs="Times New Roman"/>
                <w:kern w:val="0"/>
                <w:sz w:val="28"/>
                <w:szCs w:val="28"/>
              </w:rPr>
            </w:pPr>
          </w:p>
        </w:tc>
        <w:tc>
          <w:tcPr>
            <w:tcW w:w="874" w:type="dxa"/>
            <w:tcBorders>
              <w:top w:val="nil"/>
              <w:left w:val="nil"/>
              <w:bottom w:val="nil"/>
              <w:right w:val="nil"/>
            </w:tcBorders>
            <w:shd w:val="clear" w:color="auto" w:fill="auto"/>
            <w:vAlign w:val="center"/>
          </w:tcPr>
          <w:p>
            <w:pPr>
              <w:widowControl/>
              <w:adjustRightInd/>
              <w:snapToGrid/>
              <w:spacing w:line="360" w:lineRule="auto"/>
              <w:jc w:val="center"/>
              <w:rPr>
                <w:rFonts w:ascii="宋体" w:hAnsi="宋体" w:eastAsia="宋体" w:cs="Times New Roman"/>
                <w:kern w:val="0"/>
                <w:sz w:val="28"/>
                <w:szCs w:val="28"/>
              </w:rPr>
            </w:pPr>
          </w:p>
        </w:tc>
        <w:tc>
          <w:tcPr>
            <w:tcW w:w="874" w:type="dxa"/>
            <w:tcBorders>
              <w:top w:val="nil"/>
              <w:left w:val="nil"/>
              <w:bottom w:val="nil"/>
              <w:right w:val="nil"/>
            </w:tcBorders>
            <w:shd w:val="clear" w:color="auto" w:fill="auto"/>
            <w:vAlign w:val="center"/>
          </w:tcPr>
          <w:p>
            <w:pPr>
              <w:widowControl/>
              <w:adjustRightInd/>
              <w:snapToGrid/>
              <w:spacing w:line="360" w:lineRule="auto"/>
              <w:jc w:val="center"/>
              <w:rPr>
                <w:rFonts w:ascii="宋体" w:hAnsi="宋体" w:eastAsia="宋体" w:cs="Times New Roman"/>
                <w:kern w:val="0"/>
                <w:sz w:val="28"/>
                <w:szCs w:val="28"/>
              </w:rPr>
            </w:pPr>
          </w:p>
        </w:tc>
        <w:tc>
          <w:tcPr>
            <w:tcW w:w="3282" w:type="dxa"/>
            <w:gridSpan w:val="3"/>
            <w:tcBorders>
              <w:top w:val="nil"/>
              <w:left w:val="nil"/>
              <w:bottom w:val="nil"/>
              <w:right w:val="nil"/>
            </w:tcBorders>
            <w:shd w:val="clear" w:color="auto" w:fill="auto"/>
            <w:vAlign w:val="center"/>
          </w:tcPr>
          <w:p>
            <w:pPr>
              <w:widowControl/>
              <w:adjustRightInd/>
              <w:snapToGrid/>
              <w:spacing w:line="360" w:lineRule="auto"/>
              <w:jc w:val="center"/>
              <w:rPr>
                <w:rFonts w:ascii="宋体" w:hAnsi="宋体" w:eastAsia="宋体" w:cs="Times New Roman"/>
                <w:kern w:val="0"/>
                <w:sz w:val="28"/>
                <w:szCs w:val="28"/>
              </w:rPr>
            </w:pPr>
          </w:p>
        </w:tc>
        <w:tc>
          <w:tcPr>
            <w:tcW w:w="1777" w:type="dxa"/>
            <w:tcBorders>
              <w:top w:val="nil"/>
              <w:left w:val="nil"/>
              <w:bottom w:val="nil"/>
              <w:right w:val="nil"/>
            </w:tcBorders>
            <w:shd w:val="clear" w:color="auto" w:fill="auto"/>
            <w:vAlign w:val="center"/>
          </w:tcPr>
          <w:p>
            <w:pPr>
              <w:widowControl/>
              <w:adjustRightInd/>
              <w:snapToGrid/>
              <w:spacing w:line="360" w:lineRule="auto"/>
              <w:jc w:val="center"/>
              <w:rPr>
                <w:rFonts w:ascii="宋体" w:hAnsi="宋体" w:eastAsia="宋体" w:cs="Times New Roman"/>
                <w:kern w:val="0"/>
                <w:sz w:val="28"/>
                <w:szCs w:val="28"/>
              </w:rPr>
            </w:pPr>
          </w:p>
        </w:tc>
      </w:tr>
      <w:tr>
        <w:tblPrEx>
          <w:tblCellMar>
            <w:top w:w="0" w:type="dxa"/>
            <w:left w:w="108" w:type="dxa"/>
            <w:bottom w:w="0" w:type="dxa"/>
            <w:right w:w="108" w:type="dxa"/>
          </w:tblCellMar>
        </w:tblPrEx>
        <w:trPr>
          <w:trHeight w:val="495" w:hRule="atLeast"/>
          <w:jc w:val="center"/>
        </w:trPr>
        <w:tc>
          <w:tcPr>
            <w:tcW w:w="9270" w:type="dxa"/>
            <w:gridSpan w:val="8"/>
            <w:tcBorders>
              <w:top w:val="nil"/>
              <w:left w:val="nil"/>
              <w:bottom w:val="single" w:color="auto" w:sz="4" w:space="0"/>
              <w:right w:val="nil"/>
            </w:tcBorders>
            <w:shd w:val="clear" w:color="auto" w:fill="auto"/>
            <w:vAlign w:val="bottom"/>
          </w:tcPr>
          <w:p>
            <w:pPr>
              <w:widowControl/>
              <w:adjustRightInd/>
              <w:snapToGrid/>
              <w:spacing w:line="360" w:lineRule="auto"/>
              <w:jc w:val="right"/>
              <w:rPr>
                <w:rFonts w:ascii="宋体" w:hAnsi="宋体" w:eastAsia="宋体" w:cs="Times New Roman"/>
                <w:kern w:val="0"/>
                <w:sz w:val="28"/>
                <w:szCs w:val="28"/>
              </w:rPr>
            </w:pPr>
            <w:r>
              <w:rPr>
                <w:rFonts w:ascii="宋体" w:hAnsi="宋体" w:eastAsia="宋体" w:cs="Times New Roman"/>
                <w:kern w:val="0"/>
                <w:sz w:val="28"/>
                <w:szCs w:val="28"/>
              </w:rPr>
              <w:t>考核周期：</w:t>
            </w:r>
            <w:r>
              <w:rPr>
                <w:rFonts w:hint="eastAsia" w:ascii="宋体" w:hAnsi="宋体" w:eastAsia="宋体" w:cs="Times New Roman"/>
                <w:kern w:val="0"/>
                <w:sz w:val="28"/>
                <w:szCs w:val="28"/>
              </w:rPr>
              <w:t>2024</w:t>
            </w:r>
            <w:r>
              <w:rPr>
                <w:rFonts w:ascii="宋体" w:hAnsi="宋体" w:eastAsia="宋体" w:cs="Times New Roman"/>
                <w:kern w:val="0"/>
                <w:sz w:val="28"/>
                <w:szCs w:val="28"/>
              </w:rPr>
              <w:t>年第</w:t>
            </w:r>
            <w:r>
              <w:rPr>
                <w:rFonts w:hint="eastAsia" w:ascii="宋体" w:hAnsi="宋体" w:eastAsia="宋体" w:cs="Times New Roman"/>
                <w:kern w:val="0"/>
                <w:sz w:val="28"/>
                <w:szCs w:val="28"/>
              </w:rPr>
              <w:t xml:space="preserve">   季度</w:t>
            </w:r>
          </w:p>
        </w:tc>
      </w:tr>
      <w:tr>
        <w:tblPrEx>
          <w:tblCellMar>
            <w:top w:w="0" w:type="dxa"/>
            <w:left w:w="108" w:type="dxa"/>
            <w:bottom w:w="0" w:type="dxa"/>
            <w:right w:w="108" w:type="dxa"/>
          </w:tblCellMar>
        </w:tblPrEx>
        <w:trPr>
          <w:trHeight w:val="600" w:hRule="atLeast"/>
          <w:jc w:val="center"/>
        </w:trPr>
        <w:tc>
          <w:tcPr>
            <w:tcW w:w="766" w:type="dxa"/>
            <w:tcBorders>
              <w:top w:val="nil"/>
              <w:left w:val="single" w:color="auto" w:sz="4" w:space="0"/>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kern w:val="0"/>
                <w:sz w:val="28"/>
                <w:szCs w:val="28"/>
              </w:rPr>
            </w:pPr>
            <w:r>
              <w:rPr>
                <w:rFonts w:ascii="宋体" w:hAnsi="宋体" w:eastAsia="宋体" w:cs="Times New Roman"/>
                <w:kern w:val="0"/>
                <w:sz w:val="28"/>
                <w:szCs w:val="28"/>
              </w:rPr>
              <w:t>序号</w:t>
            </w:r>
          </w:p>
        </w:tc>
        <w:tc>
          <w:tcPr>
            <w:tcW w:w="1697"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kern w:val="0"/>
                <w:sz w:val="28"/>
                <w:szCs w:val="28"/>
              </w:rPr>
            </w:pPr>
            <w:r>
              <w:rPr>
                <w:rFonts w:ascii="宋体" w:hAnsi="宋体" w:eastAsia="宋体" w:cs="Times New Roman"/>
                <w:kern w:val="0"/>
                <w:sz w:val="28"/>
                <w:szCs w:val="28"/>
              </w:rPr>
              <w:t>考核项目</w:t>
            </w:r>
          </w:p>
        </w:tc>
        <w:tc>
          <w:tcPr>
            <w:tcW w:w="874"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kern w:val="0"/>
                <w:sz w:val="28"/>
                <w:szCs w:val="28"/>
              </w:rPr>
            </w:pPr>
            <w:r>
              <w:rPr>
                <w:rFonts w:ascii="宋体" w:hAnsi="宋体" w:eastAsia="宋体" w:cs="Times New Roman"/>
                <w:kern w:val="0"/>
                <w:sz w:val="28"/>
                <w:szCs w:val="28"/>
              </w:rPr>
              <w:t>分值</w:t>
            </w:r>
          </w:p>
        </w:tc>
        <w:tc>
          <w:tcPr>
            <w:tcW w:w="1024" w:type="dxa"/>
            <w:gridSpan w:val="2"/>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kern w:val="0"/>
                <w:sz w:val="28"/>
                <w:szCs w:val="28"/>
              </w:rPr>
            </w:pPr>
            <w:r>
              <w:rPr>
                <w:rFonts w:ascii="宋体" w:hAnsi="宋体" w:eastAsia="宋体" w:cs="Times New Roman"/>
                <w:kern w:val="0"/>
                <w:sz w:val="28"/>
                <w:szCs w:val="28"/>
              </w:rPr>
              <w:t>得分</w:t>
            </w:r>
          </w:p>
        </w:tc>
        <w:tc>
          <w:tcPr>
            <w:tcW w:w="2443"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kern w:val="0"/>
                <w:sz w:val="28"/>
                <w:szCs w:val="28"/>
              </w:rPr>
            </w:pPr>
            <w:r>
              <w:rPr>
                <w:rFonts w:ascii="宋体" w:hAnsi="宋体" w:eastAsia="宋体" w:cs="Times New Roman"/>
                <w:kern w:val="0"/>
                <w:sz w:val="28"/>
                <w:szCs w:val="28"/>
              </w:rPr>
              <w:t>考核结果</w:t>
            </w:r>
          </w:p>
        </w:tc>
        <w:tc>
          <w:tcPr>
            <w:tcW w:w="2466" w:type="dxa"/>
            <w:gridSpan w:val="2"/>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kern w:val="0"/>
                <w:sz w:val="28"/>
                <w:szCs w:val="28"/>
              </w:rPr>
            </w:pPr>
            <w:r>
              <w:rPr>
                <w:rFonts w:hint="eastAsia" w:ascii="宋体" w:hAnsi="宋体" w:eastAsia="宋体" w:cs="Times New Roman"/>
                <w:kern w:val="0"/>
                <w:sz w:val="28"/>
                <w:szCs w:val="28"/>
              </w:rPr>
              <w:t>扣分及建议</w:t>
            </w:r>
          </w:p>
        </w:tc>
      </w:tr>
      <w:tr>
        <w:tblPrEx>
          <w:tblCellMar>
            <w:top w:w="0" w:type="dxa"/>
            <w:left w:w="108" w:type="dxa"/>
            <w:bottom w:w="0" w:type="dxa"/>
            <w:right w:w="108" w:type="dxa"/>
          </w:tblCellMar>
        </w:tblPrEx>
        <w:trPr>
          <w:trHeight w:val="600" w:hRule="atLeast"/>
          <w:jc w:val="center"/>
        </w:trPr>
        <w:tc>
          <w:tcPr>
            <w:tcW w:w="766" w:type="dxa"/>
            <w:tcBorders>
              <w:top w:val="nil"/>
              <w:left w:val="single" w:color="auto" w:sz="4" w:space="0"/>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kern w:val="0"/>
                <w:sz w:val="28"/>
                <w:szCs w:val="28"/>
              </w:rPr>
            </w:pPr>
            <w:r>
              <w:rPr>
                <w:rFonts w:ascii="宋体" w:hAnsi="宋体" w:eastAsia="宋体" w:cs="Times New Roman"/>
                <w:kern w:val="0"/>
                <w:sz w:val="28"/>
                <w:szCs w:val="28"/>
              </w:rPr>
              <w:t>1</w:t>
            </w:r>
          </w:p>
        </w:tc>
        <w:tc>
          <w:tcPr>
            <w:tcW w:w="1697"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bCs/>
                <w:kern w:val="0"/>
                <w:sz w:val="28"/>
                <w:szCs w:val="28"/>
              </w:rPr>
            </w:pPr>
            <w:r>
              <w:rPr>
                <w:rFonts w:hint="eastAsia" w:ascii="宋体" w:hAnsi="宋体" w:eastAsia="宋体" w:cs="Times New Roman"/>
                <w:bCs/>
                <w:sz w:val="28"/>
                <w:szCs w:val="28"/>
              </w:rPr>
              <w:t>园博园再生水利用</w:t>
            </w:r>
          </w:p>
        </w:tc>
        <w:tc>
          <w:tcPr>
            <w:tcW w:w="874"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kern w:val="0"/>
                <w:sz w:val="28"/>
                <w:szCs w:val="28"/>
              </w:rPr>
            </w:pPr>
            <w:r>
              <w:rPr>
                <w:rFonts w:ascii="宋体" w:hAnsi="宋体" w:eastAsia="宋体" w:cs="Times New Roman"/>
                <w:kern w:val="0"/>
                <w:sz w:val="28"/>
                <w:szCs w:val="28"/>
              </w:rPr>
              <w:t>100</w:t>
            </w:r>
          </w:p>
        </w:tc>
        <w:tc>
          <w:tcPr>
            <w:tcW w:w="1024" w:type="dxa"/>
            <w:gridSpan w:val="2"/>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kern w:val="0"/>
                <w:sz w:val="28"/>
                <w:szCs w:val="28"/>
              </w:rPr>
            </w:pPr>
          </w:p>
        </w:tc>
        <w:tc>
          <w:tcPr>
            <w:tcW w:w="2443" w:type="dxa"/>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kern w:val="0"/>
                <w:sz w:val="28"/>
                <w:szCs w:val="28"/>
              </w:rPr>
            </w:pPr>
            <w:r>
              <w:rPr>
                <w:rFonts w:ascii="宋体" w:hAnsi="宋体" w:eastAsia="宋体" w:cs="Times New Roman"/>
                <w:kern w:val="0"/>
                <w:sz w:val="28"/>
                <w:szCs w:val="28"/>
              </w:rPr>
              <w:sym w:font="Wingdings 2" w:char="00A3"/>
            </w:r>
            <w:r>
              <w:rPr>
                <w:rFonts w:hint="eastAsia" w:ascii="宋体" w:hAnsi="宋体" w:eastAsia="宋体" w:cs="Times New Roman"/>
                <w:kern w:val="0"/>
                <w:sz w:val="28"/>
                <w:szCs w:val="28"/>
              </w:rPr>
              <w:t xml:space="preserve">优秀 </w:t>
            </w:r>
            <w:r>
              <w:rPr>
                <w:rFonts w:ascii="宋体" w:hAnsi="宋体" w:eastAsia="宋体" w:cs="Times New Roman"/>
                <w:kern w:val="0"/>
                <w:sz w:val="28"/>
                <w:szCs w:val="28"/>
              </w:rPr>
              <w:t>□ 合格  □ 不合格</w:t>
            </w:r>
          </w:p>
        </w:tc>
        <w:tc>
          <w:tcPr>
            <w:tcW w:w="2466" w:type="dxa"/>
            <w:gridSpan w:val="2"/>
            <w:tcBorders>
              <w:top w:val="nil"/>
              <w:left w:val="nil"/>
              <w:bottom w:val="single" w:color="auto" w:sz="4" w:space="0"/>
              <w:right w:val="single" w:color="auto" w:sz="4" w:space="0"/>
            </w:tcBorders>
            <w:shd w:val="clear" w:color="auto" w:fill="auto"/>
            <w:vAlign w:val="center"/>
          </w:tcPr>
          <w:p>
            <w:pPr>
              <w:widowControl/>
              <w:adjustRightInd/>
              <w:snapToGrid/>
              <w:spacing w:line="360" w:lineRule="auto"/>
              <w:jc w:val="left"/>
              <w:rPr>
                <w:rFonts w:ascii="宋体" w:hAnsi="宋体" w:eastAsia="宋体" w:cs="Times New Roman"/>
                <w:kern w:val="0"/>
                <w:sz w:val="28"/>
                <w:szCs w:val="28"/>
              </w:rPr>
            </w:pPr>
          </w:p>
        </w:tc>
      </w:tr>
      <w:tr>
        <w:tblPrEx>
          <w:tblCellMar>
            <w:top w:w="0" w:type="dxa"/>
            <w:left w:w="108" w:type="dxa"/>
            <w:bottom w:w="0" w:type="dxa"/>
            <w:right w:w="108" w:type="dxa"/>
          </w:tblCellMar>
        </w:tblPrEx>
        <w:trPr>
          <w:trHeight w:val="600" w:hRule="atLeast"/>
          <w:jc w:val="center"/>
        </w:trPr>
        <w:tc>
          <w:tcPr>
            <w:tcW w:w="4361"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kern w:val="0"/>
                <w:sz w:val="28"/>
                <w:szCs w:val="28"/>
              </w:rPr>
            </w:pPr>
            <w:r>
              <w:rPr>
                <w:rFonts w:ascii="宋体" w:hAnsi="宋体" w:eastAsia="宋体" w:cs="Times New Roman"/>
                <w:kern w:val="0"/>
                <w:sz w:val="28"/>
                <w:szCs w:val="28"/>
              </w:rPr>
              <w:t>管理部门负责人</w:t>
            </w:r>
          </w:p>
        </w:tc>
        <w:tc>
          <w:tcPr>
            <w:tcW w:w="4909" w:type="dxa"/>
            <w:gridSpan w:val="3"/>
            <w:tcBorders>
              <w:top w:val="single" w:color="auto" w:sz="4" w:space="0"/>
              <w:left w:val="nil"/>
              <w:bottom w:val="single" w:color="auto" w:sz="4" w:space="0"/>
              <w:right w:val="single" w:color="000000" w:sz="4" w:space="0"/>
            </w:tcBorders>
            <w:shd w:val="clear" w:color="auto" w:fill="auto"/>
            <w:vAlign w:val="center"/>
          </w:tcPr>
          <w:p>
            <w:pPr>
              <w:widowControl/>
              <w:adjustRightInd/>
              <w:snapToGrid/>
              <w:spacing w:line="360" w:lineRule="auto"/>
              <w:jc w:val="center"/>
              <w:rPr>
                <w:rFonts w:ascii="宋体" w:hAnsi="宋体" w:eastAsia="宋体" w:cs="Times New Roman"/>
                <w:kern w:val="0"/>
                <w:sz w:val="28"/>
                <w:szCs w:val="28"/>
              </w:rPr>
            </w:pPr>
          </w:p>
        </w:tc>
      </w:tr>
      <w:tr>
        <w:tblPrEx>
          <w:tblCellMar>
            <w:top w:w="0" w:type="dxa"/>
            <w:left w:w="108" w:type="dxa"/>
            <w:bottom w:w="0" w:type="dxa"/>
            <w:right w:w="108" w:type="dxa"/>
          </w:tblCellMar>
        </w:tblPrEx>
        <w:trPr>
          <w:trHeight w:val="600" w:hRule="atLeast"/>
          <w:jc w:val="center"/>
        </w:trPr>
        <w:tc>
          <w:tcPr>
            <w:tcW w:w="4361"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kern w:val="0"/>
                <w:sz w:val="28"/>
                <w:szCs w:val="28"/>
              </w:rPr>
            </w:pPr>
            <w:r>
              <w:rPr>
                <w:rFonts w:ascii="宋体" w:hAnsi="宋体" w:eastAsia="宋体" w:cs="Times New Roman"/>
                <w:kern w:val="0"/>
                <w:sz w:val="28"/>
                <w:szCs w:val="28"/>
              </w:rPr>
              <w:t>被考核单位项目负责人</w:t>
            </w:r>
          </w:p>
        </w:tc>
        <w:tc>
          <w:tcPr>
            <w:tcW w:w="4909" w:type="dxa"/>
            <w:gridSpan w:val="3"/>
            <w:tcBorders>
              <w:top w:val="single" w:color="auto" w:sz="4" w:space="0"/>
              <w:left w:val="nil"/>
              <w:bottom w:val="single" w:color="auto" w:sz="4" w:space="0"/>
              <w:right w:val="single" w:color="000000" w:sz="4" w:space="0"/>
            </w:tcBorders>
            <w:shd w:val="clear" w:color="auto" w:fill="auto"/>
            <w:vAlign w:val="center"/>
          </w:tcPr>
          <w:p>
            <w:pPr>
              <w:widowControl/>
              <w:adjustRightInd/>
              <w:snapToGrid/>
              <w:spacing w:line="360" w:lineRule="auto"/>
              <w:jc w:val="center"/>
              <w:rPr>
                <w:rFonts w:ascii="宋体" w:hAnsi="宋体" w:eastAsia="宋体" w:cs="Times New Roman"/>
                <w:kern w:val="0"/>
                <w:sz w:val="28"/>
                <w:szCs w:val="28"/>
              </w:rPr>
            </w:pPr>
          </w:p>
        </w:tc>
      </w:tr>
      <w:tr>
        <w:tblPrEx>
          <w:tblCellMar>
            <w:top w:w="0" w:type="dxa"/>
            <w:left w:w="108" w:type="dxa"/>
            <w:bottom w:w="0" w:type="dxa"/>
            <w:right w:w="108" w:type="dxa"/>
          </w:tblCellMar>
        </w:tblPrEx>
        <w:trPr>
          <w:trHeight w:val="600" w:hRule="atLeast"/>
          <w:jc w:val="center"/>
        </w:trPr>
        <w:tc>
          <w:tcPr>
            <w:tcW w:w="4361"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snapToGrid/>
              <w:spacing w:line="360" w:lineRule="auto"/>
              <w:jc w:val="center"/>
              <w:rPr>
                <w:rFonts w:ascii="宋体" w:hAnsi="宋体" w:eastAsia="宋体" w:cs="Times New Roman"/>
                <w:kern w:val="0"/>
                <w:sz w:val="28"/>
                <w:szCs w:val="28"/>
              </w:rPr>
            </w:pPr>
            <w:r>
              <w:rPr>
                <w:rFonts w:ascii="宋体" w:hAnsi="宋体" w:eastAsia="宋体" w:cs="Times New Roman"/>
                <w:kern w:val="0"/>
                <w:sz w:val="28"/>
                <w:szCs w:val="28"/>
              </w:rPr>
              <w:t>考核时间</w:t>
            </w:r>
          </w:p>
        </w:tc>
        <w:tc>
          <w:tcPr>
            <w:tcW w:w="4909" w:type="dxa"/>
            <w:gridSpan w:val="3"/>
            <w:tcBorders>
              <w:top w:val="single" w:color="auto" w:sz="4" w:space="0"/>
              <w:left w:val="nil"/>
              <w:bottom w:val="single" w:color="auto" w:sz="4" w:space="0"/>
              <w:right w:val="single" w:color="000000" w:sz="4" w:space="0"/>
            </w:tcBorders>
            <w:shd w:val="clear" w:color="auto" w:fill="auto"/>
            <w:vAlign w:val="center"/>
          </w:tcPr>
          <w:p>
            <w:pPr>
              <w:widowControl/>
              <w:adjustRightInd/>
              <w:snapToGrid/>
              <w:spacing w:line="360" w:lineRule="auto"/>
              <w:jc w:val="center"/>
              <w:rPr>
                <w:rFonts w:ascii="宋体" w:hAnsi="宋体" w:eastAsia="宋体" w:cs="Times New Roman"/>
                <w:kern w:val="0"/>
                <w:sz w:val="28"/>
                <w:szCs w:val="28"/>
              </w:rPr>
            </w:pPr>
            <w:r>
              <w:rPr>
                <w:rFonts w:ascii="宋体" w:hAnsi="宋体" w:eastAsia="宋体" w:cs="Times New Roman"/>
                <w:kern w:val="0"/>
                <w:sz w:val="28"/>
                <w:szCs w:val="28"/>
              </w:rPr>
              <w:t>年   月   日</w:t>
            </w:r>
          </w:p>
        </w:tc>
      </w:tr>
    </w:tbl>
    <w:p>
      <w:pPr>
        <w:adjustRightInd/>
        <w:snapToGrid/>
        <w:spacing w:before="120" w:after="120" w:line="560" w:lineRule="exact"/>
        <w:rPr>
          <w:rFonts w:ascii="仿宋" w:hAnsi="仿宋" w:eastAsia="仿宋" w:cs="Times New Roman"/>
          <w:b/>
          <w:bCs/>
          <w:sz w:val="32"/>
          <w:szCs w:val="24"/>
        </w:rPr>
      </w:pPr>
    </w:p>
    <w:p>
      <w:pPr>
        <w:adjustRightInd/>
        <w:snapToGrid/>
        <w:spacing w:before="120" w:after="120" w:line="560" w:lineRule="exact"/>
        <w:rPr>
          <w:rFonts w:ascii="仿宋" w:hAnsi="仿宋" w:eastAsia="仿宋" w:cs="Times New Roman"/>
          <w:b/>
          <w:bCs/>
          <w:sz w:val="32"/>
          <w:szCs w:val="24"/>
        </w:rPr>
      </w:pPr>
    </w:p>
    <w:p>
      <w:pPr>
        <w:adjustRightInd/>
        <w:snapToGrid/>
        <w:spacing w:before="120" w:after="120" w:line="560" w:lineRule="exact"/>
        <w:rPr>
          <w:rFonts w:ascii="仿宋" w:hAnsi="仿宋" w:eastAsia="仿宋" w:cs="Times New Roman"/>
          <w:b/>
          <w:bCs/>
          <w:sz w:val="32"/>
          <w:szCs w:val="24"/>
        </w:rPr>
      </w:pPr>
    </w:p>
    <w:p>
      <w:pPr>
        <w:widowControl w:val="0"/>
        <w:autoSpaceDE w:val="0"/>
        <w:autoSpaceDN w:val="0"/>
        <w:adjustRightInd w:val="0"/>
        <w:ind w:firstLine="420"/>
        <w:jc w:val="left"/>
        <w:rPr>
          <w:rFonts w:ascii="仿宋" w:hAnsi="仿宋" w:eastAsia="仿宋" w:cs="Times New Roman"/>
          <w:b/>
          <w:bCs/>
          <w:kern w:val="2"/>
          <w:sz w:val="32"/>
          <w:szCs w:val="24"/>
          <w:lang w:val="en-US" w:eastAsia="zh-CN" w:bidi="ar-SA"/>
        </w:rPr>
      </w:pPr>
    </w:p>
    <w:p>
      <w:pPr>
        <w:widowControl w:val="0"/>
        <w:autoSpaceDE w:val="0"/>
        <w:autoSpaceDN w:val="0"/>
        <w:adjustRightInd w:val="0"/>
        <w:ind w:firstLine="420"/>
        <w:jc w:val="left"/>
        <w:rPr>
          <w:rFonts w:ascii="仿宋" w:hAnsi="仿宋" w:eastAsia="仿宋" w:cs="Times New Roman"/>
          <w:b/>
          <w:bCs/>
          <w:kern w:val="2"/>
          <w:sz w:val="32"/>
          <w:szCs w:val="24"/>
          <w:lang w:val="en-US" w:eastAsia="zh-CN" w:bidi="ar-SA"/>
        </w:rPr>
      </w:pPr>
    </w:p>
    <w:p>
      <w:pPr>
        <w:adjustRightInd/>
        <w:snapToGrid/>
        <w:spacing w:before="120" w:after="120" w:line="560" w:lineRule="exact"/>
        <w:rPr>
          <w:rFonts w:ascii="仿宋" w:hAnsi="仿宋" w:eastAsia="仿宋" w:cs="Times New Roman"/>
          <w:sz w:val="32"/>
          <w:szCs w:val="24"/>
        </w:rPr>
      </w:pPr>
      <w:r>
        <w:rPr>
          <w:rFonts w:hint="eastAsia" w:ascii="仿宋" w:hAnsi="仿宋" w:eastAsia="仿宋" w:cs="Times New Roman"/>
          <w:b/>
          <w:bCs/>
          <w:sz w:val="32"/>
          <w:szCs w:val="24"/>
        </w:rPr>
        <w:t xml:space="preserve">附件6 </w:t>
      </w:r>
      <w:r>
        <w:rPr>
          <w:rFonts w:hint="eastAsia" w:ascii="仿宋" w:hAnsi="仿宋" w:eastAsia="仿宋" w:cs="Times New Roman"/>
          <w:sz w:val="32"/>
          <w:szCs w:val="24"/>
        </w:rPr>
        <w:t xml:space="preserve">            </w:t>
      </w:r>
    </w:p>
    <w:p>
      <w:pPr>
        <w:adjustRightInd/>
        <w:snapToGrid/>
        <w:spacing w:before="120" w:after="120" w:line="560" w:lineRule="exact"/>
        <w:jc w:val="center"/>
        <w:rPr>
          <w:rFonts w:ascii="仿宋_GB2312" w:hAnsi="华文细黑" w:eastAsia="仿宋_GB2312" w:cs="宋体"/>
          <w:b/>
          <w:bCs/>
          <w:sz w:val="32"/>
          <w:szCs w:val="32"/>
        </w:rPr>
      </w:pPr>
      <w:r>
        <w:rPr>
          <w:rFonts w:hint="eastAsia" w:ascii="仿宋_GB2312" w:hAnsi="华文细黑" w:eastAsia="仿宋_GB2312" w:cs="宋体"/>
          <w:b/>
          <w:bCs/>
          <w:sz w:val="32"/>
          <w:szCs w:val="32"/>
        </w:rPr>
        <w:t>安全生产协议书</w:t>
      </w:r>
    </w:p>
    <w:p>
      <w:pPr>
        <w:adjustRightInd/>
        <w:snapToGrid/>
        <w:spacing w:line="560" w:lineRule="exact"/>
        <w:rPr>
          <w:rFonts w:ascii="仿宋_GB2312" w:hAnsi="黑体" w:eastAsia="仿宋_GB2312" w:cs="宋体"/>
          <w:b/>
          <w:sz w:val="24"/>
          <w:szCs w:val="32"/>
        </w:rPr>
      </w:pPr>
      <w:r>
        <w:rPr>
          <w:rFonts w:hint="eastAsia" w:ascii="仿宋_GB2312" w:hAnsi="黑体" w:eastAsia="仿宋_GB2312" w:cs="宋体"/>
          <w:b/>
          <w:sz w:val="24"/>
          <w:szCs w:val="32"/>
        </w:rPr>
        <w:t>甲方：北京园博园管理中心（以下简称甲方）</w:t>
      </w:r>
    </w:p>
    <w:p>
      <w:pPr>
        <w:tabs>
          <w:tab w:val="left" w:pos="2400"/>
        </w:tabs>
        <w:adjustRightInd/>
        <w:snapToGrid/>
        <w:spacing w:line="560" w:lineRule="exact"/>
        <w:rPr>
          <w:rFonts w:ascii="仿宋_GB2312" w:hAnsi="黑体" w:eastAsia="仿宋_GB2312" w:cs="宋体"/>
          <w:b/>
          <w:sz w:val="24"/>
          <w:szCs w:val="32"/>
        </w:rPr>
      </w:pPr>
      <w:r>
        <w:rPr>
          <w:rFonts w:hint="eastAsia" w:ascii="仿宋_GB2312" w:hAnsi="黑体" w:eastAsia="仿宋_GB2312" w:cs="宋体"/>
          <w:b/>
          <w:sz w:val="24"/>
          <w:szCs w:val="32"/>
        </w:rPr>
        <w:t>地址：北京市丰台区长辛店镇射击场路15号</w:t>
      </w:r>
    </w:p>
    <w:p>
      <w:pPr>
        <w:adjustRightInd/>
        <w:snapToGrid/>
        <w:spacing w:line="560" w:lineRule="exact"/>
        <w:rPr>
          <w:rFonts w:ascii="仿宋_GB2312" w:hAnsi="黑体" w:eastAsia="仿宋_GB2312" w:cs="宋体"/>
          <w:b/>
          <w:sz w:val="24"/>
          <w:szCs w:val="32"/>
        </w:rPr>
      </w:pPr>
      <w:r>
        <w:rPr>
          <w:rFonts w:hint="eastAsia" w:ascii="仿宋_GB2312" w:hAnsi="黑体" w:eastAsia="仿宋_GB2312" w:cs="宋体"/>
          <w:b/>
          <w:sz w:val="24"/>
          <w:szCs w:val="32"/>
        </w:rPr>
        <w:t>乙方：</w:t>
      </w:r>
    </w:p>
    <w:p>
      <w:pPr>
        <w:adjustRightInd/>
        <w:snapToGrid/>
        <w:spacing w:line="560" w:lineRule="exact"/>
        <w:rPr>
          <w:rFonts w:ascii="仿宋_GB2312" w:hAnsi="黑体" w:eastAsia="仿宋_GB2312" w:cs="宋体"/>
          <w:b/>
          <w:sz w:val="24"/>
          <w:szCs w:val="32"/>
        </w:rPr>
      </w:pPr>
      <w:r>
        <w:rPr>
          <w:rFonts w:hint="eastAsia" w:ascii="仿宋_GB2312" w:hAnsi="黑体" w:eastAsia="仿宋_GB2312" w:cs="宋体"/>
          <w:b/>
          <w:sz w:val="24"/>
          <w:szCs w:val="32"/>
        </w:rPr>
        <w:t>地址：</w:t>
      </w:r>
    </w:p>
    <w:p>
      <w:pPr>
        <w:adjustRightInd/>
        <w:snapToGrid/>
        <w:spacing w:line="560" w:lineRule="exact"/>
        <w:ind w:left="840" w:leftChars="350"/>
        <w:rPr>
          <w:rFonts w:ascii="仿宋" w:hAnsi="仿宋" w:eastAsia="仿宋" w:cs="Times New Roman"/>
          <w:sz w:val="32"/>
          <w:szCs w:val="32"/>
        </w:rPr>
      </w:pPr>
    </w:p>
    <w:p>
      <w:pPr>
        <w:adjustRightInd/>
        <w:snapToGrid/>
        <w:spacing w:line="560" w:lineRule="exact"/>
        <w:ind w:firstLine="645"/>
        <w:rPr>
          <w:rFonts w:ascii="仿宋_GB2312" w:hAnsi="Verdana" w:eastAsia="仿宋_GB2312" w:cs="宋体"/>
          <w:sz w:val="24"/>
          <w:szCs w:val="24"/>
        </w:rPr>
      </w:pPr>
      <w:r>
        <w:rPr>
          <w:rFonts w:hint="eastAsia" w:ascii="仿宋_GB2312" w:hAnsi="Verdana" w:eastAsia="仿宋_GB2312" w:cs="宋体"/>
          <w:sz w:val="24"/>
          <w:szCs w:val="24"/>
        </w:rPr>
        <w:t>甲乙双方经平等友好协商一致，就乙方使用的区域（以下简称“园区”），合作期间应尽到的安全生产义务，进行如下补充约定以资共同遵守：</w:t>
      </w:r>
    </w:p>
    <w:p>
      <w:pPr>
        <w:adjustRightInd/>
        <w:snapToGrid/>
        <w:spacing w:line="560" w:lineRule="exact"/>
        <w:ind w:firstLine="645"/>
        <w:rPr>
          <w:rFonts w:ascii="仿宋_GB2312" w:hAnsi="黑体" w:eastAsia="仿宋_GB2312" w:cs="宋体"/>
          <w:b/>
          <w:sz w:val="24"/>
          <w:szCs w:val="24"/>
        </w:rPr>
      </w:pPr>
      <w:r>
        <w:rPr>
          <w:rFonts w:hint="eastAsia" w:ascii="仿宋_GB2312" w:hAnsi="黑体" w:eastAsia="仿宋_GB2312" w:cs="宋体"/>
          <w:b/>
          <w:sz w:val="24"/>
          <w:szCs w:val="24"/>
        </w:rPr>
        <w:t>1.乙方的安全生产义务如下：</w:t>
      </w:r>
    </w:p>
    <w:p>
      <w:pPr>
        <w:adjustRightInd/>
        <w:snapToGrid/>
        <w:spacing w:line="560" w:lineRule="exact"/>
        <w:ind w:firstLine="480" w:firstLineChars="200"/>
        <w:rPr>
          <w:rFonts w:ascii="仿宋_GB2312" w:hAnsi="Verdana" w:eastAsia="仿宋_GB2312" w:cs="宋体"/>
          <w:sz w:val="24"/>
          <w:szCs w:val="24"/>
        </w:rPr>
      </w:pPr>
      <w:r>
        <w:rPr>
          <w:rFonts w:hint="eastAsia" w:ascii="仿宋_GB2312" w:hAnsi="Verdana" w:eastAsia="仿宋_GB2312" w:cs="宋体"/>
          <w:sz w:val="24"/>
          <w:szCs w:val="24"/>
        </w:rPr>
        <w:t>1.1 遵守国家有关安全施工、生产方面的法律、法规和其他要求，以及甲方制定的规章制度和其它要求；</w:t>
      </w:r>
    </w:p>
    <w:p>
      <w:pPr>
        <w:adjustRightInd/>
        <w:snapToGrid/>
        <w:spacing w:line="560" w:lineRule="exact"/>
        <w:ind w:firstLine="480" w:firstLineChars="200"/>
        <w:rPr>
          <w:rFonts w:ascii="仿宋_GB2312" w:hAnsi="Verdana" w:eastAsia="仿宋_GB2312" w:cs="宋体"/>
          <w:sz w:val="24"/>
          <w:szCs w:val="24"/>
        </w:rPr>
      </w:pPr>
      <w:r>
        <w:rPr>
          <w:rFonts w:hint="eastAsia" w:ascii="仿宋_GB2312" w:hAnsi="Verdana" w:eastAsia="仿宋_GB2312" w:cs="宋体"/>
          <w:sz w:val="24"/>
          <w:szCs w:val="24"/>
        </w:rPr>
        <w:t>1.2 乙方不得利用园区从事非法生产、加工、储存、经营爆炸性、毒害性、放射性、腐蚀性物质或者传染病病原体等危险物质和其他违法活动，不得损害公共利益或者妨碍他人正常工作、生活。</w:t>
      </w:r>
    </w:p>
    <w:p>
      <w:pPr>
        <w:adjustRightInd/>
        <w:snapToGrid/>
        <w:spacing w:line="560" w:lineRule="exact"/>
        <w:ind w:firstLine="480" w:firstLineChars="200"/>
        <w:rPr>
          <w:rFonts w:ascii="仿宋_GB2312" w:hAnsi="Verdana" w:eastAsia="仿宋_GB2312" w:cs="宋体"/>
          <w:sz w:val="24"/>
          <w:szCs w:val="24"/>
        </w:rPr>
      </w:pPr>
      <w:r>
        <w:rPr>
          <w:rFonts w:hint="eastAsia" w:ascii="仿宋_GB2312" w:hAnsi="Verdana" w:eastAsia="仿宋_GB2312" w:cs="宋体"/>
          <w:sz w:val="24"/>
          <w:szCs w:val="24"/>
        </w:rPr>
        <w:t>1.3 未经甲方书面同意，乙方不得擅自迁移园区内外的水、电、煤气仪表及消防管线等。甲方同意迁移的，双方应当严格遵照国家有关规定及要求，迁移后的仪表及管线应符合安全规范。</w:t>
      </w:r>
    </w:p>
    <w:p>
      <w:pPr>
        <w:adjustRightInd/>
        <w:snapToGrid/>
        <w:spacing w:line="560" w:lineRule="exact"/>
        <w:ind w:firstLine="480" w:firstLineChars="200"/>
        <w:rPr>
          <w:rFonts w:ascii="仿宋_GB2312" w:hAnsi="Verdana" w:eastAsia="仿宋_GB2312" w:cs="宋体"/>
          <w:sz w:val="24"/>
          <w:szCs w:val="24"/>
        </w:rPr>
      </w:pPr>
      <w:r>
        <w:rPr>
          <w:rFonts w:hint="eastAsia" w:ascii="仿宋_GB2312" w:hAnsi="Verdana" w:eastAsia="仿宋_GB2312" w:cs="宋体"/>
          <w:sz w:val="24"/>
          <w:szCs w:val="24"/>
        </w:rPr>
        <w:t>1.4 乙方自行购置的电器或其他设备应当合格且符合安全要求，并与甲方提供的水、电、煤气接口及荷载相匹配，禁止乙方使用电炉、热得快等高负荷、高危险性设备或物品。</w:t>
      </w:r>
    </w:p>
    <w:p>
      <w:pPr>
        <w:adjustRightInd/>
        <w:snapToGrid/>
        <w:spacing w:line="560" w:lineRule="exact"/>
        <w:ind w:firstLine="480" w:firstLineChars="200"/>
        <w:rPr>
          <w:rFonts w:ascii="仿宋_GB2312" w:hAnsi="Verdana" w:eastAsia="仿宋_GB2312" w:cs="宋体"/>
          <w:sz w:val="24"/>
          <w:szCs w:val="24"/>
        </w:rPr>
      </w:pPr>
      <w:r>
        <w:rPr>
          <w:rFonts w:hint="eastAsia" w:ascii="仿宋_GB2312" w:hAnsi="Verdana" w:eastAsia="仿宋_GB2312" w:cs="宋体"/>
          <w:sz w:val="24"/>
          <w:szCs w:val="24"/>
        </w:rPr>
        <w:t>1.5 园区中作为居住使用的房屋，应当以原设计的房间为最小居住单位，不得私建隔断。厨房、卫生间、阳台和地下储藏室不得作为住宿使用。对房屋、园内设施的装修或任何改动应事先经过甲方书面许可，并不得改变房屋原结构，不得拆除承重墙。</w:t>
      </w:r>
    </w:p>
    <w:p>
      <w:pPr>
        <w:adjustRightInd/>
        <w:snapToGrid/>
        <w:spacing w:line="560" w:lineRule="exact"/>
        <w:ind w:firstLine="480" w:firstLineChars="200"/>
        <w:rPr>
          <w:rFonts w:ascii="仿宋_GB2312" w:hAnsi="Verdana" w:eastAsia="仿宋_GB2312" w:cs="宋体"/>
          <w:sz w:val="24"/>
          <w:szCs w:val="24"/>
        </w:rPr>
      </w:pPr>
      <w:r>
        <w:rPr>
          <w:rFonts w:hint="eastAsia" w:ascii="仿宋_GB2312" w:hAnsi="Verdana" w:eastAsia="仿宋_GB2312" w:cs="宋体"/>
          <w:sz w:val="24"/>
          <w:szCs w:val="24"/>
        </w:rPr>
        <w:t>1.6 建立健全乙方本单位安全生产责任制并设置安全管理机构，按规定配备专兼职安全管理人员，并报甲方备案。</w:t>
      </w:r>
    </w:p>
    <w:p>
      <w:pPr>
        <w:adjustRightInd/>
        <w:snapToGrid/>
        <w:spacing w:line="560" w:lineRule="exact"/>
        <w:ind w:firstLine="480" w:firstLineChars="200"/>
        <w:rPr>
          <w:rFonts w:ascii="仿宋_GB2312" w:hAnsi="Verdana" w:eastAsia="仿宋_GB2312" w:cs="宋体"/>
          <w:sz w:val="24"/>
          <w:szCs w:val="24"/>
        </w:rPr>
      </w:pPr>
      <w:r>
        <w:rPr>
          <w:rFonts w:hint="eastAsia" w:ascii="仿宋_GB2312" w:hAnsi="Verdana" w:eastAsia="仿宋_GB2312" w:cs="宋体"/>
          <w:sz w:val="24"/>
          <w:szCs w:val="24"/>
        </w:rPr>
        <w:t>1.7 负责园区区域内的治安防范措施的制定、执行和管理。制定乙方本单位的生产安全事故应急救援预案；认真落实24小时值班制度，节假日期间严禁在园博园及其周边燃放烟花爆竹，全面做好护林防火工作。因乙方及其员工过错导致发生火灾或造成其他人身或财产损害的，应由乙方承担赔偿责任。</w:t>
      </w:r>
    </w:p>
    <w:p>
      <w:pPr>
        <w:adjustRightInd/>
        <w:snapToGrid/>
        <w:spacing w:line="560" w:lineRule="exact"/>
        <w:ind w:firstLine="480" w:firstLineChars="200"/>
        <w:rPr>
          <w:rFonts w:ascii="仿宋_GB2312" w:hAnsi="Verdana" w:eastAsia="仿宋_GB2312" w:cs="宋体"/>
          <w:sz w:val="24"/>
          <w:szCs w:val="24"/>
        </w:rPr>
      </w:pPr>
      <w:r>
        <w:rPr>
          <w:rFonts w:hint="eastAsia" w:ascii="仿宋_GB2312" w:hAnsi="Verdana" w:eastAsia="仿宋_GB2312" w:cs="宋体"/>
          <w:sz w:val="24"/>
          <w:szCs w:val="24"/>
        </w:rPr>
        <w:t>1.8 负责园区区域内重大危险源警示标志、安全设备(如灭火器材)的设置，并将重大危险源以及在紧急情况下采取的应急措施告知本单位员工。乙方需按国家规定在园区配备足够的消防设备，并定期对其进行维护，所有乙方员工均应熟悉消防设备的性能和使用方法。</w:t>
      </w:r>
    </w:p>
    <w:p>
      <w:pPr>
        <w:adjustRightInd/>
        <w:snapToGrid/>
        <w:spacing w:line="560" w:lineRule="exact"/>
        <w:ind w:firstLine="480" w:firstLineChars="200"/>
        <w:rPr>
          <w:rFonts w:ascii="仿宋_GB2312" w:hAnsi="Verdana" w:eastAsia="仿宋_GB2312" w:cs="宋体"/>
          <w:sz w:val="24"/>
          <w:szCs w:val="24"/>
        </w:rPr>
      </w:pPr>
      <w:r>
        <w:rPr>
          <w:rFonts w:hint="eastAsia" w:ascii="仿宋_GB2312" w:hAnsi="Verdana" w:eastAsia="仿宋_GB2312" w:cs="宋体"/>
          <w:sz w:val="24"/>
          <w:szCs w:val="24"/>
        </w:rPr>
        <w:t>1.9 负责将包括园区在内的本单位作业场所和工作岗位存在的危险因素、防范措施以及事故应急措施告知乙方本单位员工。</w:t>
      </w:r>
    </w:p>
    <w:p>
      <w:pPr>
        <w:adjustRightInd/>
        <w:snapToGrid/>
        <w:spacing w:line="560" w:lineRule="exact"/>
        <w:ind w:firstLine="480" w:firstLineChars="200"/>
        <w:rPr>
          <w:rFonts w:ascii="仿宋_GB2312" w:hAnsi="Verdana" w:eastAsia="仿宋_GB2312" w:cs="宋体"/>
          <w:sz w:val="24"/>
          <w:szCs w:val="24"/>
        </w:rPr>
      </w:pPr>
      <w:r>
        <w:rPr>
          <w:rFonts w:hint="eastAsia" w:ascii="仿宋_GB2312" w:hAnsi="Verdana" w:eastAsia="仿宋_GB2312" w:cs="宋体"/>
          <w:sz w:val="24"/>
          <w:szCs w:val="24"/>
        </w:rPr>
        <w:t>1.10 负责开展本单位经常性的安全检查，并有安全员的签字记录，保证设备设施处于完好状态；质量不合格的设备严禁使用。积极消除安全事故隐患。</w:t>
      </w:r>
    </w:p>
    <w:p>
      <w:pPr>
        <w:adjustRightInd/>
        <w:snapToGrid/>
        <w:spacing w:line="560" w:lineRule="exact"/>
        <w:ind w:firstLine="480" w:firstLineChars="200"/>
        <w:rPr>
          <w:rFonts w:ascii="仿宋_GB2312" w:hAnsi="Verdana" w:eastAsia="仿宋_GB2312" w:cs="宋体"/>
          <w:sz w:val="24"/>
          <w:szCs w:val="24"/>
        </w:rPr>
      </w:pPr>
      <w:r>
        <w:rPr>
          <w:rFonts w:hint="eastAsia" w:ascii="仿宋_GB2312" w:hAnsi="Verdana" w:eastAsia="仿宋_GB2312" w:cs="宋体"/>
          <w:sz w:val="24"/>
          <w:szCs w:val="24"/>
        </w:rPr>
        <w:t>1.11 必须按国家有关规定，为本单位施工、生产人员配备合格的劳动防护用品及安全用具，并保证生产施工工具、器械的使用安全。操作人员上岗，必须按规定穿戴防护用品。乙方负责人和安全检查员应随时检查员工劳动防护用品的穿戴情况，不按规定穿戴防护用品的人员不得上岗。</w:t>
      </w:r>
    </w:p>
    <w:p>
      <w:pPr>
        <w:adjustRightInd/>
        <w:snapToGrid/>
        <w:spacing w:line="560" w:lineRule="exact"/>
        <w:ind w:firstLine="480" w:firstLineChars="200"/>
        <w:rPr>
          <w:rFonts w:ascii="仿宋_GB2312" w:hAnsi="Verdana" w:eastAsia="仿宋_GB2312" w:cs="宋体"/>
          <w:sz w:val="24"/>
          <w:szCs w:val="24"/>
        </w:rPr>
      </w:pPr>
      <w:r>
        <w:rPr>
          <w:rFonts w:hint="eastAsia" w:ascii="仿宋_GB2312" w:hAnsi="Verdana" w:eastAsia="仿宋_GB2312" w:cs="宋体"/>
          <w:sz w:val="24"/>
          <w:szCs w:val="24"/>
        </w:rPr>
        <w:t>1.12 必须组织全体生产、施工人员进行安全和技能教育，使其熟练掌握本岗位安全生产技能和遵守本工种的各项安全技术操作规程，定期进行安全技术考核，合格者方可上岗工作。对于从事建筑登高架设作业、焊接、电气等特殊工种的人员，必须经过专业培训，获得相关岗位《安全操作合格证》后，方可持证上岗。出现特种作业无证操作现象时，乙方需承担相应责任。</w:t>
      </w:r>
    </w:p>
    <w:p>
      <w:pPr>
        <w:adjustRightInd/>
        <w:snapToGrid/>
        <w:spacing w:line="560" w:lineRule="exact"/>
        <w:ind w:firstLine="480" w:firstLineChars="200"/>
        <w:rPr>
          <w:rFonts w:ascii="仿宋_GB2312" w:hAnsi="Verdana" w:eastAsia="仿宋_GB2312" w:cs="宋体"/>
          <w:sz w:val="24"/>
          <w:szCs w:val="24"/>
        </w:rPr>
      </w:pPr>
      <w:r>
        <w:rPr>
          <w:rFonts w:hint="eastAsia" w:ascii="仿宋_GB2312" w:hAnsi="Verdana" w:eastAsia="仿宋_GB2312" w:cs="宋体"/>
          <w:sz w:val="24"/>
          <w:szCs w:val="24"/>
        </w:rPr>
        <w:t>1.13 雇佣的员工或住宿人员必须按照当地派出所的要求履行登记备案制度并做好治安管理工作。</w:t>
      </w:r>
    </w:p>
    <w:p>
      <w:pPr>
        <w:adjustRightInd/>
        <w:snapToGrid/>
        <w:spacing w:line="560" w:lineRule="exact"/>
        <w:ind w:firstLine="480" w:firstLineChars="200"/>
        <w:rPr>
          <w:rFonts w:ascii="仿宋_GB2312" w:hAnsi="Verdana" w:eastAsia="仿宋_GB2312" w:cs="宋体"/>
          <w:sz w:val="24"/>
          <w:szCs w:val="24"/>
        </w:rPr>
      </w:pPr>
      <w:r>
        <w:rPr>
          <w:rFonts w:hint="eastAsia" w:ascii="仿宋_GB2312" w:hAnsi="Verdana" w:eastAsia="仿宋_GB2312" w:cs="宋体"/>
          <w:sz w:val="24"/>
          <w:szCs w:val="24"/>
        </w:rPr>
        <w:t>1.14 自觉接受甲方监督和指导，建立生产安全事故应急救援预案并报甲方备案。对甲方检查提出的安全整改通知，必须及时并最晚在48小时内完成整改；一旦发生人身伤害或危及生产运行的不安全情况，必须及时并最晚在24小时内报告事故隐患和生产安全事故。</w:t>
      </w:r>
    </w:p>
    <w:p>
      <w:pPr>
        <w:adjustRightInd/>
        <w:snapToGrid/>
        <w:spacing w:line="560" w:lineRule="exact"/>
        <w:ind w:firstLine="480" w:firstLineChars="200"/>
        <w:rPr>
          <w:rFonts w:ascii="仿宋_GB2312" w:hAnsi="Verdana" w:eastAsia="仿宋_GB2312" w:cs="宋体"/>
          <w:sz w:val="24"/>
          <w:szCs w:val="24"/>
        </w:rPr>
      </w:pPr>
      <w:r>
        <w:rPr>
          <w:rFonts w:hint="eastAsia" w:ascii="仿宋_GB2312" w:hAnsi="Verdana" w:eastAsia="仿宋_GB2312" w:cs="宋体"/>
          <w:sz w:val="24"/>
          <w:szCs w:val="24"/>
        </w:rPr>
        <w:t>1.15 园区使用期间如因乙方采取的安全措施不当、违反有关安全规程、规定及本协议所列安全事项而造成的一切事故或对第三方造成损失或致使甲方受到处罚的，均由乙方承担赔偿责任及法律责任，甲方因此遭受的损失及因此承担的包括且不限于对第三方民事赔偿及行政处罚在内的任何法律责任均有权向乙方追偿。</w:t>
      </w:r>
    </w:p>
    <w:p>
      <w:pPr>
        <w:adjustRightInd/>
        <w:snapToGrid/>
        <w:spacing w:line="560" w:lineRule="exact"/>
        <w:ind w:firstLine="480" w:firstLineChars="200"/>
        <w:rPr>
          <w:rFonts w:ascii="仿宋_GB2312" w:hAnsi="Verdana" w:eastAsia="仿宋_GB2312" w:cs="宋体"/>
          <w:sz w:val="24"/>
          <w:szCs w:val="24"/>
        </w:rPr>
      </w:pPr>
      <w:r>
        <w:rPr>
          <w:rFonts w:hint="eastAsia" w:ascii="仿宋_GB2312" w:hAnsi="Verdana" w:eastAsia="仿宋_GB2312" w:cs="宋体"/>
          <w:sz w:val="24"/>
          <w:szCs w:val="24"/>
        </w:rPr>
        <w:t>1.16 应按《中华人民共和国劳动法》等法律、法规、规定用工，不使用未成年工和有职业禁忌的人员进行施工、生产作业。</w:t>
      </w:r>
    </w:p>
    <w:p>
      <w:pPr>
        <w:adjustRightInd/>
        <w:snapToGrid/>
        <w:spacing w:line="560" w:lineRule="exact"/>
        <w:ind w:firstLine="480" w:firstLineChars="200"/>
        <w:rPr>
          <w:rFonts w:ascii="仿宋_GB2312" w:hAnsi="Verdana" w:eastAsia="仿宋_GB2312" w:cs="宋体"/>
          <w:sz w:val="24"/>
          <w:szCs w:val="24"/>
        </w:rPr>
      </w:pPr>
      <w:r>
        <w:rPr>
          <w:rFonts w:hint="eastAsia" w:ascii="仿宋_GB2312" w:hAnsi="Verdana" w:eastAsia="仿宋_GB2312" w:cs="宋体"/>
          <w:sz w:val="24"/>
          <w:szCs w:val="24"/>
        </w:rPr>
        <w:t>1.17 乙方使用该园区期间，房屋及设施的所有使用、保管、安全等责任和义务，包括但不限于安全、人员、电、水、暖气、燃气、消防、防火、通行、环境、卫生、设施设备等，均由乙方负责。若乙方使用不当或未尽安全职责导致责任事故时，乙方应承担全部责任。</w:t>
      </w:r>
    </w:p>
    <w:p>
      <w:pPr>
        <w:adjustRightInd/>
        <w:snapToGrid/>
        <w:spacing w:line="560" w:lineRule="exact"/>
        <w:ind w:firstLine="480" w:firstLineChars="200"/>
        <w:rPr>
          <w:rFonts w:ascii="仿宋_GB2312" w:hAnsi="Verdana" w:eastAsia="仿宋_GB2312" w:cs="宋体"/>
          <w:sz w:val="24"/>
          <w:szCs w:val="24"/>
        </w:rPr>
      </w:pPr>
      <w:r>
        <w:rPr>
          <w:rFonts w:hint="eastAsia" w:ascii="仿宋_GB2312" w:hAnsi="Verdana" w:eastAsia="仿宋_GB2312" w:cs="宋体"/>
          <w:sz w:val="24"/>
          <w:szCs w:val="24"/>
        </w:rPr>
        <w:t>1.18 加强日常巡视检查，做好财产、设备等防盗工作。非因甲方过错导致乙方财产及园区内放置的非乙方所有的财产被盗，甲方不承担赔偿及补偿责任。</w:t>
      </w:r>
    </w:p>
    <w:p>
      <w:pPr>
        <w:adjustRightInd/>
        <w:snapToGrid/>
        <w:spacing w:line="560" w:lineRule="exact"/>
        <w:ind w:firstLine="480" w:firstLineChars="200"/>
        <w:rPr>
          <w:rFonts w:ascii="仿宋_GB2312" w:hAnsi="Verdana" w:eastAsia="仿宋_GB2312" w:cs="宋体"/>
          <w:sz w:val="24"/>
          <w:szCs w:val="24"/>
        </w:rPr>
      </w:pPr>
      <w:r>
        <w:rPr>
          <w:rFonts w:hint="eastAsia" w:ascii="仿宋_GB2312" w:hAnsi="Verdana" w:eastAsia="仿宋_GB2312" w:cs="宋体"/>
          <w:sz w:val="24"/>
          <w:szCs w:val="24"/>
        </w:rPr>
        <w:t>1.19 做好日常交通安全工作，杜绝特大交通事故的发生。若因乙方过错发生事故，给甲方工作人员或园区植被、建筑物或第三人造成损失的，乙方应承担赔偿责任。</w:t>
      </w:r>
    </w:p>
    <w:p>
      <w:pPr>
        <w:adjustRightInd/>
        <w:snapToGrid/>
        <w:spacing w:line="560" w:lineRule="exact"/>
        <w:ind w:firstLine="480" w:firstLineChars="200"/>
        <w:rPr>
          <w:rFonts w:ascii="仿宋_GB2312" w:hAnsi="Verdana" w:eastAsia="仿宋_GB2312" w:cs="宋体"/>
          <w:sz w:val="24"/>
          <w:szCs w:val="24"/>
        </w:rPr>
      </w:pPr>
      <w:r>
        <w:rPr>
          <w:rFonts w:hint="eastAsia" w:ascii="仿宋_GB2312" w:hAnsi="Verdana" w:eastAsia="仿宋_GB2312" w:cs="宋体"/>
          <w:sz w:val="24"/>
          <w:szCs w:val="24"/>
        </w:rPr>
        <w:t>1.20 乙方利用园区开展任何活动，应保证乙方及包括乙方及非乙方员工在内的所有参加活动的人员均能遵守上述约定，乙方对其利用园区开展的任何展览活动中出现的任何法律纠纷及经济争执承担全部责任。</w:t>
      </w:r>
    </w:p>
    <w:p>
      <w:pPr>
        <w:adjustRightInd/>
        <w:snapToGrid/>
        <w:spacing w:line="560" w:lineRule="exact"/>
        <w:ind w:firstLine="645"/>
        <w:rPr>
          <w:rFonts w:ascii="仿宋_GB2312" w:hAnsi="黑体" w:eastAsia="仿宋_GB2312" w:cs="宋体"/>
          <w:b/>
          <w:sz w:val="24"/>
          <w:szCs w:val="24"/>
        </w:rPr>
      </w:pPr>
      <w:r>
        <w:rPr>
          <w:rFonts w:hint="eastAsia" w:ascii="仿宋_GB2312" w:hAnsi="黑体" w:eastAsia="仿宋_GB2312" w:cs="宋体"/>
          <w:b/>
          <w:sz w:val="24"/>
          <w:szCs w:val="24"/>
        </w:rPr>
        <w:t>2.违约责任、协议的变更及解除</w:t>
      </w:r>
    </w:p>
    <w:p>
      <w:pPr>
        <w:adjustRightInd/>
        <w:snapToGrid/>
        <w:spacing w:line="560" w:lineRule="exact"/>
        <w:ind w:firstLine="480" w:firstLineChars="200"/>
        <w:rPr>
          <w:rFonts w:ascii="仿宋_GB2312" w:hAnsi="Verdana" w:eastAsia="仿宋_GB2312" w:cs="宋体"/>
          <w:sz w:val="24"/>
          <w:szCs w:val="24"/>
        </w:rPr>
      </w:pPr>
      <w:r>
        <w:rPr>
          <w:rFonts w:hint="eastAsia" w:ascii="仿宋_GB2312" w:hAnsi="Verdana" w:eastAsia="仿宋_GB2312" w:cs="宋体"/>
          <w:sz w:val="24"/>
          <w:szCs w:val="24"/>
        </w:rPr>
        <w:t>2.1 乙方违反上述任何约定，应赔偿因此给甲方带来的全部责任和损失，包括直接损失和间接损失。</w:t>
      </w:r>
    </w:p>
    <w:p>
      <w:pPr>
        <w:adjustRightInd/>
        <w:snapToGrid/>
        <w:spacing w:line="560" w:lineRule="exact"/>
        <w:ind w:firstLine="480" w:firstLineChars="200"/>
        <w:rPr>
          <w:rFonts w:ascii="仿宋_GB2312" w:hAnsi="Verdana" w:eastAsia="仿宋_GB2312" w:cs="宋体"/>
          <w:sz w:val="24"/>
          <w:szCs w:val="24"/>
        </w:rPr>
      </w:pPr>
      <w:r>
        <w:rPr>
          <w:rFonts w:hint="eastAsia" w:ascii="仿宋_GB2312" w:hAnsi="Verdana" w:eastAsia="仿宋_GB2312" w:cs="宋体"/>
          <w:sz w:val="24"/>
          <w:szCs w:val="24"/>
        </w:rPr>
        <w:t>2.2 出现以下任一情形的，甲方有权单方解除合同，收回园区，并有权要求乙方赔偿甲方因此遭受的所有损失：</w:t>
      </w:r>
    </w:p>
    <w:p>
      <w:pPr>
        <w:adjustRightInd/>
        <w:snapToGrid/>
        <w:spacing w:line="560" w:lineRule="exact"/>
        <w:ind w:firstLine="480" w:firstLineChars="200"/>
        <w:rPr>
          <w:rFonts w:ascii="仿宋_GB2312" w:hAnsi="Verdana" w:eastAsia="仿宋_GB2312" w:cs="宋体"/>
          <w:sz w:val="24"/>
          <w:szCs w:val="24"/>
        </w:rPr>
      </w:pPr>
      <w:r>
        <w:rPr>
          <w:rFonts w:hint="eastAsia" w:ascii="仿宋_GB2312" w:hAnsi="Verdana" w:eastAsia="仿宋_GB2312" w:cs="宋体"/>
          <w:sz w:val="24"/>
          <w:szCs w:val="24"/>
        </w:rPr>
        <w:t>2.2.1 乙方违反上述约定，甲方发出整改通知之日起五日内或甲方要求的整改期限内未达到整改目标的；</w:t>
      </w:r>
    </w:p>
    <w:p>
      <w:pPr>
        <w:adjustRightInd/>
        <w:snapToGrid/>
        <w:spacing w:line="560" w:lineRule="exact"/>
        <w:ind w:firstLine="480" w:firstLineChars="200"/>
        <w:rPr>
          <w:rFonts w:ascii="仿宋_GB2312" w:hAnsi="Verdana" w:eastAsia="仿宋_GB2312" w:cs="宋体"/>
          <w:sz w:val="24"/>
          <w:szCs w:val="24"/>
        </w:rPr>
      </w:pPr>
      <w:r>
        <w:rPr>
          <w:rFonts w:hint="eastAsia" w:ascii="仿宋_GB2312" w:hAnsi="Verdana" w:eastAsia="仿宋_GB2312" w:cs="宋体"/>
          <w:sz w:val="24"/>
          <w:szCs w:val="24"/>
        </w:rPr>
        <w:t>2.2.2 乙方违反上述约定，受到行政处罚或者刑事处罚的；</w:t>
      </w:r>
    </w:p>
    <w:p>
      <w:pPr>
        <w:adjustRightInd/>
        <w:snapToGrid/>
        <w:spacing w:line="560" w:lineRule="exact"/>
        <w:ind w:firstLine="480" w:firstLineChars="200"/>
        <w:rPr>
          <w:rFonts w:ascii="仿宋_GB2312" w:hAnsi="Verdana" w:eastAsia="仿宋_GB2312" w:cs="宋体"/>
          <w:sz w:val="24"/>
          <w:szCs w:val="24"/>
        </w:rPr>
      </w:pPr>
      <w:r>
        <w:rPr>
          <w:rFonts w:hint="eastAsia" w:ascii="仿宋_GB2312" w:hAnsi="Verdana" w:eastAsia="仿宋_GB2312" w:cs="宋体"/>
          <w:sz w:val="24"/>
          <w:szCs w:val="24"/>
        </w:rPr>
        <w:t>2.2.3 乙方违反上述约定，导致甲方受到行政处罚或者刑事处罚的；</w:t>
      </w:r>
    </w:p>
    <w:p>
      <w:pPr>
        <w:adjustRightInd/>
        <w:snapToGrid/>
        <w:spacing w:line="560" w:lineRule="exact"/>
        <w:ind w:firstLine="480" w:firstLineChars="200"/>
        <w:rPr>
          <w:rFonts w:ascii="仿宋_GB2312" w:hAnsi="Verdana" w:eastAsia="仿宋_GB2312" w:cs="宋体"/>
          <w:sz w:val="24"/>
          <w:szCs w:val="24"/>
        </w:rPr>
      </w:pPr>
      <w:r>
        <w:rPr>
          <w:rFonts w:hint="eastAsia" w:ascii="仿宋_GB2312" w:hAnsi="Verdana" w:eastAsia="仿宋_GB2312" w:cs="宋体"/>
          <w:sz w:val="24"/>
          <w:szCs w:val="24"/>
        </w:rPr>
        <w:t>2.2.4 乙方违反上述约定，造成甲方经济损失达5000元以上的；</w:t>
      </w:r>
    </w:p>
    <w:p>
      <w:pPr>
        <w:adjustRightInd/>
        <w:snapToGrid/>
        <w:spacing w:line="560" w:lineRule="exact"/>
        <w:ind w:firstLine="480" w:firstLineChars="200"/>
        <w:rPr>
          <w:rFonts w:ascii="仿宋_GB2312" w:hAnsi="Verdana" w:eastAsia="仿宋_GB2312" w:cs="宋体"/>
          <w:sz w:val="24"/>
          <w:szCs w:val="24"/>
        </w:rPr>
      </w:pPr>
      <w:r>
        <w:rPr>
          <w:rFonts w:hint="eastAsia" w:ascii="仿宋_GB2312" w:hAnsi="Verdana" w:eastAsia="仿宋_GB2312" w:cs="宋体"/>
          <w:sz w:val="24"/>
          <w:szCs w:val="24"/>
        </w:rPr>
        <w:t>2.2.5 乙方拖欠甲方各种费用超过7天以上的；</w:t>
      </w:r>
    </w:p>
    <w:p>
      <w:pPr>
        <w:adjustRightInd/>
        <w:snapToGrid/>
        <w:spacing w:line="560" w:lineRule="exact"/>
        <w:ind w:firstLine="480" w:firstLineChars="200"/>
        <w:rPr>
          <w:rFonts w:ascii="仿宋_GB2312" w:hAnsi="Verdana" w:eastAsia="仿宋_GB2312" w:cs="宋体"/>
          <w:sz w:val="24"/>
          <w:szCs w:val="24"/>
        </w:rPr>
      </w:pPr>
      <w:r>
        <w:rPr>
          <w:rFonts w:hint="eastAsia" w:ascii="仿宋_GB2312" w:hAnsi="Verdana" w:eastAsia="仿宋_GB2312" w:cs="宋体"/>
          <w:sz w:val="24"/>
          <w:szCs w:val="24"/>
        </w:rPr>
        <w:t>2.2.6 乙方被吊销、注销或者停业整顿的；</w:t>
      </w:r>
    </w:p>
    <w:p>
      <w:pPr>
        <w:adjustRightInd/>
        <w:snapToGrid/>
        <w:spacing w:line="560" w:lineRule="exact"/>
        <w:ind w:firstLine="480" w:firstLineChars="200"/>
        <w:rPr>
          <w:rFonts w:ascii="仿宋_GB2312" w:hAnsi="Verdana" w:eastAsia="仿宋_GB2312" w:cs="宋体"/>
          <w:sz w:val="24"/>
          <w:szCs w:val="24"/>
        </w:rPr>
      </w:pPr>
      <w:r>
        <w:rPr>
          <w:rFonts w:hint="eastAsia" w:ascii="仿宋_GB2312" w:hAnsi="Verdana" w:eastAsia="仿宋_GB2312" w:cs="宋体"/>
          <w:sz w:val="24"/>
          <w:szCs w:val="24"/>
        </w:rPr>
        <w:t>2.2.7 其他因乙方原因导致合同无法继续履行，或者造成甲方重大经济或名誉损失的情形。</w:t>
      </w:r>
    </w:p>
    <w:p>
      <w:pPr>
        <w:adjustRightInd/>
        <w:snapToGrid/>
        <w:spacing w:line="560" w:lineRule="exact"/>
        <w:ind w:firstLine="480" w:firstLineChars="200"/>
        <w:rPr>
          <w:rFonts w:ascii="仿宋_GB2312" w:hAnsi="Verdana" w:eastAsia="仿宋_GB2312" w:cs="宋体"/>
          <w:sz w:val="24"/>
          <w:szCs w:val="24"/>
        </w:rPr>
      </w:pPr>
      <w:r>
        <w:rPr>
          <w:rFonts w:hint="eastAsia" w:ascii="仿宋_GB2312" w:hAnsi="Verdana" w:eastAsia="仿宋_GB2312" w:cs="宋体"/>
          <w:sz w:val="24"/>
          <w:szCs w:val="24"/>
        </w:rPr>
        <w:t>2.3 经双方协商一致可以变更或者解除本协议。</w:t>
      </w:r>
    </w:p>
    <w:p>
      <w:pPr>
        <w:adjustRightInd/>
        <w:snapToGrid/>
        <w:spacing w:line="560" w:lineRule="exact"/>
        <w:ind w:firstLine="645"/>
        <w:rPr>
          <w:rFonts w:ascii="仿宋_GB2312" w:hAnsi="黑体" w:eastAsia="仿宋_GB2312" w:cs="宋体"/>
          <w:b/>
          <w:sz w:val="24"/>
          <w:szCs w:val="24"/>
        </w:rPr>
      </w:pPr>
      <w:r>
        <w:rPr>
          <w:rFonts w:hint="eastAsia" w:ascii="仿宋_GB2312" w:hAnsi="黑体" w:eastAsia="仿宋_GB2312" w:cs="宋体"/>
          <w:b/>
          <w:sz w:val="24"/>
          <w:szCs w:val="24"/>
        </w:rPr>
        <w:t>3.其他事项</w:t>
      </w:r>
    </w:p>
    <w:p>
      <w:pPr>
        <w:adjustRightInd/>
        <w:snapToGrid/>
        <w:spacing w:line="560" w:lineRule="exact"/>
        <w:ind w:firstLine="480" w:firstLineChars="200"/>
        <w:rPr>
          <w:rFonts w:ascii="仿宋_GB2312" w:hAnsi="Verdana" w:eastAsia="仿宋_GB2312" w:cs="宋体"/>
          <w:sz w:val="24"/>
          <w:szCs w:val="24"/>
        </w:rPr>
      </w:pPr>
      <w:r>
        <w:rPr>
          <w:rFonts w:hint="eastAsia" w:ascii="仿宋_GB2312" w:hAnsi="Verdana" w:eastAsia="仿宋_GB2312" w:cs="宋体"/>
          <w:sz w:val="24"/>
          <w:szCs w:val="24"/>
        </w:rPr>
        <w:t>3.1 合同履行期间，甲乙双方有任何争议均应协商解决，协商不成，任何一方有权向甲方所在地北京市丰台区人民法院提起诉讼。</w:t>
      </w:r>
    </w:p>
    <w:p>
      <w:pPr>
        <w:adjustRightInd/>
        <w:snapToGrid/>
        <w:spacing w:line="560" w:lineRule="exact"/>
        <w:ind w:firstLine="480" w:firstLineChars="200"/>
        <w:rPr>
          <w:rFonts w:ascii="仿宋_GB2312" w:hAnsi="Verdana" w:eastAsia="仿宋_GB2312" w:cs="宋体"/>
          <w:sz w:val="24"/>
          <w:szCs w:val="24"/>
        </w:rPr>
      </w:pPr>
      <w:r>
        <w:rPr>
          <w:rFonts w:hint="eastAsia" w:ascii="仿宋_GB2312" w:hAnsi="Verdana" w:eastAsia="仿宋_GB2312" w:cs="宋体"/>
          <w:sz w:val="24"/>
          <w:szCs w:val="24"/>
        </w:rPr>
        <w:t>3.2 本协议是合同不可分割的一部分，与合同具有同等法律效力，经甲乙双方法定代表人或授权委托人签字并加盖公章后生效；本协议尚未约定事项以合同为准。</w:t>
      </w:r>
    </w:p>
    <w:p>
      <w:pPr>
        <w:adjustRightInd/>
        <w:snapToGrid/>
        <w:spacing w:line="560" w:lineRule="exact"/>
        <w:ind w:firstLine="480" w:firstLineChars="200"/>
        <w:rPr>
          <w:rFonts w:ascii="仿宋_GB2312" w:hAnsi="Verdana" w:eastAsia="仿宋_GB2312" w:cs="宋体"/>
          <w:sz w:val="24"/>
          <w:szCs w:val="24"/>
        </w:rPr>
      </w:pPr>
      <w:r>
        <w:rPr>
          <w:rFonts w:hint="eastAsia" w:ascii="仿宋_GB2312" w:hAnsi="Verdana" w:eastAsia="仿宋_GB2312" w:cs="宋体"/>
          <w:sz w:val="24"/>
          <w:szCs w:val="24"/>
        </w:rPr>
        <w:t>（以下无正文，为双方签署页）</w:t>
      </w:r>
    </w:p>
    <w:p>
      <w:pPr>
        <w:adjustRightInd/>
        <w:snapToGrid/>
        <w:spacing w:line="560" w:lineRule="exact"/>
        <w:ind w:firstLine="480" w:firstLineChars="200"/>
        <w:rPr>
          <w:rFonts w:ascii="仿宋_GB2312" w:hAnsi="Verdana" w:eastAsia="仿宋_GB2312" w:cs="宋体"/>
          <w:sz w:val="24"/>
          <w:szCs w:val="24"/>
        </w:rPr>
      </w:pPr>
    </w:p>
    <w:p>
      <w:pPr>
        <w:adjustRightInd/>
        <w:snapToGrid/>
        <w:spacing w:line="560" w:lineRule="exact"/>
        <w:ind w:left="1084" w:hanging="1084" w:hangingChars="450"/>
        <w:rPr>
          <w:rFonts w:ascii="仿宋_GB2312" w:hAnsi="黑体" w:eastAsia="仿宋_GB2312" w:cs="宋体"/>
          <w:b/>
          <w:sz w:val="24"/>
          <w:szCs w:val="24"/>
        </w:rPr>
      </w:pPr>
      <w:r>
        <w:rPr>
          <w:rFonts w:hint="eastAsia" w:ascii="仿宋_GB2312" w:hAnsi="黑体" w:eastAsia="仿宋_GB2312" w:cs="宋体"/>
          <w:b/>
          <w:sz w:val="24"/>
          <w:szCs w:val="24"/>
        </w:rPr>
        <w:t>甲方：北京园博园管理中心               乙方：</w:t>
      </w:r>
    </w:p>
    <w:p>
      <w:pPr>
        <w:adjustRightInd/>
        <w:snapToGrid/>
        <w:spacing w:line="560" w:lineRule="exact"/>
        <w:rPr>
          <w:rFonts w:ascii="仿宋_GB2312" w:hAnsi="黑体" w:eastAsia="仿宋_GB2312" w:cs="宋体"/>
          <w:b/>
          <w:sz w:val="24"/>
          <w:szCs w:val="24"/>
        </w:rPr>
      </w:pPr>
    </w:p>
    <w:p>
      <w:pPr>
        <w:adjustRightInd/>
        <w:snapToGrid/>
        <w:spacing w:line="560" w:lineRule="exact"/>
        <w:rPr>
          <w:rFonts w:ascii="仿宋_GB2312" w:hAnsi="黑体" w:eastAsia="仿宋_GB2312" w:cs="宋体"/>
          <w:b/>
          <w:sz w:val="24"/>
          <w:szCs w:val="24"/>
        </w:rPr>
      </w:pPr>
      <w:r>
        <w:rPr>
          <w:rFonts w:hint="eastAsia" w:ascii="仿宋_GB2312" w:hAnsi="黑体" w:eastAsia="仿宋_GB2312" w:cs="宋体"/>
          <w:b/>
          <w:snapToGrid w:val="0"/>
          <w:sz w:val="24"/>
          <w:szCs w:val="24"/>
        </w:rPr>
        <w:t>法定代表人或授权委托人</w:t>
      </w:r>
      <w:r>
        <w:rPr>
          <w:rFonts w:hint="eastAsia" w:ascii="仿宋_GB2312" w:hAnsi="黑体" w:eastAsia="仿宋_GB2312" w:cs="宋体"/>
          <w:b/>
          <w:sz w:val="24"/>
          <w:szCs w:val="24"/>
        </w:rPr>
        <w:t xml:space="preserve">：               </w:t>
      </w:r>
      <w:r>
        <w:rPr>
          <w:rFonts w:hint="eastAsia" w:ascii="仿宋_GB2312" w:hAnsi="黑体" w:eastAsia="仿宋_GB2312" w:cs="宋体"/>
          <w:b/>
          <w:snapToGrid w:val="0"/>
          <w:sz w:val="24"/>
          <w:szCs w:val="24"/>
        </w:rPr>
        <w:t>法定代表人或授权委托人</w:t>
      </w:r>
      <w:r>
        <w:rPr>
          <w:rFonts w:hint="eastAsia" w:ascii="仿宋_GB2312" w:hAnsi="黑体" w:eastAsia="仿宋_GB2312" w:cs="宋体"/>
          <w:b/>
          <w:sz w:val="24"/>
          <w:szCs w:val="24"/>
        </w:rPr>
        <w:t>：</w:t>
      </w:r>
    </w:p>
    <w:p>
      <w:pPr>
        <w:adjustRightInd/>
        <w:snapToGrid/>
        <w:spacing w:line="560" w:lineRule="exact"/>
        <w:rPr>
          <w:rFonts w:ascii="仿宋_GB2312" w:hAnsi="黑体" w:eastAsia="仿宋_GB2312" w:cs="宋体"/>
          <w:b/>
          <w:sz w:val="24"/>
          <w:szCs w:val="24"/>
        </w:rPr>
      </w:pPr>
      <w:r>
        <w:rPr>
          <w:rFonts w:hint="eastAsia" w:ascii="仿宋_GB2312" w:hAnsi="黑体" w:eastAsia="仿宋_GB2312" w:cs="宋体"/>
          <w:b/>
          <w:sz w:val="24"/>
          <w:szCs w:val="24"/>
        </w:rPr>
        <w:t xml:space="preserve">                                   </w:t>
      </w:r>
    </w:p>
    <w:p>
      <w:pPr>
        <w:adjustRightInd/>
        <w:snapToGrid/>
        <w:spacing w:line="560" w:lineRule="exact"/>
        <w:rPr>
          <w:rFonts w:ascii="仿宋_GB2312" w:hAnsi="黑体" w:eastAsia="仿宋_GB2312" w:cs="宋体"/>
          <w:b/>
          <w:sz w:val="24"/>
          <w:szCs w:val="24"/>
        </w:rPr>
      </w:pPr>
      <w:r>
        <w:rPr>
          <w:rFonts w:hint="eastAsia" w:ascii="仿宋_GB2312" w:hAnsi="黑体" w:eastAsia="仿宋_GB2312" w:cs="宋体"/>
          <w:b/>
          <w:sz w:val="24"/>
          <w:szCs w:val="24"/>
        </w:rPr>
        <w:t>日期:    年   月   日                  日期:   年   月   日</w:t>
      </w:r>
    </w:p>
    <w:p>
      <w:pPr>
        <w:adjustRightInd/>
        <w:snapToGrid/>
        <w:spacing w:line="560" w:lineRule="exact"/>
        <w:rPr>
          <w:rFonts w:ascii="仿宋_GB2312" w:hAnsi="黑体" w:eastAsia="仿宋_GB2312" w:cs="宋体"/>
          <w:b/>
          <w:sz w:val="24"/>
          <w:szCs w:val="24"/>
        </w:rPr>
      </w:pPr>
      <w:r>
        <w:rPr>
          <w:rFonts w:hint="eastAsia" w:ascii="仿宋_GB2312" w:hAnsi="黑体" w:eastAsia="仿宋_GB2312" w:cs="宋体"/>
          <w:b/>
          <w:sz w:val="24"/>
          <w:szCs w:val="24"/>
        </w:rPr>
        <w:br w:type="page"/>
      </w:r>
    </w:p>
    <w:p>
      <w:pPr>
        <w:adjustRightInd/>
        <w:snapToGrid/>
        <w:spacing w:before="120" w:after="120" w:line="560" w:lineRule="exact"/>
        <w:rPr>
          <w:rFonts w:ascii="仿宋_GB2312" w:hAnsi="华文细黑" w:eastAsia="仿宋_GB2312" w:cs="宋体"/>
          <w:sz w:val="24"/>
          <w:szCs w:val="24"/>
        </w:rPr>
      </w:pPr>
      <w:r>
        <w:rPr>
          <w:rFonts w:hint="eastAsia" w:ascii="仿宋" w:hAnsi="仿宋" w:eastAsia="仿宋" w:cs="Times New Roman"/>
          <w:b/>
          <w:bCs/>
          <w:sz w:val="32"/>
          <w:szCs w:val="24"/>
        </w:rPr>
        <w:t xml:space="preserve">附件7 </w:t>
      </w:r>
    </w:p>
    <w:p>
      <w:pPr>
        <w:adjustRightInd/>
        <w:snapToGrid/>
        <w:spacing w:before="120" w:after="120" w:line="560" w:lineRule="exact"/>
        <w:jc w:val="center"/>
        <w:rPr>
          <w:rFonts w:ascii="仿宋_GB2312" w:hAnsi="华文细黑" w:eastAsia="仿宋_GB2312" w:cs="宋体"/>
          <w:b/>
          <w:bCs/>
          <w:sz w:val="32"/>
          <w:szCs w:val="24"/>
        </w:rPr>
      </w:pPr>
      <w:r>
        <w:rPr>
          <w:rFonts w:hint="eastAsia" w:ascii="仿宋_GB2312" w:hAnsi="华文细黑" w:eastAsia="仿宋_GB2312" w:cs="宋体"/>
          <w:b/>
          <w:bCs/>
          <w:sz w:val="32"/>
          <w:szCs w:val="24"/>
        </w:rPr>
        <w:t>保密责任书</w:t>
      </w:r>
    </w:p>
    <w:p>
      <w:pPr>
        <w:adjustRightInd/>
        <w:snapToGrid/>
        <w:spacing w:line="560" w:lineRule="exact"/>
        <w:ind w:firstLine="480" w:firstLineChars="200"/>
        <w:rPr>
          <w:rFonts w:ascii="仿宋_GB2312" w:hAnsi="Times New Roman" w:eastAsia="仿宋_GB2312" w:cs="Times New Roman"/>
          <w:sz w:val="24"/>
          <w:szCs w:val="24"/>
        </w:rPr>
      </w:pPr>
      <w:r>
        <w:rPr>
          <w:rFonts w:hint="eastAsia" w:ascii="仿宋_GB2312" w:hAnsi="Times New Roman" w:eastAsia="仿宋_GB2312" w:cs="Times New Roman"/>
          <w:sz w:val="24"/>
          <w:szCs w:val="24"/>
        </w:rPr>
        <w:t>双方拟就北京园博园管理中心签订的协议或合同履行中，甲方已向或需向乙方披露其商业秘密（定义见下文）。双方同意，为保护甲方的商业秘密及防止其受未经授权的使用或披露，乙方向甲方保证如下。</w:t>
      </w:r>
    </w:p>
    <w:p>
      <w:pPr>
        <w:adjustRightInd/>
        <w:snapToGrid/>
        <w:spacing w:line="560" w:lineRule="exact"/>
        <w:ind w:firstLine="482" w:firstLineChars="200"/>
        <w:rPr>
          <w:rFonts w:ascii="仿宋_GB2312" w:hAnsi="Times New Roman" w:eastAsia="仿宋_GB2312" w:cs="Times New Roman"/>
          <w:b/>
          <w:sz w:val="24"/>
          <w:szCs w:val="24"/>
        </w:rPr>
      </w:pPr>
      <w:r>
        <w:rPr>
          <w:rFonts w:hint="eastAsia" w:ascii="仿宋_GB2312" w:hAnsi="Times New Roman" w:eastAsia="仿宋_GB2312" w:cs="Times New Roman"/>
          <w:b/>
          <w:sz w:val="24"/>
          <w:szCs w:val="24"/>
        </w:rPr>
        <w:t>1.商业秘密之定义</w:t>
      </w:r>
    </w:p>
    <w:p>
      <w:pPr>
        <w:adjustRightInd/>
        <w:snapToGrid/>
        <w:spacing w:line="560" w:lineRule="exact"/>
        <w:ind w:firstLine="480" w:firstLineChars="200"/>
        <w:rPr>
          <w:rFonts w:ascii="仿宋_GB2312" w:hAnsi="Times New Roman" w:eastAsia="仿宋_GB2312" w:cs="Times New Roman"/>
          <w:sz w:val="24"/>
          <w:szCs w:val="24"/>
        </w:rPr>
      </w:pPr>
      <w:r>
        <w:rPr>
          <w:rFonts w:hint="eastAsia" w:ascii="仿宋_GB2312" w:hAnsi="Times New Roman" w:eastAsia="仿宋_GB2312" w:cs="Times New Roman"/>
          <w:sz w:val="24"/>
          <w:szCs w:val="24"/>
        </w:rPr>
        <w:t>商业秘密是指属于甲方专有的，不为公众所知悉，并经甲方采取保密措施加以限制、能为该方带来经济利益或该方认为有必要保密，具有实用性的任何技术信息、经济信息和经营信息。商业秘密包括由甲方向乙方披露的任何涉及甲方和其业务的信息（无论系以任何形式的媒介储存或记录，包括书面、口头、音像、电子形式提供的信息），包括但不限于：</w:t>
      </w:r>
    </w:p>
    <w:p>
      <w:pPr>
        <w:adjustRightInd/>
        <w:snapToGrid/>
        <w:spacing w:line="560" w:lineRule="exact"/>
        <w:ind w:firstLine="480" w:firstLineChars="200"/>
        <w:rPr>
          <w:rFonts w:ascii="仿宋_GB2312" w:hAnsi="Times New Roman" w:eastAsia="仿宋_GB2312" w:cs="Times New Roman"/>
          <w:sz w:val="24"/>
          <w:szCs w:val="24"/>
        </w:rPr>
      </w:pPr>
      <w:r>
        <w:rPr>
          <w:rFonts w:hint="eastAsia" w:ascii="仿宋_GB2312" w:hAnsi="Times New Roman" w:eastAsia="仿宋_GB2312" w:cs="Times New Roman"/>
          <w:sz w:val="24"/>
          <w:szCs w:val="24"/>
        </w:rPr>
        <w:t>1.1 甲方之档案资料：北京园博园管理中心相关图纸、设备设施资料等；</w:t>
      </w:r>
    </w:p>
    <w:p>
      <w:pPr>
        <w:adjustRightInd/>
        <w:snapToGrid/>
        <w:spacing w:line="560" w:lineRule="exact"/>
        <w:ind w:firstLine="480" w:firstLineChars="200"/>
        <w:rPr>
          <w:rFonts w:ascii="仿宋_GB2312" w:hAnsi="Times New Roman" w:eastAsia="仿宋_GB2312" w:cs="Times New Roman"/>
          <w:sz w:val="24"/>
          <w:szCs w:val="24"/>
        </w:rPr>
      </w:pPr>
      <w:r>
        <w:rPr>
          <w:rFonts w:hint="eastAsia" w:ascii="仿宋_GB2312" w:hAnsi="Times New Roman" w:eastAsia="仿宋_GB2312" w:cs="Times New Roman"/>
          <w:sz w:val="24"/>
          <w:szCs w:val="24"/>
        </w:rPr>
        <w:t>1.2 与甲方商业活动有关的信息：北京园博园管理中心运行方案、重要活动等；</w:t>
      </w:r>
    </w:p>
    <w:p>
      <w:pPr>
        <w:adjustRightInd/>
        <w:snapToGrid/>
        <w:spacing w:line="560" w:lineRule="exact"/>
        <w:ind w:firstLine="480" w:firstLineChars="200"/>
        <w:rPr>
          <w:rFonts w:ascii="仿宋_GB2312" w:hAnsi="Times New Roman" w:eastAsia="仿宋_GB2312" w:cs="Times New Roman"/>
          <w:sz w:val="24"/>
          <w:szCs w:val="24"/>
        </w:rPr>
      </w:pPr>
      <w:r>
        <w:rPr>
          <w:rFonts w:hint="eastAsia" w:ascii="仿宋_GB2312" w:hAnsi="Times New Roman" w:eastAsia="仿宋_GB2312" w:cs="Times New Roman"/>
          <w:sz w:val="24"/>
          <w:szCs w:val="24"/>
        </w:rPr>
        <w:t>1.3 与甲方专有技术有关的信息：设备设施资料、设备设施运行参数、设备设施运行记录等；</w:t>
      </w:r>
    </w:p>
    <w:p>
      <w:pPr>
        <w:adjustRightInd/>
        <w:snapToGrid/>
        <w:spacing w:line="560" w:lineRule="exact"/>
        <w:ind w:firstLine="480" w:firstLineChars="200"/>
        <w:rPr>
          <w:rFonts w:ascii="仿宋_GB2312" w:hAnsi="Times New Roman" w:eastAsia="仿宋_GB2312" w:cs="Times New Roman"/>
          <w:sz w:val="24"/>
          <w:szCs w:val="24"/>
        </w:rPr>
      </w:pPr>
      <w:r>
        <w:rPr>
          <w:rFonts w:hint="eastAsia" w:ascii="仿宋_GB2312" w:hAnsi="Times New Roman" w:eastAsia="仿宋_GB2312" w:cs="Times New Roman"/>
          <w:sz w:val="24"/>
          <w:szCs w:val="24"/>
        </w:rPr>
        <w:t>1.4 与甲方财务有关的信息：财务预算、财务报表等；</w:t>
      </w:r>
    </w:p>
    <w:p>
      <w:pPr>
        <w:adjustRightInd/>
        <w:snapToGrid/>
        <w:spacing w:line="560" w:lineRule="exact"/>
        <w:ind w:firstLine="480" w:firstLineChars="200"/>
        <w:rPr>
          <w:rFonts w:ascii="仿宋_GB2312" w:hAnsi="Times New Roman" w:eastAsia="仿宋_GB2312" w:cs="Times New Roman"/>
          <w:sz w:val="24"/>
          <w:szCs w:val="24"/>
        </w:rPr>
      </w:pPr>
      <w:r>
        <w:rPr>
          <w:rFonts w:hint="eastAsia" w:ascii="仿宋_GB2312" w:hAnsi="Times New Roman" w:eastAsia="仿宋_GB2312" w:cs="Times New Roman"/>
          <w:sz w:val="24"/>
          <w:szCs w:val="24"/>
        </w:rPr>
        <w:t>1.5 与甲方管理活动有关的信息：北京园博园管理中心重大活动及会议等；</w:t>
      </w:r>
    </w:p>
    <w:p>
      <w:pPr>
        <w:adjustRightInd/>
        <w:snapToGrid/>
        <w:spacing w:line="560" w:lineRule="exact"/>
        <w:ind w:firstLine="480" w:firstLineChars="200"/>
        <w:rPr>
          <w:rFonts w:ascii="仿宋_GB2312" w:hAnsi="Times New Roman" w:eastAsia="仿宋_GB2312" w:cs="Times New Roman"/>
          <w:sz w:val="24"/>
          <w:szCs w:val="24"/>
        </w:rPr>
      </w:pPr>
      <w:r>
        <w:rPr>
          <w:rFonts w:hint="eastAsia" w:ascii="仿宋_GB2312" w:hAnsi="Times New Roman" w:eastAsia="仿宋_GB2312" w:cs="Times New Roman"/>
          <w:sz w:val="24"/>
          <w:szCs w:val="24"/>
        </w:rPr>
        <w:t>1.6 与甲方有关的其他信息。</w:t>
      </w:r>
    </w:p>
    <w:p>
      <w:pPr>
        <w:adjustRightInd/>
        <w:snapToGrid/>
        <w:spacing w:line="560" w:lineRule="exact"/>
        <w:ind w:firstLine="480" w:firstLineChars="200"/>
        <w:rPr>
          <w:rFonts w:ascii="仿宋_GB2312" w:hAnsi="Times New Roman" w:eastAsia="仿宋_GB2312" w:cs="Times New Roman"/>
          <w:sz w:val="24"/>
          <w:szCs w:val="24"/>
        </w:rPr>
      </w:pPr>
      <w:r>
        <w:rPr>
          <w:rFonts w:hint="eastAsia" w:ascii="仿宋_GB2312" w:hAnsi="Times New Roman" w:eastAsia="仿宋_GB2312" w:cs="Times New Roman"/>
          <w:sz w:val="24"/>
          <w:szCs w:val="24"/>
        </w:rPr>
        <w:t>2.出于保护甲方商业秘密之目的，乙方理解并同意商业秘密包括任何与甲方有关之任何机密信息及商业信息。</w:t>
      </w:r>
    </w:p>
    <w:p>
      <w:pPr>
        <w:adjustRightInd/>
        <w:snapToGrid/>
        <w:spacing w:line="560" w:lineRule="exact"/>
        <w:ind w:firstLine="480" w:firstLineChars="200"/>
        <w:rPr>
          <w:rFonts w:ascii="仿宋_GB2312" w:hAnsi="Times New Roman" w:eastAsia="仿宋_GB2312" w:cs="Times New Roman"/>
          <w:sz w:val="24"/>
          <w:szCs w:val="24"/>
        </w:rPr>
      </w:pPr>
      <w:r>
        <w:rPr>
          <w:rFonts w:hint="eastAsia" w:ascii="仿宋_GB2312" w:hAnsi="Times New Roman" w:eastAsia="仿宋_GB2312" w:cs="Times New Roman"/>
          <w:sz w:val="24"/>
          <w:szCs w:val="24"/>
        </w:rPr>
        <w:t>3.乙方理解并同意在双开展业务过程中由甲方提供的任何信息，均属于商业秘密，乙方使用该信息同样受本责任书约束。</w:t>
      </w:r>
    </w:p>
    <w:p>
      <w:pPr>
        <w:adjustRightInd/>
        <w:snapToGrid/>
        <w:spacing w:line="560" w:lineRule="exact"/>
        <w:ind w:firstLine="480" w:firstLineChars="200"/>
        <w:rPr>
          <w:rFonts w:ascii="仿宋_GB2312" w:hAnsi="Times New Roman" w:eastAsia="仿宋_GB2312" w:cs="Times New Roman"/>
          <w:sz w:val="24"/>
          <w:szCs w:val="24"/>
        </w:rPr>
      </w:pPr>
      <w:r>
        <w:rPr>
          <w:rFonts w:hint="eastAsia" w:ascii="仿宋_GB2312" w:hAnsi="Times New Roman" w:eastAsia="仿宋_GB2312" w:cs="Times New Roman"/>
          <w:sz w:val="24"/>
          <w:szCs w:val="24"/>
        </w:rPr>
        <w:t>4.保密义务</w:t>
      </w:r>
    </w:p>
    <w:p>
      <w:pPr>
        <w:adjustRightInd/>
        <w:snapToGrid/>
        <w:spacing w:line="560" w:lineRule="exact"/>
        <w:ind w:firstLine="480" w:firstLineChars="200"/>
        <w:rPr>
          <w:rFonts w:ascii="仿宋_GB2312" w:hAnsi="Times New Roman" w:eastAsia="仿宋_GB2312" w:cs="Times New Roman"/>
          <w:sz w:val="24"/>
          <w:szCs w:val="24"/>
        </w:rPr>
      </w:pPr>
      <w:r>
        <w:rPr>
          <w:rFonts w:hint="eastAsia" w:ascii="仿宋_GB2312" w:hAnsi="Times New Roman" w:eastAsia="仿宋_GB2312" w:cs="Times New Roman"/>
          <w:sz w:val="24"/>
          <w:szCs w:val="24"/>
        </w:rPr>
        <w:t>乙方有责任和义务严格保守商业秘密，并且应尽到合理的义务，不向任何第三方披露商业秘密。此等义务至少应等同于乙方在保护其自身的商业秘密时所尽到的义务。包括：</w:t>
      </w:r>
    </w:p>
    <w:p>
      <w:pPr>
        <w:adjustRightInd/>
        <w:snapToGrid/>
        <w:spacing w:line="560" w:lineRule="exact"/>
        <w:ind w:firstLine="480" w:firstLineChars="200"/>
        <w:rPr>
          <w:rFonts w:ascii="仿宋_GB2312" w:hAnsi="Times New Roman" w:eastAsia="仿宋_GB2312" w:cs="Times New Roman"/>
          <w:sz w:val="24"/>
          <w:szCs w:val="24"/>
        </w:rPr>
      </w:pPr>
      <w:r>
        <w:rPr>
          <w:rFonts w:hint="eastAsia" w:ascii="仿宋_GB2312" w:hAnsi="Times New Roman" w:eastAsia="仿宋_GB2312" w:cs="Times New Roman"/>
          <w:sz w:val="24"/>
          <w:szCs w:val="24"/>
        </w:rPr>
        <w:t>4.1 非经甲方书面同意，乙方不得在任何时间以任何形式将商业秘密披露或提供给任何第三方；</w:t>
      </w:r>
    </w:p>
    <w:p>
      <w:pPr>
        <w:adjustRightInd/>
        <w:snapToGrid/>
        <w:spacing w:line="560" w:lineRule="exact"/>
        <w:ind w:firstLine="480" w:firstLineChars="200"/>
        <w:rPr>
          <w:rFonts w:ascii="仿宋_GB2312" w:hAnsi="Times New Roman" w:eastAsia="仿宋_GB2312" w:cs="Times New Roman"/>
          <w:sz w:val="24"/>
          <w:szCs w:val="24"/>
        </w:rPr>
      </w:pPr>
      <w:r>
        <w:rPr>
          <w:rFonts w:hint="eastAsia" w:ascii="仿宋_GB2312" w:hAnsi="Times New Roman" w:eastAsia="仿宋_GB2312" w:cs="Times New Roman"/>
          <w:sz w:val="24"/>
          <w:szCs w:val="24"/>
        </w:rPr>
        <w:t>4.2 除拟议目的外，不得将商业秘密用于任何其他目的，乙方不得在拟议目的之外，以任何方式复制被列为商业秘密的信息；</w:t>
      </w:r>
    </w:p>
    <w:p>
      <w:pPr>
        <w:adjustRightInd/>
        <w:snapToGrid/>
        <w:spacing w:line="560" w:lineRule="exact"/>
        <w:ind w:firstLine="480" w:firstLineChars="200"/>
        <w:rPr>
          <w:rFonts w:ascii="仿宋_GB2312" w:hAnsi="Times New Roman" w:eastAsia="仿宋_GB2312" w:cs="Times New Roman"/>
          <w:sz w:val="24"/>
          <w:szCs w:val="24"/>
        </w:rPr>
      </w:pPr>
      <w:r>
        <w:rPr>
          <w:rFonts w:hint="eastAsia" w:ascii="仿宋_GB2312" w:hAnsi="Times New Roman" w:eastAsia="仿宋_GB2312" w:cs="Times New Roman"/>
          <w:sz w:val="24"/>
          <w:szCs w:val="24"/>
        </w:rPr>
        <w:t>4.3 乙方确因工作需要必须复制含有商业秘密的资料时，应严格遵照甲方之保密要求。非经甲方书面同意，乙方不得将含有商业秘密的资料带离北京园博园管理中心；</w:t>
      </w:r>
    </w:p>
    <w:p>
      <w:pPr>
        <w:adjustRightInd/>
        <w:snapToGrid/>
        <w:spacing w:line="560" w:lineRule="exact"/>
        <w:ind w:firstLine="480" w:firstLineChars="200"/>
        <w:rPr>
          <w:rFonts w:ascii="仿宋_GB2312" w:hAnsi="Times New Roman" w:eastAsia="仿宋_GB2312" w:cs="Times New Roman"/>
          <w:sz w:val="24"/>
          <w:szCs w:val="24"/>
        </w:rPr>
      </w:pPr>
      <w:r>
        <w:rPr>
          <w:rFonts w:hint="eastAsia" w:ascii="仿宋_GB2312" w:hAnsi="Times New Roman" w:eastAsia="仿宋_GB2312" w:cs="Times New Roman"/>
          <w:sz w:val="24"/>
          <w:szCs w:val="24"/>
        </w:rPr>
        <w:t>4.4 乙方不得在公共场合或通过公共媒介（包括但不限于电话、电子邮件、报社、出版物、互联网等）谈论涉及商业秘密的内容。须通过公共媒介传递机密信息时，乙方应取得甲方事先的书面同意并按照甲方的保密要求采取严格的保密措施；</w:t>
      </w:r>
    </w:p>
    <w:p>
      <w:pPr>
        <w:adjustRightInd/>
        <w:snapToGrid/>
        <w:spacing w:line="560" w:lineRule="exact"/>
        <w:ind w:firstLine="480" w:firstLineChars="200"/>
        <w:rPr>
          <w:rFonts w:ascii="仿宋_GB2312" w:hAnsi="Times New Roman" w:eastAsia="仿宋_GB2312" w:cs="Times New Roman"/>
          <w:sz w:val="24"/>
          <w:szCs w:val="24"/>
        </w:rPr>
      </w:pPr>
      <w:r>
        <w:rPr>
          <w:rFonts w:hint="eastAsia" w:ascii="仿宋_GB2312" w:hAnsi="Times New Roman" w:eastAsia="仿宋_GB2312" w:cs="Times New Roman"/>
          <w:sz w:val="24"/>
          <w:szCs w:val="24"/>
        </w:rPr>
        <w:t>4.5 未经甲方书面同意，乙方不得使用或允许任何第三方使用不正当的手段获取的商业秘密。本条款所称之不正当的手段包括盗窃、欺诈、胁迫、贿赂</w:t>
      </w:r>
      <w:r>
        <w:rPr>
          <w:rFonts w:hint="eastAsia" w:ascii="仿宋_GB2312" w:hAnsi="仿宋_GB2312" w:eastAsia="仿宋_GB2312" w:cs="仿宋_GB2312"/>
          <w:sz w:val="24"/>
          <w:szCs w:val="24"/>
        </w:rPr>
        <w:t>、擅自复制、违反保密义务、引诱他人违反保密义务或其他不正当手段。</w:t>
      </w:r>
    </w:p>
    <w:p>
      <w:pPr>
        <w:adjustRightInd/>
        <w:snapToGrid/>
        <w:spacing w:line="560" w:lineRule="exact"/>
        <w:ind w:firstLine="480" w:firstLineChars="200"/>
        <w:rPr>
          <w:rFonts w:ascii="仿宋_GB2312" w:hAnsi="Times New Roman" w:eastAsia="仿宋_GB2312" w:cs="Times New Roman"/>
          <w:sz w:val="24"/>
          <w:szCs w:val="24"/>
        </w:rPr>
      </w:pPr>
      <w:r>
        <w:rPr>
          <w:rFonts w:hint="eastAsia" w:ascii="仿宋_GB2312" w:hAnsi="Times New Roman" w:eastAsia="仿宋_GB2312" w:cs="Times New Roman"/>
          <w:sz w:val="24"/>
          <w:szCs w:val="24"/>
        </w:rPr>
        <w:t>5. 乙方对任何信息的性质、保密程度不明确的，必须主动向甲方寻求书面确认。</w:t>
      </w:r>
    </w:p>
    <w:p>
      <w:pPr>
        <w:adjustRightInd/>
        <w:snapToGrid/>
        <w:spacing w:line="560" w:lineRule="exact"/>
        <w:ind w:firstLine="482" w:firstLineChars="200"/>
        <w:rPr>
          <w:rFonts w:ascii="仿宋_GB2312" w:hAnsi="Times New Roman" w:eastAsia="仿宋_GB2312" w:cs="Times New Roman"/>
          <w:b/>
          <w:sz w:val="24"/>
          <w:szCs w:val="24"/>
        </w:rPr>
      </w:pPr>
      <w:r>
        <w:rPr>
          <w:rFonts w:hint="eastAsia" w:ascii="仿宋_GB2312" w:hAnsi="Times New Roman" w:eastAsia="仿宋_GB2312" w:cs="Times New Roman"/>
          <w:b/>
          <w:sz w:val="24"/>
          <w:szCs w:val="24"/>
        </w:rPr>
        <w:t>6.例外情</w:t>
      </w:r>
      <w:r>
        <w:rPr>
          <w:rFonts w:hint="eastAsia" w:ascii="宋体" w:hAnsi="宋体" w:eastAsia="宋体" w:cs="宋体"/>
          <w:b/>
          <w:sz w:val="24"/>
          <w:szCs w:val="24"/>
        </w:rPr>
        <w:t>況</w:t>
      </w:r>
    </w:p>
    <w:p>
      <w:pPr>
        <w:adjustRightInd/>
        <w:snapToGrid/>
        <w:spacing w:line="560" w:lineRule="exact"/>
        <w:ind w:firstLine="480" w:firstLineChars="200"/>
        <w:rPr>
          <w:rFonts w:ascii="仿宋_GB2312" w:hAnsi="Times New Roman" w:eastAsia="仿宋_GB2312" w:cs="Times New Roman"/>
          <w:sz w:val="24"/>
          <w:szCs w:val="24"/>
        </w:rPr>
      </w:pPr>
      <w:r>
        <w:rPr>
          <w:rFonts w:hint="eastAsia" w:ascii="仿宋_GB2312" w:hAnsi="Times New Roman" w:eastAsia="仿宋_GB2312" w:cs="Times New Roman"/>
          <w:sz w:val="24"/>
          <w:szCs w:val="24"/>
        </w:rPr>
        <w:t>在下列情况下，乙方对于商业秘密的披露将不承担法律责任，前提条件是如果乙方能够证明该信息系：</w:t>
      </w:r>
    </w:p>
    <w:p>
      <w:pPr>
        <w:adjustRightInd/>
        <w:snapToGrid/>
        <w:spacing w:line="560" w:lineRule="exact"/>
        <w:ind w:firstLine="480" w:firstLineChars="200"/>
        <w:rPr>
          <w:rFonts w:ascii="仿宋_GB2312" w:hAnsi="Times New Roman" w:eastAsia="仿宋_GB2312" w:cs="Times New Roman"/>
          <w:sz w:val="24"/>
          <w:szCs w:val="24"/>
        </w:rPr>
      </w:pPr>
      <w:r>
        <w:rPr>
          <w:rFonts w:hint="eastAsia" w:ascii="仿宋_GB2312" w:hAnsi="Times New Roman" w:eastAsia="仿宋_GB2312" w:cs="Times New Roman"/>
          <w:sz w:val="24"/>
          <w:szCs w:val="24"/>
        </w:rPr>
        <w:t>6.1 乙方通过书面证据证明其在接受甲方的信息之前已知悉该商业秘密；</w:t>
      </w:r>
    </w:p>
    <w:p>
      <w:pPr>
        <w:adjustRightInd/>
        <w:snapToGrid/>
        <w:spacing w:line="560" w:lineRule="exact"/>
        <w:ind w:firstLine="480" w:firstLineChars="200"/>
        <w:rPr>
          <w:rFonts w:ascii="仿宋_GB2312" w:hAnsi="Times New Roman" w:eastAsia="仿宋_GB2312" w:cs="Times New Roman"/>
          <w:sz w:val="24"/>
          <w:szCs w:val="24"/>
        </w:rPr>
      </w:pPr>
      <w:r>
        <w:rPr>
          <w:rFonts w:hint="eastAsia" w:ascii="仿宋_GB2312" w:hAnsi="Times New Roman" w:eastAsia="仿宋_GB2312" w:cs="Times New Roman"/>
          <w:sz w:val="24"/>
          <w:szCs w:val="24"/>
        </w:rPr>
        <w:t>6.2 在本责任书签署之日或其后之任何时间在乙方不违反本责任书的情况下为公众所知悉；</w:t>
      </w:r>
    </w:p>
    <w:p>
      <w:pPr>
        <w:adjustRightInd/>
        <w:snapToGrid/>
        <w:spacing w:line="560" w:lineRule="exact"/>
        <w:ind w:firstLine="480" w:firstLineChars="200"/>
        <w:rPr>
          <w:rFonts w:ascii="仿宋_GB2312" w:hAnsi="Times New Roman" w:eastAsia="仿宋_GB2312" w:cs="Times New Roman"/>
          <w:sz w:val="24"/>
          <w:szCs w:val="24"/>
        </w:rPr>
      </w:pPr>
      <w:r>
        <w:rPr>
          <w:rFonts w:hint="eastAsia" w:ascii="仿宋_GB2312" w:hAnsi="Times New Roman" w:eastAsia="仿宋_GB2312" w:cs="Times New Roman"/>
          <w:sz w:val="24"/>
          <w:szCs w:val="24"/>
        </w:rPr>
        <w:t>6.3 经由甲方以外的渠道合法获得；</w:t>
      </w:r>
    </w:p>
    <w:p>
      <w:pPr>
        <w:adjustRightInd/>
        <w:snapToGrid/>
        <w:spacing w:line="560" w:lineRule="exact"/>
        <w:ind w:firstLine="480" w:firstLineChars="200"/>
        <w:rPr>
          <w:rFonts w:ascii="仿宋_GB2312" w:hAnsi="Times New Roman" w:eastAsia="仿宋_GB2312" w:cs="Times New Roman"/>
          <w:sz w:val="24"/>
          <w:szCs w:val="24"/>
        </w:rPr>
      </w:pPr>
      <w:r>
        <w:rPr>
          <w:rFonts w:hint="eastAsia" w:ascii="仿宋_GB2312" w:hAnsi="Times New Roman" w:eastAsia="仿宋_GB2312" w:cs="Times New Roman"/>
          <w:sz w:val="24"/>
          <w:szCs w:val="24"/>
        </w:rPr>
        <w:t>6.4 甲方书面批准乙方向第三方披露读信息；</w:t>
      </w:r>
    </w:p>
    <w:p>
      <w:pPr>
        <w:adjustRightInd/>
        <w:snapToGrid/>
        <w:spacing w:line="560" w:lineRule="exact"/>
        <w:ind w:firstLine="480" w:firstLineChars="200"/>
        <w:rPr>
          <w:rFonts w:ascii="仿宋_GB2312" w:hAnsi="Times New Roman" w:eastAsia="仿宋_GB2312" w:cs="Times New Roman"/>
          <w:sz w:val="24"/>
          <w:szCs w:val="24"/>
        </w:rPr>
      </w:pPr>
      <w:r>
        <w:rPr>
          <w:rFonts w:hint="eastAsia" w:ascii="仿宋_GB2312" w:hAnsi="Times New Roman" w:eastAsia="仿宋_GB2312" w:cs="Times New Roman"/>
          <w:sz w:val="24"/>
          <w:szCs w:val="24"/>
        </w:rPr>
        <w:t>6.5 因适用法律或法院命令的要求而使用或披露的。遇此情形，所使用或披露的范围应仅限于该信息适用法律或法院命令所明确规定的内容，且乙方应在此种使用或披露之前通知甲方该信息适用法律或法院命令的有关规定，以便各方考虑采取适当的保护性措施。</w:t>
      </w:r>
    </w:p>
    <w:p>
      <w:pPr>
        <w:adjustRightInd/>
        <w:snapToGrid/>
        <w:spacing w:line="560" w:lineRule="exact"/>
        <w:ind w:firstLine="482" w:firstLineChars="200"/>
        <w:rPr>
          <w:rFonts w:ascii="仿宋_GB2312" w:hAnsi="Times New Roman" w:eastAsia="仿宋_GB2312" w:cs="Times New Roman"/>
          <w:b/>
          <w:sz w:val="24"/>
          <w:szCs w:val="24"/>
        </w:rPr>
      </w:pPr>
      <w:r>
        <w:rPr>
          <w:rFonts w:hint="eastAsia" w:ascii="仿宋_GB2312" w:hAnsi="Times New Roman" w:eastAsia="仿宋_GB2312" w:cs="Times New Roman"/>
          <w:b/>
          <w:sz w:val="24"/>
          <w:szCs w:val="24"/>
        </w:rPr>
        <w:t>7.材料之返还</w:t>
      </w:r>
    </w:p>
    <w:p>
      <w:pPr>
        <w:adjustRightInd/>
        <w:snapToGrid/>
        <w:spacing w:line="560" w:lineRule="exact"/>
        <w:ind w:firstLine="480" w:firstLineChars="200"/>
        <w:rPr>
          <w:rFonts w:ascii="仿宋_GB2312" w:hAnsi="Times New Roman" w:eastAsia="仿宋_GB2312" w:cs="Times New Roman"/>
          <w:sz w:val="24"/>
          <w:szCs w:val="24"/>
        </w:rPr>
      </w:pPr>
      <w:r>
        <w:rPr>
          <w:rFonts w:hint="eastAsia" w:ascii="仿宋_GB2312" w:hAnsi="Times New Roman" w:eastAsia="仿宋_GB2312" w:cs="Times New Roman"/>
          <w:sz w:val="24"/>
          <w:szCs w:val="24"/>
        </w:rPr>
        <w:t>所有由甲方向乙方传递的包含甲方商业秘密的材料均为甲方的财产，并应在甲方要求时全部返还甲方（包括任何形式的复印件）：或由甲方指定的人员监督之下予以销毁。</w:t>
      </w:r>
    </w:p>
    <w:p>
      <w:pPr>
        <w:adjustRightInd/>
        <w:snapToGrid/>
        <w:spacing w:line="560" w:lineRule="exact"/>
        <w:ind w:firstLine="480" w:firstLineChars="200"/>
        <w:rPr>
          <w:rFonts w:ascii="仿宋_GB2312" w:hAnsi="Times New Roman" w:eastAsia="仿宋_GB2312" w:cs="Times New Roman"/>
          <w:sz w:val="24"/>
          <w:szCs w:val="24"/>
        </w:rPr>
      </w:pPr>
    </w:p>
    <w:p>
      <w:pPr>
        <w:adjustRightInd/>
        <w:snapToGrid/>
        <w:spacing w:line="560" w:lineRule="exact"/>
        <w:rPr>
          <w:rFonts w:ascii="仿宋_GB2312" w:hAnsi="黑体" w:eastAsia="仿宋_GB2312" w:cs="宋体"/>
          <w:b/>
          <w:sz w:val="24"/>
          <w:szCs w:val="24"/>
        </w:rPr>
      </w:pPr>
      <w:r>
        <w:rPr>
          <w:rFonts w:hint="eastAsia" w:ascii="仿宋_GB2312" w:hAnsi="黑体" w:eastAsia="仿宋_GB2312" w:cs="宋体"/>
          <w:b/>
          <w:sz w:val="24"/>
          <w:szCs w:val="24"/>
        </w:rPr>
        <w:t>甲方：北京园博园管理中心            乙方：</w:t>
      </w:r>
    </w:p>
    <w:p>
      <w:pPr>
        <w:adjustRightInd/>
        <w:snapToGrid/>
        <w:spacing w:line="560" w:lineRule="exact"/>
        <w:rPr>
          <w:rFonts w:ascii="仿宋_GB2312" w:hAnsi="黑体" w:eastAsia="仿宋_GB2312" w:cs="宋体"/>
          <w:b/>
          <w:sz w:val="24"/>
          <w:szCs w:val="24"/>
        </w:rPr>
      </w:pPr>
    </w:p>
    <w:p>
      <w:pPr>
        <w:adjustRightInd/>
        <w:snapToGrid/>
        <w:spacing w:line="560" w:lineRule="exact"/>
        <w:rPr>
          <w:rFonts w:ascii="仿宋_GB2312" w:hAnsi="黑体" w:eastAsia="仿宋_GB2312" w:cs="宋体"/>
          <w:b/>
          <w:sz w:val="24"/>
          <w:szCs w:val="24"/>
        </w:rPr>
      </w:pPr>
      <w:r>
        <w:rPr>
          <w:rFonts w:hint="eastAsia" w:ascii="仿宋_GB2312" w:hAnsi="黑体" w:eastAsia="仿宋_GB2312" w:cs="宋体"/>
          <w:b/>
          <w:snapToGrid w:val="0"/>
          <w:sz w:val="24"/>
          <w:szCs w:val="24"/>
        </w:rPr>
        <w:t>法定代表人或授权委托人</w:t>
      </w:r>
      <w:r>
        <w:rPr>
          <w:rFonts w:hint="eastAsia" w:ascii="仿宋_GB2312" w:hAnsi="黑体" w:eastAsia="仿宋_GB2312" w:cs="宋体"/>
          <w:b/>
          <w:sz w:val="24"/>
          <w:szCs w:val="24"/>
        </w:rPr>
        <w:t xml:space="preserve">：            </w:t>
      </w:r>
      <w:r>
        <w:rPr>
          <w:rFonts w:hint="eastAsia" w:ascii="仿宋_GB2312" w:hAnsi="黑体" w:eastAsia="仿宋_GB2312" w:cs="宋体"/>
          <w:b/>
          <w:snapToGrid w:val="0"/>
          <w:sz w:val="24"/>
          <w:szCs w:val="24"/>
        </w:rPr>
        <w:t>法定代表人或授权委托人</w:t>
      </w:r>
      <w:r>
        <w:rPr>
          <w:rFonts w:hint="eastAsia" w:ascii="仿宋_GB2312" w:hAnsi="黑体" w:eastAsia="仿宋_GB2312" w:cs="宋体"/>
          <w:b/>
          <w:sz w:val="24"/>
          <w:szCs w:val="24"/>
        </w:rPr>
        <w:t>：</w:t>
      </w:r>
    </w:p>
    <w:p>
      <w:pPr>
        <w:adjustRightInd/>
        <w:snapToGrid/>
        <w:spacing w:line="560" w:lineRule="exact"/>
        <w:rPr>
          <w:rFonts w:ascii="仿宋_GB2312" w:hAnsi="黑体" w:eastAsia="仿宋_GB2312" w:cs="宋体"/>
          <w:b/>
          <w:sz w:val="24"/>
          <w:szCs w:val="24"/>
        </w:rPr>
      </w:pPr>
      <w:r>
        <w:rPr>
          <w:rFonts w:hint="eastAsia" w:ascii="仿宋_GB2312" w:hAnsi="黑体" w:eastAsia="仿宋_GB2312" w:cs="宋体"/>
          <w:b/>
          <w:sz w:val="24"/>
          <w:szCs w:val="24"/>
        </w:rPr>
        <w:t xml:space="preserve">                                   </w:t>
      </w:r>
    </w:p>
    <w:p>
      <w:pPr>
        <w:adjustRightInd/>
        <w:snapToGrid/>
        <w:spacing w:line="560" w:lineRule="exact"/>
        <w:rPr>
          <w:rFonts w:ascii="仿宋_GB2312" w:hAnsi="黑体" w:eastAsia="仿宋_GB2312" w:cs="宋体"/>
          <w:b/>
          <w:sz w:val="24"/>
          <w:szCs w:val="24"/>
        </w:rPr>
      </w:pPr>
      <w:r>
        <w:rPr>
          <w:rFonts w:hint="eastAsia" w:ascii="仿宋_GB2312" w:hAnsi="黑体" w:eastAsia="仿宋_GB2312" w:cs="宋体"/>
          <w:b/>
          <w:sz w:val="24"/>
          <w:szCs w:val="24"/>
        </w:rPr>
        <w:t>日期:    年   月   日               日期:   年   月   日</w:t>
      </w:r>
    </w:p>
    <w:p>
      <w:pPr>
        <w:adjustRightInd/>
        <w:snapToGrid/>
        <w:spacing w:line="560" w:lineRule="exact"/>
        <w:rPr>
          <w:rFonts w:ascii="仿宋_GB2312" w:hAnsi="黑体" w:eastAsia="仿宋_GB2312" w:cs="宋体"/>
          <w:b/>
          <w:sz w:val="24"/>
          <w:szCs w:val="24"/>
        </w:rPr>
      </w:pPr>
      <w:r>
        <w:rPr>
          <w:rFonts w:hint="eastAsia" w:ascii="仿宋_GB2312" w:hAnsi="黑体" w:eastAsia="仿宋_GB2312" w:cs="宋体"/>
          <w:b/>
          <w:sz w:val="24"/>
          <w:szCs w:val="24"/>
        </w:rPr>
        <w:br w:type="page"/>
      </w:r>
    </w:p>
    <w:p>
      <w:pPr>
        <w:adjustRightInd/>
        <w:snapToGrid/>
        <w:spacing w:before="120" w:after="120" w:line="560" w:lineRule="exact"/>
        <w:rPr>
          <w:rFonts w:ascii="仿宋_GB2312" w:hAnsi="华文细黑" w:eastAsia="仿宋_GB2312" w:cs="宋体"/>
          <w:sz w:val="24"/>
          <w:szCs w:val="24"/>
        </w:rPr>
      </w:pPr>
      <w:r>
        <w:rPr>
          <w:rFonts w:hint="eastAsia" w:ascii="仿宋" w:hAnsi="仿宋" w:eastAsia="仿宋" w:cs="Times New Roman"/>
          <w:b/>
          <w:bCs/>
          <w:sz w:val="32"/>
          <w:szCs w:val="24"/>
        </w:rPr>
        <w:t xml:space="preserve">附件8 </w:t>
      </w:r>
    </w:p>
    <w:p>
      <w:pPr>
        <w:adjustRightInd/>
        <w:snapToGrid/>
        <w:spacing w:before="120" w:after="120" w:line="560" w:lineRule="exact"/>
        <w:jc w:val="center"/>
        <w:rPr>
          <w:rFonts w:ascii="仿宋_GB2312" w:hAnsi="华文细黑" w:eastAsia="仿宋_GB2312" w:cs="宋体"/>
          <w:b/>
          <w:bCs/>
          <w:sz w:val="32"/>
          <w:szCs w:val="24"/>
        </w:rPr>
      </w:pPr>
      <w:r>
        <w:rPr>
          <w:rFonts w:hint="eastAsia" w:ascii="仿宋_GB2312" w:hAnsi="华文细黑" w:eastAsia="仿宋_GB2312" w:cs="宋体"/>
          <w:b/>
          <w:bCs/>
          <w:sz w:val="32"/>
          <w:szCs w:val="24"/>
        </w:rPr>
        <w:t>廉政责任书</w:t>
      </w:r>
    </w:p>
    <w:p>
      <w:pPr>
        <w:adjustRightInd/>
        <w:snapToGrid/>
        <w:spacing w:line="560" w:lineRule="exact"/>
        <w:rPr>
          <w:rFonts w:ascii="仿宋_GB2312" w:hAnsi="黑体" w:eastAsia="仿宋_GB2312" w:cs="宋体"/>
          <w:b/>
          <w:sz w:val="24"/>
          <w:szCs w:val="24"/>
        </w:rPr>
      </w:pPr>
      <w:r>
        <w:rPr>
          <w:rFonts w:hint="eastAsia" w:ascii="仿宋_GB2312" w:hAnsi="黑体" w:eastAsia="仿宋_GB2312" w:cs="宋体"/>
          <w:b/>
          <w:sz w:val="24"/>
          <w:szCs w:val="24"/>
        </w:rPr>
        <w:t>甲方：北京园博园管理中心</w:t>
      </w:r>
    </w:p>
    <w:p>
      <w:pPr>
        <w:adjustRightInd/>
        <w:snapToGrid/>
        <w:spacing w:line="560" w:lineRule="exact"/>
        <w:rPr>
          <w:rFonts w:ascii="仿宋_GB2312" w:hAnsi="黑体" w:eastAsia="仿宋_GB2312" w:cs="宋体"/>
          <w:b/>
          <w:sz w:val="24"/>
          <w:szCs w:val="24"/>
        </w:rPr>
      </w:pPr>
      <w:r>
        <w:rPr>
          <w:rFonts w:hint="eastAsia" w:ascii="仿宋_GB2312" w:hAnsi="黑体" w:eastAsia="仿宋_GB2312" w:cs="宋体"/>
          <w:b/>
          <w:sz w:val="24"/>
          <w:szCs w:val="24"/>
        </w:rPr>
        <w:t>乙方：</w:t>
      </w:r>
    </w:p>
    <w:p>
      <w:pPr>
        <w:adjustRightInd/>
        <w:snapToGrid/>
        <w:spacing w:line="560" w:lineRule="exact"/>
        <w:ind w:firstLine="480" w:firstLineChars="200"/>
        <w:rPr>
          <w:rFonts w:ascii="仿宋_GB2312" w:hAnsi="Times New Roman" w:eastAsia="仿宋_GB2312" w:cs="Times New Roman"/>
          <w:sz w:val="24"/>
          <w:szCs w:val="24"/>
        </w:rPr>
      </w:pPr>
      <w:r>
        <w:rPr>
          <w:rFonts w:hint="eastAsia" w:ascii="仿宋_GB2312" w:hAnsi="Times New Roman" w:eastAsia="仿宋_GB2312" w:cs="Times New Roman"/>
          <w:sz w:val="24"/>
          <w:szCs w:val="24"/>
        </w:rPr>
        <w:t>甲乙双方因北京园博园管理中心项目签订《</w:t>
      </w:r>
      <w:r>
        <w:rPr>
          <w:rFonts w:hint="eastAsia" w:ascii="仿宋_GB2312" w:hAnsi="Times New Roman" w:eastAsia="仿宋_GB2312" w:cs="Times New Roman"/>
          <w:b w:val="0"/>
          <w:bCs w:val="0"/>
          <w:sz w:val="24"/>
          <w:szCs w:val="24"/>
        </w:rPr>
        <w:t>2024年园博园再生水利用项目合同</w:t>
      </w:r>
      <w:r>
        <w:rPr>
          <w:rFonts w:hint="eastAsia" w:ascii="仿宋_GB2312" w:hAnsi="Times New Roman" w:eastAsia="仿宋_GB2312" w:cs="Times New Roman"/>
          <w:sz w:val="24"/>
          <w:szCs w:val="24"/>
        </w:rPr>
        <w:t>》，为加强在合同履行中的廉政建设，规范双方的行为，预防各种谋取不正当利益的违法、违纪行为的发生，特订立本廉政责任书。</w:t>
      </w:r>
    </w:p>
    <w:p>
      <w:pPr>
        <w:adjustRightInd/>
        <w:snapToGrid/>
        <w:spacing w:line="560" w:lineRule="exact"/>
        <w:ind w:firstLine="482" w:firstLineChars="200"/>
        <w:rPr>
          <w:rFonts w:ascii="仿宋_GB2312" w:hAnsi="Times New Roman" w:eastAsia="仿宋_GB2312" w:cs="Times New Roman"/>
          <w:b/>
          <w:sz w:val="24"/>
          <w:szCs w:val="24"/>
        </w:rPr>
      </w:pPr>
      <w:r>
        <w:rPr>
          <w:rFonts w:hint="eastAsia" w:ascii="仿宋_GB2312" w:hAnsi="Times New Roman" w:eastAsia="仿宋_GB2312" w:cs="Times New Roman"/>
          <w:b/>
          <w:sz w:val="24"/>
          <w:szCs w:val="24"/>
        </w:rPr>
        <w:t>1.双方承诺</w:t>
      </w:r>
    </w:p>
    <w:p>
      <w:pPr>
        <w:adjustRightInd/>
        <w:snapToGrid/>
        <w:spacing w:line="560" w:lineRule="exact"/>
        <w:ind w:firstLine="480" w:firstLineChars="200"/>
        <w:rPr>
          <w:rFonts w:ascii="仿宋_GB2312" w:hAnsi="Times New Roman" w:eastAsia="仿宋_GB2312" w:cs="Times New Roman"/>
          <w:sz w:val="24"/>
          <w:szCs w:val="24"/>
        </w:rPr>
      </w:pPr>
      <w:r>
        <w:rPr>
          <w:rFonts w:hint="eastAsia" w:ascii="仿宋_GB2312" w:hAnsi="Times New Roman" w:eastAsia="仿宋_GB2312" w:cs="Times New Roman"/>
          <w:sz w:val="24"/>
          <w:szCs w:val="24"/>
        </w:rPr>
        <w:t>1.1 严格遵守国家法律、法规，相关政策及廉政建设的各项规定。</w:t>
      </w:r>
    </w:p>
    <w:p>
      <w:pPr>
        <w:adjustRightInd/>
        <w:snapToGrid/>
        <w:spacing w:line="560" w:lineRule="exact"/>
        <w:ind w:firstLine="480" w:firstLineChars="200"/>
        <w:rPr>
          <w:rFonts w:ascii="仿宋_GB2312" w:hAnsi="Times New Roman" w:eastAsia="仿宋_GB2312" w:cs="Times New Roman"/>
          <w:sz w:val="24"/>
          <w:szCs w:val="24"/>
        </w:rPr>
      </w:pPr>
      <w:r>
        <w:rPr>
          <w:rFonts w:hint="eastAsia" w:ascii="仿宋_GB2312" w:hAnsi="Times New Roman" w:eastAsia="仿宋_GB2312" w:cs="Times New Roman"/>
          <w:sz w:val="24"/>
          <w:szCs w:val="24"/>
        </w:rPr>
        <w:t>1.2 严格执行合同文件，自觉按合同办事。</w:t>
      </w:r>
    </w:p>
    <w:p>
      <w:pPr>
        <w:adjustRightInd/>
        <w:snapToGrid/>
        <w:spacing w:line="560" w:lineRule="exact"/>
        <w:ind w:firstLine="480" w:firstLineChars="200"/>
        <w:rPr>
          <w:rFonts w:ascii="仿宋_GB2312" w:hAnsi="Times New Roman" w:eastAsia="仿宋_GB2312" w:cs="Times New Roman"/>
          <w:sz w:val="24"/>
          <w:szCs w:val="24"/>
        </w:rPr>
      </w:pPr>
      <w:r>
        <w:rPr>
          <w:rFonts w:hint="eastAsia" w:ascii="仿宋_GB2312" w:hAnsi="Times New Roman" w:eastAsia="仿宋_GB2312" w:cs="Times New Roman"/>
          <w:sz w:val="24"/>
          <w:szCs w:val="24"/>
        </w:rPr>
        <w:t>1.3 业务活动坚持公开、公平、公正、诚信、透明的原则（除法律法规另有规定者外），不得为获取不正当的利益，损害国家、集体和对方利益，不得违反规章制度。</w:t>
      </w:r>
    </w:p>
    <w:p>
      <w:pPr>
        <w:adjustRightInd/>
        <w:snapToGrid/>
        <w:spacing w:line="560" w:lineRule="exact"/>
        <w:ind w:firstLine="480" w:firstLineChars="200"/>
        <w:rPr>
          <w:rFonts w:ascii="仿宋_GB2312" w:hAnsi="Times New Roman" w:eastAsia="仿宋_GB2312" w:cs="Times New Roman"/>
          <w:sz w:val="24"/>
          <w:szCs w:val="24"/>
        </w:rPr>
      </w:pPr>
      <w:r>
        <w:rPr>
          <w:rFonts w:hint="eastAsia" w:ascii="仿宋_GB2312" w:hAnsi="Times New Roman" w:eastAsia="仿宋_GB2312" w:cs="Times New Roman"/>
          <w:sz w:val="24"/>
          <w:szCs w:val="24"/>
        </w:rPr>
        <w:t>1.4 一方发现对方在业务活动中有违规、违纪、违法行为的，应及时提醒对方，情节严重的，应向其上级主管部门或纪检监察、司法等有关机关举报。</w:t>
      </w:r>
    </w:p>
    <w:p>
      <w:pPr>
        <w:adjustRightInd/>
        <w:snapToGrid/>
        <w:spacing w:line="560" w:lineRule="exact"/>
        <w:ind w:firstLine="480" w:firstLineChars="200"/>
        <w:rPr>
          <w:rFonts w:ascii="仿宋_GB2312" w:hAnsi="Times New Roman" w:eastAsia="仿宋_GB2312" w:cs="Times New Roman"/>
          <w:sz w:val="24"/>
          <w:szCs w:val="24"/>
        </w:rPr>
      </w:pPr>
      <w:r>
        <w:rPr>
          <w:rFonts w:hint="eastAsia" w:ascii="仿宋_GB2312" w:hAnsi="Times New Roman" w:eastAsia="仿宋_GB2312" w:cs="Times New Roman"/>
          <w:sz w:val="24"/>
          <w:szCs w:val="24"/>
        </w:rPr>
        <w:t>1.5 甲、乙方及其所有工作人员，在合同的履行中禁止有下列任一行为：</w:t>
      </w:r>
    </w:p>
    <w:p>
      <w:pPr>
        <w:adjustRightInd/>
        <w:snapToGrid/>
        <w:spacing w:line="560" w:lineRule="exact"/>
        <w:ind w:firstLine="480" w:firstLineChars="200"/>
        <w:rPr>
          <w:rFonts w:ascii="仿宋_GB2312" w:hAnsi="Times New Roman" w:eastAsia="仿宋_GB2312" w:cs="Times New Roman"/>
          <w:sz w:val="24"/>
          <w:szCs w:val="24"/>
        </w:rPr>
      </w:pPr>
      <w:r>
        <w:rPr>
          <w:rFonts w:hint="eastAsia" w:ascii="仿宋_GB2312" w:hAnsi="Times New Roman" w:eastAsia="仿宋_GB2312" w:cs="Times New Roman"/>
          <w:sz w:val="24"/>
          <w:szCs w:val="24"/>
        </w:rPr>
        <w:t>1.5.1 一方以任何理由向对方、相关单位及其工作人员索要、接受或赠送礼金、有价证券、贵重物品和回扣、好处费、感谢费等。</w:t>
      </w:r>
    </w:p>
    <w:p>
      <w:pPr>
        <w:adjustRightInd/>
        <w:snapToGrid/>
        <w:spacing w:line="560" w:lineRule="exact"/>
        <w:ind w:firstLine="480" w:firstLineChars="200"/>
        <w:rPr>
          <w:rFonts w:ascii="仿宋_GB2312" w:hAnsi="Times New Roman" w:eastAsia="仿宋_GB2312" w:cs="Times New Roman"/>
          <w:sz w:val="24"/>
          <w:szCs w:val="24"/>
        </w:rPr>
      </w:pPr>
      <w:r>
        <w:rPr>
          <w:rFonts w:hint="eastAsia" w:ascii="仿宋_GB2312" w:hAnsi="Times New Roman" w:eastAsia="仿宋_GB2312" w:cs="Times New Roman"/>
          <w:sz w:val="24"/>
          <w:szCs w:val="24"/>
        </w:rPr>
        <w:t>1.5.2 一方以任何理由为对方和相关单位报销任何应由对方或个人支付的费用。</w:t>
      </w:r>
    </w:p>
    <w:p>
      <w:pPr>
        <w:adjustRightInd/>
        <w:snapToGrid/>
        <w:spacing w:line="560" w:lineRule="exact"/>
        <w:ind w:firstLine="480" w:firstLineChars="200"/>
        <w:rPr>
          <w:rFonts w:ascii="仿宋_GB2312" w:hAnsi="Times New Roman" w:eastAsia="仿宋_GB2312" w:cs="Times New Roman"/>
          <w:sz w:val="24"/>
          <w:szCs w:val="24"/>
        </w:rPr>
      </w:pPr>
      <w:r>
        <w:rPr>
          <w:rFonts w:hint="eastAsia" w:ascii="仿宋_GB2312" w:hAnsi="Times New Roman" w:eastAsia="仿宋_GB2312" w:cs="Times New Roman"/>
          <w:sz w:val="24"/>
          <w:szCs w:val="24"/>
        </w:rPr>
        <w:t>1.5.3 一方要求、暗示或接受对方和相关单位为个人装修住房、婚丧嫁娶、配偶子女的工作安排以及出国（境）、旅游等提供方便。</w:t>
      </w:r>
    </w:p>
    <w:p>
      <w:pPr>
        <w:adjustRightInd/>
        <w:snapToGrid/>
        <w:spacing w:line="560" w:lineRule="exact"/>
        <w:ind w:firstLine="480" w:firstLineChars="200"/>
        <w:rPr>
          <w:rFonts w:ascii="仿宋_GB2312" w:hAnsi="Times New Roman" w:eastAsia="仿宋_GB2312" w:cs="Times New Roman"/>
          <w:sz w:val="24"/>
          <w:szCs w:val="24"/>
        </w:rPr>
      </w:pPr>
      <w:r>
        <w:rPr>
          <w:rFonts w:hint="eastAsia" w:ascii="仿宋_GB2312" w:hAnsi="Times New Roman" w:eastAsia="仿宋_GB2312" w:cs="Times New Roman"/>
          <w:sz w:val="24"/>
          <w:szCs w:val="24"/>
        </w:rPr>
        <w:t>1.5.4 一方组织或参加有可能影响对方和相关单位及工作人员履行合同权利义务和公正执行公务的宴请、健身、娱乐等活动。</w:t>
      </w:r>
    </w:p>
    <w:p>
      <w:pPr>
        <w:adjustRightInd/>
        <w:snapToGrid/>
        <w:spacing w:line="560" w:lineRule="exact"/>
        <w:ind w:firstLine="480" w:firstLineChars="200"/>
        <w:rPr>
          <w:rFonts w:ascii="仿宋_GB2312" w:hAnsi="Times New Roman" w:eastAsia="仿宋_GB2312" w:cs="Times New Roman"/>
          <w:sz w:val="24"/>
          <w:szCs w:val="24"/>
        </w:rPr>
      </w:pPr>
      <w:r>
        <w:rPr>
          <w:rFonts w:hint="eastAsia" w:ascii="仿宋_GB2312" w:hAnsi="Times New Roman" w:eastAsia="仿宋_GB2312" w:cs="Times New Roman"/>
          <w:sz w:val="24"/>
          <w:szCs w:val="24"/>
        </w:rPr>
        <w:t>1.5.5 一方向对方介绍配偶、子女、亲属参与同与本合同有关的经济活动。</w:t>
      </w:r>
    </w:p>
    <w:p>
      <w:pPr>
        <w:adjustRightInd/>
        <w:snapToGrid/>
        <w:spacing w:line="560" w:lineRule="exact"/>
        <w:ind w:firstLine="482" w:firstLineChars="200"/>
        <w:rPr>
          <w:rFonts w:ascii="仿宋_GB2312" w:hAnsi="Times New Roman" w:eastAsia="仿宋_GB2312" w:cs="Times New Roman"/>
          <w:b/>
          <w:sz w:val="24"/>
          <w:szCs w:val="24"/>
        </w:rPr>
      </w:pPr>
      <w:r>
        <w:rPr>
          <w:rFonts w:hint="eastAsia" w:ascii="仿宋_GB2312" w:hAnsi="Times New Roman" w:eastAsia="仿宋_GB2312" w:cs="Times New Roman"/>
          <w:b/>
          <w:sz w:val="24"/>
          <w:szCs w:val="24"/>
        </w:rPr>
        <w:t>2.责任</w:t>
      </w:r>
    </w:p>
    <w:p>
      <w:pPr>
        <w:adjustRightInd/>
        <w:snapToGrid/>
        <w:spacing w:line="560" w:lineRule="exact"/>
        <w:ind w:firstLine="480" w:firstLineChars="200"/>
        <w:rPr>
          <w:rFonts w:ascii="仿宋_GB2312" w:hAnsi="Times New Roman" w:eastAsia="仿宋_GB2312" w:cs="Times New Roman"/>
          <w:sz w:val="24"/>
          <w:szCs w:val="24"/>
        </w:rPr>
      </w:pPr>
      <w:r>
        <w:rPr>
          <w:rFonts w:hint="eastAsia" w:ascii="仿宋_GB2312" w:hAnsi="Times New Roman" w:eastAsia="仿宋_GB2312" w:cs="Times New Roman"/>
          <w:sz w:val="24"/>
          <w:szCs w:val="24"/>
        </w:rPr>
        <w:t>2.1 一方有违反本责任书第一条情形的，按照管理权限，分别对其责任人给予党纪、政纪处分；依据法律规定，涉嫌犯罪的，由司法机关追究刑事责任：给对方造成经济损失的，应当予以赔偿。</w:t>
      </w:r>
    </w:p>
    <w:p>
      <w:pPr>
        <w:adjustRightInd/>
        <w:snapToGrid/>
        <w:spacing w:line="560" w:lineRule="exact"/>
        <w:ind w:firstLine="480" w:firstLineChars="200"/>
        <w:rPr>
          <w:rFonts w:ascii="仿宋_GB2312" w:hAnsi="Times New Roman" w:eastAsia="仿宋_GB2312" w:cs="Times New Roman"/>
          <w:sz w:val="24"/>
          <w:szCs w:val="24"/>
        </w:rPr>
      </w:pPr>
      <w:r>
        <w:rPr>
          <w:rFonts w:hint="eastAsia" w:ascii="仿宋_GB2312" w:hAnsi="Times New Roman" w:eastAsia="仿宋_GB2312" w:cs="Times New Roman"/>
          <w:sz w:val="24"/>
          <w:szCs w:val="24"/>
        </w:rPr>
        <w:t>2.2 双方一致同意，在本责任书签署前，双方就签订《2024年园博园再生水利用项目合同》的协商过程中，如存在第一条第(五)项的禁止行为，同样受本责任书的约束。</w:t>
      </w:r>
    </w:p>
    <w:p>
      <w:pPr>
        <w:adjustRightInd/>
        <w:snapToGrid/>
        <w:spacing w:line="560" w:lineRule="exact"/>
        <w:ind w:firstLine="480" w:firstLineChars="200"/>
        <w:rPr>
          <w:rFonts w:ascii="仿宋_GB2312" w:hAnsi="Times New Roman" w:eastAsia="仿宋_GB2312" w:cs="Times New Roman"/>
          <w:sz w:val="24"/>
          <w:szCs w:val="24"/>
        </w:rPr>
      </w:pPr>
      <w:r>
        <w:rPr>
          <w:rFonts w:hint="eastAsia" w:ascii="仿宋_GB2312" w:hAnsi="Times New Roman" w:eastAsia="仿宋_GB2312" w:cs="Times New Roman"/>
          <w:sz w:val="24"/>
          <w:szCs w:val="24"/>
        </w:rPr>
        <w:t>3.本责任书作为《2024年园博园再生水利用项目合同》的附件，与合同具有同等法律效力，经双方签署后立即生效。</w:t>
      </w:r>
    </w:p>
    <w:p>
      <w:pPr>
        <w:adjustRightInd/>
        <w:snapToGrid/>
        <w:spacing w:line="560" w:lineRule="exact"/>
        <w:ind w:firstLine="480" w:firstLineChars="200"/>
        <w:rPr>
          <w:rFonts w:ascii="仿宋_GB2312" w:hAnsi="Times New Roman" w:eastAsia="仿宋_GB2312" w:cs="Times New Roman"/>
          <w:sz w:val="24"/>
          <w:szCs w:val="24"/>
        </w:rPr>
      </w:pPr>
      <w:r>
        <w:rPr>
          <w:rFonts w:hint="eastAsia" w:ascii="仿宋_GB2312" w:hAnsi="Times New Roman" w:eastAsia="仿宋_GB2312" w:cs="Times New Roman"/>
          <w:sz w:val="24"/>
          <w:szCs w:val="24"/>
        </w:rPr>
        <w:t>4.本责任书的有效期为双方签署之日起至合同约定的义务履行完毕止。</w:t>
      </w:r>
    </w:p>
    <w:p>
      <w:pPr>
        <w:adjustRightInd/>
        <w:snapToGrid/>
        <w:spacing w:line="560" w:lineRule="exact"/>
        <w:ind w:firstLine="480" w:firstLineChars="200"/>
        <w:rPr>
          <w:rFonts w:ascii="仿宋_GB2312" w:hAnsi="Times New Roman" w:eastAsia="仿宋_GB2312" w:cs="Times New Roman"/>
          <w:sz w:val="24"/>
          <w:szCs w:val="24"/>
        </w:rPr>
      </w:pPr>
      <w:r>
        <w:rPr>
          <w:rFonts w:hint="eastAsia" w:ascii="仿宋_GB2312" w:hAnsi="Times New Roman" w:eastAsia="仿宋_GB2312" w:cs="Times New Roman"/>
          <w:sz w:val="24"/>
          <w:szCs w:val="24"/>
        </w:rPr>
        <w:t>5.本责任书一式六份，作为《2024年园博园再生水利用项目合同》的附件，自双方签字盖章之日生效。</w:t>
      </w:r>
    </w:p>
    <w:p>
      <w:pPr>
        <w:adjustRightInd/>
        <w:snapToGrid/>
        <w:spacing w:line="560" w:lineRule="exact"/>
        <w:ind w:firstLine="480" w:firstLineChars="200"/>
        <w:rPr>
          <w:rFonts w:ascii="仿宋_GB2312" w:hAnsi="Times New Roman" w:eastAsia="仿宋_GB2312" w:cs="Times New Roman"/>
          <w:sz w:val="24"/>
          <w:szCs w:val="24"/>
        </w:rPr>
      </w:pPr>
      <w:r>
        <w:rPr>
          <w:rFonts w:hint="eastAsia" w:ascii="仿宋_GB2312" w:hAnsi="Times New Roman" w:eastAsia="仿宋_GB2312" w:cs="Times New Roman"/>
          <w:sz w:val="24"/>
          <w:szCs w:val="24"/>
        </w:rPr>
        <w:t>6.监督联系方式:63915540</w:t>
      </w:r>
    </w:p>
    <w:p>
      <w:pPr>
        <w:adjustRightInd/>
        <w:snapToGrid/>
        <w:spacing w:line="560" w:lineRule="exact"/>
        <w:rPr>
          <w:rFonts w:ascii="仿宋_GB2312" w:hAnsi="黑体" w:eastAsia="仿宋_GB2312" w:cs="宋体"/>
          <w:b/>
          <w:sz w:val="24"/>
          <w:szCs w:val="24"/>
        </w:rPr>
      </w:pPr>
      <w:r>
        <w:rPr>
          <w:rFonts w:hint="eastAsia" w:ascii="仿宋_GB2312" w:hAnsi="黑体" w:eastAsia="仿宋_GB2312" w:cs="宋体"/>
          <w:b/>
          <w:sz w:val="24"/>
          <w:szCs w:val="24"/>
        </w:rPr>
        <w:t>甲方：北京园博园管理中心                乙方：</w:t>
      </w:r>
    </w:p>
    <w:p>
      <w:pPr>
        <w:adjustRightInd/>
        <w:snapToGrid/>
        <w:spacing w:line="560" w:lineRule="exact"/>
        <w:rPr>
          <w:rFonts w:ascii="仿宋_GB2312" w:hAnsi="黑体" w:eastAsia="仿宋_GB2312" w:cs="宋体"/>
          <w:b/>
          <w:sz w:val="24"/>
          <w:szCs w:val="24"/>
        </w:rPr>
      </w:pPr>
      <w:r>
        <w:rPr>
          <w:rFonts w:hint="eastAsia" w:ascii="仿宋_GB2312" w:hAnsi="黑体" w:eastAsia="仿宋_GB2312" w:cs="宋体"/>
          <w:b/>
          <w:snapToGrid w:val="0"/>
          <w:sz w:val="24"/>
          <w:szCs w:val="24"/>
        </w:rPr>
        <w:t>法定代表人或授权委托人</w:t>
      </w:r>
      <w:r>
        <w:rPr>
          <w:rFonts w:hint="eastAsia" w:ascii="仿宋_GB2312" w:hAnsi="黑体" w:eastAsia="仿宋_GB2312" w:cs="宋体"/>
          <w:b/>
          <w:sz w:val="24"/>
          <w:szCs w:val="24"/>
        </w:rPr>
        <w:t xml:space="preserve">：                </w:t>
      </w:r>
      <w:r>
        <w:rPr>
          <w:rFonts w:hint="eastAsia" w:ascii="仿宋_GB2312" w:hAnsi="黑体" w:eastAsia="仿宋_GB2312" w:cs="宋体"/>
          <w:b/>
          <w:snapToGrid w:val="0"/>
          <w:sz w:val="24"/>
          <w:szCs w:val="24"/>
        </w:rPr>
        <w:t>法定代表人或授权委托人</w:t>
      </w:r>
      <w:r>
        <w:rPr>
          <w:rFonts w:hint="eastAsia" w:ascii="仿宋_GB2312" w:hAnsi="黑体" w:eastAsia="仿宋_GB2312" w:cs="宋体"/>
          <w:b/>
          <w:sz w:val="24"/>
          <w:szCs w:val="24"/>
        </w:rPr>
        <w:t>：</w:t>
      </w:r>
    </w:p>
    <w:p>
      <w:pPr>
        <w:adjustRightInd/>
        <w:snapToGrid/>
        <w:spacing w:line="560" w:lineRule="exact"/>
        <w:rPr>
          <w:rFonts w:ascii="仿宋_GB2312" w:hAnsi="黑体" w:eastAsia="仿宋_GB2312" w:cs="宋体"/>
          <w:b/>
          <w:sz w:val="24"/>
          <w:szCs w:val="24"/>
        </w:rPr>
      </w:pPr>
      <w:r>
        <w:rPr>
          <w:rFonts w:hint="eastAsia" w:ascii="仿宋_GB2312" w:hAnsi="黑体" w:eastAsia="仿宋_GB2312" w:cs="宋体"/>
          <w:b/>
          <w:sz w:val="24"/>
          <w:szCs w:val="24"/>
        </w:rPr>
        <w:t xml:space="preserve">                                   </w:t>
      </w:r>
    </w:p>
    <w:p>
      <w:pPr>
        <w:adjustRightInd/>
        <w:snapToGrid/>
        <w:spacing w:line="560" w:lineRule="exact"/>
        <w:rPr>
          <w:rFonts w:ascii="仿宋_GB2312" w:hAnsi="黑体" w:eastAsia="仿宋_GB2312" w:cs="宋体"/>
          <w:b/>
          <w:sz w:val="24"/>
          <w:szCs w:val="24"/>
        </w:rPr>
      </w:pPr>
    </w:p>
    <w:p>
      <w:pPr>
        <w:adjustRightInd/>
        <w:snapToGrid/>
        <w:spacing w:line="560" w:lineRule="exact"/>
        <w:rPr>
          <w:rFonts w:ascii="黑体" w:hAnsi="宋体" w:eastAsia="黑体" w:cs="黑体"/>
          <w:color w:val="000000"/>
          <w:kern w:val="0"/>
          <w:sz w:val="32"/>
          <w:szCs w:val="32"/>
        </w:rPr>
      </w:pPr>
      <w:r>
        <w:rPr>
          <w:rFonts w:hint="eastAsia" w:ascii="仿宋_GB2312" w:hAnsi="黑体" w:eastAsia="仿宋_GB2312" w:cs="宋体"/>
          <w:b/>
          <w:sz w:val="24"/>
          <w:szCs w:val="24"/>
        </w:rPr>
        <w:t>日期:    年   月   日                      日期:   年   月   日</w:t>
      </w:r>
    </w:p>
    <w:p>
      <w:pPr>
        <w:widowControl/>
        <w:adjustRightInd/>
        <w:snapToGrid/>
        <w:spacing w:line="240" w:lineRule="auto"/>
        <w:jc w:val="left"/>
      </w:pPr>
      <w:r>
        <w:rPr>
          <w:rFonts w:hint="eastAsia" w:ascii="仿宋_GB2312" w:eastAsia="仿宋_GB2312"/>
          <w:sz w:val="28"/>
          <w:szCs w:val="28"/>
        </w:rPr>
        <w:t xml:space="preserve">                    </w:t>
      </w:r>
      <w:r>
        <w:br w:type="page"/>
      </w:r>
      <w:bookmarkStart w:id="185" w:name="_Hlk74076695"/>
    </w:p>
    <w:bookmarkEnd w:id="185"/>
    <w:p>
      <w:pPr>
        <w:pStyle w:val="3"/>
      </w:pPr>
      <w:bookmarkStart w:id="186" w:name="_Toc20172"/>
      <w:r>
        <w:rPr>
          <w:rFonts w:hint="eastAsia"/>
        </w:rPr>
        <w:t>第六章  投标文件格式</w:t>
      </w:r>
      <w:bookmarkEnd w:id="186"/>
    </w:p>
    <w:p>
      <w:pPr>
        <w:spacing w:line="360" w:lineRule="auto"/>
        <w:ind w:firstLine="480" w:firstLineChars="200"/>
        <w:rPr>
          <w:color w:val="auto"/>
        </w:rPr>
      </w:pPr>
      <w:r>
        <w:rPr>
          <w:rFonts w:hint="eastAsia"/>
        </w:rPr>
        <w:t>投标人提</w:t>
      </w:r>
      <w:r>
        <w:rPr>
          <w:rFonts w:hint="eastAsia"/>
          <w:color w:val="auto"/>
        </w:rPr>
        <w:t>交的材料将被保密，但不退还。除非招标文件另有规定，全部文件应按包件编制并按包件提交，投标文件的份数应符合招标文件的规定。</w:t>
      </w:r>
      <w:r>
        <w:rPr>
          <w:rFonts w:hint="eastAsia" w:hAnsiTheme="minorEastAsia"/>
          <w:color w:val="auto"/>
        </w:rPr>
        <w:t>如果招标文件采购内容未注明分包件采购，即全部采购内容为一个包件（即第1包件），包件</w:t>
      </w:r>
      <w:r>
        <w:rPr>
          <w:rFonts w:hint="eastAsia"/>
          <w:color w:val="auto"/>
        </w:rPr>
        <w:t>号为“1”或“01”；包件</w:t>
      </w:r>
      <w:r>
        <w:rPr>
          <w:rFonts w:hint="eastAsia" w:hAnsiTheme="minorEastAsia"/>
          <w:color w:val="auto"/>
        </w:rPr>
        <w:t>名称仍为项目名称。</w:t>
      </w:r>
      <w:r>
        <w:rPr>
          <w:rFonts w:hint="eastAsia"/>
          <w:color w:val="auto"/>
        </w:rPr>
        <w:t>格式如下：</w:t>
      </w:r>
    </w:p>
    <w:p>
      <w:pPr>
        <w:spacing w:line="360" w:lineRule="auto"/>
        <w:ind w:firstLine="480" w:firstLineChars="200"/>
        <w:rPr>
          <w:color w:val="auto"/>
        </w:rPr>
      </w:pPr>
      <w:r>
        <w:rPr>
          <w:rFonts w:hint="eastAsia"/>
          <w:color w:val="auto"/>
        </w:rPr>
        <w:t>注：</w:t>
      </w:r>
    </w:p>
    <w:p>
      <w:pPr>
        <w:spacing w:line="360" w:lineRule="auto"/>
        <w:ind w:firstLine="480" w:firstLineChars="200"/>
      </w:pPr>
      <w:r>
        <w:rPr>
          <w:rFonts w:hint="eastAsia"/>
          <w:color w:val="auto"/>
        </w:rPr>
        <w:t>（1）本章未给出格式的材料或附件，由投标人自行提供或编制，但应注意招标文件相应盖章要求。本章明确指明是“建议格式”的文件其格式仅供参考，均不做强制要求，投标人可自行编制，但应注意招</w:t>
      </w:r>
      <w:r>
        <w:rPr>
          <w:rFonts w:hint="eastAsia"/>
        </w:rPr>
        <w:t>标文件相应盖章要求。</w:t>
      </w:r>
    </w:p>
    <w:p>
      <w:pPr>
        <w:spacing w:line="360" w:lineRule="auto"/>
        <w:ind w:firstLine="480" w:firstLineChars="200"/>
      </w:pPr>
      <w:r>
        <w:rPr>
          <w:rFonts w:hint="eastAsia"/>
        </w:rPr>
        <w:t>（2）本章明确指明为“格式”的文件：</w:t>
      </w:r>
      <w:r>
        <w:br w:type="textWrapping"/>
      </w:r>
      <w:r>
        <w:rPr>
          <w:rFonts w:hint="eastAsia"/>
        </w:rPr>
        <w:t>格式名称为“表”的，表头给定内容不得删减、改变，可根据实际需要增减行，需要填写的空格或空白应有效填写。格式属于文字内容性质的（包括“函”、“书”、“声明”、“协议”），不得删减内容、不得改变格式中给定的文字所表达的含义（排序序号及排序编号可以改动），不得自行增加与格式中给定的文字内容相矛盾的内容，需要填写的空格或空白应有效填写。对于有签署、签字要求的格式文件，法定代表人在相应位置签署或被授权人在相应位置签字。对于有盖章要求的格式文件，应加盖公章。不满足本条要求的格式文件将视为无效格式文件。</w:t>
      </w:r>
    </w:p>
    <w:p>
      <w:pPr>
        <w:spacing w:line="360" w:lineRule="auto"/>
        <w:ind w:firstLine="480" w:firstLineChars="200"/>
      </w:pPr>
      <w:r>
        <w:rPr>
          <w:rFonts w:hint="eastAsia"/>
        </w:rPr>
        <w:t>（</w:t>
      </w:r>
      <w:r>
        <w:t>3</w:t>
      </w:r>
      <w:r>
        <w:rPr>
          <w:rFonts w:hint="eastAsia"/>
        </w:rPr>
        <w:t>）本章提供的格式表格中中括号“【】”中内容表示填写说明或举例说明，并非给定内容，投标人应根据自身投标情况据实填写。本章提供的格式中“注：”的内容也是填写说明，也非给定内容；本章提供的格式中的排序序号、编号也非给定内容。</w:t>
      </w:r>
    </w:p>
    <w:p>
      <w:pPr>
        <w:ind w:firstLine="480" w:firstLineChars="200"/>
      </w:pPr>
      <w:r>
        <w:br w:type="page"/>
      </w:r>
    </w:p>
    <w:p>
      <w:pPr>
        <w:pStyle w:val="4"/>
        <w:rPr>
          <w:color w:val="auto"/>
        </w:rPr>
      </w:pPr>
      <w:bookmarkStart w:id="187" w:name="_Toc1326"/>
      <w:r>
        <w:rPr>
          <w:rFonts w:hint="eastAsia"/>
        </w:rPr>
        <w:t>商务技术文件分册</w:t>
      </w:r>
      <w:r>
        <w:rPr>
          <w:rFonts w:hint="eastAsia"/>
          <w:color w:val="auto"/>
        </w:rPr>
        <w:t>封面建议格式</w:t>
      </w:r>
      <w:bookmarkEnd w:id="187"/>
    </w:p>
    <w:p>
      <w:pPr>
        <w:rPr>
          <w:color w:val="auto"/>
        </w:rPr>
      </w:pPr>
      <w:r>
        <w:rPr>
          <w:rFonts w:ascii="Arial" w:hAnsi="Arial" w:cs="Arial"/>
          <w:color w:val="auto"/>
        </w:rPr>
        <w:t>【封面建议格式仅供参考，但投标文件所有纸质构成部分（正本）封面必须盖章，由于封面使用了光滑纸张等不便盖章情况的，则认可在扉页或封面之后的第一页盖章】</w:t>
      </w:r>
    </w:p>
    <w:p>
      <w:pPr>
        <w:widowControl/>
        <w:jc w:val="right"/>
        <w:rPr>
          <w:rFonts w:hAnsi="宋体"/>
          <w:b/>
          <w:sz w:val="44"/>
          <w:szCs w:val="44"/>
        </w:rPr>
      </w:pPr>
      <w:r>
        <w:rPr>
          <w:rFonts w:hint="eastAsia" w:hAnsi="宋体"/>
          <w:b/>
          <w:sz w:val="32"/>
          <w:szCs w:val="32"/>
        </w:rPr>
        <w:t>正本【或副本】</w:t>
      </w:r>
    </w:p>
    <w:p/>
    <w:p>
      <w:pPr>
        <w:spacing w:line="360" w:lineRule="auto"/>
        <w:rPr>
          <w:sz w:val="28"/>
          <w:szCs w:val="28"/>
          <w:u w:val="single"/>
        </w:rPr>
      </w:pPr>
      <w:r>
        <w:rPr>
          <w:rFonts w:hint="eastAsia"/>
          <w:sz w:val="28"/>
          <w:szCs w:val="28"/>
        </w:rPr>
        <w:t>项目名称：</w:t>
      </w:r>
      <w:r>
        <w:rPr>
          <w:rFonts w:hint="eastAsia"/>
          <w:sz w:val="28"/>
          <w:szCs w:val="28"/>
          <w:u w:val="single"/>
        </w:rPr>
        <w:t xml:space="preserve">                              </w:t>
      </w:r>
    </w:p>
    <w:p>
      <w:pPr>
        <w:spacing w:line="360" w:lineRule="auto"/>
        <w:rPr>
          <w:sz w:val="28"/>
          <w:szCs w:val="28"/>
          <w:u w:val="single"/>
        </w:rPr>
      </w:pPr>
      <w:r>
        <w:rPr>
          <w:rFonts w:hint="eastAsia"/>
          <w:sz w:val="28"/>
          <w:szCs w:val="28"/>
        </w:rPr>
        <w:t>包件名称：</w:t>
      </w:r>
      <w:r>
        <w:rPr>
          <w:rFonts w:hint="eastAsia"/>
          <w:sz w:val="28"/>
          <w:szCs w:val="28"/>
          <w:u w:val="single"/>
        </w:rPr>
        <w:t xml:space="preserve">                              </w:t>
      </w:r>
    </w:p>
    <w:p>
      <w:pPr>
        <w:spacing w:line="360" w:lineRule="auto"/>
        <w:rPr>
          <w:sz w:val="28"/>
          <w:szCs w:val="28"/>
          <w:u w:val="single"/>
        </w:rPr>
      </w:pPr>
      <w:r>
        <w:rPr>
          <w:rFonts w:hint="eastAsia"/>
          <w:sz w:val="28"/>
          <w:szCs w:val="28"/>
        </w:rPr>
        <w:t>项目编号/包件号：</w:t>
      </w:r>
      <w:r>
        <w:rPr>
          <w:rFonts w:hint="eastAsia"/>
          <w:sz w:val="28"/>
          <w:szCs w:val="28"/>
          <w:u w:val="single"/>
        </w:rPr>
        <w:t xml:space="preserve">                              </w:t>
      </w:r>
    </w:p>
    <w:p>
      <w:pPr>
        <w:widowControl/>
        <w:jc w:val="left"/>
        <w:rPr>
          <w:rFonts w:hAnsi="宋体"/>
        </w:rPr>
      </w:pPr>
    </w:p>
    <w:p>
      <w:pPr>
        <w:widowControl/>
        <w:jc w:val="center"/>
        <w:rPr>
          <w:rFonts w:hAnsi="宋体"/>
        </w:rPr>
      </w:pPr>
    </w:p>
    <w:p>
      <w:pPr>
        <w:widowControl/>
        <w:jc w:val="center"/>
        <w:rPr>
          <w:rFonts w:hAnsi="宋体"/>
          <w:sz w:val="72"/>
          <w:szCs w:val="72"/>
        </w:rPr>
      </w:pPr>
      <w:r>
        <w:rPr>
          <w:rFonts w:hint="eastAsia" w:hAnsi="宋体"/>
          <w:sz w:val="72"/>
          <w:szCs w:val="72"/>
        </w:rPr>
        <w:t>投标文件</w:t>
      </w:r>
    </w:p>
    <w:p>
      <w:pPr>
        <w:widowControl/>
        <w:jc w:val="center"/>
        <w:rPr>
          <w:rFonts w:hAnsi="宋体"/>
          <w:sz w:val="52"/>
          <w:szCs w:val="52"/>
        </w:rPr>
      </w:pPr>
      <w:r>
        <w:rPr>
          <w:rFonts w:hint="eastAsia" w:hAnsi="宋体"/>
          <w:sz w:val="52"/>
          <w:szCs w:val="52"/>
        </w:rPr>
        <w:t>商务技术分册</w:t>
      </w:r>
    </w:p>
    <w:p>
      <w:pPr>
        <w:widowControl/>
        <w:jc w:val="center"/>
        <w:rPr>
          <w:rFonts w:hAnsi="宋体"/>
          <w:sz w:val="32"/>
          <w:szCs w:val="32"/>
        </w:rPr>
      </w:pPr>
      <w:r>
        <w:rPr>
          <w:rFonts w:hint="eastAsia" w:hAnsi="宋体"/>
          <w:sz w:val="32"/>
          <w:szCs w:val="32"/>
        </w:rPr>
        <w:t>【商务技术分册再分册装订或有其他组成部分的，在此处注明，例如“上册”、“下册”、“图纸”或“附件”等】</w:t>
      </w:r>
    </w:p>
    <w:p>
      <w:pPr>
        <w:widowControl/>
        <w:jc w:val="left"/>
      </w:pPr>
    </w:p>
    <w:p>
      <w:pPr>
        <w:widowControl/>
        <w:jc w:val="left"/>
      </w:pPr>
    </w:p>
    <w:p>
      <w:pPr>
        <w:widowControl/>
        <w:rPr>
          <w:rFonts w:hAnsi="宋体"/>
          <w:sz w:val="30"/>
          <w:szCs w:val="30"/>
        </w:rPr>
      </w:pPr>
    </w:p>
    <w:p>
      <w:pPr>
        <w:widowControl/>
        <w:rPr>
          <w:rFonts w:hAnsi="宋体"/>
          <w:sz w:val="30"/>
          <w:szCs w:val="30"/>
        </w:rPr>
      </w:pPr>
    </w:p>
    <w:p>
      <w:pPr>
        <w:widowControl/>
        <w:rPr>
          <w:rFonts w:hAnsi="宋体"/>
          <w:sz w:val="30"/>
          <w:szCs w:val="30"/>
        </w:rPr>
      </w:pPr>
    </w:p>
    <w:p>
      <w:pPr>
        <w:widowControl/>
        <w:rPr>
          <w:rFonts w:hAnsi="宋体"/>
          <w:sz w:val="30"/>
          <w:szCs w:val="30"/>
          <w:u w:val="single"/>
        </w:rPr>
      </w:pPr>
      <w:r>
        <w:rPr>
          <w:rFonts w:hint="eastAsia" w:hAnsi="宋体"/>
          <w:sz w:val="30"/>
          <w:szCs w:val="30"/>
        </w:rPr>
        <w:t>投标人名称：</w:t>
      </w:r>
      <w:r>
        <w:rPr>
          <w:rFonts w:hint="eastAsia" w:hAnsi="宋体"/>
          <w:sz w:val="30"/>
          <w:szCs w:val="30"/>
          <w:u w:val="single"/>
        </w:rPr>
        <w:t xml:space="preserve">                            </w:t>
      </w:r>
    </w:p>
    <w:p>
      <w:pPr>
        <w:widowControl/>
        <w:jc w:val="left"/>
        <w:rPr>
          <w:sz w:val="30"/>
          <w:szCs w:val="30"/>
        </w:rPr>
      </w:pPr>
    </w:p>
    <w:p>
      <w:pPr>
        <w:widowControl/>
        <w:jc w:val="left"/>
        <w:rPr>
          <w:sz w:val="30"/>
          <w:szCs w:val="30"/>
        </w:rPr>
      </w:pPr>
    </w:p>
    <w:p>
      <w:pPr>
        <w:widowControl/>
        <w:jc w:val="left"/>
        <w:rPr>
          <w:sz w:val="30"/>
          <w:szCs w:val="30"/>
          <w:u w:val="single"/>
        </w:rPr>
      </w:pPr>
      <w:r>
        <w:rPr>
          <w:rFonts w:hint="eastAsia"/>
          <w:sz w:val="30"/>
          <w:szCs w:val="30"/>
        </w:rPr>
        <w:t>投标人公章：</w:t>
      </w:r>
      <w:r>
        <w:rPr>
          <w:rFonts w:hint="eastAsia"/>
          <w:sz w:val="30"/>
          <w:szCs w:val="30"/>
          <w:u w:val="single"/>
        </w:rPr>
        <w:t xml:space="preserve">                       </w:t>
      </w:r>
      <w:r>
        <w:rPr>
          <w:sz w:val="30"/>
          <w:szCs w:val="30"/>
          <w:u w:val="single"/>
        </w:rPr>
        <w:t xml:space="preserve">     </w:t>
      </w:r>
    </w:p>
    <w:p>
      <w:pPr>
        <w:widowControl/>
        <w:adjustRightInd/>
        <w:snapToGrid/>
        <w:spacing w:line="240" w:lineRule="auto"/>
        <w:jc w:val="left"/>
      </w:pPr>
      <w:r>
        <w:br w:type="page"/>
      </w:r>
    </w:p>
    <w:p>
      <w:pPr>
        <w:pStyle w:val="4"/>
      </w:pPr>
      <w:bookmarkStart w:id="188" w:name="_Toc15335"/>
      <w:r>
        <w:rPr>
          <w:rFonts w:hint="eastAsia"/>
        </w:rPr>
        <w:t>评分索引表建议格式</w:t>
      </w:r>
      <w:bookmarkEnd w:id="188"/>
    </w:p>
    <w:p>
      <w:pPr>
        <w:spacing w:line="360" w:lineRule="auto"/>
        <w:ind w:left="964" w:hanging="964"/>
        <w:jc w:val="center"/>
        <w:rPr>
          <w:rFonts w:hAnsi="宋体" w:cs="Times New Roman"/>
          <w:b/>
          <w:color w:val="000000"/>
          <w:sz w:val="32"/>
          <w:szCs w:val="32"/>
        </w:rPr>
      </w:pPr>
      <w:r>
        <w:rPr>
          <w:rFonts w:hint="eastAsia" w:hAnsi="宋体" w:cs="Times New Roman"/>
          <w:b/>
          <w:color w:val="000000"/>
          <w:sz w:val="32"/>
          <w:szCs w:val="32"/>
        </w:rPr>
        <w:t>评分索引表</w:t>
      </w:r>
    </w:p>
    <w:tbl>
      <w:tblPr>
        <w:tblStyle w:val="19"/>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305"/>
        <w:gridCol w:w="3827"/>
        <w:gridCol w:w="1701"/>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675" w:type="dxa"/>
            <w:vAlign w:val="center"/>
          </w:tcPr>
          <w:p>
            <w:pPr>
              <w:widowControl/>
              <w:spacing w:line="240" w:lineRule="auto"/>
              <w:jc w:val="center"/>
              <w:rPr>
                <w:rFonts w:ascii="宋体" w:hAnsi="宋体" w:cs="宋体"/>
                <w:b/>
                <w:bCs/>
                <w:kern w:val="0"/>
                <w:szCs w:val="24"/>
              </w:rPr>
            </w:pPr>
            <w:r>
              <w:rPr>
                <w:rFonts w:hint="eastAsia" w:ascii="宋体" w:hAnsi="宋体" w:cs="宋体"/>
                <w:b/>
                <w:bCs/>
                <w:kern w:val="0"/>
                <w:szCs w:val="24"/>
              </w:rPr>
              <w:t>序号</w:t>
            </w:r>
          </w:p>
        </w:tc>
        <w:tc>
          <w:tcPr>
            <w:tcW w:w="1305" w:type="dxa"/>
            <w:vAlign w:val="center"/>
          </w:tcPr>
          <w:p>
            <w:pPr>
              <w:widowControl/>
              <w:spacing w:line="240" w:lineRule="auto"/>
              <w:jc w:val="center"/>
              <w:rPr>
                <w:rFonts w:ascii="宋体" w:hAnsi="宋体" w:cs="宋体"/>
                <w:b/>
                <w:bCs/>
                <w:kern w:val="0"/>
                <w:szCs w:val="24"/>
              </w:rPr>
            </w:pPr>
            <w:r>
              <w:rPr>
                <w:rFonts w:hint="eastAsia" w:ascii="宋体" w:hAnsi="宋体" w:cs="宋体"/>
                <w:b/>
                <w:bCs/>
                <w:kern w:val="0"/>
                <w:szCs w:val="24"/>
              </w:rPr>
              <w:t>评审内容</w:t>
            </w:r>
          </w:p>
        </w:tc>
        <w:tc>
          <w:tcPr>
            <w:tcW w:w="3827" w:type="dxa"/>
            <w:vAlign w:val="center"/>
          </w:tcPr>
          <w:p>
            <w:pPr>
              <w:widowControl/>
              <w:spacing w:line="240" w:lineRule="auto"/>
              <w:jc w:val="center"/>
              <w:rPr>
                <w:rFonts w:ascii="宋体" w:hAnsi="宋体" w:cs="宋体"/>
                <w:b/>
                <w:bCs/>
                <w:kern w:val="0"/>
                <w:szCs w:val="24"/>
              </w:rPr>
            </w:pPr>
            <w:r>
              <w:rPr>
                <w:rFonts w:hint="eastAsia" w:ascii="宋体" w:hAnsi="宋体" w:cs="宋体"/>
                <w:b/>
                <w:bCs/>
                <w:kern w:val="0"/>
                <w:szCs w:val="24"/>
              </w:rPr>
              <w:t>评分标准</w:t>
            </w:r>
          </w:p>
        </w:tc>
        <w:tc>
          <w:tcPr>
            <w:tcW w:w="1701" w:type="dxa"/>
            <w:vAlign w:val="center"/>
          </w:tcPr>
          <w:p>
            <w:pPr>
              <w:spacing w:line="240" w:lineRule="auto"/>
              <w:jc w:val="center"/>
              <w:rPr>
                <w:rFonts w:ascii="宋体" w:hAnsi="宋体" w:cs="宋体"/>
                <w:b/>
                <w:bCs/>
                <w:kern w:val="0"/>
                <w:szCs w:val="24"/>
              </w:rPr>
            </w:pPr>
            <w:r>
              <w:rPr>
                <w:rFonts w:hint="eastAsia" w:ascii="宋体" w:hAnsi="宋体" w:cs="宋体"/>
                <w:b/>
                <w:bCs/>
                <w:kern w:val="0"/>
                <w:szCs w:val="24"/>
              </w:rPr>
              <w:t>投标响应情况简述</w:t>
            </w:r>
          </w:p>
        </w:tc>
        <w:tc>
          <w:tcPr>
            <w:tcW w:w="1843" w:type="dxa"/>
            <w:vAlign w:val="center"/>
          </w:tcPr>
          <w:p>
            <w:pPr>
              <w:spacing w:line="240" w:lineRule="auto"/>
              <w:jc w:val="center"/>
              <w:rPr>
                <w:rFonts w:ascii="宋体" w:hAnsi="宋体" w:cs="宋体"/>
                <w:b/>
                <w:bCs/>
                <w:kern w:val="0"/>
                <w:szCs w:val="24"/>
              </w:rPr>
            </w:pPr>
            <w:r>
              <w:rPr>
                <w:rFonts w:hint="eastAsia" w:ascii="宋体" w:hAnsi="宋体" w:cs="宋体"/>
                <w:b/>
                <w:bCs/>
                <w:kern w:val="0"/>
                <w:szCs w:val="24"/>
              </w:rPr>
              <w:t>投标文件对应章节及页码索引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trPr>
        <w:tc>
          <w:tcPr>
            <w:tcW w:w="675" w:type="dxa"/>
            <w:vAlign w:val="center"/>
          </w:tcPr>
          <w:p>
            <w:pPr>
              <w:widowControl/>
              <w:jc w:val="center"/>
              <w:rPr>
                <w:rFonts w:ascii="宋体" w:hAnsi="宋体" w:cs="宋体"/>
                <w:kern w:val="0"/>
                <w:sz w:val="20"/>
              </w:rPr>
            </w:pPr>
            <w:r>
              <w:rPr>
                <w:rFonts w:hint="eastAsia" w:ascii="宋体" w:hAnsi="宋体" w:cs="宋体"/>
                <w:kern w:val="0"/>
                <w:sz w:val="20"/>
              </w:rPr>
              <w:t>1</w:t>
            </w:r>
          </w:p>
        </w:tc>
        <w:tc>
          <w:tcPr>
            <w:tcW w:w="1305" w:type="dxa"/>
            <w:vAlign w:val="center"/>
          </w:tcPr>
          <w:p>
            <w:pPr>
              <w:widowControl/>
              <w:jc w:val="center"/>
              <w:rPr>
                <w:rFonts w:ascii="宋体" w:hAnsi="宋体" w:cs="宋体"/>
                <w:kern w:val="0"/>
                <w:sz w:val="20"/>
              </w:rPr>
            </w:pPr>
          </w:p>
        </w:tc>
        <w:tc>
          <w:tcPr>
            <w:tcW w:w="3827"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c>
          <w:tcPr>
            <w:tcW w:w="1843" w:type="dxa"/>
            <w:vAlign w:val="center"/>
          </w:tcPr>
          <w:p>
            <w:pPr>
              <w:widowControl/>
              <w:jc w:val="center"/>
              <w:rPr>
                <w:rFonts w:ascii="宋体" w:hAnsi="宋体" w:cs="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675" w:type="dxa"/>
            <w:vAlign w:val="center"/>
          </w:tcPr>
          <w:p>
            <w:pPr>
              <w:widowControl/>
              <w:jc w:val="center"/>
              <w:rPr>
                <w:rFonts w:ascii="宋体" w:hAnsi="宋体" w:cs="宋体"/>
                <w:kern w:val="0"/>
                <w:sz w:val="20"/>
              </w:rPr>
            </w:pPr>
            <w:r>
              <w:rPr>
                <w:rFonts w:hint="eastAsia" w:ascii="宋体" w:hAnsi="宋体" w:cs="宋体"/>
                <w:kern w:val="0"/>
                <w:sz w:val="20"/>
              </w:rPr>
              <w:t>2</w:t>
            </w:r>
          </w:p>
        </w:tc>
        <w:tc>
          <w:tcPr>
            <w:tcW w:w="1305" w:type="dxa"/>
            <w:vAlign w:val="center"/>
          </w:tcPr>
          <w:p>
            <w:pPr>
              <w:widowControl/>
              <w:jc w:val="center"/>
              <w:rPr>
                <w:rFonts w:ascii="宋体" w:hAnsi="宋体" w:cs="宋体"/>
                <w:kern w:val="0"/>
                <w:sz w:val="20"/>
              </w:rPr>
            </w:pPr>
          </w:p>
        </w:tc>
        <w:tc>
          <w:tcPr>
            <w:tcW w:w="3827"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c>
          <w:tcPr>
            <w:tcW w:w="1843" w:type="dxa"/>
            <w:vAlign w:val="center"/>
          </w:tcPr>
          <w:p>
            <w:pPr>
              <w:widowControl/>
              <w:jc w:val="center"/>
              <w:rPr>
                <w:rFonts w:ascii="宋体" w:hAnsi="宋体" w:cs="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675" w:type="dxa"/>
            <w:vAlign w:val="center"/>
          </w:tcPr>
          <w:p>
            <w:pPr>
              <w:widowControl/>
              <w:jc w:val="center"/>
              <w:rPr>
                <w:rFonts w:ascii="宋体" w:hAnsi="宋体" w:cs="宋体"/>
                <w:kern w:val="0"/>
                <w:sz w:val="20"/>
              </w:rPr>
            </w:pPr>
            <w:r>
              <w:rPr>
                <w:rFonts w:hint="eastAsia" w:ascii="宋体" w:hAnsi="宋体" w:cs="宋体"/>
                <w:kern w:val="0"/>
                <w:sz w:val="20"/>
              </w:rPr>
              <w:t>3</w:t>
            </w:r>
          </w:p>
        </w:tc>
        <w:tc>
          <w:tcPr>
            <w:tcW w:w="1305" w:type="dxa"/>
            <w:vAlign w:val="center"/>
          </w:tcPr>
          <w:p>
            <w:pPr>
              <w:widowControl/>
              <w:jc w:val="center"/>
              <w:rPr>
                <w:rFonts w:ascii="宋体" w:hAnsi="宋体" w:cs="宋体"/>
                <w:kern w:val="0"/>
                <w:sz w:val="20"/>
              </w:rPr>
            </w:pPr>
          </w:p>
        </w:tc>
        <w:tc>
          <w:tcPr>
            <w:tcW w:w="3827"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c>
          <w:tcPr>
            <w:tcW w:w="1843" w:type="dxa"/>
            <w:vAlign w:val="center"/>
          </w:tcPr>
          <w:p>
            <w:pPr>
              <w:widowControl/>
              <w:jc w:val="center"/>
              <w:rPr>
                <w:rFonts w:ascii="宋体" w:hAnsi="宋体" w:cs="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675" w:type="dxa"/>
            <w:vAlign w:val="center"/>
          </w:tcPr>
          <w:p>
            <w:pPr>
              <w:widowControl/>
              <w:jc w:val="center"/>
              <w:rPr>
                <w:rFonts w:ascii="宋体" w:hAnsi="宋体" w:cs="宋体"/>
                <w:kern w:val="0"/>
                <w:sz w:val="20"/>
              </w:rPr>
            </w:pPr>
            <w:r>
              <w:rPr>
                <w:rFonts w:hint="eastAsia" w:ascii="宋体" w:hAnsi="宋体" w:cs="宋体"/>
                <w:kern w:val="0"/>
                <w:sz w:val="20"/>
              </w:rPr>
              <w:t>4</w:t>
            </w:r>
          </w:p>
        </w:tc>
        <w:tc>
          <w:tcPr>
            <w:tcW w:w="1305" w:type="dxa"/>
            <w:vAlign w:val="center"/>
          </w:tcPr>
          <w:p>
            <w:pPr>
              <w:widowControl/>
              <w:jc w:val="center"/>
              <w:rPr>
                <w:rFonts w:ascii="宋体" w:hAnsi="宋体" w:cs="宋体"/>
                <w:kern w:val="0"/>
                <w:sz w:val="20"/>
              </w:rPr>
            </w:pPr>
          </w:p>
        </w:tc>
        <w:tc>
          <w:tcPr>
            <w:tcW w:w="3827"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c>
          <w:tcPr>
            <w:tcW w:w="1843" w:type="dxa"/>
            <w:vAlign w:val="center"/>
          </w:tcPr>
          <w:p>
            <w:pPr>
              <w:widowControl/>
              <w:jc w:val="center"/>
              <w:rPr>
                <w:rFonts w:ascii="宋体" w:hAnsi="宋体" w:cs="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675" w:type="dxa"/>
            <w:vAlign w:val="center"/>
          </w:tcPr>
          <w:p>
            <w:pPr>
              <w:widowControl/>
              <w:jc w:val="center"/>
              <w:rPr>
                <w:rFonts w:ascii="宋体" w:hAnsi="宋体" w:cs="宋体"/>
                <w:kern w:val="0"/>
                <w:sz w:val="20"/>
              </w:rPr>
            </w:pPr>
            <w:r>
              <w:rPr>
                <w:rFonts w:hint="eastAsia" w:ascii="宋体" w:hAnsi="宋体" w:cs="宋体"/>
                <w:kern w:val="0"/>
                <w:sz w:val="20"/>
              </w:rPr>
              <w:t>5</w:t>
            </w:r>
          </w:p>
        </w:tc>
        <w:tc>
          <w:tcPr>
            <w:tcW w:w="1305" w:type="dxa"/>
            <w:vAlign w:val="center"/>
          </w:tcPr>
          <w:p>
            <w:pPr>
              <w:widowControl/>
              <w:jc w:val="center"/>
              <w:rPr>
                <w:rFonts w:ascii="宋体" w:hAnsi="宋体" w:cs="宋体"/>
                <w:kern w:val="0"/>
                <w:sz w:val="20"/>
              </w:rPr>
            </w:pPr>
          </w:p>
        </w:tc>
        <w:tc>
          <w:tcPr>
            <w:tcW w:w="3827"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c>
          <w:tcPr>
            <w:tcW w:w="1843" w:type="dxa"/>
            <w:vAlign w:val="center"/>
          </w:tcPr>
          <w:p>
            <w:pPr>
              <w:widowControl/>
              <w:jc w:val="center"/>
              <w:rPr>
                <w:rFonts w:ascii="宋体" w:hAnsi="宋体" w:cs="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675" w:type="dxa"/>
            <w:vAlign w:val="center"/>
          </w:tcPr>
          <w:p>
            <w:pPr>
              <w:widowControl/>
              <w:jc w:val="center"/>
              <w:rPr>
                <w:rFonts w:ascii="宋体" w:hAnsi="宋体" w:cs="宋体"/>
                <w:kern w:val="0"/>
                <w:sz w:val="20"/>
              </w:rPr>
            </w:pPr>
            <w:r>
              <w:rPr>
                <w:rFonts w:hint="eastAsia" w:ascii="宋体" w:hAnsi="宋体" w:cs="宋体"/>
                <w:kern w:val="0"/>
                <w:sz w:val="20"/>
              </w:rPr>
              <w:t>6</w:t>
            </w:r>
          </w:p>
        </w:tc>
        <w:tc>
          <w:tcPr>
            <w:tcW w:w="1305" w:type="dxa"/>
            <w:vAlign w:val="center"/>
          </w:tcPr>
          <w:p>
            <w:pPr>
              <w:widowControl/>
              <w:jc w:val="center"/>
              <w:rPr>
                <w:rFonts w:ascii="宋体" w:hAnsi="宋体" w:cs="宋体"/>
                <w:kern w:val="0"/>
                <w:sz w:val="20"/>
              </w:rPr>
            </w:pPr>
          </w:p>
        </w:tc>
        <w:tc>
          <w:tcPr>
            <w:tcW w:w="3827"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c>
          <w:tcPr>
            <w:tcW w:w="1843" w:type="dxa"/>
            <w:vAlign w:val="center"/>
          </w:tcPr>
          <w:p>
            <w:pPr>
              <w:widowControl/>
              <w:jc w:val="center"/>
              <w:rPr>
                <w:rFonts w:ascii="宋体" w:hAnsi="宋体" w:cs="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trPr>
        <w:tc>
          <w:tcPr>
            <w:tcW w:w="675" w:type="dxa"/>
            <w:vAlign w:val="center"/>
          </w:tcPr>
          <w:p>
            <w:pPr>
              <w:widowControl/>
              <w:jc w:val="center"/>
              <w:rPr>
                <w:rFonts w:ascii="宋体" w:hAnsi="宋体" w:cs="宋体"/>
                <w:kern w:val="0"/>
                <w:sz w:val="20"/>
              </w:rPr>
            </w:pPr>
            <w:r>
              <w:rPr>
                <w:rFonts w:hint="eastAsia" w:ascii="宋体" w:hAnsi="宋体" w:cs="宋体"/>
                <w:kern w:val="0"/>
                <w:sz w:val="20"/>
              </w:rPr>
              <w:t>7</w:t>
            </w:r>
          </w:p>
        </w:tc>
        <w:tc>
          <w:tcPr>
            <w:tcW w:w="1305" w:type="dxa"/>
            <w:vAlign w:val="center"/>
          </w:tcPr>
          <w:p>
            <w:pPr>
              <w:widowControl/>
              <w:jc w:val="center"/>
              <w:rPr>
                <w:rFonts w:ascii="宋体" w:hAnsi="宋体" w:cs="宋体"/>
                <w:kern w:val="0"/>
                <w:sz w:val="20"/>
              </w:rPr>
            </w:pPr>
          </w:p>
        </w:tc>
        <w:tc>
          <w:tcPr>
            <w:tcW w:w="3827"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c>
          <w:tcPr>
            <w:tcW w:w="1843" w:type="dxa"/>
            <w:vAlign w:val="center"/>
          </w:tcPr>
          <w:p>
            <w:pPr>
              <w:widowControl/>
              <w:jc w:val="center"/>
              <w:rPr>
                <w:rFonts w:ascii="宋体" w:hAnsi="宋体" w:cs="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trPr>
        <w:tc>
          <w:tcPr>
            <w:tcW w:w="675" w:type="dxa"/>
            <w:vAlign w:val="center"/>
          </w:tcPr>
          <w:p>
            <w:pPr>
              <w:widowControl/>
              <w:jc w:val="center"/>
              <w:rPr>
                <w:rFonts w:ascii="宋体" w:hAnsi="宋体" w:cs="宋体"/>
                <w:kern w:val="0"/>
                <w:sz w:val="20"/>
              </w:rPr>
            </w:pPr>
          </w:p>
        </w:tc>
        <w:tc>
          <w:tcPr>
            <w:tcW w:w="1305" w:type="dxa"/>
            <w:vAlign w:val="center"/>
          </w:tcPr>
          <w:p>
            <w:pPr>
              <w:widowControl/>
              <w:jc w:val="center"/>
              <w:rPr>
                <w:rFonts w:ascii="宋体" w:hAnsi="宋体" w:cs="宋体"/>
                <w:kern w:val="0"/>
                <w:sz w:val="20"/>
              </w:rPr>
            </w:pPr>
          </w:p>
        </w:tc>
        <w:tc>
          <w:tcPr>
            <w:tcW w:w="3827"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c>
          <w:tcPr>
            <w:tcW w:w="1843" w:type="dxa"/>
            <w:vAlign w:val="center"/>
          </w:tcPr>
          <w:p>
            <w:pPr>
              <w:widowControl/>
              <w:jc w:val="center"/>
              <w:rPr>
                <w:rFonts w:ascii="宋体" w:hAnsi="宋体" w:cs="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675" w:type="dxa"/>
            <w:vAlign w:val="center"/>
          </w:tcPr>
          <w:p>
            <w:pPr>
              <w:widowControl/>
              <w:jc w:val="center"/>
              <w:rPr>
                <w:rFonts w:ascii="宋体" w:hAnsi="宋体" w:cs="宋体"/>
                <w:kern w:val="0"/>
                <w:sz w:val="20"/>
              </w:rPr>
            </w:pPr>
          </w:p>
        </w:tc>
        <w:tc>
          <w:tcPr>
            <w:tcW w:w="1305" w:type="dxa"/>
            <w:vAlign w:val="center"/>
          </w:tcPr>
          <w:p>
            <w:pPr>
              <w:widowControl/>
              <w:jc w:val="center"/>
              <w:rPr>
                <w:rFonts w:ascii="宋体" w:hAnsi="宋体" w:cs="宋体"/>
                <w:kern w:val="0"/>
                <w:sz w:val="20"/>
              </w:rPr>
            </w:pPr>
          </w:p>
        </w:tc>
        <w:tc>
          <w:tcPr>
            <w:tcW w:w="3827"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c>
          <w:tcPr>
            <w:tcW w:w="1843" w:type="dxa"/>
            <w:vAlign w:val="center"/>
          </w:tcPr>
          <w:p>
            <w:pPr>
              <w:widowControl/>
              <w:jc w:val="center"/>
              <w:rPr>
                <w:rFonts w:ascii="宋体" w:hAnsi="宋体" w:cs="宋体"/>
                <w:kern w:val="0"/>
                <w:sz w:val="20"/>
              </w:rPr>
            </w:pPr>
          </w:p>
        </w:tc>
      </w:tr>
    </w:tbl>
    <w:p>
      <w:r>
        <w:rPr>
          <w:rFonts w:hint="eastAsia"/>
        </w:rPr>
        <w:t>注：投标人应根据招标文件第三章“评标标准”中列明的商务及技术部分评审内容，逐条（价格部分除外）索引至投标文件对应的响应内容所在</w:t>
      </w:r>
      <w:r>
        <w:rPr>
          <w:rFonts w:hint="eastAsia" w:ascii="宋体" w:hAnsi="宋体" w:cs="宋体"/>
          <w:kern w:val="0"/>
          <w:szCs w:val="24"/>
        </w:rPr>
        <w:t>章节和</w:t>
      </w:r>
      <w:r>
        <w:rPr>
          <w:rFonts w:hint="eastAsia"/>
        </w:rPr>
        <w:t>页码，以方便评标委员会评审。</w:t>
      </w:r>
    </w:p>
    <w:p>
      <w:pPr>
        <w:widowControl/>
        <w:adjustRightInd/>
        <w:snapToGrid/>
        <w:spacing w:line="240" w:lineRule="auto"/>
        <w:jc w:val="left"/>
      </w:pPr>
    </w:p>
    <w:p>
      <w:pPr>
        <w:ind w:firstLine="480" w:firstLineChars="200"/>
      </w:pPr>
    </w:p>
    <w:p>
      <w:pPr>
        <w:widowControl/>
        <w:adjustRightInd/>
        <w:snapToGrid/>
        <w:spacing w:line="240" w:lineRule="auto"/>
        <w:jc w:val="left"/>
        <w:rPr>
          <w:rFonts w:hAnsi="Cambria" w:eastAsia="黑体" w:cs="Times New Roman"/>
          <w:b/>
          <w:bCs/>
          <w:kern w:val="0"/>
          <w:sz w:val="32"/>
          <w:szCs w:val="32"/>
        </w:rPr>
      </w:pPr>
      <w:r>
        <w:br w:type="page"/>
      </w:r>
    </w:p>
    <w:p>
      <w:pPr>
        <w:pStyle w:val="4"/>
      </w:pPr>
      <w:bookmarkStart w:id="189" w:name="_Toc28627"/>
      <w:r>
        <w:t>附件1 投标函格式</w:t>
      </w:r>
      <w:bookmarkEnd w:id="189"/>
    </w:p>
    <w:p>
      <w:pPr>
        <w:spacing w:line="360" w:lineRule="auto"/>
        <w:ind w:left="964" w:hanging="964"/>
        <w:jc w:val="center"/>
        <w:rPr>
          <w:rFonts w:hAnsi="宋体" w:cs="Times New Roman"/>
          <w:b/>
          <w:color w:val="000000"/>
          <w:sz w:val="32"/>
          <w:szCs w:val="32"/>
        </w:rPr>
      </w:pPr>
      <w:r>
        <w:rPr>
          <w:rFonts w:hint="eastAsia" w:hAnsi="宋体" w:cs="Times New Roman"/>
          <w:b/>
          <w:color w:val="000000"/>
          <w:sz w:val="32"/>
          <w:szCs w:val="32"/>
        </w:rPr>
        <w:t>投标函</w:t>
      </w:r>
    </w:p>
    <w:p>
      <w:r>
        <w:t>致：</w:t>
      </w:r>
      <w:r>
        <w:rPr>
          <w:u w:val="single"/>
        </w:rPr>
        <w:t xml:space="preserve">  </w:t>
      </w:r>
      <w:r>
        <w:rPr>
          <w:rFonts w:hint="eastAsia"/>
          <w:u w:val="single"/>
        </w:rPr>
        <w:t>【采购人或</w:t>
      </w:r>
      <w:r>
        <w:rPr>
          <w:u w:val="single"/>
        </w:rPr>
        <w:t>采购代理机构</w:t>
      </w:r>
      <w:r>
        <w:rPr>
          <w:rFonts w:hint="eastAsia"/>
          <w:u w:val="single"/>
        </w:rPr>
        <w:t>】</w:t>
      </w:r>
      <w:r>
        <w:rPr>
          <w:u w:val="single"/>
        </w:rPr>
        <w:t xml:space="preserve">       </w:t>
      </w:r>
    </w:p>
    <w:p>
      <w:pPr>
        <w:rPr>
          <w:rFonts w:ascii="Arial" w:hAnsi="Arial" w:cs="Arial"/>
          <w:color w:val="000000"/>
          <w:szCs w:val="24"/>
        </w:rPr>
      </w:pPr>
      <w:r>
        <w:rPr>
          <w:rFonts w:ascii="Arial" w:hAnsi="Arial" w:cs="Arial"/>
          <w:color w:val="000000"/>
          <w:szCs w:val="24"/>
        </w:rPr>
        <w:t xml:space="preserve">     根据贵方为</w:t>
      </w:r>
      <w:r>
        <w:rPr>
          <w:rFonts w:hint="eastAsia" w:ascii="Arial" w:hAnsi="Arial" w:cs="Arial"/>
          <w:color w:val="000000"/>
          <w:szCs w:val="24"/>
          <w:u w:val="single"/>
        </w:rPr>
        <w:t xml:space="preserve"> </w:t>
      </w:r>
      <w:r>
        <w:rPr>
          <w:rFonts w:ascii="Arial" w:hAnsi="Arial" w:cs="Arial"/>
          <w:color w:val="000000"/>
          <w:szCs w:val="24"/>
          <w:u w:val="single"/>
        </w:rPr>
        <w:t xml:space="preserve"> </w:t>
      </w:r>
      <w:r>
        <w:rPr>
          <w:rFonts w:hint="eastAsia" w:hAnsi="Calibri" w:cs="Times New Roman"/>
          <w:u w:val="single"/>
        </w:rPr>
        <w:t>【项目名称】</w:t>
      </w:r>
      <w:r>
        <w:rPr>
          <w:rFonts w:ascii="Arial" w:hAnsi="Arial" w:cs="Arial"/>
          <w:color w:val="000000"/>
          <w:szCs w:val="24"/>
          <w:u w:val="single"/>
        </w:rPr>
        <w:t xml:space="preserve">  </w:t>
      </w:r>
      <w:r>
        <w:rPr>
          <w:rFonts w:ascii="Arial" w:hAnsi="Arial" w:cs="Arial"/>
          <w:color w:val="000000"/>
          <w:szCs w:val="24"/>
        </w:rPr>
        <w:t>项目招标采购的</w:t>
      </w:r>
      <w:r>
        <w:rPr>
          <w:rFonts w:ascii="Arial" w:hAnsi="Arial" w:cs="Arial"/>
          <w:color w:val="000000"/>
          <w:szCs w:val="24"/>
          <w:u w:val="single"/>
        </w:rPr>
        <w:t xml:space="preserve">   </w:t>
      </w:r>
      <w:r>
        <w:rPr>
          <w:rFonts w:hint="eastAsia" w:ascii="Arial" w:hAnsi="Arial" w:cs="Arial"/>
          <w:color w:val="000000"/>
          <w:szCs w:val="24"/>
          <w:u w:val="single"/>
        </w:rPr>
        <w:t>【项目</w:t>
      </w:r>
      <w:r>
        <w:rPr>
          <w:rFonts w:ascii="Arial" w:hAnsi="Arial" w:cs="Arial"/>
          <w:color w:val="000000"/>
          <w:szCs w:val="24"/>
          <w:u w:val="single"/>
        </w:rPr>
        <w:t>编号</w:t>
      </w:r>
      <w:r>
        <w:rPr>
          <w:rFonts w:hint="eastAsia" w:ascii="Arial" w:hAnsi="Arial" w:cs="Arial"/>
          <w:color w:val="000000"/>
          <w:szCs w:val="24"/>
          <w:u w:val="single"/>
        </w:rPr>
        <w:t>】</w:t>
      </w:r>
      <w:r>
        <w:rPr>
          <w:rFonts w:ascii="Arial" w:hAnsi="Arial" w:cs="Arial"/>
          <w:color w:val="000000"/>
          <w:szCs w:val="24"/>
          <w:u w:val="single"/>
        </w:rPr>
        <w:t xml:space="preserve">   </w:t>
      </w:r>
      <w:r>
        <w:rPr>
          <w:rFonts w:ascii="Arial" w:hAnsi="Arial" w:cs="Arial"/>
          <w:color w:val="000000"/>
          <w:szCs w:val="24"/>
        </w:rPr>
        <w:t>招标文件，签字代</w:t>
      </w:r>
      <w:r>
        <w:rPr>
          <w:rFonts w:ascii="Arial" w:hAnsi="Arial" w:cs="Arial"/>
          <w:color w:val="000000"/>
          <w:szCs w:val="24"/>
        </w:rPr>
        <mc:AlternateContent>
          <mc:Choice Requires="wps">
            <w:drawing>
              <wp:anchor distT="0" distB="0" distL="113665" distR="113665" simplePos="0" relativeHeight="251659264" behindDoc="0" locked="0" layoutInCell="0" allowOverlap="1">
                <wp:simplePos x="0" y="0"/>
                <wp:positionH relativeFrom="column">
                  <wp:posOffset>1256665</wp:posOffset>
                </wp:positionH>
                <wp:positionV relativeFrom="paragraph">
                  <wp:posOffset>197485</wp:posOffset>
                </wp:positionV>
                <wp:extent cx="0" cy="0"/>
                <wp:effectExtent l="0" t="0" r="0" b="0"/>
                <wp:wrapNone/>
                <wp:docPr id="4" name="直接连接符 4"/>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98.95pt;margin-top:15.55pt;height:0pt;width:0pt;z-index:251659264;mso-width-relative:page;mso-height-relative:page;" filled="f" stroked="t" coordsize="21600,21600" o:allowincell="f" o:gfxdata="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MzFZqDUAAAACQEAAA8AAAAAAAAA&#10;AQAgAAAAIgAAAGRycy9kb3ducmV2LnhtbFBLAQIUABQAAAAIAIdO4kDlb6hA3AEAAKQDAAAOAAAA&#10;AAAAAAEAIAAAACMBAABkcnMvZTJvRG9jLnhtbFBLBQYAAAAABgAGAFkBAABxBQAAAAA=&#10;">
                <v:fill on="f" focussize="0,0"/>
                <v:stroke color="#000000" joinstyle="round"/>
                <v:imagedata o:title=""/>
                <o:lock v:ext="edit" aspectratio="f"/>
              </v:line>
            </w:pict>
          </mc:Fallback>
        </mc:AlternateContent>
      </w:r>
      <w:r>
        <w:rPr>
          <w:rFonts w:ascii="Arial" w:hAnsi="Arial" w:cs="Arial"/>
          <w:color w:val="000000"/>
          <w:szCs w:val="24"/>
        </w:rPr>
        <w:t xml:space="preserve">表 </w:t>
      </w:r>
      <w:r>
        <w:rPr>
          <w:rFonts w:hint="eastAsia" w:ascii="Arial" w:hAnsi="Arial" w:cs="Arial"/>
          <w:color w:val="000000"/>
          <w:szCs w:val="24"/>
          <w:u w:val="single"/>
        </w:rPr>
        <w:t>【</w:t>
      </w:r>
      <w:r>
        <w:rPr>
          <w:rFonts w:ascii="Arial" w:hAnsi="Arial" w:cs="Arial"/>
          <w:color w:val="000000"/>
          <w:szCs w:val="24"/>
          <w:u w:val="single"/>
        </w:rPr>
        <w:t>全名、职务</w:t>
      </w:r>
      <w:r>
        <w:rPr>
          <w:rFonts w:hint="eastAsia" w:ascii="Arial" w:hAnsi="Arial" w:cs="Arial"/>
          <w:color w:val="000000"/>
          <w:szCs w:val="24"/>
          <w:u w:val="single"/>
        </w:rPr>
        <w:t>】</w:t>
      </w:r>
      <w:r>
        <w:rPr>
          <w:rFonts w:ascii="Arial" w:hAnsi="Arial" w:cs="Arial"/>
          <w:color w:val="000000"/>
          <w:szCs w:val="24"/>
        </w:rPr>
        <w:t>经正式授权并代表投标人</w:t>
      </w:r>
      <w:r>
        <w:rPr>
          <w:rFonts w:ascii="Arial" w:hAnsi="Arial" w:cs="Arial"/>
          <w:color w:val="000000"/>
          <w:szCs w:val="24"/>
          <w:u w:val="single"/>
        </w:rPr>
        <w:t xml:space="preserve">  </w:t>
      </w:r>
      <w:r>
        <w:rPr>
          <w:rFonts w:hint="eastAsia" w:ascii="Arial" w:hAnsi="Arial" w:cs="Arial"/>
          <w:color w:val="000000"/>
          <w:szCs w:val="24"/>
          <w:u w:val="single"/>
        </w:rPr>
        <w:t>【</w:t>
      </w:r>
      <w:r>
        <w:rPr>
          <w:rFonts w:ascii="Arial" w:hAnsi="Arial" w:cs="Arial"/>
          <w:color w:val="000000"/>
          <w:szCs w:val="24"/>
          <w:u w:val="single"/>
        </w:rPr>
        <w:t>投标人名称、地址</w:t>
      </w:r>
      <w:r>
        <w:rPr>
          <w:rFonts w:hint="eastAsia" w:ascii="Arial" w:hAnsi="Arial" w:cs="Arial"/>
          <w:color w:val="000000"/>
          <w:szCs w:val="24"/>
          <w:u w:val="single"/>
        </w:rPr>
        <w:t>】</w:t>
      </w:r>
      <w:r>
        <w:rPr>
          <w:rFonts w:ascii="Arial" w:hAnsi="Arial" w:cs="Arial"/>
          <w:color w:val="000000"/>
          <w:szCs w:val="24"/>
          <w:u w:val="single"/>
        </w:rPr>
        <w:t xml:space="preserve">  </w:t>
      </w:r>
      <w:r>
        <w:rPr>
          <w:rFonts w:ascii="Arial" w:hAnsi="Arial" w:cs="Arial"/>
          <w:color w:val="000000"/>
          <w:szCs w:val="24"/>
        </w:rPr>
        <w:t>提交下述文件：</w:t>
      </w:r>
    </w:p>
    <w:p>
      <w:pPr>
        <w:numPr>
          <w:ilvl w:val="0"/>
          <w:numId w:val="16"/>
        </w:numPr>
        <w:tabs>
          <w:tab w:val="left" w:pos="1036"/>
          <w:tab w:val="clear" w:pos="482"/>
        </w:tabs>
        <w:ind w:left="1047" w:leftChars="200" w:hanging="567"/>
        <w:rPr>
          <w:rFonts w:ascii="Arial" w:hAnsi="Arial" w:cs="Arial"/>
          <w:color w:val="000000"/>
        </w:rPr>
      </w:pPr>
      <w:r>
        <w:rPr>
          <w:rFonts w:hint="eastAsia" w:ascii="Arial" w:hAnsi="Arial" w:cs="Arial"/>
          <w:color w:val="000000"/>
        </w:rPr>
        <w:t>本投标函</w:t>
      </w:r>
    </w:p>
    <w:p>
      <w:pPr>
        <w:numPr>
          <w:ilvl w:val="0"/>
          <w:numId w:val="16"/>
        </w:numPr>
        <w:tabs>
          <w:tab w:val="left" w:pos="1036"/>
          <w:tab w:val="clear" w:pos="482"/>
        </w:tabs>
        <w:ind w:left="1047" w:leftChars="200" w:hanging="567"/>
        <w:rPr>
          <w:rFonts w:ascii="Arial" w:hAnsi="Arial" w:cs="Arial"/>
          <w:color w:val="000000"/>
        </w:rPr>
      </w:pPr>
      <w:r>
        <w:rPr>
          <w:rFonts w:ascii="Arial" w:hAnsi="Arial" w:cs="Arial"/>
          <w:color w:val="000000"/>
        </w:rPr>
        <w:t>开标一览表；</w:t>
      </w:r>
    </w:p>
    <w:p>
      <w:pPr>
        <w:numPr>
          <w:ilvl w:val="0"/>
          <w:numId w:val="16"/>
        </w:numPr>
        <w:tabs>
          <w:tab w:val="left" w:pos="1036"/>
          <w:tab w:val="clear" w:pos="482"/>
        </w:tabs>
        <w:ind w:left="1047" w:leftChars="200" w:hanging="567"/>
        <w:rPr>
          <w:rFonts w:ascii="Arial" w:hAnsi="Arial" w:cs="Arial"/>
          <w:color w:val="000000"/>
        </w:rPr>
      </w:pPr>
      <w:r>
        <w:rPr>
          <w:rFonts w:ascii="Arial" w:hAnsi="Arial" w:cs="Arial"/>
          <w:color w:val="000000"/>
        </w:rPr>
        <w:t>投标分项报价表；</w:t>
      </w:r>
    </w:p>
    <w:p>
      <w:pPr>
        <w:numPr>
          <w:ilvl w:val="0"/>
          <w:numId w:val="16"/>
        </w:numPr>
        <w:tabs>
          <w:tab w:val="left" w:pos="1036"/>
          <w:tab w:val="clear" w:pos="482"/>
        </w:tabs>
        <w:ind w:left="1047" w:leftChars="200" w:hanging="567"/>
        <w:rPr>
          <w:rFonts w:ascii="Arial" w:hAnsi="Arial" w:cs="Arial"/>
          <w:color w:val="000000"/>
        </w:rPr>
      </w:pPr>
      <w:r>
        <w:rPr>
          <w:rFonts w:ascii="Arial" w:hAnsi="Arial" w:cs="Arial"/>
          <w:color w:val="000000"/>
        </w:rPr>
        <w:t>技术</w:t>
      </w:r>
      <w:r>
        <w:rPr>
          <w:rFonts w:hint="eastAsia" w:ascii="Arial" w:hAnsi="Arial" w:cs="Arial"/>
          <w:color w:val="000000"/>
        </w:rPr>
        <w:t>服务需求</w:t>
      </w:r>
      <w:r>
        <w:rPr>
          <w:rFonts w:ascii="Arial" w:hAnsi="Arial" w:cs="Arial"/>
          <w:color w:val="000000"/>
        </w:rPr>
        <w:t>偏离表；</w:t>
      </w:r>
    </w:p>
    <w:p>
      <w:pPr>
        <w:numPr>
          <w:ilvl w:val="0"/>
          <w:numId w:val="16"/>
        </w:numPr>
        <w:tabs>
          <w:tab w:val="left" w:pos="1036"/>
          <w:tab w:val="clear" w:pos="482"/>
        </w:tabs>
        <w:ind w:left="1047" w:leftChars="200" w:hanging="567"/>
        <w:rPr>
          <w:rFonts w:ascii="Arial" w:hAnsi="Arial" w:cs="Arial"/>
          <w:color w:val="000000"/>
        </w:rPr>
      </w:pPr>
      <w:r>
        <w:rPr>
          <w:rFonts w:ascii="Arial" w:hAnsi="Arial" w:cs="Arial"/>
          <w:color w:val="000000"/>
        </w:rPr>
        <w:t>合同条款偏离表；</w:t>
      </w:r>
    </w:p>
    <w:p>
      <w:pPr>
        <w:numPr>
          <w:ilvl w:val="0"/>
          <w:numId w:val="16"/>
        </w:numPr>
        <w:tabs>
          <w:tab w:val="left" w:pos="1036"/>
          <w:tab w:val="clear" w:pos="482"/>
        </w:tabs>
        <w:ind w:left="1047" w:leftChars="200" w:hanging="567"/>
        <w:rPr>
          <w:rFonts w:ascii="Arial" w:hAnsi="Arial" w:cs="Arial"/>
          <w:color w:val="000000"/>
        </w:rPr>
      </w:pPr>
      <w:r>
        <w:rPr>
          <w:rFonts w:hint="eastAsia" w:ascii="Arial" w:hAnsi="Arial" w:cs="Arial"/>
          <w:color w:val="000000"/>
        </w:rPr>
        <w:t>【</w:t>
      </w:r>
      <w:r>
        <w:rPr>
          <w:rFonts w:ascii="Arial" w:hAnsi="Arial" w:cs="Arial"/>
          <w:color w:val="000000"/>
          <w:u w:val="single"/>
        </w:rPr>
        <w:t>法定代表人授权书</w:t>
      </w:r>
      <w:r>
        <w:rPr>
          <w:rFonts w:hint="eastAsia" w:ascii="Arial" w:hAnsi="Arial" w:cs="Arial"/>
          <w:color w:val="000000"/>
          <w:u w:val="single"/>
        </w:rPr>
        <w:t xml:space="preserve"> 或者 法定代表人的身份证明复印件】</w:t>
      </w:r>
      <w:r>
        <w:rPr>
          <w:rFonts w:ascii="Arial" w:hAnsi="Arial" w:cs="Arial"/>
          <w:color w:val="000000"/>
        </w:rPr>
        <w:t>；</w:t>
      </w:r>
    </w:p>
    <w:p>
      <w:pPr>
        <w:numPr>
          <w:ilvl w:val="0"/>
          <w:numId w:val="16"/>
        </w:numPr>
        <w:tabs>
          <w:tab w:val="left" w:pos="1036"/>
          <w:tab w:val="clear" w:pos="482"/>
        </w:tabs>
        <w:ind w:left="1047" w:leftChars="200" w:hanging="567"/>
        <w:rPr>
          <w:rFonts w:ascii="Arial" w:hAnsi="Arial" w:cs="Arial"/>
          <w:color w:val="000000"/>
        </w:rPr>
      </w:pPr>
      <w:r>
        <w:rPr>
          <w:rFonts w:ascii="Arial" w:hAnsi="Arial" w:cs="Arial"/>
          <w:color w:val="000000"/>
        </w:rPr>
        <w:t>详细的技术服务响应；</w:t>
      </w:r>
    </w:p>
    <w:p>
      <w:pPr>
        <w:numPr>
          <w:ilvl w:val="0"/>
          <w:numId w:val="16"/>
        </w:numPr>
        <w:tabs>
          <w:tab w:val="left" w:pos="1036"/>
          <w:tab w:val="clear" w:pos="482"/>
        </w:tabs>
        <w:ind w:left="1047" w:leftChars="200" w:hanging="567"/>
        <w:rPr>
          <w:rFonts w:ascii="Arial" w:hAnsi="Arial" w:cs="Arial"/>
          <w:color w:val="000000"/>
        </w:rPr>
      </w:pPr>
      <w:r>
        <w:rPr>
          <w:rFonts w:ascii="Arial" w:hAnsi="Arial" w:cs="Arial"/>
          <w:color w:val="000000"/>
        </w:rPr>
        <w:t>资格</w:t>
      </w:r>
      <w:r>
        <w:rPr>
          <w:rFonts w:hint="eastAsia" w:ascii="Arial" w:hAnsi="Arial" w:cs="Arial"/>
          <w:color w:val="000000"/>
        </w:rPr>
        <w:t>、资信</w:t>
      </w:r>
      <w:r>
        <w:rPr>
          <w:rFonts w:ascii="Arial" w:hAnsi="Arial" w:cs="Arial"/>
          <w:color w:val="000000"/>
        </w:rPr>
        <w:t>证明文件；</w:t>
      </w:r>
    </w:p>
    <w:p>
      <w:pPr>
        <w:numPr>
          <w:ilvl w:val="0"/>
          <w:numId w:val="16"/>
        </w:numPr>
        <w:tabs>
          <w:tab w:val="left" w:pos="1036"/>
          <w:tab w:val="clear" w:pos="482"/>
        </w:tabs>
        <w:ind w:left="1047" w:leftChars="200" w:hanging="567"/>
        <w:rPr>
          <w:rFonts w:ascii="Arial" w:hAnsi="Arial" w:cs="Arial"/>
          <w:color w:val="000000"/>
        </w:rPr>
      </w:pPr>
      <w:r>
        <w:rPr>
          <w:rFonts w:ascii="Arial" w:hAnsi="Arial" w:cs="Arial"/>
          <w:color w:val="000000"/>
        </w:rPr>
        <w:t>其他。</w:t>
      </w:r>
    </w:p>
    <w:p>
      <w:pPr>
        <w:ind w:firstLine="480" w:firstLineChars="200"/>
        <w:rPr>
          <w:rFonts w:ascii="Arial" w:hAnsi="Arial" w:cs="Arial"/>
          <w:color w:val="000000"/>
          <w:szCs w:val="24"/>
        </w:rPr>
      </w:pPr>
      <w:r>
        <w:rPr>
          <w:rFonts w:hint="eastAsia" w:ascii="Arial" w:hAnsi="Arial" w:cs="Arial"/>
          <w:color w:val="000000"/>
          <w:szCs w:val="24"/>
        </w:rPr>
        <w:t>在此，</w:t>
      </w:r>
      <w:r>
        <w:rPr>
          <w:rFonts w:ascii="Arial" w:hAnsi="Arial" w:cs="Arial"/>
          <w:color w:val="000000"/>
          <w:szCs w:val="24"/>
        </w:rPr>
        <w:t>我方郑重承诺：</w:t>
      </w:r>
    </w:p>
    <w:p>
      <w:pPr>
        <w:ind w:firstLine="480" w:firstLineChars="200"/>
        <w:rPr>
          <w:rFonts w:cs="Arial" w:hAnsiTheme="minorEastAsia"/>
          <w:color w:val="000000"/>
          <w:szCs w:val="24"/>
        </w:rPr>
      </w:pPr>
      <w:r>
        <w:rPr>
          <w:rFonts w:hint="eastAsia" w:cs="Arial" w:hAnsiTheme="minorEastAsia"/>
          <w:color w:val="000000"/>
          <w:szCs w:val="24"/>
        </w:rPr>
        <w:t>1、</w:t>
      </w:r>
      <w:r>
        <w:rPr>
          <w:rFonts w:cs="Arial" w:hAnsiTheme="minorEastAsia"/>
          <w:color w:val="000000"/>
          <w:szCs w:val="24"/>
        </w:rPr>
        <w:t>我方提交的投标文件资料是完整的、真实的和准确的。</w:t>
      </w:r>
    </w:p>
    <w:p>
      <w:pPr>
        <w:ind w:firstLine="480" w:firstLineChars="200"/>
        <w:rPr>
          <w:rFonts w:cs="Arial" w:hAnsiTheme="minorEastAsia"/>
          <w:color w:val="000000"/>
          <w:szCs w:val="24"/>
        </w:rPr>
      </w:pPr>
      <w:r>
        <w:rPr>
          <w:rFonts w:cs="Arial" w:hAnsiTheme="minorEastAsia"/>
          <w:color w:val="000000"/>
          <w:szCs w:val="24"/>
        </w:rPr>
        <w:t>2</w:t>
      </w:r>
      <w:r>
        <w:rPr>
          <w:rFonts w:hint="eastAsia" w:cs="Arial" w:hAnsiTheme="minorEastAsia"/>
          <w:color w:val="000000"/>
          <w:szCs w:val="24"/>
        </w:rPr>
        <w:t>、</w:t>
      </w:r>
      <w:r>
        <w:rPr>
          <w:rFonts w:cs="Arial" w:hAnsiTheme="minorEastAsia"/>
          <w:color w:val="000000"/>
          <w:szCs w:val="24"/>
        </w:rPr>
        <w:t>我方同意按照贵方的要求，提供有关的数据和资料。为此，我们授权任何相关的个人和公司向贵方提供要求的和必要的真实情况和资料以证实我们所填报的各项内容。</w:t>
      </w:r>
    </w:p>
    <w:p>
      <w:pPr>
        <w:ind w:firstLine="480" w:firstLineChars="200"/>
        <w:rPr>
          <w:rFonts w:cs="Arial" w:hAnsiTheme="minorEastAsia"/>
          <w:color w:val="000000"/>
          <w:szCs w:val="24"/>
        </w:rPr>
      </w:pPr>
      <w:r>
        <w:rPr>
          <w:rFonts w:cs="Arial" w:hAnsiTheme="minorEastAsia"/>
          <w:color w:val="000000"/>
          <w:szCs w:val="24"/>
        </w:rPr>
        <w:t>3</w:t>
      </w:r>
      <w:r>
        <w:rPr>
          <w:rFonts w:hint="eastAsia" w:cs="Arial" w:hAnsiTheme="minorEastAsia"/>
          <w:color w:val="000000"/>
          <w:szCs w:val="24"/>
        </w:rPr>
        <w:t>、</w:t>
      </w:r>
      <w:r>
        <w:rPr>
          <w:rFonts w:cs="Arial" w:hAnsiTheme="minorEastAsia"/>
          <w:color w:val="000000"/>
          <w:szCs w:val="24"/>
        </w:rPr>
        <w:t>如果在该项目招标过程中或者在获得中标后，采购人或有管辖权的行政监管机构发现并查实我方在该项目的投标中所报的资料存在虚假或不真实的信息或者伪造数据、资料或证书等情况，我方将无条件地自动放弃该项目的投标资格和中标资格；如果我方已经收到中标通知书，我方将无条件的承认，我方收到的该项目的中标通知书为无效文件，对采购人不具有任何法律约束力，由此造成的任何损失均由我方承担。</w:t>
      </w:r>
    </w:p>
    <w:p>
      <w:pPr>
        <w:ind w:firstLine="480" w:firstLineChars="200"/>
        <w:rPr>
          <w:rFonts w:cs="Arial" w:hAnsiTheme="minorEastAsia"/>
          <w:color w:val="000000"/>
          <w:szCs w:val="24"/>
        </w:rPr>
      </w:pPr>
      <w:r>
        <w:rPr>
          <w:rFonts w:hint="eastAsia" w:cs="Arial" w:hAnsiTheme="minorEastAsia"/>
          <w:color w:val="000000"/>
          <w:szCs w:val="24"/>
        </w:rPr>
        <w:t>4、我方及我方提供的货物和服务均满足中华人民共和国法律法规的强制性规定和其他行政许可。保证提供的货物和服务等的所有权及知识产权等权利无瑕疵。</w:t>
      </w:r>
    </w:p>
    <w:p>
      <w:pPr>
        <w:ind w:firstLine="480" w:firstLineChars="200"/>
        <w:rPr>
          <w:rFonts w:cs="Arial" w:hAnsiTheme="minorEastAsia"/>
          <w:color w:val="000000"/>
          <w:szCs w:val="24"/>
        </w:rPr>
      </w:pPr>
      <w:r>
        <w:rPr>
          <w:rFonts w:hint="eastAsia" w:cs="Arial" w:hAnsiTheme="minorEastAsia"/>
          <w:color w:val="000000"/>
          <w:szCs w:val="24"/>
        </w:rPr>
        <w:t>5、在本次招标活动中，我单位以</w:t>
      </w:r>
      <w:r>
        <w:rPr>
          <w:rFonts w:hint="eastAsia" w:cs="Arial" w:hAnsiTheme="minorEastAsia"/>
          <w:color w:val="000000"/>
          <w:szCs w:val="24"/>
          <w:u w:val="single"/>
        </w:rPr>
        <w:t xml:space="preserve"> 【电汇】 </w:t>
      </w:r>
      <w:r>
        <w:rPr>
          <w:rFonts w:hint="eastAsia" w:cs="Arial" w:hAnsiTheme="minorEastAsia"/>
          <w:color w:val="000000"/>
          <w:szCs w:val="24"/>
        </w:rPr>
        <w:t>形式提交投标保证金并做出以下承诺：</w:t>
      </w:r>
    </w:p>
    <w:p>
      <w:pPr>
        <w:ind w:firstLine="480" w:firstLineChars="200"/>
        <w:rPr>
          <w:rFonts w:cs="Arial" w:hAnsiTheme="minorEastAsia"/>
          <w:color w:val="000000"/>
          <w:szCs w:val="24"/>
        </w:rPr>
      </w:pPr>
      <w:r>
        <w:rPr>
          <w:rFonts w:hint="eastAsia" w:cs="Arial" w:hAnsiTheme="minorEastAsia"/>
          <w:color w:val="000000"/>
          <w:szCs w:val="24"/>
        </w:rPr>
        <w:t>（</w:t>
      </w:r>
      <w:r>
        <w:rPr>
          <w:rFonts w:cs="Arial" w:hAnsiTheme="minorEastAsia"/>
          <w:color w:val="000000"/>
          <w:szCs w:val="24"/>
        </w:rPr>
        <w:t>1</w:t>
      </w:r>
      <w:r>
        <w:rPr>
          <w:rFonts w:hint="eastAsia" w:cs="Arial" w:hAnsiTheme="minorEastAsia"/>
          <w:color w:val="000000"/>
          <w:szCs w:val="24"/>
        </w:rPr>
        <w:t>）、保证金有效期与投标有效期一致。</w:t>
      </w:r>
    </w:p>
    <w:p>
      <w:pPr>
        <w:ind w:firstLine="480" w:firstLineChars="200"/>
        <w:rPr>
          <w:rFonts w:cs="Arial" w:hAnsiTheme="minorEastAsia"/>
          <w:color w:val="auto"/>
          <w:szCs w:val="24"/>
        </w:rPr>
      </w:pPr>
      <w:r>
        <w:rPr>
          <w:rFonts w:hint="eastAsia" w:cs="Arial" w:hAnsiTheme="minorEastAsia"/>
          <w:color w:val="000000"/>
          <w:szCs w:val="24"/>
        </w:rPr>
        <w:t>（</w:t>
      </w:r>
      <w:r>
        <w:rPr>
          <w:rFonts w:cs="Arial" w:hAnsiTheme="minorEastAsia"/>
          <w:color w:val="000000"/>
          <w:szCs w:val="24"/>
        </w:rPr>
        <w:t>2</w:t>
      </w:r>
      <w:r>
        <w:rPr>
          <w:rFonts w:hint="eastAsia" w:cs="Arial" w:hAnsiTheme="minorEastAsia"/>
          <w:color w:val="000000"/>
          <w:szCs w:val="24"/>
        </w:rPr>
        <w:t>）、若我单位最终中标，我单位承诺于合同签订的下一个工作日内，将合同扫描件报采购代</w:t>
      </w:r>
      <w:r>
        <w:rPr>
          <w:rFonts w:hint="eastAsia" w:cs="Arial" w:hAnsiTheme="minorEastAsia"/>
          <w:color w:val="auto"/>
          <w:szCs w:val="24"/>
        </w:rPr>
        <w:t>理机构，否则自行承担投标保证金未能在规定时间内退还的责任，采购代理机构不承担任何责任。</w:t>
      </w:r>
    </w:p>
    <w:p>
      <w:pPr>
        <w:pStyle w:val="45"/>
        <w:ind w:firstLine="480"/>
        <w:rPr>
          <w:rFonts w:hint="eastAsia" w:eastAsiaTheme="minorEastAsia"/>
          <w:color w:val="auto"/>
          <w:lang w:eastAsia="zh-CN"/>
        </w:rPr>
      </w:pPr>
      <w:r>
        <w:rPr>
          <w:rFonts w:hint="eastAsia"/>
          <w:color w:val="auto"/>
        </w:rPr>
        <w:t>6、</w:t>
      </w:r>
      <w:r>
        <w:rPr>
          <w:rFonts w:hint="eastAsia" w:cs="Arial" w:hAnsiTheme="minorEastAsia"/>
          <w:color w:val="auto"/>
        </w:rPr>
        <w:t>若我单位最终中标，</w:t>
      </w:r>
      <w:r>
        <w:rPr>
          <w:rFonts w:hint="eastAsia"/>
          <w:color w:val="auto"/>
        </w:rPr>
        <w:t>我单位保证在接到中标通知后三日内按招标文件的规定，以电汇形式向中化商务电子招投标平台收款子账户支付服务费，由此产生的一切法律后果和责任由我单位承担，我单位声明放弃对此提出任何异议和追索的权利。</w:t>
      </w:r>
    </w:p>
    <w:p>
      <w:pPr>
        <w:ind w:firstLine="480" w:firstLineChars="200"/>
        <w:rPr>
          <w:rFonts w:ascii="Arial" w:hAnsi="Arial" w:cs="Arial"/>
          <w:color w:val="000000"/>
          <w:szCs w:val="24"/>
        </w:rPr>
      </w:pPr>
      <w:r>
        <w:rPr>
          <w:rFonts w:hint="eastAsia" w:ascii="Arial" w:hAnsi="Arial" w:cs="Arial"/>
          <w:color w:val="000000"/>
          <w:szCs w:val="24"/>
        </w:rPr>
        <w:t>以上</w:t>
      </w:r>
      <w:r>
        <w:rPr>
          <w:rFonts w:ascii="Arial" w:hAnsi="Arial" w:cs="Arial"/>
          <w:color w:val="000000"/>
          <w:szCs w:val="24"/>
        </w:rPr>
        <w:t>承诺是我方真实意思的表示且具有相对独立性，不管是否有其他相反的说明，本段承诺均为我方</w:t>
      </w:r>
      <w:r>
        <w:rPr>
          <w:rFonts w:hint="eastAsia" w:ascii="Arial" w:hAnsi="Arial" w:cs="Arial"/>
          <w:color w:val="000000"/>
          <w:szCs w:val="24"/>
        </w:rPr>
        <w:t>投标文件</w:t>
      </w:r>
      <w:r>
        <w:rPr>
          <w:rFonts w:ascii="Arial" w:hAnsi="Arial" w:cs="Arial"/>
          <w:color w:val="000000"/>
          <w:szCs w:val="24"/>
        </w:rPr>
        <w:t>的有效组成内容，对我方在与该项目有关的任何行为中始终具有优先的法律约束力。</w:t>
      </w:r>
    </w:p>
    <w:p>
      <w:pPr>
        <w:ind w:firstLine="480" w:firstLineChars="200"/>
        <w:rPr>
          <w:rFonts w:ascii="Arial" w:hAnsi="Arial" w:cs="Arial"/>
          <w:color w:val="000000"/>
          <w:szCs w:val="24"/>
        </w:rPr>
      </w:pPr>
      <w:r>
        <w:rPr>
          <w:rFonts w:ascii="Arial" w:hAnsi="Arial" w:cs="Arial"/>
          <w:color w:val="000000"/>
          <w:szCs w:val="24"/>
        </w:rPr>
        <w:t>据此函，</w:t>
      </w:r>
      <w:r>
        <w:rPr>
          <w:rFonts w:hint="eastAsia" w:ascii="Arial" w:hAnsi="Arial" w:cs="Arial"/>
          <w:color w:val="000000"/>
          <w:szCs w:val="24"/>
        </w:rPr>
        <w:t>我方</w:t>
      </w:r>
      <w:r>
        <w:rPr>
          <w:rFonts w:ascii="Arial" w:hAnsi="Arial" w:cs="Arial"/>
          <w:color w:val="000000"/>
          <w:szCs w:val="24"/>
        </w:rPr>
        <w:t>宣布同意如下:</w:t>
      </w:r>
    </w:p>
    <w:p>
      <w:pPr>
        <w:numPr>
          <w:ilvl w:val="0"/>
          <w:numId w:val="17"/>
        </w:numPr>
        <w:tabs>
          <w:tab w:val="left" w:pos="1036"/>
          <w:tab w:val="clear" w:pos="482"/>
        </w:tabs>
        <w:ind w:left="1047" w:leftChars="200" w:hanging="567"/>
        <w:rPr>
          <w:rFonts w:ascii="Arial" w:hAnsi="Arial" w:cs="Arial"/>
          <w:color w:val="000000"/>
        </w:rPr>
      </w:pPr>
      <w:r>
        <w:rPr>
          <w:rFonts w:hint="eastAsia" w:ascii="Arial" w:hAnsi="Arial" w:cs="Arial"/>
          <w:color w:val="000000"/>
          <w:szCs w:val="24"/>
        </w:rPr>
        <w:t>我方</w:t>
      </w:r>
      <w:r>
        <w:rPr>
          <w:rFonts w:ascii="Arial" w:hAnsi="Arial" w:cs="Arial"/>
          <w:color w:val="000000"/>
        </w:rPr>
        <w:t>投标</w:t>
      </w:r>
      <w:r>
        <w:rPr>
          <w:rFonts w:hint="eastAsia" w:ascii="Arial" w:hAnsi="Arial" w:cs="Arial"/>
          <w:color w:val="000000"/>
        </w:rPr>
        <w:t>报价</w:t>
      </w:r>
      <w:r>
        <w:rPr>
          <w:rFonts w:hint="eastAsia" w:ascii="Arial" w:hAnsi="Arial" w:cs="Arial"/>
        </w:rPr>
        <w:t>见《开标一览表》</w:t>
      </w:r>
      <w:r>
        <w:rPr>
          <w:rFonts w:ascii="Arial" w:hAnsi="Arial" w:cs="Arial"/>
        </w:rPr>
        <w:t>。</w:t>
      </w:r>
      <w:r>
        <w:rPr>
          <w:rFonts w:hint="eastAsia" w:ascii="Arial" w:hAnsi="Arial" w:cs="Arial"/>
          <w:color w:val="000000"/>
          <w:szCs w:val="24"/>
        </w:rPr>
        <w:t>我方完全接受并同意采购人就本合同约定内容将不再支付投标报价以外的费用，并承诺因投标文件发生的费用缺漏项将是我方的风险，我方将无条件给予补充完备，且报价不变。我方投标文件不包含除价格外的任何其他优惠，且没有附加条件折扣。</w:t>
      </w:r>
    </w:p>
    <w:p>
      <w:pPr>
        <w:numPr>
          <w:ilvl w:val="0"/>
          <w:numId w:val="17"/>
        </w:numPr>
        <w:tabs>
          <w:tab w:val="left" w:pos="1036"/>
          <w:tab w:val="clear" w:pos="482"/>
        </w:tabs>
        <w:ind w:left="1047" w:leftChars="200" w:hanging="567"/>
        <w:rPr>
          <w:rFonts w:ascii="Arial" w:hAnsi="Arial" w:cs="Arial"/>
          <w:color w:val="000000"/>
          <w:szCs w:val="24"/>
        </w:rPr>
      </w:pPr>
      <w:r>
        <w:rPr>
          <w:rFonts w:ascii="Arial" w:hAnsi="Arial" w:cs="Arial"/>
          <w:b/>
          <w:color w:val="000000"/>
          <w:szCs w:val="24"/>
        </w:rPr>
        <w:t>本</w:t>
      </w:r>
      <w:r>
        <w:rPr>
          <w:rFonts w:ascii="Arial" w:hAnsi="Arial" w:cs="Arial"/>
          <w:b/>
          <w:bCs/>
          <w:color w:val="000000"/>
        </w:rPr>
        <w:t>投标</w:t>
      </w:r>
      <w:r>
        <w:rPr>
          <w:rFonts w:ascii="Arial" w:hAnsi="Arial" w:cs="Arial"/>
          <w:b/>
          <w:color w:val="000000"/>
          <w:szCs w:val="24"/>
        </w:rPr>
        <w:t>有效期为自投标截止时</w:t>
      </w:r>
      <w:r>
        <w:rPr>
          <w:rFonts w:cs="Arial" w:hAnsiTheme="minorEastAsia"/>
          <w:b/>
          <w:color w:val="000000"/>
          <w:szCs w:val="24"/>
        </w:rPr>
        <w:t>间起</w:t>
      </w:r>
      <w:r>
        <w:rPr>
          <w:rFonts w:hint="eastAsia" w:cs="Arial" w:hAnsiTheme="minorEastAsia"/>
          <w:b/>
          <w:color w:val="000000"/>
          <w:szCs w:val="24"/>
          <w:u w:val="single"/>
        </w:rPr>
        <w:t>【9</w:t>
      </w:r>
      <w:r>
        <w:rPr>
          <w:rFonts w:cs="Arial" w:hAnsiTheme="minorEastAsia"/>
          <w:b/>
          <w:color w:val="000000"/>
          <w:szCs w:val="24"/>
          <w:u w:val="single"/>
        </w:rPr>
        <w:t>0</w:t>
      </w:r>
      <w:r>
        <w:rPr>
          <w:rFonts w:hint="eastAsia" w:cs="Arial" w:hAnsiTheme="minorEastAsia"/>
          <w:b/>
          <w:color w:val="000000"/>
          <w:szCs w:val="24"/>
          <w:u w:val="single"/>
        </w:rPr>
        <w:t>】</w:t>
      </w:r>
      <w:r>
        <w:rPr>
          <w:rFonts w:cs="Arial" w:hAnsiTheme="minorEastAsia"/>
          <w:b/>
          <w:color w:val="000000"/>
          <w:szCs w:val="24"/>
        </w:rPr>
        <w:t xml:space="preserve">日 </w:t>
      </w:r>
      <w:r>
        <w:rPr>
          <w:rFonts w:cs="Arial" w:hAnsiTheme="minorEastAsia"/>
          <w:color w:val="000000"/>
          <w:szCs w:val="24"/>
        </w:rPr>
        <w:t>。</w:t>
      </w:r>
    </w:p>
    <w:p>
      <w:pPr>
        <w:numPr>
          <w:ilvl w:val="0"/>
          <w:numId w:val="17"/>
        </w:numPr>
        <w:tabs>
          <w:tab w:val="left" w:pos="1036"/>
          <w:tab w:val="clear" w:pos="482"/>
        </w:tabs>
        <w:ind w:left="1047" w:leftChars="200" w:hanging="567"/>
        <w:rPr>
          <w:rFonts w:ascii="Arial" w:hAnsi="Arial" w:cs="Arial"/>
          <w:color w:val="000000"/>
          <w:szCs w:val="24"/>
        </w:rPr>
      </w:pPr>
      <w:r>
        <w:rPr>
          <w:rFonts w:ascii="Arial" w:hAnsi="Arial" w:cs="Arial"/>
          <w:color w:val="000000"/>
          <w:szCs w:val="24"/>
        </w:rPr>
        <w:t>我方完全理解贵方不一定接受最低</w:t>
      </w:r>
      <w:r>
        <w:rPr>
          <w:rFonts w:hint="eastAsia" w:ascii="Arial" w:hAnsi="Arial" w:cs="Arial"/>
          <w:color w:val="000000"/>
          <w:szCs w:val="24"/>
        </w:rPr>
        <w:t>的报价</w:t>
      </w:r>
      <w:r>
        <w:rPr>
          <w:rFonts w:ascii="Arial" w:hAnsi="Arial" w:cs="Arial"/>
          <w:color w:val="000000"/>
          <w:szCs w:val="24"/>
        </w:rPr>
        <w:t>或收到的任何</w:t>
      </w:r>
      <w:r>
        <w:rPr>
          <w:rFonts w:hint="eastAsia" w:ascii="Arial" w:hAnsi="Arial" w:cs="Arial"/>
          <w:color w:val="000000"/>
          <w:szCs w:val="24"/>
        </w:rPr>
        <w:t>投标文件</w:t>
      </w:r>
      <w:r>
        <w:rPr>
          <w:rFonts w:ascii="Arial" w:hAnsi="Arial" w:cs="Arial"/>
          <w:color w:val="000000"/>
          <w:szCs w:val="24"/>
        </w:rPr>
        <w:t>。</w:t>
      </w:r>
    </w:p>
    <w:p>
      <w:pPr>
        <w:numPr>
          <w:ilvl w:val="0"/>
          <w:numId w:val="17"/>
        </w:numPr>
        <w:tabs>
          <w:tab w:val="left" w:pos="1036"/>
          <w:tab w:val="clear" w:pos="482"/>
        </w:tabs>
        <w:ind w:left="1047" w:leftChars="200" w:hanging="567"/>
        <w:rPr>
          <w:rFonts w:ascii="Arial" w:hAnsi="Arial" w:cs="Arial"/>
          <w:color w:val="000000"/>
          <w:szCs w:val="24"/>
        </w:rPr>
      </w:pPr>
      <w:r>
        <w:rPr>
          <w:rFonts w:hint="eastAsia" w:ascii="Arial" w:hAnsi="Arial" w:cs="Arial"/>
          <w:color w:val="000000"/>
          <w:szCs w:val="24"/>
        </w:rPr>
        <w:t>一旦我方中标，我方将严格履行合同规定的责任和义务。</w:t>
      </w:r>
    </w:p>
    <w:p>
      <w:pPr>
        <w:numPr>
          <w:ilvl w:val="0"/>
          <w:numId w:val="17"/>
        </w:numPr>
        <w:tabs>
          <w:tab w:val="left" w:pos="1036"/>
          <w:tab w:val="clear" w:pos="482"/>
        </w:tabs>
        <w:ind w:left="1047" w:leftChars="200" w:hanging="567"/>
        <w:rPr>
          <w:rFonts w:ascii="Arial" w:hAnsi="Arial" w:cs="Arial"/>
          <w:color w:val="000000"/>
          <w:szCs w:val="24"/>
        </w:rPr>
      </w:pPr>
      <w:r>
        <w:rPr>
          <w:rFonts w:hint="eastAsia" w:ascii="Arial" w:hAnsi="Arial" w:cs="Arial"/>
          <w:color w:val="000000"/>
          <w:szCs w:val="24"/>
        </w:rPr>
        <w:t>我方接受并同意招标文件关于投标保证金不予退还的规定。</w:t>
      </w:r>
    </w:p>
    <w:p>
      <w:pPr>
        <w:numPr>
          <w:ilvl w:val="0"/>
          <w:numId w:val="17"/>
        </w:numPr>
        <w:tabs>
          <w:tab w:val="left" w:pos="1036"/>
          <w:tab w:val="clear" w:pos="482"/>
        </w:tabs>
        <w:ind w:left="1047" w:leftChars="200" w:hanging="567"/>
        <w:rPr>
          <w:rFonts w:ascii="Arial" w:hAnsi="Arial" w:cs="Arial"/>
          <w:color w:val="000000"/>
          <w:szCs w:val="24"/>
        </w:rPr>
      </w:pPr>
      <w:r>
        <w:rPr>
          <w:rFonts w:ascii="Arial" w:hAnsi="Arial" w:cs="Arial"/>
          <w:color w:val="000000"/>
          <w:szCs w:val="24"/>
        </w:rPr>
        <w:t>我方己详细审查全部招标文件，包括</w:t>
      </w:r>
      <w:r>
        <w:rPr>
          <w:rFonts w:hint="eastAsia" w:hAnsi="Calibri" w:cs="Times New Roman"/>
        </w:rPr>
        <w:t>澄清或修改文件</w:t>
      </w:r>
      <w:r>
        <w:rPr>
          <w:rFonts w:ascii="Arial" w:hAnsi="Arial" w:cs="Arial"/>
          <w:color w:val="000000"/>
          <w:szCs w:val="24"/>
        </w:rPr>
        <w:t>（如果有的话）。我们完全理解并同意放弃对这方面有不明及误解的权利。</w:t>
      </w:r>
    </w:p>
    <w:p>
      <w:pPr>
        <w:numPr>
          <w:ilvl w:val="0"/>
          <w:numId w:val="17"/>
        </w:numPr>
        <w:tabs>
          <w:tab w:val="left" w:pos="1036"/>
          <w:tab w:val="clear" w:pos="482"/>
        </w:tabs>
        <w:ind w:left="1047" w:leftChars="200" w:hanging="567"/>
        <w:rPr>
          <w:rFonts w:ascii="Arial" w:hAnsi="Arial" w:cs="Arial"/>
          <w:color w:val="000000"/>
          <w:szCs w:val="24"/>
        </w:rPr>
      </w:pPr>
      <w:r>
        <w:rPr>
          <w:rFonts w:hint="eastAsia" w:ascii="Arial" w:hAnsi="Arial" w:cs="Arial"/>
          <w:color w:val="000000"/>
          <w:szCs w:val="24"/>
        </w:rPr>
        <w:t>我方承诺除合同条款偏离表“偏离说明”栏中列明的“优于”或“不满足”项外，我方无条件满足并接受招标文件规定的所有其它合同条款。我方承诺合同条款偏离表内容（包括该表未列出的一致且满足的条款）与投标文件其它位置响应不一致的，以合同条款偏离表内容为准。</w:t>
      </w:r>
    </w:p>
    <w:p>
      <w:pPr>
        <w:numPr>
          <w:ilvl w:val="0"/>
          <w:numId w:val="17"/>
        </w:numPr>
        <w:tabs>
          <w:tab w:val="left" w:pos="1036"/>
          <w:tab w:val="clear" w:pos="482"/>
        </w:tabs>
        <w:ind w:left="1047" w:leftChars="200" w:hanging="567"/>
        <w:rPr>
          <w:rFonts w:ascii="Arial" w:hAnsi="Arial" w:cs="Arial"/>
          <w:color w:val="000000"/>
          <w:szCs w:val="24"/>
        </w:rPr>
      </w:pPr>
      <w:r>
        <w:rPr>
          <w:rFonts w:ascii="Arial" w:hAnsi="Arial" w:cs="Arial"/>
          <w:color w:val="000000"/>
          <w:szCs w:val="24"/>
        </w:rPr>
        <w:t>我方完全理解贵方不一定接受最低价的投标或收到的任何投标。</w:t>
      </w:r>
    </w:p>
    <w:p>
      <w:pPr>
        <w:numPr>
          <w:ilvl w:val="0"/>
          <w:numId w:val="17"/>
        </w:numPr>
        <w:tabs>
          <w:tab w:val="left" w:pos="1036"/>
          <w:tab w:val="clear" w:pos="482"/>
        </w:tabs>
        <w:ind w:left="1047" w:leftChars="200" w:hanging="567"/>
        <w:rPr>
          <w:rFonts w:ascii="Arial" w:hAnsi="Arial" w:cs="Arial"/>
          <w:color w:val="000000"/>
          <w:szCs w:val="24"/>
        </w:rPr>
      </w:pPr>
      <w:r>
        <w:rPr>
          <w:rFonts w:ascii="Arial" w:hAnsi="Arial" w:cs="Arial"/>
          <w:color w:val="000000"/>
          <w:szCs w:val="24"/>
        </w:rPr>
        <w:t>与本</w:t>
      </w:r>
      <w:r>
        <w:rPr>
          <w:rFonts w:ascii="Arial" w:hAnsi="Arial" w:cs="Arial"/>
          <w:color w:val="000000"/>
        </w:rPr>
        <w:t>投标</w:t>
      </w:r>
      <w:r>
        <w:rPr>
          <w:rFonts w:ascii="Arial" w:hAnsi="Arial" w:cs="Arial"/>
          <w:color w:val="000000"/>
          <w:szCs w:val="24"/>
        </w:rPr>
        <w:t>有关的一切正式往来通讯请寄：</w:t>
      </w:r>
    </w:p>
    <w:p>
      <w:pPr>
        <w:rPr>
          <w:rFonts w:ascii="Arial" w:hAnsi="Arial" w:cs="Arial"/>
          <w:color w:val="000000"/>
          <w:szCs w:val="24"/>
          <w:u w:val="single"/>
        </w:rPr>
      </w:pPr>
      <w:r>
        <w:rPr>
          <w:rFonts w:ascii="Arial" w:hAnsi="Arial" w:cs="Arial"/>
          <w:color w:val="000000"/>
          <w:szCs w:val="24"/>
        </w:rPr>
        <w:t xml:space="preserve">    地址：</w:t>
      </w:r>
      <w:r>
        <w:rPr>
          <w:rFonts w:ascii="Arial" w:hAnsi="Arial" w:cs="Arial"/>
          <w:color w:val="000000"/>
          <w:szCs w:val="24"/>
          <w:u w:val="single"/>
        </w:rPr>
        <w:t xml:space="preserve">                  </w:t>
      </w:r>
      <w:r>
        <w:rPr>
          <w:rFonts w:ascii="Arial" w:hAnsi="Arial" w:cs="Arial"/>
          <w:color w:val="000000"/>
          <w:szCs w:val="24"/>
        </w:rPr>
        <w:t>传真：</w:t>
      </w:r>
      <w:r>
        <w:rPr>
          <w:rFonts w:ascii="Arial" w:hAnsi="Arial" w:cs="Arial"/>
          <w:color w:val="000000"/>
          <w:szCs w:val="24"/>
          <w:u w:val="single"/>
        </w:rPr>
        <w:t xml:space="preserve">                  </w:t>
      </w:r>
    </w:p>
    <w:p>
      <w:pPr>
        <w:ind w:firstLine="480" w:firstLineChars="200"/>
        <w:rPr>
          <w:rFonts w:ascii="Arial" w:hAnsi="Arial" w:cs="Arial"/>
          <w:color w:val="000000"/>
          <w:szCs w:val="24"/>
          <w:u w:val="single"/>
        </w:rPr>
      </w:pPr>
      <w:r>
        <w:rPr>
          <w:rFonts w:ascii="Arial" w:hAnsi="Arial" w:cs="Arial"/>
          <w:color w:val="000000"/>
          <w:szCs w:val="24"/>
        </w:rPr>
        <w:t>电话：</w:t>
      </w:r>
      <w:r>
        <w:rPr>
          <w:rFonts w:ascii="Arial" w:hAnsi="Arial" w:cs="Arial"/>
          <w:color w:val="000000"/>
          <w:szCs w:val="24"/>
          <w:u w:val="single"/>
        </w:rPr>
        <w:t xml:space="preserve">                  </w:t>
      </w:r>
      <w:r>
        <w:rPr>
          <w:rFonts w:hint="eastAsia" w:hAnsi="Calibri" w:cs="Times New Roman"/>
        </w:rPr>
        <w:t>电子邮箱____________________</w:t>
      </w:r>
    </w:p>
    <w:p>
      <w:pPr>
        <w:ind w:firstLine="480" w:firstLineChars="200"/>
        <w:rPr>
          <w:rFonts w:ascii="Arial" w:hAnsi="Arial" w:cs="Arial"/>
          <w:color w:val="000000"/>
          <w:szCs w:val="24"/>
          <w:u w:val="single"/>
        </w:rPr>
      </w:pPr>
    </w:p>
    <w:p>
      <w:pPr>
        <w:ind w:firstLine="480" w:firstLineChars="200"/>
        <w:rPr>
          <w:rFonts w:ascii="Arial" w:hAnsi="Arial" w:cs="Arial"/>
          <w:color w:val="000000"/>
          <w:szCs w:val="24"/>
          <w:u w:val="single"/>
        </w:rPr>
      </w:pPr>
    </w:p>
    <w:p>
      <w:pPr>
        <w:ind w:firstLine="488" w:firstLineChars="200"/>
        <w:rPr>
          <w:rFonts w:ascii="Arial" w:hAnsi="Arial" w:cs="Arial"/>
          <w:color w:val="000000"/>
          <w:szCs w:val="24"/>
          <w:u w:val="single"/>
        </w:rPr>
      </w:pPr>
      <w:r>
        <w:rPr>
          <w:rFonts w:hint="eastAsia" w:hAnsi="Calibri" w:cs="Times New Roman"/>
          <w:spacing w:val="2"/>
        </w:rPr>
        <w:t>法定代表人签署或被授权人签字</w:t>
      </w:r>
      <w:r>
        <w:rPr>
          <w:rFonts w:ascii="Arial" w:hAnsi="Arial" w:cs="Arial"/>
          <w:color w:val="000000"/>
          <w:szCs w:val="24"/>
        </w:rPr>
        <w:t>：</w:t>
      </w:r>
      <w:r>
        <w:rPr>
          <w:rFonts w:ascii="Arial" w:hAnsi="Arial" w:cs="Arial"/>
          <w:color w:val="000000"/>
          <w:szCs w:val="24"/>
          <w:u w:val="single"/>
        </w:rPr>
        <w:t xml:space="preserve">                            </w:t>
      </w:r>
    </w:p>
    <w:p>
      <w:pPr>
        <w:ind w:firstLine="480" w:firstLineChars="200"/>
        <w:rPr>
          <w:rFonts w:ascii="Arial" w:hAnsi="Arial" w:cs="Arial"/>
          <w:color w:val="000000"/>
          <w:szCs w:val="24"/>
          <w:u w:val="single"/>
        </w:rPr>
      </w:pPr>
      <w:r>
        <w:rPr>
          <w:rFonts w:ascii="Arial" w:hAnsi="Arial" w:cs="Arial"/>
          <w:color w:val="000000"/>
          <w:szCs w:val="24"/>
        </w:rPr>
        <w:t>投标人名称</w:t>
      </w:r>
      <w:r>
        <w:rPr>
          <w:rFonts w:hint="eastAsia" w:ascii="Arial" w:hAnsi="Arial" w:cs="Arial"/>
          <w:color w:val="000000"/>
          <w:szCs w:val="24"/>
        </w:rPr>
        <w:t>（公章）</w:t>
      </w:r>
      <w:r>
        <w:rPr>
          <w:rFonts w:ascii="Arial" w:hAnsi="Arial" w:cs="Arial"/>
          <w:color w:val="000000"/>
          <w:szCs w:val="24"/>
        </w:rPr>
        <w:t>：</w:t>
      </w:r>
      <w:r>
        <w:rPr>
          <w:rFonts w:ascii="Arial" w:hAnsi="Arial" w:cs="Arial"/>
          <w:color w:val="000000"/>
          <w:szCs w:val="24"/>
          <w:u w:val="single"/>
        </w:rPr>
        <w:t xml:space="preserve">                                    </w:t>
      </w:r>
    </w:p>
    <w:p>
      <w:pPr>
        <w:ind w:firstLine="480" w:firstLineChars="200"/>
        <w:rPr>
          <w:rFonts w:ascii="Arial" w:hAnsi="Arial" w:cs="Arial"/>
          <w:color w:val="000000"/>
          <w:szCs w:val="24"/>
        </w:rPr>
      </w:pPr>
      <w:r>
        <w:rPr>
          <w:rFonts w:hint="eastAsia" w:ascii="Arial" w:hAnsi="Arial" w:cs="Arial"/>
          <w:color w:val="000000"/>
          <w:szCs w:val="24"/>
        </w:rPr>
        <w:t>日期：</w:t>
      </w:r>
      <w:r>
        <w:rPr>
          <w:rFonts w:hint="eastAsia" w:ascii="Arial" w:hAnsi="Arial" w:cs="Arial"/>
          <w:color w:val="000000"/>
          <w:szCs w:val="24"/>
          <w:u w:val="single"/>
        </w:rPr>
        <w:t xml:space="preserve"> </w:t>
      </w:r>
      <w:r>
        <w:rPr>
          <w:rFonts w:ascii="Arial" w:hAnsi="Arial" w:cs="Arial"/>
          <w:color w:val="000000"/>
          <w:szCs w:val="24"/>
          <w:u w:val="single"/>
        </w:rPr>
        <w:t xml:space="preserve">                                </w:t>
      </w:r>
    </w:p>
    <w:p>
      <w:pPr>
        <w:ind w:firstLine="480" w:firstLineChars="200"/>
        <w:rPr>
          <w:rFonts w:ascii="Arial" w:hAnsi="Arial" w:cs="Arial"/>
          <w:color w:val="000000"/>
          <w:szCs w:val="24"/>
          <w:u w:val="single"/>
        </w:rPr>
      </w:pPr>
    </w:p>
    <w:p>
      <w:pPr>
        <w:ind w:firstLine="480" w:firstLineChars="200"/>
        <w:rPr>
          <w:rFonts w:ascii="Arial" w:hAnsi="Arial" w:cs="Arial"/>
          <w:color w:val="0070C0"/>
          <w:szCs w:val="24"/>
        </w:rPr>
      </w:pPr>
    </w:p>
    <w:p>
      <w:pPr>
        <w:ind w:firstLine="480" w:firstLineChars="200"/>
        <w:rPr>
          <w:rFonts w:ascii="Arial" w:hAnsi="Arial" w:cs="Arial"/>
          <w:color w:val="000000"/>
          <w:szCs w:val="24"/>
          <w:u w:val="single"/>
        </w:rPr>
      </w:pPr>
    </w:p>
    <w:p>
      <w:pPr>
        <w:ind w:firstLine="480" w:firstLineChars="200"/>
        <w:rPr>
          <w:rFonts w:ascii="Arial" w:hAnsi="Arial" w:cs="Arial"/>
          <w:color w:val="000000"/>
          <w:szCs w:val="24"/>
          <w:u w:val="single"/>
        </w:rPr>
      </w:pPr>
    </w:p>
    <w:p>
      <w:pPr>
        <w:ind w:firstLine="480" w:firstLineChars="200"/>
        <w:rPr>
          <w:rFonts w:ascii="Arial" w:hAnsi="Arial" w:eastAsia="仿宋_GB2312" w:cs="Arial"/>
          <w:color w:val="000000"/>
        </w:rPr>
        <w:sectPr>
          <w:headerReference r:id="rId10" w:type="default"/>
          <w:footerReference r:id="rId11" w:type="default"/>
          <w:pgSz w:w="11906" w:h="16838"/>
          <w:pgMar w:top="1247" w:right="1247" w:bottom="1247" w:left="1247" w:header="851" w:footer="863" w:gutter="0"/>
          <w:cols w:space="425" w:num="1"/>
          <w:titlePg/>
          <w:docGrid w:linePitch="312" w:charSpace="0"/>
        </w:sectPr>
      </w:pPr>
    </w:p>
    <w:p>
      <w:pPr>
        <w:pStyle w:val="4"/>
      </w:pPr>
      <w:bookmarkStart w:id="190" w:name="_Toc23224"/>
      <w:r>
        <w:t>附件2 开标一览表格式</w:t>
      </w:r>
      <w:bookmarkEnd w:id="190"/>
    </w:p>
    <w:p>
      <w:pPr>
        <w:spacing w:line="360" w:lineRule="auto"/>
        <w:ind w:left="964" w:hanging="964"/>
        <w:jc w:val="center"/>
        <w:rPr>
          <w:rFonts w:hAnsi="宋体" w:cs="Times New Roman"/>
          <w:b/>
          <w:color w:val="000000"/>
          <w:sz w:val="32"/>
          <w:szCs w:val="32"/>
        </w:rPr>
      </w:pPr>
      <w:r>
        <w:rPr>
          <w:rFonts w:hint="eastAsia" w:hAnsi="宋体" w:cs="Times New Roman"/>
          <w:b/>
          <w:color w:val="000000"/>
          <w:sz w:val="32"/>
          <w:szCs w:val="32"/>
        </w:rPr>
        <w:t>开标一览表</w:t>
      </w:r>
    </w:p>
    <w:p>
      <w:r>
        <w:rPr>
          <w:rFonts w:hint="eastAsia"/>
        </w:rPr>
        <w:t>项目名称：</w:t>
      </w:r>
      <w:r>
        <w:t>____________________________</w:t>
      </w:r>
    </w:p>
    <w:p>
      <w:r>
        <w:rPr>
          <w:rFonts w:hint="eastAsia"/>
        </w:rPr>
        <w:t>项目编号：</w:t>
      </w:r>
      <w:r>
        <w:t>____________________________</w:t>
      </w:r>
    </w:p>
    <w:tbl>
      <w:tblPr>
        <w:tblStyle w:val="19"/>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275"/>
        <w:gridCol w:w="2410"/>
        <w:gridCol w:w="2410"/>
        <w:gridCol w:w="2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Borders>
              <w:left w:val="single" w:color="000000" w:sz="4" w:space="0"/>
            </w:tcBorders>
            <w:vAlign w:val="center"/>
          </w:tcPr>
          <w:p>
            <w:pPr>
              <w:jc w:val="center"/>
              <w:rPr>
                <w:rFonts w:hAnsi="Calibri" w:cs="Times New Roman"/>
                <w:color w:val="auto"/>
              </w:rPr>
            </w:pPr>
            <w:r>
              <w:rPr>
                <w:rFonts w:hint="eastAsia" w:hAnsi="Calibri" w:cs="Times New Roman"/>
                <w:color w:val="auto"/>
              </w:rPr>
              <w:t>包件号</w:t>
            </w:r>
          </w:p>
        </w:tc>
        <w:tc>
          <w:tcPr>
            <w:tcW w:w="1275" w:type="dxa"/>
            <w:tcBorders>
              <w:left w:val="single" w:color="000000" w:sz="4" w:space="0"/>
            </w:tcBorders>
            <w:vAlign w:val="center"/>
          </w:tcPr>
          <w:p>
            <w:pPr>
              <w:jc w:val="center"/>
              <w:rPr>
                <w:rFonts w:hAnsi="Calibri" w:cs="Times New Roman"/>
                <w:color w:val="auto"/>
              </w:rPr>
            </w:pPr>
            <w:r>
              <w:rPr>
                <w:rFonts w:hint="eastAsia" w:hAnsi="Calibri" w:cs="Times New Roman"/>
                <w:color w:val="auto"/>
              </w:rPr>
              <w:t>包件名称</w:t>
            </w:r>
          </w:p>
        </w:tc>
        <w:tc>
          <w:tcPr>
            <w:tcW w:w="2410" w:type="dxa"/>
            <w:vAlign w:val="center"/>
          </w:tcPr>
          <w:p>
            <w:pPr>
              <w:jc w:val="center"/>
              <w:rPr>
                <w:rFonts w:hAnsi="Calibri" w:cs="Times New Roman"/>
                <w:color w:val="auto"/>
              </w:rPr>
            </w:pPr>
            <w:r>
              <w:rPr>
                <w:rFonts w:hint="eastAsia" w:hAnsi="Calibri" w:cs="Times New Roman"/>
                <w:color w:val="auto"/>
              </w:rPr>
              <w:t>投标总价</w:t>
            </w:r>
          </w:p>
          <w:p>
            <w:pPr>
              <w:jc w:val="center"/>
              <w:rPr>
                <w:rFonts w:hAnsi="Calibri" w:cs="Times New Roman"/>
                <w:color w:val="auto"/>
              </w:rPr>
            </w:pPr>
            <w:r>
              <w:rPr>
                <w:rFonts w:hint="eastAsia" w:hAnsi="Calibri" w:cs="Times New Roman"/>
                <w:color w:val="auto"/>
              </w:rPr>
              <w:t>（单位人民币元）</w:t>
            </w:r>
          </w:p>
        </w:tc>
        <w:tc>
          <w:tcPr>
            <w:tcW w:w="2410" w:type="dxa"/>
            <w:vAlign w:val="center"/>
          </w:tcPr>
          <w:p>
            <w:pPr>
              <w:jc w:val="center"/>
              <w:rPr>
                <w:rFonts w:hAnsi="Calibri" w:cs="Times New Roman"/>
                <w:color w:val="auto"/>
              </w:rPr>
            </w:pPr>
            <w:r>
              <w:rPr>
                <w:rFonts w:hint="eastAsia" w:hAnsi="Calibri" w:cs="Times New Roman"/>
                <w:color w:val="auto"/>
              </w:rPr>
              <w:t>投标保证金</w:t>
            </w:r>
          </w:p>
        </w:tc>
        <w:tc>
          <w:tcPr>
            <w:tcW w:w="2410" w:type="dxa"/>
            <w:vAlign w:val="center"/>
          </w:tcPr>
          <w:p>
            <w:pPr>
              <w:jc w:val="center"/>
              <w:rPr>
                <w:rFonts w:hAnsi="Calibri" w:cs="Times New Roman"/>
                <w:color w:val="auto"/>
              </w:rPr>
            </w:pPr>
            <w:r>
              <w:rPr>
                <w:rFonts w:hint="eastAsia" w:hAnsi="Calibri" w:cs="Times New Roman"/>
                <w:color w:val="auto"/>
              </w:rPr>
              <w:t>投标声明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5" w:hRule="atLeast"/>
        </w:trPr>
        <w:tc>
          <w:tcPr>
            <w:tcW w:w="988" w:type="dxa"/>
            <w:tcBorders>
              <w:left w:val="single" w:color="000000" w:sz="4" w:space="0"/>
            </w:tcBorders>
            <w:vAlign w:val="center"/>
          </w:tcPr>
          <w:p>
            <w:pPr>
              <w:spacing w:line="240" w:lineRule="auto"/>
              <w:jc w:val="center"/>
              <w:rPr>
                <w:rFonts w:hAnsi="Calibri" w:cs="Times New Roman"/>
                <w:color w:val="auto"/>
              </w:rPr>
            </w:pPr>
          </w:p>
        </w:tc>
        <w:tc>
          <w:tcPr>
            <w:tcW w:w="1275" w:type="dxa"/>
            <w:tcBorders>
              <w:left w:val="single" w:color="000000" w:sz="4" w:space="0"/>
            </w:tcBorders>
            <w:vAlign w:val="center"/>
          </w:tcPr>
          <w:p>
            <w:pPr>
              <w:spacing w:line="240" w:lineRule="auto"/>
              <w:jc w:val="center"/>
              <w:rPr>
                <w:rFonts w:hAnsi="Calibri" w:cs="Times New Roman"/>
                <w:color w:val="auto"/>
              </w:rPr>
            </w:pPr>
          </w:p>
        </w:tc>
        <w:tc>
          <w:tcPr>
            <w:tcW w:w="2410" w:type="dxa"/>
            <w:vAlign w:val="center"/>
          </w:tcPr>
          <w:p>
            <w:pPr>
              <w:spacing w:line="240" w:lineRule="auto"/>
              <w:rPr>
                <w:rFonts w:hAnsi="Calibri" w:cs="Times New Roman"/>
                <w:color w:val="auto"/>
              </w:rPr>
            </w:pPr>
            <w:r>
              <w:rPr>
                <w:rFonts w:hint="eastAsia" w:hAnsi="Calibri" w:cs="Times New Roman"/>
                <w:color w:val="auto"/>
              </w:rPr>
              <w:t>大写：</w:t>
            </w:r>
          </w:p>
          <w:p>
            <w:pPr>
              <w:spacing w:line="240" w:lineRule="auto"/>
              <w:rPr>
                <w:rFonts w:hAnsi="Calibri" w:cs="Times New Roman"/>
                <w:color w:val="auto"/>
              </w:rPr>
            </w:pPr>
            <w:r>
              <w:rPr>
                <w:rFonts w:hint="eastAsia" w:hAnsi="Calibri" w:cs="Times New Roman"/>
                <w:color w:val="auto"/>
              </w:rPr>
              <w:t>小写：</w:t>
            </w:r>
          </w:p>
        </w:tc>
        <w:tc>
          <w:tcPr>
            <w:tcW w:w="2410" w:type="dxa"/>
            <w:vAlign w:val="center"/>
          </w:tcPr>
          <w:p>
            <w:pPr>
              <w:spacing w:line="240" w:lineRule="auto"/>
              <w:jc w:val="center"/>
              <w:rPr>
                <w:rFonts w:hAnsi="Calibri" w:cs="Times New Roman"/>
                <w:color w:val="auto"/>
              </w:rPr>
            </w:pPr>
            <w:r>
              <w:rPr>
                <w:rFonts w:hint="eastAsia" w:hAnsi="Calibri" w:cs="Times New Roman"/>
                <w:color w:val="auto"/>
              </w:rPr>
              <w:t>【保证金金额及形式，例如“XX元，电汇” 】</w:t>
            </w:r>
          </w:p>
        </w:tc>
        <w:tc>
          <w:tcPr>
            <w:tcW w:w="2410" w:type="dxa"/>
            <w:vAlign w:val="center"/>
          </w:tcPr>
          <w:p>
            <w:pPr>
              <w:spacing w:line="240" w:lineRule="auto"/>
              <w:jc w:val="center"/>
              <w:rPr>
                <w:rFonts w:hAnsi="Calibri" w:cs="Times New Roman"/>
                <w:color w:val="auto"/>
              </w:rPr>
            </w:pPr>
            <w:r>
              <w:rPr>
                <w:rFonts w:hint="eastAsia" w:hAnsi="Calibri" w:cs="Times New Roman"/>
                <w:color w:val="auto"/>
              </w:rPr>
              <w:t>【如无投标声明可填写“无”】</w:t>
            </w:r>
          </w:p>
        </w:tc>
      </w:tr>
    </w:tbl>
    <w:p>
      <w:pPr>
        <w:ind w:firstLine="480" w:firstLineChars="200"/>
        <w:rPr>
          <w:color w:val="auto"/>
        </w:rPr>
      </w:pPr>
      <w:r>
        <w:rPr>
          <w:rFonts w:hint="eastAsia"/>
          <w:color w:val="auto"/>
        </w:rPr>
        <w:t>注：</w:t>
      </w:r>
    </w:p>
    <w:p>
      <w:pPr>
        <w:ind w:firstLine="480" w:firstLineChars="200"/>
        <w:rPr>
          <w:color w:val="auto"/>
        </w:rPr>
      </w:pPr>
      <w:r>
        <w:rPr>
          <w:rFonts w:hint="eastAsia"/>
          <w:color w:val="auto"/>
        </w:rPr>
        <w:t>1.此表正本应按投标人须知的规定单独密封提交，以便在开标时使用（投标文件副本中仍需保留本表并装订入投标文件）。</w:t>
      </w:r>
    </w:p>
    <w:p>
      <w:pPr>
        <w:ind w:firstLine="480" w:firstLineChars="200"/>
        <w:rPr>
          <w:color w:val="auto"/>
        </w:rPr>
      </w:pPr>
      <w:r>
        <w:rPr>
          <w:rFonts w:hint="eastAsia"/>
          <w:color w:val="auto"/>
        </w:rPr>
        <w:t>（1）</w:t>
      </w:r>
      <w:r>
        <w:rPr>
          <w:rFonts w:hint="eastAsia"/>
          <w:color w:val="auto"/>
        </w:rPr>
        <w:tab/>
      </w:r>
      <w:r>
        <w:rPr>
          <w:rFonts w:hint="eastAsia"/>
          <w:color w:val="auto"/>
        </w:rPr>
        <w:t>投标总价填写无条件折扣后的总价，不得填写除价格外的任何其他优惠。</w:t>
      </w:r>
    </w:p>
    <w:p>
      <w:pPr>
        <w:ind w:firstLine="480" w:firstLineChars="200"/>
        <w:rPr>
          <w:color w:val="auto"/>
        </w:rPr>
      </w:pPr>
      <w:r>
        <w:rPr>
          <w:rFonts w:hint="eastAsia"/>
          <w:color w:val="auto"/>
        </w:rPr>
        <w:t>（2）</w:t>
      </w:r>
      <w:r>
        <w:rPr>
          <w:rFonts w:hint="eastAsia"/>
          <w:color w:val="auto"/>
        </w:rPr>
        <w:tab/>
      </w:r>
      <w:r>
        <w:rPr>
          <w:rFonts w:hint="eastAsia"/>
          <w:color w:val="auto"/>
        </w:rPr>
        <w:t>不得填写有条件折扣。</w:t>
      </w:r>
    </w:p>
    <w:p>
      <w:pPr>
        <w:ind w:firstLine="480" w:firstLineChars="200"/>
      </w:pPr>
      <w:r>
        <w:t>2</w:t>
      </w:r>
      <w:r>
        <w:rPr>
          <w:rFonts w:hint="eastAsia"/>
        </w:rPr>
        <w:t>.此表中，投标总价应与附件3分项报价表中的投标总价一致。</w:t>
      </w:r>
    </w:p>
    <w:p>
      <w:pPr>
        <w:ind w:firstLine="480" w:firstLineChars="200"/>
      </w:pPr>
    </w:p>
    <w:p>
      <w:pPr>
        <w:rPr>
          <w:u w:val="single"/>
        </w:rPr>
      </w:pPr>
      <w:r>
        <w:t>投标人名称</w:t>
      </w:r>
      <w:r>
        <w:rPr>
          <w:rFonts w:hint="eastAsia"/>
        </w:rPr>
        <w:t>（公章）</w:t>
      </w:r>
      <w:r>
        <w:t>：</w:t>
      </w:r>
      <w:r>
        <w:rPr>
          <w:u w:val="single"/>
        </w:rPr>
        <w:t xml:space="preserve">                </w:t>
      </w:r>
    </w:p>
    <w:p>
      <w:pPr>
        <w:rPr>
          <w:u w:val="single"/>
        </w:rPr>
      </w:pPr>
      <w:r>
        <w:rPr>
          <w:rFonts w:hint="eastAsia" w:hAnsi="Calibri" w:cs="Times New Roman"/>
          <w:spacing w:val="2"/>
        </w:rPr>
        <w:t>法定代表人签署或被授权人签字</w:t>
      </w:r>
      <w:r>
        <w:t>：</w:t>
      </w:r>
      <w:r>
        <w:rPr>
          <w:u w:val="single"/>
        </w:rPr>
        <w:t xml:space="preserve">                </w:t>
      </w:r>
    </w:p>
    <w:p>
      <w:pPr>
        <w:rPr>
          <w:u w:val="single"/>
        </w:rPr>
      </w:pPr>
      <w:r>
        <w:t>日期 ：</w:t>
      </w:r>
      <w:r>
        <w:rPr>
          <w:u w:val="single"/>
        </w:rPr>
        <w:t xml:space="preserve">                         </w:t>
      </w:r>
    </w:p>
    <w:p/>
    <w:p>
      <w:pPr>
        <w:ind w:firstLine="480" w:firstLineChars="200"/>
      </w:pPr>
    </w:p>
    <w:p>
      <w:pPr>
        <w:ind w:firstLine="480" w:firstLineChars="200"/>
      </w:pPr>
    </w:p>
    <w:p>
      <w:pPr>
        <w:widowControl/>
        <w:adjustRightInd/>
        <w:snapToGrid/>
        <w:spacing w:line="240" w:lineRule="auto"/>
        <w:jc w:val="left"/>
        <w:rPr>
          <w:rFonts w:hAnsi="Cambria" w:eastAsia="黑体" w:cs="Times New Roman"/>
          <w:b/>
          <w:bCs/>
          <w:kern w:val="0"/>
          <w:sz w:val="32"/>
          <w:szCs w:val="32"/>
        </w:rPr>
      </w:pPr>
      <w:r>
        <w:br w:type="page"/>
      </w:r>
    </w:p>
    <w:p>
      <w:pPr>
        <w:pStyle w:val="4"/>
      </w:pPr>
      <w:bookmarkStart w:id="191" w:name="_Toc6456"/>
      <w:r>
        <w:rPr>
          <w:rFonts w:hint="eastAsia"/>
        </w:rPr>
        <w:t>投标人开票信息表格式</w:t>
      </w:r>
      <w:bookmarkEnd w:id="191"/>
    </w:p>
    <w:p>
      <w:r>
        <w:rPr>
          <w:rFonts w:hint="eastAsia"/>
        </w:rPr>
        <w:t>项目名称：</w:t>
      </w:r>
      <w:r>
        <w:t>____________________________</w:t>
      </w:r>
    </w:p>
    <w:p>
      <w:r>
        <w:rPr>
          <w:rFonts w:hint="eastAsia"/>
        </w:rPr>
        <w:t>项目编号：</w:t>
      </w:r>
      <w:r>
        <w:t>____________________________</w:t>
      </w:r>
    </w:p>
    <w:p>
      <w:pPr>
        <w:pStyle w:val="45"/>
        <w:ind w:firstLine="480"/>
      </w:pPr>
      <w:r>
        <w:rPr>
          <w:rFonts w:hint="eastAsia"/>
        </w:rPr>
        <w:t>如果我单位中标/成交，请贵单位开具以下服务费发票：</w:t>
      </w:r>
    </w:p>
    <w:p>
      <w:pPr>
        <w:pStyle w:val="45"/>
        <w:ind w:firstLine="480"/>
      </w:pPr>
      <w:r>
        <w:rPr>
          <w:rFonts w:hint="eastAsia" w:hAnsiTheme="minorEastAsia"/>
        </w:rPr>
        <w:t>□</w:t>
      </w:r>
      <w:r>
        <w:rPr>
          <w:rFonts w:hint="eastAsia"/>
        </w:rPr>
        <w:t xml:space="preserve">增值税普通发票      </w:t>
      </w:r>
      <w:r>
        <w:rPr>
          <w:rFonts w:hint="eastAsia" w:hAnsiTheme="minorEastAsia"/>
        </w:rPr>
        <w:t>□</w:t>
      </w:r>
      <w:r>
        <w:rPr>
          <w:rFonts w:hint="eastAsia"/>
        </w:rPr>
        <w:t>增值税专用发票  （请在方框</w:t>
      </w:r>
      <w:r>
        <w:rPr>
          <w:rFonts w:hint="eastAsia" w:hAnsiTheme="minorEastAsia"/>
        </w:rPr>
        <w:t>□</w:t>
      </w:r>
      <w:r>
        <w:rPr>
          <w:rFonts w:hint="eastAsia"/>
        </w:rPr>
        <w:t>内打勾）</w:t>
      </w:r>
    </w:p>
    <w:p>
      <w:pPr>
        <w:pStyle w:val="45"/>
        <w:ind w:firstLine="480"/>
      </w:pPr>
      <w:r>
        <w:rPr>
          <w:rFonts w:hint="eastAsia"/>
        </w:rPr>
        <w:t>我单位开票信息为：</w:t>
      </w:r>
    </w:p>
    <w:p>
      <w:pPr>
        <w:pStyle w:val="45"/>
        <w:ind w:firstLine="480"/>
      </w:pPr>
      <w:r>
        <w:rPr>
          <w:rFonts w:hint="eastAsia"/>
        </w:rPr>
        <w:t>单位全称：</w:t>
      </w:r>
      <w:r>
        <w:t>____________________________</w:t>
      </w:r>
    </w:p>
    <w:p>
      <w:pPr>
        <w:pStyle w:val="45"/>
        <w:ind w:firstLine="480"/>
      </w:pPr>
      <w:r>
        <w:rPr>
          <w:rFonts w:hint="eastAsia"/>
        </w:rPr>
        <w:t>纳税人识别号：</w:t>
      </w:r>
      <w:r>
        <w:t>____________________________</w:t>
      </w:r>
    </w:p>
    <w:p>
      <w:pPr>
        <w:pStyle w:val="45"/>
        <w:ind w:firstLine="480"/>
      </w:pPr>
      <w:r>
        <w:rPr>
          <w:rFonts w:hint="eastAsia"/>
        </w:rPr>
        <w:t>增值税专用发票地址：</w:t>
      </w:r>
      <w:r>
        <w:t>____________________________</w:t>
      </w:r>
    </w:p>
    <w:p>
      <w:pPr>
        <w:pStyle w:val="45"/>
        <w:ind w:firstLine="480"/>
      </w:pPr>
      <w:r>
        <w:rPr>
          <w:rFonts w:hint="eastAsia"/>
        </w:rPr>
        <w:t>增值税专用发票电话：</w:t>
      </w:r>
      <w:r>
        <w:t>____________________________</w:t>
      </w:r>
    </w:p>
    <w:p>
      <w:pPr>
        <w:pStyle w:val="45"/>
        <w:ind w:firstLine="480"/>
      </w:pPr>
      <w:r>
        <w:rPr>
          <w:rFonts w:hint="eastAsia"/>
        </w:rPr>
        <w:t>增值税专用发票开户行名称：</w:t>
      </w:r>
      <w:r>
        <w:t>____________________________</w:t>
      </w:r>
    </w:p>
    <w:p>
      <w:pPr>
        <w:pStyle w:val="45"/>
        <w:ind w:firstLine="480"/>
      </w:pPr>
      <w:r>
        <w:rPr>
          <w:rFonts w:hint="eastAsia"/>
        </w:rPr>
        <w:t>增值税专用发票开户行账号：</w:t>
      </w:r>
      <w:r>
        <w:t>____________________________</w:t>
      </w:r>
    </w:p>
    <w:p>
      <w:pPr>
        <w:pStyle w:val="45"/>
        <w:ind w:firstLine="480"/>
      </w:pPr>
    </w:p>
    <w:p>
      <w:pPr>
        <w:pStyle w:val="45"/>
        <w:ind w:firstLine="480"/>
      </w:pPr>
      <w:r>
        <w:rPr>
          <w:rFonts w:hint="eastAsia"/>
        </w:rPr>
        <w:t>注：如我单位在项目流程未完成期间，所提供的发票信息已有变动或正处于工商信息变动期，我单位将及时与财务部门或当地税务部门或相关部门咨询，向本项目负责人提供最新的开票信息并保证提供的开票信息有效。</w:t>
      </w:r>
    </w:p>
    <w:p>
      <w:pPr>
        <w:pStyle w:val="45"/>
        <w:ind w:firstLine="480"/>
      </w:pPr>
      <w:r>
        <w:rPr>
          <w:rFonts w:hint="eastAsia"/>
        </w:rPr>
        <w:t>我单位确认所填开票信息正确无误，以上信息已与我单位财务人员核实，若因开票信息错误等原因造成的相关损失，由我单位自行承担。</w:t>
      </w:r>
    </w:p>
    <w:p>
      <w:pPr>
        <w:pStyle w:val="45"/>
        <w:ind w:firstLine="480"/>
      </w:pPr>
      <w:r>
        <w:rPr>
          <w:rFonts w:hint="eastAsia"/>
        </w:rPr>
        <w:t>我单位将在贵单位发票开出后，派人到现场领取。</w:t>
      </w:r>
    </w:p>
    <w:p>
      <w:pPr>
        <w:pStyle w:val="45"/>
        <w:ind w:firstLine="480"/>
      </w:pPr>
      <w:r>
        <w:rPr>
          <w:rFonts w:hint="eastAsia"/>
        </w:rPr>
        <w:t>邮寄服务并非中化商务有限公司提供，存在发票丢失、损毁的风险，我单位自行负责。</w:t>
      </w:r>
    </w:p>
    <w:p>
      <w:pPr>
        <w:pStyle w:val="45"/>
        <w:ind w:firstLine="480"/>
      </w:pPr>
    </w:p>
    <w:p>
      <w:r>
        <w:rPr>
          <w:rFonts w:hint="eastAsia"/>
        </w:rPr>
        <w:t>投标人名称(公章)：</w:t>
      </w:r>
    </w:p>
    <w:p/>
    <w:p>
      <w:r>
        <w:rPr>
          <w:rFonts w:hint="eastAsia"/>
        </w:rPr>
        <w:t>日期：</w:t>
      </w:r>
    </w:p>
    <w:p>
      <w:pPr>
        <w:ind w:firstLine="480" w:firstLineChars="200"/>
      </w:pPr>
    </w:p>
    <w:p>
      <w:pPr>
        <w:ind w:firstLine="480" w:firstLineChars="200"/>
      </w:pPr>
    </w:p>
    <w:p>
      <w:pPr>
        <w:rPr>
          <w:b/>
          <w:bCs/>
        </w:rPr>
      </w:pPr>
      <w:r>
        <w:rPr>
          <w:rFonts w:hint="eastAsia"/>
          <w:b/>
          <w:bCs/>
        </w:rPr>
        <w:t>附：如为一般纳税人，则需提供一般纳税人资格证书(证明)复印件，或国家税务局网站一般纳税人资格查询截图</w:t>
      </w:r>
    </w:p>
    <w:p>
      <w:pPr>
        <w:spacing w:line="360" w:lineRule="auto"/>
        <w:ind w:left="960" w:hanging="960"/>
        <w:jc w:val="center"/>
        <w:rPr>
          <w:rFonts w:hAnsi="宋体" w:cs="Times New Roman"/>
          <w:color w:val="000000"/>
          <w:sz w:val="32"/>
          <w:szCs w:val="32"/>
        </w:rPr>
      </w:pPr>
      <w:bookmarkStart w:id="192" w:name="_Toc83547687"/>
    </w:p>
    <w:bookmarkEnd w:id="192"/>
    <w:p>
      <w:pPr>
        <w:widowControl/>
        <w:adjustRightInd/>
        <w:snapToGrid/>
        <w:spacing w:line="240" w:lineRule="auto"/>
        <w:jc w:val="left"/>
        <w:rPr>
          <w:b/>
          <w:sz w:val="32"/>
          <w:szCs w:val="32"/>
        </w:rPr>
      </w:pPr>
      <w:r>
        <w:rPr>
          <w:b/>
          <w:sz w:val="32"/>
          <w:szCs w:val="32"/>
        </w:rPr>
        <w:br w:type="page"/>
      </w:r>
    </w:p>
    <w:p>
      <w:pPr>
        <w:ind w:left="300" w:firstLine="420"/>
        <w:rPr>
          <w:rFonts w:hAnsi="宋体" w:cs="Times New Roman"/>
          <w:color w:val="000000"/>
        </w:rPr>
        <w:sectPr>
          <w:pgSz w:w="11906" w:h="16838"/>
          <w:pgMar w:top="1440" w:right="1247" w:bottom="1440" w:left="1247" w:header="851" w:footer="992" w:gutter="0"/>
          <w:cols w:space="425" w:num="1"/>
          <w:titlePg/>
          <w:docGrid w:type="lines" w:linePitch="312" w:charSpace="0"/>
        </w:sectPr>
      </w:pPr>
    </w:p>
    <w:p>
      <w:pPr>
        <w:pStyle w:val="4"/>
      </w:pPr>
      <w:bookmarkStart w:id="193" w:name="_Toc26267"/>
      <w:r>
        <w:rPr>
          <w:rFonts w:hint="eastAsia"/>
        </w:rPr>
        <w:t>附件</w:t>
      </w:r>
      <w:r>
        <w:t>3</w:t>
      </w:r>
      <w:r>
        <w:rPr>
          <w:rFonts w:hint="eastAsia"/>
        </w:rPr>
        <w:t xml:space="preserve"> 投标分项报价表格式</w:t>
      </w:r>
      <w:bookmarkEnd w:id="193"/>
    </w:p>
    <w:p>
      <w:pPr>
        <w:widowControl/>
        <w:adjustRightInd/>
        <w:snapToGrid/>
        <w:spacing w:line="240" w:lineRule="auto"/>
        <w:jc w:val="left"/>
        <w:rPr>
          <w:rFonts w:hAnsi="Calibri" w:cs="Times New Roman"/>
        </w:rPr>
      </w:pPr>
    </w:p>
    <w:p>
      <w:pPr>
        <w:spacing w:line="360" w:lineRule="auto"/>
        <w:ind w:left="964" w:right="-48" w:rightChars="-20" w:hanging="964"/>
        <w:jc w:val="center"/>
        <w:rPr>
          <w:rFonts w:hAnsi="宋体" w:cs="Times New Roman"/>
          <w:b/>
          <w:color w:val="000000"/>
          <w:sz w:val="32"/>
          <w:szCs w:val="32"/>
        </w:rPr>
      </w:pPr>
      <w:r>
        <w:rPr>
          <w:rFonts w:hint="eastAsia" w:hAnsi="宋体" w:cs="Times New Roman"/>
          <w:b/>
          <w:color w:val="000000"/>
          <w:sz w:val="32"/>
          <w:szCs w:val="32"/>
        </w:rPr>
        <w:t>投标分项报价表</w:t>
      </w:r>
    </w:p>
    <w:p>
      <w:pPr>
        <w:spacing w:line="360" w:lineRule="auto"/>
        <w:ind w:left="720" w:right="-48" w:rightChars="-20" w:hanging="720"/>
        <w:rPr>
          <w:rFonts w:hAnsi="Calibri" w:cs="Times New Roman"/>
        </w:rPr>
      </w:pPr>
      <w:r>
        <w:rPr>
          <w:rFonts w:hint="eastAsia" w:hAnsi="Calibri" w:cs="Times New Roman"/>
        </w:rPr>
        <w:t>项目名称：</w:t>
      </w:r>
      <w:r>
        <w:t>____________________________</w:t>
      </w:r>
    </w:p>
    <w:p>
      <w:pPr>
        <w:spacing w:line="360" w:lineRule="auto"/>
        <w:ind w:left="720" w:right="-48" w:rightChars="-20" w:hanging="720"/>
        <w:rPr>
          <w:rFonts w:hAnsi="Calibri" w:cs="Times New Roman"/>
        </w:rPr>
      </w:pPr>
      <w:r>
        <w:rPr>
          <w:rFonts w:hint="eastAsia" w:hAnsi="Calibri" w:cs="Times New Roman"/>
        </w:rPr>
        <w:t>项目编号/包件号：</w:t>
      </w:r>
      <w:r>
        <w:t>____________________________</w:t>
      </w:r>
      <w:r>
        <w:rPr>
          <w:rFonts w:hint="eastAsia" w:hAnsi="Calibri" w:cs="Times New Roman"/>
        </w:rPr>
        <w:t>包件名称：</w:t>
      </w:r>
      <w:r>
        <w:t>____________________________</w:t>
      </w:r>
      <w:r>
        <w:rPr>
          <w:rFonts w:hint="eastAsia" w:hAnsi="Calibri" w:cs="Times New Roman"/>
        </w:rPr>
        <w:t xml:space="preserve">          价格单位：人民币元</w:t>
      </w:r>
    </w:p>
    <w:tbl>
      <w:tblPr>
        <w:tblStyle w:val="19"/>
        <w:tblW w:w="14142"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59"/>
        <w:gridCol w:w="2551"/>
        <w:gridCol w:w="3119"/>
        <w:gridCol w:w="2268"/>
        <w:gridCol w:w="1559"/>
        <w:gridCol w:w="1701"/>
        <w:gridCol w:w="7"/>
        <w:gridCol w:w="1978"/>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3510" w:type="dxa"/>
            <w:gridSpan w:val="2"/>
          </w:tcPr>
          <w:p>
            <w:pPr>
              <w:widowControl/>
              <w:adjustRightInd/>
              <w:snapToGrid/>
              <w:spacing w:line="240" w:lineRule="auto"/>
              <w:jc w:val="center"/>
              <w:rPr>
                <w:rFonts w:hAnsi="Calibri" w:cs="Times New Roman"/>
              </w:rPr>
            </w:pPr>
            <w:r>
              <w:rPr>
                <w:rFonts w:hAnsi="Calibri" w:cs="Times New Roman"/>
              </w:rPr>
              <w:t>内容</w:t>
            </w:r>
          </w:p>
        </w:tc>
        <w:tc>
          <w:tcPr>
            <w:tcW w:w="3119" w:type="dxa"/>
            <w:vAlign w:val="center"/>
          </w:tcPr>
          <w:p>
            <w:pPr>
              <w:widowControl/>
              <w:adjustRightInd/>
              <w:snapToGrid/>
              <w:spacing w:line="240" w:lineRule="auto"/>
              <w:jc w:val="center"/>
              <w:rPr>
                <w:rFonts w:hAnsi="Calibri" w:cs="Times New Roman"/>
              </w:rPr>
            </w:pPr>
            <w:r>
              <w:rPr>
                <w:rFonts w:hint="eastAsia" w:hAnsi="Calibri" w:cs="Times New Roman"/>
              </w:rPr>
              <w:t>简要描述</w:t>
            </w:r>
          </w:p>
        </w:tc>
        <w:tc>
          <w:tcPr>
            <w:tcW w:w="2268" w:type="dxa"/>
            <w:tcBorders>
              <w:right w:val="single" w:color="auto" w:sz="4" w:space="0"/>
            </w:tcBorders>
            <w:vAlign w:val="center"/>
          </w:tcPr>
          <w:p>
            <w:pPr>
              <w:widowControl/>
              <w:adjustRightInd/>
              <w:snapToGrid/>
              <w:spacing w:line="240" w:lineRule="auto"/>
              <w:jc w:val="center"/>
              <w:rPr>
                <w:rFonts w:hAnsi="Calibri" w:cs="Times New Roman"/>
              </w:rPr>
            </w:pPr>
            <w:r>
              <w:rPr>
                <w:rFonts w:hint="eastAsia" w:hAnsi="Calibri" w:cs="Times New Roman"/>
              </w:rPr>
              <w:t>数量或计价方式、标准</w:t>
            </w:r>
          </w:p>
        </w:tc>
        <w:tc>
          <w:tcPr>
            <w:tcW w:w="1559" w:type="dxa"/>
            <w:tcBorders>
              <w:left w:val="single" w:color="auto" w:sz="4" w:space="0"/>
            </w:tcBorders>
            <w:vAlign w:val="center"/>
          </w:tcPr>
          <w:p>
            <w:pPr>
              <w:widowControl/>
              <w:adjustRightInd/>
              <w:snapToGrid/>
              <w:spacing w:line="240" w:lineRule="auto"/>
              <w:jc w:val="center"/>
              <w:rPr>
                <w:rFonts w:hAnsi="Calibri" w:cs="Times New Roman"/>
              </w:rPr>
            </w:pPr>
            <w:r>
              <w:rPr>
                <w:rFonts w:hAnsi="Calibri" w:cs="Times New Roman"/>
              </w:rPr>
              <w:t>单价</w:t>
            </w:r>
          </w:p>
        </w:tc>
        <w:tc>
          <w:tcPr>
            <w:tcW w:w="1701" w:type="dxa"/>
            <w:tcBorders>
              <w:left w:val="single" w:color="auto" w:sz="4" w:space="0"/>
            </w:tcBorders>
            <w:vAlign w:val="center"/>
          </w:tcPr>
          <w:p>
            <w:pPr>
              <w:widowControl/>
              <w:adjustRightInd/>
              <w:snapToGrid/>
              <w:spacing w:line="240" w:lineRule="auto"/>
              <w:jc w:val="center"/>
              <w:rPr>
                <w:rFonts w:hAnsi="Calibri" w:cs="Times New Roman"/>
              </w:rPr>
            </w:pPr>
            <w:r>
              <w:rPr>
                <w:rFonts w:hint="eastAsia" w:hAnsi="Calibri" w:cs="Times New Roman"/>
              </w:rPr>
              <w:t>分项</w:t>
            </w:r>
            <w:r>
              <w:rPr>
                <w:rFonts w:hAnsi="Calibri" w:cs="Times New Roman"/>
              </w:rPr>
              <w:t>合计</w:t>
            </w:r>
          </w:p>
        </w:tc>
        <w:tc>
          <w:tcPr>
            <w:tcW w:w="1985" w:type="dxa"/>
            <w:gridSpan w:val="2"/>
            <w:tcBorders>
              <w:left w:val="single" w:color="auto" w:sz="4" w:space="0"/>
            </w:tcBorders>
            <w:vAlign w:val="center"/>
          </w:tcPr>
          <w:p>
            <w:pPr>
              <w:widowControl/>
              <w:adjustRightInd/>
              <w:snapToGrid/>
              <w:spacing w:line="240" w:lineRule="auto"/>
              <w:jc w:val="center"/>
              <w:rPr>
                <w:rFonts w:hAnsi="Calibri" w:cs="Times New Roman"/>
              </w:rPr>
            </w:pPr>
            <w:r>
              <w:rPr>
                <w:rFonts w:hAnsi="Calibri" w:cs="Times New Roman"/>
              </w:rPr>
              <w:t>备注</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vAlign w:val="center"/>
          </w:tcPr>
          <w:p>
            <w:pPr>
              <w:widowControl/>
              <w:adjustRightInd/>
              <w:snapToGrid/>
              <w:spacing w:line="240" w:lineRule="auto"/>
              <w:jc w:val="left"/>
              <w:rPr>
                <w:rFonts w:hAnsi="Calibri" w:cs="Times New Roman"/>
              </w:rPr>
            </w:pPr>
            <w:r>
              <w:rPr>
                <w:rFonts w:hAnsi="Calibri" w:cs="Times New Roman"/>
              </w:rPr>
              <w:t>1</w:t>
            </w:r>
          </w:p>
        </w:tc>
        <w:tc>
          <w:tcPr>
            <w:tcW w:w="2551" w:type="dxa"/>
          </w:tcPr>
          <w:p>
            <w:pPr>
              <w:widowControl/>
              <w:adjustRightInd/>
              <w:snapToGrid/>
              <w:spacing w:line="240" w:lineRule="auto"/>
              <w:jc w:val="left"/>
              <w:rPr>
                <w:rFonts w:hAnsi="Calibri" w:cs="Times New Roman"/>
              </w:rPr>
            </w:pPr>
          </w:p>
        </w:tc>
        <w:tc>
          <w:tcPr>
            <w:tcW w:w="3119" w:type="dxa"/>
            <w:vAlign w:val="center"/>
          </w:tcPr>
          <w:p>
            <w:pPr>
              <w:widowControl/>
              <w:adjustRightInd/>
              <w:snapToGrid/>
              <w:spacing w:line="240" w:lineRule="auto"/>
              <w:jc w:val="left"/>
              <w:rPr>
                <w:rFonts w:hAnsi="Calibri" w:cs="Times New Roman"/>
              </w:rPr>
            </w:pPr>
          </w:p>
        </w:tc>
        <w:tc>
          <w:tcPr>
            <w:tcW w:w="2268" w:type="dxa"/>
            <w:tcBorders>
              <w:right w:val="single" w:color="auto" w:sz="4" w:space="0"/>
            </w:tcBorders>
          </w:tcPr>
          <w:p>
            <w:pPr>
              <w:widowControl/>
              <w:adjustRightInd/>
              <w:snapToGrid/>
              <w:spacing w:line="240" w:lineRule="auto"/>
              <w:jc w:val="left"/>
              <w:rPr>
                <w:rFonts w:hAnsi="Calibri" w:cs="Times New Roman"/>
              </w:rPr>
            </w:pPr>
          </w:p>
        </w:tc>
        <w:tc>
          <w:tcPr>
            <w:tcW w:w="1559" w:type="dxa"/>
            <w:tcBorders>
              <w:left w:val="single" w:color="auto" w:sz="4" w:space="0"/>
            </w:tcBorders>
            <w:vAlign w:val="center"/>
          </w:tcPr>
          <w:p>
            <w:pPr>
              <w:widowControl/>
              <w:adjustRightInd/>
              <w:snapToGrid/>
              <w:spacing w:line="240" w:lineRule="auto"/>
              <w:jc w:val="left"/>
              <w:rPr>
                <w:rFonts w:hAnsi="Calibri" w:cs="Times New Roman"/>
              </w:rPr>
            </w:pPr>
          </w:p>
        </w:tc>
        <w:tc>
          <w:tcPr>
            <w:tcW w:w="1701" w:type="dxa"/>
            <w:tcBorders>
              <w:left w:val="single" w:color="auto" w:sz="4" w:space="0"/>
            </w:tcBorders>
            <w:vAlign w:val="center"/>
          </w:tcPr>
          <w:p>
            <w:pPr>
              <w:widowControl/>
              <w:adjustRightInd/>
              <w:snapToGrid/>
              <w:spacing w:line="240" w:lineRule="auto"/>
              <w:jc w:val="left"/>
              <w:rPr>
                <w:rFonts w:hAnsi="Calibri" w:cs="Times New Roman"/>
              </w:rPr>
            </w:pPr>
          </w:p>
        </w:tc>
        <w:tc>
          <w:tcPr>
            <w:tcW w:w="1985" w:type="dxa"/>
            <w:gridSpan w:val="2"/>
            <w:tcBorders>
              <w:left w:val="single" w:color="auto" w:sz="4" w:space="0"/>
            </w:tcBorders>
            <w:vAlign w:val="center"/>
          </w:tcPr>
          <w:p>
            <w:pPr>
              <w:widowControl/>
              <w:adjustRightInd/>
              <w:snapToGrid/>
              <w:spacing w:line="240" w:lineRule="auto"/>
              <w:jc w:val="left"/>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tcPr>
          <w:p>
            <w:pPr>
              <w:widowControl/>
              <w:adjustRightInd/>
              <w:snapToGrid/>
              <w:spacing w:line="240" w:lineRule="auto"/>
              <w:jc w:val="left"/>
              <w:rPr>
                <w:rFonts w:hAnsi="Calibri" w:cs="Times New Roman"/>
              </w:rPr>
            </w:pPr>
            <w:r>
              <w:rPr>
                <w:rFonts w:hAnsi="Calibri" w:cs="Times New Roman"/>
              </w:rPr>
              <w:t>2</w:t>
            </w:r>
          </w:p>
        </w:tc>
        <w:tc>
          <w:tcPr>
            <w:tcW w:w="2551" w:type="dxa"/>
          </w:tcPr>
          <w:p>
            <w:pPr>
              <w:widowControl/>
              <w:adjustRightInd/>
              <w:snapToGrid/>
              <w:spacing w:line="240" w:lineRule="auto"/>
              <w:jc w:val="left"/>
              <w:rPr>
                <w:rFonts w:hAnsi="Calibri" w:cs="Times New Roman"/>
              </w:rPr>
            </w:pPr>
          </w:p>
        </w:tc>
        <w:tc>
          <w:tcPr>
            <w:tcW w:w="3119" w:type="dxa"/>
            <w:vAlign w:val="center"/>
          </w:tcPr>
          <w:p>
            <w:pPr>
              <w:widowControl/>
              <w:adjustRightInd/>
              <w:snapToGrid/>
              <w:spacing w:line="240" w:lineRule="auto"/>
              <w:jc w:val="left"/>
              <w:rPr>
                <w:rFonts w:hAnsi="Calibri" w:cs="Times New Roman"/>
              </w:rPr>
            </w:pPr>
          </w:p>
        </w:tc>
        <w:tc>
          <w:tcPr>
            <w:tcW w:w="2268" w:type="dxa"/>
            <w:tcBorders>
              <w:right w:val="single" w:color="auto" w:sz="4" w:space="0"/>
            </w:tcBorders>
          </w:tcPr>
          <w:p>
            <w:pPr>
              <w:widowControl/>
              <w:adjustRightInd/>
              <w:snapToGrid/>
              <w:spacing w:line="240" w:lineRule="auto"/>
              <w:jc w:val="left"/>
              <w:rPr>
                <w:rFonts w:hAnsi="Calibri" w:cs="Times New Roman"/>
              </w:rPr>
            </w:pPr>
          </w:p>
        </w:tc>
        <w:tc>
          <w:tcPr>
            <w:tcW w:w="1559" w:type="dxa"/>
            <w:tcBorders>
              <w:left w:val="single" w:color="auto" w:sz="4" w:space="0"/>
            </w:tcBorders>
            <w:vAlign w:val="center"/>
          </w:tcPr>
          <w:p>
            <w:pPr>
              <w:widowControl/>
              <w:adjustRightInd/>
              <w:snapToGrid/>
              <w:spacing w:line="240" w:lineRule="auto"/>
              <w:jc w:val="left"/>
              <w:rPr>
                <w:rFonts w:hAnsi="Calibri" w:cs="Times New Roman"/>
              </w:rPr>
            </w:pPr>
          </w:p>
        </w:tc>
        <w:tc>
          <w:tcPr>
            <w:tcW w:w="1701" w:type="dxa"/>
            <w:tcBorders>
              <w:left w:val="single" w:color="auto" w:sz="4" w:space="0"/>
            </w:tcBorders>
            <w:vAlign w:val="center"/>
          </w:tcPr>
          <w:p>
            <w:pPr>
              <w:widowControl/>
              <w:adjustRightInd/>
              <w:snapToGrid/>
              <w:spacing w:line="240" w:lineRule="auto"/>
              <w:jc w:val="left"/>
              <w:rPr>
                <w:rFonts w:hAnsi="Calibri" w:cs="Times New Roman"/>
              </w:rPr>
            </w:pPr>
          </w:p>
        </w:tc>
        <w:tc>
          <w:tcPr>
            <w:tcW w:w="1985" w:type="dxa"/>
            <w:gridSpan w:val="2"/>
            <w:tcBorders>
              <w:left w:val="single" w:color="auto" w:sz="4" w:space="0"/>
            </w:tcBorders>
            <w:vAlign w:val="center"/>
          </w:tcPr>
          <w:p>
            <w:pPr>
              <w:widowControl/>
              <w:adjustRightInd/>
              <w:snapToGrid/>
              <w:spacing w:line="240" w:lineRule="auto"/>
              <w:jc w:val="left"/>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tcPr>
          <w:p>
            <w:pPr>
              <w:widowControl/>
              <w:adjustRightInd/>
              <w:snapToGrid/>
              <w:spacing w:line="240" w:lineRule="auto"/>
              <w:jc w:val="left"/>
              <w:rPr>
                <w:rFonts w:hAnsi="Calibri" w:cs="Times New Roman"/>
              </w:rPr>
            </w:pPr>
            <w:r>
              <w:rPr>
                <w:rFonts w:hAnsi="Calibri" w:cs="Times New Roman"/>
              </w:rPr>
              <w:t>3</w:t>
            </w:r>
          </w:p>
        </w:tc>
        <w:tc>
          <w:tcPr>
            <w:tcW w:w="2551" w:type="dxa"/>
          </w:tcPr>
          <w:p>
            <w:pPr>
              <w:widowControl/>
              <w:adjustRightInd/>
              <w:snapToGrid/>
              <w:spacing w:line="240" w:lineRule="auto"/>
              <w:jc w:val="left"/>
              <w:rPr>
                <w:rFonts w:hAnsi="Calibri" w:cs="Times New Roman"/>
              </w:rPr>
            </w:pPr>
          </w:p>
        </w:tc>
        <w:tc>
          <w:tcPr>
            <w:tcW w:w="3119" w:type="dxa"/>
            <w:vAlign w:val="center"/>
          </w:tcPr>
          <w:p>
            <w:pPr>
              <w:widowControl/>
              <w:adjustRightInd/>
              <w:snapToGrid/>
              <w:spacing w:line="240" w:lineRule="auto"/>
              <w:jc w:val="left"/>
              <w:rPr>
                <w:rFonts w:hAnsi="Calibri" w:cs="Times New Roman"/>
              </w:rPr>
            </w:pPr>
          </w:p>
        </w:tc>
        <w:tc>
          <w:tcPr>
            <w:tcW w:w="2268" w:type="dxa"/>
            <w:tcBorders>
              <w:right w:val="single" w:color="auto" w:sz="4" w:space="0"/>
            </w:tcBorders>
          </w:tcPr>
          <w:p>
            <w:pPr>
              <w:widowControl/>
              <w:adjustRightInd/>
              <w:snapToGrid/>
              <w:spacing w:line="240" w:lineRule="auto"/>
              <w:jc w:val="left"/>
              <w:rPr>
                <w:rFonts w:hAnsi="Calibri" w:cs="Times New Roman"/>
              </w:rPr>
            </w:pPr>
          </w:p>
        </w:tc>
        <w:tc>
          <w:tcPr>
            <w:tcW w:w="1559" w:type="dxa"/>
            <w:tcBorders>
              <w:left w:val="single" w:color="auto" w:sz="4" w:space="0"/>
            </w:tcBorders>
            <w:vAlign w:val="center"/>
          </w:tcPr>
          <w:p>
            <w:pPr>
              <w:widowControl/>
              <w:adjustRightInd/>
              <w:snapToGrid/>
              <w:spacing w:line="240" w:lineRule="auto"/>
              <w:jc w:val="left"/>
              <w:rPr>
                <w:rFonts w:hAnsi="Calibri" w:cs="Times New Roman"/>
              </w:rPr>
            </w:pPr>
          </w:p>
        </w:tc>
        <w:tc>
          <w:tcPr>
            <w:tcW w:w="1701" w:type="dxa"/>
            <w:tcBorders>
              <w:left w:val="single" w:color="auto" w:sz="4" w:space="0"/>
            </w:tcBorders>
            <w:vAlign w:val="center"/>
          </w:tcPr>
          <w:p>
            <w:pPr>
              <w:widowControl/>
              <w:adjustRightInd/>
              <w:snapToGrid/>
              <w:spacing w:line="240" w:lineRule="auto"/>
              <w:jc w:val="left"/>
              <w:rPr>
                <w:rFonts w:hAnsi="Calibri" w:cs="Times New Roman"/>
              </w:rPr>
            </w:pPr>
          </w:p>
        </w:tc>
        <w:tc>
          <w:tcPr>
            <w:tcW w:w="1985" w:type="dxa"/>
            <w:gridSpan w:val="2"/>
            <w:tcBorders>
              <w:left w:val="single" w:color="auto" w:sz="4" w:space="0"/>
            </w:tcBorders>
            <w:vAlign w:val="center"/>
          </w:tcPr>
          <w:p>
            <w:pPr>
              <w:widowControl/>
              <w:adjustRightInd/>
              <w:snapToGrid/>
              <w:spacing w:line="240" w:lineRule="auto"/>
              <w:jc w:val="left"/>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vAlign w:val="center"/>
          </w:tcPr>
          <w:p>
            <w:pPr>
              <w:widowControl/>
              <w:adjustRightInd/>
              <w:snapToGrid/>
              <w:spacing w:line="240" w:lineRule="auto"/>
              <w:jc w:val="left"/>
              <w:rPr>
                <w:rFonts w:hAnsi="Calibri" w:cs="Times New Roman"/>
              </w:rPr>
            </w:pPr>
            <w:r>
              <w:rPr>
                <w:rFonts w:hAnsi="Calibri" w:cs="Times New Roman"/>
              </w:rPr>
              <w:t>4</w:t>
            </w:r>
          </w:p>
        </w:tc>
        <w:tc>
          <w:tcPr>
            <w:tcW w:w="2551" w:type="dxa"/>
          </w:tcPr>
          <w:p>
            <w:pPr>
              <w:widowControl/>
              <w:adjustRightInd/>
              <w:snapToGrid/>
              <w:spacing w:line="240" w:lineRule="auto"/>
              <w:jc w:val="left"/>
              <w:rPr>
                <w:rFonts w:hAnsi="Calibri" w:cs="Times New Roman"/>
              </w:rPr>
            </w:pPr>
          </w:p>
        </w:tc>
        <w:tc>
          <w:tcPr>
            <w:tcW w:w="3119" w:type="dxa"/>
            <w:vAlign w:val="center"/>
          </w:tcPr>
          <w:p>
            <w:pPr>
              <w:widowControl/>
              <w:adjustRightInd/>
              <w:snapToGrid/>
              <w:spacing w:line="240" w:lineRule="auto"/>
              <w:jc w:val="left"/>
              <w:rPr>
                <w:rFonts w:hAnsi="Calibri" w:cs="Times New Roman"/>
              </w:rPr>
            </w:pPr>
          </w:p>
        </w:tc>
        <w:tc>
          <w:tcPr>
            <w:tcW w:w="2268" w:type="dxa"/>
            <w:tcBorders>
              <w:right w:val="single" w:color="auto" w:sz="4" w:space="0"/>
            </w:tcBorders>
          </w:tcPr>
          <w:p>
            <w:pPr>
              <w:widowControl/>
              <w:adjustRightInd/>
              <w:snapToGrid/>
              <w:spacing w:line="240" w:lineRule="auto"/>
              <w:jc w:val="left"/>
              <w:rPr>
                <w:rFonts w:hAnsi="Calibri" w:cs="Times New Roman"/>
              </w:rPr>
            </w:pPr>
          </w:p>
        </w:tc>
        <w:tc>
          <w:tcPr>
            <w:tcW w:w="1559" w:type="dxa"/>
            <w:tcBorders>
              <w:left w:val="single" w:color="auto" w:sz="4" w:space="0"/>
            </w:tcBorders>
            <w:vAlign w:val="center"/>
          </w:tcPr>
          <w:p>
            <w:pPr>
              <w:widowControl/>
              <w:adjustRightInd/>
              <w:snapToGrid/>
              <w:spacing w:line="240" w:lineRule="auto"/>
              <w:jc w:val="left"/>
              <w:rPr>
                <w:rFonts w:hAnsi="Calibri" w:cs="Times New Roman"/>
              </w:rPr>
            </w:pPr>
          </w:p>
        </w:tc>
        <w:tc>
          <w:tcPr>
            <w:tcW w:w="1701" w:type="dxa"/>
            <w:tcBorders>
              <w:left w:val="single" w:color="auto" w:sz="4" w:space="0"/>
            </w:tcBorders>
            <w:vAlign w:val="center"/>
          </w:tcPr>
          <w:p>
            <w:pPr>
              <w:widowControl/>
              <w:adjustRightInd/>
              <w:snapToGrid/>
              <w:spacing w:line="240" w:lineRule="auto"/>
              <w:jc w:val="left"/>
              <w:rPr>
                <w:rFonts w:hAnsi="Calibri" w:cs="Times New Roman"/>
              </w:rPr>
            </w:pPr>
          </w:p>
        </w:tc>
        <w:tc>
          <w:tcPr>
            <w:tcW w:w="1985" w:type="dxa"/>
            <w:gridSpan w:val="2"/>
            <w:tcBorders>
              <w:left w:val="single" w:color="auto" w:sz="4" w:space="0"/>
            </w:tcBorders>
            <w:vAlign w:val="center"/>
          </w:tcPr>
          <w:p>
            <w:pPr>
              <w:widowControl/>
              <w:adjustRightInd/>
              <w:snapToGrid/>
              <w:spacing w:line="240" w:lineRule="auto"/>
              <w:jc w:val="left"/>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5" w:hRule="atLeast"/>
        </w:trPr>
        <w:tc>
          <w:tcPr>
            <w:tcW w:w="959" w:type="dxa"/>
          </w:tcPr>
          <w:p>
            <w:pPr>
              <w:widowControl/>
              <w:adjustRightInd/>
              <w:snapToGrid/>
              <w:spacing w:line="240" w:lineRule="auto"/>
              <w:jc w:val="left"/>
              <w:rPr>
                <w:rFonts w:hAnsi="Calibri" w:cs="Times New Roman"/>
              </w:rPr>
            </w:pPr>
            <w:r>
              <w:rPr>
                <w:rFonts w:hAnsi="Calibri" w:cs="Times New Roman"/>
              </w:rPr>
              <w:t>5</w:t>
            </w:r>
          </w:p>
        </w:tc>
        <w:tc>
          <w:tcPr>
            <w:tcW w:w="2551" w:type="dxa"/>
          </w:tcPr>
          <w:p>
            <w:pPr>
              <w:widowControl/>
              <w:adjustRightInd/>
              <w:snapToGrid/>
              <w:spacing w:line="240" w:lineRule="auto"/>
              <w:jc w:val="left"/>
              <w:rPr>
                <w:rFonts w:hAnsi="Calibri" w:cs="Times New Roman"/>
              </w:rPr>
            </w:pPr>
          </w:p>
        </w:tc>
        <w:tc>
          <w:tcPr>
            <w:tcW w:w="3119" w:type="dxa"/>
            <w:vAlign w:val="center"/>
          </w:tcPr>
          <w:p>
            <w:pPr>
              <w:widowControl/>
              <w:adjustRightInd/>
              <w:snapToGrid/>
              <w:spacing w:line="240" w:lineRule="auto"/>
              <w:jc w:val="left"/>
              <w:rPr>
                <w:rFonts w:hAnsi="Calibri" w:cs="Times New Roman"/>
              </w:rPr>
            </w:pPr>
          </w:p>
        </w:tc>
        <w:tc>
          <w:tcPr>
            <w:tcW w:w="2268" w:type="dxa"/>
            <w:tcBorders>
              <w:right w:val="single" w:color="auto" w:sz="4" w:space="0"/>
            </w:tcBorders>
          </w:tcPr>
          <w:p>
            <w:pPr>
              <w:widowControl/>
              <w:adjustRightInd/>
              <w:snapToGrid/>
              <w:spacing w:line="240" w:lineRule="auto"/>
              <w:jc w:val="left"/>
              <w:rPr>
                <w:rFonts w:hAnsi="Calibri" w:cs="Times New Roman"/>
              </w:rPr>
            </w:pPr>
          </w:p>
        </w:tc>
        <w:tc>
          <w:tcPr>
            <w:tcW w:w="1559" w:type="dxa"/>
            <w:tcBorders>
              <w:left w:val="single" w:color="auto" w:sz="4" w:space="0"/>
            </w:tcBorders>
            <w:vAlign w:val="center"/>
          </w:tcPr>
          <w:p>
            <w:pPr>
              <w:widowControl/>
              <w:adjustRightInd/>
              <w:snapToGrid/>
              <w:spacing w:line="240" w:lineRule="auto"/>
              <w:jc w:val="left"/>
              <w:rPr>
                <w:rFonts w:hAnsi="Calibri" w:cs="Times New Roman"/>
              </w:rPr>
            </w:pPr>
          </w:p>
        </w:tc>
        <w:tc>
          <w:tcPr>
            <w:tcW w:w="1701" w:type="dxa"/>
            <w:tcBorders>
              <w:left w:val="single" w:color="auto" w:sz="4" w:space="0"/>
            </w:tcBorders>
            <w:vAlign w:val="center"/>
          </w:tcPr>
          <w:p>
            <w:pPr>
              <w:widowControl/>
              <w:adjustRightInd/>
              <w:snapToGrid/>
              <w:spacing w:line="240" w:lineRule="auto"/>
              <w:jc w:val="left"/>
              <w:rPr>
                <w:rFonts w:hAnsi="Calibri" w:cs="Times New Roman"/>
              </w:rPr>
            </w:pPr>
          </w:p>
        </w:tc>
        <w:tc>
          <w:tcPr>
            <w:tcW w:w="1985" w:type="dxa"/>
            <w:gridSpan w:val="2"/>
            <w:tcBorders>
              <w:left w:val="single" w:color="auto" w:sz="4" w:space="0"/>
            </w:tcBorders>
            <w:vAlign w:val="center"/>
          </w:tcPr>
          <w:p>
            <w:pPr>
              <w:widowControl/>
              <w:adjustRightInd/>
              <w:snapToGrid/>
              <w:spacing w:line="240" w:lineRule="auto"/>
              <w:jc w:val="left"/>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tcPr>
          <w:p>
            <w:pPr>
              <w:widowControl/>
              <w:adjustRightInd/>
              <w:snapToGrid/>
              <w:spacing w:line="240" w:lineRule="auto"/>
              <w:jc w:val="left"/>
              <w:rPr>
                <w:rFonts w:hAnsi="Calibri" w:cs="Times New Roman"/>
              </w:rPr>
            </w:pPr>
            <w:r>
              <w:rPr>
                <w:rFonts w:hAnsi="Calibri" w:cs="Times New Roman"/>
              </w:rPr>
              <w:t>6</w:t>
            </w:r>
          </w:p>
        </w:tc>
        <w:tc>
          <w:tcPr>
            <w:tcW w:w="2551" w:type="dxa"/>
          </w:tcPr>
          <w:p>
            <w:pPr>
              <w:widowControl/>
              <w:adjustRightInd/>
              <w:snapToGrid/>
              <w:spacing w:line="240" w:lineRule="auto"/>
              <w:jc w:val="left"/>
              <w:rPr>
                <w:rFonts w:hAnsi="Calibri" w:cs="Times New Roman"/>
              </w:rPr>
            </w:pPr>
          </w:p>
        </w:tc>
        <w:tc>
          <w:tcPr>
            <w:tcW w:w="3119" w:type="dxa"/>
            <w:vAlign w:val="center"/>
          </w:tcPr>
          <w:p>
            <w:pPr>
              <w:widowControl/>
              <w:adjustRightInd/>
              <w:snapToGrid/>
              <w:spacing w:line="240" w:lineRule="auto"/>
              <w:jc w:val="left"/>
              <w:rPr>
                <w:rFonts w:hAnsi="Calibri" w:cs="Times New Roman"/>
              </w:rPr>
            </w:pPr>
          </w:p>
        </w:tc>
        <w:tc>
          <w:tcPr>
            <w:tcW w:w="2268" w:type="dxa"/>
            <w:tcBorders>
              <w:right w:val="single" w:color="auto" w:sz="4" w:space="0"/>
            </w:tcBorders>
          </w:tcPr>
          <w:p>
            <w:pPr>
              <w:widowControl/>
              <w:adjustRightInd/>
              <w:snapToGrid/>
              <w:spacing w:line="240" w:lineRule="auto"/>
              <w:jc w:val="left"/>
              <w:rPr>
                <w:rFonts w:hAnsi="Calibri" w:cs="Times New Roman"/>
              </w:rPr>
            </w:pPr>
          </w:p>
        </w:tc>
        <w:tc>
          <w:tcPr>
            <w:tcW w:w="1559" w:type="dxa"/>
            <w:tcBorders>
              <w:left w:val="single" w:color="auto" w:sz="4" w:space="0"/>
            </w:tcBorders>
            <w:vAlign w:val="center"/>
          </w:tcPr>
          <w:p>
            <w:pPr>
              <w:widowControl/>
              <w:adjustRightInd/>
              <w:snapToGrid/>
              <w:spacing w:line="240" w:lineRule="auto"/>
              <w:jc w:val="left"/>
              <w:rPr>
                <w:rFonts w:hAnsi="Calibri" w:cs="Times New Roman"/>
              </w:rPr>
            </w:pPr>
          </w:p>
        </w:tc>
        <w:tc>
          <w:tcPr>
            <w:tcW w:w="1701" w:type="dxa"/>
            <w:tcBorders>
              <w:left w:val="single" w:color="auto" w:sz="4" w:space="0"/>
            </w:tcBorders>
            <w:vAlign w:val="center"/>
          </w:tcPr>
          <w:p>
            <w:pPr>
              <w:widowControl/>
              <w:adjustRightInd/>
              <w:snapToGrid/>
              <w:spacing w:line="240" w:lineRule="auto"/>
              <w:jc w:val="left"/>
              <w:rPr>
                <w:rFonts w:hAnsi="Calibri" w:cs="Times New Roman"/>
              </w:rPr>
            </w:pPr>
          </w:p>
        </w:tc>
        <w:tc>
          <w:tcPr>
            <w:tcW w:w="1985" w:type="dxa"/>
            <w:gridSpan w:val="2"/>
            <w:tcBorders>
              <w:left w:val="single" w:color="auto" w:sz="4" w:space="0"/>
            </w:tcBorders>
            <w:vAlign w:val="center"/>
          </w:tcPr>
          <w:p>
            <w:pPr>
              <w:widowControl/>
              <w:adjustRightInd/>
              <w:snapToGrid/>
              <w:spacing w:line="240" w:lineRule="auto"/>
              <w:jc w:val="left"/>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2" w:hRule="atLeast"/>
        </w:trPr>
        <w:tc>
          <w:tcPr>
            <w:tcW w:w="10456" w:type="dxa"/>
            <w:gridSpan w:val="5"/>
            <w:tcBorders>
              <w:left w:val="single" w:color="auto" w:sz="4" w:space="0"/>
            </w:tcBorders>
          </w:tcPr>
          <w:p>
            <w:pPr>
              <w:widowControl/>
              <w:adjustRightInd/>
              <w:snapToGrid/>
              <w:spacing w:line="240" w:lineRule="auto"/>
              <w:jc w:val="right"/>
              <w:rPr>
                <w:rFonts w:hAnsi="Calibri" w:cs="Times New Roman"/>
              </w:rPr>
            </w:pPr>
            <w:r>
              <w:rPr>
                <w:rFonts w:hAnsi="Calibri" w:cs="Times New Roman"/>
              </w:rPr>
              <w:t>总计</w:t>
            </w:r>
          </w:p>
        </w:tc>
        <w:tc>
          <w:tcPr>
            <w:tcW w:w="1708" w:type="dxa"/>
            <w:gridSpan w:val="2"/>
            <w:tcBorders>
              <w:left w:val="single" w:color="auto" w:sz="4" w:space="0"/>
            </w:tcBorders>
          </w:tcPr>
          <w:p>
            <w:pPr>
              <w:widowControl/>
              <w:adjustRightInd/>
              <w:snapToGrid/>
              <w:spacing w:line="240" w:lineRule="auto"/>
              <w:jc w:val="left"/>
              <w:rPr>
                <w:rFonts w:hAnsi="Calibri" w:cs="Times New Roman"/>
              </w:rPr>
            </w:pPr>
          </w:p>
        </w:tc>
        <w:tc>
          <w:tcPr>
            <w:tcW w:w="1978" w:type="dxa"/>
            <w:tcBorders>
              <w:left w:val="single" w:color="auto" w:sz="4" w:space="0"/>
            </w:tcBorders>
          </w:tcPr>
          <w:p>
            <w:pPr>
              <w:widowControl/>
              <w:adjustRightInd/>
              <w:snapToGrid/>
              <w:spacing w:line="240" w:lineRule="auto"/>
              <w:jc w:val="left"/>
              <w:rPr>
                <w:rFonts w:hAnsi="Calibri" w:cs="Times New Roman"/>
              </w:rPr>
            </w:pPr>
          </w:p>
        </w:tc>
      </w:tr>
    </w:tbl>
    <w:p>
      <w:pPr>
        <w:ind w:left="1256" w:right="-48" w:rightChars="-20" w:hanging="776"/>
        <w:rPr>
          <w:rFonts w:hAnsi="Calibri" w:cs="Times New Roman"/>
        </w:rPr>
      </w:pPr>
      <w:r>
        <w:rPr>
          <w:rFonts w:hint="eastAsia" w:hAnsi="Calibri" w:cs="Times New Roman"/>
        </w:rPr>
        <w:t>注：</w:t>
      </w:r>
      <w:r>
        <w:rPr>
          <w:rFonts w:hint="eastAsia" w:hAnsi="Calibri" w:cs="Times New Roman"/>
        </w:rPr>
        <w:tab/>
      </w:r>
      <w:r>
        <w:rPr>
          <w:rFonts w:hint="eastAsia" w:hAnsi="Calibri" w:cs="Times New Roman"/>
        </w:rPr>
        <w:t>1、投标总价应为各分项合计汇总之和。</w:t>
      </w:r>
    </w:p>
    <w:p>
      <w:pPr>
        <w:ind w:left="795" w:right="-48" w:rightChars="-20" w:firstLine="480" w:firstLineChars="200"/>
        <w:rPr>
          <w:rFonts w:hAnsi="Calibri" w:cs="Times New Roman"/>
        </w:rPr>
      </w:pPr>
      <w:r>
        <w:rPr>
          <w:rFonts w:hAnsi="Calibri" w:cs="Times New Roman"/>
        </w:rPr>
        <w:t>2</w:t>
      </w:r>
      <w:r>
        <w:rPr>
          <w:rFonts w:hint="eastAsia" w:hAnsi="Calibri" w:cs="Times New Roman"/>
        </w:rPr>
        <w:t>、如果不提供投标分项报价表将视为没有实质性响应招标文件。</w:t>
      </w:r>
    </w:p>
    <w:p>
      <w:pPr>
        <w:ind w:left="795" w:right="-48" w:rightChars="-20" w:firstLine="480" w:firstLineChars="200"/>
        <w:rPr>
          <w:rFonts w:hAnsi="Calibri" w:cs="Times New Roman"/>
          <w:color w:val="auto"/>
        </w:rPr>
      </w:pPr>
      <w:r>
        <w:rPr>
          <w:rFonts w:hint="eastAsia" w:hAnsi="Calibri" w:cs="Times New Roman"/>
          <w:color w:val="auto"/>
        </w:rPr>
        <w:t>3、此分项报价表中如包含有中小企业承接的部分（</w:t>
      </w:r>
      <w:r>
        <w:rPr>
          <w:rFonts w:hint="eastAsia"/>
          <w:color w:val="auto"/>
        </w:rPr>
        <w:t>中小企业是中型、小型、微型企业的统称，小微企业包括视同小微企业的监狱企业和残疾人福利性单位</w:t>
      </w:r>
      <w:r>
        <w:rPr>
          <w:rFonts w:hint="eastAsia" w:hAnsi="Calibri" w:cs="Times New Roman"/>
          <w:color w:val="auto"/>
        </w:rPr>
        <w:t>），则须在《分项报价表</w:t>
      </w:r>
      <w:r>
        <w:rPr>
          <w:rFonts w:hint="eastAsia" w:cs="Times New Roman" w:hAnsiTheme="minorEastAsia"/>
          <w:color w:val="auto"/>
        </w:rPr>
        <w:t>Ⅱ</w:t>
      </w:r>
      <w:r>
        <w:rPr>
          <w:rFonts w:hint="eastAsia"/>
          <w:color w:val="auto"/>
          <w:szCs w:val="24"/>
        </w:rPr>
        <w:t>仅针对中小企业）</w:t>
      </w:r>
      <w:r>
        <w:rPr>
          <w:rFonts w:hint="eastAsia" w:hAnsi="Calibri" w:cs="Times New Roman"/>
          <w:color w:val="auto"/>
        </w:rPr>
        <w:t>》中填写中小企业报价和相关信息。</w:t>
      </w:r>
    </w:p>
    <w:p>
      <w:pPr>
        <w:spacing w:line="360" w:lineRule="auto"/>
        <w:rPr>
          <w:rFonts w:hAnsi="Calibri" w:cs="Times New Roman"/>
        </w:rPr>
      </w:pPr>
      <w:r>
        <w:rPr>
          <w:rFonts w:hint="eastAsia" w:hAnsi="Calibri" w:cs="Times New Roman"/>
        </w:rPr>
        <w:t>投标人名称（盖章）：____________________</w:t>
      </w:r>
    </w:p>
    <w:p>
      <w:pPr>
        <w:spacing w:line="360" w:lineRule="auto"/>
        <w:rPr>
          <w:rFonts w:hAnsi="Calibri" w:cs="Times New Roman"/>
        </w:rPr>
      </w:pPr>
      <w:r>
        <w:rPr>
          <w:rFonts w:hint="eastAsia" w:hAnsi="Calibri" w:cs="Times New Roman"/>
        </w:rPr>
        <w:t>法定代表人签署或被授权人签字：____________________</w:t>
      </w:r>
    </w:p>
    <w:p>
      <w:pPr>
        <w:widowControl/>
        <w:adjustRightInd/>
        <w:snapToGrid/>
        <w:spacing w:line="240" w:lineRule="auto"/>
        <w:jc w:val="left"/>
        <w:rPr>
          <w:rFonts w:hAnsi="Calibri" w:cs="Times New Roman"/>
        </w:rPr>
      </w:pPr>
    </w:p>
    <w:p>
      <w:pPr>
        <w:widowControl/>
        <w:adjustRightInd/>
        <w:snapToGrid/>
        <w:spacing w:line="240" w:lineRule="auto"/>
        <w:jc w:val="left"/>
        <w:rPr>
          <w:rFonts w:hAnsi="Calibri" w:cs="Times New Roman"/>
        </w:rPr>
        <w:sectPr>
          <w:pgSz w:w="16838" w:h="11906" w:orient="landscape"/>
          <w:pgMar w:top="1134" w:right="1440" w:bottom="993" w:left="1440" w:header="851" w:footer="757" w:gutter="0"/>
          <w:cols w:space="425" w:num="1"/>
          <w:docGrid w:type="lines" w:linePitch="326" w:charSpace="0"/>
        </w:sectPr>
      </w:pPr>
    </w:p>
    <w:p>
      <w:pPr>
        <w:pStyle w:val="4"/>
        <w:rPr>
          <w:rFonts w:hAnsi="宋体"/>
        </w:rPr>
      </w:pPr>
      <w:bookmarkStart w:id="194" w:name="_Toc4216"/>
      <w:bookmarkStart w:id="195" w:name="_Toc350850482"/>
      <w:bookmarkStart w:id="196" w:name="_Toc350862083"/>
      <w:bookmarkStart w:id="197" w:name="_Toc353348622"/>
      <w:r>
        <w:rPr>
          <w:rFonts w:hint="eastAsia" w:hAnsi="Calibri"/>
        </w:rPr>
        <w:t>附件</w:t>
      </w:r>
      <w:r>
        <w:rPr>
          <w:rFonts w:hAnsi="Calibri"/>
        </w:rPr>
        <w:t xml:space="preserve">4 </w:t>
      </w:r>
      <w:r>
        <w:rPr>
          <w:rFonts w:hint="eastAsia" w:hAnsi="宋体"/>
        </w:rPr>
        <w:t>技术服务需求偏离表格式</w:t>
      </w:r>
      <w:bookmarkEnd w:id="194"/>
    </w:p>
    <w:p>
      <w:pPr>
        <w:spacing w:after="240" w:line="360" w:lineRule="auto"/>
        <w:ind w:left="904" w:right="-48" w:rightChars="-20" w:hanging="904"/>
        <w:jc w:val="center"/>
        <w:rPr>
          <w:rFonts w:hAnsi="宋体"/>
          <w:b/>
          <w:sz w:val="30"/>
        </w:rPr>
      </w:pPr>
      <w:r>
        <w:rPr>
          <w:rFonts w:hint="eastAsia" w:hAnsi="宋体"/>
          <w:b/>
          <w:sz w:val="30"/>
        </w:rPr>
        <w:t>技术服务需求偏离表</w:t>
      </w:r>
    </w:p>
    <w:p>
      <w:pPr>
        <w:spacing w:line="360" w:lineRule="auto"/>
        <w:ind w:left="720" w:right="-48" w:rightChars="-20" w:hanging="720"/>
        <w:rPr>
          <w:rFonts w:hAnsi="宋体"/>
        </w:rPr>
      </w:pPr>
      <w:r>
        <w:rPr>
          <w:rFonts w:hint="eastAsia" w:hAnsi="宋体"/>
        </w:rPr>
        <w:t>项目名称：</w:t>
      </w:r>
    </w:p>
    <w:p>
      <w:pPr>
        <w:spacing w:line="360" w:lineRule="auto"/>
        <w:ind w:left="720" w:hanging="720"/>
        <w:rPr>
          <w:rFonts w:hAnsi="宋体"/>
        </w:rPr>
      </w:pPr>
      <w:r>
        <w:rPr>
          <w:rFonts w:hint="eastAsia" w:hAnsi="宋体"/>
        </w:rPr>
        <w:t>项目编号/包件号：                       包件名称：</w:t>
      </w:r>
    </w:p>
    <w:tbl>
      <w:tblPr>
        <w:tblStyle w:val="19"/>
        <w:tblW w:w="9211"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559"/>
        <w:gridCol w:w="1753"/>
        <w:gridCol w:w="1701"/>
        <w:gridCol w:w="1843"/>
        <w:gridCol w:w="1821"/>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534" w:type="dxa"/>
            <w:vAlign w:val="center"/>
          </w:tcPr>
          <w:p>
            <w:pPr>
              <w:spacing w:line="240" w:lineRule="auto"/>
            </w:pPr>
            <w:r>
              <w:rPr>
                <w:rFonts w:hint="eastAsia"/>
              </w:rPr>
              <w:t>序号</w:t>
            </w:r>
          </w:p>
        </w:tc>
        <w:tc>
          <w:tcPr>
            <w:tcW w:w="1559" w:type="dxa"/>
            <w:vAlign w:val="center"/>
          </w:tcPr>
          <w:p>
            <w:pPr>
              <w:spacing w:line="240" w:lineRule="auto"/>
            </w:pPr>
            <w:r>
              <w:rPr>
                <w:rFonts w:hint="eastAsia"/>
              </w:rPr>
              <w:t>指标项</w:t>
            </w:r>
          </w:p>
        </w:tc>
        <w:tc>
          <w:tcPr>
            <w:tcW w:w="1753" w:type="dxa"/>
            <w:vAlign w:val="center"/>
          </w:tcPr>
          <w:p>
            <w:pPr>
              <w:spacing w:line="240" w:lineRule="auto"/>
            </w:pPr>
            <w:r>
              <w:rPr>
                <w:rFonts w:hint="eastAsia"/>
              </w:rPr>
              <w:t>招标文件需求要求</w:t>
            </w:r>
          </w:p>
        </w:tc>
        <w:tc>
          <w:tcPr>
            <w:tcW w:w="1701" w:type="dxa"/>
            <w:vAlign w:val="center"/>
          </w:tcPr>
          <w:p>
            <w:pPr>
              <w:spacing w:line="240" w:lineRule="auto"/>
            </w:pPr>
            <w:r>
              <w:rPr>
                <w:rFonts w:hint="eastAsia"/>
              </w:rPr>
              <w:t>投标货物及服务的技术参数和性能</w:t>
            </w:r>
          </w:p>
        </w:tc>
        <w:tc>
          <w:tcPr>
            <w:tcW w:w="1843" w:type="dxa"/>
            <w:vAlign w:val="center"/>
          </w:tcPr>
          <w:p>
            <w:pPr>
              <w:spacing w:line="240" w:lineRule="auto"/>
            </w:pPr>
            <w:r>
              <w:rPr>
                <w:rFonts w:hint="eastAsia"/>
              </w:rPr>
              <w:t>偏离说明</w:t>
            </w:r>
          </w:p>
        </w:tc>
        <w:tc>
          <w:tcPr>
            <w:tcW w:w="1821" w:type="dxa"/>
            <w:vAlign w:val="center"/>
          </w:tcPr>
          <w:p>
            <w:pPr>
              <w:spacing w:line="240" w:lineRule="auto"/>
            </w:pPr>
            <w:r>
              <w:rPr>
                <w:rFonts w:hint="eastAsia"/>
                <w:color w:val="FF0000"/>
              </w:rPr>
              <w:t>技术支持材料或</w:t>
            </w:r>
            <w:r>
              <w:rPr>
                <w:rFonts w:hint="eastAsia"/>
              </w:rPr>
              <w:t>说明证明文件在投标文件中的索引</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534" w:type="dxa"/>
          </w:tcPr>
          <w:p>
            <w:pPr>
              <w:spacing w:line="240" w:lineRule="auto"/>
            </w:pPr>
          </w:p>
        </w:tc>
        <w:tc>
          <w:tcPr>
            <w:tcW w:w="1559" w:type="dxa"/>
          </w:tcPr>
          <w:p>
            <w:pPr>
              <w:spacing w:line="240" w:lineRule="auto"/>
            </w:pPr>
            <w:r>
              <w:rPr>
                <w:rFonts w:hint="eastAsia"/>
              </w:rPr>
              <w:t>【填写招标文件技术服务需求中条文的编号】</w:t>
            </w:r>
          </w:p>
        </w:tc>
        <w:tc>
          <w:tcPr>
            <w:tcW w:w="1753" w:type="dxa"/>
          </w:tcPr>
          <w:p>
            <w:pPr>
              <w:spacing w:line="240" w:lineRule="auto"/>
            </w:pPr>
            <w:r>
              <w:rPr>
                <w:rFonts w:hint="eastAsia"/>
              </w:rPr>
              <w:t>【直接复制招标文件的技术服务需求中该编号对应的具体条文要求】</w:t>
            </w:r>
          </w:p>
        </w:tc>
        <w:tc>
          <w:tcPr>
            <w:tcW w:w="1701" w:type="dxa"/>
          </w:tcPr>
          <w:p>
            <w:pPr>
              <w:spacing w:line="240" w:lineRule="auto"/>
            </w:pPr>
            <w:r>
              <w:rPr>
                <w:rFonts w:hint="eastAsia"/>
              </w:rPr>
              <w:t>【填写所提供货物及服务对该要求的技术参数或性能响应或者投标人对该条文的商务或其他响应】</w:t>
            </w:r>
          </w:p>
        </w:tc>
        <w:tc>
          <w:tcPr>
            <w:tcW w:w="1843" w:type="dxa"/>
          </w:tcPr>
          <w:p>
            <w:pPr>
              <w:spacing w:line="240" w:lineRule="auto"/>
            </w:pPr>
            <w:r>
              <w:rPr>
                <w:rFonts w:hint="eastAsia"/>
              </w:rPr>
              <w:t>【填写：优于（即“正偏离”）、满足（即无偏离）或不满足（即负偏离），并可进一步进行偏离说明】</w:t>
            </w:r>
          </w:p>
        </w:tc>
        <w:tc>
          <w:tcPr>
            <w:tcW w:w="1821" w:type="dxa"/>
          </w:tcPr>
          <w:p>
            <w:pPr>
              <w:spacing w:line="240" w:lineRule="auto"/>
            </w:pPr>
            <w:r>
              <w:rPr>
                <w:rFonts w:hint="eastAsia"/>
                <w:sz w:val="21"/>
              </w:rPr>
              <w:t>【</w:t>
            </w:r>
            <w:r>
              <w:rPr>
                <w:rFonts w:hint="eastAsia"/>
                <w:b/>
                <w:bCs/>
                <w:sz w:val="21"/>
              </w:rPr>
              <w:t>填写页码</w:t>
            </w:r>
            <w:r>
              <w:rPr>
                <w:rFonts w:hint="eastAsia"/>
                <w:sz w:val="21"/>
              </w:rPr>
              <w:t>，例如“第XX页”；</w:t>
            </w:r>
            <w:r>
              <w:rPr>
                <w:rFonts w:hint="eastAsia"/>
                <w:b/>
                <w:bCs/>
                <w:sz w:val="21"/>
              </w:rPr>
              <w:t>或填写章节条款号</w:t>
            </w:r>
            <w:r>
              <w:rPr>
                <w:rFonts w:hint="eastAsia"/>
                <w:sz w:val="21"/>
              </w:rPr>
              <w:t>，例如“第X章第X</w:t>
            </w:r>
            <w:r>
              <w:rPr>
                <w:sz w:val="21"/>
              </w:rPr>
              <w:t>.X</w:t>
            </w:r>
            <w:r>
              <w:rPr>
                <w:rFonts w:hint="eastAsia"/>
                <w:sz w:val="21"/>
              </w:rPr>
              <w:t>节第X.X</w:t>
            </w:r>
            <w:r>
              <w:rPr>
                <w:sz w:val="21"/>
              </w:rPr>
              <w:t>.</w:t>
            </w:r>
            <w:r>
              <w:rPr>
                <w:rFonts w:hint="eastAsia"/>
                <w:sz w:val="21"/>
              </w:rPr>
              <w:t>X条或第（X）条等”；无需索引的可空白】</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pPr>
          </w:p>
        </w:tc>
        <w:tc>
          <w:tcPr>
            <w:tcW w:w="1559" w:type="dxa"/>
          </w:tcPr>
          <w:p>
            <w:pPr>
              <w:spacing w:line="240" w:lineRule="auto"/>
            </w:pPr>
          </w:p>
        </w:tc>
        <w:tc>
          <w:tcPr>
            <w:tcW w:w="1753" w:type="dxa"/>
          </w:tcPr>
          <w:p>
            <w:pPr>
              <w:spacing w:line="240" w:lineRule="auto"/>
            </w:pPr>
          </w:p>
        </w:tc>
        <w:tc>
          <w:tcPr>
            <w:tcW w:w="1701" w:type="dxa"/>
          </w:tcPr>
          <w:p>
            <w:pPr>
              <w:spacing w:line="240" w:lineRule="auto"/>
            </w:pPr>
          </w:p>
        </w:tc>
        <w:tc>
          <w:tcPr>
            <w:tcW w:w="1843" w:type="dxa"/>
          </w:tcPr>
          <w:p>
            <w:pPr>
              <w:spacing w:line="240" w:lineRule="auto"/>
            </w:pPr>
          </w:p>
        </w:tc>
        <w:tc>
          <w:tcPr>
            <w:tcW w:w="1821" w:type="dxa"/>
          </w:tcPr>
          <w:p>
            <w:pPr>
              <w:spacing w:line="240" w:lineRule="auto"/>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pPr>
          </w:p>
        </w:tc>
        <w:tc>
          <w:tcPr>
            <w:tcW w:w="1559" w:type="dxa"/>
          </w:tcPr>
          <w:p>
            <w:pPr>
              <w:spacing w:line="240" w:lineRule="auto"/>
            </w:pPr>
          </w:p>
        </w:tc>
        <w:tc>
          <w:tcPr>
            <w:tcW w:w="1753" w:type="dxa"/>
          </w:tcPr>
          <w:p>
            <w:pPr>
              <w:spacing w:line="240" w:lineRule="auto"/>
            </w:pPr>
          </w:p>
        </w:tc>
        <w:tc>
          <w:tcPr>
            <w:tcW w:w="1701" w:type="dxa"/>
          </w:tcPr>
          <w:p>
            <w:pPr>
              <w:spacing w:line="240" w:lineRule="auto"/>
            </w:pPr>
          </w:p>
        </w:tc>
        <w:tc>
          <w:tcPr>
            <w:tcW w:w="1843" w:type="dxa"/>
          </w:tcPr>
          <w:p>
            <w:pPr>
              <w:spacing w:line="240" w:lineRule="auto"/>
            </w:pPr>
          </w:p>
        </w:tc>
        <w:tc>
          <w:tcPr>
            <w:tcW w:w="1821" w:type="dxa"/>
          </w:tcPr>
          <w:p>
            <w:pPr>
              <w:spacing w:line="240" w:lineRule="auto"/>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pPr>
          </w:p>
        </w:tc>
        <w:tc>
          <w:tcPr>
            <w:tcW w:w="1559" w:type="dxa"/>
          </w:tcPr>
          <w:p>
            <w:pPr>
              <w:spacing w:line="240" w:lineRule="auto"/>
            </w:pPr>
          </w:p>
        </w:tc>
        <w:tc>
          <w:tcPr>
            <w:tcW w:w="1753" w:type="dxa"/>
          </w:tcPr>
          <w:p>
            <w:pPr>
              <w:spacing w:line="240" w:lineRule="auto"/>
            </w:pPr>
          </w:p>
        </w:tc>
        <w:tc>
          <w:tcPr>
            <w:tcW w:w="1701" w:type="dxa"/>
          </w:tcPr>
          <w:p>
            <w:pPr>
              <w:spacing w:line="240" w:lineRule="auto"/>
            </w:pPr>
          </w:p>
        </w:tc>
        <w:tc>
          <w:tcPr>
            <w:tcW w:w="1843" w:type="dxa"/>
          </w:tcPr>
          <w:p>
            <w:pPr>
              <w:spacing w:line="240" w:lineRule="auto"/>
            </w:pPr>
          </w:p>
        </w:tc>
        <w:tc>
          <w:tcPr>
            <w:tcW w:w="1821" w:type="dxa"/>
          </w:tcPr>
          <w:p>
            <w:pPr>
              <w:spacing w:line="240" w:lineRule="auto"/>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pPr>
          </w:p>
        </w:tc>
        <w:tc>
          <w:tcPr>
            <w:tcW w:w="1559" w:type="dxa"/>
          </w:tcPr>
          <w:p>
            <w:pPr>
              <w:spacing w:line="240" w:lineRule="auto"/>
            </w:pPr>
          </w:p>
        </w:tc>
        <w:tc>
          <w:tcPr>
            <w:tcW w:w="1753" w:type="dxa"/>
          </w:tcPr>
          <w:p>
            <w:pPr>
              <w:spacing w:line="240" w:lineRule="auto"/>
            </w:pPr>
          </w:p>
        </w:tc>
        <w:tc>
          <w:tcPr>
            <w:tcW w:w="1701" w:type="dxa"/>
          </w:tcPr>
          <w:p>
            <w:pPr>
              <w:spacing w:line="240" w:lineRule="auto"/>
            </w:pPr>
          </w:p>
        </w:tc>
        <w:tc>
          <w:tcPr>
            <w:tcW w:w="1843" w:type="dxa"/>
          </w:tcPr>
          <w:p>
            <w:pPr>
              <w:spacing w:line="240" w:lineRule="auto"/>
            </w:pPr>
          </w:p>
        </w:tc>
        <w:tc>
          <w:tcPr>
            <w:tcW w:w="1821" w:type="dxa"/>
          </w:tcPr>
          <w:p>
            <w:pPr>
              <w:spacing w:line="240" w:lineRule="auto"/>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pPr>
          </w:p>
        </w:tc>
        <w:tc>
          <w:tcPr>
            <w:tcW w:w="1559" w:type="dxa"/>
          </w:tcPr>
          <w:p>
            <w:pPr>
              <w:spacing w:line="240" w:lineRule="auto"/>
            </w:pPr>
          </w:p>
        </w:tc>
        <w:tc>
          <w:tcPr>
            <w:tcW w:w="1753" w:type="dxa"/>
          </w:tcPr>
          <w:p>
            <w:pPr>
              <w:spacing w:line="240" w:lineRule="auto"/>
            </w:pPr>
          </w:p>
        </w:tc>
        <w:tc>
          <w:tcPr>
            <w:tcW w:w="1701" w:type="dxa"/>
          </w:tcPr>
          <w:p>
            <w:pPr>
              <w:spacing w:line="240" w:lineRule="auto"/>
            </w:pPr>
          </w:p>
        </w:tc>
        <w:tc>
          <w:tcPr>
            <w:tcW w:w="1843" w:type="dxa"/>
          </w:tcPr>
          <w:p>
            <w:pPr>
              <w:spacing w:line="240" w:lineRule="auto"/>
            </w:pPr>
          </w:p>
        </w:tc>
        <w:tc>
          <w:tcPr>
            <w:tcW w:w="1821" w:type="dxa"/>
          </w:tcPr>
          <w:p>
            <w:pPr>
              <w:spacing w:line="240" w:lineRule="auto"/>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pPr>
          </w:p>
        </w:tc>
        <w:tc>
          <w:tcPr>
            <w:tcW w:w="1559" w:type="dxa"/>
          </w:tcPr>
          <w:p>
            <w:pPr>
              <w:spacing w:line="240" w:lineRule="auto"/>
            </w:pPr>
          </w:p>
        </w:tc>
        <w:tc>
          <w:tcPr>
            <w:tcW w:w="1753" w:type="dxa"/>
          </w:tcPr>
          <w:p>
            <w:pPr>
              <w:spacing w:line="240" w:lineRule="auto"/>
            </w:pPr>
          </w:p>
        </w:tc>
        <w:tc>
          <w:tcPr>
            <w:tcW w:w="1701" w:type="dxa"/>
          </w:tcPr>
          <w:p>
            <w:pPr>
              <w:spacing w:line="240" w:lineRule="auto"/>
            </w:pPr>
          </w:p>
        </w:tc>
        <w:tc>
          <w:tcPr>
            <w:tcW w:w="1843" w:type="dxa"/>
          </w:tcPr>
          <w:p>
            <w:pPr>
              <w:spacing w:line="240" w:lineRule="auto"/>
            </w:pPr>
          </w:p>
        </w:tc>
        <w:tc>
          <w:tcPr>
            <w:tcW w:w="1821" w:type="dxa"/>
          </w:tcPr>
          <w:p>
            <w:pPr>
              <w:spacing w:line="240" w:lineRule="auto"/>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pPr>
          </w:p>
        </w:tc>
        <w:tc>
          <w:tcPr>
            <w:tcW w:w="1559" w:type="dxa"/>
          </w:tcPr>
          <w:p>
            <w:pPr>
              <w:spacing w:line="240" w:lineRule="auto"/>
            </w:pPr>
          </w:p>
        </w:tc>
        <w:tc>
          <w:tcPr>
            <w:tcW w:w="1753" w:type="dxa"/>
          </w:tcPr>
          <w:p>
            <w:pPr>
              <w:spacing w:line="240" w:lineRule="auto"/>
            </w:pPr>
          </w:p>
        </w:tc>
        <w:tc>
          <w:tcPr>
            <w:tcW w:w="1701" w:type="dxa"/>
          </w:tcPr>
          <w:p>
            <w:pPr>
              <w:spacing w:line="240" w:lineRule="auto"/>
            </w:pPr>
          </w:p>
        </w:tc>
        <w:tc>
          <w:tcPr>
            <w:tcW w:w="1843" w:type="dxa"/>
          </w:tcPr>
          <w:p>
            <w:pPr>
              <w:spacing w:line="240" w:lineRule="auto"/>
            </w:pPr>
          </w:p>
        </w:tc>
        <w:tc>
          <w:tcPr>
            <w:tcW w:w="1821" w:type="dxa"/>
          </w:tcPr>
          <w:p>
            <w:pPr>
              <w:spacing w:line="240" w:lineRule="auto"/>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pPr>
          </w:p>
        </w:tc>
        <w:tc>
          <w:tcPr>
            <w:tcW w:w="1559" w:type="dxa"/>
          </w:tcPr>
          <w:p>
            <w:pPr>
              <w:spacing w:line="240" w:lineRule="auto"/>
            </w:pPr>
          </w:p>
        </w:tc>
        <w:tc>
          <w:tcPr>
            <w:tcW w:w="1753" w:type="dxa"/>
          </w:tcPr>
          <w:p>
            <w:pPr>
              <w:spacing w:line="240" w:lineRule="auto"/>
            </w:pPr>
          </w:p>
        </w:tc>
        <w:tc>
          <w:tcPr>
            <w:tcW w:w="1701" w:type="dxa"/>
          </w:tcPr>
          <w:p>
            <w:pPr>
              <w:spacing w:line="240" w:lineRule="auto"/>
            </w:pPr>
          </w:p>
        </w:tc>
        <w:tc>
          <w:tcPr>
            <w:tcW w:w="1843" w:type="dxa"/>
          </w:tcPr>
          <w:p>
            <w:pPr>
              <w:spacing w:line="240" w:lineRule="auto"/>
            </w:pPr>
          </w:p>
        </w:tc>
        <w:tc>
          <w:tcPr>
            <w:tcW w:w="1821" w:type="dxa"/>
          </w:tcPr>
          <w:p>
            <w:pPr>
              <w:spacing w:line="240" w:lineRule="auto"/>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pPr>
          </w:p>
        </w:tc>
        <w:tc>
          <w:tcPr>
            <w:tcW w:w="1559" w:type="dxa"/>
          </w:tcPr>
          <w:p>
            <w:pPr>
              <w:spacing w:line="240" w:lineRule="auto"/>
            </w:pPr>
          </w:p>
        </w:tc>
        <w:tc>
          <w:tcPr>
            <w:tcW w:w="1753" w:type="dxa"/>
          </w:tcPr>
          <w:p>
            <w:pPr>
              <w:spacing w:line="240" w:lineRule="auto"/>
            </w:pPr>
          </w:p>
        </w:tc>
        <w:tc>
          <w:tcPr>
            <w:tcW w:w="1701" w:type="dxa"/>
          </w:tcPr>
          <w:p>
            <w:pPr>
              <w:spacing w:line="240" w:lineRule="auto"/>
            </w:pPr>
          </w:p>
        </w:tc>
        <w:tc>
          <w:tcPr>
            <w:tcW w:w="1843" w:type="dxa"/>
          </w:tcPr>
          <w:p>
            <w:pPr>
              <w:spacing w:line="240" w:lineRule="auto"/>
            </w:pPr>
          </w:p>
        </w:tc>
        <w:tc>
          <w:tcPr>
            <w:tcW w:w="1821" w:type="dxa"/>
          </w:tcPr>
          <w:p>
            <w:pPr>
              <w:spacing w:line="240" w:lineRule="auto"/>
            </w:pPr>
          </w:p>
        </w:tc>
      </w:tr>
    </w:tbl>
    <w:p>
      <w:pPr>
        <w:spacing w:line="360" w:lineRule="auto"/>
        <w:ind w:left="720" w:right="-48" w:rightChars="-20" w:hanging="720"/>
        <w:jc w:val="left"/>
        <w:rPr>
          <w:rFonts w:hAnsi="宋体"/>
        </w:rPr>
      </w:pPr>
      <w:r>
        <w:rPr>
          <w:rFonts w:hint="eastAsia" w:hAnsi="宋体"/>
        </w:rPr>
        <w:t>投标人名称（盖章）：</w:t>
      </w:r>
      <w:r>
        <w:rPr>
          <w:rFonts w:hint="eastAsia"/>
        </w:rPr>
        <w:t>_____________________</w:t>
      </w:r>
    </w:p>
    <w:p>
      <w:pPr>
        <w:spacing w:line="360" w:lineRule="auto"/>
        <w:ind w:left="720" w:hanging="720"/>
        <w:rPr>
          <w:rFonts w:hAnsi="宋体"/>
          <w:color w:val="auto"/>
        </w:rPr>
      </w:pPr>
      <w:r>
        <w:rPr>
          <w:rFonts w:hint="eastAsia" w:hAnsi="宋体"/>
        </w:rPr>
        <w:t>法定代表人签署</w:t>
      </w:r>
      <w:r>
        <w:rPr>
          <w:rFonts w:hint="eastAsia" w:hAnsi="宋体"/>
          <w:color w:val="auto"/>
        </w:rPr>
        <w:t>或被授权人（签字）：</w:t>
      </w:r>
      <w:r>
        <w:rPr>
          <w:rFonts w:hAnsi="宋体"/>
          <w:color w:val="auto"/>
        </w:rPr>
        <w:t>_____________________</w:t>
      </w:r>
    </w:p>
    <w:p>
      <w:pPr>
        <w:pStyle w:val="49"/>
        <w:rPr>
          <w:color w:val="auto"/>
        </w:rPr>
      </w:pPr>
    </w:p>
    <w:p>
      <w:pPr>
        <w:pStyle w:val="49"/>
        <w:ind w:left="709"/>
        <w:rPr>
          <w:color w:val="auto"/>
        </w:rPr>
      </w:pPr>
      <w:r>
        <w:rPr>
          <w:rFonts w:hint="eastAsia"/>
          <w:color w:val="auto"/>
        </w:rPr>
        <w:t>注：</w:t>
      </w:r>
      <w:r>
        <w:rPr>
          <w:color w:val="auto"/>
        </w:rPr>
        <w:tab/>
      </w:r>
      <w:r>
        <w:rPr>
          <w:rFonts w:hint="eastAsia" w:hAnsiTheme="minorEastAsia"/>
          <w:color w:val="auto"/>
        </w:rPr>
        <w:t>1、投标人如果对招标文件第四章</w:t>
      </w:r>
      <w:r>
        <w:rPr>
          <w:rFonts w:hint="eastAsia"/>
          <w:color w:val="auto"/>
        </w:rPr>
        <w:t>“技术服务需求”的</w:t>
      </w:r>
      <w:r>
        <w:rPr>
          <w:rFonts w:hint="eastAsia" w:hAnsiTheme="minorEastAsia"/>
          <w:color w:val="auto"/>
        </w:rPr>
        <w:t>响应有任何偏离（偏离包括正偏离和负偏离），请在本表中将偏离条文逐条列明并填写；其它响应与技术服务需求条文一致且满足的（即无偏离）的条文不必列出。未列出填写的，均视为与技术服务需求和需求中执行的标准条文一致且满足。如未列出任何条款，视为投标人技术服务响应与技术服务需求条文全部一致且满足。</w:t>
      </w:r>
    </w:p>
    <w:p>
      <w:pPr>
        <w:pStyle w:val="49"/>
        <w:ind w:left="709"/>
        <w:rPr>
          <w:color w:val="auto"/>
        </w:rPr>
      </w:pPr>
      <w:r>
        <w:rPr>
          <w:rFonts w:hint="eastAsia"/>
          <w:color w:val="auto"/>
        </w:rPr>
        <w:tab/>
      </w:r>
      <w:r>
        <w:rPr>
          <w:rFonts w:hint="eastAsia"/>
          <w:color w:val="auto"/>
        </w:rPr>
        <w:t>2、对于招标文件要求提供技术支持材料或进一步提供方案说明或证明材料的，投标人应提供准确的技术支持材料或说明证明文件在投标文件中的页码索引或章节条款索引。索引错误导致评标委员会查找不到的后果由投标人自行承担。</w:t>
      </w:r>
    </w:p>
    <w:p>
      <w:pPr>
        <w:pStyle w:val="49"/>
        <w:ind w:left="709"/>
        <w:rPr>
          <w:rFonts w:hAnsi="Cambria" w:eastAsia="黑体"/>
          <w:b/>
          <w:bCs/>
          <w:kern w:val="0"/>
          <w:sz w:val="32"/>
          <w:szCs w:val="32"/>
        </w:rPr>
      </w:pPr>
      <w:r>
        <w:br w:type="page"/>
      </w:r>
    </w:p>
    <w:p>
      <w:pPr>
        <w:pStyle w:val="4"/>
      </w:pPr>
      <w:bookmarkStart w:id="198" w:name="_Toc5824"/>
      <w:r>
        <w:rPr>
          <w:rFonts w:hint="eastAsia"/>
        </w:rPr>
        <w:t>附件5 合同条款偏离表格式</w:t>
      </w:r>
      <w:bookmarkEnd w:id="198"/>
    </w:p>
    <w:p>
      <w:pPr>
        <w:spacing w:after="240" w:line="360" w:lineRule="auto"/>
        <w:ind w:left="904" w:right="-48" w:rightChars="-20" w:hanging="904"/>
        <w:jc w:val="center"/>
        <w:rPr>
          <w:rFonts w:hAnsi="宋体" w:cs="Times New Roman"/>
          <w:b/>
          <w:color w:val="000000"/>
          <w:sz w:val="30"/>
        </w:rPr>
      </w:pPr>
      <w:r>
        <w:rPr>
          <w:rFonts w:hint="eastAsia" w:hAnsi="宋体" w:cs="Times New Roman"/>
          <w:b/>
          <w:color w:val="000000"/>
          <w:sz w:val="30"/>
        </w:rPr>
        <w:t>合同条款偏离表</w:t>
      </w:r>
    </w:p>
    <w:p>
      <w:pPr>
        <w:spacing w:line="360" w:lineRule="auto"/>
        <w:ind w:left="720" w:right="-48" w:rightChars="-20" w:hanging="720"/>
        <w:rPr>
          <w:rFonts w:hAnsi="Calibri" w:cs="Times New Roman"/>
        </w:rPr>
      </w:pPr>
      <w:r>
        <w:rPr>
          <w:rFonts w:hint="eastAsia" w:hAnsi="Calibri" w:cs="Times New Roman"/>
        </w:rPr>
        <w:t>项目名称：</w:t>
      </w:r>
    </w:p>
    <w:p>
      <w:pPr>
        <w:spacing w:line="360" w:lineRule="auto"/>
        <w:ind w:left="720" w:hanging="720"/>
        <w:rPr>
          <w:rFonts w:hAnsi="宋体" w:cs="Times New Roman"/>
        </w:rPr>
      </w:pPr>
      <w:r>
        <w:rPr>
          <w:rFonts w:hint="eastAsia" w:hAnsi="Calibri" w:cs="Times New Roman"/>
        </w:rPr>
        <w:t>项目编号/包件号：                       包件名称：</w:t>
      </w:r>
    </w:p>
    <w:tbl>
      <w:tblPr>
        <w:tblStyle w:val="19"/>
        <w:tblW w:w="905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08"/>
        <w:gridCol w:w="1545"/>
        <w:gridCol w:w="2400"/>
        <w:gridCol w:w="2470"/>
        <w:gridCol w:w="1934"/>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spacing w:line="240" w:lineRule="auto"/>
              <w:jc w:val="center"/>
              <w:rPr>
                <w:rFonts w:hAnsi="Calibri" w:cs="Times New Roman"/>
                <w:b/>
                <w:bCs/>
              </w:rPr>
            </w:pPr>
            <w:r>
              <w:rPr>
                <w:rFonts w:hint="eastAsia" w:hAnsi="Calibri" w:cs="Times New Roman"/>
                <w:b/>
                <w:bCs/>
              </w:rPr>
              <w:t>序号</w:t>
            </w:r>
          </w:p>
        </w:tc>
        <w:tc>
          <w:tcPr>
            <w:tcW w:w="1545" w:type="dxa"/>
            <w:vAlign w:val="center"/>
          </w:tcPr>
          <w:p>
            <w:pPr>
              <w:spacing w:line="240" w:lineRule="auto"/>
              <w:jc w:val="center"/>
              <w:rPr>
                <w:rFonts w:hAnsi="Calibri" w:cs="Times New Roman"/>
                <w:b/>
                <w:bCs/>
              </w:rPr>
            </w:pPr>
            <w:r>
              <w:rPr>
                <w:rFonts w:hint="eastAsia" w:hAnsi="Calibri" w:cs="Times New Roman"/>
                <w:b/>
                <w:bCs/>
              </w:rPr>
              <w:t>招标文件</w:t>
            </w:r>
            <w:r>
              <w:rPr>
                <w:rFonts w:hAnsi="Calibri" w:cs="Times New Roman"/>
                <w:b/>
                <w:bCs/>
              </w:rPr>
              <w:br w:type="textWrapping"/>
            </w:r>
            <w:r>
              <w:rPr>
                <w:rFonts w:hint="eastAsia" w:hAnsi="Calibri" w:cs="Times New Roman"/>
                <w:b/>
                <w:bCs/>
              </w:rPr>
              <w:t>条目号</w:t>
            </w:r>
          </w:p>
        </w:tc>
        <w:tc>
          <w:tcPr>
            <w:tcW w:w="2400" w:type="dxa"/>
            <w:vAlign w:val="center"/>
          </w:tcPr>
          <w:p>
            <w:pPr>
              <w:spacing w:line="240" w:lineRule="auto"/>
              <w:jc w:val="center"/>
              <w:rPr>
                <w:rFonts w:hAnsi="Calibri" w:cs="Times New Roman"/>
                <w:b/>
                <w:bCs/>
              </w:rPr>
            </w:pPr>
            <w:r>
              <w:rPr>
                <w:rFonts w:hint="eastAsia" w:hAnsi="Calibri" w:cs="Times New Roman"/>
                <w:b/>
                <w:bCs/>
              </w:rPr>
              <w:t>招标文件的合同条款</w:t>
            </w:r>
          </w:p>
        </w:tc>
        <w:tc>
          <w:tcPr>
            <w:tcW w:w="2470" w:type="dxa"/>
            <w:vAlign w:val="center"/>
          </w:tcPr>
          <w:p>
            <w:pPr>
              <w:spacing w:line="240" w:lineRule="auto"/>
              <w:jc w:val="center"/>
              <w:rPr>
                <w:rFonts w:hAnsi="Calibri" w:cs="Times New Roman"/>
                <w:b/>
                <w:bCs/>
              </w:rPr>
            </w:pPr>
            <w:r>
              <w:rPr>
                <w:rFonts w:hint="eastAsia" w:hAnsi="Calibri" w:cs="Times New Roman"/>
                <w:b/>
                <w:bCs/>
              </w:rPr>
              <w:t>投标文件</w:t>
            </w:r>
            <w:r>
              <w:rPr>
                <w:rFonts w:hint="eastAsia" w:hAnsi="Calibri" w:cs="Times New Roman"/>
                <w:b/>
                <w:bCs/>
                <w:kern w:val="0"/>
              </w:rPr>
              <w:t>对合同条款的响应</w:t>
            </w:r>
          </w:p>
        </w:tc>
        <w:tc>
          <w:tcPr>
            <w:tcW w:w="1934" w:type="dxa"/>
            <w:vAlign w:val="center"/>
          </w:tcPr>
          <w:p>
            <w:pPr>
              <w:spacing w:line="240" w:lineRule="auto"/>
              <w:jc w:val="center"/>
              <w:rPr>
                <w:rFonts w:hAnsi="Calibri" w:cs="Times New Roman"/>
                <w:b/>
                <w:bCs/>
              </w:rPr>
            </w:pPr>
            <w:r>
              <w:rPr>
                <w:rFonts w:hint="eastAsia"/>
                <w:b/>
                <w:bCs/>
              </w:rPr>
              <w:t>偏离</w:t>
            </w:r>
            <w:r>
              <w:rPr>
                <w:rFonts w:hint="eastAsia" w:hAnsi="Calibri" w:cs="Times New Roman"/>
                <w:b/>
                <w:bCs/>
              </w:rPr>
              <w:t>说明</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pPr>
              <w:spacing w:line="360" w:lineRule="auto"/>
              <w:ind w:left="720" w:hanging="720"/>
              <w:rPr>
                <w:rFonts w:hAnsi="Calibri" w:cs="Times New Roman"/>
              </w:rPr>
            </w:pPr>
          </w:p>
        </w:tc>
        <w:tc>
          <w:tcPr>
            <w:tcW w:w="1545" w:type="dxa"/>
          </w:tcPr>
          <w:p>
            <w:pPr>
              <w:spacing w:line="240" w:lineRule="auto"/>
            </w:pPr>
            <w:r>
              <w:rPr>
                <w:rFonts w:hint="eastAsia"/>
              </w:rPr>
              <w:t>【填写招标文件拟签订的合同文本条款的编号】</w:t>
            </w:r>
          </w:p>
        </w:tc>
        <w:tc>
          <w:tcPr>
            <w:tcW w:w="2400" w:type="dxa"/>
          </w:tcPr>
          <w:p>
            <w:pPr>
              <w:spacing w:line="240" w:lineRule="auto"/>
            </w:pPr>
            <w:r>
              <w:rPr>
                <w:rFonts w:hint="eastAsia"/>
              </w:rPr>
              <w:t>【填写招标文件的拟签订的合同文本中该编号对应的具体条款内容】</w:t>
            </w:r>
          </w:p>
        </w:tc>
        <w:tc>
          <w:tcPr>
            <w:tcW w:w="2470" w:type="dxa"/>
          </w:tcPr>
          <w:p>
            <w:pPr>
              <w:spacing w:line="240" w:lineRule="auto"/>
            </w:pPr>
            <w:r>
              <w:rPr>
                <w:rFonts w:hint="eastAsia"/>
              </w:rPr>
              <w:t>【填写投标人对该条款内容的响应】</w:t>
            </w:r>
          </w:p>
        </w:tc>
        <w:tc>
          <w:tcPr>
            <w:tcW w:w="1934" w:type="dxa"/>
          </w:tcPr>
          <w:p>
            <w:pPr>
              <w:spacing w:line="240" w:lineRule="auto"/>
            </w:pPr>
            <w:r>
              <w:rPr>
                <w:rFonts w:hint="eastAsia"/>
              </w:rPr>
              <w:t>【填写：优于（即“正偏离”）、满足（即无偏离）或不满足（即负偏离），并可进一步进行偏离说明】</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pPr>
              <w:spacing w:line="360" w:lineRule="auto"/>
              <w:ind w:left="720" w:hanging="720"/>
              <w:rPr>
                <w:rFonts w:hAnsi="Calibri" w:cs="Times New Roman"/>
              </w:rPr>
            </w:pPr>
          </w:p>
        </w:tc>
        <w:tc>
          <w:tcPr>
            <w:tcW w:w="1545" w:type="dxa"/>
          </w:tcPr>
          <w:p>
            <w:pPr>
              <w:spacing w:line="360" w:lineRule="auto"/>
              <w:ind w:left="720" w:hanging="720"/>
              <w:rPr>
                <w:rFonts w:hAnsi="Calibri" w:cs="Times New Roman"/>
              </w:rPr>
            </w:pPr>
          </w:p>
        </w:tc>
        <w:tc>
          <w:tcPr>
            <w:tcW w:w="2400" w:type="dxa"/>
          </w:tcPr>
          <w:p>
            <w:pPr>
              <w:spacing w:line="360" w:lineRule="auto"/>
              <w:ind w:left="720" w:hanging="720"/>
              <w:rPr>
                <w:rFonts w:hAnsi="Calibri" w:cs="Times New Roman"/>
              </w:rPr>
            </w:pPr>
          </w:p>
        </w:tc>
        <w:tc>
          <w:tcPr>
            <w:tcW w:w="2470" w:type="dxa"/>
          </w:tcPr>
          <w:p>
            <w:pPr>
              <w:spacing w:line="360" w:lineRule="auto"/>
              <w:ind w:left="720" w:hanging="720"/>
              <w:rPr>
                <w:rFonts w:hAnsi="Calibri" w:cs="Times New Roman"/>
              </w:rPr>
            </w:pPr>
          </w:p>
        </w:tc>
        <w:tc>
          <w:tcPr>
            <w:tcW w:w="1934" w:type="dxa"/>
          </w:tcPr>
          <w:p>
            <w:pPr>
              <w:spacing w:line="360" w:lineRule="auto"/>
              <w:ind w:left="720" w:hanging="720"/>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pPr>
              <w:spacing w:line="360" w:lineRule="auto"/>
              <w:ind w:left="720" w:hanging="720"/>
              <w:rPr>
                <w:rFonts w:hAnsi="Calibri" w:cs="Times New Roman"/>
              </w:rPr>
            </w:pPr>
          </w:p>
        </w:tc>
        <w:tc>
          <w:tcPr>
            <w:tcW w:w="1545" w:type="dxa"/>
          </w:tcPr>
          <w:p>
            <w:pPr>
              <w:spacing w:line="360" w:lineRule="auto"/>
              <w:ind w:left="720" w:hanging="720"/>
              <w:rPr>
                <w:rFonts w:hAnsi="Calibri" w:cs="Times New Roman"/>
              </w:rPr>
            </w:pPr>
          </w:p>
        </w:tc>
        <w:tc>
          <w:tcPr>
            <w:tcW w:w="2400" w:type="dxa"/>
          </w:tcPr>
          <w:p>
            <w:pPr>
              <w:spacing w:line="360" w:lineRule="auto"/>
              <w:ind w:left="720" w:hanging="720"/>
              <w:rPr>
                <w:rFonts w:hAnsi="Calibri" w:cs="Times New Roman"/>
              </w:rPr>
            </w:pPr>
          </w:p>
        </w:tc>
        <w:tc>
          <w:tcPr>
            <w:tcW w:w="2470" w:type="dxa"/>
          </w:tcPr>
          <w:p>
            <w:pPr>
              <w:spacing w:line="360" w:lineRule="auto"/>
              <w:ind w:left="720" w:hanging="720"/>
              <w:rPr>
                <w:rFonts w:hAnsi="Calibri" w:cs="Times New Roman"/>
              </w:rPr>
            </w:pPr>
          </w:p>
        </w:tc>
        <w:tc>
          <w:tcPr>
            <w:tcW w:w="1934" w:type="dxa"/>
          </w:tcPr>
          <w:p>
            <w:pPr>
              <w:spacing w:line="360" w:lineRule="auto"/>
              <w:ind w:left="720" w:hanging="720"/>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pPr>
              <w:spacing w:line="360" w:lineRule="auto"/>
              <w:ind w:left="720" w:hanging="720"/>
              <w:rPr>
                <w:rFonts w:hAnsi="Calibri" w:cs="Times New Roman"/>
              </w:rPr>
            </w:pPr>
          </w:p>
        </w:tc>
        <w:tc>
          <w:tcPr>
            <w:tcW w:w="1545" w:type="dxa"/>
          </w:tcPr>
          <w:p>
            <w:pPr>
              <w:spacing w:line="360" w:lineRule="auto"/>
              <w:ind w:left="720" w:hanging="720"/>
              <w:rPr>
                <w:rFonts w:hAnsi="Calibri" w:cs="Times New Roman"/>
              </w:rPr>
            </w:pPr>
          </w:p>
        </w:tc>
        <w:tc>
          <w:tcPr>
            <w:tcW w:w="2400" w:type="dxa"/>
          </w:tcPr>
          <w:p>
            <w:pPr>
              <w:spacing w:line="360" w:lineRule="auto"/>
              <w:ind w:left="720" w:hanging="720"/>
              <w:rPr>
                <w:rFonts w:hAnsi="Calibri" w:cs="Times New Roman"/>
              </w:rPr>
            </w:pPr>
          </w:p>
        </w:tc>
        <w:tc>
          <w:tcPr>
            <w:tcW w:w="2470" w:type="dxa"/>
          </w:tcPr>
          <w:p>
            <w:pPr>
              <w:spacing w:line="360" w:lineRule="auto"/>
              <w:ind w:left="720" w:hanging="720"/>
              <w:rPr>
                <w:rFonts w:hAnsi="Calibri" w:cs="Times New Roman"/>
              </w:rPr>
            </w:pPr>
          </w:p>
        </w:tc>
        <w:tc>
          <w:tcPr>
            <w:tcW w:w="1934" w:type="dxa"/>
          </w:tcPr>
          <w:p>
            <w:pPr>
              <w:spacing w:line="360" w:lineRule="auto"/>
              <w:ind w:left="720" w:hanging="720"/>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pPr>
              <w:spacing w:line="360" w:lineRule="auto"/>
              <w:ind w:left="720" w:hanging="720"/>
              <w:rPr>
                <w:rFonts w:hAnsi="Calibri" w:cs="Times New Roman"/>
              </w:rPr>
            </w:pPr>
          </w:p>
        </w:tc>
        <w:tc>
          <w:tcPr>
            <w:tcW w:w="1545" w:type="dxa"/>
          </w:tcPr>
          <w:p>
            <w:pPr>
              <w:spacing w:line="360" w:lineRule="auto"/>
              <w:ind w:left="720" w:hanging="720"/>
              <w:rPr>
                <w:rFonts w:hAnsi="Calibri" w:cs="Times New Roman"/>
              </w:rPr>
            </w:pPr>
          </w:p>
        </w:tc>
        <w:tc>
          <w:tcPr>
            <w:tcW w:w="2400" w:type="dxa"/>
          </w:tcPr>
          <w:p>
            <w:pPr>
              <w:spacing w:line="360" w:lineRule="auto"/>
              <w:ind w:left="720" w:hanging="720"/>
              <w:rPr>
                <w:rFonts w:hAnsi="Calibri" w:cs="Times New Roman"/>
              </w:rPr>
            </w:pPr>
          </w:p>
        </w:tc>
        <w:tc>
          <w:tcPr>
            <w:tcW w:w="2470" w:type="dxa"/>
          </w:tcPr>
          <w:p>
            <w:pPr>
              <w:spacing w:line="360" w:lineRule="auto"/>
              <w:ind w:left="720" w:hanging="720"/>
              <w:rPr>
                <w:rFonts w:hAnsi="Calibri" w:cs="Times New Roman"/>
              </w:rPr>
            </w:pPr>
          </w:p>
        </w:tc>
        <w:tc>
          <w:tcPr>
            <w:tcW w:w="1934" w:type="dxa"/>
          </w:tcPr>
          <w:p>
            <w:pPr>
              <w:spacing w:line="360" w:lineRule="auto"/>
              <w:ind w:left="720" w:hanging="720"/>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pPr>
              <w:spacing w:line="360" w:lineRule="auto"/>
              <w:ind w:left="720" w:hanging="720"/>
              <w:rPr>
                <w:rFonts w:hAnsi="Calibri" w:cs="Times New Roman"/>
              </w:rPr>
            </w:pPr>
          </w:p>
        </w:tc>
        <w:tc>
          <w:tcPr>
            <w:tcW w:w="1545" w:type="dxa"/>
          </w:tcPr>
          <w:p>
            <w:pPr>
              <w:spacing w:line="360" w:lineRule="auto"/>
              <w:ind w:left="720" w:hanging="720"/>
              <w:rPr>
                <w:rFonts w:hAnsi="Calibri" w:cs="Times New Roman"/>
              </w:rPr>
            </w:pPr>
          </w:p>
        </w:tc>
        <w:tc>
          <w:tcPr>
            <w:tcW w:w="2400" w:type="dxa"/>
          </w:tcPr>
          <w:p>
            <w:pPr>
              <w:spacing w:line="360" w:lineRule="auto"/>
              <w:ind w:left="720" w:hanging="720"/>
              <w:rPr>
                <w:rFonts w:hAnsi="Calibri" w:cs="Times New Roman"/>
              </w:rPr>
            </w:pPr>
          </w:p>
        </w:tc>
        <w:tc>
          <w:tcPr>
            <w:tcW w:w="2470" w:type="dxa"/>
          </w:tcPr>
          <w:p>
            <w:pPr>
              <w:spacing w:line="360" w:lineRule="auto"/>
              <w:ind w:left="720" w:hanging="720"/>
              <w:rPr>
                <w:rFonts w:hAnsi="Calibri" w:cs="Times New Roman"/>
              </w:rPr>
            </w:pPr>
          </w:p>
        </w:tc>
        <w:tc>
          <w:tcPr>
            <w:tcW w:w="1934" w:type="dxa"/>
          </w:tcPr>
          <w:p>
            <w:pPr>
              <w:spacing w:line="360" w:lineRule="auto"/>
              <w:ind w:left="720" w:hanging="720"/>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pPr>
              <w:spacing w:line="360" w:lineRule="auto"/>
              <w:ind w:left="720" w:hanging="720"/>
              <w:rPr>
                <w:rFonts w:hAnsi="Calibri" w:cs="Times New Roman"/>
              </w:rPr>
            </w:pPr>
          </w:p>
        </w:tc>
        <w:tc>
          <w:tcPr>
            <w:tcW w:w="1545" w:type="dxa"/>
          </w:tcPr>
          <w:p>
            <w:pPr>
              <w:spacing w:line="360" w:lineRule="auto"/>
              <w:ind w:left="720" w:hanging="720"/>
              <w:rPr>
                <w:rFonts w:hAnsi="Calibri" w:cs="Times New Roman"/>
              </w:rPr>
            </w:pPr>
          </w:p>
        </w:tc>
        <w:tc>
          <w:tcPr>
            <w:tcW w:w="2400" w:type="dxa"/>
          </w:tcPr>
          <w:p>
            <w:pPr>
              <w:spacing w:line="360" w:lineRule="auto"/>
              <w:ind w:left="720" w:hanging="720"/>
              <w:rPr>
                <w:rFonts w:hAnsi="Calibri" w:cs="Times New Roman"/>
              </w:rPr>
            </w:pPr>
          </w:p>
        </w:tc>
        <w:tc>
          <w:tcPr>
            <w:tcW w:w="2470" w:type="dxa"/>
          </w:tcPr>
          <w:p>
            <w:pPr>
              <w:spacing w:line="360" w:lineRule="auto"/>
              <w:ind w:left="720" w:hanging="720"/>
              <w:rPr>
                <w:rFonts w:hAnsi="Calibri" w:cs="Times New Roman"/>
              </w:rPr>
            </w:pPr>
          </w:p>
        </w:tc>
        <w:tc>
          <w:tcPr>
            <w:tcW w:w="1934" w:type="dxa"/>
          </w:tcPr>
          <w:p>
            <w:pPr>
              <w:spacing w:line="360" w:lineRule="auto"/>
              <w:ind w:left="720" w:hanging="720"/>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pPr>
              <w:spacing w:line="360" w:lineRule="auto"/>
              <w:ind w:left="720" w:hanging="720"/>
              <w:rPr>
                <w:rFonts w:hAnsi="Calibri" w:cs="Times New Roman"/>
              </w:rPr>
            </w:pPr>
          </w:p>
        </w:tc>
        <w:tc>
          <w:tcPr>
            <w:tcW w:w="1545" w:type="dxa"/>
          </w:tcPr>
          <w:p>
            <w:pPr>
              <w:spacing w:line="360" w:lineRule="auto"/>
              <w:ind w:left="720" w:hanging="720"/>
              <w:rPr>
                <w:rFonts w:hAnsi="Calibri" w:cs="Times New Roman"/>
              </w:rPr>
            </w:pPr>
          </w:p>
        </w:tc>
        <w:tc>
          <w:tcPr>
            <w:tcW w:w="2400" w:type="dxa"/>
          </w:tcPr>
          <w:p>
            <w:pPr>
              <w:spacing w:line="360" w:lineRule="auto"/>
              <w:ind w:left="720" w:hanging="720"/>
              <w:rPr>
                <w:rFonts w:hAnsi="Calibri" w:cs="Times New Roman"/>
              </w:rPr>
            </w:pPr>
          </w:p>
        </w:tc>
        <w:tc>
          <w:tcPr>
            <w:tcW w:w="2470" w:type="dxa"/>
          </w:tcPr>
          <w:p>
            <w:pPr>
              <w:spacing w:line="360" w:lineRule="auto"/>
              <w:ind w:left="720" w:hanging="720"/>
              <w:rPr>
                <w:rFonts w:hAnsi="Calibri" w:cs="Times New Roman"/>
              </w:rPr>
            </w:pPr>
          </w:p>
        </w:tc>
        <w:tc>
          <w:tcPr>
            <w:tcW w:w="1934" w:type="dxa"/>
          </w:tcPr>
          <w:p>
            <w:pPr>
              <w:spacing w:line="360" w:lineRule="auto"/>
              <w:ind w:left="720" w:hanging="720"/>
              <w:rPr>
                <w:rFonts w:hAnsi="Calibri" w:cs="Times New Roman"/>
              </w:rPr>
            </w:pPr>
          </w:p>
        </w:tc>
      </w:tr>
    </w:tbl>
    <w:p>
      <w:pPr>
        <w:spacing w:line="360" w:lineRule="auto"/>
        <w:ind w:left="720" w:hanging="720"/>
        <w:rPr>
          <w:rFonts w:hAnsi="Calibri" w:cs="Times New Roman"/>
        </w:rPr>
      </w:pPr>
    </w:p>
    <w:p>
      <w:pPr>
        <w:spacing w:line="360" w:lineRule="auto"/>
        <w:ind w:left="720" w:right="-48" w:rightChars="-20" w:hanging="720"/>
        <w:jc w:val="left"/>
        <w:rPr>
          <w:rFonts w:hAnsi="宋体" w:cs="Times New Roman"/>
          <w:color w:val="000000"/>
        </w:rPr>
      </w:pPr>
      <w:r>
        <w:rPr>
          <w:rFonts w:hint="eastAsia" w:hAnsi="宋体" w:cs="Times New Roman"/>
        </w:rPr>
        <w:t>投标人名称（盖章）：</w:t>
      </w:r>
      <w:r>
        <w:rPr>
          <w:rFonts w:hint="eastAsia" w:hAnsi="Calibri" w:cs="Times New Roman"/>
        </w:rPr>
        <w:t>_____________________</w:t>
      </w:r>
    </w:p>
    <w:p>
      <w:pPr>
        <w:spacing w:line="360" w:lineRule="auto"/>
        <w:ind w:left="720" w:hanging="720"/>
        <w:rPr>
          <w:rFonts w:hAnsi="宋体" w:cs="Times New Roman"/>
        </w:rPr>
      </w:pPr>
      <w:r>
        <w:rPr>
          <w:rFonts w:hint="eastAsia" w:hAnsi="宋体" w:cs="Times New Roman"/>
        </w:rPr>
        <w:t>法定代表人签署或被授权人签字：</w:t>
      </w:r>
      <w:r>
        <w:rPr>
          <w:rFonts w:hAnsi="宋体" w:cs="Times New Roman"/>
        </w:rPr>
        <w:t>_____________________</w:t>
      </w:r>
    </w:p>
    <w:p>
      <w:pPr>
        <w:spacing w:line="360" w:lineRule="auto"/>
        <w:ind w:left="720" w:hanging="720"/>
        <w:rPr>
          <w:rFonts w:hAnsi="宋体" w:cs="Times New Roman"/>
        </w:rPr>
      </w:pPr>
    </w:p>
    <w:p>
      <w:pPr>
        <w:pStyle w:val="49"/>
      </w:pPr>
      <w:r>
        <w:rPr>
          <w:rFonts w:hint="eastAsia"/>
        </w:rPr>
        <w:t>注：</w:t>
      </w:r>
      <w:r>
        <w:tab/>
      </w:r>
      <w:r>
        <w:t>1</w:t>
      </w:r>
      <w:r>
        <w:rPr>
          <w:rFonts w:hint="eastAsia"/>
        </w:rPr>
        <w:t>、投标人如果对招标文件第五章“拟签订的合同文本”中的合同条款的响应有任何偏离，请在本表中详细列明填写；满足的合同条款不必列出。</w:t>
      </w:r>
    </w:p>
    <w:p>
      <w:pPr>
        <w:pStyle w:val="49"/>
      </w:pPr>
      <w:r>
        <w:tab/>
      </w:r>
      <w:r>
        <w:t>2</w:t>
      </w:r>
      <w:r>
        <w:rPr>
          <w:rFonts w:hint="eastAsia"/>
        </w:rPr>
        <w:t>、除以上“偏离说明”栏中列明的“不满足”或“优于”项外，视为投标人无条件满足并接受招标文件规定的所有其它商务条款。</w:t>
      </w:r>
    </w:p>
    <w:p>
      <w:pPr>
        <w:pStyle w:val="49"/>
      </w:pPr>
      <w:r>
        <w:rPr>
          <w:rFonts w:hint="eastAsia"/>
        </w:rPr>
        <w:tab/>
      </w:r>
      <w:r>
        <w:rPr>
          <w:rFonts w:hint="eastAsia"/>
        </w:rPr>
        <w:t>3、如不列出，视为投标人无条件满足并接受招标文件规定的所有合同条款。</w:t>
      </w:r>
    </w:p>
    <w:p/>
    <w:bookmarkEnd w:id="195"/>
    <w:bookmarkEnd w:id="196"/>
    <w:bookmarkEnd w:id="197"/>
    <w:p>
      <w:pPr>
        <w:pStyle w:val="4"/>
      </w:pPr>
      <w:r>
        <w:br w:type="page"/>
      </w:r>
      <w:bookmarkStart w:id="199" w:name="_Toc2684"/>
      <w:bookmarkStart w:id="200" w:name="_Toc353348618"/>
      <w:bookmarkStart w:id="201" w:name="_Toc451524465"/>
      <w:bookmarkStart w:id="202" w:name="_Toc350862079"/>
      <w:bookmarkStart w:id="203" w:name="_Toc469921740"/>
      <w:bookmarkStart w:id="204" w:name="_Toc451779067"/>
      <w:bookmarkStart w:id="205" w:name="_Toc350850478"/>
      <w:r>
        <w:rPr>
          <w:rFonts w:hint="eastAsia"/>
        </w:rPr>
        <w:t>附件</w:t>
      </w:r>
      <w:r>
        <w:t xml:space="preserve">6 </w:t>
      </w:r>
      <w:r>
        <w:rPr>
          <w:rFonts w:hint="eastAsia"/>
        </w:rPr>
        <w:t>法定代表人授权书格式</w:t>
      </w:r>
      <w:bookmarkEnd w:id="199"/>
    </w:p>
    <w:p>
      <w:pPr>
        <w:jc w:val="left"/>
      </w:pPr>
      <w:r>
        <w:rPr>
          <w:rFonts w:hint="eastAsia"/>
        </w:rPr>
        <w:t>【投标人为无法定代表人的其他团体组织等时，法定代表人则系指其负责人。法定代表人（或负责人）签字、盖手签章或盖姓名章均为有效法定代表人签署。】</w:t>
      </w:r>
    </w:p>
    <w:p>
      <w:pPr>
        <w:jc w:val="left"/>
      </w:pPr>
      <w:r>
        <w:rPr>
          <w:rFonts w:hint="eastAsia"/>
        </w:rPr>
        <w:t>【投标人须知前附表加注“*”的投标文件构成部分其它文件均由法定代表人在相应位置直接签署时，无需提供法定代表人授权书，但应提供法定代表人身份证明复印件。法定代表人或被授权人为外籍</w:t>
      </w:r>
      <w:r>
        <w:rPr>
          <w:rFonts w:hint="eastAsia" w:ascii="Arial" w:hAnsi="Arial" w:eastAsia="宋体" w:cs="Arial"/>
        </w:rPr>
        <w:t>人士</w:t>
      </w:r>
      <w:r>
        <w:rPr>
          <w:rFonts w:hint="eastAsia"/>
        </w:rPr>
        <w:t>的，居民身份证使用护照替代。】</w:t>
      </w:r>
    </w:p>
    <w:p>
      <w:pPr>
        <w:spacing w:after="240" w:line="360" w:lineRule="auto"/>
        <w:ind w:left="904" w:right="-48" w:rightChars="-20" w:hanging="904"/>
        <w:jc w:val="center"/>
        <w:rPr>
          <w:rFonts w:hAnsi="宋体" w:cs="Times New Roman"/>
          <w:b/>
          <w:color w:val="000000"/>
          <w:sz w:val="30"/>
        </w:rPr>
      </w:pPr>
      <w:r>
        <w:rPr>
          <w:rFonts w:hint="eastAsia" w:hAnsi="宋体" w:cs="Times New Roman"/>
          <w:b/>
          <w:color w:val="000000"/>
          <w:sz w:val="30"/>
        </w:rPr>
        <w:t>法定代表人授权书</w:t>
      </w:r>
    </w:p>
    <w:p>
      <w:pPr>
        <w:spacing w:line="360" w:lineRule="auto"/>
        <w:ind w:left="720" w:right="-48" w:rightChars="-20" w:hanging="720"/>
        <w:rPr>
          <w:rFonts w:hAnsi="宋体" w:cs="Times New Roman"/>
          <w:color w:val="000000"/>
        </w:rPr>
      </w:pPr>
      <w:r>
        <w:rPr>
          <w:rFonts w:hint="eastAsia" w:hAnsi="宋体" w:cs="Times New Roman"/>
          <w:color w:val="000000"/>
        </w:rPr>
        <w:t>致</w:t>
      </w:r>
      <w:r>
        <w:rPr>
          <w:rFonts w:hint="eastAsia" w:hAnsi="宋体" w:cs="Times New Roman"/>
          <w:color w:val="000000"/>
          <w:u w:val="single"/>
        </w:rPr>
        <w:t>【采购人或采购代理机构】</w:t>
      </w:r>
      <w:r>
        <w:rPr>
          <w:rFonts w:hint="eastAsia" w:hAnsi="宋体" w:cs="Times New Roman"/>
          <w:color w:val="000000"/>
        </w:rPr>
        <w:t>：</w:t>
      </w:r>
    </w:p>
    <w:p>
      <w:pPr>
        <w:spacing w:line="360" w:lineRule="auto"/>
        <w:ind w:firstLine="480" w:firstLineChars="200"/>
        <w:rPr>
          <w:rFonts w:ascii="Arial" w:hAnsi="Arial" w:cs="Arial"/>
          <w:color w:val="000000"/>
          <w:szCs w:val="24"/>
        </w:rPr>
      </w:pPr>
      <w:r>
        <w:rPr>
          <w:rFonts w:ascii="Arial" w:hAnsi="Arial" w:cs="Arial"/>
          <w:color w:val="000000"/>
          <w:szCs w:val="24"/>
        </w:rPr>
        <w:t>本授权书声明：注册于</w:t>
      </w:r>
      <w:r>
        <w:rPr>
          <w:rFonts w:ascii="Arial" w:hAnsi="Arial" w:cs="Arial"/>
          <w:color w:val="000000"/>
          <w:szCs w:val="24"/>
          <w:u w:val="single"/>
        </w:rPr>
        <w:t xml:space="preserve">    </w:t>
      </w:r>
      <w:r>
        <w:rPr>
          <w:rFonts w:hint="eastAsia" w:ascii="Arial" w:hAnsi="Arial" w:cs="Arial"/>
          <w:color w:val="000000"/>
          <w:szCs w:val="24"/>
          <w:u w:val="single"/>
        </w:rPr>
        <w:t>【</w:t>
      </w:r>
      <w:r>
        <w:rPr>
          <w:rFonts w:ascii="Arial" w:hAnsi="Arial" w:cs="Arial"/>
          <w:color w:val="000000"/>
          <w:szCs w:val="24"/>
          <w:u w:val="single"/>
        </w:rPr>
        <w:t>注册地址</w:t>
      </w:r>
      <w:r>
        <w:rPr>
          <w:rFonts w:hint="eastAsia" w:ascii="Arial" w:hAnsi="Arial" w:cs="Arial"/>
          <w:color w:val="000000"/>
          <w:szCs w:val="24"/>
          <w:u w:val="single"/>
        </w:rPr>
        <w:t xml:space="preserve">】 </w:t>
      </w:r>
      <w:r>
        <w:rPr>
          <w:rFonts w:ascii="Arial" w:hAnsi="Arial" w:cs="Arial"/>
          <w:color w:val="000000"/>
          <w:szCs w:val="24"/>
          <w:u w:val="single"/>
        </w:rPr>
        <w:t xml:space="preserve"> </w:t>
      </w:r>
      <w:r>
        <w:rPr>
          <w:rFonts w:ascii="Arial" w:hAnsi="Arial" w:cs="Arial"/>
          <w:color w:val="000000"/>
          <w:szCs w:val="24"/>
        </w:rPr>
        <w:t>的</w:t>
      </w:r>
      <w:r>
        <w:rPr>
          <w:rFonts w:ascii="Arial" w:hAnsi="Arial" w:cs="Arial"/>
          <w:color w:val="000000"/>
          <w:szCs w:val="24"/>
          <w:u w:val="single"/>
        </w:rPr>
        <w:t xml:space="preserve">  </w:t>
      </w:r>
      <w:r>
        <w:rPr>
          <w:rFonts w:hint="eastAsia" w:ascii="Arial" w:hAnsi="Arial" w:cs="Arial"/>
          <w:color w:val="000000"/>
          <w:szCs w:val="24"/>
          <w:u w:val="single"/>
        </w:rPr>
        <w:t>【某某公司或某某单位】</w:t>
      </w:r>
      <w:r>
        <w:rPr>
          <w:rFonts w:ascii="Arial" w:hAnsi="Arial" w:cs="Arial"/>
          <w:color w:val="000000"/>
          <w:szCs w:val="24"/>
          <w:u w:val="single"/>
        </w:rPr>
        <w:t xml:space="preserve"> </w:t>
      </w:r>
      <w:r>
        <w:rPr>
          <w:rFonts w:ascii="Arial" w:hAnsi="Arial" w:cs="Arial"/>
          <w:color w:val="000000"/>
          <w:szCs w:val="24"/>
        </w:rPr>
        <w:t>的在下面签字的</w:t>
      </w:r>
      <w:r>
        <w:rPr>
          <w:rFonts w:ascii="Arial" w:hAnsi="Arial" w:cs="Arial"/>
          <w:color w:val="000000"/>
          <w:szCs w:val="24"/>
          <w:u w:val="single"/>
        </w:rPr>
        <w:t xml:space="preserve">   </w:t>
      </w:r>
      <w:r>
        <w:rPr>
          <w:rFonts w:hint="eastAsia" w:ascii="Arial" w:hAnsi="Arial" w:cs="Arial"/>
          <w:color w:val="000000"/>
          <w:szCs w:val="24"/>
          <w:u w:val="single"/>
        </w:rPr>
        <w:t>【</w:t>
      </w:r>
      <w:r>
        <w:rPr>
          <w:rFonts w:ascii="Arial" w:hAnsi="Arial" w:cs="Arial"/>
          <w:color w:val="000000"/>
          <w:szCs w:val="24"/>
          <w:u w:val="single"/>
        </w:rPr>
        <w:t>法定代表人或负责人姓名、职务</w:t>
      </w:r>
      <w:r>
        <w:rPr>
          <w:rFonts w:hint="eastAsia" w:ascii="Arial" w:hAnsi="Arial" w:cs="Arial"/>
          <w:color w:val="000000"/>
          <w:szCs w:val="24"/>
          <w:u w:val="single"/>
        </w:rPr>
        <w:t xml:space="preserve">】 </w:t>
      </w:r>
      <w:r>
        <w:rPr>
          <w:rFonts w:ascii="Arial" w:hAnsi="Arial" w:cs="Arial"/>
          <w:color w:val="000000"/>
          <w:szCs w:val="24"/>
        </w:rPr>
        <w:t>代表本</w:t>
      </w:r>
      <w:r>
        <w:rPr>
          <w:rFonts w:hint="eastAsia" w:ascii="Arial" w:hAnsi="Arial" w:cs="Arial"/>
          <w:color w:val="000000"/>
          <w:szCs w:val="24"/>
        </w:rPr>
        <w:t>单位</w:t>
      </w:r>
      <w:r>
        <w:rPr>
          <w:rFonts w:ascii="Arial" w:hAnsi="Arial" w:cs="Arial"/>
          <w:color w:val="000000"/>
          <w:szCs w:val="24"/>
        </w:rPr>
        <w:t>授权在下面签字的</w:t>
      </w:r>
      <w:r>
        <w:rPr>
          <w:rFonts w:hint="eastAsia" w:ascii="Arial" w:hAnsi="Arial" w:cs="Arial"/>
          <w:color w:val="000000"/>
          <w:szCs w:val="24"/>
          <w:u w:val="single"/>
        </w:rPr>
        <w:t>【</w:t>
      </w:r>
      <w:r>
        <w:rPr>
          <w:rFonts w:ascii="Arial" w:hAnsi="Arial" w:cs="Arial"/>
          <w:color w:val="000000"/>
          <w:szCs w:val="24"/>
          <w:u w:val="single"/>
        </w:rPr>
        <w:t>被授权人的姓名、职务</w:t>
      </w:r>
      <w:r>
        <w:rPr>
          <w:rFonts w:hint="eastAsia" w:ascii="Arial" w:hAnsi="Arial" w:cs="Arial"/>
          <w:color w:val="000000"/>
          <w:szCs w:val="24"/>
          <w:u w:val="single"/>
        </w:rPr>
        <w:t xml:space="preserve">】 </w:t>
      </w:r>
      <w:r>
        <w:rPr>
          <w:rFonts w:ascii="Arial" w:hAnsi="Arial" w:cs="Arial"/>
          <w:color w:val="000000"/>
          <w:szCs w:val="24"/>
        </w:rPr>
        <w:t>为本</w:t>
      </w:r>
      <w:r>
        <w:rPr>
          <w:rFonts w:hint="eastAsia" w:ascii="Arial" w:hAnsi="Arial" w:cs="Arial"/>
          <w:color w:val="000000"/>
          <w:szCs w:val="24"/>
        </w:rPr>
        <w:t>单位</w:t>
      </w:r>
      <w:r>
        <w:rPr>
          <w:rFonts w:ascii="Arial" w:hAnsi="Arial" w:cs="Arial"/>
          <w:color w:val="000000"/>
          <w:szCs w:val="24"/>
        </w:rPr>
        <w:t>的合法代理人，就</w:t>
      </w:r>
      <w:r>
        <w:rPr>
          <w:rFonts w:ascii="Arial" w:hAnsi="Arial" w:cs="Arial"/>
          <w:color w:val="000000"/>
          <w:szCs w:val="24"/>
          <w:u w:val="single"/>
        </w:rPr>
        <w:t xml:space="preserve"> </w:t>
      </w:r>
      <w:r>
        <w:rPr>
          <w:rFonts w:hint="eastAsia" w:ascii="Arial" w:hAnsi="Arial" w:cs="Arial"/>
          <w:color w:val="000000"/>
          <w:szCs w:val="24"/>
          <w:u w:val="single"/>
        </w:rPr>
        <w:t>【项目名称】</w:t>
      </w:r>
      <w:r>
        <w:rPr>
          <w:rFonts w:ascii="Arial" w:hAnsi="Arial" w:cs="Arial"/>
          <w:color w:val="000000"/>
          <w:szCs w:val="24"/>
          <w:u w:val="single"/>
        </w:rPr>
        <w:t xml:space="preserve"> </w:t>
      </w:r>
      <w:r>
        <w:rPr>
          <w:rFonts w:ascii="Arial" w:hAnsi="Arial" w:cs="Arial"/>
          <w:color w:val="000000"/>
          <w:szCs w:val="24"/>
        </w:rPr>
        <w:t>的投标及合同的执行，以本</w:t>
      </w:r>
      <w:r>
        <w:rPr>
          <w:rFonts w:hint="eastAsia" w:ascii="Arial" w:hAnsi="Arial" w:cs="Arial"/>
          <w:color w:val="000000"/>
          <w:szCs w:val="24"/>
        </w:rPr>
        <w:t>单位</w:t>
      </w:r>
      <w:r>
        <w:rPr>
          <w:rFonts w:ascii="Arial" w:hAnsi="Arial" w:cs="Arial"/>
          <w:color w:val="000000"/>
          <w:szCs w:val="24"/>
        </w:rPr>
        <w:t>名义处理一切与之有关的事务。</w:t>
      </w:r>
    </w:p>
    <w:p>
      <w:pPr>
        <w:spacing w:line="360" w:lineRule="auto"/>
        <w:ind w:firstLine="420"/>
        <w:rPr>
          <w:rFonts w:ascii="Arial" w:hAnsi="Arial" w:cs="Arial"/>
          <w:color w:val="000000"/>
          <w:szCs w:val="24"/>
        </w:rPr>
      </w:pPr>
      <w:r>
        <w:rPr>
          <w:rFonts w:ascii="Arial" w:hAnsi="Arial" w:cs="Arial"/>
          <w:color w:val="000000"/>
          <w:szCs w:val="24"/>
        </w:rPr>
        <w:t>本授权书于</w:t>
      </w:r>
      <w:r>
        <w:rPr>
          <w:rFonts w:ascii="Arial" w:hAnsi="Arial" w:cs="Arial"/>
          <w:color w:val="000000"/>
          <w:szCs w:val="24"/>
          <w:u w:val="single"/>
        </w:rPr>
        <w:t xml:space="preserve">     </w:t>
      </w:r>
      <w:r>
        <w:rPr>
          <w:rFonts w:ascii="Arial" w:hAnsi="Arial" w:cs="Arial"/>
          <w:color w:val="000000"/>
          <w:szCs w:val="24"/>
        </w:rPr>
        <w:t>年</w:t>
      </w:r>
      <w:r>
        <w:rPr>
          <w:rFonts w:ascii="Arial" w:hAnsi="Arial" w:cs="Arial"/>
          <w:color w:val="000000"/>
          <w:szCs w:val="24"/>
          <w:u w:val="single"/>
        </w:rPr>
        <w:t xml:space="preserve">     </w:t>
      </w:r>
      <w:r>
        <w:rPr>
          <w:rFonts w:ascii="Arial" w:hAnsi="Arial" w:cs="Arial"/>
          <w:color w:val="000000"/>
          <w:szCs w:val="24"/>
        </w:rPr>
        <w:t>月</w:t>
      </w:r>
      <w:r>
        <w:rPr>
          <w:rFonts w:ascii="Arial" w:hAnsi="Arial" w:cs="Arial"/>
          <w:color w:val="000000"/>
          <w:szCs w:val="24"/>
          <w:u w:val="single"/>
        </w:rPr>
        <w:t xml:space="preserve">     </w:t>
      </w:r>
      <w:r>
        <w:rPr>
          <w:rFonts w:ascii="Arial" w:hAnsi="Arial" w:cs="Arial"/>
          <w:color w:val="000000"/>
          <w:szCs w:val="24"/>
        </w:rPr>
        <w:t>日签字生效，特此声明。</w:t>
      </w:r>
    </w:p>
    <w:p>
      <w:pPr>
        <w:spacing w:line="360" w:lineRule="auto"/>
        <w:ind w:firstLine="420"/>
        <w:rPr>
          <w:rFonts w:ascii="Arial" w:hAnsi="Arial" w:cs="Arial"/>
          <w:color w:val="000000"/>
          <w:szCs w:val="24"/>
        </w:rPr>
      </w:pPr>
    </w:p>
    <w:p>
      <w:pPr>
        <w:spacing w:line="360" w:lineRule="auto"/>
        <w:ind w:firstLine="420"/>
        <w:rPr>
          <w:rFonts w:ascii="Arial" w:hAnsi="Arial" w:cs="Arial"/>
          <w:color w:val="000000"/>
          <w:szCs w:val="24"/>
        </w:rPr>
      </w:pPr>
      <w:r>
        <w:rPr>
          <w:rFonts w:ascii="Arial" w:hAnsi="Arial" w:cs="Arial"/>
          <w:color w:val="000000"/>
          <w:szCs w:val="24"/>
        </w:rPr>
        <w:t>法定代表人</w:t>
      </w:r>
      <w:r>
        <w:rPr>
          <w:rFonts w:hint="eastAsia" w:ascii="Arial" w:hAnsi="Arial" w:cs="Arial"/>
          <w:color w:val="000000"/>
          <w:szCs w:val="24"/>
        </w:rPr>
        <w:t>签署</w:t>
      </w:r>
      <w:r>
        <w:rPr>
          <w:rFonts w:ascii="Arial" w:hAnsi="Arial" w:cs="Arial"/>
          <w:color w:val="000000"/>
          <w:szCs w:val="24"/>
        </w:rPr>
        <w:t>：</w:t>
      </w:r>
      <w:r>
        <w:rPr>
          <w:rFonts w:ascii="Arial" w:hAnsi="Arial" w:cs="Arial"/>
          <w:color w:val="000000"/>
          <w:szCs w:val="24"/>
          <w:u w:val="single"/>
        </w:rPr>
        <w:t xml:space="preserve">                  </w:t>
      </w:r>
    </w:p>
    <w:p>
      <w:pPr>
        <w:spacing w:line="360" w:lineRule="auto"/>
        <w:ind w:firstLine="420"/>
        <w:rPr>
          <w:rFonts w:ascii="Arial" w:hAnsi="Arial" w:cs="Arial"/>
          <w:color w:val="000000"/>
          <w:szCs w:val="24"/>
        </w:rPr>
      </w:pPr>
      <w:r>
        <w:rPr>
          <w:rFonts w:hint="eastAsia" w:ascii="Arial" w:hAnsi="Arial" w:cs="Arial"/>
          <w:color w:val="000000"/>
          <w:szCs w:val="24"/>
        </w:rPr>
        <w:t>代理人</w:t>
      </w:r>
      <w:r>
        <w:rPr>
          <w:rFonts w:ascii="Arial" w:hAnsi="Arial" w:cs="Arial"/>
          <w:color w:val="000000"/>
          <w:szCs w:val="24"/>
        </w:rPr>
        <w:t>（被授权人）签字：</w:t>
      </w:r>
      <w:r>
        <w:rPr>
          <w:rFonts w:ascii="Arial" w:hAnsi="Arial" w:cs="Arial"/>
          <w:color w:val="000000"/>
          <w:szCs w:val="24"/>
          <w:u w:val="single"/>
        </w:rPr>
        <w:t xml:space="preserve">              </w:t>
      </w:r>
    </w:p>
    <w:p>
      <w:pPr>
        <w:spacing w:line="360" w:lineRule="auto"/>
        <w:ind w:firstLine="420"/>
        <w:rPr>
          <w:rFonts w:ascii="Arial" w:hAnsi="Arial" w:cs="Arial"/>
          <w:color w:val="000000"/>
          <w:szCs w:val="24"/>
        </w:rPr>
      </w:pPr>
      <w:r>
        <w:rPr>
          <w:rFonts w:hint="eastAsia" w:ascii="Arial" w:hAnsi="Arial" w:cs="Arial"/>
          <w:color w:val="000000"/>
          <w:szCs w:val="24"/>
        </w:rPr>
        <w:t>代理人</w:t>
      </w:r>
      <w:r>
        <w:rPr>
          <w:rFonts w:ascii="Arial" w:hAnsi="Arial" w:cs="Arial"/>
          <w:color w:val="000000"/>
          <w:szCs w:val="24"/>
        </w:rPr>
        <w:t>职务：</w:t>
      </w:r>
      <w:r>
        <w:rPr>
          <w:rFonts w:ascii="Arial" w:hAnsi="Arial" w:cs="Arial"/>
          <w:color w:val="000000"/>
          <w:szCs w:val="24"/>
          <w:u w:val="single"/>
        </w:rPr>
        <w:t xml:space="preserve">                                  </w:t>
      </w:r>
    </w:p>
    <w:p>
      <w:pPr>
        <w:spacing w:line="360" w:lineRule="auto"/>
        <w:ind w:firstLine="420"/>
        <w:rPr>
          <w:rFonts w:ascii="Arial" w:hAnsi="Arial" w:cs="Arial"/>
          <w:color w:val="000000"/>
          <w:szCs w:val="24"/>
        </w:rPr>
      </w:pPr>
      <w:r>
        <w:rPr>
          <w:rFonts w:ascii="Arial" w:hAnsi="Arial" w:cs="Arial"/>
          <w:color w:val="000000"/>
          <w:szCs w:val="24"/>
        </w:rPr>
        <w:t>单位名称（公章）：</w:t>
      </w:r>
      <w:r>
        <w:rPr>
          <w:rFonts w:ascii="Arial" w:hAnsi="Arial" w:cs="Arial"/>
          <w:color w:val="000000"/>
          <w:szCs w:val="24"/>
          <w:u w:val="single"/>
        </w:rPr>
        <w:t xml:space="preserve">                     </w:t>
      </w:r>
    </w:p>
    <w:p>
      <w:pPr>
        <w:spacing w:line="360" w:lineRule="auto"/>
      </w:pPr>
      <w:r>
        <w:rPr>
          <w:rFonts w:ascii="Arial" w:hAnsi="Arial" w:cs="Arial"/>
          <w:color w:val="000000"/>
          <w:szCs w:val="24"/>
        </w:rPr>
        <w:t>附： 法定代表人</w:t>
      </w:r>
      <w:r>
        <w:rPr>
          <w:rFonts w:hint="eastAsia" w:ascii="Arial" w:hAnsi="Arial" w:cs="Arial"/>
          <w:color w:val="000000"/>
          <w:szCs w:val="24"/>
        </w:rPr>
        <w:t>（</w:t>
      </w:r>
      <w:r>
        <w:rPr>
          <w:rFonts w:ascii="Arial" w:hAnsi="Arial" w:cs="Arial"/>
          <w:color w:val="000000"/>
          <w:szCs w:val="24"/>
        </w:rPr>
        <w:t>或负责人</w:t>
      </w:r>
      <w:r>
        <w:rPr>
          <w:rFonts w:hint="eastAsia" w:ascii="Arial" w:hAnsi="Arial" w:cs="Arial"/>
          <w:color w:val="000000"/>
          <w:szCs w:val="24"/>
        </w:rPr>
        <w:t>）</w:t>
      </w:r>
      <w:r>
        <w:rPr>
          <w:rFonts w:ascii="Arial" w:hAnsi="Arial" w:cs="Arial"/>
          <w:color w:val="000000"/>
          <w:szCs w:val="24"/>
        </w:rPr>
        <w:t>身份证复印件</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9" w:type="dxa"/>
            <w:vAlign w:val="center"/>
          </w:tcPr>
          <w:p>
            <w:pPr>
              <w:jc w:val="center"/>
            </w:pPr>
            <w:bookmarkStart w:id="206" w:name="_Hlk35634715"/>
            <w:r>
              <w:rPr>
                <w:rFonts w:hint="eastAsia"/>
              </w:rPr>
              <w:t>【法定代表人居民身份证复印件粘贴处】</w:t>
            </w:r>
          </w:p>
          <w:p>
            <w:pPr>
              <w:jc w:val="center"/>
            </w:pPr>
          </w:p>
          <w:p>
            <w:pPr>
              <w:jc w:val="center"/>
            </w:pPr>
          </w:p>
          <w:p>
            <w:pPr>
              <w:jc w:val="center"/>
            </w:pPr>
            <w:r>
              <w:rPr>
                <w:rFonts w:hint="eastAsia"/>
              </w:rPr>
              <w:t>【正面和反面 双面粘贴】</w:t>
            </w:r>
          </w:p>
          <w:p>
            <w:pPr>
              <w:jc w:val="center"/>
            </w:pPr>
          </w:p>
        </w:tc>
      </w:tr>
      <w:bookmarkEnd w:id="206"/>
    </w:tbl>
    <w:p>
      <w:pPr>
        <w:pStyle w:val="45"/>
        <w:ind w:firstLine="480"/>
      </w:pPr>
      <w:r>
        <w:rPr>
          <w:rFonts w:hint="eastAsia"/>
        </w:rPr>
        <w:t>被授权人身份证复印件</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9" w:type="dxa"/>
            <w:vAlign w:val="center"/>
          </w:tcPr>
          <w:p>
            <w:pPr>
              <w:jc w:val="center"/>
            </w:pPr>
            <w:r>
              <w:rPr>
                <w:rFonts w:hint="eastAsia"/>
              </w:rPr>
              <w:t>【被授权人（授权代表）居民身份证复印件粘贴处】</w:t>
            </w:r>
          </w:p>
          <w:p>
            <w:pPr>
              <w:jc w:val="center"/>
            </w:pPr>
          </w:p>
          <w:p>
            <w:pPr>
              <w:jc w:val="center"/>
            </w:pPr>
          </w:p>
          <w:p>
            <w:pPr>
              <w:jc w:val="center"/>
            </w:pPr>
            <w:r>
              <w:rPr>
                <w:rFonts w:hint="eastAsia"/>
              </w:rPr>
              <w:t>【正面和反面 双面粘贴】</w:t>
            </w:r>
          </w:p>
          <w:p>
            <w:pPr>
              <w:jc w:val="center"/>
            </w:pPr>
          </w:p>
        </w:tc>
      </w:tr>
    </w:tbl>
    <w:p>
      <w:pPr>
        <w:widowControl/>
        <w:adjustRightInd/>
        <w:snapToGrid/>
        <w:spacing w:line="240" w:lineRule="auto"/>
        <w:jc w:val="left"/>
      </w:pPr>
      <w:r>
        <w:br w:type="page"/>
      </w:r>
    </w:p>
    <w:bookmarkEnd w:id="200"/>
    <w:bookmarkEnd w:id="201"/>
    <w:bookmarkEnd w:id="202"/>
    <w:bookmarkEnd w:id="203"/>
    <w:bookmarkEnd w:id="204"/>
    <w:bookmarkEnd w:id="205"/>
    <w:p>
      <w:pPr>
        <w:pStyle w:val="4"/>
      </w:pPr>
      <w:bookmarkStart w:id="207" w:name="_Toc9470"/>
      <w:r>
        <w:rPr>
          <w:rFonts w:hint="eastAsia"/>
        </w:rPr>
        <w:t>附件</w:t>
      </w:r>
      <w:r>
        <w:t>7</w:t>
      </w:r>
      <w:r>
        <w:rPr>
          <w:rFonts w:hint="eastAsia"/>
        </w:rPr>
        <w:t xml:space="preserve"> 详细的技术服务响应</w:t>
      </w:r>
      <w:bookmarkEnd w:id="207"/>
    </w:p>
    <w:p>
      <w:pPr>
        <w:spacing w:line="360" w:lineRule="auto"/>
        <w:ind w:left="843" w:hanging="843"/>
        <w:jc w:val="center"/>
        <w:rPr>
          <w:rFonts w:hAnsi="宋体" w:cs="Times New Roman"/>
          <w:b/>
          <w:color w:val="000000"/>
          <w:sz w:val="28"/>
          <w:szCs w:val="28"/>
        </w:rPr>
      </w:pPr>
      <w:r>
        <w:rPr>
          <w:rFonts w:hint="eastAsia" w:hAnsi="宋体" w:cs="Times New Roman"/>
          <w:b/>
          <w:color w:val="000000"/>
          <w:sz w:val="28"/>
          <w:szCs w:val="28"/>
        </w:rPr>
        <w:t>投标人技术响应</w:t>
      </w:r>
    </w:p>
    <w:p>
      <w:pPr>
        <w:pStyle w:val="45"/>
        <w:ind w:firstLine="480"/>
        <w:rPr>
          <w:color w:val="auto"/>
        </w:rPr>
      </w:pPr>
      <w:r>
        <w:rPr>
          <w:rFonts w:hint="eastAsia"/>
        </w:rPr>
        <w:t>【投标人对照招标文件第三章评分标准和第四章技术服务需求编写响应技术文件。由投标人自行编制，须对招标文件的所有相关技术服务需求要</w:t>
      </w:r>
      <w:r>
        <w:rPr>
          <w:rFonts w:hint="eastAsia"/>
          <w:color w:val="auto"/>
        </w:rPr>
        <w:t>求作出详尽响应。】</w:t>
      </w:r>
    </w:p>
    <w:p>
      <w:pPr>
        <w:pStyle w:val="45"/>
        <w:ind w:firstLine="480"/>
        <w:rPr>
          <w:color w:val="auto"/>
        </w:rPr>
      </w:pPr>
      <w:r>
        <w:rPr>
          <w:rFonts w:hint="eastAsia"/>
          <w:color w:val="auto"/>
        </w:rPr>
        <w:t>【拟派实施人员相关内容请按附件</w:t>
      </w:r>
      <w:r>
        <w:rPr>
          <w:color w:val="auto"/>
        </w:rPr>
        <w:t>7</w:t>
      </w:r>
      <w:r>
        <w:rPr>
          <w:rFonts w:hint="eastAsia"/>
          <w:color w:val="auto"/>
        </w:rPr>
        <w:t>-</w:t>
      </w:r>
      <w:r>
        <w:rPr>
          <w:color w:val="auto"/>
        </w:rPr>
        <w:t>1</w:t>
      </w:r>
      <w:r>
        <w:rPr>
          <w:rFonts w:hint="eastAsia"/>
          <w:color w:val="auto"/>
        </w:rPr>
        <w:t>和</w:t>
      </w:r>
      <w:r>
        <w:rPr>
          <w:color w:val="auto"/>
        </w:rPr>
        <w:t>7</w:t>
      </w:r>
      <w:r>
        <w:rPr>
          <w:rFonts w:hint="eastAsia"/>
          <w:color w:val="auto"/>
        </w:rPr>
        <w:t>-</w:t>
      </w:r>
      <w:r>
        <w:rPr>
          <w:color w:val="auto"/>
        </w:rPr>
        <w:t>2</w:t>
      </w:r>
      <w:r>
        <w:rPr>
          <w:rFonts w:hint="eastAsia"/>
          <w:color w:val="auto"/>
        </w:rPr>
        <w:t>格式填写，以便评标时查阅。】</w:t>
      </w:r>
    </w:p>
    <w:p>
      <w:pPr>
        <w:pStyle w:val="44"/>
      </w:pPr>
      <w:bookmarkStart w:id="208" w:name="_Toc6152"/>
      <w:bookmarkStart w:id="209" w:name="_Toc451786889"/>
      <w:r>
        <w:t>7</w:t>
      </w:r>
      <w:r>
        <w:rPr>
          <w:rFonts w:hint="eastAsia"/>
        </w:rPr>
        <w:t>-</w:t>
      </w:r>
      <w:r>
        <w:t>1</w:t>
      </w:r>
      <w:r>
        <w:rPr>
          <w:rFonts w:hint="eastAsia"/>
        </w:rPr>
        <w:t>、拟派实施人员汇总表格式</w:t>
      </w:r>
      <w:bookmarkEnd w:id="208"/>
    </w:p>
    <w:p>
      <w:pPr>
        <w:spacing w:line="360" w:lineRule="auto"/>
        <w:jc w:val="center"/>
        <w:rPr>
          <w:rFonts w:hAnsi="Calibri" w:cs="Times New Roman"/>
          <w:b/>
          <w:bCs/>
        </w:rPr>
      </w:pPr>
      <w:r>
        <w:rPr>
          <w:rFonts w:hint="eastAsia" w:hAnsi="Calibri" w:cs="Times New Roman"/>
          <w:b/>
          <w:bCs/>
        </w:rPr>
        <w:t>拟派实施人员汇总表</w:t>
      </w:r>
      <w:bookmarkEnd w:id="209"/>
    </w:p>
    <w:tbl>
      <w:tblPr>
        <w:tblStyle w:val="1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1702"/>
        <w:gridCol w:w="2693"/>
        <w:gridCol w:w="1773"/>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92" w:type="dxa"/>
            <w:vAlign w:val="center"/>
          </w:tcPr>
          <w:p>
            <w:r>
              <w:rPr>
                <w:rFonts w:hint="eastAsia"/>
              </w:rPr>
              <w:t>姓名</w:t>
            </w:r>
          </w:p>
        </w:tc>
        <w:tc>
          <w:tcPr>
            <w:tcW w:w="1702" w:type="dxa"/>
            <w:vAlign w:val="center"/>
          </w:tcPr>
          <w:p>
            <w:r>
              <w:rPr>
                <w:rFonts w:hint="eastAsia"/>
              </w:rPr>
              <w:t>联系方式</w:t>
            </w:r>
          </w:p>
        </w:tc>
        <w:tc>
          <w:tcPr>
            <w:tcW w:w="2693" w:type="dxa"/>
            <w:vAlign w:val="center"/>
          </w:tcPr>
          <w:p>
            <w:r>
              <w:rPr>
                <w:rFonts w:hint="eastAsia"/>
              </w:rPr>
              <w:t>本项目中拟任岗位</w:t>
            </w:r>
          </w:p>
        </w:tc>
        <w:tc>
          <w:tcPr>
            <w:tcW w:w="1773" w:type="dxa"/>
            <w:vAlign w:val="center"/>
          </w:tcPr>
          <w:p>
            <w:r>
              <w:rPr>
                <w:rFonts w:hint="eastAsia"/>
              </w:rPr>
              <w:t>相关资质认证</w:t>
            </w:r>
          </w:p>
        </w:tc>
        <w:tc>
          <w:tcPr>
            <w:tcW w:w="2126" w:type="dxa"/>
            <w:vAlign w:val="center"/>
          </w:tcPr>
          <w:p>
            <w:r>
              <w:rPr>
                <w:rFonts w:hint="eastAsia"/>
              </w:rPr>
              <w:t>主要项目经验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bl>
    <w:p/>
    <w:p/>
    <w:p>
      <w:pPr>
        <w:rPr>
          <w:rFonts w:hAnsi="Calibri" w:cs="Times New Roman"/>
        </w:rPr>
      </w:pPr>
    </w:p>
    <w:p>
      <w:pPr>
        <w:widowControl/>
        <w:adjustRightInd/>
        <w:snapToGrid/>
        <w:spacing w:line="240" w:lineRule="auto"/>
        <w:jc w:val="left"/>
        <w:rPr>
          <w:rFonts w:hAnsi="Calibri" w:cs="Times New Roman"/>
        </w:rPr>
      </w:pPr>
      <w:r>
        <w:rPr>
          <w:rFonts w:hAnsi="Calibri" w:cs="Times New Roman"/>
        </w:rPr>
        <w:br w:type="page"/>
      </w:r>
    </w:p>
    <w:p>
      <w:pPr>
        <w:pStyle w:val="44"/>
      </w:pPr>
      <w:bookmarkStart w:id="210" w:name="_Toc19496"/>
      <w:bookmarkStart w:id="211" w:name="_Toc451786890"/>
      <w:r>
        <w:t>7</w:t>
      </w:r>
      <w:r>
        <w:rPr>
          <w:rFonts w:hint="eastAsia"/>
        </w:rPr>
        <w:t>-</w:t>
      </w:r>
      <w:r>
        <w:t>2</w:t>
      </w:r>
      <w:r>
        <w:rPr>
          <w:rFonts w:hint="eastAsia"/>
        </w:rPr>
        <w:t>、拟派实施人员简历格式</w:t>
      </w:r>
      <w:bookmarkEnd w:id="210"/>
    </w:p>
    <w:p>
      <w:pPr>
        <w:spacing w:line="360" w:lineRule="auto"/>
        <w:jc w:val="center"/>
        <w:rPr>
          <w:rFonts w:hAnsi="Calibri" w:cs="Times New Roman"/>
          <w:b/>
          <w:bCs/>
        </w:rPr>
      </w:pPr>
      <w:r>
        <w:rPr>
          <w:rFonts w:hint="eastAsia" w:hAnsi="Calibri" w:cs="Times New Roman"/>
          <w:b/>
          <w:bCs/>
        </w:rPr>
        <w:t>人员简历</w:t>
      </w:r>
      <w:bookmarkEnd w:id="211"/>
    </w:p>
    <w:tbl>
      <w:tblPr>
        <w:tblStyle w:val="19"/>
        <w:tblW w:w="8931"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35"/>
        <w:gridCol w:w="30"/>
        <w:gridCol w:w="1645"/>
        <w:gridCol w:w="1701"/>
        <w:gridCol w:w="1359"/>
        <w:gridCol w:w="1051"/>
        <w:gridCol w:w="566"/>
        <w:gridCol w:w="18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35" w:type="dxa"/>
            <w:vAlign w:val="center"/>
          </w:tcPr>
          <w:p>
            <w:r>
              <w:rPr>
                <w:rFonts w:hint="eastAsia"/>
              </w:rPr>
              <w:t>姓名</w:t>
            </w:r>
          </w:p>
        </w:tc>
        <w:tc>
          <w:tcPr>
            <w:tcW w:w="1675" w:type="dxa"/>
            <w:gridSpan w:val="2"/>
            <w:vAlign w:val="center"/>
          </w:tcPr>
          <w:p/>
        </w:tc>
        <w:tc>
          <w:tcPr>
            <w:tcW w:w="1701" w:type="dxa"/>
            <w:vAlign w:val="center"/>
          </w:tcPr>
          <w:p>
            <w:r>
              <w:rPr>
                <w:rFonts w:hint="eastAsia"/>
              </w:rPr>
              <w:t>职务</w:t>
            </w:r>
          </w:p>
        </w:tc>
        <w:tc>
          <w:tcPr>
            <w:tcW w:w="1359" w:type="dxa"/>
            <w:vAlign w:val="center"/>
          </w:tcPr>
          <w:p/>
        </w:tc>
        <w:tc>
          <w:tcPr>
            <w:tcW w:w="1617" w:type="dxa"/>
            <w:gridSpan w:val="2"/>
            <w:vAlign w:val="center"/>
          </w:tcPr>
          <w:p>
            <w:r>
              <w:rPr>
                <w:rFonts w:hint="eastAsia"/>
              </w:rPr>
              <w:t>职称</w:t>
            </w:r>
          </w:p>
        </w:tc>
        <w:tc>
          <w:tcPr>
            <w:tcW w:w="1844"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35" w:type="dxa"/>
            <w:vAlign w:val="center"/>
          </w:tcPr>
          <w:p>
            <w:r>
              <w:rPr>
                <w:rFonts w:hint="eastAsia"/>
              </w:rPr>
              <w:t>年龄</w:t>
            </w:r>
          </w:p>
        </w:tc>
        <w:tc>
          <w:tcPr>
            <w:tcW w:w="1675" w:type="dxa"/>
            <w:gridSpan w:val="2"/>
            <w:vAlign w:val="center"/>
          </w:tcPr>
          <w:p/>
        </w:tc>
        <w:tc>
          <w:tcPr>
            <w:tcW w:w="1701" w:type="dxa"/>
            <w:vAlign w:val="center"/>
          </w:tcPr>
          <w:p>
            <w:r>
              <w:rPr>
                <w:rFonts w:hint="eastAsia"/>
              </w:rPr>
              <w:t>本项目拟任职</w:t>
            </w:r>
          </w:p>
        </w:tc>
        <w:tc>
          <w:tcPr>
            <w:tcW w:w="1359" w:type="dxa"/>
            <w:vAlign w:val="center"/>
          </w:tcPr>
          <w:p/>
        </w:tc>
        <w:tc>
          <w:tcPr>
            <w:tcW w:w="1617" w:type="dxa"/>
            <w:gridSpan w:val="2"/>
            <w:vAlign w:val="center"/>
          </w:tcPr>
          <w:p>
            <w:r>
              <w:rPr>
                <w:rFonts w:hint="eastAsia"/>
              </w:rPr>
              <w:t>单位任职时间</w:t>
            </w:r>
          </w:p>
        </w:tc>
        <w:tc>
          <w:tcPr>
            <w:tcW w:w="1844"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r>
              <w:rPr>
                <w:rFonts w:hint="eastAsia"/>
              </w:rPr>
              <w:t>学历（毕业学校、时间、专业）：</w:t>
            </w:r>
          </w:p>
          <w:p/>
          <w:p/>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r>
              <w:rPr>
                <w:rFonts w:hint="eastAsia"/>
              </w:rPr>
              <w:t>取得的专业认证、资质情况：</w:t>
            </w:r>
          </w:p>
          <w:p/>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r>
              <w:rPr>
                <w:rFonts w:hint="eastAsia"/>
              </w:rPr>
              <w:t>人员优势及特长：</w:t>
            </w:r>
          </w:p>
          <w:p/>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r>
              <w:rPr>
                <w:rFonts w:hint="eastAsia"/>
              </w:rPr>
              <w:t>人员其他情况介绍：</w:t>
            </w:r>
          </w:p>
          <w:p/>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pPr>
              <w:jc w:val="center"/>
            </w:pPr>
            <w:r>
              <w:rPr>
                <w:rFonts w:hint="eastAsia"/>
              </w:rPr>
              <w:t>人员业绩情况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pPr>
              <w:spacing w:line="240" w:lineRule="auto"/>
            </w:pPr>
            <w:r>
              <w:rPr>
                <w:rFonts w:hint="eastAsia"/>
              </w:rPr>
              <w:t>年份</w:t>
            </w:r>
          </w:p>
        </w:tc>
        <w:tc>
          <w:tcPr>
            <w:tcW w:w="5756" w:type="dxa"/>
            <w:gridSpan w:val="4"/>
            <w:vAlign w:val="center"/>
          </w:tcPr>
          <w:p>
            <w:pPr>
              <w:spacing w:line="240" w:lineRule="auto"/>
            </w:pPr>
            <w:r>
              <w:rPr>
                <w:rFonts w:hint="eastAsia"/>
              </w:rPr>
              <w:t>最近参加过的主要项目名称</w:t>
            </w:r>
          </w:p>
        </w:tc>
        <w:tc>
          <w:tcPr>
            <w:tcW w:w="2410" w:type="dxa"/>
            <w:gridSpan w:val="2"/>
            <w:vAlign w:val="center"/>
          </w:tcPr>
          <w:p>
            <w:pPr>
              <w:spacing w:line="240" w:lineRule="auto"/>
            </w:pPr>
            <w:r>
              <w:rPr>
                <w:rFonts w:hint="eastAsia"/>
              </w:rPr>
              <w:t>担任职务或承担的主要工作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tc>
        <w:tc>
          <w:tcPr>
            <w:tcW w:w="5756" w:type="dxa"/>
            <w:gridSpan w:val="4"/>
            <w:vAlign w:val="center"/>
          </w:tcPr>
          <w:p/>
        </w:tc>
        <w:tc>
          <w:tcPr>
            <w:tcW w:w="2410" w:type="dxa"/>
            <w:gridSpan w:val="2"/>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tc>
        <w:tc>
          <w:tcPr>
            <w:tcW w:w="5756" w:type="dxa"/>
            <w:gridSpan w:val="4"/>
            <w:vAlign w:val="center"/>
          </w:tcPr>
          <w:p/>
        </w:tc>
        <w:tc>
          <w:tcPr>
            <w:tcW w:w="2410" w:type="dxa"/>
            <w:gridSpan w:val="2"/>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tc>
        <w:tc>
          <w:tcPr>
            <w:tcW w:w="5756" w:type="dxa"/>
            <w:gridSpan w:val="4"/>
            <w:vAlign w:val="center"/>
          </w:tcPr>
          <w:p/>
        </w:tc>
        <w:tc>
          <w:tcPr>
            <w:tcW w:w="2410" w:type="dxa"/>
            <w:gridSpan w:val="2"/>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tc>
        <w:tc>
          <w:tcPr>
            <w:tcW w:w="5756" w:type="dxa"/>
            <w:gridSpan w:val="4"/>
            <w:vAlign w:val="center"/>
          </w:tcPr>
          <w:p/>
        </w:tc>
        <w:tc>
          <w:tcPr>
            <w:tcW w:w="2410" w:type="dxa"/>
            <w:gridSpan w:val="2"/>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tc>
        <w:tc>
          <w:tcPr>
            <w:tcW w:w="5756" w:type="dxa"/>
            <w:gridSpan w:val="4"/>
            <w:vAlign w:val="center"/>
          </w:tcPr>
          <w:p/>
        </w:tc>
        <w:tc>
          <w:tcPr>
            <w:tcW w:w="2410" w:type="dxa"/>
            <w:gridSpan w:val="2"/>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tc>
        <w:tc>
          <w:tcPr>
            <w:tcW w:w="5756" w:type="dxa"/>
            <w:gridSpan w:val="4"/>
            <w:vAlign w:val="center"/>
          </w:tcPr>
          <w:p/>
        </w:tc>
        <w:tc>
          <w:tcPr>
            <w:tcW w:w="2410" w:type="dxa"/>
            <w:gridSpan w:val="2"/>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tc>
        <w:tc>
          <w:tcPr>
            <w:tcW w:w="5756" w:type="dxa"/>
            <w:gridSpan w:val="4"/>
            <w:vAlign w:val="center"/>
          </w:tcPr>
          <w:p/>
        </w:tc>
        <w:tc>
          <w:tcPr>
            <w:tcW w:w="2410" w:type="dxa"/>
            <w:gridSpan w:val="2"/>
            <w:vAlign w:val="center"/>
          </w:tcPr>
          <w:p/>
        </w:tc>
      </w:tr>
    </w:tbl>
    <w:p>
      <w:r>
        <w:rPr>
          <w:rFonts w:hint="eastAsia"/>
        </w:rPr>
        <w:t>注：按照评分标准细则要求提供人员相关证明文件（如有）。</w:t>
      </w:r>
    </w:p>
    <w:p>
      <w:pPr>
        <w:widowControl/>
        <w:adjustRightInd/>
        <w:snapToGrid/>
        <w:spacing w:line="240" w:lineRule="auto"/>
        <w:jc w:val="left"/>
      </w:pPr>
    </w:p>
    <w:p>
      <w:pPr>
        <w:widowControl/>
        <w:adjustRightInd/>
        <w:snapToGrid/>
        <w:spacing w:line="240" w:lineRule="auto"/>
        <w:jc w:val="left"/>
      </w:pPr>
    </w:p>
    <w:p>
      <w:pPr>
        <w:widowControl/>
        <w:adjustRightInd/>
        <w:snapToGrid/>
        <w:spacing w:line="240" w:lineRule="auto"/>
        <w:jc w:val="left"/>
        <w:rPr>
          <w:rFonts w:hAnsi="宋体" w:cs="Times New Roman"/>
          <w:b/>
          <w:bCs/>
          <w:sz w:val="28"/>
          <w:szCs w:val="32"/>
        </w:rPr>
      </w:pPr>
      <w:r>
        <w:br w:type="page"/>
      </w:r>
    </w:p>
    <w:p>
      <w:pPr>
        <w:pStyle w:val="4"/>
      </w:pPr>
      <w:bookmarkStart w:id="212" w:name="_Toc18749"/>
      <w:r>
        <w:rPr>
          <w:rFonts w:hint="eastAsia"/>
        </w:rPr>
        <w:t>附件</w:t>
      </w:r>
      <w:r>
        <w:t>8</w:t>
      </w:r>
      <w:r>
        <w:rPr>
          <w:rFonts w:hint="eastAsia"/>
        </w:rPr>
        <w:t xml:space="preserve"> 相关评审证明材料以及</w:t>
      </w:r>
      <w:r>
        <w:t>其他材料</w:t>
      </w:r>
      <w:bookmarkEnd w:id="212"/>
    </w:p>
    <w:p/>
    <w:p>
      <w:pPr>
        <w:pStyle w:val="44"/>
      </w:pPr>
      <w:bookmarkStart w:id="213" w:name="_Toc529"/>
      <w:r>
        <w:t>8</w:t>
      </w:r>
      <w:r>
        <w:rPr>
          <w:rFonts w:hint="eastAsia"/>
        </w:rPr>
        <w:t>-1、相关业绩表建议格式</w:t>
      </w:r>
      <w:bookmarkEnd w:id="213"/>
    </w:p>
    <w:tbl>
      <w:tblPr>
        <w:tblStyle w:val="19"/>
        <w:tblW w:w="95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3"/>
        <w:gridCol w:w="1379"/>
        <w:gridCol w:w="782"/>
        <w:gridCol w:w="1355"/>
        <w:gridCol w:w="811"/>
        <w:gridCol w:w="992"/>
        <w:gridCol w:w="1276"/>
        <w:gridCol w:w="1417"/>
        <w:gridCol w:w="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43" w:type="dxa"/>
            <w:vAlign w:val="center"/>
          </w:tcPr>
          <w:p>
            <w:pPr>
              <w:spacing w:line="240" w:lineRule="auto"/>
              <w:jc w:val="center"/>
            </w:pPr>
            <w:bookmarkStart w:id="214" w:name="_Hlk108545644"/>
            <w:r>
              <w:rPr>
                <w:rFonts w:hint="eastAsia"/>
              </w:rPr>
              <w:t>序号</w:t>
            </w:r>
          </w:p>
        </w:tc>
        <w:tc>
          <w:tcPr>
            <w:tcW w:w="1379" w:type="dxa"/>
            <w:vAlign w:val="center"/>
          </w:tcPr>
          <w:p>
            <w:pPr>
              <w:spacing w:line="240" w:lineRule="auto"/>
              <w:jc w:val="center"/>
            </w:pPr>
            <w:r>
              <w:rPr>
                <w:rFonts w:hint="eastAsia"/>
              </w:rPr>
              <w:t>案例项目名称</w:t>
            </w:r>
          </w:p>
        </w:tc>
        <w:tc>
          <w:tcPr>
            <w:tcW w:w="782" w:type="dxa"/>
            <w:vAlign w:val="center"/>
          </w:tcPr>
          <w:p>
            <w:pPr>
              <w:spacing w:line="240" w:lineRule="auto"/>
              <w:jc w:val="center"/>
            </w:pPr>
            <w:r>
              <w:rPr>
                <w:rFonts w:hint="eastAsia"/>
              </w:rPr>
              <w:t>合同</w:t>
            </w:r>
          </w:p>
          <w:p>
            <w:pPr>
              <w:spacing w:line="240" w:lineRule="auto"/>
              <w:jc w:val="center"/>
            </w:pPr>
            <w:r>
              <w:rPr>
                <w:rFonts w:hint="eastAsia"/>
              </w:rPr>
              <w:t>金额</w:t>
            </w:r>
          </w:p>
        </w:tc>
        <w:tc>
          <w:tcPr>
            <w:tcW w:w="1355" w:type="dxa"/>
          </w:tcPr>
          <w:p>
            <w:pPr>
              <w:spacing w:line="240" w:lineRule="auto"/>
              <w:jc w:val="center"/>
            </w:pPr>
            <w:r>
              <w:rPr>
                <w:rFonts w:hint="eastAsia"/>
              </w:rPr>
              <w:t>合同主要标的名称</w:t>
            </w:r>
          </w:p>
        </w:tc>
        <w:tc>
          <w:tcPr>
            <w:tcW w:w="811" w:type="dxa"/>
          </w:tcPr>
          <w:p>
            <w:pPr>
              <w:spacing w:line="240" w:lineRule="auto"/>
              <w:jc w:val="center"/>
            </w:pPr>
            <w:r>
              <w:rPr>
                <w:rFonts w:hint="eastAsia"/>
              </w:rPr>
              <w:t>使用单位</w:t>
            </w:r>
          </w:p>
        </w:tc>
        <w:tc>
          <w:tcPr>
            <w:tcW w:w="992" w:type="dxa"/>
          </w:tcPr>
          <w:p>
            <w:pPr>
              <w:spacing w:line="240" w:lineRule="auto"/>
              <w:jc w:val="center"/>
            </w:pPr>
            <w:r>
              <w:rPr>
                <w:rFonts w:hint="eastAsia"/>
              </w:rPr>
              <w:t>合同签订日期</w:t>
            </w:r>
          </w:p>
        </w:tc>
        <w:tc>
          <w:tcPr>
            <w:tcW w:w="1276" w:type="dxa"/>
            <w:vAlign w:val="center"/>
          </w:tcPr>
          <w:p>
            <w:pPr>
              <w:spacing w:line="240" w:lineRule="auto"/>
              <w:jc w:val="center"/>
            </w:pPr>
            <w:r>
              <w:rPr>
                <w:rFonts w:hint="eastAsia"/>
              </w:rPr>
              <w:t>案例概况简介</w:t>
            </w:r>
          </w:p>
        </w:tc>
        <w:tc>
          <w:tcPr>
            <w:tcW w:w="1417" w:type="dxa"/>
            <w:vAlign w:val="center"/>
          </w:tcPr>
          <w:p>
            <w:pPr>
              <w:spacing w:line="240" w:lineRule="auto"/>
              <w:jc w:val="center"/>
            </w:pPr>
            <w:r>
              <w:rPr>
                <w:rFonts w:hint="eastAsia"/>
              </w:rPr>
              <w:t>业绩证明材料所在页码</w:t>
            </w:r>
          </w:p>
        </w:tc>
        <w:tc>
          <w:tcPr>
            <w:tcW w:w="808" w:type="dxa"/>
            <w:vAlign w:val="center"/>
          </w:tcPr>
          <w:p>
            <w:pPr>
              <w:spacing w:line="240" w:lineRule="auto"/>
              <w:jc w:val="center"/>
            </w:pPr>
            <w:r>
              <w:rPr>
                <w:rFonts w:hint="eastAsia"/>
              </w:rPr>
              <w:t>其他说明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pPr>
              <w:spacing w:line="240" w:lineRule="auto"/>
            </w:pPr>
            <w:r>
              <w:rPr>
                <w:rFonts w:hint="eastAsia"/>
              </w:rPr>
              <w:t>1</w:t>
            </w:r>
          </w:p>
        </w:tc>
        <w:tc>
          <w:tcPr>
            <w:tcW w:w="1379" w:type="dxa"/>
          </w:tcPr>
          <w:p>
            <w:pPr>
              <w:spacing w:line="240" w:lineRule="auto"/>
            </w:pPr>
          </w:p>
        </w:tc>
        <w:tc>
          <w:tcPr>
            <w:tcW w:w="782" w:type="dxa"/>
          </w:tcPr>
          <w:p>
            <w:pPr>
              <w:spacing w:line="240" w:lineRule="auto"/>
            </w:pPr>
          </w:p>
        </w:tc>
        <w:tc>
          <w:tcPr>
            <w:tcW w:w="1355" w:type="dxa"/>
          </w:tcPr>
          <w:p>
            <w:pPr>
              <w:spacing w:line="240" w:lineRule="auto"/>
            </w:pPr>
          </w:p>
        </w:tc>
        <w:tc>
          <w:tcPr>
            <w:tcW w:w="811" w:type="dxa"/>
          </w:tcPr>
          <w:p>
            <w:pPr>
              <w:spacing w:line="240" w:lineRule="auto"/>
            </w:pPr>
          </w:p>
        </w:tc>
        <w:tc>
          <w:tcPr>
            <w:tcW w:w="992" w:type="dxa"/>
          </w:tcPr>
          <w:p>
            <w:pPr>
              <w:spacing w:line="240" w:lineRule="auto"/>
            </w:pPr>
          </w:p>
        </w:tc>
        <w:tc>
          <w:tcPr>
            <w:tcW w:w="1276" w:type="dxa"/>
          </w:tcPr>
          <w:p>
            <w:pPr>
              <w:spacing w:line="240" w:lineRule="auto"/>
            </w:pPr>
          </w:p>
        </w:tc>
        <w:tc>
          <w:tcPr>
            <w:tcW w:w="1417" w:type="dxa"/>
          </w:tcPr>
          <w:p>
            <w:pPr>
              <w:spacing w:line="240" w:lineRule="auto"/>
            </w:pPr>
          </w:p>
        </w:tc>
        <w:tc>
          <w:tcPr>
            <w:tcW w:w="808" w:type="dxa"/>
          </w:tcPr>
          <w:p>
            <w:pPr>
              <w:spacing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pPr>
              <w:spacing w:line="240" w:lineRule="auto"/>
            </w:pPr>
            <w:r>
              <w:rPr>
                <w:rFonts w:hint="eastAsia"/>
              </w:rPr>
              <w:t>2</w:t>
            </w:r>
          </w:p>
        </w:tc>
        <w:tc>
          <w:tcPr>
            <w:tcW w:w="1379" w:type="dxa"/>
          </w:tcPr>
          <w:p>
            <w:pPr>
              <w:spacing w:line="240" w:lineRule="auto"/>
            </w:pPr>
          </w:p>
        </w:tc>
        <w:tc>
          <w:tcPr>
            <w:tcW w:w="782" w:type="dxa"/>
          </w:tcPr>
          <w:p>
            <w:pPr>
              <w:spacing w:line="240" w:lineRule="auto"/>
            </w:pPr>
          </w:p>
        </w:tc>
        <w:tc>
          <w:tcPr>
            <w:tcW w:w="1355" w:type="dxa"/>
          </w:tcPr>
          <w:p>
            <w:pPr>
              <w:spacing w:line="240" w:lineRule="auto"/>
            </w:pPr>
          </w:p>
        </w:tc>
        <w:tc>
          <w:tcPr>
            <w:tcW w:w="811" w:type="dxa"/>
          </w:tcPr>
          <w:p>
            <w:pPr>
              <w:spacing w:line="240" w:lineRule="auto"/>
            </w:pPr>
          </w:p>
        </w:tc>
        <w:tc>
          <w:tcPr>
            <w:tcW w:w="992" w:type="dxa"/>
          </w:tcPr>
          <w:p>
            <w:pPr>
              <w:spacing w:line="240" w:lineRule="auto"/>
            </w:pPr>
          </w:p>
        </w:tc>
        <w:tc>
          <w:tcPr>
            <w:tcW w:w="1276" w:type="dxa"/>
          </w:tcPr>
          <w:p>
            <w:pPr>
              <w:spacing w:line="240" w:lineRule="auto"/>
            </w:pPr>
          </w:p>
        </w:tc>
        <w:tc>
          <w:tcPr>
            <w:tcW w:w="1417" w:type="dxa"/>
          </w:tcPr>
          <w:p>
            <w:pPr>
              <w:spacing w:line="240" w:lineRule="auto"/>
            </w:pPr>
          </w:p>
        </w:tc>
        <w:tc>
          <w:tcPr>
            <w:tcW w:w="808" w:type="dxa"/>
          </w:tcPr>
          <w:p>
            <w:pPr>
              <w:spacing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pPr>
              <w:spacing w:line="240" w:lineRule="auto"/>
            </w:pPr>
            <w:r>
              <w:rPr>
                <w:rFonts w:hint="eastAsia"/>
              </w:rPr>
              <w:t>3</w:t>
            </w:r>
          </w:p>
        </w:tc>
        <w:tc>
          <w:tcPr>
            <w:tcW w:w="1379" w:type="dxa"/>
          </w:tcPr>
          <w:p>
            <w:pPr>
              <w:spacing w:line="240" w:lineRule="auto"/>
            </w:pPr>
          </w:p>
        </w:tc>
        <w:tc>
          <w:tcPr>
            <w:tcW w:w="782" w:type="dxa"/>
          </w:tcPr>
          <w:p>
            <w:pPr>
              <w:spacing w:line="240" w:lineRule="auto"/>
            </w:pPr>
          </w:p>
        </w:tc>
        <w:tc>
          <w:tcPr>
            <w:tcW w:w="1355" w:type="dxa"/>
          </w:tcPr>
          <w:p>
            <w:pPr>
              <w:spacing w:line="240" w:lineRule="auto"/>
            </w:pPr>
          </w:p>
        </w:tc>
        <w:tc>
          <w:tcPr>
            <w:tcW w:w="811" w:type="dxa"/>
          </w:tcPr>
          <w:p>
            <w:pPr>
              <w:spacing w:line="240" w:lineRule="auto"/>
            </w:pPr>
          </w:p>
        </w:tc>
        <w:tc>
          <w:tcPr>
            <w:tcW w:w="992" w:type="dxa"/>
          </w:tcPr>
          <w:p>
            <w:pPr>
              <w:spacing w:line="240" w:lineRule="auto"/>
            </w:pPr>
          </w:p>
        </w:tc>
        <w:tc>
          <w:tcPr>
            <w:tcW w:w="1276" w:type="dxa"/>
          </w:tcPr>
          <w:p>
            <w:pPr>
              <w:spacing w:line="240" w:lineRule="auto"/>
            </w:pPr>
          </w:p>
        </w:tc>
        <w:tc>
          <w:tcPr>
            <w:tcW w:w="1417" w:type="dxa"/>
          </w:tcPr>
          <w:p>
            <w:pPr>
              <w:spacing w:line="240" w:lineRule="auto"/>
            </w:pPr>
          </w:p>
        </w:tc>
        <w:tc>
          <w:tcPr>
            <w:tcW w:w="808" w:type="dxa"/>
          </w:tcPr>
          <w:p>
            <w:pPr>
              <w:spacing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pPr>
              <w:spacing w:line="240" w:lineRule="auto"/>
            </w:pPr>
            <w:r>
              <w:rPr>
                <w:rFonts w:hint="eastAsia"/>
              </w:rPr>
              <w:t>4</w:t>
            </w:r>
          </w:p>
        </w:tc>
        <w:tc>
          <w:tcPr>
            <w:tcW w:w="1379" w:type="dxa"/>
          </w:tcPr>
          <w:p>
            <w:pPr>
              <w:spacing w:line="240" w:lineRule="auto"/>
            </w:pPr>
          </w:p>
        </w:tc>
        <w:tc>
          <w:tcPr>
            <w:tcW w:w="782" w:type="dxa"/>
          </w:tcPr>
          <w:p>
            <w:pPr>
              <w:spacing w:line="240" w:lineRule="auto"/>
            </w:pPr>
          </w:p>
        </w:tc>
        <w:tc>
          <w:tcPr>
            <w:tcW w:w="1355" w:type="dxa"/>
          </w:tcPr>
          <w:p>
            <w:pPr>
              <w:spacing w:line="240" w:lineRule="auto"/>
            </w:pPr>
          </w:p>
        </w:tc>
        <w:tc>
          <w:tcPr>
            <w:tcW w:w="811" w:type="dxa"/>
          </w:tcPr>
          <w:p>
            <w:pPr>
              <w:spacing w:line="240" w:lineRule="auto"/>
            </w:pPr>
          </w:p>
        </w:tc>
        <w:tc>
          <w:tcPr>
            <w:tcW w:w="992" w:type="dxa"/>
          </w:tcPr>
          <w:p>
            <w:pPr>
              <w:spacing w:line="240" w:lineRule="auto"/>
            </w:pPr>
          </w:p>
        </w:tc>
        <w:tc>
          <w:tcPr>
            <w:tcW w:w="1276" w:type="dxa"/>
          </w:tcPr>
          <w:p>
            <w:pPr>
              <w:spacing w:line="240" w:lineRule="auto"/>
            </w:pPr>
          </w:p>
        </w:tc>
        <w:tc>
          <w:tcPr>
            <w:tcW w:w="1417" w:type="dxa"/>
          </w:tcPr>
          <w:p>
            <w:pPr>
              <w:spacing w:line="240" w:lineRule="auto"/>
            </w:pPr>
          </w:p>
        </w:tc>
        <w:tc>
          <w:tcPr>
            <w:tcW w:w="808" w:type="dxa"/>
          </w:tcPr>
          <w:p>
            <w:pPr>
              <w:spacing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pPr>
              <w:spacing w:line="240" w:lineRule="auto"/>
            </w:pPr>
            <w:r>
              <w:rPr>
                <w:rFonts w:hint="eastAsia"/>
              </w:rPr>
              <w:t>5</w:t>
            </w:r>
          </w:p>
        </w:tc>
        <w:tc>
          <w:tcPr>
            <w:tcW w:w="1379" w:type="dxa"/>
          </w:tcPr>
          <w:p>
            <w:pPr>
              <w:spacing w:line="240" w:lineRule="auto"/>
            </w:pPr>
          </w:p>
        </w:tc>
        <w:tc>
          <w:tcPr>
            <w:tcW w:w="782" w:type="dxa"/>
          </w:tcPr>
          <w:p>
            <w:pPr>
              <w:spacing w:line="240" w:lineRule="auto"/>
            </w:pPr>
          </w:p>
        </w:tc>
        <w:tc>
          <w:tcPr>
            <w:tcW w:w="1355" w:type="dxa"/>
          </w:tcPr>
          <w:p>
            <w:pPr>
              <w:spacing w:line="240" w:lineRule="auto"/>
            </w:pPr>
          </w:p>
        </w:tc>
        <w:tc>
          <w:tcPr>
            <w:tcW w:w="811" w:type="dxa"/>
          </w:tcPr>
          <w:p>
            <w:pPr>
              <w:spacing w:line="240" w:lineRule="auto"/>
            </w:pPr>
          </w:p>
        </w:tc>
        <w:tc>
          <w:tcPr>
            <w:tcW w:w="992" w:type="dxa"/>
          </w:tcPr>
          <w:p>
            <w:pPr>
              <w:spacing w:line="240" w:lineRule="auto"/>
            </w:pPr>
          </w:p>
        </w:tc>
        <w:tc>
          <w:tcPr>
            <w:tcW w:w="1276" w:type="dxa"/>
          </w:tcPr>
          <w:p>
            <w:pPr>
              <w:spacing w:line="240" w:lineRule="auto"/>
            </w:pPr>
          </w:p>
        </w:tc>
        <w:tc>
          <w:tcPr>
            <w:tcW w:w="1417" w:type="dxa"/>
          </w:tcPr>
          <w:p>
            <w:pPr>
              <w:spacing w:line="240" w:lineRule="auto"/>
            </w:pPr>
          </w:p>
        </w:tc>
        <w:tc>
          <w:tcPr>
            <w:tcW w:w="808" w:type="dxa"/>
          </w:tcPr>
          <w:p>
            <w:pPr>
              <w:spacing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pPr>
              <w:spacing w:line="240" w:lineRule="auto"/>
            </w:pPr>
          </w:p>
        </w:tc>
        <w:tc>
          <w:tcPr>
            <w:tcW w:w="1379" w:type="dxa"/>
          </w:tcPr>
          <w:p>
            <w:pPr>
              <w:spacing w:line="240" w:lineRule="auto"/>
            </w:pPr>
          </w:p>
        </w:tc>
        <w:tc>
          <w:tcPr>
            <w:tcW w:w="782" w:type="dxa"/>
          </w:tcPr>
          <w:p>
            <w:pPr>
              <w:spacing w:line="240" w:lineRule="auto"/>
            </w:pPr>
          </w:p>
        </w:tc>
        <w:tc>
          <w:tcPr>
            <w:tcW w:w="1355" w:type="dxa"/>
          </w:tcPr>
          <w:p>
            <w:pPr>
              <w:spacing w:line="240" w:lineRule="auto"/>
            </w:pPr>
          </w:p>
        </w:tc>
        <w:tc>
          <w:tcPr>
            <w:tcW w:w="811" w:type="dxa"/>
          </w:tcPr>
          <w:p>
            <w:pPr>
              <w:spacing w:line="240" w:lineRule="auto"/>
            </w:pPr>
          </w:p>
        </w:tc>
        <w:tc>
          <w:tcPr>
            <w:tcW w:w="992" w:type="dxa"/>
          </w:tcPr>
          <w:p>
            <w:pPr>
              <w:spacing w:line="240" w:lineRule="auto"/>
            </w:pPr>
          </w:p>
        </w:tc>
        <w:tc>
          <w:tcPr>
            <w:tcW w:w="1276" w:type="dxa"/>
          </w:tcPr>
          <w:p>
            <w:pPr>
              <w:spacing w:line="240" w:lineRule="auto"/>
            </w:pPr>
          </w:p>
        </w:tc>
        <w:tc>
          <w:tcPr>
            <w:tcW w:w="1417" w:type="dxa"/>
          </w:tcPr>
          <w:p>
            <w:pPr>
              <w:spacing w:line="240" w:lineRule="auto"/>
            </w:pPr>
          </w:p>
        </w:tc>
        <w:tc>
          <w:tcPr>
            <w:tcW w:w="808" w:type="dxa"/>
          </w:tcPr>
          <w:p>
            <w:pPr>
              <w:spacing w:line="240" w:lineRule="auto"/>
            </w:pPr>
          </w:p>
        </w:tc>
      </w:tr>
      <w:bookmarkEnd w:id="214"/>
    </w:tbl>
    <w:p>
      <w:pPr>
        <w:pStyle w:val="45"/>
        <w:ind w:firstLine="480"/>
      </w:pPr>
      <w:r>
        <w:rPr>
          <w:rFonts w:hint="eastAsia"/>
        </w:rPr>
        <w:t>注：需按评分标准要求后附相应业绩证明材料（如有的话）。</w:t>
      </w:r>
    </w:p>
    <w:p>
      <w:pPr>
        <w:pStyle w:val="45"/>
        <w:ind w:firstLine="480"/>
      </w:pPr>
    </w:p>
    <w:p>
      <w:pPr>
        <w:pStyle w:val="44"/>
      </w:pPr>
      <w:bookmarkStart w:id="215" w:name="_Toc4622"/>
      <w:r>
        <w:t>8</w:t>
      </w:r>
      <w:r>
        <w:rPr>
          <w:rFonts w:hint="eastAsia"/>
        </w:rPr>
        <w:t>-2、其它招标文件要求的或投标人认为应当或有必要提供的资料</w:t>
      </w:r>
      <w:bookmarkEnd w:id="215"/>
    </w:p>
    <w:p/>
    <w:p/>
    <w:p/>
    <w:p/>
    <w:p>
      <w:pPr>
        <w:widowControl/>
        <w:adjustRightInd/>
        <w:snapToGrid/>
        <w:spacing w:line="240" w:lineRule="auto"/>
        <w:jc w:val="left"/>
      </w:pPr>
    </w:p>
    <w:p/>
    <w:p/>
    <w:p>
      <w:pPr>
        <w:widowControl/>
        <w:adjustRightInd/>
        <w:snapToGrid/>
        <w:spacing w:line="240" w:lineRule="auto"/>
        <w:jc w:val="left"/>
        <w:rPr>
          <w:rFonts w:hAnsi="Cambria" w:eastAsia="黑体" w:cs="Times New Roman"/>
          <w:b/>
          <w:bCs/>
          <w:kern w:val="0"/>
          <w:sz w:val="32"/>
          <w:szCs w:val="32"/>
        </w:rPr>
      </w:pPr>
      <w:r>
        <w:br w:type="page"/>
      </w:r>
    </w:p>
    <w:p>
      <w:pPr>
        <w:pStyle w:val="4"/>
        <w:rPr>
          <w:color w:val="auto"/>
        </w:rPr>
      </w:pPr>
      <w:bookmarkStart w:id="216" w:name="_Hlk51263672"/>
      <w:bookmarkStart w:id="217" w:name="_Toc4769"/>
      <w:r>
        <w:rPr>
          <w:rFonts w:hint="eastAsia"/>
        </w:rPr>
        <w:t>资格、资信证明</w:t>
      </w:r>
      <w:r>
        <w:rPr>
          <w:rFonts w:hint="eastAsia"/>
          <w:color w:val="auto"/>
        </w:rPr>
        <w:t>文件</w:t>
      </w:r>
      <w:bookmarkEnd w:id="216"/>
      <w:r>
        <w:rPr>
          <w:rFonts w:hint="eastAsia"/>
          <w:color w:val="auto"/>
        </w:rPr>
        <w:t>分册封面建议格式</w:t>
      </w:r>
      <w:bookmarkEnd w:id="217"/>
    </w:p>
    <w:p>
      <w:pPr>
        <w:rPr>
          <w:color w:val="auto"/>
        </w:rPr>
      </w:pPr>
      <w:r>
        <w:rPr>
          <w:rFonts w:ascii="Arial" w:hAnsi="Arial" w:cs="Arial"/>
          <w:color w:val="auto"/>
        </w:rPr>
        <w:t>【封面建议格式仅供参考，但投标文件所有纸质构成部分（正本）封面必须盖章，由于封面使用了光滑纸张等不便盖章情况的，则认可在扉页或封面之后的第一页盖章】</w:t>
      </w:r>
    </w:p>
    <w:p>
      <w:pPr>
        <w:rPr>
          <w:color w:val="auto"/>
        </w:rPr>
      </w:pPr>
    </w:p>
    <w:p>
      <w:pPr>
        <w:widowControl/>
        <w:jc w:val="right"/>
        <w:rPr>
          <w:rFonts w:hAnsi="宋体"/>
          <w:b/>
          <w:sz w:val="44"/>
          <w:szCs w:val="44"/>
        </w:rPr>
      </w:pPr>
      <w:r>
        <w:rPr>
          <w:rFonts w:hint="eastAsia" w:hAnsi="宋体"/>
          <w:b/>
          <w:color w:val="auto"/>
          <w:sz w:val="32"/>
          <w:szCs w:val="32"/>
        </w:rPr>
        <w:t>正</w:t>
      </w:r>
      <w:r>
        <w:rPr>
          <w:rFonts w:hint="eastAsia" w:hAnsi="宋体"/>
          <w:b/>
          <w:sz w:val="32"/>
          <w:szCs w:val="32"/>
        </w:rPr>
        <w:t>本【或副本】</w:t>
      </w:r>
    </w:p>
    <w:p/>
    <w:p>
      <w:pPr>
        <w:spacing w:line="360" w:lineRule="auto"/>
        <w:rPr>
          <w:sz w:val="28"/>
          <w:szCs w:val="28"/>
          <w:u w:val="single"/>
        </w:rPr>
      </w:pPr>
      <w:r>
        <w:rPr>
          <w:rFonts w:hint="eastAsia"/>
          <w:sz w:val="28"/>
          <w:szCs w:val="28"/>
        </w:rPr>
        <w:t>项目名称：</w:t>
      </w:r>
      <w:r>
        <w:rPr>
          <w:rFonts w:hint="eastAsia"/>
          <w:sz w:val="28"/>
          <w:szCs w:val="28"/>
          <w:u w:val="single"/>
        </w:rPr>
        <w:t xml:space="preserve">                              </w:t>
      </w:r>
    </w:p>
    <w:p>
      <w:pPr>
        <w:spacing w:line="360" w:lineRule="auto"/>
        <w:rPr>
          <w:sz w:val="28"/>
          <w:szCs w:val="28"/>
          <w:u w:val="single"/>
        </w:rPr>
      </w:pPr>
      <w:r>
        <w:rPr>
          <w:rFonts w:hint="eastAsia"/>
          <w:sz w:val="28"/>
          <w:szCs w:val="28"/>
        </w:rPr>
        <w:t>包件名称：</w:t>
      </w:r>
      <w:r>
        <w:rPr>
          <w:rFonts w:hint="eastAsia"/>
          <w:sz w:val="28"/>
          <w:szCs w:val="28"/>
          <w:u w:val="single"/>
        </w:rPr>
        <w:t xml:space="preserve">                              </w:t>
      </w:r>
    </w:p>
    <w:p>
      <w:pPr>
        <w:spacing w:line="360" w:lineRule="auto"/>
        <w:rPr>
          <w:sz w:val="28"/>
          <w:szCs w:val="28"/>
          <w:u w:val="single"/>
        </w:rPr>
      </w:pPr>
      <w:r>
        <w:rPr>
          <w:rFonts w:hint="eastAsia"/>
          <w:sz w:val="28"/>
          <w:szCs w:val="28"/>
        </w:rPr>
        <w:t>项目编号/包件号：</w:t>
      </w:r>
      <w:r>
        <w:rPr>
          <w:rFonts w:hint="eastAsia"/>
          <w:sz w:val="28"/>
          <w:szCs w:val="28"/>
          <w:u w:val="single"/>
        </w:rPr>
        <w:t xml:space="preserve">                              </w:t>
      </w:r>
    </w:p>
    <w:p>
      <w:pPr>
        <w:widowControl/>
        <w:jc w:val="left"/>
        <w:rPr>
          <w:rFonts w:hAnsi="宋体"/>
        </w:rPr>
      </w:pPr>
    </w:p>
    <w:p>
      <w:pPr>
        <w:widowControl/>
        <w:jc w:val="center"/>
        <w:rPr>
          <w:rFonts w:hAnsi="宋体"/>
        </w:rPr>
      </w:pPr>
    </w:p>
    <w:p>
      <w:pPr>
        <w:widowControl/>
        <w:jc w:val="center"/>
        <w:rPr>
          <w:rFonts w:hAnsi="宋体"/>
          <w:sz w:val="72"/>
          <w:szCs w:val="72"/>
        </w:rPr>
      </w:pPr>
      <w:r>
        <w:rPr>
          <w:rFonts w:hint="eastAsia" w:hAnsi="宋体"/>
          <w:sz w:val="72"/>
          <w:szCs w:val="72"/>
        </w:rPr>
        <w:t>投标文件</w:t>
      </w:r>
    </w:p>
    <w:p>
      <w:pPr>
        <w:widowControl/>
        <w:jc w:val="center"/>
        <w:rPr>
          <w:rFonts w:hAnsi="宋体"/>
          <w:sz w:val="52"/>
          <w:szCs w:val="52"/>
        </w:rPr>
      </w:pPr>
      <w:r>
        <w:rPr>
          <w:rFonts w:hint="eastAsia" w:hAnsi="宋体"/>
          <w:sz w:val="52"/>
          <w:szCs w:val="52"/>
        </w:rPr>
        <w:t>资格、资信证明文件分册</w:t>
      </w:r>
    </w:p>
    <w:p>
      <w:pPr>
        <w:widowControl/>
        <w:jc w:val="left"/>
      </w:pPr>
    </w:p>
    <w:p>
      <w:pPr>
        <w:widowControl/>
        <w:jc w:val="left"/>
      </w:pPr>
    </w:p>
    <w:p>
      <w:pPr>
        <w:widowControl/>
        <w:rPr>
          <w:rFonts w:hAnsi="宋体"/>
          <w:sz w:val="30"/>
          <w:szCs w:val="30"/>
        </w:rPr>
      </w:pPr>
    </w:p>
    <w:p>
      <w:pPr>
        <w:widowControl/>
        <w:rPr>
          <w:rFonts w:hAnsi="宋体"/>
          <w:sz w:val="30"/>
          <w:szCs w:val="30"/>
        </w:rPr>
      </w:pPr>
    </w:p>
    <w:p>
      <w:pPr>
        <w:widowControl/>
        <w:rPr>
          <w:rFonts w:hAnsi="宋体"/>
          <w:sz w:val="30"/>
          <w:szCs w:val="30"/>
        </w:rPr>
      </w:pPr>
    </w:p>
    <w:p>
      <w:pPr>
        <w:widowControl/>
        <w:rPr>
          <w:rFonts w:hAnsi="宋体"/>
          <w:sz w:val="30"/>
          <w:szCs w:val="30"/>
        </w:rPr>
      </w:pPr>
    </w:p>
    <w:p>
      <w:pPr>
        <w:widowControl/>
        <w:rPr>
          <w:rFonts w:hAnsi="宋体"/>
          <w:sz w:val="30"/>
          <w:szCs w:val="30"/>
        </w:rPr>
      </w:pPr>
    </w:p>
    <w:p>
      <w:pPr>
        <w:widowControl/>
        <w:rPr>
          <w:rFonts w:hAnsi="宋体"/>
          <w:sz w:val="30"/>
          <w:szCs w:val="30"/>
        </w:rPr>
      </w:pPr>
    </w:p>
    <w:p>
      <w:pPr>
        <w:widowControl/>
        <w:rPr>
          <w:rFonts w:hAnsi="宋体"/>
          <w:sz w:val="30"/>
          <w:szCs w:val="30"/>
        </w:rPr>
      </w:pPr>
    </w:p>
    <w:p>
      <w:pPr>
        <w:widowControl/>
        <w:rPr>
          <w:rFonts w:hAnsi="宋体"/>
          <w:sz w:val="30"/>
          <w:szCs w:val="30"/>
          <w:u w:val="single"/>
        </w:rPr>
      </w:pPr>
      <w:r>
        <w:rPr>
          <w:rFonts w:hint="eastAsia" w:hAnsi="宋体"/>
          <w:sz w:val="30"/>
          <w:szCs w:val="30"/>
        </w:rPr>
        <w:t>投标人名称：</w:t>
      </w:r>
      <w:r>
        <w:rPr>
          <w:rFonts w:hint="eastAsia" w:hAnsi="宋体"/>
          <w:sz w:val="30"/>
          <w:szCs w:val="30"/>
          <w:u w:val="single"/>
        </w:rPr>
        <w:t xml:space="preserve">                            </w:t>
      </w:r>
    </w:p>
    <w:p>
      <w:pPr>
        <w:widowControl/>
        <w:jc w:val="left"/>
        <w:rPr>
          <w:sz w:val="30"/>
          <w:szCs w:val="30"/>
        </w:rPr>
      </w:pPr>
    </w:p>
    <w:p>
      <w:pPr>
        <w:widowControl/>
        <w:jc w:val="left"/>
        <w:rPr>
          <w:sz w:val="30"/>
          <w:szCs w:val="30"/>
        </w:rPr>
      </w:pPr>
    </w:p>
    <w:p>
      <w:pPr>
        <w:widowControl/>
        <w:jc w:val="left"/>
        <w:rPr>
          <w:sz w:val="30"/>
          <w:szCs w:val="30"/>
          <w:u w:val="single"/>
        </w:rPr>
      </w:pPr>
      <w:r>
        <w:rPr>
          <w:rFonts w:hint="eastAsia"/>
          <w:sz w:val="30"/>
          <w:szCs w:val="30"/>
        </w:rPr>
        <w:t>投标人公章：</w:t>
      </w:r>
      <w:r>
        <w:rPr>
          <w:rFonts w:hint="eastAsia"/>
          <w:sz w:val="30"/>
          <w:szCs w:val="30"/>
          <w:u w:val="single"/>
        </w:rPr>
        <w:t xml:space="preserve">                       </w:t>
      </w:r>
      <w:r>
        <w:rPr>
          <w:sz w:val="30"/>
          <w:szCs w:val="30"/>
          <w:u w:val="single"/>
        </w:rPr>
        <w:t xml:space="preserve">      </w:t>
      </w:r>
    </w:p>
    <w:p>
      <w:pPr>
        <w:widowControl/>
        <w:adjustRightInd/>
        <w:snapToGrid/>
        <w:spacing w:line="240" w:lineRule="auto"/>
        <w:jc w:val="left"/>
      </w:pPr>
      <w:r>
        <w:br w:type="page"/>
      </w:r>
    </w:p>
    <w:p>
      <w:pPr>
        <w:pStyle w:val="4"/>
      </w:pPr>
      <w:bookmarkStart w:id="218" w:name="_Toc8057"/>
      <w:r>
        <w:rPr>
          <w:rFonts w:hint="eastAsia"/>
        </w:rPr>
        <w:t>附件</w:t>
      </w:r>
      <w:r>
        <w:t>9</w:t>
      </w:r>
      <w:r>
        <w:rPr>
          <w:rFonts w:hint="eastAsia"/>
        </w:rPr>
        <w:t xml:space="preserve"> 资格、资信证明文件</w:t>
      </w:r>
      <w:bookmarkEnd w:id="218"/>
    </w:p>
    <w:tbl>
      <w:tblPr>
        <w:tblStyle w:val="20"/>
        <w:tblW w:w="90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2791"/>
        <w:gridCol w:w="55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704" w:type="dxa"/>
            <w:vAlign w:val="center"/>
          </w:tcPr>
          <w:p>
            <w:pPr>
              <w:spacing w:line="240" w:lineRule="auto"/>
              <w:jc w:val="center"/>
              <w:rPr>
                <w:rFonts w:cs="Arial" w:hAnsiTheme="minorEastAsia"/>
                <w:b/>
                <w:bCs/>
                <w:color w:val="000000"/>
              </w:rPr>
            </w:pPr>
            <w:r>
              <w:rPr>
                <w:rFonts w:hint="eastAsia" w:cs="Arial" w:hAnsiTheme="minorEastAsia"/>
                <w:b/>
                <w:bCs/>
                <w:color w:val="000000"/>
              </w:rPr>
              <w:t>附件顺序</w:t>
            </w:r>
          </w:p>
        </w:tc>
        <w:tc>
          <w:tcPr>
            <w:tcW w:w="2791" w:type="dxa"/>
            <w:vAlign w:val="center"/>
          </w:tcPr>
          <w:p>
            <w:pPr>
              <w:spacing w:line="240" w:lineRule="auto"/>
              <w:jc w:val="center"/>
              <w:rPr>
                <w:rFonts w:ascii="Arial" w:hAnsi="Arial" w:cs="Arial"/>
                <w:b/>
                <w:bCs/>
                <w:color w:val="000000"/>
              </w:rPr>
            </w:pPr>
            <w:r>
              <w:rPr>
                <w:rFonts w:hint="eastAsia" w:ascii="Arial" w:hAnsi="Arial" w:cs="Arial"/>
                <w:b/>
                <w:bCs/>
                <w:color w:val="000000"/>
              </w:rPr>
              <w:t>提交文件</w:t>
            </w:r>
          </w:p>
        </w:tc>
        <w:tc>
          <w:tcPr>
            <w:tcW w:w="5572" w:type="dxa"/>
            <w:vAlign w:val="center"/>
          </w:tcPr>
          <w:p>
            <w:pPr>
              <w:spacing w:line="240" w:lineRule="auto"/>
              <w:jc w:val="center"/>
              <w:rPr>
                <w:rFonts w:ascii="Arial" w:hAnsi="Arial" w:cs="Arial"/>
                <w:b/>
                <w:bCs/>
                <w:color w:val="000000"/>
              </w:rPr>
            </w:pPr>
            <w:r>
              <w:rPr>
                <w:rFonts w:hint="eastAsia" w:ascii="Arial" w:hAnsi="Arial" w:cs="Arial"/>
                <w:b/>
                <w:bCs/>
                <w:color w:val="000000"/>
              </w:rPr>
              <w:t>提交文件说明与评审标准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4" w:type="dxa"/>
            <w:vAlign w:val="center"/>
          </w:tcPr>
          <w:p>
            <w:pPr>
              <w:spacing w:line="240" w:lineRule="auto"/>
              <w:jc w:val="center"/>
              <w:rPr>
                <w:rFonts w:cs="Arial" w:hAnsiTheme="minorEastAsia"/>
                <w:b/>
                <w:bCs/>
                <w:color w:val="000000"/>
              </w:rPr>
            </w:pPr>
          </w:p>
        </w:tc>
        <w:tc>
          <w:tcPr>
            <w:tcW w:w="8363" w:type="dxa"/>
            <w:gridSpan w:val="2"/>
            <w:vAlign w:val="center"/>
          </w:tcPr>
          <w:p>
            <w:pPr>
              <w:spacing w:line="240" w:lineRule="auto"/>
              <w:jc w:val="center"/>
              <w:rPr>
                <w:rFonts w:ascii="Arial" w:hAnsi="Arial" w:cs="Arial"/>
                <w:b/>
                <w:bCs/>
                <w:color w:val="000000"/>
              </w:rPr>
            </w:pPr>
            <w:r>
              <w:rPr>
                <w:rFonts w:hint="eastAsia" w:ascii="Arial" w:hAnsi="Arial" w:cs="Arial"/>
                <w:b/>
                <w:bCs/>
                <w:color w:val="000000"/>
              </w:rPr>
              <w:t>基本资格、资信证明文件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spacing w:line="240" w:lineRule="auto"/>
              <w:jc w:val="center"/>
              <w:rPr>
                <w:rFonts w:cs="Arial" w:hAnsiTheme="minorEastAsia"/>
                <w:bCs/>
                <w:color w:val="000000"/>
              </w:rPr>
            </w:pPr>
            <w:r>
              <w:rPr>
                <w:rFonts w:cs="Arial" w:hAnsiTheme="minorEastAsia"/>
                <w:bCs/>
                <w:color w:val="000000"/>
              </w:rPr>
              <w:t>9</w:t>
            </w:r>
            <w:r>
              <w:rPr>
                <w:rFonts w:hint="eastAsia" w:cs="Arial" w:hAnsiTheme="minorEastAsia"/>
                <w:bCs/>
                <w:color w:val="000000"/>
              </w:rPr>
              <w:t>-1</w:t>
            </w:r>
          </w:p>
        </w:tc>
        <w:tc>
          <w:tcPr>
            <w:tcW w:w="2791" w:type="dxa"/>
            <w:vAlign w:val="center"/>
          </w:tcPr>
          <w:p>
            <w:pPr>
              <w:spacing w:line="240" w:lineRule="auto"/>
              <w:jc w:val="left"/>
              <w:rPr>
                <w:rFonts w:ascii="Arial" w:hAnsi="Arial" w:cs="Arial"/>
                <w:bCs/>
                <w:color w:val="000000"/>
              </w:rPr>
            </w:pPr>
            <w:r>
              <w:rPr>
                <w:rFonts w:hint="eastAsia" w:ascii="Arial" w:hAnsi="Arial" w:cs="Arial"/>
                <w:bCs/>
                <w:color w:val="000000"/>
              </w:rPr>
              <w:t>法人或者其他组织、自然人的营业执照等证明文件</w:t>
            </w:r>
          </w:p>
        </w:tc>
        <w:tc>
          <w:tcPr>
            <w:tcW w:w="5572" w:type="dxa"/>
            <w:vAlign w:val="center"/>
          </w:tcPr>
          <w:p>
            <w:pPr>
              <w:pStyle w:val="46"/>
              <w:numPr>
                <w:ilvl w:val="0"/>
                <w:numId w:val="18"/>
              </w:numPr>
              <w:adjustRightInd/>
              <w:spacing w:line="240" w:lineRule="auto"/>
              <w:ind w:firstLineChars="0"/>
              <w:rPr>
                <w:rFonts w:ascii="Arial" w:hAnsi="Arial" w:cs="Arial"/>
                <w:bCs/>
                <w:color w:val="000000"/>
              </w:rPr>
            </w:pPr>
            <w:r>
              <w:rPr>
                <w:rFonts w:hint="eastAsia" w:ascii="Arial" w:hAnsi="Arial" w:cs="Arial"/>
                <w:bCs/>
                <w:color w:val="000000"/>
              </w:rPr>
              <w:t>投标人是企业（包括合伙企业）的，应提供其在市场监督管理部门注册的有效“营业执照”的复印件；</w:t>
            </w:r>
          </w:p>
          <w:p>
            <w:pPr>
              <w:pStyle w:val="46"/>
              <w:numPr>
                <w:ilvl w:val="0"/>
                <w:numId w:val="18"/>
              </w:numPr>
              <w:adjustRightInd/>
              <w:spacing w:line="240" w:lineRule="auto"/>
              <w:ind w:firstLineChars="0"/>
              <w:rPr>
                <w:rFonts w:ascii="Arial" w:hAnsi="Arial" w:cs="Arial"/>
                <w:bCs/>
                <w:color w:val="000000"/>
              </w:rPr>
            </w:pPr>
            <w:r>
              <w:rPr>
                <w:rFonts w:hint="eastAsia" w:ascii="Arial" w:hAnsi="Arial" w:cs="Arial"/>
                <w:bCs/>
                <w:color w:val="000000"/>
              </w:rPr>
              <w:t>供应商是事业单位的，应提供其有效的“事业单位法人证书”复印件；</w:t>
            </w:r>
          </w:p>
          <w:p>
            <w:pPr>
              <w:pStyle w:val="46"/>
              <w:numPr>
                <w:ilvl w:val="0"/>
                <w:numId w:val="18"/>
              </w:numPr>
              <w:adjustRightInd/>
              <w:spacing w:line="240" w:lineRule="auto"/>
              <w:ind w:firstLineChars="0"/>
              <w:rPr>
                <w:rFonts w:ascii="Arial" w:hAnsi="Arial" w:cs="Arial"/>
                <w:bCs/>
                <w:color w:val="000000"/>
              </w:rPr>
            </w:pPr>
            <w:r>
              <w:rPr>
                <w:rFonts w:hint="eastAsia" w:ascii="Arial" w:hAnsi="Arial" w:cs="Arial"/>
                <w:bCs/>
                <w:color w:val="000000"/>
              </w:rPr>
              <w:t>投标人是非企业专业服务机构的，应提供其有效的“执业许可证”复印件；</w:t>
            </w:r>
          </w:p>
          <w:p>
            <w:pPr>
              <w:pStyle w:val="46"/>
              <w:numPr>
                <w:ilvl w:val="0"/>
                <w:numId w:val="18"/>
              </w:numPr>
              <w:adjustRightInd/>
              <w:spacing w:line="240" w:lineRule="auto"/>
              <w:ind w:firstLineChars="0"/>
              <w:rPr>
                <w:rFonts w:ascii="Arial" w:hAnsi="Arial" w:cs="Arial"/>
                <w:bCs/>
                <w:color w:val="000000"/>
              </w:rPr>
            </w:pPr>
            <w:r>
              <w:rPr>
                <w:rFonts w:hint="eastAsia" w:ascii="Arial" w:hAnsi="Arial" w:cs="Arial"/>
                <w:bCs/>
                <w:color w:val="000000"/>
              </w:rPr>
              <w:t>投标人是民办非企业单位的，应提供其有效的登记证书复印件；</w:t>
            </w:r>
          </w:p>
          <w:p>
            <w:pPr>
              <w:pStyle w:val="46"/>
              <w:numPr>
                <w:ilvl w:val="0"/>
                <w:numId w:val="18"/>
              </w:numPr>
              <w:adjustRightInd/>
              <w:spacing w:line="240" w:lineRule="auto"/>
              <w:ind w:firstLineChars="0"/>
              <w:rPr>
                <w:rFonts w:ascii="Arial" w:hAnsi="Arial" w:cs="Arial"/>
                <w:bCs/>
                <w:color w:val="000000"/>
              </w:rPr>
            </w:pPr>
            <w:r>
              <w:rPr>
                <w:rFonts w:hint="eastAsia" w:ascii="Arial" w:hAnsi="Arial" w:cs="Arial"/>
                <w:bCs/>
                <w:color w:val="000000"/>
              </w:rPr>
              <w:t>投标人是个体工商户的，应提供其有效的“营业执照”复印件；</w:t>
            </w:r>
          </w:p>
          <w:p>
            <w:pPr>
              <w:pStyle w:val="46"/>
              <w:numPr>
                <w:ilvl w:val="0"/>
                <w:numId w:val="18"/>
              </w:numPr>
              <w:adjustRightInd/>
              <w:spacing w:line="240" w:lineRule="auto"/>
              <w:ind w:firstLineChars="0"/>
              <w:rPr>
                <w:rFonts w:ascii="Arial" w:hAnsi="Arial" w:cs="Arial"/>
                <w:bCs/>
                <w:color w:val="000000"/>
              </w:rPr>
            </w:pPr>
            <w:r>
              <w:rPr>
                <w:rFonts w:hint="eastAsia" w:ascii="Arial" w:hAnsi="Arial" w:cs="Arial"/>
                <w:bCs/>
                <w:color w:val="000000"/>
              </w:rPr>
              <w:t>投标人是自然人的，应提供其有效的自然人身份证明复印件。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 w:hRule="atLeast"/>
        </w:trPr>
        <w:tc>
          <w:tcPr>
            <w:tcW w:w="704" w:type="dxa"/>
            <w:vAlign w:val="center"/>
          </w:tcPr>
          <w:p>
            <w:pPr>
              <w:spacing w:line="240" w:lineRule="auto"/>
              <w:jc w:val="center"/>
              <w:rPr>
                <w:rFonts w:cs="Arial" w:hAnsiTheme="minorEastAsia"/>
                <w:bCs/>
                <w:color w:val="000000"/>
              </w:rPr>
            </w:pPr>
            <w:r>
              <w:rPr>
                <w:rFonts w:cs="Arial" w:hAnsiTheme="minorEastAsia"/>
                <w:bCs/>
                <w:color w:val="000000"/>
              </w:rPr>
              <w:t>9</w:t>
            </w:r>
            <w:r>
              <w:rPr>
                <w:rFonts w:hint="eastAsia" w:cs="Arial" w:hAnsiTheme="minorEastAsia"/>
                <w:bCs/>
                <w:color w:val="000000"/>
              </w:rPr>
              <w:t>-2</w:t>
            </w:r>
          </w:p>
        </w:tc>
        <w:tc>
          <w:tcPr>
            <w:tcW w:w="2791" w:type="dxa"/>
            <w:vAlign w:val="center"/>
          </w:tcPr>
          <w:p>
            <w:pPr>
              <w:spacing w:line="240" w:lineRule="auto"/>
              <w:jc w:val="left"/>
              <w:rPr>
                <w:rFonts w:ascii="Arial" w:hAnsi="Arial" w:cs="Arial"/>
                <w:bCs/>
                <w:color w:val="000000"/>
              </w:rPr>
            </w:pPr>
            <w:r>
              <w:rPr>
                <w:rFonts w:hint="eastAsia" w:ascii="Arial" w:hAnsi="Arial" w:cs="Arial"/>
                <w:bCs/>
                <w:color w:val="000000"/>
              </w:rPr>
              <w:t>投标人资格声明书</w:t>
            </w:r>
          </w:p>
        </w:tc>
        <w:tc>
          <w:tcPr>
            <w:tcW w:w="5572" w:type="dxa"/>
            <w:vAlign w:val="center"/>
          </w:tcPr>
          <w:p>
            <w:pPr>
              <w:spacing w:line="240" w:lineRule="auto"/>
              <w:jc w:val="left"/>
              <w:rPr>
                <w:rFonts w:ascii="Arial" w:hAnsi="Arial" w:cs="Arial"/>
                <w:bCs/>
                <w:color w:val="auto"/>
              </w:rPr>
            </w:pPr>
            <w:r>
              <w:rPr>
                <w:rFonts w:hint="eastAsia"/>
                <w:color w:val="auto"/>
              </w:rPr>
              <w:t>表头给定内容不得删减、改变，可根据实际需要增减行，需要填写的空格或空白应有效填写。不得删减内容、不得改变格式中给定的文字所表达的含义（排序序号及排序编号可以改动），不得自行增加与格式中给定的文字内容相矛盾的内容，需要填写的空格或空白应有效填写。应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spacing w:line="240" w:lineRule="auto"/>
              <w:jc w:val="center"/>
              <w:rPr>
                <w:rFonts w:cs="Arial" w:hAnsiTheme="minorEastAsia"/>
                <w:bCs/>
                <w:color w:val="000000"/>
              </w:rPr>
            </w:pPr>
          </w:p>
        </w:tc>
        <w:tc>
          <w:tcPr>
            <w:tcW w:w="8363" w:type="dxa"/>
            <w:gridSpan w:val="2"/>
            <w:vAlign w:val="center"/>
          </w:tcPr>
          <w:p>
            <w:pPr>
              <w:spacing w:line="240" w:lineRule="auto"/>
              <w:jc w:val="center"/>
              <w:rPr>
                <w:rFonts w:ascii="Arial" w:hAnsi="Arial" w:cs="Arial"/>
                <w:bCs/>
                <w:color w:val="auto"/>
              </w:rPr>
            </w:pPr>
            <w:r>
              <w:rPr>
                <w:rFonts w:hint="eastAsia" w:ascii="Arial" w:hAnsi="Arial" w:cs="Arial"/>
                <w:b/>
                <w:bCs/>
                <w:color w:val="auto"/>
              </w:rPr>
              <w:t>落实政府采购政策需满足的资格要求的证明文件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spacing w:line="240" w:lineRule="auto"/>
              <w:jc w:val="center"/>
              <w:rPr>
                <w:rFonts w:hint="eastAsia" w:cs="Arial" w:hAnsiTheme="minorEastAsia" w:eastAsiaTheme="minorEastAsia"/>
                <w:bCs/>
                <w:color w:val="000000"/>
                <w:lang w:eastAsia="zh-CN"/>
              </w:rPr>
            </w:pPr>
            <w:r>
              <w:rPr>
                <w:rFonts w:cs="Arial" w:hAnsiTheme="minorEastAsia"/>
                <w:bCs/>
                <w:color w:val="000000"/>
              </w:rPr>
              <w:t>9</w:t>
            </w:r>
            <w:r>
              <w:rPr>
                <w:rFonts w:hint="eastAsia" w:cs="Arial" w:hAnsiTheme="minorEastAsia"/>
                <w:bCs/>
                <w:color w:val="000000"/>
              </w:rPr>
              <w:t>-</w:t>
            </w:r>
            <w:r>
              <w:rPr>
                <w:rFonts w:hint="eastAsia" w:cs="Arial" w:hAnsiTheme="minorEastAsia"/>
                <w:bCs/>
                <w:color w:val="000000"/>
                <w:lang w:val="en-US" w:eastAsia="zh-CN"/>
              </w:rPr>
              <w:t>3</w:t>
            </w:r>
          </w:p>
        </w:tc>
        <w:tc>
          <w:tcPr>
            <w:tcW w:w="2791" w:type="dxa"/>
            <w:vAlign w:val="center"/>
          </w:tcPr>
          <w:p>
            <w:pPr>
              <w:spacing w:line="240" w:lineRule="auto"/>
              <w:jc w:val="left"/>
            </w:pPr>
            <w:r>
              <w:rPr>
                <w:rFonts w:hint="eastAsia"/>
              </w:rPr>
              <w:t>投标人符合促进中小企业政策的资格证明文件</w:t>
            </w:r>
          </w:p>
        </w:tc>
        <w:tc>
          <w:tcPr>
            <w:tcW w:w="5572" w:type="dxa"/>
            <w:vAlign w:val="center"/>
          </w:tcPr>
          <w:p>
            <w:pPr>
              <w:spacing w:line="240" w:lineRule="auto"/>
              <w:jc w:val="left"/>
              <w:rPr>
                <w:rFonts w:ascii="Arial" w:hAnsi="Arial" w:cs="Arial"/>
                <w:bCs/>
                <w:color w:val="auto"/>
              </w:rPr>
            </w:pPr>
            <w:r>
              <w:rPr>
                <w:rFonts w:hint="eastAsia" w:hAnsiTheme="minorEastAsia"/>
                <w:color w:val="auto"/>
              </w:rPr>
              <w:t>由投标人出具（联合体投标时由牵头人出具）的“中小企业声明函”（格式见1</w:t>
            </w:r>
            <w:r>
              <w:rPr>
                <w:rFonts w:hAnsiTheme="minorEastAsia"/>
                <w:color w:val="auto"/>
              </w:rPr>
              <w:t>0</w:t>
            </w:r>
            <w:r>
              <w:rPr>
                <w:rFonts w:hint="eastAsia" w:hAnsiTheme="minorEastAsia"/>
                <w:color w:val="auto"/>
              </w:rPr>
              <w:t>-</w:t>
            </w:r>
            <w:r>
              <w:rPr>
                <w:rFonts w:hAnsiTheme="minorEastAsia"/>
                <w:color w:val="auto"/>
              </w:rPr>
              <w:t>1</w:t>
            </w:r>
            <w:r>
              <w:rPr>
                <w:rFonts w:hint="eastAsia" w:hAnsiTheme="minorEastAsia"/>
                <w:color w:val="auto"/>
              </w:rPr>
              <w:t>）或者由标的制造商或服务承接商出具的“残疾人福利性单位声明函” （格式见1</w:t>
            </w:r>
            <w:r>
              <w:rPr>
                <w:rFonts w:hAnsiTheme="minorEastAsia"/>
                <w:color w:val="auto"/>
              </w:rPr>
              <w:t>0</w:t>
            </w:r>
            <w:r>
              <w:rPr>
                <w:rFonts w:hint="eastAsia" w:hAnsiTheme="minorEastAsia"/>
                <w:color w:val="auto"/>
              </w:rPr>
              <w:t>-</w:t>
            </w:r>
            <w:r>
              <w:rPr>
                <w:rFonts w:hAnsiTheme="minorEastAsia"/>
                <w:color w:val="auto"/>
              </w:rPr>
              <w:t>2</w:t>
            </w:r>
            <w:r>
              <w:rPr>
                <w:rFonts w:hint="eastAsia" w:hAnsiTheme="minorEastAsia"/>
                <w:color w:val="auto"/>
              </w:rPr>
              <w:t>）或由标的制造商或服务承接商出具的其属于监狱企业的证明文件。</w:t>
            </w:r>
          </w:p>
        </w:tc>
      </w:tr>
    </w:tbl>
    <w:p>
      <w:pPr>
        <w:spacing w:line="360" w:lineRule="auto"/>
        <w:ind w:right="-48" w:rightChars="-20"/>
        <w:rPr>
          <w:rFonts w:hAnsi="宋体" w:cs="Times New Roman"/>
        </w:rPr>
      </w:pPr>
    </w:p>
    <w:p>
      <w:pPr>
        <w:widowControl/>
        <w:adjustRightInd/>
        <w:snapToGrid/>
        <w:spacing w:line="240" w:lineRule="auto"/>
        <w:jc w:val="left"/>
        <w:rPr>
          <w:rFonts w:hAnsi="宋体" w:cs="Times New Roman"/>
          <w:b/>
          <w:bCs/>
          <w:sz w:val="28"/>
          <w:szCs w:val="32"/>
        </w:rPr>
      </w:pPr>
      <w:r>
        <w:br w:type="page"/>
      </w:r>
    </w:p>
    <w:p>
      <w:pPr>
        <w:pStyle w:val="44"/>
        <w:jc w:val="both"/>
        <w:rPr>
          <w:rFonts w:ascii="Arial" w:hAnsi="Arial" w:cs="Arial"/>
          <w:color w:val="000000"/>
        </w:rPr>
      </w:pPr>
      <w:bookmarkStart w:id="219" w:name="_Toc11436"/>
      <w:r>
        <w:t>9</w:t>
      </w:r>
      <w:r>
        <w:rPr>
          <w:rFonts w:hint="eastAsia"/>
        </w:rPr>
        <w:t>-</w:t>
      </w:r>
      <w:r>
        <w:t>2</w:t>
      </w:r>
      <w:r>
        <w:rPr>
          <w:rFonts w:hint="eastAsia"/>
        </w:rPr>
        <w:t>、</w:t>
      </w:r>
      <w:r>
        <w:rPr>
          <w:rFonts w:hint="eastAsia" w:ascii="Arial" w:hAnsi="Arial" w:cs="Arial"/>
          <w:color w:val="000000"/>
        </w:rPr>
        <w:t>投标人资格声明书格式</w:t>
      </w:r>
      <w:bookmarkEnd w:id="219"/>
    </w:p>
    <w:p>
      <w:pPr>
        <w:rPr>
          <w:u w:val="single"/>
        </w:rPr>
      </w:pPr>
      <w:r>
        <w:t>致：</w:t>
      </w:r>
      <w:r>
        <w:rPr>
          <w:rFonts w:hint="eastAsia"/>
          <w:u w:val="single"/>
        </w:rPr>
        <w:t>【</w:t>
      </w:r>
      <w:r>
        <w:rPr>
          <w:u w:val="single"/>
        </w:rPr>
        <w:t>采购人或采购代理机构</w:t>
      </w:r>
      <w:r>
        <w:rPr>
          <w:rFonts w:hint="eastAsia"/>
          <w:u w:val="single"/>
        </w:rPr>
        <w:t>】</w:t>
      </w:r>
    </w:p>
    <w:p>
      <w:pPr>
        <w:pStyle w:val="45"/>
        <w:ind w:firstLine="480"/>
        <w:rPr>
          <w:rFonts w:ascii="宋体"/>
        </w:rPr>
      </w:pPr>
      <w:r>
        <w:rPr>
          <w:rFonts w:hint="eastAsia" w:ascii="宋体"/>
        </w:rPr>
        <w:t>在参与本次项目投标中，我单位声明：</w:t>
      </w:r>
    </w:p>
    <w:p>
      <w:pPr>
        <w:pStyle w:val="45"/>
        <w:ind w:firstLine="480"/>
        <w:rPr>
          <w:rFonts w:ascii="宋体"/>
        </w:rPr>
      </w:pPr>
      <w:r>
        <w:rPr>
          <w:rFonts w:hint="eastAsia" w:ascii="宋体"/>
        </w:rPr>
        <w:t>1、我方具有良好的商业信誉和健全的财务会计制度。</w:t>
      </w:r>
    </w:p>
    <w:p>
      <w:pPr>
        <w:pStyle w:val="45"/>
        <w:ind w:firstLine="480"/>
        <w:rPr>
          <w:rFonts w:ascii="宋体"/>
        </w:rPr>
      </w:pPr>
      <w:r>
        <w:rPr>
          <w:rFonts w:ascii="宋体"/>
        </w:rPr>
        <w:t>2</w:t>
      </w:r>
      <w:r>
        <w:rPr>
          <w:rFonts w:hint="eastAsia" w:ascii="宋体"/>
        </w:rPr>
        <w:t>、我方具有履行合同所必需的设备和专业技术能力，详见下表：</w:t>
      </w:r>
    </w:p>
    <w:tbl>
      <w:tblPr>
        <w:tblStyle w:val="19"/>
        <w:tblW w:w="5007" w:type="pct"/>
        <w:tblInd w:w="-5" w:type="dxa"/>
        <w:tblLayout w:type="fixed"/>
        <w:tblCellMar>
          <w:top w:w="0" w:type="dxa"/>
          <w:left w:w="108" w:type="dxa"/>
          <w:bottom w:w="0" w:type="dxa"/>
          <w:right w:w="108" w:type="dxa"/>
        </w:tblCellMar>
      </w:tblPr>
      <w:tblGrid>
        <w:gridCol w:w="2032"/>
        <w:gridCol w:w="1564"/>
        <w:gridCol w:w="1854"/>
        <w:gridCol w:w="491"/>
        <w:gridCol w:w="1363"/>
        <w:gridCol w:w="790"/>
        <w:gridCol w:w="1064"/>
      </w:tblGrid>
      <w:tr>
        <w:tblPrEx>
          <w:tblCellMar>
            <w:top w:w="0" w:type="dxa"/>
            <w:left w:w="108" w:type="dxa"/>
            <w:bottom w:w="0" w:type="dxa"/>
            <w:right w:w="108" w:type="dxa"/>
          </w:tblCellMar>
        </w:tblPrEx>
        <w:trPr>
          <w:trHeight w:val="300" w:hRule="atLeast"/>
        </w:trPr>
        <w:tc>
          <w:tcPr>
            <w:tcW w:w="1110"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jc w:val="center"/>
            </w:pPr>
            <w:r>
              <w:rPr>
                <w:rFonts w:hint="eastAsia"/>
              </w:rPr>
              <w:t>单位名称</w:t>
            </w:r>
          </w:p>
        </w:tc>
        <w:tc>
          <w:tcPr>
            <w:tcW w:w="3890" w:type="pct"/>
            <w:gridSpan w:val="6"/>
            <w:tcBorders>
              <w:top w:val="single" w:color="auto" w:sz="4" w:space="0"/>
              <w:left w:val="nil"/>
              <w:bottom w:val="single" w:color="auto" w:sz="4" w:space="0"/>
              <w:right w:val="single" w:color="000000" w:sz="4" w:space="0"/>
            </w:tcBorders>
            <w:shd w:val="clear" w:color="auto" w:fill="auto"/>
            <w:vAlign w:val="center"/>
          </w:tcPr>
          <w:p>
            <w:pPr>
              <w:spacing w:line="240" w:lineRule="auto"/>
              <w:jc w:val="center"/>
            </w:pPr>
          </w:p>
        </w:tc>
      </w:tr>
      <w:tr>
        <w:tblPrEx>
          <w:tblCellMar>
            <w:top w:w="0" w:type="dxa"/>
            <w:left w:w="108" w:type="dxa"/>
            <w:bottom w:w="0" w:type="dxa"/>
            <w:right w:w="108" w:type="dxa"/>
          </w:tblCellMar>
        </w:tblPrEx>
        <w:trPr>
          <w:trHeight w:val="300" w:hRule="atLeast"/>
        </w:trPr>
        <w:tc>
          <w:tcPr>
            <w:tcW w:w="1110" w:type="pct"/>
            <w:tcBorders>
              <w:top w:val="nil"/>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详细地址</w:t>
            </w:r>
          </w:p>
        </w:tc>
        <w:tc>
          <w:tcPr>
            <w:tcW w:w="3890" w:type="pct"/>
            <w:gridSpan w:val="6"/>
            <w:tcBorders>
              <w:top w:val="single" w:color="auto" w:sz="4" w:space="0"/>
              <w:left w:val="nil"/>
              <w:bottom w:val="single" w:color="auto" w:sz="4" w:space="0"/>
              <w:right w:val="single" w:color="000000" w:sz="4" w:space="0"/>
            </w:tcBorders>
            <w:shd w:val="clear" w:color="auto" w:fill="auto"/>
            <w:vAlign w:val="center"/>
          </w:tcPr>
          <w:p>
            <w:pPr>
              <w:widowControl/>
              <w:spacing w:line="240" w:lineRule="auto"/>
              <w:jc w:val="center"/>
              <w:rPr>
                <w:rFonts w:ascii="宋体" w:hAnsi="宋体" w:eastAsia="宋体" w:cs="宋体"/>
                <w:kern w:val="0"/>
                <w:szCs w:val="24"/>
              </w:rPr>
            </w:pPr>
          </w:p>
        </w:tc>
      </w:tr>
      <w:tr>
        <w:tblPrEx>
          <w:tblCellMar>
            <w:top w:w="0" w:type="dxa"/>
            <w:left w:w="108" w:type="dxa"/>
            <w:bottom w:w="0" w:type="dxa"/>
            <w:right w:w="108" w:type="dxa"/>
          </w:tblCellMar>
        </w:tblPrEx>
        <w:trPr>
          <w:trHeight w:val="300" w:hRule="atLeast"/>
        </w:trPr>
        <w:tc>
          <w:tcPr>
            <w:tcW w:w="1110" w:type="pct"/>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spacing w:line="240" w:lineRule="auto"/>
              <w:jc w:val="center"/>
              <w:rPr>
                <w:rFonts w:ascii="宋体" w:hAnsi="宋体" w:eastAsia="宋体" w:cs="宋体"/>
                <w:kern w:val="0"/>
                <w:szCs w:val="24"/>
              </w:rPr>
            </w:pPr>
            <w:r>
              <w:rPr>
                <w:rFonts w:hint="eastAsia" w:ascii="宋体" w:hAnsi="宋体" w:eastAsia="宋体" w:cs="宋体"/>
                <w:kern w:val="0"/>
                <w:szCs w:val="24"/>
              </w:rPr>
              <w:t>基本信息</w:t>
            </w:r>
          </w:p>
        </w:tc>
        <w:tc>
          <w:tcPr>
            <w:tcW w:w="854" w:type="pct"/>
            <w:tcBorders>
              <w:top w:val="single" w:color="auto" w:sz="4" w:space="0"/>
              <w:left w:val="nil"/>
              <w:bottom w:val="single" w:color="auto" w:sz="4" w:space="0"/>
              <w:right w:val="single" w:color="auto" w:sz="4" w:space="0"/>
            </w:tcBorders>
            <w:shd w:val="clear" w:color="000000" w:fill="FFFFFF"/>
            <w:vAlign w:val="center"/>
          </w:tcPr>
          <w:p>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成立时间</w:t>
            </w:r>
          </w:p>
        </w:tc>
        <w:tc>
          <w:tcPr>
            <w:tcW w:w="1280" w:type="pct"/>
            <w:gridSpan w:val="2"/>
            <w:tcBorders>
              <w:top w:val="single" w:color="auto" w:sz="4" w:space="0"/>
              <w:left w:val="nil"/>
              <w:bottom w:val="single" w:color="auto" w:sz="4" w:space="0"/>
              <w:right w:val="single" w:color="auto" w:sz="4" w:space="0"/>
            </w:tcBorders>
            <w:shd w:val="clear" w:color="000000" w:fill="FFFFFF"/>
            <w:noWrap/>
            <w:vAlign w:val="center"/>
          </w:tcPr>
          <w:p>
            <w:pPr>
              <w:widowControl/>
              <w:spacing w:line="240" w:lineRule="auto"/>
              <w:jc w:val="center"/>
              <w:rPr>
                <w:rFonts w:ascii="宋体" w:hAnsi="宋体" w:eastAsia="宋体" w:cs="宋体"/>
                <w:kern w:val="0"/>
                <w:sz w:val="22"/>
              </w:rPr>
            </w:pPr>
          </w:p>
        </w:tc>
        <w:tc>
          <w:tcPr>
            <w:tcW w:w="1175" w:type="pct"/>
            <w:gridSpan w:val="2"/>
            <w:tcBorders>
              <w:top w:val="single" w:color="auto" w:sz="4" w:space="0"/>
              <w:left w:val="nil"/>
              <w:bottom w:val="single" w:color="auto" w:sz="4" w:space="0"/>
              <w:right w:val="single" w:color="auto" w:sz="4" w:space="0"/>
            </w:tcBorders>
            <w:shd w:val="clear" w:color="000000" w:fill="FFFFFF"/>
            <w:noWrap/>
            <w:vAlign w:val="center"/>
          </w:tcPr>
          <w:p>
            <w:pPr>
              <w:widowControl/>
              <w:spacing w:line="240" w:lineRule="auto"/>
              <w:jc w:val="center"/>
              <w:rPr>
                <w:rFonts w:ascii="宋体" w:hAnsi="宋体" w:eastAsia="宋体" w:cs="宋体"/>
                <w:kern w:val="0"/>
                <w:sz w:val="22"/>
              </w:rPr>
            </w:pPr>
            <w:r>
              <w:rPr>
                <w:rFonts w:hint="eastAsia" w:ascii="宋体" w:hAnsi="宋体" w:eastAsia="宋体" w:cs="宋体"/>
                <w:kern w:val="0"/>
                <w:sz w:val="22"/>
              </w:rPr>
              <w:t>企业性质</w:t>
            </w:r>
          </w:p>
        </w:tc>
        <w:tc>
          <w:tcPr>
            <w:tcW w:w="581" w:type="pct"/>
            <w:tcBorders>
              <w:top w:val="single" w:color="auto" w:sz="4" w:space="0"/>
              <w:left w:val="nil"/>
              <w:bottom w:val="single" w:color="auto" w:sz="4" w:space="0"/>
              <w:right w:val="single" w:color="auto" w:sz="4" w:space="0"/>
            </w:tcBorders>
            <w:shd w:val="clear" w:color="000000" w:fill="FFFFFF"/>
            <w:noWrap/>
            <w:vAlign w:val="center"/>
          </w:tcPr>
          <w:p>
            <w:pPr>
              <w:widowControl/>
              <w:spacing w:line="240" w:lineRule="auto"/>
              <w:jc w:val="center"/>
              <w:rPr>
                <w:rFonts w:ascii="宋体" w:hAnsi="宋体" w:eastAsia="宋体" w:cs="宋体"/>
                <w:kern w:val="0"/>
                <w:sz w:val="22"/>
              </w:rPr>
            </w:pPr>
          </w:p>
        </w:tc>
      </w:tr>
      <w:tr>
        <w:tblPrEx>
          <w:tblCellMar>
            <w:top w:w="0" w:type="dxa"/>
            <w:left w:w="108" w:type="dxa"/>
            <w:bottom w:w="0" w:type="dxa"/>
            <w:right w:w="108" w:type="dxa"/>
          </w:tblCellMar>
        </w:tblPrEx>
        <w:trPr>
          <w:trHeight w:val="300" w:hRule="atLeast"/>
        </w:trPr>
        <w:tc>
          <w:tcPr>
            <w:tcW w:w="1110" w:type="pct"/>
            <w:vMerge w:val="continue"/>
            <w:tcBorders>
              <w:top w:val="single" w:color="auto" w:sz="4" w:space="0"/>
              <w:left w:val="single" w:color="auto" w:sz="4" w:space="0"/>
              <w:bottom w:val="single" w:color="auto" w:sz="4" w:space="0"/>
              <w:right w:val="single" w:color="auto" w:sz="4" w:space="0"/>
            </w:tcBorders>
            <w:shd w:val="clear" w:color="000000" w:fill="FFFFFF"/>
            <w:vAlign w:val="center"/>
          </w:tcPr>
          <w:p>
            <w:pPr>
              <w:spacing w:line="240" w:lineRule="auto"/>
              <w:jc w:val="center"/>
              <w:rPr>
                <w:rFonts w:ascii="宋体" w:hAnsi="宋体" w:eastAsia="宋体" w:cs="宋体"/>
                <w:kern w:val="0"/>
                <w:szCs w:val="24"/>
              </w:rPr>
            </w:pPr>
          </w:p>
        </w:tc>
        <w:tc>
          <w:tcPr>
            <w:tcW w:w="854" w:type="pct"/>
            <w:tcBorders>
              <w:top w:val="single" w:color="auto" w:sz="4" w:space="0"/>
              <w:left w:val="nil"/>
              <w:bottom w:val="single" w:color="auto" w:sz="4" w:space="0"/>
              <w:right w:val="single" w:color="auto" w:sz="4" w:space="0"/>
            </w:tcBorders>
            <w:shd w:val="clear" w:color="000000" w:fill="FFFFFF"/>
            <w:noWrap/>
            <w:vAlign w:val="center"/>
          </w:tcPr>
          <w:p>
            <w:pPr>
              <w:widowControl/>
              <w:spacing w:line="240" w:lineRule="auto"/>
              <w:jc w:val="center"/>
              <w:rPr>
                <w:rFonts w:ascii="宋体" w:hAnsi="宋体" w:eastAsia="宋体" w:cs="宋体"/>
                <w:kern w:val="0"/>
                <w:sz w:val="22"/>
              </w:rPr>
            </w:pPr>
            <w:r>
              <w:rPr>
                <w:rFonts w:hint="eastAsia" w:ascii="宋体" w:hAnsi="宋体" w:eastAsia="宋体" w:cs="宋体"/>
                <w:kern w:val="0"/>
                <w:sz w:val="22"/>
              </w:rPr>
              <w:t>注册资本</w:t>
            </w:r>
          </w:p>
        </w:tc>
        <w:tc>
          <w:tcPr>
            <w:tcW w:w="1280" w:type="pct"/>
            <w:gridSpan w:val="2"/>
            <w:tcBorders>
              <w:top w:val="single" w:color="auto" w:sz="4" w:space="0"/>
              <w:left w:val="nil"/>
              <w:bottom w:val="single" w:color="auto" w:sz="4" w:space="0"/>
              <w:right w:val="single" w:color="auto" w:sz="4" w:space="0"/>
            </w:tcBorders>
            <w:shd w:val="clear" w:color="000000" w:fill="FFFFFF"/>
            <w:noWrap/>
            <w:vAlign w:val="center"/>
          </w:tcPr>
          <w:p>
            <w:pPr>
              <w:widowControl/>
              <w:spacing w:line="240" w:lineRule="auto"/>
              <w:jc w:val="center"/>
              <w:rPr>
                <w:rFonts w:ascii="宋体" w:hAnsi="宋体" w:eastAsia="宋体" w:cs="宋体"/>
                <w:kern w:val="0"/>
                <w:sz w:val="22"/>
              </w:rPr>
            </w:pPr>
          </w:p>
        </w:tc>
        <w:tc>
          <w:tcPr>
            <w:tcW w:w="1175" w:type="pct"/>
            <w:gridSpan w:val="2"/>
            <w:tcBorders>
              <w:top w:val="single" w:color="auto" w:sz="4" w:space="0"/>
              <w:left w:val="nil"/>
              <w:bottom w:val="single" w:color="auto" w:sz="4" w:space="0"/>
              <w:right w:val="nil"/>
            </w:tcBorders>
            <w:shd w:val="clear" w:color="000000" w:fill="FFFFFF"/>
            <w:noWrap/>
            <w:vAlign w:val="center"/>
          </w:tcPr>
          <w:p>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办公场所面积</w:t>
            </w:r>
          </w:p>
        </w:tc>
        <w:tc>
          <w:tcPr>
            <w:tcW w:w="581" w:type="pct"/>
            <w:tcBorders>
              <w:top w:val="single" w:color="auto" w:sz="4" w:space="0"/>
              <w:left w:val="single" w:color="auto" w:sz="4" w:space="0"/>
              <w:bottom w:val="single" w:color="auto" w:sz="4" w:space="0"/>
              <w:right w:val="single" w:color="auto" w:sz="4" w:space="0"/>
            </w:tcBorders>
            <w:shd w:val="clear" w:color="000000" w:fill="FFFFFF"/>
            <w:noWrap/>
            <w:vAlign w:val="center"/>
          </w:tcPr>
          <w:p>
            <w:pPr>
              <w:widowControl/>
              <w:spacing w:line="240" w:lineRule="auto"/>
              <w:jc w:val="center"/>
              <w:rPr>
                <w:rFonts w:ascii="宋体" w:hAnsi="宋体" w:eastAsia="宋体" w:cs="宋体"/>
                <w:kern w:val="0"/>
                <w:sz w:val="22"/>
              </w:rPr>
            </w:pPr>
          </w:p>
        </w:tc>
      </w:tr>
      <w:tr>
        <w:tblPrEx>
          <w:tblCellMar>
            <w:top w:w="0" w:type="dxa"/>
            <w:left w:w="108" w:type="dxa"/>
            <w:bottom w:w="0" w:type="dxa"/>
            <w:right w:w="108" w:type="dxa"/>
          </w:tblCellMar>
        </w:tblPrEx>
        <w:trPr>
          <w:trHeight w:val="516" w:hRule="atLeast"/>
        </w:trPr>
        <w:tc>
          <w:tcPr>
            <w:tcW w:w="1110"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单位简介及机构情况</w:t>
            </w:r>
          </w:p>
        </w:tc>
        <w:tc>
          <w:tcPr>
            <w:tcW w:w="3890" w:type="pct"/>
            <w:gridSpan w:val="6"/>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kern w:val="0"/>
                <w:szCs w:val="24"/>
              </w:rPr>
            </w:pPr>
          </w:p>
        </w:tc>
      </w:tr>
      <w:tr>
        <w:tblPrEx>
          <w:tblCellMar>
            <w:top w:w="0" w:type="dxa"/>
            <w:left w:w="108" w:type="dxa"/>
            <w:bottom w:w="0" w:type="dxa"/>
            <w:right w:w="108" w:type="dxa"/>
          </w:tblCellMar>
        </w:tblPrEx>
        <w:trPr>
          <w:trHeight w:val="419" w:hRule="atLeast"/>
        </w:trPr>
        <w:tc>
          <w:tcPr>
            <w:tcW w:w="1110"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单位优势及特长</w:t>
            </w:r>
          </w:p>
        </w:tc>
        <w:tc>
          <w:tcPr>
            <w:tcW w:w="3890" w:type="pct"/>
            <w:gridSpan w:val="6"/>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kern w:val="0"/>
                <w:szCs w:val="24"/>
              </w:rPr>
            </w:pPr>
          </w:p>
        </w:tc>
      </w:tr>
      <w:tr>
        <w:tblPrEx>
          <w:tblCellMar>
            <w:top w:w="0" w:type="dxa"/>
            <w:left w:w="108" w:type="dxa"/>
            <w:bottom w:w="0" w:type="dxa"/>
            <w:right w:w="108" w:type="dxa"/>
          </w:tblCellMar>
        </w:tblPrEx>
        <w:trPr>
          <w:trHeight w:val="446" w:hRule="atLeast"/>
        </w:trPr>
        <w:tc>
          <w:tcPr>
            <w:tcW w:w="1110"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人才优势及技能</w:t>
            </w:r>
          </w:p>
        </w:tc>
        <w:tc>
          <w:tcPr>
            <w:tcW w:w="3890" w:type="pct"/>
            <w:gridSpan w:val="6"/>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kern w:val="0"/>
                <w:szCs w:val="24"/>
              </w:rPr>
            </w:pPr>
          </w:p>
        </w:tc>
      </w:tr>
      <w:tr>
        <w:tblPrEx>
          <w:tblCellMar>
            <w:top w:w="0" w:type="dxa"/>
            <w:left w:w="108" w:type="dxa"/>
            <w:bottom w:w="0" w:type="dxa"/>
            <w:right w:w="108" w:type="dxa"/>
          </w:tblCellMar>
        </w:tblPrEx>
        <w:trPr>
          <w:trHeight w:val="858" w:hRule="atLeast"/>
        </w:trPr>
        <w:tc>
          <w:tcPr>
            <w:tcW w:w="1110" w:type="pct"/>
            <w:tcBorders>
              <w:top w:val="nil"/>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color w:val="00B050"/>
                <w:kern w:val="0"/>
                <w:szCs w:val="24"/>
              </w:rPr>
            </w:pPr>
            <w:r>
              <w:t>单位</w:t>
            </w:r>
            <w:r>
              <w:rPr>
                <w:rFonts w:hint="eastAsia"/>
              </w:rPr>
              <w:t>具备</w:t>
            </w:r>
            <w:r>
              <w:rPr>
                <w:rFonts w:hint="eastAsia" w:ascii="Arial" w:hAnsi="Arial" w:cs="Arial"/>
                <w:bCs/>
                <w:color w:val="000000"/>
              </w:rPr>
              <w:t>所必需设备或专业技术能力的说明</w:t>
            </w:r>
          </w:p>
        </w:tc>
        <w:tc>
          <w:tcPr>
            <w:tcW w:w="3890" w:type="pct"/>
            <w:gridSpan w:val="6"/>
            <w:tcBorders>
              <w:top w:val="single" w:color="auto" w:sz="4" w:space="0"/>
              <w:left w:val="nil"/>
              <w:bottom w:val="single" w:color="auto" w:sz="4" w:space="0"/>
              <w:right w:val="single" w:color="000000" w:sz="4" w:space="0"/>
            </w:tcBorders>
            <w:shd w:val="clear" w:color="auto" w:fill="auto"/>
          </w:tcPr>
          <w:p>
            <w:pPr>
              <w:widowControl/>
              <w:spacing w:line="240" w:lineRule="auto"/>
              <w:jc w:val="center"/>
              <w:rPr>
                <w:rFonts w:ascii="宋体" w:hAnsi="宋体" w:eastAsia="宋体" w:cs="宋体"/>
                <w:color w:val="000000"/>
                <w:kern w:val="0"/>
                <w:szCs w:val="24"/>
              </w:rPr>
            </w:pPr>
          </w:p>
        </w:tc>
      </w:tr>
      <w:tr>
        <w:tblPrEx>
          <w:tblCellMar>
            <w:top w:w="0" w:type="dxa"/>
            <w:left w:w="108" w:type="dxa"/>
            <w:bottom w:w="0" w:type="dxa"/>
            <w:right w:w="108" w:type="dxa"/>
          </w:tblCellMar>
        </w:tblPrEx>
        <w:trPr>
          <w:trHeight w:val="858" w:hRule="atLeast"/>
        </w:trPr>
        <w:tc>
          <w:tcPr>
            <w:tcW w:w="1110" w:type="pct"/>
            <w:tcBorders>
              <w:top w:val="nil"/>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资质证书</w:t>
            </w:r>
          </w:p>
        </w:tc>
        <w:tc>
          <w:tcPr>
            <w:tcW w:w="3890" w:type="pct"/>
            <w:gridSpan w:val="6"/>
            <w:tcBorders>
              <w:top w:val="single" w:color="auto" w:sz="4" w:space="0"/>
              <w:left w:val="nil"/>
              <w:bottom w:val="single" w:color="auto" w:sz="4" w:space="0"/>
              <w:right w:val="single" w:color="000000" w:sz="4" w:space="0"/>
            </w:tcBorders>
            <w:shd w:val="clear" w:color="auto" w:fill="auto"/>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　</w:t>
            </w:r>
          </w:p>
        </w:tc>
      </w:tr>
      <w:tr>
        <w:tblPrEx>
          <w:tblCellMar>
            <w:top w:w="0" w:type="dxa"/>
            <w:left w:w="108" w:type="dxa"/>
            <w:bottom w:w="0" w:type="dxa"/>
            <w:right w:w="108" w:type="dxa"/>
          </w:tblCellMar>
        </w:tblPrEx>
        <w:trPr>
          <w:trHeight w:val="313" w:hRule="atLeast"/>
        </w:trPr>
        <w:tc>
          <w:tcPr>
            <w:tcW w:w="1110" w:type="pct"/>
            <w:vMerge w:val="restart"/>
            <w:tcBorders>
              <w:top w:val="nil"/>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单位概况</w:t>
            </w:r>
          </w:p>
        </w:tc>
        <w:tc>
          <w:tcPr>
            <w:tcW w:w="854" w:type="pct"/>
            <w:vMerge w:val="restart"/>
            <w:tcBorders>
              <w:top w:val="nil"/>
              <w:left w:val="single" w:color="auto" w:sz="4" w:space="0"/>
              <w:bottom w:val="single" w:color="000000" w:sz="4" w:space="0"/>
              <w:right w:val="single" w:color="auto" w:sz="4" w:space="0"/>
            </w:tcBorders>
            <w:shd w:val="clear" w:color="auto" w:fill="auto"/>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职工情况（人）</w:t>
            </w:r>
          </w:p>
        </w:tc>
        <w:tc>
          <w:tcPr>
            <w:tcW w:w="1012" w:type="pct"/>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职工总数</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管理人员</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技术人员</w:t>
            </w:r>
          </w:p>
        </w:tc>
      </w:tr>
      <w:tr>
        <w:tblPrEx>
          <w:tblCellMar>
            <w:top w:w="0" w:type="dxa"/>
            <w:left w:w="108" w:type="dxa"/>
            <w:bottom w:w="0" w:type="dxa"/>
            <w:right w:w="108" w:type="dxa"/>
          </w:tblCellMar>
        </w:tblPrEx>
        <w:trPr>
          <w:trHeight w:val="486"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vMerge w:val="continue"/>
            <w:tcBorders>
              <w:top w:val="nil"/>
              <w:left w:val="single" w:color="auto" w:sz="4" w:space="0"/>
              <w:bottom w:val="single" w:color="000000"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1012" w:type="pct"/>
            <w:tcBorders>
              <w:top w:val="nil"/>
              <w:left w:val="nil"/>
              <w:bottom w:val="nil"/>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nil"/>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nil"/>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企业资产</w:t>
            </w:r>
            <w:r>
              <w:rPr>
                <w:rFonts w:hint="eastAsia" w:ascii="宋体" w:hAnsi="宋体" w:eastAsia="宋体" w:cs="宋体"/>
                <w:color w:val="000000"/>
                <w:kern w:val="0"/>
                <w:szCs w:val="24"/>
              </w:rPr>
              <w:br w:type="textWrapping"/>
            </w:r>
            <w:r>
              <w:rPr>
                <w:rFonts w:hint="eastAsia" w:ascii="宋体" w:hAnsi="宋体" w:eastAsia="宋体" w:cs="宋体"/>
                <w:color w:val="000000"/>
                <w:kern w:val="0"/>
                <w:szCs w:val="24"/>
              </w:rPr>
              <w:t>（万元）</w:t>
            </w:r>
          </w:p>
        </w:tc>
        <w:tc>
          <w:tcPr>
            <w:tcW w:w="1012" w:type="pct"/>
            <w:tcBorders>
              <w:top w:val="single" w:color="auto" w:sz="4" w:space="0"/>
              <w:left w:val="nil"/>
              <w:bottom w:val="single" w:color="auto" w:sz="4" w:space="0"/>
              <w:right w:val="single" w:color="auto" w:sz="4" w:space="0"/>
            </w:tcBorders>
            <w:shd w:val="clear" w:color="auto" w:fill="FFFFFF" w:themeFill="background1"/>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企业总资产</w:t>
            </w:r>
          </w:p>
        </w:tc>
        <w:tc>
          <w:tcPr>
            <w:tcW w:w="1012" w:type="pct"/>
            <w:gridSpan w:val="2"/>
            <w:tcBorders>
              <w:top w:val="single" w:color="auto" w:sz="4" w:space="0"/>
              <w:left w:val="nil"/>
              <w:bottom w:val="single" w:color="auto" w:sz="4" w:space="0"/>
              <w:right w:val="single" w:color="auto" w:sz="4" w:space="0"/>
            </w:tcBorders>
            <w:shd w:val="clear" w:color="auto" w:fill="FFFFFF" w:themeFill="background1"/>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货币资金</w:t>
            </w:r>
          </w:p>
        </w:tc>
        <w:tc>
          <w:tcPr>
            <w:tcW w:w="1012" w:type="pct"/>
            <w:gridSpan w:val="2"/>
            <w:tcBorders>
              <w:top w:val="single" w:color="auto" w:sz="4" w:space="0"/>
              <w:left w:val="nil"/>
              <w:bottom w:val="single" w:color="auto" w:sz="4" w:space="0"/>
              <w:right w:val="single" w:color="auto" w:sz="4" w:space="0"/>
            </w:tcBorders>
            <w:shd w:val="clear" w:color="auto" w:fill="FFFFFF" w:themeFill="background1"/>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固定资产净值</w:t>
            </w:r>
          </w:p>
        </w:tc>
      </w:tr>
      <w:tr>
        <w:tblPrEx>
          <w:tblCellMar>
            <w:top w:w="0" w:type="dxa"/>
            <w:left w:w="108" w:type="dxa"/>
            <w:bottom w:w="0" w:type="dxa"/>
            <w:right w:w="108" w:type="dxa"/>
          </w:tblCellMar>
        </w:tblPrEx>
        <w:trPr>
          <w:trHeight w:val="283"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widowControl/>
              <w:spacing w:line="240" w:lineRule="auto"/>
              <w:jc w:val="left"/>
              <w:rPr>
                <w:rFonts w:ascii="宋体" w:hAnsi="宋体" w:eastAsia="宋体" w:cs="宋体"/>
                <w:color w:val="000000"/>
                <w:kern w:val="0"/>
                <w:szCs w:val="24"/>
              </w:rPr>
            </w:pPr>
          </w:p>
        </w:tc>
        <w:tc>
          <w:tcPr>
            <w:tcW w:w="1012" w:type="pct"/>
            <w:tcBorders>
              <w:top w:val="single" w:color="auto" w:sz="4" w:space="0"/>
              <w:left w:val="nil"/>
              <w:bottom w:val="single" w:color="auto" w:sz="4" w:space="0"/>
              <w:right w:val="single" w:color="auto" w:sz="4" w:space="0"/>
            </w:tcBorders>
            <w:shd w:val="clear" w:color="auto" w:fill="FFFFFF" w:themeFill="background1"/>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single" w:color="auto" w:sz="4" w:space="0"/>
              <w:left w:val="nil"/>
              <w:bottom w:val="single" w:color="auto" w:sz="4" w:space="0"/>
              <w:right w:val="single" w:color="auto" w:sz="4" w:space="0"/>
            </w:tcBorders>
            <w:shd w:val="clear" w:color="auto" w:fill="FFFFFF" w:themeFill="background1"/>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single" w:color="auto" w:sz="4" w:space="0"/>
              <w:left w:val="nil"/>
              <w:bottom w:val="single" w:color="auto" w:sz="4" w:space="0"/>
              <w:right w:val="single" w:color="auto" w:sz="4" w:space="0"/>
            </w:tcBorders>
            <w:shd w:val="clear" w:color="auto" w:fill="FFFFFF" w:themeFill="background1"/>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00" w:hRule="atLeast"/>
        </w:trPr>
        <w:tc>
          <w:tcPr>
            <w:tcW w:w="1110" w:type="pct"/>
            <w:vMerge w:val="restart"/>
            <w:tcBorders>
              <w:top w:val="nil"/>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企业财务状况</w:t>
            </w:r>
          </w:p>
        </w:tc>
        <w:tc>
          <w:tcPr>
            <w:tcW w:w="854" w:type="pct"/>
            <w:tcBorders>
              <w:top w:val="nil"/>
              <w:left w:val="nil"/>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年度</w:t>
            </w:r>
          </w:p>
        </w:tc>
        <w:tc>
          <w:tcPr>
            <w:tcW w:w="1012" w:type="pct"/>
            <w:tcBorders>
              <w:top w:val="nil"/>
              <w:left w:val="nil"/>
              <w:bottom w:val="single" w:color="auto" w:sz="4" w:space="0"/>
              <w:right w:val="single" w:color="auto" w:sz="4" w:space="0"/>
            </w:tcBorders>
            <w:shd w:val="clear" w:color="auto" w:fill="auto"/>
            <w:noWrap/>
            <w:vAlign w:val="center"/>
          </w:tcPr>
          <w:p>
            <w:pPr>
              <w:widowControl/>
              <w:adjustRightInd/>
              <w:snapToGrid/>
              <w:spacing w:line="240" w:lineRule="auto"/>
              <w:jc w:val="center"/>
              <w:rPr>
                <w:rFonts w:ascii="宋体" w:hAnsi="宋体" w:eastAsia="宋体" w:cs="宋体"/>
                <w:color w:val="auto"/>
                <w:kern w:val="0"/>
                <w:szCs w:val="24"/>
              </w:rPr>
            </w:pPr>
            <w:r>
              <w:rPr>
                <w:color w:val="auto"/>
                <w:szCs w:val="24"/>
              </w:rPr>
              <w:t>20</w:t>
            </w:r>
            <w:r>
              <w:rPr>
                <w:rFonts w:hint="eastAsia"/>
                <w:color w:val="auto"/>
                <w:szCs w:val="24"/>
                <w:lang w:val="en-US" w:eastAsia="zh-CN"/>
              </w:rPr>
              <w:t>23</w:t>
            </w:r>
            <w:r>
              <w:rPr>
                <w:color w:val="auto"/>
                <w:szCs w:val="24"/>
              </w:rPr>
              <w:t>年</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auto"/>
                <w:kern w:val="0"/>
                <w:szCs w:val="24"/>
              </w:rPr>
            </w:pPr>
            <w:r>
              <w:rPr>
                <w:rFonts w:hint="eastAsia" w:ascii="宋体" w:hAnsi="宋体" w:eastAsia="宋体" w:cs="宋体"/>
                <w:color w:val="auto"/>
                <w:kern w:val="0"/>
                <w:szCs w:val="24"/>
              </w:rPr>
              <w:t>20</w:t>
            </w:r>
            <w:r>
              <w:rPr>
                <w:rFonts w:hint="eastAsia" w:ascii="宋体" w:hAnsi="宋体" w:eastAsia="宋体" w:cs="宋体"/>
                <w:color w:val="auto"/>
                <w:kern w:val="0"/>
                <w:szCs w:val="24"/>
                <w:lang w:val="en-US" w:eastAsia="zh-CN"/>
              </w:rPr>
              <w:t>22</w:t>
            </w:r>
            <w:r>
              <w:rPr>
                <w:color w:val="auto"/>
                <w:szCs w:val="24"/>
              </w:rPr>
              <w:t>年</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auto"/>
                <w:kern w:val="0"/>
                <w:szCs w:val="24"/>
              </w:rPr>
            </w:pPr>
            <w:r>
              <w:rPr>
                <w:rFonts w:hint="eastAsia" w:ascii="宋体" w:hAnsi="宋体" w:eastAsia="宋体" w:cs="宋体"/>
                <w:color w:val="auto"/>
                <w:kern w:val="0"/>
                <w:szCs w:val="24"/>
              </w:rPr>
              <w:t>20</w:t>
            </w:r>
            <w:r>
              <w:rPr>
                <w:rFonts w:hint="eastAsia" w:ascii="宋体" w:hAnsi="宋体" w:eastAsia="宋体" w:cs="宋体"/>
                <w:color w:val="auto"/>
                <w:kern w:val="0"/>
                <w:szCs w:val="24"/>
                <w:lang w:val="en-US" w:eastAsia="zh-CN"/>
              </w:rPr>
              <w:t>21</w:t>
            </w:r>
            <w:r>
              <w:rPr>
                <w:color w:val="auto"/>
                <w:szCs w:val="24"/>
              </w:rPr>
              <w:t>年</w:t>
            </w:r>
          </w:p>
        </w:tc>
      </w:tr>
      <w:tr>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营业收入</w:t>
            </w:r>
          </w:p>
        </w:tc>
        <w:tc>
          <w:tcPr>
            <w:tcW w:w="1012" w:type="pct"/>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营业成本</w:t>
            </w:r>
          </w:p>
        </w:tc>
        <w:tc>
          <w:tcPr>
            <w:tcW w:w="1012" w:type="pct"/>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应收账款</w:t>
            </w:r>
          </w:p>
        </w:tc>
        <w:tc>
          <w:tcPr>
            <w:tcW w:w="1012" w:type="pct"/>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净利润</w:t>
            </w:r>
          </w:p>
        </w:tc>
        <w:tc>
          <w:tcPr>
            <w:tcW w:w="1012" w:type="pct"/>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资产总计</w:t>
            </w:r>
          </w:p>
        </w:tc>
        <w:tc>
          <w:tcPr>
            <w:tcW w:w="1012" w:type="pct"/>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负债合计</w:t>
            </w:r>
          </w:p>
        </w:tc>
        <w:tc>
          <w:tcPr>
            <w:tcW w:w="1012" w:type="pct"/>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560"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经营活动产生的现金流量净额</w:t>
            </w:r>
          </w:p>
        </w:tc>
        <w:tc>
          <w:tcPr>
            <w:tcW w:w="1012" w:type="pct"/>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bl>
    <w:p>
      <w:pPr>
        <w:widowControl/>
        <w:adjustRightInd/>
        <w:snapToGrid/>
        <w:spacing w:line="240" w:lineRule="auto"/>
        <w:jc w:val="left"/>
      </w:pPr>
    </w:p>
    <w:p>
      <w:pPr>
        <w:widowControl/>
        <w:adjustRightInd/>
        <w:snapToGrid/>
        <w:spacing w:line="240" w:lineRule="auto"/>
        <w:jc w:val="left"/>
      </w:pPr>
      <w:r>
        <w:rPr>
          <w:rFonts w:hint="eastAsia"/>
        </w:rPr>
        <w:t>【注：</w:t>
      </w:r>
      <w:r>
        <w:rPr>
          <w:rFonts w:hint="eastAsia"/>
          <w:bCs/>
        </w:rPr>
        <w:t>可在本声明书后附上其他材料证明投标人设备和技术能力（例如生产设备照片、研发成果知识产权证明、技术人员证书等），但这些其他材料不作为强制要求。</w:t>
      </w:r>
      <w:r>
        <w:rPr>
          <w:rFonts w:hint="eastAsia"/>
        </w:rPr>
        <w:t>】</w:t>
      </w:r>
    </w:p>
    <w:p>
      <w:pPr>
        <w:pStyle w:val="45"/>
        <w:ind w:firstLine="480"/>
        <w:rPr>
          <w:rFonts w:ascii="宋体"/>
        </w:rPr>
      </w:pPr>
      <w:r>
        <w:rPr>
          <w:rFonts w:ascii="宋体"/>
        </w:rPr>
        <w:t>3</w:t>
      </w:r>
      <w:r>
        <w:rPr>
          <w:rFonts w:hint="eastAsia" w:ascii="宋体"/>
        </w:rPr>
        <w:t>、我方有依法缴纳税收和社会保障资金的良好记录。</w:t>
      </w:r>
    </w:p>
    <w:p>
      <w:pPr>
        <w:pStyle w:val="45"/>
        <w:ind w:firstLine="480"/>
        <w:rPr>
          <w:rFonts w:ascii="宋体"/>
        </w:rPr>
      </w:pPr>
      <w:r>
        <w:rPr>
          <w:rFonts w:hint="eastAsia" w:ascii="宋体"/>
        </w:rPr>
        <w:t>4、我单位近三年内在经营活动中没有重大违法记录，我单位未被列入失信被执行人、重大税收违法案件当事人名单、政府采购严重违法失信行为记录名单。</w:t>
      </w:r>
    </w:p>
    <w:p>
      <w:pPr>
        <w:pStyle w:val="45"/>
        <w:ind w:firstLine="480"/>
      </w:pPr>
      <w:r>
        <w:t>5</w:t>
      </w:r>
      <w:r>
        <w:rPr>
          <w:rFonts w:hint="eastAsia"/>
        </w:rPr>
        <w:t>、针对投标人须知2.2条第3项第（2）款的规定，我方声明：与我方存在单位负责人与我方为同一人或者与我方存在直接控股、管理关系情况的其他供应商如下表：</w:t>
      </w:r>
    </w:p>
    <w:tbl>
      <w:tblPr>
        <w:tblStyle w:val="20"/>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1"/>
        <w:gridCol w:w="3827"/>
        <w:gridCol w:w="4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pPr>
              <w:pStyle w:val="45"/>
              <w:ind w:firstLine="0" w:firstLineChars="0"/>
              <w:jc w:val="center"/>
            </w:pPr>
            <w:r>
              <w:rPr>
                <w:rFonts w:hint="eastAsia"/>
              </w:rPr>
              <w:t>序号</w:t>
            </w:r>
          </w:p>
        </w:tc>
        <w:tc>
          <w:tcPr>
            <w:tcW w:w="3827" w:type="dxa"/>
          </w:tcPr>
          <w:p>
            <w:pPr>
              <w:pStyle w:val="45"/>
              <w:ind w:firstLine="0" w:firstLineChars="0"/>
              <w:jc w:val="center"/>
            </w:pPr>
            <w:r>
              <w:rPr>
                <w:rFonts w:hint="eastAsia"/>
              </w:rPr>
              <w:t>供应商名称</w:t>
            </w:r>
          </w:p>
        </w:tc>
        <w:tc>
          <w:tcPr>
            <w:tcW w:w="4394" w:type="dxa"/>
          </w:tcPr>
          <w:p>
            <w:pPr>
              <w:pStyle w:val="45"/>
              <w:ind w:firstLine="0" w:firstLineChars="0"/>
              <w:jc w:val="center"/>
            </w:pPr>
            <w:r>
              <w:rPr>
                <w:rFonts w:hint="eastAsia"/>
              </w:rPr>
              <w:t>相互关系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pPr>
              <w:pStyle w:val="45"/>
              <w:ind w:firstLine="0" w:firstLineChars="0"/>
            </w:pPr>
          </w:p>
        </w:tc>
        <w:tc>
          <w:tcPr>
            <w:tcW w:w="3827" w:type="dxa"/>
          </w:tcPr>
          <w:p>
            <w:pPr>
              <w:pStyle w:val="45"/>
              <w:ind w:firstLine="0" w:firstLineChars="0"/>
            </w:pPr>
            <w:r>
              <w:rPr>
                <w:rFonts w:hint="eastAsia"/>
              </w:rPr>
              <w:t>【如不存在与投标人单位负责人同一人或者与直接控股、管理关系的供应商，可在此处填写“无”】</w:t>
            </w:r>
          </w:p>
        </w:tc>
        <w:tc>
          <w:tcPr>
            <w:tcW w:w="4394" w:type="dxa"/>
          </w:tcPr>
          <w:p>
            <w:pPr>
              <w:pStyle w:val="45"/>
              <w:ind w:firstLine="0" w:firstLineChars="0"/>
            </w:pPr>
            <w:r>
              <w:rPr>
                <w:rFonts w:hint="eastAsia"/>
              </w:rPr>
              <w:t>【请填写：单位负责人为同一人、直接控股我方、直接管理我方、由我方直接控股或由我方直接管理】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pPr>
              <w:pStyle w:val="45"/>
              <w:ind w:firstLine="0" w:firstLineChars="0"/>
            </w:pPr>
          </w:p>
        </w:tc>
        <w:tc>
          <w:tcPr>
            <w:tcW w:w="3827" w:type="dxa"/>
          </w:tcPr>
          <w:p>
            <w:pPr>
              <w:pStyle w:val="45"/>
              <w:ind w:firstLine="0" w:firstLineChars="0"/>
            </w:pPr>
          </w:p>
        </w:tc>
        <w:tc>
          <w:tcPr>
            <w:tcW w:w="4394" w:type="dxa"/>
          </w:tcPr>
          <w:p>
            <w:pPr>
              <w:pStyle w:val="45"/>
              <w:ind w:firstLine="0" w:firstLineChars="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pPr>
              <w:pStyle w:val="45"/>
              <w:ind w:firstLine="0" w:firstLineChars="0"/>
            </w:pPr>
          </w:p>
        </w:tc>
        <w:tc>
          <w:tcPr>
            <w:tcW w:w="3827" w:type="dxa"/>
          </w:tcPr>
          <w:p>
            <w:pPr>
              <w:pStyle w:val="45"/>
              <w:ind w:firstLine="0" w:firstLineChars="0"/>
            </w:pPr>
          </w:p>
        </w:tc>
        <w:tc>
          <w:tcPr>
            <w:tcW w:w="4394" w:type="dxa"/>
          </w:tcPr>
          <w:p>
            <w:pPr>
              <w:pStyle w:val="45"/>
              <w:ind w:firstLine="0" w:firstLineChars="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pPr>
              <w:pStyle w:val="45"/>
              <w:ind w:firstLine="0" w:firstLineChars="0"/>
            </w:pPr>
          </w:p>
        </w:tc>
        <w:tc>
          <w:tcPr>
            <w:tcW w:w="3827" w:type="dxa"/>
          </w:tcPr>
          <w:p>
            <w:pPr>
              <w:pStyle w:val="45"/>
              <w:ind w:firstLine="0" w:firstLineChars="0"/>
            </w:pPr>
          </w:p>
        </w:tc>
        <w:tc>
          <w:tcPr>
            <w:tcW w:w="4394" w:type="dxa"/>
          </w:tcPr>
          <w:p>
            <w:pPr>
              <w:pStyle w:val="45"/>
              <w:ind w:firstLine="0" w:firstLineChars="0"/>
            </w:pPr>
          </w:p>
        </w:tc>
      </w:tr>
    </w:tbl>
    <w:p>
      <w:pPr>
        <w:pStyle w:val="45"/>
        <w:ind w:firstLine="480"/>
        <w:rPr>
          <w:color w:val="auto"/>
        </w:rPr>
      </w:pPr>
      <w:r>
        <w:rPr>
          <w:color w:val="auto"/>
        </w:rPr>
        <w:t>6</w:t>
      </w:r>
      <w:r>
        <w:rPr>
          <w:rFonts w:hint="eastAsia"/>
          <w:color w:val="auto"/>
        </w:rPr>
        <w:t>、针对投标人须知2.2条第3项第（2）款的规定，我方声明：若我方受托为采购项目提供了整体设计、规范编制或者项目管理、监理、检测等服务，则自动放弃参加该采购项目的其他采购活动。</w:t>
      </w:r>
    </w:p>
    <w:p>
      <w:pPr>
        <w:pStyle w:val="45"/>
        <w:ind w:firstLine="480"/>
        <w:rPr>
          <w:rFonts w:ascii="宋体"/>
        </w:rPr>
      </w:pPr>
      <w:r>
        <w:t>上述声明真实有效，否则我方负全部责任</w:t>
      </w:r>
      <w:r>
        <w:rPr>
          <w:rFonts w:hint="eastAsia"/>
        </w:rPr>
        <w:t>，</w:t>
      </w:r>
      <w:r>
        <w:rPr>
          <w:rFonts w:ascii="宋体"/>
        </w:rPr>
        <w:t>并承担因此引起的一切后果。</w:t>
      </w:r>
    </w:p>
    <w:p>
      <w:pPr>
        <w:ind w:firstLine="480" w:firstLineChars="200"/>
        <w:rPr>
          <w:szCs w:val="22"/>
        </w:rPr>
      </w:pPr>
    </w:p>
    <w:p>
      <w:pPr>
        <w:ind w:left="3542" w:leftChars="1476"/>
        <w:rPr>
          <w:rFonts w:ascii="Calibri"/>
        </w:rPr>
      </w:pPr>
      <w:r>
        <w:rPr>
          <w:rFonts w:hint="eastAsia" w:ascii="Calibri"/>
        </w:rPr>
        <w:t>投标人名称（公章）：_</w:t>
      </w:r>
      <w:r>
        <w:rPr>
          <w:rFonts w:ascii="Calibri"/>
        </w:rPr>
        <w:t>__________</w:t>
      </w:r>
    </w:p>
    <w:p>
      <w:pPr>
        <w:ind w:left="3542" w:leftChars="1476"/>
        <w:rPr>
          <w:rFonts w:ascii="Calibri"/>
        </w:rPr>
      </w:pPr>
    </w:p>
    <w:p>
      <w:pPr>
        <w:rPr>
          <w:rFonts w:ascii="Calibri"/>
        </w:rPr>
      </w:pPr>
    </w:p>
    <w:p>
      <w:pPr>
        <w:widowControl/>
        <w:adjustRightInd/>
        <w:snapToGrid/>
        <w:spacing w:line="240" w:lineRule="auto"/>
        <w:jc w:val="left"/>
        <w:rPr>
          <w:rFonts w:hAnsi="宋体" w:cs="Times New Roman"/>
          <w:b/>
          <w:bCs/>
          <w:sz w:val="28"/>
          <w:szCs w:val="32"/>
        </w:rPr>
      </w:pPr>
    </w:p>
    <w:p>
      <w:pPr>
        <w:widowControl/>
        <w:adjustRightInd/>
        <w:snapToGrid/>
        <w:spacing w:line="240" w:lineRule="auto"/>
        <w:jc w:val="left"/>
      </w:pPr>
      <w:r>
        <w:br w:type="page"/>
      </w:r>
    </w:p>
    <w:p>
      <w:pPr>
        <w:ind w:firstLine="3290" w:firstLineChars="1371"/>
      </w:pPr>
    </w:p>
    <w:p>
      <w:pPr>
        <w:pStyle w:val="4"/>
      </w:pPr>
      <w:bookmarkStart w:id="220" w:name="_Toc2957"/>
      <w:r>
        <w:rPr>
          <w:rFonts w:hint="eastAsia"/>
        </w:rPr>
        <w:t>附件</w:t>
      </w:r>
      <w:r>
        <w:t xml:space="preserve">10 </w:t>
      </w:r>
      <w:r>
        <w:rPr>
          <w:rFonts w:hint="eastAsia"/>
        </w:rPr>
        <w:t>政府采购政策落实附件及其他文件</w:t>
      </w:r>
      <w:bookmarkEnd w:id="220"/>
    </w:p>
    <w:p>
      <w:pPr>
        <w:pStyle w:val="44"/>
      </w:pPr>
      <w:bookmarkStart w:id="221" w:name="_Toc13932"/>
      <w:bookmarkStart w:id="222" w:name="_Hlk44011180"/>
      <w:r>
        <w:t>10</w:t>
      </w:r>
      <w:r>
        <w:rPr>
          <w:rFonts w:hint="eastAsia"/>
        </w:rPr>
        <w:t>-</w:t>
      </w:r>
      <w:r>
        <w:t>1</w:t>
      </w:r>
      <w:r>
        <w:rPr>
          <w:rFonts w:hint="eastAsia"/>
        </w:rPr>
        <w:t>、中小企业声明函格式</w:t>
      </w:r>
      <w:bookmarkEnd w:id="221"/>
    </w:p>
    <w:p>
      <w:pPr>
        <w:rPr>
          <w:rFonts w:hAnsi="宋体" w:cs="宋体"/>
          <w:szCs w:val="24"/>
        </w:rPr>
      </w:pPr>
      <w:r>
        <w:rPr>
          <w:rFonts w:hint="eastAsia"/>
        </w:rPr>
        <w:t>【对招标文件第一章第二条第2项“落实政府采购政策需满足的资格要求”为“无”的项目/包件，此项格式文件应编入《商务技术分册》。对招标文件第一章第二条第2项“落实政府采购政策需满足的资格要求”有具体要求的项目/包件，此项格式文件应编入《资格、资信证明文件分册》。】</w:t>
      </w:r>
    </w:p>
    <w:p>
      <w:pPr>
        <w:spacing w:line="360" w:lineRule="auto"/>
        <w:jc w:val="center"/>
        <w:rPr>
          <w:rFonts w:hAnsi="Calibri" w:cs="Times New Roman"/>
          <w:b/>
          <w:bCs/>
        </w:rPr>
      </w:pPr>
      <w:r>
        <w:rPr>
          <w:rFonts w:hint="eastAsia" w:hAnsi="Calibri" w:cs="Times New Roman"/>
          <w:b/>
          <w:bCs/>
        </w:rPr>
        <w:t>中小企业声明函</w:t>
      </w:r>
    </w:p>
    <w:p>
      <w:pPr>
        <w:ind w:firstLine="480" w:firstLineChars="200"/>
        <w:jc w:val="left"/>
        <w:rPr>
          <w:rFonts w:hAnsi="宋体" w:cs="宋体"/>
          <w:szCs w:val="24"/>
        </w:rPr>
      </w:pPr>
      <w:r>
        <w:rPr>
          <w:rFonts w:hint="eastAsia" w:hAnsi="宋体" w:cs="宋体"/>
          <w:szCs w:val="24"/>
        </w:rPr>
        <w:t>本公司（联合体）郑重声明，根据《政府采购促进中小企业发展管理办法》（财库﹝2020﹞46 号）的规定，本公司（联合体）参加</w:t>
      </w:r>
      <w:r>
        <w:rPr>
          <w:rFonts w:hint="eastAsia" w:hAnsi="宋体" w:cs="宋体"/>
          <w:szCs w:val="24"/>
          <w:u w:val="single"/>
        </w:rPr>
        <w:t>【采购人单位名称】</w:t>
      </w:r>
      <w:r>
        <w:rPr>
          <w:rFonts w:hint="eastAsia" w:hAnsi="宋体" w:cs="宋体"/>
          <w:szCs w:val="24"/>
        </w:rPr>
        <w:t>的</w:t>
      </w:r>
      <w:r>
        <w:rPr>
          <w:rFonts w:hint="eastAsia" w:hAnsi="宋体" w:cs="宋体"/>
          <w:szCs w:val="24"/>
          <w:u w:val="single"/>
        </w:rPr>
        <w:t>【项目名称】</w:t>
      </w:r>
      <w:r>
        <w:rPr>
          <w:rFonts w:hint="eastAsia" w:hAnsi="宋体" w:cs="宋体"/>
          <w:szCs w:val="24"/>
        </w:rPr>
        <w:t>采购活动，服务全部由符合政策要求的中小企业承接。相关企业（含联合体中的中小企业、签订分包意向协议的中小企业）的具体情况如下：</w:t>
      </w:r>
    </w:p>
    <w:p>
      <w:pPr>
        <w:ind w:firstLine="480" w:firstLineChars="200"/>
        <w:jc w:val="left"/>
        <w:rPr>
          <w:rFonts w:hAnsi="宋体" w:cs="宋体"/>
          <w:szCs w:val="24"/>
        </w:rPr>
      </w:pPr>
      <w:r>
        <w:rPr>
          <w:rFonts w:hint="eastAsia" w:hAnsi="宋体" w:cs="宋体"/>
          <w:szCs w:val="24"/>
        </w:rPr>
        <w:t xml:space="preserve">1. </w:t>
      </w:r>
      <w:r>
        <w:rPr>
          <w:rFonts w:hint="eastAsia" w:hAnsi="宋体" w:cs="宋体"/>
          <w:szCs w:val="24"/>
          <w:u w:val="single"/>
        </w:rPr>
        <w:t>【标的名称1】</w:t>
      </w:r>
      <w:r>
        <w:rPr>
          <w:rFonts w:hint="eastAsia" w:hAnsi="宋体" w:cs="宋体"/>
          <w:szCs w:val="24"/>
        </w:rPr>
        <w:t xml:space="preserve"> ，属于</w:t>
      </w:r>
      <w:r>
        <w:rPr>
          <w:rFonts w:hint="eastAsia" w:hAnsi="宋体" w:cs="宋体"/>
          <w:szCs w:val="24"/>
          <w:u w:val="single"/>
        </w:rPr>
        <w:t>【招标文件投标人须知前附表第3条中明确的所属行业】</w:t>
      </w:r>
      <w:r>
        <w:rPr>
          <w:rFonts w:hint="eastAsia" w:hAnsi="宋体" w:cs="宋体"/>
          <w:szCs w:val="24"/>
        </w:rPr>
        <w:t>；承接企业为</w:t>
      </w:r>
      <w:r>
        <w:rPr>
          <w:rFonts w:hint="eastAsia" w:hAnsi="宋体" w:cs="宋体"/>
          <w:szCs w:val="24"/>
          <w:u w:val="single"/>
        </w:rPr>
        <w:t>【企业名称】</w:t>
      </w:r>
      <w:r>
        <w:rPr>
          <w:rFonts w:hint="eastAsia" w:hAnsi="宋体" w:cs="宋体"/>
          <w:szCs w:val="24"/>
        </w:rPr>
        <w:t>，从业人员</w:t>
      </w:r>
      <w:r>
        <w:rPr>
          <w:rFonts w:hAnsi="宋体" w:cs="宋体"/>
          <w:szCs w:val="24"/>
        </w:rPr>
        <w:t>______</w:t>
      </w:r>
      <w:r>
        <w:rPr>
          <w:rFonts w:hint="eastAsia" w:hAnsi="宋体" w:cs="宋体"/>
          <w:szCs w:val="24"/>
        </w:rPr>
        <w:t>人，营业收入为</w:t>
      </w:r>
      <w:r>
        <w:rPr>
          <w:rFonts w:hAnsi="宋体" w:cs="宋体"/>
          <w:szCs w:val="24"/>
        </w:rPr>
        <w:t>______</w:t>
      </w:r>
      <w:r>
        <w:rPr>
          <w:rFonts w:hint="eastAsia" w:hAnsi="宋体" w:cs="宋体"/>
          <w:szCs w:val="24"/>
        </w:rPr>
        <w:t>万元，资产总额为万元</w:t>
      </w:r>
      <w:r>
        <w:rPr>
          <w:rFonts w:hAnsi="宋体" w:cs="宋体"/>
          <w:szCs w:val="24"/>
        </w:rPr>
        <w:t>______</w:t>
      </w:r>
      <w:r>
        <w:rPr>
          <w:rFonts w:hint="eastAsia" w:hAnsi="宋体" w:cs="宋体"/>
          <w:szCs w:val="24"/>
          <w:vertAlign w:val="superscript"/>
        </w:rPr>
        <w:t>注1</w:t>
      </w:r>
      <w:r>
        <w:rPr>
          <w:rFonts w:hint="eastAsia" w:hAnsi="宋体" w:cs="宋体"/>
          <w:szCs w:val="24"/>
        </w:rPr>
        <w:t>，属于</w:t>
      </w:r>
      <w:r>
        <w:rPr>
          <w:rFonts w:hint="eastAsia" w:hAnsi="宋体" w:cs="宋体"/>
          <w:szCs w:val="24"/>
          <w:u w:val="single"/>
        </w:rPr>
        <w:t>【填写：中型企业、小型企业 或 微型企业</w:t>
      </w:r>
      <w:r>
        <w:rPr>
          <w:rFonts w:hAnsi="宋体" w:cs="宋体"/>
          <w:szCs w:val="24"/>
          <w:u w:val="single"/>
        </w:rPr>
        <w:t>】</w:t>
      </w:r>
      <w:r>
        <w:rPr>
          <w:rFonts w:hint="eastAsia" w:hAnsi="宋体" w:cs="宋体"/>
          <w:szCs w:val="24"/>
        </w:rPr>
        <w:t>；</w:t>
      </w:r>
    </w:p>
    <w:p>
      <w:pPr>
        <w:ind w:firstLine="480" w:firstLineChars="200"/>
        <w:jc w:val="left"/>
        <w:rPr>
          <w:rFonts w:hAnsi="宋体" w:cs="宋体"/>
          <w:szCs w:val="24"/>
        </w:rPr>
      </w:pPr>
      <w:r>
        <w:rPr>
          <w:rFonts w:hint="eastAsia" w:hAnsi="宋体" w:cs="宋体"/>
          <w:szCs w:val="24"/>
        </w:rPr>
        <w:t>……</w:t>
      </w:r>
    </w:p>
    <w:p>
      <w:pPr>
        <w:ind w:firstLine="480" w:firstLineChars="200"/>
        <w:jc w:val="left"/>
        <w:rPr>
          <w:rFonts w:hAnsi="宋体" w:cs="宋体"/>
          <w:szCs w:val="24"/>
        </w:rPr>
      </w:pPr>
      <w:r>
        <w:rPr>
          <w:rFonts w:hint="eastAsia" w:hAnsi="宋体" w:cs="宋体"/>
          <w:szCs w:val="24"/>
        </w:rPr>
        <w:t>以上企业，不属于大企业的分支机构，不存在控股股东为大企业的情形，也不存在与大企业的负责人为同一人的情形。</w:t>
      </w:r>
    </w:p>
    <w:p>
      <w:pPr>
        <w:ind w:firstLine="480" w:firstLineChars="200"/>
        <w:jc w:val="left"/>
        <w:rPr>
          <w:rFonts w:hAnsi="宋体" w:cs="宋体"/>
          <w:szCs w:val="24"/>
        </w:rPr>
      </w:pPr>
      <w:r>
        <w:rPr>
          <w:rFonts w:hint="eastAsia" w:hAnsi="宋体" w:cs="宋体"/>
          <w:szCs w:val="24"/>
        </w:rPr>
        <w:t>本企业对上述声明内容的真实性负责。如有虚假，将依法承担相应责任。</w:t>
      </w:r>
    </w:p>
    <w:p>
      <w:pPr>
        <w:ind w:firstLine="480" w:firstLineChars="200"/>
        <w:jc w:val="left"/>
        <w:rPr>
          <w:rFonts w:hAnsi="宋体" w:cs="宋体"/>
          <w:szCs w:val="24"/>
        </w:rPr>
      </w:pPr>
    </w:p>
    <w:p>
      <w:pPr>
        <w:ind w:left="3259" w:leftChars="1358" w:firstLine="480" w:firstLineChars="200"/>
        <w:jc w:val="left"/>
        <w:rPr>
          <w:rFonts w:hAnsi="宋体" w:cs="宋体"/>
          <w:szCs w:val="24"/>
        </w:rPr>
      </w:pPr>
      <w:r>
        <w:rPr>
          <w:rFonts w:hint="eastAsia" w:hAnsi="宋体" w:cs="宋体"/>
          <w:szCs w:val="24"/>
        </w:rPr>
        <w:t>企业名称（盖章）：【</w:t>
      </w:r>
      <w:r>
        <w:rPr>
          <w:rFonts w:hint="eastAsia"/>
          <w:color w:val="333333"/>
        </w:rPr>
        <w:t>投标人名称（投标人公章）</w:t>
      </w:r>
      <w:r>
        <w:rPr>
          <w:rFonts w:hint="eastAsia" w:hAnsi="宋体" w:cs="宋体"/>
          <w:szCs w:val="24"/>
        </w:rPr>
        <w:t xml:space="preserve">】 </w:t>
      </w:r>
    </w:p>
    <w:p>
      <w:pPr>
        <w:ind w:left="3259" w:leftChars="1358" w:firstLine="480" w:firstLineChars="200"/>
        <w:jc w:val="left"/>
        <w:rPr>
          <w:rFonts w:hAnsi="宋体" w:cs="宋体"/>
          <w:szCs w:val="24"/>
        </w:rPr>
      </w:pPr>
      <w:r>
        <w:rPr>
          <w:rFonts w:hint="eastAsia" w:hAnsi="宋体" w:cs="宋体"/>
          <w:szCs w:val="24"/>
        </w:rPr>
        <w:t xml:space="preserve">日  期： </w:t>
      </w:r>
    </w:p>
    <w:p>
      <w:pPr>
        <w:spacing w:line="360" w:lineRule="auto"/>
        <w:jc w:val="left"/>
        <w:rPr>
          <w:rFonts w:hAnsi="宋体" w:cs="宋体"/>
          <w:szCs w:val="24"/>
        </w:rPr>
      </w:pPr>
      <w:r>
        <w:rPr>
          <w:rFonts w:hint="eastAsia" w:hAnsi="宋体" w:cs="宋体"/>
          <w:szCs w:val="24"/>
        </w:rPr>
        <w:t>注：</w:t>
      </w:r>
    </w:p>
    <w:p>
      <w:pPr>
        <w:spacing w:line="360" w:lineRule="auto"/>
        <w:jc w:val="left"/>
      </w:pPr>
      <w:r>
        <w:rPr>
          <w:rFonts w:hint="eastAsia" w:hAnsi="宋体" w:cs="宋体"/>
          <w:szCs w:val="24"/>
        </w:rPr>
        <w:t>1、</w:t>
      </w:r>
      <w:r>
        <w:t>从业人员、营业收入、资产总额填报上一年度数据，无上一年度数据的新成立企业可不填报。</w:t>
      </w:r>
    </w:p>
    <w:p>
      <w:pPr>
        <w:spacing w:line="360" w:lineRule="auto"/>
        <w:jc w:val="left"/>
        <w:rPr>
          <w:rFonts w:hAnsi="宋体" w:cs="宋体"/>
          <w:szCs w:val="24"/>
        </w:rPr>
      </w:pPr>
      <w:r>
        <w:rPr>
          <w:rFonts w:hint="eastAsia"/>
        </w:rPr>
        <w:t>2、中小企业参加政府采购活动，应当出具此格式文件。</w:t>
      </w:r>
      <w:r>
        <w:rPr>
          <w:rFonts w:hint="eastAsia"/>
          <w:color w:val="333333"/>
        </w:rPr>
        <w:t>《中小企业声明函》由参加政府采购活动的投标人出具。</w:t>
      </w:r>
    </w:p>
    <w:p>
      <w:pPr>
        <w:spacing w:line="360" w:lineRule="auto"/>
        <w:jc w:val="left"/>
        <w:rPr>
          <w:rFonts w:hAnsi="宋体" w:cs="宋体"/>
          <w:szCs w:val="24"/>
        </w:rPr>
      </w:pPr>
      <w:r>
        <w:rPr>
          <w:rFonts w:hAnsi="宋体" w:cs="宋体"/>
          <w:szCs w:val="24"/>
        </w:rPr>
        <w:t>3</w:t>
      </w:r>
      <w:r>
        <w:rPr>
          <w:rFonts w:hint="eastAsia" w:hAnsi="宋体" w:cs="宋体"/>
          <w:szCs w:val="24"/>
        </w:rPr>
        <w:t>、招标文件投标人须知前附表第3条中注明货物的标的，使用“（货物）”格式填写；注明服务的标的，使用“（服务）”格式填写。</w:t>
      </w:r>
    </w:p>
    <w:p>
      <w:pPr>
        <w:spacing w:line="360" w:lineRule="auto"/>
        <w:jc w:val="left"/>
        <w:rPr>
          <w:rFonts w:hAnsi="宋体" w:cs="宋体"/>
          <w:szCs w:val="24"/>
        </w:rPr>
      </w:pPr>
      <w:r>
        <w:rPr>
          <w:rFonts w:hAnsi="宋体" w:cs="宋体"/>
          <w:szCs w:val="24"/>
        </w:rPr>
        <w:t>4</w:t>
      </w:r>
      <w:r>
        <w:rPr>
          <w:rFonts w:hint="eastAsia" w:hAnsi="宋体" w:cs="宋体"/>
          <w:szCs w:val="24"/>
        </w:rPr>
        <w:t>、投标人不符合《政府采购促进中小企业发展管理办法》（财库﹝2020﹞46 号）中享受政策的中型、小型、微企业的不必提供本格式文件。</w:t>
      </w:r>
    </w:p>
    <w:p>
      <w:pPr>
        <w:spacing w:line="360" w:lineRule="auto"/>
        <w:jc w:val="left"/>
        <w:rPr>
          <w:rFonts w:hAnsi="宋体" w:cs="宋体"/>
          <w:szCs w:val="24"/>
        </w:rPr>
      </w:pPr>
      <w:r>
        <w:rPr>
          <w:rFonts w:hAnsi="宋体" w:cs="宋体"/>
          <w:szCs w:val="24"/>
        </w:rPr>
        <w:t>5</w:t>
      </w:r>
      <w:r>
        <w:rPr>
          <w:rFonts w:hint="eastAsia" w:hAnsi="宋体" w:cs="宋体"/>
          <w:szCs w:val="24"/>
        </w:rPr>
        <w:t>、温馨提示：为方便广大中小企业识别企业规模类型，工业和信息化部组织开发了中小企业规模类型自测小程序，并于2020年2月27日上线运行，在国务院客户端和工业和信息化部网站上均有链接，广大中小企业和各类社会机构填写企业所属的行业和指标数据自动生成企业规模类型测试结果。</w:t>
      </w:r>
    </w:p>
    <w:p>
      <w:pPr>
        <w:spacing w:line="360" w:lineRule="auto"/>
        <w:jc w:val="left"/>
        <w:rPr>
          <w:rFonts w:hAnsi="宋体" w:cs="宋体"/>
          <w:szCs w:val="24"/>
        </w:rPr>
      </w:pPr>
      <w:r>
        <w:rPr>
          <w:rFonts w:hint="eastAsia" w:hAnsi="宋体" w:cs="宋体"/>
          <w:szCs w:val="24"/>
        </w:rPr>
        <w:t>6、对于多标的的采购项目，投标人应充分、准确地了解所投产品制造企业信息。对相关情况了解不清楚的，不建议填报本声明函。</w:t>
      </w:r>
    </w:p>
    <w:p>
      <w:pPr>
        <w:spacing w:line="360" w:lineRule="auto"/>
        <w:jc w:val="left"/>
      </w:pPr>
      <w:r>
        <w:rPr>
          <w:rFonts w:hAnsi="宋体" w:cs="宋体"/>
          <w:szCs w:val="24"/>
        </w:rPr>
        <w:t>7</w:t>
      </w:r>
      <w:r>
        <w:rPr>
          <w:rFonts w:hint="eastAsia" w:hAnsi="宋体" w:cs="宋体"/>
          <w:szCs w:val="24"/>
        </w:rPr>
        <w:t>、中标人享受了本招标文件规定的中小企业扶持政策的，其</w:t>
      </w:r>
      <w:r>
        <w:rPr>
          <w:rFonts w:hint="eastAsia" w:hAnsi="宋体" w:cs="宋体"/>
          <w:b/>
          <w:bCs/>
          <w:szCs w:val="24"/>
        </w:rPr>
        <w:t>中小企业声明函将按规定进行公告。</w:t>
      </w:r>
      <w:r>
        <w:br w:type="page"/>
      </w:r>
    </w:p>
    <w:p/>
    <w:p>
      <w:pPr>
        <w:pStyle w:val="44"/>
      </w:pPr>
      <w:bookmarkStart w:id="223" w:name="_Toc3705"/>
      <w:bookmarkStart w:id="224" w:name="_Toc492365663"/>
      <w:bookmarkStart w:id="225" w:name="OLE_LINK14"/>
      <w:bookmarkStart w:id="226" w:name="OLE_LINK13"/>
      <w:r>
        <w:t>10</w:t>
      </w:r>
      <w:r>
        <w:rPr>
          <w:rFonts w:hint="eastAsia"/>
        </w:rPr>
        <w:t>-</w:t>
      </w:r>
      <w:r>
        <w:t>2</w:t>
      </w:r>
      <w:r>
        <w:rPr>
          <w:rFonts w:hint="eastAsia"/>
        </w:rPr>
        <w:t>、残疾人福利性单位声明函格式</w:t>
      </w:r>
      <w:bookmarkEnd w:id="223"/>
      <w:bookmarkEnd w:id="224"/>
    </w:p>
    <w:p>
      <w:pPr>
        <w:tabs>
          <w:tab w:val="left" w:pos="3828"/>
        </w:tabs>
      </w:pPr>
      <w:r>
        <w:rPr>
          <w:rFonts w:hint="eastAsia"/>
        </w:rPr>
        <w:t>【对招标文件第一章第二条第2项“落实政府采购政策需满足的资格要求”为“无”的，此项格式文件应编入《商务技术分册》。对招标文件第一章第二条第2项“落实政府采购政策需满足的资格要求”有具体要求的，此项格式文件应编入《资格、资信证明文件分册》。】</w:t>
      </w:r>
    </w:p>
    <w:p>
      <w:pPr>
        <w:spacing w:after="240" w:line="360" w:lineRule="auto"/>
        <w:ind w:left="904" w:right="-48" w:rightChars="-20" w:hanging="904"/>
        <w:jc w:val="center"/>
        <w:rPr>
          <w:rFonts w:hAnsi="宋体" w:cs="Times New Roman"/>
          <w:b/>
          <w:color w:val="000000"/>
          <w:sz w:val="30"/>
        </w:rPr>
      </w:pPr>
      <w:r>
        <w:rPr>
          <w:rFonts w:hint="eastAsia" w:hAnsi="宋体" w:cs="Times New Roman"/>
          <w:b/>
          <w:color w:val="000000"/>
          <w:sz w:val="30"/>
        </w:rPr>
        <w:t>残疾人福利性单位声明函</w:t>
      </w:r>
    </w:p>
    <w:bookmarkEnd w:id="225"/>
    <w:bookmarkEnd w:id="226"/>
    <w:p>
      <w:pPr>
        <w:ind w:firstLine="480" w:firstLineChars="200"/>
        <w:jc w:val="left"/>
        <w:rPr>
          <w:rFonts w:hAnsi="宋体" w:cs="宋体"/>
          <w:szCs w:val="24"/>
        </w:rPr>
      </w:pPr>
      <w:r>
        <w:rPr>
          <w:rFonts w:hint="eastAsia" w:hAnsi="宋体" w:cs="宋体"/>
          <w:szCs w:val="24"/>
        </w:rPr>
        <w:t>本</w:t>
      </w:r>
      <w:r>
        <w:rPr>
          <w:rFonts w:hint="eastAsia" w:hAnsi="Calibri" w:cs="Times New Roman"/>
          <w:szCs w:val="24"/>
        </w:rPr>
        <w:t>单位</w:t>
      </w:r>
      <w:r>
        <w:rPr>
          <w:rFonts w:hint="eastAsia" w:hAnsi="宋体" w:cs="宋体"/>
          <w:szCs w:val="24"/>
        </w:rPr>
        <w:t>郑重声明，根据《财政部 民政部 中国残疾人联合会关于促进残疾人就业政府采购政策的通知》（财库〔2017〕 141号）的规定，本单位为符合条件的残疾人福利性单位，且本单位参加__</w:t>
      </w:r>
      <w:r>
        <w:rPr>
          <w:rFonts w:hint="eastAsia" w:hAnsi="宋体" w:cs="宋体"/>
          <w:szCs w:val="24"/>
          <w:u w:val="single"/>
        </w:rPr>
        <w:t>【采购人】</w:t>
      </w:r>
      <w:r>
        <w:rPr>
          <w:rFonts w:hint="eastAsia" w:hAnsi="宋体" w:cs="宋体"/>
          <w:szCs w:val="24"/>
        </w:rPr>
        <w:t>_单位的__</w:t>
      </w:r>
      <w:r>
        <w:rPr>
          <w:rFonts w:hint="eastAsia" w:hAnsi="宋体" w:cs="宋体"/>
          <w:szCs w:val="24"/>
          <w:u w:val="single"/>
        </w:rPr>
        <w:t>【项目名称】</w:t>
      </w:r>
      <w:r>
        <w:rPr>
          <w:rFonts w:hint="eastAsia" w:hAnsi="宋体" w:cs="宋体"/>
          <w:szCs w:val="24"/>
        </w:rPr>
        <w:t>__项目采购活动【按投标实际情况在下方选择，在□中划勾或涂黑】：</w:t>
      </w:r>
    </w:p>
    <w:p>
      <w:pPr>
        <w:ind w:firstLine="480" w:firstLineChars="200"/>
        <w:jc w:val="left"/>
        <w:rPr>
          <w:rFonts w:hAnsi="宋体" w:cs="宋体"/>
          <w:szCs w:val="24"/>
        </w:rPr>
      </w:pPr>
      <w:r>
        <w:rPr>
          <w:rFonts w:hint="eastAsia" w:hAnsi="宋体" w:cs="宋体"/>
          <w:szCs w:val="24"/>
        </w:rPr>
        <w:t>□提供本单位制造的货物</w:t>
      </w:r>
    </w:p>
    <w:p>
      <w:pPr>
        <w:ind w:firstLine="480" w:firstLineChars="200"/>
        <w:jc w:val="left"/>
        <w:rPr>
          <w:rFonts w:hAnsi="宋体" w:cs="宋体"/>
          <w:szCs w:val="24"/>
        </w:rPr>
      </w:pPr>
      <w:r>
        <w:rPr>
          <w:rFonts w:hint="eastAsia" w:hAnsi="宋体" w:cs="宋体"/>
          <w:szCs w:val="24"/>
        </w:rPr>
        <w:t>□由本</w:t>
      </w:r>
      <w:r>
        <w:rPr>
          <w:rFonts w:hint="eastAsia" w:hAnsi="Calibri" w:cs="Times New Roman"/>
          <w:szCs w:val="24"/>
        </w:rPr>
        <w:t>单位</w:t>
      </w:r>
      <w:r>
        <w:rPr>
          <w:rFonts w:hint="eastAsia" w:hAnsi="宋体" w:cs="宋体"/>
          <w:szCs w:val="24"/>
        </w:rPr>
        <w:t>提供服务</w:t>
      </w:r>
    </w:p>
    <w:p>
      <w:pPr>
        <w:ind w:firstLine="480" w:firstLineChars="200"/>
        <w:jc w:val="left"/>
        <w:rPr>
          <w:rFonts w:hAnsi="宋体" w:cs="宋体"/>
          <w:szCs w:val="24"/>
        </w:rPr>
      </w:pPr>
      <w:r>
        <w:rPr>
          <w:rFonts w:hint="eastAsia" w:hAnsi="宋体" w:cs="宋体"/>
          <w:szCs w:val="24"/>
        </w:rPr>
        <w:t>□提供其他残疾人福利性单位制造的货物（不包括使用非</w:t>
      </w:r>
      <w:r>
        <w:rPr>
          <w:rFonts w:hint="eastAsia" w:hAnsi="Calibri" w:cs="Times New Roman"/>
          <w:szCs w:val="24"/>
        </w:rPr>
        <w:t>残疾人</w:t>
      </w:r>
      <w:r>
        <w:rPr>
          <w:rFonts w:hint="eastAsia" w:hAnsi="宋体" w:cs="宋体"/>
          <w:szCs w:val="24"/>
        </w:rPr>
        <w:t>福利性单位注册商标的货物）。</w:t>
      </w:r>
    </w:p>
    <w:p>
      <w:pPr>
        <w:ind w:firstLine="480" w:firstLineChars="200"/>
        <w:jc w:val="left"/>
        <w:rPr>
          <w:rFonts w:hAnsi="宋体" w:cs="宋体"/>
          <w:szCs w:val="24"/>
        </w:rPr>
      </w:pPr>
      <w:r>
        <w:rPr>
          <w:rFonts w:hint="eastAsia" w:hAnsi="宋体" w:cs="宋体"/>
          <w:szCs w:val="24"/>
        </w:rPr>
        <w:t>本单位对</w:t>
      </w:r>
      <w:r>
        <w:rPr>
          <w:rFonts w:hint="eastAsia" w:hAnsi="Calibri" w:cs="Times New Roman"/>
          <w:szCs w:val="24"/>
        </w:rPr>
        <w:t>上述</w:t>
      </w:r>
      <w:r>
        <w:rPr>
          <w:rFonts w:hint="eastAsia" w:hAnsi="宋体" w:cs="宋体"/>
          <w:szCs w:val="24"/>
        </w:rPr>
        <w:t>声明的真实性负责。如有虚假，将依法承担相应责任。</w:t>
      </w:r>
    </w:p>
    <w:p>
      <w:pPr>
        <w:ind w:firstLine="480" w:firstLineChars="200"/>
        <w:jc w:val="left"/>
        <w:rPr>
          <w:rFonts w:hAnsi="宋体" w:cs="宋体"/>
          <w:szCs w:val="24"/>
        </w:rPr>
      </w:pPr>
    </w:p>
    <w:p>
      <w:pPr>
        <w:ind w:firstLine="480" w:firstLineChars="200"/>
        <w:jc w:val="left"/>
        <w:rPr>
          <w:rFonts w:hAnsi="宋体" w:cs="宋体"/>
          <w:szCs w:val="24"/>
        </w:rPr>
      </w:pPr>
    </w:p>
    <w:p>
      <w:pPr>
        <w:ind w:left="3259" w:leftChars="1358" w:firstLine="480" w:firstLineChars="200"/>
        <w:jc w:val="left"/>
        <w:rPr>
          <w:rFonts w:hAnsi="宋体" w:cs="宋体"/>
          <w:szCs w:val="24"/>
        </w:rPr>
      </w:pPr>
      <w:r>
        <w:rPr>
          <w:rFonts w:hint="eastAsia" w:hAnsi="宋体" w:cs="宋体"/>
          <w:szCs w:val="24"/>
        </w:rPr>
        <w:t>单位名称（盖章）：【</w:t>
      </w:r>
      <w:r>
        <w:rPr>
          <w:rFonts w:hint="eastAsia"/>
          <w:color w:val="333333"/>
        </w:rPr>
        <w:t>投标人名称（投标人公章）</w:t>
      </w:r>
      <w:r>
        <w:rPr>
          <w:rFonts w:hint="eastAsia" w:hAnsi="宋体" w:cs="宋体"/>
          <w:szCs w:val="24"/>
        </w:rPr>
        <w:t>】</w:t>
      </w:r>
    </w:p>
    <w:p>
      <w:pPr>
        <w:ind w:left="3259" w:leftChars="1358" w:firstLine="480" w:firstLineChars="200"/>
        <w:jc w:val="left"/>
        <w:rPr>
          <w:rFonts w:hAnsi="宋体" w:cs="宋体"/>
          <w:szCs w:val="24"/>
        </w:rPr>
      </w:pPr>
      <w:r>
        <w:rPr>
          <w:rFonts w:hint="eastAsia" w:hAnsi="宋体" w:cs="宋体"/>
          <w:szCs w:val="24"/>
        </w:rPr>
        <w:t>日  期：</w:t>
      </w:r>
    </w:p>
    <w:p>
      <w:pPr>
        <w:spacing w:line="360" w:lineRule="auto"/>
        <w:jc w:val="left"/>
        <w:rPr>
          <w:rFonts w:hAnsi="宋体" w:cs="宋体"/>
          <w:szCs w:val="24"/>
        </w:rPr>
      </w:pPr>
    </w:p>
    <w:p>
      <w:pPr>
        <w:spacing w:line="360" w:lineRule="auto"/>
        <w:jc w:val="left"/>
        <w:rPr>
          <w:rFonts w:hAnsi="宋体" w:cs="宋体"/>
          <w:szCs w:val="24"/>
        </w:rPr>
      </w:pPr>
      <w:r>
        <w:rPr>
          <w:rFonts w:hint="eastAsia" w:hAnsi="宋体" w:cs="宋体"/>
          <w:szCs w:val="24"/>
        </w:rPr>
        <w:t>注：</w:t>
      </w:r>
    </w:p>
    <w:p>
      <w:pPr>
        <w:spacing w:line="360" w:lineRule="auto"/>
        <w:jc w:val="left"/>
        <w:rPr>
          <w:rFonts w:hAnsi="宋体" w:cs="宋体"/>
          <w:szCs w:val="24"/>
        </w:rPr>
      </w:pPr>
      <w:r>
        <w:rPr>
          <w:rFonts w:hint="eastAsia" w:hAnsi="宋体" w:cs="宋体"/>
          <w:szCs w:val="24"/>
        </w:rPr>
        <w:t>1、符合（财库〔2017〕141号）规定条件的残疾人福利性单位在参加政府采购活动时，应当提供此格式文件。投标不涉及</w:t>
      </w:r>
      <w:r>
        <w:rPr>
          <w:rFonts w:hint="eastAsia"/>
        </w:rPr>
        <w:t>残疾人福利性单位</w:t>
      </w:r>
      <w:r>
        <w:rPr>
          <w:rFonts w:hint="eastAsia" w:hAnsi="宋体" w:cs="宋体"/>
          <w:szCs w:val="24"/>
        </w:rPr>
        <w:t>的，无需填写此也无需提交此格式文件。</w:t>
      </w:r>
    </w:p>
    <w:p>
      <w:pPr>
        <w:spacing w:line="360" w:lineRule="auto"/>
        <w:jc w:val="left"/>
        <w:rPr>
          <w:rFonts w:hAnsi="宋体" w:cs="宋体"/>
          <w:szCs w:val="24"/>
        </w:rPr>
      </w:pPr>
      <w:r>
        <w:rPr>
          <w:rFonts w:hint="eastAsia" w:hAnsi="宋体" w:cs="宋体"/>
          <w:szCs w:val="24"/>
        </w:rPr>
        <w:t>2、此表如未正确填写，评审时将不予承认。</w:t>
      </w:r>
    </w:p>
    <w:p>
      <w:pPr>
        <w:spacing w:line="360" w:lineRule="auto"/>
        <w:jc w:val="left"/>
        <w:rPr>
          <w:rFonts w:hAnsi="宋体" w:cs="宋体"/>
          <w:szCs w:val="24"/>
        </w:rPr>
      </w:pPr>
      <w:r>
        <w:rPr>
          <w:rFonts w:hAnsi="宋体" w:cs="宋体"/>
          <w:szCs w:val="24"/>
        </w:rPr>
        <w:t>3</w:t>
      </w:r>
      <w:r>
        <w:rPr>
          <w:rFonts w:hint="eastAsia" w:hAnsi="宋体" w:cs="宋体"/>
          <w:szCs w:val="24"/>
        </w:rPr>
        <w:t>、中标人享受了本招标文件规定的残疾人福利性单位促进政策的，其</w:t>
      </w:r>
      <w:r>
        <w:rPr>
          <w:rFonts w:hint="eastAsia" w:hAnsi="宋体" w:cs="宋体"/>
          <w:b/>
          <w:bCs/>
          <w:szCs w:val="24"/>
        </w:rPr>
        <w:t>残疾人福利性单位声明函将按规定进行公告。</w:t>
      </w:r>
    </w:p>
    <w:p/>
    <w:bookmarkEnd w:id="222"/>
    <w:p>
      <w:pPr>
        <w:widowControl/>
        <w:adjustRightInd/>
        <w:snapToGrid/>
        <w:spacing w:line="240" w:lineRule="auto"/>
        <w:jc w:val="left"/>
      </w:pPr>
    </w:p>
    <w:sectPr>
      <w:pgSz w:w="11906" w:h="16838"/>
      <w:pgMar w:top="1440" w:right="1418" w:bottom="1440" w:left="1559" w:header="851" w:footer="992" w:gutter="0"/>
      <w:cols w:space="425"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Wingdings 2">
    <w:panose1 w:val="05020102010507070707"/>
    <w:charset w:val="00"/>
    <w:family w:val="auto"/>
    <w:pitch w:val="default"/>
    <w:sig w:usb0="00000000" w:usb1="00000000" w:usb2="00000000" w:usb3="00000000" w:csb0="80000000"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w:fldChar w:fldCharType="begin"/>
    </w:r>
    <w:r>
      <w:instrText xml:space="preserve">PAGE   \* MERGEFORMAT</w:instrText>
    </w:r>
    <w:r>
      <w:fldChar w:fldCharType="separate"/>
    </w:r>
    <w:r>
      <w:rPr>
        <w:lang w:val="zh-CN"/>
      </w:rPr>
      <w:t>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24465971"/>
      <w:docPartObj>
        <w:docPartGallery w:val="autotext"/>
      </w:docPartObj>
    </w:sdtPr>
    <w:sdtContent>
      <w:p>
        <w:pPr>
          <w:pStyle w:val="12"/>
          <w:jc w:val="center"/>
        </w:pPr>
        <w:r>
          <w:fldChar w:fldCharType="begin"/>
        </w:r>
        <w:r>
          <w:instrText xml:space="preserve">PAGE   \* MERGEFORMAT</w:instrText>
        </w:r>
        <w:r>
          <w:fldChar w:fldCharType="separate"/>
        </w:r>
        <w:r>
          <w:rPr>
            <w:lang w:val="zh-CN"/>
          </w:rPr>
          <w:t>48</w:t>
        </w:r>
        <w: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tabs>
        <w:tab w:val="center" w:pos="4153"/>
      </w:tabs>
      <w:autoSpaceDE w:val="0"/>
      <w:autoSpaceDN w:val="0"/>
      <w:adjustRightInd w:val="0"/>
      <w:snapToGrid w:val="0"/>
      <w:jc w:val="center"/>
      <w:rPr>
        <w:rFonts w:ascii="宋体" w:hAnsi="Times New Roman" w:eastAsia="宋体" w:cs="Times New Roman"/>
        <w:kern w:val="0"/>
        <w:sz w:val="18"/>
        <w:szCs w:val="20"/>
        <w:lang w:val="en-US" w:eastAsia="zh-CN" w:bidi="ar-SA"/>
      </w:rPr>
    </w:pPr>
    <w:r>
      <w:rPr>
        <w:rFonts w:ascii="Times New Roman" w:hAnsi="Times New Roman" w:eastAsia="宋体" w:cs="Times New Roman"/>
        <w:kern w:val="2"/>
        <w:sz w:val="21"/>
        <w:szCs w:val="24"/>
        <w:lang w:val="en-US" w:eastAsia="zh-CN" w:bidi="ar-SA"/>
      </w:rPr>
      <w:fldChar w:fldCharType="begin"/>
    </w:r>
    <w:r>
      <w:rPr>
        <w:rFonts w:ascii="Times New Roman" w:hAnsi="Times New Roman" w:eastAsia="宋体" w:cs="Times New Roman"/>
        <w:kern w:val="2"/>
        <w:sz w:val="21"/>
        <w:szCs w:val="24"/>
        <w:lang w:val="en-US" w:eastAsia="zh-CN" w:bidi="ar-SA"/>
      </w:rPr>
      <w:instrText xml:space="preserve"> PAGE </w:instrText>
    </w:r>
    <w:r>
      <w:rPr>
        <w:rFonts w:ascii="Times New Roman" w:hAnsi="Times New Roman" w:eastAsia="宋体" w:cs="Times New Roman"/>
        <w:kern w:val="2"/>
        <w:sz w:val="21"/>
        <w:szCs w:val="24"/>
        <w:lang w:val="en-US" w:eastAsia="zh-CN" w:bidi="ar-SA"/>
      </w:rPr>
      <w:fldChar w:fldCharType="separate"/>
    </w:r>
    <w:r>
      <w:rPr>
        <w:rFonts w:ascii="Times New Roman" w:hAnsi="Times New Roman" w:eastAsia="宋体" w:cs="Times New Roman"/>
        <w:kern w:val="2"/>
        <w:sz w:val="21"/>
        <w:szCs w:val="24"/>
        <w:lang w:val="en-US" w:eastAsia="zh-CN" w:bidi="ar-SA"/>
      </w:rPr>
      <w:t>25</w:t>
    </w:r>
    <w:r>
      <w:rPr>
        <w:rFonts w:ascii="Times New Roman" w:hAnsi="Times New Roman" w:eastAsia="宋体" w:cs="Times New Roman"/>
        <w:kern w:val="2"/>
        <w:sz w:val="21"/>
        <w:szCs w:val="24"/>
        <w:lang w:val="en-US" w:eastAsia="zh-CN" w:bidi="ar-SA"/>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w:rPr>
        <w:lang w:val="zh-CN"/>
      </w:rPr>
      <w:fldChar w:fldCharType="begin"/>
    </w:r>
    <w:r>
      <w:rPr>
        <w:lang w:val="zh-CN"/>
      </w:rPr>
      <w:instrText xml:space="preserve">PAGE   \* MERGEFORMAT</w:instrText>
    </w:r>
    <w:r>
      <w:rPr>
        <w:lang w:val="zh-CN"/>
      </w:rPr>
      <w:fldChar w:fldCharType="separate"/>
    </w:r>
    <w:r>
      <w:rPr>
        <w:lang w:val="zh-CN"/>
      </w:rPr>
      <w:t>46</w:t>
    </w:r>
    <w:r>
      <w:rPr>
        <w:lang w:val="zh-CN"/>
      </w:rPr>
      <w:fldChar w:fldCharType="end"/>
    </w:r>
  </w:p>
  <w:p>
    <w:pPr>
      <w:pStyle w:val="1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00" w:lineRule="auto"/>
      </w:pPr>
      <w:r>
        <w:separator/>
      </w:r>
    </w:p>
  </w:footnote>
  <w:footnote w:type="continuationSeparator" w:id="1">
    <w:p>
      <w:pPr>
        <w:spacing w:line="30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Bdr>
        <w:bottom w:val="none" w:color="auto" w:sz="0" w:space="1"/>
      </w:pBdr>
      <w:tabs>
        <w:tab w:val="center" w:pos="4153"/>
        <w:tab w:val="right" w:pos="8306"/>
      </w:tabs>
      <w:snapToGrid w:val="0"/>
      <w:jc w:val="center"/>
      <w:rPr>
        <w:rFonts w:ascii="Times New Roman" w:hAnsi="Times New Roman" w:eastAsia="宋体" w:cs="Times New Roman"/>
        <w:kern w:val="2"/>
        <w:sz w:val="18"/>
        <w:szCs w:val="18"/>
        <w:lang w:val="en-US" w:eastAsia="zh-CN" w:bidi="ar-S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jc w:val="right"/>
      <w:rPr>
        <w:sz w:val="21"/>
      </w:rPr>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E230849"/>
    <w:multiLevelType w:val="multilevel"/>
    <w:tmpl w:val="0E230849"/>
    <w:lvl w:ilvl="0" w:tentative="0">
      <w:start w:val="1"/>
      <w:numFmt w:val="decimal"/>
      <w:pStyle w:val="40"/>
      <w:lvlText w:val="%1"/>
      <w:lvlJc w:val="left"/>
      <w:pPr>
        <w:ind w:left="680" w:hanging="680"/>
      </w:pPr>
      <w:rPr>
        <w:rFonts w:hint="eastAsia" w:asciiTheme="minorEastAsia" w:hAnsiTheme="minorEastAsia" w:eastAsiaTheme="minorEastAsia"/>
        <w:color w:val="auto"/>
      </w:rPr>
    </w:lvl>
    <w:lvl w:ilvl="1" w:tentative="0">
      <w:start w:val="1"/>
      <w:numFmt w:val="decimal"/>
      <w:pStyle w:val="41"/>
      <w:lvlText w:val="%1.%2"/>
      <w:lvlJc w:val="left"/>
      <w:pPr>
        <w:ind w:left="680" w:hanging="680"/>
      </w:pPr>
      <w:rPr>
        <w:rFonts w:hint="eastAsia" w:asciiTheme="minorEastAsia" w:hAnsiTheme="minorEastAsia" w:eastAsiaTheme="minorEastAsia"/>
        <w:color w:val="auto"/>
      </w:rPr>
    </w:lvl>
    <w:lvl w:ilvl="2" w:tentative="0">
      <w:start w:val="1"/>
      <w:numFmt w:val="decimal"/>
      <w:lvlText w:val="%1.%2.%3"/>
      <w:lvlJc w:val="left"/>
      <w:pPr>
        <w:ind w:left="680" w:hanging="680"/>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
    <w:nsid w:val="27B87778"/>
    <w:multiLevelType w:val="multilevel"/>
    <w:tmpl w:val="27B87778"/>
    <w:lvl w:ilvl="0" w:tentative="0">
      <w:start w:val="1"/>
      <w:numFmt w:val="decimal"/>
      <w:lvlText w:val="%1."/>
      <w:lvlJc w:val="left"/>
      <w:pPr>
        <w:tabs>
          <w:tab w:val="left" w:pos="482"/>
        </w:tabs>
        <w:ind w:left="482" w:hanging="482"/>
      </w:pPr>
      <w:rPr>
        <w:rFonts w:hint="default" w:asciiTheme="minorEastAsia" w:hAnsiTheme="minorEastAsia" w:eastAsiaTheme="minorEastAsia"/>
        <w:b w:val="0"/>
        <w:i w:val="0"/>
        <w:sz w:val="24"/>
        <w:szCs w:val="24"/>
      </w:rPr>
    </w:lvl>
    <w:lvl w:ilvl="1" w:tentative="0">
      <w:start w:val="1"/>
      <w:numFmt w:val="lowerLetter"/>
      <w:lvlText w:val="%2)"/>
      <w:lvlJc w:val="left"/>
      <w:pPr>
        <w:tabs>
          <w:tab w:val="left" w:pos="735"/>
        </w:tabs>
        <w:ind w:left="735" w:hanging="420"/>
      </w:pPr>
    </w:lvl>
    <w:lvl w:ilvl="2" w:tentative="0">
      <w:start w:val="1"/>
      <w:numFmt w:val="lowerRoman"/>
      <w:lvlText w:val="%3."/>
      <w:lvlJc w:val="right"/>
      <w:pPr>
        <w:tabs>
          <w:tab w:val="left" w:pos="1155"/>
        </w:tabs>
        <w:ind w:left="1155" w:hanging="420"/>
      </w:pPr>
    </w:lvl>
    <w:lvl w:ilvl="3" w:tentative="0">
      <w:start w:val="1"/>
      <w:numFmt w:val="decimal"/>
      <w:lvlText w:val="%4."/>
      <w:lvlJc w:val="left"/>
      <w:pPr>
        <w:tabs>
          <w:tab w:val="left" w:pos="1575"/>
        </w:tabs>
        <w:ind w:left="1575" w:hanging="420"/>
      </w:pPr>
    </w:lvl>
    <w:lvl w:ilvl="4" w:tentative="0">
      <w:start w:val="1"/>
      <w:numFmt w:val="lowerLetter"/>
      <w:lvlText w:val="%5)"/>
      <w:lvlJc w:val="left"/>
      <w:pPr>
        <w:tabs>
          <w:tab w:val="left" w:pos="1995"/>
        </w:tabs>
        <w:ind w:left="1995" w:hanging="420"/>
      </w:pPr>
    </w:lvl>
    <w:lvl w:ilvl="5" w:tentative="0">
      <w:start w:val="1"/>
      <w:numFmt w:val="lowerRoman"/>
      <w:lvlText w:val="%6."/>
      <w:lvlJc w:val="right"/>
      <w:pPr>
        <w:tabs>
          <w:tab w:val="left" w:pos="2415"/>
        </w:tabs>
        <w:ind w:left="2415" w:hanging="420"/>
      </w:pPr>
    </w:lvl>
    <w:lvl w:ilvl="6" w:tentative="0">
      <w:start w:val="1"/>
      <w:numFmt w:val="decimal"/>
      <w:lvlText w:val="%7."/>
      <w:lvlJc w:val="left"/>
      <w:pPr>
        <w:tabs>
          <w:tab w:val="left" w:pos="2835"/>
        </w:tabs>
        <w:ind w:left="2835" w:hanging="420"/>
      </w:pPr>
    </w:lvl>
    <w:lvl w:ilvl="7" w:tentative="0">
      <w:start w:val="1"/>
      <w:numFmt w:val="lowerLetter"/>
      <w:lvlText w:val="%8)"/>
      <w:lvlJc w:val="left"/>
      <w:pPr>
        <w:tabs>
          <w:tab w:val="left" w:pos="3255"/>
        </w:tabs>
        <w:ind w:left="3255" w:hanging="420"/>
      </w:pPr>
    </w:lvl>
    <w:lvl w:ilvl="8" w:tentative="0">
      <w:start w:val="1"/>
      <w:numFmt w:val="lowerRoman"/>
      <w:lvlText w:val="%9."/>
      <w:lvlJc w:val="right"/>
      <w:pPr>
        <w:tabs>
          <w:tab w:val="left" w:pos="3675"/>
        </w:tabs>
        <w:ind w:left="3675" w:hanging="420"/>
      </w:pPr>
    </w:lvl>
  </w:abstractNum>
  <w:abstractNum w:abstractNumId="2">
    <w:nsid w:val="2B052A97"/>
    <w:multiLevelType w:val="multilevel"/>
    <w:tmpl w:val="2B052A97"/>
    <w:lvl w:ilvl="0" w:tentative="0">
      <w:start w:val="1"/>
      <w:numFmt w:val="decimal"/>
      <w:lvlText w:val="%1."/>
      <w:lvlJc w:val="left"/>
      <w:pPr>
        <w:tabs>
          <w:tab w:val="left" w:pos="482"/>
        </w:tabs>
        <w:ind w:left="482" w:hanging="482"/>
      </w:pPr>
      <w:rPr>
        <w:rFonts w:hint="default" w:asciiTheme="minorEastAsia" w:hAnsiTheme="minorEastAsia" w:eastAsiaTheme="minorEastAsia"/>
        <w:b w:val="0"/>
        <w:i w:val="0"/>
        <w:sz w:val="24"/>
        <w:szCs w:val="24"/>
      </w:rPr>
    </w:lvl>
    <w:lvl w:ilvl="1" w:tentative="0">
      <w:start w:val="1"/>
      <w:numFmt w:val="lowerLetter"/>
      <w:lvlText w:val="%2)"/>
      <w:lvlJc w:val="left"/>
      <w:pPr>
        <w:tabs>
          <w:tab w:val="left" w:pos="735"/>
        </w:tabs>
        <w:ind w:left="735" w:hanging="420"/>
      </w:pPr>
    </w:lvl>
    <w:lvl w:ilvl="2" w:tentative="0">
      <w:start w:val="1"/>
      <w:numFmt w:val="lowerRoman"/>
      <w:lvlText w:val="%3."/>
      <w:lvlJc w:val="right"/>
      <w:pPr>
        <w:tabs>
          <w:tab w:val="left" w:pos="1155"/>
        </w:tabs>
        <w:ind w:left="1155" w:hanging="420"/>
      </w:pPr>
    </w:lvl>
    <w:lvl w:ilvl="3" w:tentative="0">
      <w:start w:val="1"/>
      <w:numFmt w:val="decimal"/>
      <w:lvlText w:val="%4."/>
      <w:lvlJc w:val="left"/>
      <w:pPr>
        <w:tabs>
          <w:tab w:val="left" w:pos="1575"/>
        </w:tabs>
        <w:ind w:left="1575" w:hanging="420"/>
      </w:pPr>
    </w:lvl>
    <w:lvl w:ilvl="4" w:tentative="0">
      <w:start w:val="1"/>
      <w:numFmt w:val="lowerLetter"/>
      <w:lvlText w:val="%5)"/>
      <w:lvlJc w:val="left"/>
      <w:pPr>
        <w:tabs>
          <w:tab w:val="left" w:pos="1995"/>
        </w:tabs>
        <w:ind w:left="1995" w:hanging="420"/>
      </w:pPr>
    </w:lvl>
    <w:lvl w:ilvl="5" w:tentative="0">
      <w:start w:val="1"/>
      <w:numFmt w:val="lowerRoman"/>
      <w:lvlText w:val="%6."/>
      <w:lvlJc w:val="right"/>
      <w:pPr>
        <w:tabs>
          <w:tab w:val="left" w:pos="2415"/>
        </w:tabs>
        <w:ind w:left="2415" w:hanging="420"/>
      </w:pPr>
    </w:lvl>
    <w:lvl w:ilvl="6" w:tentative="0">
      <w:start w:val="1"/>
      <w:numFmt w:val="decimal"/>
      <w:lvlText w:val="%7."/>
      <w:lvlJc w:val="left"/>
      <w:pPr>
        <w:tabs>
          <w:tab w:val="left" w:pos="2835"/>
        </w:tabs>
        <w:ind w:left="2835" w:hanging="420"/>
      </w:pPr>
    </w:lvl>
    <w:lvl w:ilvl="7" w:tentative="0">
      <w:start w:val="1"/>
      <w:numFmt w:val="lowerLetter"/>
      <w:lvlText w:val="%8)"/>
      <w:lvlJc w:val="left"/>
      <w:pPr>
        <w:tabs>
          <w:tab w:val="left" w:pos="3255"/>
        </w:tabs>
        <w:ind w:left="3255" w:hanging="420"/>
      </w:pPr>
    </w:lvl>
    <w:lvl w:ilvl="8" w:tentative="0">
      <w:start w:val="1"/>
      <w:numFmt w:val="lowerRoman"/>
      <w:lvlText w:val="%9."/>
      <w:lvlJc w:val="right"/>
      <w:pPr>
        <w:tabs>
          <w:tab w:val="left" w:pos="3675"/>
        </w:tabs>
        <w:ind w:left="3675" w:hanging="420"/>
      </w:pPr>
    </w:lvl>
  </w:abstractNum>
  <w:abstractNum w:abstractNumId="3">
    <w:nsid w:val="3AC60EBC"/>
    <w:multiLevelType w:val="multilevel"/>
    <w:tmpl w:val="3AC60EBC"/>
    <w:lvl w:ilvl="0" w:tentative="0">
      <w:start w:val="1"/>
      <w:numFmt w:val="decimal"/>
      <w:lvlText w:val="（%1）"/>
      <w:lvlJc w:val="left"/>
      <w:pPr>
        <w:ind w:left="900" w:hanging="420"/>
      </w:pPr>
      <w:rPr>
        <w:rFonts w:hint="default"/>
        <w:sz w:val="24"/>
        <w:szCs w:val="24"/>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
    <w:nsid w:val="412748DE"/>
    <w:multiLevelType w:val="multilevel"/>
    <w:tmpl w:val="412748DE"/>
    <w:lvl w:ilvl="0" w:tentative="0">
      <w:start w:val="1"/>
      <w:numFmt w:val="decimal"/>
      <w:pStyle w:val="48"/>
      <w:lvlText w:val="%1、"/>
      <w:lvlJc w:val="left"/>
      <w:pPr>
        <w:ind w:left="420"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5">
    <w:nsid w:val="436E068B"/>
    <w:multiLevelType w:val="multilevel"/>
    <w:tmpl w:val="436E068B"/>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6">
    <w:nsid w:val="61EE305F"/>
    <w:multiLevelType w:val="multilevel"/>
    <w:tmpl w:val="61EE305F"/>
    <w:lvl w:ilvl="0" w:tentative="0">
      <w:start w:val="1"/>
      <w:numFmt w:val="decimal"/>
      <w:lvlText w:val="%1."/>
      <w:lvlJc w:val="left"/>
      <w:pPr>
        <w:ind w:left="420" w:hanging="420"/>
      </w:pPr>
      <w:rPr>
        <w:rFonts w:hint="eastAsia" w:ascii="仿宋_GB2312" w:eastAsia="仿宋_GB231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62C85B44"/>
    <w:multiLevelType w:val="multilevel"/>
    <w:tmpl w:val="62C85B44"/>
    <w:lvl w:ilvl="0" w:tentative="0">
      <w:start w:val="7"/>
      <w:numFmt w:val="decimal"/>
      <w:lvlText w:val="%1、"/>
      <w:lvlJc w:val="left"/>
      <w:pPr>
        <w:ind w:left="420" w:hanging="420"/>
      </w:pPr>
      <w:rPr>
        <w:rFonts w:hint="eastAsia"/>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8">
    <w:nsid w:val="6FEF60BF"/>
    <w:multiLevelType w:val="multilevel"/>
    <w:tmpl w:val="6FEF60BF"/>
    <w:lvl w:ilvl="0" w:tentative="0">
      <w:start w:val="1"/>
      <w:numFmt w:val="decimal"/>
      <w:pStyle w:val="47"/>
      <w:lvlText w:val="1-%1、"/>
      <w:lvlJc w:val="left"/>
      <w:pPr>
        <w:ind w:left="-289" w:hanging="420"/>
      </w:pPr>
      <w:rPr>
        <w:rFonts w:hint="eastAsia" w:eastAsia="宋体" w:asciiTheme="minorEastAsia" w:hAnsiTheme="minorEastAsia"/>
      </w:rPr>
    </w:lvl>
    <w:lvl w:ilvl="1" w:tentative="0">
      <w:start w:val="1"/>
      <w:numFmt w:val="lowerLetter"/>
      <w:lvlText w:val="%2)"/>
      <w:lvlJc w:val="left"/>
      <w:pPr>
        <w:ind w:left="131" w:hanging="420"/>
      </w:pPr>
    </w:lvl>
    <w:lvl w:ilvl="2" w:tentative="0">
      <w:start w:val="1"/>
      <w:numFmt w:val="lowerRoman"/>
      <w:lvlText w:val="%3."/>
      <w:lvlJc w:val="right"/>
      <w:pPr>
        <w:ind w:left="551" w:hanging="420"/>
      </w:pPr>
    </w:lvl>
    <w:lvl w:ilvl="3" w:tentative="0">
      <w:start w:val="1"/>
      <w:numFmt w:val="decimal"/>
      <w:lvlText w:val="%4."/>
      <w:lvlJc w:val="left"/>
      <w:pPr>
        <w:ind w:left="971" w:hanging="420"/>
      </w:pPr>
    </w:lvl>
    <w:lvl w:ilvl="4" w:tentative="0">
      <w:start w:val="1"/>
      <w:numFmt w:val="lowerLetter"/>
      <w:lvlText w:val="%5)"/>
      <w:lvlJc w:val="left"/>
      <w:pPr>
        <w:ind w:left="1391" w:hanging="420"/>
      </w:pPr>
    </w:lvl>
    <w:lvl w:ilvl="5" w:tentative="0">
      <w:start w:val="1"/>
      <w:numFmt w:val="lowerRoman"/>
      <w:lvlText w:val="%6."/>
      <w:lvlJc w:val="right"/>
      <w:pPr>
        <w:ind w:left="1811" w:hanging="420"/>
      </w:pPr>
    </w:lvl>
    <w:lvl w:ilvl="6" w:tentative="0">
      <w:start w:val="1"/>
      <w:numFmt w:val="decimal"/>
      <w:lvlText w:val="%7."/>
      <w:lvlJc w:val="left"/>
      <w:pPr>
        <w:ind w:left="2231" w:hanging="420"/>
      </w:pPr>
    </w:lvl>
    <w:lvl w:ilvl="7" w:tentative="0">
      <w:start w:val="1"/>
      <w:numFmt w:val="lowerLetter"/>
      <w:lvlText w:val="%8)"/>
      <w:lvlJc w:val="left"/>
      <w:pPr>
        <w:ind w:left="2651" w:hanging="420"/>
      </w:pPr>
    </w:lvl>
    <w:lvl w:ilvl="8" w:tentative="0">
      <w:start w:val="1"/>
      <w:numFmt w:val="lowerRoman"/>
      <w:lvlText w:val="%9."/>
      <w:lvlJc w:val="right"/>
      <w:pPr>
        <w:ind w:left="3071" w:hanging="420"/>
      </w:pPr>
    </w:lvl>
  </w:abstractNum>
  <w:abstractNum w:abstractNumId="9">
    <w:nsid w:val="72480203"/>
    <w:multiLevelType w:val="multilevel"/>
    <w:tmpl w:val="72480203"/>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0">
    <w:nsid w:val="75895E16"/>
    <w:multiLevelType w:val="multilevel"/>
    <w:tmpl w:val="75895E16"/>
    <w:lvl w:ilvl="0" w:tentative="0">
      <w:start w:val="1"/>
      <w:numFmt w:val="decimal"/>
      <w:pStyle w:val="73"/>
      <w:lvlText w:val="*%1."/>
      <w:lvlJc w:val="left"/>
      <w:pPr>
        <w:ind w:left="420" w:hanging="420"/>
      </w:pPr>
      <w:rPr>
        <w:rFonts w:hint="eastAsia"/>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1">
    <w:nsid w:val="76D3462B"/>
    <w:multiLevelType w:val="multilevel"/>
    <w:tmpl w:val="76D3462B"/>
    <w:lvl w:ilvl="0" w:tentative="0">
      <w:start w:val="1"/>
      <w:numFmt w:val="chineseCountingThousand"/>
      <w:pStyle w:val="30"/>
      <w:lvlText w:val="%1、"/>
      <w:lvlJc w:val="left"/>
      <w:pPr>
        <w:ind w:left="425" w:hanging="425"/>
      </w:pPr>
      <w:rPr>
        <w:rFonts w:hint="eastAsia"/>
        <w:lang w:val="en-US"/>
      </w:rPr>
    </w:lvl>
    <w:lvl w:ilvl="1" w:tentative="0">
      <w:start w:val="1"/>
      <w:numFmt w:val="decimal"/>
      <w:pStyle w:val="28"/>
      <w:isLgl/>
      <w:lvlText w:val="%1.%2"/>
      <w:lvlJc w:val="left"/>
      <w:pPr>
        <w:ind w:left="992" w:hanging="567"/>
      </w:pPr>
      <w:rPr>
        <w:rFonts w:hint="eastAsia"/>
      </w:rPr>
    </w:lvl>
    <w:lvl w:ilvl="2" w:tentative="0">
      <w:start w:val="1"/>
      <w:numFmt w:val="decimal"/>
      <w:pStyle w:val="32"/>
      <w:isLgl/>
      <w:lvlText w:val="%1.%2.%3"/>
      <w:lvlJc w:val="left"/>
      <w:pPr>
        <w:ind w:left="1418" w:hanging="567"/>
      </w:pPr>
      <w:rPr>
        <w:rFonts w:hint="eastAsia"/>
      </w:rPr>
    </w:lvl>
    <w:lvl w:ilvl="3" w:tentative="0">
      <w:start w:val="1"/>
      <w:numFmt w:val="decimal"/>
      <w:pStyle w:val="31"/>
      <w:isLgl/>
      <w:lvlText w:val="%1.%2.%3.%4"/>
      <w:lvlJc w:val="left"/>
      <w:pPr>
        <w:ind w:left="1984" w:hanging="708"/>
      </w:pPr>
      <w:rPr>
        <w:rFonts w:hint="eastAsia" w:ascii="宋体" w:eastAsia="宋体"/>
        <w:b/>
        <w:i w:val="0"/>
        <w:sz w:val="24"/>
      </w:rPr>
    </w:lvl>
    <w:lvl w:ilvl="4" w:tentative="0">
      <w:start w:val="1"/>
      <w:numFmt w:val="decimal"/>
      <w:pStyle w:val="29"/>
      <w:isLgl/>
      <w:lvlText w:val="%1.%2.%3.%4.%5"/>
      <w:lvlJc w:val="left"/>
      <w:pPr>
        <w:ind w:left="2551" w:hanging="850"/>
      </w:pPr>
      <w:rPr>
        <w:rFonts w:hint="default" w:ascii="宋体" w:eastAsia="宋体"/>
        <w:b/>
        <w:i w:val="0"/>
        <w:sz w:val="24"/>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2">
    <w:nsid w:val="7B843E43"/>
    <w:multiLevelType w:val="singleLevel"/>
    <w:tmpl w:val="7B843E43"/>
    <w:lvl w:ilvl="0" w:tentative="0">
      <w:start w:val="1"/>
      <w:numFmt w:val="decimal"/>
      <w:pStyle w:val="70"/>
      <w:lvlText w:val="%1."/>
      <w:lvlJc w:val="left"/>
      <w:pPr>
        <w:tabs>
          <w:tab w:val="left" w:pos="482"/>
        </w:tabs>
        <w:ind w:left="510" w:hanging="510"/>
      </w:pPr>
      <w:rPr>
        <w:rFonts w:hint="default" w:ascii="Arial" w:hAnsi="Arial"/>
        <w:b w:val="0"/>
        <w:i w:val="0"/>
        <w:sz w:val="24"/>
        <w:szCs w:val="24"/>
      </w:rPr>
    </w:lvl>
  </w:abstractNum>
  <w:abstractNum w:abstractNumId="13">
    <w:nsid w:val="7FBFE428"/>
    <w:multiLevelType w:val="singleLevel"/>
    <w:tmpl w:val="7FBFE428"/>
    <w:lvl w:ilvl="0" w:tentative="0">
      <w:start w:val="1"/>
      <w:numFmt w:val="bullet"/>
      <w:lvlText w:val=""/>
      <w:lvlJc w:val="left"/>
      <w:pPr>
        <w:ind w:left="420" w:hanging="420"/>
      </w:pPr>
      <w:rPr>
        <w:rFonts w:hint="default" w:ascii="Wingdings" w:hAnsi="Wingdings"/>
      </w:rPr>
    </w:lvl>
  </w:abstractNum>
  <w:num w:numId="1">
    <w:abstractNumId w:val="11"/>
  </w:num>
  <w:num w:numId="2">
    <w:abstractNumId w:val="0"/>
  </w:num>
  <w:num w:numId="3">
    <w:abstractNumId w:val="8"/>
  </w:num>
  <w:num w:numId="4">
    <w:abstractNumId w:val="4"/>
  </w:num>
  <w:num w:numId="5">
    <w:abstractNumId w:val="12"/>
  </w:num>
  <w:num w:numId="6">
    <w:abstractNumId w:val="10"/>
  </w:num>
  <w:num w:numId="7">
    <w:abstractNumId w:val="3"/>
  </w:num>
  <w:num w:numId="8">
    <w:abstractNumId w:val="6"/>
  </w:num>
  <w:num w:numId="9">
    <w:abstractNumId w:val="9"/>
  </w:num>
  <w:num w:numId="10">
    <w:abstractNumId w:val="7"/>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2"/>
  </w:num>
  <w:num w:numId="17">
    <w:abstractNumId w:val="1"/>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attachedTemplate r:id="rId1"/>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kxNGQ0NGYzYjUzNmM0MTA5MDQzNTk5ODVjNmRmOGMifQ=="/>
  </w:docVars>
  <w:rsids>
    <w:rsidRoot w:val="788A17E9"/>
    <w:rsid w:val="00000F3C"/>
    <w:rsid w:val="000018F2"/>
    <w:rsid w:val="000025BC"/>
    <w:rsid w:val="000035CC"/>
    <w:rsid w:val="0000399E"/>
    <w:rsid w:val="00003C3A"/>
    <w:rsid w:val="00003E19"/>
    <w:rsid w:val="000047E4"/>
    <w:rsid w:val="000101B4"/>
    <w:rsid w:val="00011124"/>
    <w:rsid w:val="0001233E"/>
    <w:rsid w:val="00012ADA"/>
    <w:rsid w:val="0001353C"/>
    <w:rsid w:val="00014189"/>
    <w:rsid w:val="00017628"/>
    <w:rsid w:val="000204A8"/>
    <w:rsid w:val="00020DF0"/>
    <w:rsid w:val="00021216"/>
    <w:rsid w:val="00021CB4"/>
    <w:rsid w:val="00022251"/>
    <w:rsid w:val="00022B59"/>
    <w:rsid w:val="000233D3"/>
    <w:rsid w:val="000235AD"/>
    <w:rsid w:val="0002387C"/>
    <w:rsid w:val="0002398C"/>
    <w:rsid w:val="00024D08"/>
    <w:rsid w:val="00026102"/>
    <w:rsid w:val="00026D1C"/>
    <w:rsid w:val="00027FFA"/>
    <w:rsid w:val="000304B0"/>
    <w:rsid w:val="00031633"/>
    <w:rsid w:val="000328B1"/>
    <w:rsid w:val="00033173"/>
    <w:rsid w:val="00034119"/>
    <w:rsid w:val="00034769"/>
    <w:rsid w:val="000353AD"/>
    <w:rsid w:val="00040D7F"/>
    <w:rsid w:val="000415BF"/>
    <w:rsid w:val="00041FE6"/>
    <w:rsid w:val="0004356E"/>
    <w:rsid w:val="00043B93"/>
    <w:rsid w:val="000445F0"/>
    <w:rsid w:val="00044DEA"/>
    <w:rsid w:val="00045385"/>
    <w:rsid w:val="00046998"/>
    <w:rsid w:val="00047B6C"/>
    <w:rsid w:val="000512F6"/>
    <w:rsid w:val="000527B9"/>
    <w:rsid w:val="00053382"/>
    <w:rsid w:val="00053426"/>
    <w:rsid w:val="00053881"/>
    <w:rsid w:val="0005583E"/>
    <w:rsid w:val="0005596B"/>
    <w:rsid w:val="000570A8"/>
    <w:rsid w:val="0006074E"/>
    <w:rsid w:val="00060C61"/>
    <w:rsid w:val="00061D6F"/>
    <w:rsid w:val="00062CAA"/>
    <w:rsid w:val="000635A5"/>
    <w:rsid w:val="00063ECF"/>
    <w:rsid w:val="0006628A"/>
    <w:rsid w:val="00066377"/>
    <w:rsid w:val="000663A6"/>
    <w:rsid w:val="00070365"/>
    <w:rsid w:val="00070A75"/>
    <w:rsid w:val="00070B2B"/>
    <w:rsid w:val="00071106"/>
    <w:rsid w:val="00071E3C"/>
    <w:rsid w:val="00072D45"/>
    <w:rsid w:val="00073A17"/>
    <w:rsid w:val="00073DD2"/>
    <w:rsid w:val="00074480"/>
    <w:rsid w:val="0008317E"/>
    <w:rsid w:val="00084AE9"/>
    <w:rsid w:val="000856E2"/>
    <w:rsid w:val="0008586F"/>
    <w:rsid w:val="00086D01"/>
    <w:rsid w:val="00086E20"/>
    <w:rsid w:val="00093D06"/>
    <w:rsid w:val="00093DA6"/>
    <w:rsid w:val="000940FE"/>
    <w:rsid w:val="00094823"/>
    <w:rsid w:val="00095380"/>
    <w:rsid w:val="0009765C"/>
    <w:rsid w:val="000979BB"/>
    <w:rsid w:val="000A0C26"/>
    <w:rsid w:val="000A1140"/>
    <w:rsid w:val="000A256E"/>
    <w:rsid w:val="000A26C9"/>
    <w:rsid w:val="000A401F"/>
    <w:rsid w:val="000A586A"/>
    <w:rsid w:val="000A632E"/>
    <w:rsid w:val="000A67CC"/>
    <w:rsid w:val="000A6D2F"/>
    <w:rsid w:val="000B04CA"/>
    <w:rsid w:val="000B2E09"/>
    <w:rsid w:val="000B588A"/>
    <w:rsid w:val="000B5B47"/>
    <w:rsid w:val="000B643A"/>
    <w:rsid w:val="000B70AD"/>
    <w:rsid w:val="000C1A55"/>
    <w:rsid w:val="000C3A02"/>
    <w:rsid w:val="000C636D"/>
    <w:rsid w:val="000C7061"/>
    <w:rsid w:val="000D0353"/>
    <w:rsid w:val="000D3D02"/>
    <w:rsid w:val="000D3E6E"/>
    <w:rsid w:val="000D5FF1"/>
    <w:rsid w:val="000D612C"/>
    <w:rsid w:val="000D6A00"/>
    <w:rsid w:val="000E046A"/>
    <w:rsid w:val="000E192A"/>
    <w:rsid w:val="000E3175"/>
    <w:rsid w:val="000E5286"/>
    <w:rsid w:val="000E58B2"/>
    <w:rsid w:val="000F040D"/>
    <w:rsid w:val="000F0DD7"/>
    <w:rsid w:val="000F1D8B"/>
    <w:rsid w:val="000F27B9"/>
    <w:rsid w:val="000F2A52"/>
    <w:rsid w:val="000F5AE1"/>
    <w:rsid w:val="000F6404"/>
    <w:rsid w:val="000F7292"/>
    <w:rsid w:val="000F734F"/>
    <w:rsid w:val="00101462"/>
    <w:rsid w:val="001017C1"/>
    <w:rsid w:val="00102894"/>
    <w:rsid w:val="00103D30"/>
    <w:rsid w:val="00104330"/>
    <w:rsid w:val="001044E6"/>
    <w:rsid w:val="001066B6"/>
    <w:rsid w:val="00112044"/>
    <w:rsid w:val="00112456"/>
    <w:rsid w:val="00112492"/>
    <w:rsid w:val="001125F9"/>
    <w:rsid w:val="00113B22"/>
    <w:rsid w:val="00114F7E"/>
    <w:rsid w:val="0011791A"/>
    <w:rsid w:val="00121E7B"/>
    <w:rsid w:val="001224FA"/>
    <w:rsid w:val="00123268"/>
    <w:rsid w:val="00125D76"/>
    <w:rsid w:val="00126A80"/>
    <w:rsid w:val="00126CB2"/>
    <w:rsid w:val="00126E7D"/>
    <w:rsid w:val="001300F3"/>
    <w:rsid w:val="00130CE8"/>
    <w:rsid w:val="00130ECB"/>
    <w:rsid w:val="0013208E"/>
    <w:rsid w:val="001325B2"/>
    <w:rsid w:val="00133363"/>
    <w:rsid w:val="00135845"/>
    <w:rsid w:val="00135E12"/>
    <w:rsid w:val="001378E5"/>
    <w:rsid w:val="0013794D"/>
    <w:rsid w:val="00140161"/>
    <w:rsid w:val="00140515"/>
    <w:rsid w:val="00140F48"/>
    <w:rsid w:val="00142162"/>
    <w:rsid w:val="001426A7"/>
    <w:rsid w:val="00143568"/>
    <w:rsid w:val="00144CB3"/>
    <w:rsid w:val="001459F7"/>
    <w:rsid w:val="00145C72"/>
    <w:rsid w:val="001467FB"/>
    <w:rsid w:val="00147311"/>
    <w:rsid w:val="001511F3"/>
    <w:rsid w:val="0015217F"/>
    <w:rsid w:val="0015319A"/>
    <w:rsid w:val="0015524E"/>
    <w:rsid w:val="00155514"/>
    <w:rsid w:val="0016017E"/>
    <w:rsid w:val="001602FD"/>
    <w:rsid w:val="00160B80"/>
    <w:rsid w:val="00162160"/>
    <w:rsid w:val="00164063"/>
    <w:rsid w:val="001653D1"/>
    <w:rsid w:val="00166781"/>
    <w:rsid w:val="00166F43"/>
    <w:rsid w:val="00171360"/>
    <w:rsid w:val="00171CAA"/>
    <w:rsid w:val="00174B9B"/>
    <w:rsid w:val="00177777"/>
    <w:rsid w:val="00177AF3"/>
    <w:rsid w:val="001802E5"/>
    <w:rsid w:val="00180801"/>
    <w:rsid w:val="00180F58"/>
    <w:rsid w:val="0018297E"/>
    <w:rsid w:val="00182EF1"/>
    <w:rsid w:val="00184DB1"/>
    <w:rsid w:val="00185199"/>
    <w:rsid w:val="00190070"/>
    <w:rsid w:val="001902EB"/>
    <w:rsid w:val="00193AE1"/>
    <w:rsid w:val="00193D2B"/>
    <w:rsid w:val="00194820"/>
    <w:rsid w:val="001A0761"/>
    <w:rsid w:val="001A0882"/>
    <w:rsid w:val="001A0BFA"/>
    <w:rsid w:val="001A1027"/>
    <w:rsid w:val="001A1686"/>
    <w:rsid w:val="001A2B7F"/>
    <w:rsid w:val="001A4BBD"/>
    <w:rsid w:val="001A7A6D"/>
    <w:rsid w:val="001B084B"/>
    <w:rsid w:val="001B0C9E"/>
    <w:rsid w:val="001B2141"/>
    <w:rsid w:val="001B3A2B"/>
    <w:rsid w:val="001B3A47"/>
    <w:rsid w:val="001B6150"/>
    <w:rsid w:val="001B63CC"/>
    <w:rsid w:val="001C1BD1"/>
    <w:rsid w:val="001C29D6"/>
    <w:rsid w:val="001C2A22"/>
    <w:rsid w:val="001C3207"/>
    <w:rsid w:val="001C329A"/>
    <w:rsid w:val="001C45A6"/>
    <w:rsid w:val="001C5099"/>
    <w:rsid w:val="001C60E0"/>
    <w:rsid w:val="001C63D7"/>
    <w:rsid w:val="001C671C"/>
    <w:rsid w:val="001C7031"/>
    <w:rsid w:val="001C7A46"/>
    <w:rsid w:val="001D0D9E"/>
    <w:rsid w:val="001D0FE4"/>
    <w:rsid w:val="001D18C9"/>
    <w:rsid w:val="001D20B3"/>
    <w:rsid w:val="001D2832"/>
    <w:rsid w:val="001D2A6B"/>
    <w:rsid w:val="001D5401"/>
    <w:rsid w:val="001D58EB"/>
    <w:rsid w:val="001D64AB"/>
    <w:rsid w:val="001D67C4"/>
    <w:rsid w:val="001D7E54"/>
    <w:rsid w:val="001E1DF0"/>
    <w:rsid w:val="001E5429"/>
    <w:rsid w:val="001E7768"/>
    <w:rsid w:val="001E7C59"/>
    <w:rsid w:val="001F2625"/>
    <w:rsid w:val="001F39EF"/>
    <w:rsid w:val="001F4743"/>
    <w:rsid w:val="001F6BC0"/>
    <w:rsid w:val="001F6CDA"/>
    <w:rsid w:val="00200564"/>
    <w:rsid w:val="0020086F"/>
    <w:rsid w:val="00200BED"/>
    <w:rsid w:val="00201420"/>
    <w:rsid w:val="002036CE"/>
    <w:rsid w:val="0020385E"/>
    <w:rsid w:val="00204545"/>
    <w:rsid w:val="00205EF4"/>
    <w:rsid w:val="00206085"/>
    <w:rsid w:val="00207EF0"/>
    <w:rsid w:val="00211537"/>
    <w:rsid w:val="002119BE"/>
    <w:rsid w:val="002123D8"/>
    <w:rsid w:val="00213364"/>
    <w:rsid w:val="00214082"/>
    <w:rsid w:val="0021424B"/>
    <w:rsid w:val="002148DA"/>
    <w:rsid w:val="00217857"/>
    <w:rsid w:val="0022102F"/>
    <w:rsid w:val="00223D60"/>
    <w:rsid w:val="002247A2"/>
    <w:rsid w:val="002313CC"/>
    <w:rsid w:val="002339F4"/>
    <w:rsid w:val="0023421D"/>
    <w:rsid w:val="00234555"/>
    <w:rsid w:val="002345F0"/>
    <w:rsid w:val="0024024D"/>
    <w:rsid w:val="002408DF"/>
    <w:rsid w:val="002414AB"/>
    <w:rsid w:val="00241E70"/>
    <w:rsid w:val="002424A8"/>
    <w:rsid w:val="00243ABF"/>
    <w:rsid w:val="00243D18"/>
    <w:rsid w:val="00244536"/>
    <w:rsid w:val="002449A9"/>
    <w:rsid w:val="002452EB"/>
    <w:rsid w:val="0024781E"/>
    <w:rsid w:val="0025048E"/>
    <w:rsid w:val="00250903"/>
    <w:rsid w:val="00251984"/>
    <w:rsid w:val="00251AE2"/>
    <w:rsid w:val="002535B2"/>
    <w:rsid w:val="0025521A"/>
    <w:rsid w:val="00255E6F"/>
    <w:rsid w:val="002562CB"/>
    <w:rsid w:val="002567ED"/>
    <w:rsid w:val="0025766D"/>
    <w:rsid w:val="00257DB9"/>
    <w:rsid w:val="00260223"/>
    <w:rsid w:val="002605F4"/>
    <w:rsid w:val="00261399"/>
    <w:rsid w:val="0026170B"/>
    <w:rsid w:val="00261D13"/>
    <w:rsid w:val="002633CA"/>
    <w:rsid w:val="00264605"/>
    <w:rsid w:val="00265C27"/>
    <w:rsid w:val="00266B94"/>
    <w:rsid w:val="00267786"/>
    <w:rsid w:val="002706EA"/>
    <w:rsid w:val="00270E0C"/>
    <w:rsid w:val="002714A5"/>
    <w:rsid w:val="00271BFB"/>
    <w:rsid w:val="002720B1"/>
    <w:rsid w:val="00272373"/>
    <w:rsid w:val="00273297"/>
    <w:rsid w:val="002734CD"/>
    <w:rsid w:val="00273B20"/>
    <w:rsid w:val="00274188"/>
    <w:rsid w:val="00275C0E"/>
    <w:rsid w:val="00276681"/>
    <w:rsid w:val="0027688E"/>
    <w:rsid w:val="00277339"/>
    <w:rsid w:val="002773FC"/>
    <w:rsid w:val="0028258A"/>
    <w:rsid w:val="002856B6"/>
    <w:rsid w:val="002870D6"/>
    <w:rsid w:val="0028710F"/>
    <w:rsid w:val="00287769"/>
    <w:rsid w:val="00287F89"/>
    <w:rsid w:val="00290296"/>
    <w:rsid w:val="002920A6"/>
    <w:rsid w:val="002934E6"/>
    <w:rsid w:val="00293EA2"/>
    <w:rsid w:val="00294873"/>
    <w:rsid w:val="00294E06"/>
    <w:rsid w:val="00295861"/>
    <w:rsid w:val="002A1A69"/>
    <w:rsid w:val="002A2C82"/>
    <w:rsid w:val="002A43EE"/>
    <w:rsid w:val="002B203D"/>
    <w:rsid w:val="002B44E3"/>
    <w:rsid w:val="002B4F3B"/>
    <w:rsid w:val="002B5CD2"/>
    <w:rsid w:val="002B6036"/>
    <w:rsid w:val="002B6772"/>
    <w:rsid w:val="002C1482"/>
    <w:rsid w:val="002C1658"/>
    <w:rsid w:val="002C2239"/>
    <w:rsid w:val="002C2BA6"/>
    <w:rsid w:val="002C45E8"/>
    <w:rsid w:val="002C57BE"/>
    <w:rsid w:val="002C6C2C"/>
    <w:rsid w:val="002C6F7C"/>
    <w:rsid w:val="002C736B"/>
    <w:rsid w:val="002D19FD"/>
    <w:rsid w:val="002D1E17"/>
    <w:rsid w:val="002D31F1"/>
    <w:rsid w:val="002D321B"/>
    <w:rsid w:val="002D3CA4"/>
    <w:rsid w:val="002D4BA0"/>
    <w:rsid w:val="002D7B2C"/>
    <w:rsid w:val="002E0999"/>
    <w:rsid w:val="002E173E"/>
    <w:rsid w:val="002E2730"/>
    <w:rsid w:val="002E4A02"/>
    <w:rsid w:val="002E7BC4"/>
    <w:rsid w:val="002F1EC5"/>
    <w:rsid w:val="002F26E9"/>
    <w:rsid w:val="00302BDB"/>
    <w:rsid w:val="003033F9"/>
    <w:rsid w:val="0030353C"/>
    <w:rsid w:val="003039DF"/>
    <w:rsid w:val="00310687"/>
    <w:rsid w:val="00310743"/>
    <w:rsid w:val="00310BB1"/>
    <w:rsid w:val="003157DD"/>
    <w:rsid w:val="003172CD"/>
    <w:rsid w:val="00320875"/>
    <w:rsid w:val="00323CB4"/>
    <w:rsid w:val="0032458E"/>
    <w:rsid w:val="003257A1"/>
    <w:rsid w:val="00325B9D"/>
    <w:rsid w:val="003261A5"/>
    <w:rsid w:val="00326BB1"/>
    <w:rsid w:val="00327E13"/>
    <w:rsid w:val="003302C8"/>
    <w:rsid w:val="00331594"/>
    <w:rsid w:val="0033332A"/>
    <w:rsid w:val="00335879"/>
    <w:rsid w:val="00342C77"/>
    <w:rsid w:val="00342EA7"/>
    <w:rsid w:val="00343521"/>
    <w:rsid w:val="0034352A"/>
    <w:rsid w:val="00343B37"/>
    <w:rsid w:val="003457DB"/>
    <w:rsid w:val="0034643F"/>
    <w:rsid w:val="003470D4"/>
    <w:rsid w:val="00350A3B"/>
    <w:rsid w:val="00351830"/>
    <w:rsid w:val="00353850"/>
    <w:rsid w:val="00355200"/>
    <w:rsid w:val="003566A1"/>
    <w:rsid w:val="0036174F"/>
    <w:rsid w:val="003619B0"/>
    <w:rsid w:val="00362E57"/>
    <w:rsid w:val="0036328A"/>
    <w:rsid w:val="0036336B"/>
    <w:rsid w:val="00364656"/>
    <w:rsid w:val="00366617"/>
    <w:rsid w:val="00367B36"/>
    <w:rsid w:val="0037117D"/>
    <w:rsid w:val="003717E4"/>
    <w:rsid w:val="0037351C"/>
    <w:rsid w:val="003749A4"/>
    <w:rsid w:val="003764A4"/>
    <w:rsid w:val="00376A83"/>
    <w:rsid w:val="0038185F"/>
    <w:rsid w:val="003822AF"/>
    <w:rsid w:val="00382512"/>
    <w:rsid w:val="003835FC"/>
    <w:rsid w:val="00384C75"/>
    <w:rsid w:val="00385F71"/>
    <w:rsid w:val="00386463"/>
    <w:rsid w:val="003867EF"/>
    <w:rsid w:val="00386B95"/>
    <w:rsid w:val="0038728C"/>
    <w:rsid w:val="00390C7E"/>
    <w:rsid w:val="00391C02"/>
    <w:rsid w:val="00392658"/>
    <w:rsid w:val="00393123"/>
    <w:rsid w:val="00393705"/>
    <w:rsid w:val="00394712"/>
    <w:rsid w:val="00395D1B"/>
    <w:rsid w:val="00396DF4"/>
    <w:rsid w:val="00397940"/>
    <w:rsid w:val="003A0571"/>
    <w:rsid w:val="003A14E7"/>
    <w:rsid w:val="003A2D1F"/>
    <w:rsid w:val="003A3183"/>
    <w:rsid w:val="003A390D"/>
    <w:rsid w:val="003A485E"/>
    <w:rsid w:val="003A57D1"/>
    <w:rsid w:val="003A5B73"/>
    <w:rsid w:val="003B03A2"/>
    <w:rsid w:val="003B78D2"/>
    <w:rsid w:val="003C0BC2"/>
    <w:rsid w:val="003C0CED"/>
    <w:rsid w:val="003C11D2"/>
    <w:rsid w:val="003C2AE6"/>
    <w:rsid w:val="003C32BF"/>
    <w:rsid w:val="003C6896"/>
    <w:rsid w:val="003D1127"/>
    <w:rsid w:val="003D1D3A"/>
    <w:rsid w:val="003D2E94"/>
    <w:rsid w:val="003D49D7"/>
    <w:rsid w:val="003D50B0"/>
    <w:rsid w:val="003D6087"/>
    <w:rsid w:val="003D79EE"/>
    <w:rsid w:val="003E0DE4"/>
    <w:rsid w:val="003E4898"/>
    <w:rsid w:val="003E6093"/>
    <w:rsid w:val="003E787F"/>
    <w:rsid w:val="003E79D4"/>
    <w:rsid w:val="003E7A74"/>
    <w:rsid w:val="003F11F8"/>
    <w:rsid w:val="003F2553"/>
    <w:rsid w:val="003F2CBE"/>
    <w:rsid w:val="003F36B9"/>
    <w:rsid w:val="0040022D"/>
    <w:rsid w:val="00400FCC"/>
    <w:rsid w:val="004032B2"/>
    <w:rsid w:val="004032F2"/>
    <w:rsid w:val="00403C1F"/>
    <w:rsid w:val="00403D40"/>
    <w:rsid w:val="0040507C"/>
    <w:rsid w:val="004061F0"/>
    <w:rsid w:val="004118B8"/>
    <w:rsid w:val="00412E87"/>
    <w:rsid w:val="004147B3"/>
    <w:rsid w:val="00414AB3"/>
    <w:rsid w:val="00415011"/>
    <w:rsid w:val="0041544B"/>
    <w:rsid w:val="00420261"/>
    <w:rsid w:val="00420611"/>
    <w:rsid w:val="00421A48"/>
    <w:rsid w:val="00421D7C"/>
    <w:rsid w:val="004228BF"/>
    <w:rsid w:val="0042329F"/>
    <w:rsid w:val="004238E9"/>
    <w:rsid w:val="004243D4"/>
    <w:rsid w:val="00425A6F"/>
    <w:rsid w:val="00425AF3"/>
    <w:rsid w:val="00425EEB"/>
    <w:rsid w:val="004263D5"/>
    <w:rsid w:val="004264E8"/>
    <w:rsid w:val="00426710"/>
    <w:rsid w:val="00426D36"/>
    <w:rsid w:val="00430675"/>
    <w:rsid w:val="00432A14"/>
    <w:rsid w:val="00432EDD"/>
    <w:rsid w:val="004338E0"/>
    <w:rsid w:val="00434083"/>
    <w:rsid w:val="00434107"/>
    <w:rsid w:val="00435EAC"/>
    <w:rsid w:val="00435EC5"/>
    <w:rsid w:val="00436F13"/>
    <w:rsid w:val="00440BB6"/>
    <w:rsid w:val="00441B1C"/>
    <w:rsid w:val="00442E62"/>
    <w:rsid w:val="004438A3"/>
    <w:rsid w:val="004444AE"/>
    <w:rsid w:val="00444D17"/>
    <w:rsid w:val="00446667"/>
    <w:rsid w:val="004473A9"/>
    <w:rsid w:val="00447817"/>
    <w:rsid w:val="00447B55"/>
    <w:rsid w:val="0045019D"/>
    <w:rsid w:val="00450617"/>
    <w:rsid w:val="00453596"/>
    <w:rsid w:val="0045611E"/>
    <w:rsid w:val="00457530"/>
    <w:rsid w:val="00457A33"/>
    <w:rsid w:val="00457CF7"/>
    <w:rsid w:val="00457E7F"/>
    <w:rsid w:val="00460050"/>
    <w:rsid w:val="0046147E"/>
    <w:rsid w:val="004616EB"/>
    <w:rsid w:val="004618AA"/>
    <w:rsid w:val="00464E4D"/>
    <w:rsid w:val="00464F67"/>
    <w:rsid w:val="004678F7"/>
    <w:rsid w:val="00467BF5"/>
    <w:rsid w:val="00473D89"/>
    <w:rsid w:val="004747C0"/>
    <w:rsid w:val="00474C49"/>
    <w:rsid w:val="004751C3"/>
    <w:rsid w:val="004775EF"/>
    <w:rsid w:val="00477E83"/>
    <w:rsid w:val="00481192"/>
    <w:rsid w:val="00481EB1"/>
    <w:rsid w:val="004824AF"/>
    <w:rsid w:val="004827EB"/>
    <w:rsid w:val="004833FC"/>
    <w:rsid w:val="004835EA"/>
    <w:rsid w:val="004843ED"/>
    <w:rsid w:val="004858BF"/>
    <w:rsid w:val="00485EDB"/>
    <w:rsid w:val="00486451"/>
    <w:rsid w:val="0048761C"/>
    <w:rsid w:val="00487F56"/>
    <w:rsid w:val="0049009B"/>
    <w:rsid w:val="00490236"/>
    <w:rsid w:val="004913E5"/>
    <w:rsid w:val="00493F1C"/>
    <w:rsid w:val="00495290"/>
    <w:rsid w:val="004952BF"/>
    <w:rsid w:val="004954AB"/>
    <w:rsid w:val="004956D9"/>
    <w:rsid w:val="004958E3"/>
    <w:rsid w:val="0049634C"/>
    <w:rsid w:val="00496926"/>
    <w:rsid w:val="00496C44"/>
    <w:rsid w:val="004A0898"/>
    <w:rsid w:val="004A13EF"/>
    <w:rsid w:val="004A2360"/>
    <w:rsid w:val="004A3526"/>
    <w:rsid w:val="004A6AA9"/>
    <w:rsid w:val="004A73F6"/>
    <w:rsid w:val="004B0348"/>
    <w:rsid w:val="004B042B"/>
    <w:rsid w:val="004B1341"/>
    <w:rsid w:val="004B2BF0"/>
    <w:rsid w:val="004B2F53"/>
    <w:rsid w:val="004B39EC"/>
    <w:rsid w:val="004B3BDF"/>
    <w:rsid w:val="004B44CA"/>
    <w:rsid w:val="004B47AF"/>
    <w:rsid w:val="004B632C"/>
    <w:rsid w:val="004B652E"/>
    <w:rsid w:val="004C150B"/>
    <w:rsid w:val="004C2B56"/>
    <w:rsid w:val="004C3C72"/>
    <w:rsid w:val="004C4CE0"/>
    <w:rsid w:val="004C64CC"/>
    <w:rsid w:val="004C6FF2"/>
    <w:rsid w:val="004C73C4"/>
    <w:rsid w:val="004D017B"/>
    <w:rsid w:val="004D39BD"/>
    <w:rsid w:val="004D635D"/>
    <w:rsid w:val="004E070E"/>
    <w:rsid w:val="004E1505"/>
    <w:rsid w:val="004E1516"/>
    <w:rsid w:val="004E17FA"/>
    <w:rsid w:val="004E2A2D"/>
    <w:rsid w:val="004E4009"/>
    <w:rsid w:val="004E4E4F"/>
    <w:rsid w:val="004E682A"/>
    <w:rsid w:val="004E687A"/>
    <w:rsid w:val="004E7107"/>
    <w:rsid w:val="004E7E51"/>
    <w:rsid w:val="004F0089"/>
    <w:rsid w:val="004F02E7"/>
    <w:rsid w:val="004F0782"/>
    <w:rsid w:val="004F1672"/>
    <w:rsid w:val="004F1767"/>
    <w:rsid w:val="004F177A"/>
    <w:rsid w:val="004F1AA0"/>
    <w:rsid w:val="004F4661"/>
    <w:rsid w:val="004F4735"/>
    <w:rsid w:val="00501668"/>
    <w:rsid w:val="0050301E"/>
    <w:rsid w:val="00504659"/>
    <w:rsid w:val="0050473D"/>
    <w:rsid w:val="005048AD"/>
    <w:rsid w:val="00504CCC"/>
    <w:rsid w:val="00506AE6"/>
    <w:rsid w:val="005075D8"/>
    <w:rsid w:val="005076EB"/>
    <w:rsid w:val="0051184B"/>
    <w:rsid w:val="005152C3"/>
    <w:rsid w:val="0051578F"/>
    <w:rsid w:val="005172C1"/>
    <w:rsid w:val="00521D8D"/>
    <w:rsid w:val="005247BC"/>
    <w:rsid w:val="00526034"/>
    <w:rsid w:val="005300A3"/>
    <w:rsid w:val="0053012F"/>
    <w:rsid w:val="005303E7"/>
    <w:rsid w:val="0053083F"/>
    <w:rsid w:val="00532A30"/>
    <w:rsid w:val="0053300A"/>
    <w:rsid w:val="00533342"/>
    <w:rsid w:val="00533770"/>
    <w:rsid w:val="00533989"/>
    <w:rsid w:val="005339FE"/>
    <w:rsid w:val="00535DAB"/>
    <w:rsid w:val="005362E4"/>
    <w:rsid w:val="00537766"/>
    <w:rsid w:val="00540C05"/>
    <w:rsid w:val="00540DBA"/>
    <w:rsid w:val="00541BB9"/>
    <w:rsid w:val="0054266D"/>
    <w:rsid w:val="00542832"/>
    <w:rsid w:val="00545438"/>
    <w:rsid w:val="00547420"/>
    <w:rsid w:val="00550CEF"/>
    <w:rsid w:val="005529CB"/>
    <w:rsid w:val="0055571F"/>
    <w:rsid w:val="00555B76"/>
    <w:rsid w:val="00556E31"/>
    <w:rsid w:val="00557870"/>
    <w:rsid w:val="00557993"/>
    <w:rsid w:val="00557B41"/>
    <w:rsid w:val="00562076"/>
    <w:rsid w:val="00563CBB"/>
    <w:rsid w:val="005649A3"/>
    <w:rsid w:val="00564B25"/>
    <w:rsid w:val="00565E2F"/>
    <w:rsid w:val="0056779A"/>
    <w:rsid w:val="00567E22"/>
    <w:rsid w:val="00570296"/>
    <w:rsid w:val="005710AE"/>
    <w:rsid w:val="00571C19"/>
    <w:rsid w:val="00571F80"/>
    <w:rsid w:val="00572BE5"/>
    <w:rsid w:val="0057314E"/>
    <w:rsid w:val="005740C1"/>
    <w:rsid w:val="00574671"/>
    <w:rsid w:val="00575A59"/>
    <w:rsid w:val="00581C6A"/>
    <w:rsid w:val="00581D2B"/>
    <w:rsid w:val="005833C2"/>
    <w:rsid w:val="00583891"/>
    <w:rsid w:val="0059034C"/>
    <w:rsid w:val="0059079B"/>
    <w:rsid w:val="005914A9"/>
    <w:rsid w:val="0059229D"/>
    <w:rsid w:val="005929C1"/>
    <w:rsid w:val="00593A3F"/>
    <w:rsid w:val="005A59B7"/>
    <w:rsid w:val="005A5D20"/>
    <w:rsid w:val="005B03F5"/>
    <w:rsid w:val="005B0E9A"/>
    <w:rsid w:val="005B2AAE"/>
    <w:rsid w:val="005B3D12"/>
    <w:rsid w:val="005B4EE1"/>
    <w:rsid w:val="005B5C9A"/>
    <w:rsid w:val="005B5F6F"/>
    <w:rsid w:val="005B6D3F"/>
    <w:rsid w:val="005C2346"/>
    <w:rsid w:val="005C2512"/>
    <w:rsid w:val="005C3745"/>
    <w:rsid w:val="005C4DB9"/>
    <w:rsid w:val="005C5766"/>
    <w:rsid w:val="005C6849"/>
    <w:rsid w:val="005C6A75"/>
    <w:rsid w:val="005C6D9C"/>
    <w:rsid w:val="005C79B0"/>
    <w:rsid w:val="005D0F6F"/>
    <w:rsid w:val="005D365A"/>
    <w:rsid w:val="005D3706"/>
    <w:rsid w:val="005D69AE"/>
    <w:rsid w:val="005D6D2B"/>
    <w:rsid w:val="005E1323"/>
    <w:rsid w:val="005E21BC"/>
    <w:rsid w:val="005E282E"/>
    <w:rsid w:val="005E3002"/>
    <w:rsid w:val="005E4A5C"/>
    <w:rsid w:val="005E4BFD"/>
    <w:rsid w:val="005E7AA4"/>
    <w:rsid w:val="005F0EE1"/>
    <w:rsid w:val="005F4B39"/>
    <w:rsid w:val="005F60F3"/>
    <w:rsid w:val="005F6A45"/>
    <w:rsid w:val="005F75B3"/>
    <w:rsid w:val="005F7A94"/>
    <w:rsid w:val="005F7B7A"/>
    <w:rsid w:val="005F7E68"/>
    <w:rsid w:val="006022BA"/>
    <w:rsid w:val="00603740"/>
    <w:rsid w:val="00605F52"/>
    <w:rsid w:val="0060679E"/>
    <w:rsid w:val="00606A50"/>
    <w:rsid w:val="006077B3"/>
    <w:rsid w:val="00610366"/>
    <w:rsid w:val="006106CE"/>
    <w:rsid w:val="006116CA"/>
    <w:rsid w:val="00613837"/>
    <w:rsid w:val="00613DB5"/>
    <w:rsid w:val="00614898"/>
    <w:rsid w:val="0061550D"/>
    <w:rsid w:val="00615CFC"/>
    <w:rsid w:val="00617E51"/>
    <w:rsid w:val="006221B6"/>
    <w:rsid w:val="0062347C"/>
    <w:rsid w:val="006261AA"/>
    <w:rsid w:val="00626EE7"/>
    <w:rsid w:val="00630710"/>
    <w:rsid w:val="0063075D"/>
    <w:rsid w:val="006328EE"/>
    <w:rsid w:val="006337C5"/>
    <w:rsid w:val="00634174"/>
    <w:rsid w:val="006346BB"/>
    <w:rsid w:val="00634D14"/>
    <w:rsid w:val="00634FD5"/>
    <w:rsid w:val="00636F9C"/>
    <w:rsid w:val="006371CC"/>
    <w:rsid w:val="00641311"/>
    <w:rsid w:val="00642057"/>
    <w:rsid w:val="006432B2"/>
    <w:rsid w:val="00643679"/>
    <w:rsid w:val="006438F7"/>
    <w:rsid w:val="006447B6"/>
    <w:rsid w:val="00645FA8"/>
    <w:rsid w:val="00646139"/>
    <w:rsid w:val="006470C7"/>
    <w:rsid w:val="00647DCD"/>
    <w:rsid w:val="00650026"/>
    <w:rsid w:val="00651087"/>
    <w:rsid w:val="006567DD"/>
    <w:rsid w:val="0065736A"/>
    <w:rsid w:val="00657E82"/>
    <w:rsid w:val="006614B6"/>
    <w:rsid w:val="00662C3F"/>
    <w:rsid w:val="006634FF"/>
    <w:rsid w:val="00663556"/>
    <w:rsid w:val="0066364E"/>
    <w:rsid w:val="00663F7A"/>
    <w:rsid w:val="006659A7"/>
    <w:rsid w:val="006665AE"/>
    <w:rsid w:val="00667C69"/>
    <w:rsid w:val="00670807"/>
    <w:rsid w:val="00670977"/>
    <w:rsid w:val="006715EB"/>
    <w:rsid w:val="006719A0"/>
    <w:rsid w:val="00672606"/>
    <w:rsid w:val="00674808"/>
    <w:rsid w:val="00674FA4"/>
    <w:rsid w:val="00675348"/>
    <w:rsid w:val="00675BDB"/>
    <w:rsid w:val="00676527"/>
    <w:rsid w:val="00677658"/>
    <w:rsid w:val="00677BD0"/>
    <w:rsid w:val="00682999"/>
    <w:rsid w:val="006843E7"/>
    <w:rsid w:val="006847D7"/>
    <w:rsid w:val="00687CB8"/>
    <w:rsid w:val="006915C0"/>
    <w:rsid w:val="006919CF"/>
    <w:rsid w:val="006923C3"/>
    <w:rsid w:val="00692C3E"/>
    <w:rsid w:val="00693B55"/>
    <w:rsid w:val="0069500D"/>
    <w:rsid w:val="00695208"/>
    <w:rsid w:val="00696813"/>
    <w:rsid w:val="00697A52"/>
    <w:rsid w:val="006A211A"/>
    <w:rsid w:val="006A38CD"/>
    <w:rsid w:val="006A39C0"/>
    <w:rsid w:val="006A486B"/>
    <w:rsid w:val="006A6F1B"/>
    <w:rsid w:val="006A72E8"/>
    <w:rsid w:val="006B0110"/>
    <w:rsid w:val="006B0740"/>
    <w:rsid w:val="006B0DC3"/>
    <w:rsid w:val="006B1C72"/>
    <w:rsid w:val="006B27AB"/>
    <w:rsid w:val="006B3366"/>
    <w:rsid w:val="006B47E2"/>
    <w:rsid w:val="006B6A51"/>
    <w:rsid w:val="006B7F2D"/>
    <w:rsid w:val="006C0AC4"/>
    <w:rsid w:val="006C2730"/>
    <w:rsid w:val="006C6FEB"/>
    <w:rsid w:val="006C71C6"/>
    <w:rsid w:val="006C78AA"/>
    <w:rsid w:val="006D07A1"/>
    <w:rsid w:val="006D11EE"/>
    <w:rsid w:val="006D284D"/>
    <w:rsid w:val="006D3FC4"/>
    <w:rsid w:val="006D40AC"/>
    <w:rsid w:val="006D4F11"/>
    <w:rsid w:val="006D5513"/>
    <w:rsid w:val="006D694A"/>
    <w:rsid w:val="006D71C7"/>
    <w:rsid w:val="006D77CE"/>
    <w:rsid w:val="006E0862"/>
    <w:rsid w:val="006E44C2"/>
    <w:rsid w:val="006E55A6"/>
    <w:rsid w:val="006E5D7D"/>
    <w:rsid w:val="006E64D3"/>
    <w:rsid w:val="006F13BF"/>
    <w:rsid w:val="006F16E9"/>
    <w:rsid w:val="006F23AC"/>
    <w:rsid w:val="006F23C3"/>
    <w:rsid w:val="006F2C3F"/>
    <w:rsid w:val="006F3D45"/>
    <w:rsid w:val="006F6F17"/>
    <w:rsid w:val="006F733B"/>
    <w:rsid w:val="006F781D"/>
    <w:rsid w:val="00700358"/>
    <w:rsid w:val="0070774F"/>
    <w:rsid w:val="00707F80"/>
    <w:rsid w:val="0071013D"/>
    <w:rsid w:val="0071114E"/>
    <w:rsid w:val="0071126B"/>
    <w:rsid w:val="00711347"/>
    <w:rsid w:val="00711670"/>
    <w:rsid w:val="0071181F"/>
    <w:rsid w:val="00711F60"/>
    <w:rsid w:val="00712155"/>
    <w:rsid w:val="00712450"/>
    <w:rsid w:val="0071265D"/>
    <w:rsid w:val="007139C3"/>
    <w:rsid w:val="00713E67"/>
    <w:rsid w:val="00714279"/>
    <w:rsid w:val="00714CD0"/>
    <w:rsid w:val="007154BB"/>
    <w:rsid w:val="007168CC"/>
    <w:rsid w:val="0071763B"/>
    <w:rsid w:val="00717806"/>
    <w:rsid w:val="00720301"/>
    <w:rsid w:val="007237CF"/>
    <w:rsid w:val="007244AE"/>
    <w:rsid w:val="00724B3D"/>
    <w:rsid w:val="00725809"/>
    <w:rsid w:val="00725903"/>
    <w:rsid w:val="0072613D"/>
    <w:rsid w:val="007265BA"/>
    <w:rsid w:val="007266BD"/>
    <w:rsid w:val="00727C04"/>
    <w:rsid w:val="00730D9D"/>
    <w:rsid w:val="00731B48"/>
    <w:rsid w:val="00732A58"/>
    <w:rsid w:val="00733496"/>
    <w:rsid w:val="007357CA"/>
    <w:rsid w:val="007368B3"/>
    <w:rsid w:val="00737AFA"/>
    <w:rsid w:val="0074003F"/>
    <w:rsid w:val="00740446"/>
    <w:rsid w:val="00740C6E"/>
    <w:rsid w:val="007414DE"/>
    <w:rsid w:val="00742949"/>
    <w:rsid w:val="0074336F"/>
    <w:rsid w:val="00744182"/>
    <w:rsid w:val="00744829"/>
    <w:rsid w:val="00744CEF"/>
    <w:rsid w:val="00745A01"/>
    <w:rsid w:val="007478A8"/>
    <w:rsid w:val="007478E4"/>
    <w:rsid w:val="007507FC"/>
    <w:rsid w:val="00750F3A"/>
    <w:rsid w:val="007532BA"/>
    <w:rsid w:val="00754C25"/>
    <w:rsid w:val="0075557C"/>
    <w:rsid w:val="00756030"/>
    <w:rsid w:val="00756445"/>
    <w:rsid w:val="00756CEB"/>
    <w:rsid w:val="00756D9A"/>
    <w:rsid w:val="007604CE"/>
    <w:rsid w:val="00760B2D"/>
    <w:rsid w:val="007617F0"/>
    <w:rsid w:val="00761D56"/>
    <w:rsid w:val="00761D95"/>
    <w:rsid w:val="00762081"/>
    <w:rsid w:val="00762763"/>
    <w:rsid w:val="00763F10"/>
    <w:rsid w:val="00767D29"/>
    <w:rsid w:val="00770190"/>
    <w:rsid w:val="00772DAF"/>
    <w:rsid w:val="007763BE"/>
    <w:rsid w:val="0077691E"/>
    <w:rsid w:val="00776E62"/>
    <w:rsid w:val="00777AA0"/>
    <w:rsid w:val="00780021"/>
    <w:rsid w:val="007825CE"/>
    <w:rsid w:val="00783068"/>
    <w:rsid w:val="0078414F"/>
    <w:rsid w:val="00784266"/>
    <w:rsid w:val="007859F8"/>
    <w:rsid w:val="00786CA7"/>
    <w:rsid w:val="007879D5"/>
    <w:rsid w:val="00787C69"/>
    <w:rsid w:val="00790243"/>
    <w:rsid w:val="007907F9"/>
    <w:rsid w:val="00790805"/>
    <w:rsid w:val="00790922"/>
    <w:rsid w:val="00791762"/>
    <w:rsid w:val="00791B6D"/>
    <w:rsid w:val="0079293B"/>
    <w:rsid w:val="00792D4C"/>
    <w:rsid w:val="00792E56"/>
    <w:rsid w:val="00792E7D"/>
    <w:rsid w:val="007943D1"/>
    <w:rsid w:val="007945C2"/>
    <w:rsid w:val="00795D4C"/>
    <w:rsid w:val="00795F88"/>
    <w:rsid w:val="007962CF"/>
    <w:rsid w:val="0079766C"/>
    <w:rsid w:val="007A07FB"/>
    <w:rsid w:val="007A18DB"/>
    <w:rsid w:val="007A22D7"/>
    <w:rsid w:val="007B06F5"/>
    <w:rsid w:val="007B0F35"/>
    <w:rsid w:val="007B1061"/>
    <w:rsid w:val="007B1201"/>
    <w:rsid w:val="007B1205"/>
    <w:rsid w:val="007B368E"/>
    <w:rsid w:val="007B4E86"/>
    <w:rsid w:val="007B5054"/>
    <w:rsid w:val="007B5744"/>
    <w:rsid w:val="007B66AA"/>
    <w:rsid w:val="007B6880"/>
    <w:rsid w:val="007B77E0"/>
    <w:rsid w:val="007B7B88"/>
    <w:rsid w:val="007C0578"/>
    <w:rsid w:val="007C136A"/>
    <w:rsid w:val="007C1DFF"/>
    <w:rsid w:val="007C2D7B"/>
    <w:rsid w:val="007C354B"/>
    <w:rsid w:val="007C3616"/>
    <w:rsid w:val="007C4A08"/>
    <w:rsid w:val="007C57EB"/>
    <w:rsid w:val="007D344B"/>
    <w:rsid w:val="007D419A"/>
    <w:rsid w:val="007D659A"/>
    <w:rsid w:val="007D6778"/>
    <w:rsid w:val="007D6CA5"/>
    <w:rsid w:val="007E0E6B"/>
    <w:rsid w:val="007E33A9"/>
    <w:rsid w:val="007E3E7B"/>
    <w:rsid w:val="007E410D"/>
    <w:rsid w:val="007E4791"/>
    <w:rsid w:val="007E4F1B"/>
    <w:rsid w:val="007E5569"/>
    <w:rsid w:val="007E5628"/>
    <w:rsid w:val="007E67C1"/>
    <w:rsid w:val="007E7A4A"/>
    <w:rsid w:val="007F0DF9"/>
    <w:rsid w:val="007F0E68"/>
    <w:rsid w:val="007F0FCF"/>
    <w:rsid w:val="007F36C2"/>
    <w:rsid w:val="007F46F6"/>
    <w:rsid w:val="007F4D4A"/>
    <w:rsid w:val="007F4E13"/>
    <w:rsid w:val="007F567A"/>
    <w:rsid w:val="007F5CD1"/>
    <w:rsid w:val="007F5D0D"/>
    <w:rsid w:val="007F6FEF"/>
    <w:rsid w:val="007F7763"/>
    <w:rsid w:val="008016FD"/>
    <w:rsid w:val="00801F20"/>
    <w:rsid w:val="0080226F"/>
    <w:rsid w:val="00802286"/>
    <w:rsid w:val="00804282"/>
    <w:rsid w:val="008053E7"/>
    <w:rsid w:val="00806E65"/>
    <w:rsid w:val="00810359"/>
    <w:rsid w:val="00810BA8"/>
    <w:rsid w:val="00812861"/>
    <w:rsid w:val="00812A5D"/>
    <w:rsid w:val="008142B7"/>
    <w:rsid w:val="00814362"/>
    <w:rsid w:val="0081451A"/>
    <w:rsid w:val="0081468C"/>
    <w:rsid w:val="008146DB"/>
    <w:rsid w:val="008151AD"/>
    <w:rsid w:val="00815A33"/>
    <w:rsid w:val="008168D0"/>
    <w:rsid w:val="00817BC3"/>
    <w:rsid w:val="008205F6"/>
    <w:rsid w:val="00821FDC"/>
    <w:rsid w:val="00823B9D"/>
    <w:rsid w:val="0082404E"/>
    <w:rsid w:val="00824260"/>
    <w:rsid w:val="00824B45"/>
    <w:rsid w:val="00825050"/>
    <w:rsid w:val="00825070"/>
    <w:rsid w:val="0082557D"/>
    <w:rsid w:val="00826112"/>
    <w:rsid w:val="008268F1"/>
    <w:rsid w:val="00827A6B"/>
    <w:rsid w:val="0083061F"/>
    <w:rsid w:val="0083222D"/>
    <w:rsid w:val="00832FFB"/>
    <w:rsid w:val="00833AC7"/>
    <w:rsid w:val="008342FD"/>
    <w:rsid w:val="00835879"/>
    <w:rsid w:val="00837BD2"/>
    <w:rsid w:val="00840C29"/>
    <w:rsid w:val="00840D88"/>
    <w:rsid w:val="00843060"/>
    <w:rsid w:val="00843B93"/>
    <w:rsid w:val="008448E3"/>
    <w:rsid w:val="00844C8E"/>
    <w:rsid w:val="008451B4"/>
    <w:rsid w:val="008507F4"/>
    <w:rsid w:val="0085152A"/>
    <w:rsid w:val="00853630"/>
    <w:rsid w:val="00857318"/>
    <w:rsid w:val="00857BB9"/>
    <w:rsid w:val="0086008F"/>
    <w:rsid w:val="008602F3"/>
    <w:rsid w:val="00860618"/>
    <w:rsid w:val="00860E3A"/>
    <w:rsid w:val="008611F1"/>
    <w:rsid w:val="00861777"/>
    <w:rsid w:val="008618CC"/>
    <w:rsid w:val="008635AB"/>
    <w:rsid w:val="00863A94"/>
    <w:rsid w:val="00864EA2"/>
    <w:rsid w:val="00866B9E"/>
    <w:rsid w:val="0086763D"/>
    <w:rsid w:val="00870BCE"/>
    <w:rsid w:val="0087167A"/>
    <w:rsid w:val="0087251A"/>
    <w:rsid w:val="00872B23"/>
    <w:rsid w:val="00872CC2"/>
    <w:rsid w:val="00874AFF"/>
    <w:rsid w:val="008754C3"/>
    <w:rsid w:val="00875F88"/>
    <w:rsid w:val="0087638C"/>
    <w:rsid w:val="00876A0B"/>
    <w:rsid w:val="0087704F"/>
    <w:rsid w:val="00877943"/>
    <w:rsid w:val="00877EF8"/>
    <w:rsid w:val="008802BB"/>
    <w:rsid w:val="00881010"/>
    <w:rsid w:val="00881EDF"/>
    <w:rsid w:val="00882197"/>
    <w:rsid w:val="00882915"/>
    <w:rsid w:val="00883351"/>
    <w:rsid w:val="0088415C"/>
    <w:rsid w:val="008849B1"/>
    <w:rsid w:val="00885F93"/>
    <w:rsid w:val="00886A8F"/>
    <w:rsid w:val="00887D06"/>
    <w:rsid w:val="0089029A"/>
    <w:rsid w:val="00890C88"/>
    <w:rsid w:val="00891428"/>
    <w:rsid w:val="00891C88"/>
    <w:rsid w:val="00893375"/>
    <w:rsid w:val="00894211"/>
    <w:rsid w:val="00895944"/>
    <w:rsid w:val="00897F4A"/>
    <w:rsid w:val="008A1BEA"/>
    <w:rsid w:val="008A286B"/>
    <w:rsid w:val="008A3868"/>
    <w:rsid w:val="008A3893"/>
    <w:rsid w:val="008A3A6D"/>
    <w:rsid w:val="008A3CD5"/>
    <w:rsid w:val="008A5A07"/>
    <w:rsid w:val="008A75FB"/>
    <w:rsid w:val="008A7DAA"/>
    <w:rsid w:val="008B0805"/>
    <w:rsid w:val="008B0E5F"/>
    <w:rsid w:val="008B18DF"/>
    <w:rsid w:val="008B1AC1"/>
    <w:rsid w:val="008B220F"/>
    <w:rsid w:val="008B27DA"/>
    <w:rsid w:val="008B68E1"/>
    <w:rsid w:val="008C0D41"/>
    <w:rsid w:val="008C4498"/>
    <w:rsid w:val="008C4AEA"/>
    <w:rsid w:val="008C5511"/>
    <w:rsid w:val="008C614B"/>
    <w:rsid w:val="008C64E7"/>
    <w:rsid w:val="008C7E49"/>
    <w:rsid w:val="008D036B"/>
    <w:rsid w:val="008D1E09"/>
    <w:rsid w:val="008D324C"/>
    <w:rsid w:val="008D5B8D"/>
    <w:rsid w:val="008D65DE"/>
    <w:rsid w:val="008E1D8B"/>
    <w:rsid w:val="008E37A2"/>
    <w:rsid w:val="008E5116"/>
    <w:rsid w:val="008E5264"/>
    <w:rsid w:val="008E6576"/>
    <w:rsid w:val="008E742B"/>
    <w:rsid w:val="008F06A9"/>
    <w:rsid w:val="008F0AF2"/>
    <w:rsid w:val="008F1739"/>
    <w:rsid w:val="008F282A"/>
    <w:rsid w:val="008F329F"/>
    <w:rsid w:val="008F6E81"/>
    <w:rsid w:val="008F7315"/>
    <w:rsid w:val="008F7669"/>
    <w:rsid w:val="008F78EA"/>
    <w:rsid w:val="009008B3"/>
    <w:rsid w:val="009012EC"/>
    <w:rsid w:val="00901668"/>
    <w:rsid w:val="009018E1"/>
    <w:rsid w:val="00902B11"/>
    <w:rsid w:val="009036FC"/>
    <w:rsid w:val="00903915"/>
    <w:rsid w:val="0090423C"/>
    <w:rsid w:val="00906E51"/>
    <w:rsid w:val="00907DCC"/>
    <w:rsid w:val="0091135A"/>
    <w:rsid w:val="009121FC"/>
    <w:rsid w:val="009123A7"/>
    <w:rsid w:val="00916371"/>
    <w:rsid w:val="00916CDF"/>
    <w:rsid w:val="00920036"/>
    <w:rsid w:val="00921314"/>
    <w:rsid w:val="00922A01"/>
    <w:rsid w:val="00924C3C"/>
    <w:rsid w:val="00925FD5"/>
    <w:rsid w:val="00926DC0"/>
    <w:rsid w:val="00930224"/>
    <w:rsid w:val="0093466B"/>
    <w:rsid w:val="00936384"/>
    <w:rsid w:val="00940F1A"/>
    <w:rsid w:val="00940F8B"/>
    <w:rsid w:val="0094475D"/>
    <w:rsid w:val="009448CC"/>
    <w:rsid w:val="009456B5"/>
    <w:rsid w:val="00947A4F"/>
    <w:rsid w:val="0095037D"/>
    <w:rsid w:val="00953023"/>
    <w:rsid w:val="00953D38"/>
    <w:rsid w:val="0095696F"/>
    <w:rsid w:val="00956ECE"/>
    <w:rsid w:val="00957B0E"/>
    <w:rsid w:val="00960567"/>
    <w:rsid w:val="00961BC0"/>
    <w:rsid w:val="009626EA"/>
    <w:rsid w:val="00965112"/>
    <w:rsid w:val="00965CC5"/>
    <w:rsid w:val="00965E69"/>
    <w:rsid w:val="00967886"/>
    <w:rsid w:val="00967DFD"/>
    <w:rsid w:val="00971099"/>
    <w:rsid w:val="0097133C"/>
    <w:rsid w:val="009734CA"/>
    <w:rsid w:val="00973682"/>
    <w:rsid w:val="0097403B"/>
    <w:rsid w:val="00974DCB"/>
    <w:rsid w:val="009804AC"/>
    <w:rsid w:val="0098124E"/>
    <w:rsid w:val="009812C6"/>
    <w:rsid w:val="00982854"/>
    <w:rsid w:val="00984C25"/>
    <w:rsid w:val="00985839"/>
    <w:rsid w:val="00985B5E"/>
    <w:rsid w:val="00985BD3"/>
    <w:rsid w:val="009861C4"/>
    <w:rsid w:val="00987510"/>
    <w:rsid w:val="0099040A"/>
    <w:rsid w:val="00990CEF"/>
    <w:rsid w:val="00991226"/>
    <w:rsid w:val="00991558"/>
    <w:rsid w:val="00991DF0"/>
    <w:rsid w:val="00992365"/>
    <w:rsid w:val="00992451"/>
    <w:rsid w:val="009924C5"/>
    <w:rsid w:val="00993082"/>
    <w:rsid w:val="00993730"/>
    <w:rsid w:val="00995F06"/>
    <w:rsid w:val="00996209"/>
    <w:rsid w:val="00996E53"/>
    <w:rsid w:val="00997172"/>
    <w:rsid w:val="009A3131"/>
    <w:rsid w:val="009A3AA3"/>
    <w:rsid w:val="009A4B71"/>
    <w:rsid w:val="009A5212"/>
    <w:rsid w:val="009A598E"/>
    <w:rsid w:val="009A5F0B"/>
    <w:rsid w:val="009A6AB2"/>
    <w:rsid w:val="009A6ED9"/>
    <w:rsid w:val="009B0604"/>
    <w:rsid w:val="009B090B"/>
    <w:rsid w:val="009B4A8F"/>
    <w:rsid w:val="009B60D2"/>
    <w:rsid w:val="009B779C"/>
    <w:rsid w:val="009C0C80"/>
    <w:rsid w:val="009C19B0"/>
    <w:rsid w:val="009C1CCB"/>
    <w:rsid w:val="009C3915"/>
    <w:rsid w:val="009C3EDF"/>
    <w:rsid w:val="009C5C0A"/>
    <w:rsid w:val="009C5CDE"/>
    <w:rsid w:val="009C6385"/>
    <w:rsid w:val="009C7BEC"/>
    <w:rsid w:val="009D0328"/>
    <w:rsid w:val="009D208F"/>
    <w:rsid w:val="009D250B"/>
    <w:rsid w:val="009D27E6"/>
    <w:rsid w:val="009D545B"/>
    <w:rsid w:val="009D599B"/>
    <w:rsid w:val="009D5CE2"/>
    <w:rsid w:val="009D74B9"/>
    <w:rsid w:val="009E020B"/>
    <w:rsid w:val="009E2162"/>
    <w:rsid w:val="009E2CF0"/>
    <w:rsid w:val="009E4B9B"/>
    <w:rsid w:val="009E5AF4"/>
    <w:rsid w:val="009E63EA"/>
    <w:rsid w:val="009F0928"/>
    <w:rsid w:val="009F38EC"/>
    <w:rsid w:val="009F55EB"/>
    <w:rsid w:val="009F6269"/>
    <w:rsid w:val="009F736D"/>
    <w:rsid w:val="009F76B6"/>
    <w:rsid w:val="00A00597"/>
    <w:rsid w:val="00A00AE9"/>
    <w:rsid w:val="00A01B6C"/>
    <w:rsid w:val="00A03B1B"/>
    <w:rsid w:val="00A04C49"/>
    <w:rsid w:val="00A10A25"/>
    <w:rsid w:val="00A1242B"/>
    <w:rsid w:val="00A12686"/>
    <w:rsid w:val="00A12852"/>
    <w:rsid w:val="00A139EF"/>
    <w:rsid w:val="00A1465D"/>
    <w:rsid w:val="00A14CAA"/>
    <w:rsid w:val="00A150A2"/>
    <w:rsid w:val="00A165C4"/>
    <w:rsid w:val="00A16945"/>
    <w:rsid w:val="00A1793D"/>
    <w:rsid w:val="00A20A8B"/>
    <w:rsid w:val="00A20D0D"/>
    <w:rsid w:val="00A20F81"/>
    <w:rsid w:val="00A2201C"/>
    <w:rsid w:val="00A2223B"/>
    <w:rsid w:val="00A22CB6"/>
    <w:rsid w:val="00A246E3"/>
    <w:rsid w:val="00A247C6"/>
    <w:rsid w:val="00A255DC"/>
    <w:rsid w:val="00A2657D"/>
    <w:rsid w:val="00A26EBA"/>
    <w:rsid w:val="00A26F04"/>
    <w:rsid w:val="00A274F8"/>
    <w:rsid w:val="00A27FF0"/>
    <w:rsid w:val="00A308B5"/>
    <w:rsid w:val="00A30E00"/>
    <w:rsid w:val="00A33CC3"/>
    <w:rsid w:val="00A3443E"/>
    <w:rsid w:val="00A348CD"/>
    <w:rsid w:val="00A35296"/>
    <w:rsid w:val="00A415ED"/>
    <w:rsid w:val="00A41A30"/>
    <w:rsid w:val="00A42681"/>
    <w:rsid w:val="00A43D45"/>
    <w:rsid w:val="00A447A7"/>
    <w:rsid w:val="00A44A30"/>
    <w:rsid w:val="00A44C20"/>
    <w:rsid w:val="00A46CC5"/>
    <w:rsid w:val="00A46E9F"/>
    <w:rsid w:val="00A51B14"/>
    <w:rsid w:val="00A51C68"/>
    <w:rsid w:val="00A53A8B"/>
    <w:rsid w:val="00A5462B"/>
    <w:rsid w:val="00A568AF"/>
    <w:rsid w:val="00A619F2"/>
    <w:rsid w:val="00A62250"/>
    <w:rsid w:val="00A64677"/>
    <w:rsid w:val="00A64F7C"/>
    <w:rsid w:val="00A651ED"/>
    <w:rsid w:val="00A65A26"/>
    <w:rsid w:val="00A71FA7"/>
    <w:rsid w:val="00A7208A"/>
    <w:rsid w:val="00A72B93"/>
    <w:rsid w:val="00A74106"/>
    <w:rsid w:val="00A74234"/>
    <w:rsid w:val="00A776B3"/>
    <w:rsid w:val="00A77A8C"/>
    <w:rsid w:val="00A8084C"/>
    <w:rsid w:val="00A80D47"/>
    <w:rsid w:val="00A8209E"/>
    <w:rsid w:val="00A83BD6"/>
    <w:rsid w:val="00A83C4A"/>
    <w:rsid w:val="00A8412D"/>
    <w:rsid w:val="00A8458D"/>
    <w:rsid w:val="00A90F50"/>
    <w:rsid w:val="00A9250B"/>
    <w:rsid w:val="00A9301B"/>
    <w:rsid w:val="00A93118"/>
    <w:rsid w:val="00A94355"/>
    <w:rsid w:val="00A94AC0"/>
    <w:rsid w:val="00A950DF"/>
    <w:rsid w:val="00A96C7E"/>
    <w:rsid w:val="00A96CEE"/>
    <w:rsid w:val="00A971F0"/>
    <w:rsid w:val="00AA0496"/>
    <w:rsid w:val="00AA0A05"/>
    <w:rsid w:val="00AA17F9"/>
    <w:rsid w:val="00AA21C6"/>
    <w:rsid w:val="00AA273C"/>
    <w:rsid w:val="00AA698B"/>
    <w:rsid w:val="00AA742F"/>
    <w:rsid w:val="00AB0322"/>
    <w:rsid w:val="00AB08C7"/>
    <w:rsid w:val="00AB0F72"/>
    <w:rsid w:val="00AB11B4"/>
    <w:rsid w:val="00AB12AF"/>
    <w:rsid w:val="00AB158E"/>
    <w:rsid w:val="00AB2395"/>
    <w:rsid w:val="00AB3184"/>
    <w:rsid w:val="00AB4603"/>
    <w:rsid w:val="00AB645D"/>
    <w:rsid w:val="00AB6CAB"/>
    <w:rsid w:val="00AB6EFB"/>
    <w:rsid w:val="00AB7BE9"/>
    <w:rsid w:val="00AB7FC7"/>
    <w:rsid w:val="00AC00C1"/>
    <w:rsid w:val="00AC0A77"/>
    <w:rsid w:val="00AC13B7"/>
    <w:rsid w:val="00AC2C4B"/>
    <w:rsid w:val="00AC3124"/>
    <w:rsid w:val="00AC3BD1"/>
    <w:rsid w:val="00AC49A4"/>
    <w:rsid w:val="00AC4E13"/>
    <w:rsid w:val="00AC534F"/>
    <w:rsid w:val="00AC5D2C"/>
    <w:rsid w:val="00AC6E18"/>
    <w:rsid w:val="00AD0267"/>
    <w:rsid w:val="00AD052B"/>
    <w:rsid w:val="00AD0F75"/>
    <w:rsid w:val="00AD20A3"/>
    <w:rsid w:val="00AD3FC8"/>
    <w:rsid w:val="00AD5260"/>
    <w:rsid w:val="00AD575B"/>
    <w:rsid w:val="00AD7832"/>
    <w:rsid w:val="00AD7FB5"/>
    <w:rsid w:val="00AE0E2A"/>
    <w:rsid w:val="00AE1D20"/>
    <w:rsid w:val="00AE1FC1"/>
    <w:rsid w:val="00AE273D"/>
    <w:rsid w:val="00AE7687"/>
    <w:rsid w:val="00AF01D6"/>
    <w:rsid w:val="00AF3373"/>
    <w:rsid w:val="00AF47C2"/>
    <w:rsid w:val="00AF4841"/>
    <w:rsid w:val="00AF5106"/>
    <w:rsid w:val="00AF5492"/>
    <w:rsid w:val="00AF694F"/>
    <w:rsid w:val="00AF7072"/>
    <w:rsid w:val="00B00346"/>
    <w:rsid w:val="00B02F07"/>
    <w:rsid w:val="00B05F58"/>
    <w:rsid w:val="00B06B02"/>
    <w:rsid w:val="00B07C46"/>
    <w:rsid w:val="00B106DC"/>
    <w:rsid w:val="00B10C5C"/>
    <w:rsid w:val="00B12334"/>
    <w:rsid w:val="00B13308"/>
    <w:rsid w:val="00B14264"/>
    <w:rsid w:val="00B1493C"/>
    <w:rsid w:val="00B14C7C"/>
    <w:rsid w:val="00B20D98"/>
    <w:rsid w:val="00B22A61"/>
    <w:rsid w:val="00B22F73"/>
    <w:rsid w:val="00B22F7F"/>
    <w:rsid w:val="00B23ED8"/>
    <w:rsid w:val="00B24081"/>
    <w:rsid w:val="00B24576"/>
    <w:rsid w:val="00B31B1A"/>
    <w:rsid w:val="00B321CE"/>
    <w:rsid w:val="00B32499"/>
    <w:rsid w:val="00B33D5A"/>
    <w:rsid w:val="00B35290"/>
    <w:rsid w:val="00B35294"/>
    <w:rsid w:val="00B357A9"/>
    <w:rsid w:val="00B35EDE"/>
    <w:rsid w:val="00B36AAE"/>
    <w:rsid w:val="00B37745"/>
    <w:rsid w:val="00B4405A"/>
    <w:rsid w:val="00B45DEB"/>
    <w:rsid w:val="00B47B95"/>
    <w:rsid w:val="00B5255B"/>
    <w:rsid w:val="00B531A8"/>
    <w:rsid w:val="00B536EB"/>
    <w:rsid w:val="00B54D1E"/>
    <w:rsid w:val="00B56880"/>
    <w:rsid w:val="00B611D0"/>
    <w:rsid w:val="00B62411"/>
    <w:rsid w:val="00B63039"/>
    <w:rsid w:val="00B63244"/>
    <w:rsid w:val="00B6360E"/>
    <w:rsid w:val="00B63DDB"/>
    <w:rsid w:val="00B66EC3"/>
    <w:rsid w:val="00B6780C"/>
    <w:rsid w:val="00B67A8D"/>
    <w:rsid w:val="00B700B6"/>
    <w:rsid w:val="00B71D57"/>
    <w:rsid w:val="00B71FFB"/>
    <w:rsid w:val="00B7231D"/>
    <w:rsid w:val="00B723A4"/>
    <w:rsid w:val="00B727BB"/>
    <w:rsid w:val="00B73BD5"/>
    <w:rsid w:val="00B7552E"/>
    <w:rsid w:val="00B758F4"/>
    <w:rsid w:val="00B7670E"/>
    <w:rsid w:val="00B7734A"/>
    <w:rsid w:val="00B77481"/>
    <w:rsid w:val="00B77E7A"/>
    <w:rsid w:val="00B81EE2"/>
    <w:rsid w:val="00B8629A"/>
    <w:rsid w:val="00B87527"/>
    <w:rsid w:val="00B90473"/>
    <w:rsid w:val="00B913AB"/>
    <w:rsid w:val="00B92479"/>
    <w:rsid w:val="00B9381F"/>
    <w:rsid w:val="00B93FCB"/>
    <w:rsid w:val="00B9521B"/>
    <w:rsid w:val="00B964A1"/>
    <w:rsid w:val="00B97A71"/>
    <w:rsid w:val="00BA02CF"/>
    <w:rsid w:val="00BA11C2"/>
    <w:rsid w:val="00BA1DD9"/>
    <w:rsid w:val="00BA20D7"/>
    <w:rsid w:val="00BA24C7"/>
    <w:rsid w:val="00BA2DB4"/>
    <w:rsid w:val="00BA2DD9"/>
    <w:rsid w:val="00BA45BF"/>
    <w:rsid w:val="00BA5618"/>
    <w:rsid w:val="00BA6561"/>
    <w:rsid w:val="00BA70CB"/>
    <w:rsid w:val="00BA7A1F"/>
    <w:rsid w:val="00BB0559"/>
    <w:rsid w:val="00BB07A2"/>
    <w:rsid w:val="00BB12C5"/>
    <w:rsid w:val="00BB18FA"/>
    <w:rsid w:val="00BB27AD"/>
    <w:rsid w:val="00BB305B"/>
    <w:rsid w:val="00BB33E3"/>
    <w:rsid w:val="00BB37EE"/>
    <w:rsid w:val="00BB4C9C"/>
    <w:rsid w:val="00BB4F4F"/>
    <w:rsid w:val="00BB6726"/>
    <w:rsid w:val="00BC2157"/>
    <w:rsid w:val="00BC271E"/>
    <w:rsid w:val="00BC288C"/>
    <w:rsid w:val="00BC3F0F"/>
    <w:rsid w:val="00BC4277"/>
    <w:rsid w:val="00BC65EB"/>
    <w:rsid w:val="00BC6662"/>
    <w:rsid w:val="00BC7C12"/>
    <w:rsid w:val="00BD06CA"/>
    <w:rsid w:val="00BD0AC8"/>
    <w:rsid w:val="00BD0C53"/>
    <w:rsid w:val="00BD14DD"/>
    <w:rsid w:val="00BD1D2E"/>
    <w:rsid w:val="00BD24CB"/>
    <w:rsid w:val="00BD2E8A"/>
    <w:rsid w:val="00BD3953"/>
    <w:rsid w:val="00BD3DCE"/>
    <w:rsid w:val="00BD6FB4"/>
    <w:rsid w:val="00BD7893"/>
    <w:rsid w:val="00BE13EA"/>
    <w:rsid w:val="00BE1430"/>
    <w:rsid w:val="00BE2408"/>
    <w:rsid w:val="00BE2879"/>
    <w:rsid w:val="00BE2937"/>
    <w:rsid w:val="00BE2D90"/>
    <w:rsid w:val="00BE421B"/>
    <w:rsid w:val="00BE4269"/>
    <w:rsid w:val="00BE46BA"/>
    <w:rsid w:val="00BE7216"/>
    <w:rsid w:val="00BF45FD"/>
    <w:rsid w:val="00BF57F3"/>
    <w:rsid w:val="00BF5E3B"/>
    <w:rsid w:val="00BF6EB6"/>
    <w:rsid w:val="00BF7AF0"/>
    <w:rsid w:val="00BF7B25"/>
    <w:rsid w:val="00C012ED"/>
    <w:rsid w:val="00C025FF"/>
    <w:rsid w:val="00C02AC5"/>
    <w:rsid w:val="00C03142"/>
    <w:rsid w:val="00C031F0"/>
    <w:rsid w:val="00C03F05"/>
    <w:rsid w:val="00C071A9"/>
    <w:rsid w:val="00C10647"/>
    <w:rsid w:val="00C12174"/>
    <w:rsid w:val="00C13011"/>
    <w:rsid w:val="00C1427F"/>
    <w:rsid w:val="00C14AC0"/>
    <w:rsid w:val="00C15119"/>
    <w:rsid w:val="00C15291"/>
    <w:rsid w:val="00C154E5"/>
    <w:rsid w:val="00C15812"/>
    <w:rsid w:val="00C20149"/>
    <w:rsid w:val="00C20B21"/>
    <w:rsid w:val="00C23152"/>
    <w:rsid w:val="00C241A5"/>
    <w:rsid w:val="00C24C64"/>
    <w:rsid w:val="00C319FB"/>
    <w:rsid w:val="00C32380"/>
    <w:rsid w:val="00C340A9"/>
    <w:rsid w:val="00C341B9"/>
    <w:rsid w:val="00C35318"/>
    <w:rsid w:val="00C35C25"/>
    <w:rsid w:val="00C37316"/>
    <w:rsid w:val="00C3778D"/>
    <w:rsid w:val="00C377A9"/>
    <w:rsid w:val="00C40D30"/>
    <w:rsid w:val="00C414BC"/>
    <w:rsid w:val="00C41624"/>
    <w:rsid w:val="00C416D6"/>
    <w:rsid w:val="00C418C2"/>
    <w:rsid w:val="00C41A44"/>
    <w:rsid w:val="00C41B5D"/>
    <w:rsid w:val="00C42069"/>
    <w:rsid w:val="00C42BDD"/>
    <w:rsid w:val="00C4408D"/>
    <w:rsid w:val="00C44522"/>
    <w:rsid w:val="00C45DC0"/>
    <w:rsid w:val="00C45EC0"/>
    <w:rsid w:val="00C45F7B"/>
    <w:rsid w:val="00C47075"/>
    <w:rsid w:val="00C51950"/>
    <w:rsid w:val="00C52450"/>
    <w:rsid w:val="00C53A6D"/>
    <w:rsid w:val="00C53CD6"/>
    <w:rsid w:val="00C5528D"/>
    <w:rsid w:val="00C55E90"/>
    <w:rsid w:val="00C57242"/>
    <w:rsid w:val="00C572EA"/>
    <w:rsid w:val="00C5751B"/>
    <w:rsid w:val="00C61024"/>
    <w:rsid w:val="00C61597"/>
    <w:rsid w:val="00C6295D"/>
    <w:rsid w:val="00C62FC1"/>
    <w:rsid w:val="00C645CD"/>
    <w:rsid w:val="00C647D0"/>
    <w:rsid w:val="00C7217C"/>
    <w:rsid w:val="00C7279C"/>
    <w:rsid w:val="00C72E51"/>
    <w:rsid w:val="00C72F16"/>
    <w:rsid w:val="00C74526"/>
    <w:rsid w:val="00C75143"/>
    <w:rsid w:val="00C75A06"/>
    <w:rsid w:val="00C777A7"/>
    <w:rsid w:val="00C77978"/>
    <w:rsid w:val="00C80ED1"/>
    <w:rsid w:val="00C8276E"/>
    <w:rsid w:val="00C827DB"/>
    <w:rsid w:val="00C83B79"/>
    <w:rsid w:val="00C859B9"/>
    <w:rsid w:val="00C86D0E"/>
    <w:rsid w:val="00C86EF9"/>
    <w:rsid w:val="00C874F1"/>
    <w:rsid w:val="00C906A3"/>
    <w:rsid w:val="00C90726"/>
    <w:rsid w:val="00C921DF"/>
    <w:rsid w:val="00C92B94"/>
    <w:rsid w:val="00C92D97"/>
    <w:rsid w:val="00C96CCA"/>
    <w:rsid w:val="00C97BFF"/>
    <w:rsid w:val="00C97D37"/>
    <w:rsid w:val="00CA02D4"/>
    <w:rsid w:val="00CA30C2"/>
    <w:rsid w:val="00CA556F"/>
    <w:rsid w:val="00CA5EE2"/>
    <w:rsid w:val="00CA6009"/>
    <w:rsid w:val="00CB043A"/>
    <w:rsid w:val="00CB0527"/>
    <w:rsid w:val="00CB0AA9"/>
    <w:rsid w:val="00CB1F19"/>
    <w:rsid w:val="00CB2B6B"/>
    <w:rsid w:val="00CB3DF5"/>
    <w:rsid w:val="00CB5120"/>
    <w:rsid w:val="00CB5C41"/>
    <w:rsid w:val="00CB7A4F"/>
    <w:rsid w:val="00CC19D0"/>
    <w:rsid w:val="00CC1C2C"/>
    <w:rsid w:val="00CC2300"/>
    <w:rsid w:val="00CC28BE"/>
    <w:rsid w:val="00CC49C6"/>
    <w:rsid w:val="00CC59DA"/>
    <w:rsid w:val="00CC7441"/>
    <w:rsid w:val="00CD4100"/>
    <w:rsid w:val="00CD5EA7"/>
    <w:rsid w:val="00CD62B4"/>
    <w:rsid w:val="00CE0982"/>
    <w:rsid w:val="00CE165C"/>
    <w:rsid w:val="00CE1AAA"/>
    <w:rsid w:val="00CE37FD"/>
    <w:rsid w:val="00CE5326"/>
    <w:rsid w:val="00CE6390"/>
    <w:rsid w:val="00CE64EA"/>
    <w:rsid w:val="00CF09EC"/>
    <w:rsid w:val="00CF0C98"/>
    <w:rsid w:val="00CF2495"/>
    <w:rsid w:val="00CF2D27"/>
    <w:rsid w:val="00CF4019"/>
    <w:rsid w:val="00CF427C"/>
    <w:rsid w:val="00CF49C7"/>
    <w:rsid w:val="00CF4B58"/>
    <w:rsid w:val="00CF630E"/>
    <w:rsid w:val="00CF674E"/>
    <w:rsid w:val="00CF6BEA"/>
    <w:rsid w:val="00D001F7"/>
    <w:rsid w:val="00D010EB"/>
    <w:rsid w:val="00D01C93"/>
    <w:rsid w:val="00D01EE3"/>
    <w:rsid w:val="00D024CB"/>
    <w:rsid w:val="00D029B4"/>
    <w:rsid w:val="00D02F9F"/>
    <w:rsid w:val="00D0412B"/>
    <w:rsid w:val="00D0470E"/>
    <w:rsid w:val="00D0511A"/>
    <w:rsid w:val="00D06BAE"/>
    <w:rsid w:val="00D072B1"/>
    <w:rsid w:val="00D11E39"/>
    <w:rsid w:val="00D1316E"/>
    <w:rsid w:val="00D13DCF"/>
    <w:rsid w:val="00D146E8"/>
    <w:rsid w:val="00D16E09"/>
    <w:rsid w:val="00D17781"/>
    <w:rsid w:val="00D21BAF"/>
    <w:rsid w:val="00D21CD7"/>
    <w:rsid w:val="00D22099"/>
    <w:rsid w:val="00D23801"/>
    <w:rsid w:val="00D24172"/>
    <w:rsid w:val="00D24343"/>
    <w:rsid w:val="00D243D0"/>
    <w:rsid w:val="00D25C37"/>
    <w:rsid w:val="00D25FF7"/>
    <w:rsid w:val="00D308CB"/>
    <w:rsid w:val="00D30A67"/>
    <w:rsid w:val="00D313A8"/>
    <w:rsid w:val="00D3144A"/>
    <w:rsid w:val="00D31869"/>
    <w:rsid w:val="00D3193B"/>
    <w:rsid w:val="00D31B12"/>
    <w:rsid w:val="00D31B55"/>
    <w:rsid w:val="00D3466E"/>
    <w:rsid w:val="00D350B0"/>
    <w:rsid w:val="00D44333"/>
    <w:rsid w:val="00D44505"/>
    <w:rsid w:val="00D44F1E"/>
    <w:rsid w:val="00D46502"/>
    <w:rsid w:val="00D46A45"/>
    <w:rsid w:val="00D46F44"/>
    <w:rsid w:val="00D46F69"/>
    <w:rsid w:val="00D477D2"/>
    <w:rsid w:val="00D47FA1"/>
    <w:rsid w:val="00D50C13"/>
    <w:rsid w:val="00D53C4B"/>
    <w:rsid w:val="00D53DAD"/>
    <w:rsid w:val="00D55337"/>
    <w:rsid w:val="00D55609"/>
    <w:rsid w:val="00D55E56"/>
    <w:rsid w:val="00D5784A"/>
    <w:rsid w:val="00D57AEB"/>
    <w:rsid w:val="00D62F8A"/>
    <w:rsid w:val="00D642ED"/>
    <w:rsid w:val="00D6470B"/>
    <w:rsid w:val="00D64D37"/>
    <w:rsid w:val="00D6653D"/>
    <w:rsid w:val="00D7036C"/>
    <w:rsid w:val="00D70802"/>
    <w:rsid w:val="00D70BB9"/>
    <w:rsid w:val="00D71354"/>
    <w:rsid w:val="00D71E71"/>
    <w:rsid w:val="00D72C73"/>
    <w:rsid w:val="00D764BF"/>
    <w:rsid w:val="00D7680D"/>
    <w:rsid w:val="00D77E91"/>
    <w:rsid w:val="00D80407"/>
    <w:rsid w:val="00D80C97"/>
    <w:rsid w:val="00D83479"/>
    <w:rsid w:val="00D84017"/>
    <w:rsid w:val="00D85C63"/>
    <w:rsid w:val="00D860B0"/>
    <w:rsid w:val="00D866DB"/>
    <w:rsid w:val="00D908FF"/>
    <w:rsid w:val="00D92849"/>
    <w:rsid w:val="00D92B3F"/>
    <w:rsid w:val="00D93E20"/>
    <w:rsid w:val="00D95D8C"/>
    <w:rsid w:val="00D960F4"/>
    <w:rsid w:val="00D96149"/>
    <w:rsid w:val="00D9788D"/>
    <w:rsid w:val="00DA1EC6"/>
    <w:rsid w:val="00DA2CEB"/>
    <w:rsid w:val="00DA3362"/>
    <w:rsid w:val="00DA342E"/>
    <w:rsid w:val="00DA40F7"/>
    <w:rsid w:val="00DA4573"/>
    <w:rsid w:val="00DA496E"/>
    <w:rsid w:val="00DA6B04"/>
    <w:rsid w:val="00DB0284"/>
    <w:rsid w:val="00DB17CF"/>
    <w:rsid w:val="00DB1B55"/>
    <w:rsid w:val="00DB25D6"/>
    <w:rsid w:val="00DB4B58"/>
    <w:rsid w:val="00DB4EEF"/>
    <w:rsid w:val="00DB4FFC"/>
    <w:rsid w:val="00DB5DCE"/>
    <w:rsid w:val="00DC0434"/>
    <w:rsid w:val="00DC0980"/>
    <w:rsid w:val="00DC121D"/>
    <w:rsid w:val="00DC1940"/>
    <w:rsid w:val="00DC21D0"/>
    <w:rsid w:val="00DC331F"/>
    <w:rsid w:val="00DC38EA"/>
    <w:rsid w:val="00DC3CB6"/>
    <w:rsid w:val="00DC3DB5"/>
    <w:rsid w:val="00DC4633"/>
    <w:rsid w:val="00DC7485"/>
    <w:rsid w:val="00DD12FF"/>
    <w:rsid w:val="00DD38C2"/>
    <w:rsid w:val="00DD3C38"/>
    <w:rsid w:val="00DD4889"/>
    <w:rsid w:val="00DD5080"/>
    <w:rsid w:val="00DD54A9"/>
    <w:rsid w:val="00DE0B8A"/>
    <w:rsid w:val="00DE13A7"/>
    <w:rsid w:val="00DE17A3"/>
    <w:rsid w:val="00DE558F"/>
    <w:rsid w:val="00DE70F4"/>
    <w:rsid w:val="00DF0DE9"/>
    <w:rsid w:val="00DF0EAA"/>
    <w:rsid w:val="00DF1374"/>
    <w:rsid w:val="00DF1E71"/>
    <w:rsid w:val="00DF1FF2"/>
    <w:rsid w:val="00DF24B5"/>
    <w:rsid w:val="00DF26FF"/>
    <w:rsid w:val="00DF2AFC"/>
    <w:rsid w:val="00DF31F2"/>
    <w:rsid w:val="00DF3795"/>
    <w:rsid w:val="00DF3CB1"/>
    <w:rsid w:val="00DF5192"/>
    <w:rsid w:val="00DF5EE5"/>
    <w:rsid w:val="00DF7596"/>
    <w:rsid w:val="00E014AE"/>
    <w:rsid w:val="00E060C4"/>
    <w:rsid w:val="00E06A8F"/>
    <w:rsid w:val="00E07027"/>
    <w:rsid w:val="00E07A99"/>
    <w:rsid w:val="00E10066"/>
    <w:rsid w:val="00E10829"/>
    <w:rsid w:val="00E10B67"/>
    <w:rsid w:val="00E10DA5"/>
    <w:rsid w:val="00E113A3"/>
    <w:rsid w:val="00E11E62"/>
    <w:rsid w:val="00E121A3"/>
    <w:rsid w:val="00E121BF"/>
    <w:rsid w:val="00E14069"/>
    <w:rsid w:val="00E1416A"/>
    <w:rsid w:val="00E15465"/>
    <w:rsid w:val="00E20536"/>
    <w:rsid w:val="00E20F50"/>
    <w:rsid w:val="00E21548"/>
    <w:rsid w:val="00E21755"/>
    <w:rsid w:val="00E2195F"/>
    <w:rsid w:val="00E23333"/>
    <w:rsid w:val="00E24F07"/>
    <w:rsid w:val="00E25727"/>
    <w:rsid w:val="00E25BCE"/>
    <w:rsid w:val="00E26001"/>
    <w:rsid w:val="00E26919"/>
    <w:rsid w:val="00E26EC3"/>
    <w:rsid w:val="00E26FCF"/>
    <w:rsid w:val="00E27604"/>
    <w:rsid w:val="00E27DF8"/>
    <w:rsid w:val="00E30526"/>
    <w:rsid w:val="00E31854"/>
    <w:rsid w:val="00E31AB8"/>
    <w:rsid w:val="00E32089"/>
    <w:rsid w:val="00E33ED7"/>
    <w:rsid w:val="00E3535B"/>
    <w:rsid w:val="00E35C01"/>
    <w:rsid w:val="00E36517"/>
    <w:rsid w:val="00E40D5A"/>
    <w:rsid w:val="00E41A82"/>
    <w:rsid w:val="00E42646"/>
    <w:rsid w:val="00E44E0C"/>
    <w:rsid w:val="00E44F60"/>
    <w:rsid w:val="00E47644"/>
    <w:rsid w:val="00E50605"/>
    <w:rsid w:val="00E50E3A"/>
    <w:rsid w:val="00E51A79"/>
    <w:rsid w:val="00E539F4"/>
    <w:rsid w:val="00E5473A"/>
    <w:rsid w:val="00E55B86"/>
    <w:rsid w:val="00E562B9"/>
    <w:rsid w:val="00E564D3"/>
    <w:rsid w:val="00E578AF"/>
    <w:rsid w:val="00E6082E"/>
    <w:rsid w:val="00E609D0"/>
    <w:rsid w:val="00E6104F"/>
    <w:rsid w:val="00E610FE"/>
    <w:rsid w:val="00E61270"/>
    <w:rsid w:val="00E65EDE"/>
    <w:rsid w:val="00E67BB4"/>
    <w:rsid w:val="00E71FB7"/>
    <w:rsid w:val="00E74091"/>
    <w:rsid w:val="00E76454"/>
    <w:rsid w:val="00E76E3A"/>
    <w:rsid w:val="00E7783B"/>
    <w:rsid w:val="00E81A73"/>
    <w:rsid w:val="00E8353C"/>
    <w:rsid w:val="00E83ED2"/>
    <w:rsid w:val="00E84DB6"/>
    <w:rsid w:val="00E85A50"/>
    <w:rsid w:val="00E867D3"/>
    <w:rsid w:val="00E86E74"/>
    <w:rsid w:val="00E912F9"/>
    <w:rsid w:val="00E91388"/>
    <w:rsid w:val="00E94DF3"/>
    <w:rsid w:val="00E9565A"/>
    <w:rsid w:val="00E96277"/>
    <w:rsid w:val="00EA03FC"/>
    <w:rsid w:val="00EA0A1A"/>
    <w:rsid w:val="00EA2234"/>
    <w:rsid w:val="00EA54E9"/>
    <w:rsid w:val="00EB0954"/>
    <w:rsid w:val="00EB0C78"/>
    <w:rsid w:val="00EB1FB9"/>
    <w:rsid w:val="00EB2CE1"/>
    <w:rsid w:val="00EB302B"/>
    <w:rsid w:val="00EB3481"/>
    <w:rsid w:val="00EB34E9"/>
    <w:rsid w:val="00EB5A99"/>
    <w:rsid w:val="00EB6B52"/>
    <w:rsid w:val="00EB7F37"/>
    <w:rsid w:val="00EC147C"/>
    <w:rsid w:val="00EC1805"/>
    <w:rsid w:val="00EC1AB6"/>
    <w:rsid w:val="00EC2910"/>
    <w:rsid w:val="00EC6AF4"/>
    <w:rsid w:val="00EC75DE"/>
    <w:rsid w:val="00ED08D1"/>
    <w:rsid w:val="00ED1B12"/>
    <w:rsid w:val="00ED5072"/>
    <w:rsid w:val="00ED5E45"/>
    <w:rsid w:val="00ED7765"/>
    <w:rsid w:val="00ED7A32"/>
    <w:rsid w:val="00EE0615"/>
    <w:rsid w:val="00EE1312"/>
    <w:rsid w:val="00EE1F88"/>
    <w:rsid w:val="00EE2487"/>
    <w:rsid w:val="00EE31FF"/>
    <w:rsid w:val="00EE4155"/>
    <w:rsid w:val="00EE479B"/>
    <w:rsid w:val="00EE5FFA"/>
    <w:rsid w:val="00EE6F29"/>
    <w:rsid w:val="00EE7637"/>
    <w:rsid w:val="00EF2CC3"/>
    <w:rsid w:val="00EF4999"/>
    <w:rsid w:val="00EF6BCA"/>
    <w:rsid w:val="00F002E6"/>
    <w:rsid w:val="00F0277F"/>
    <w:rsid w:val="00F0341F"/>
    <w:rsid w:val="00F04305"/>
    <w:rsid w:val="00F04B30"/>
    <w:rsid w:val="00F052D1"/>
    <w:rsid w:val="00F059F7"/>
    <w:rsid w:val="00F05E9A"/>
    <w:rsid w:val="00F05ECE"/>
    <w:rsid w:val="00F101FA"/>
    <w:rsid w:val="00F10D8D"/>
    <w:rsid w:val="00F14478"/>
    <w:rsid w:val="00F14A5E"/>
    <w:rsid w:val="00F15421"/>
    <w:rsid w:val="00F15A50"/>
    <w:rsid w:val="00F162A8"/>
    <w:rsid w:val="00F178E3"/>
    <w:rsid w:val="00F17D01"/>
    <w:rsid w:val="00F17F36"/>
    <w:rsid w:val="00F207D4"/>
    <w:rsid w:val="00F20CB4"/>
    <w:rsid w:val="00F23AE6"/>
    <w:rsid w:val="00F2540C"/>
    <w:rsid w:val="00F25DFE"/>
    <w:rsid w:val="00F26CE1"/>
    <w:rsid w:val="00F2747A"/>
    <w:rsid w:val="00F304D2"/>
    <w:rsid w:val="00F34AC6"/>
    <w:rsid w:val="00F34E16"/>
    <w:rsid w:val="00F35E75"/>
    <w:rsid w:val="00F3663D"/>
    <w:rsid w:val="00F36BA7"/>
    <w:rsid w:val="00F4131A"/>
    <w:rsid w:val="00F4183C"/>
    <w:rsid w:val="00F423CB"/>
    <w:rsid w:val="00F42ABD"/>
    <w:rsid w:val="00F45C0A"/>
    <w:rsid w:val="00F473BB"/>
    <w:rsid w:val="00F47E72"/>
    <w:rsid w:val="00F50E0E"/>
    <w:rsid w:val="00F52482"/>
    <w:rsid w:val="00F528B3"/>
    <w:rsid w:val="00F52B4B"/>
    <w:rsid w:val="00F538A6"/>
    <w:rsid w:val="00F53A01"/>
    <w:rsid w:val="00F53B46"/>
    <w:rsid w:val="00F55029"/>
    <w:rsid w:val="00F553E3"/>
    <w:rsid w:val="00F5597B"/>
    <w:rsid w:val="00F55C29"/>
    <w:rsid w:val="00F55DBC"/>
    <w:rsid w:val="00F55F84"/>
    <w:rsid w:val="00F56E85"/>
    <w:rsid w:val="00F60A19"/>
    <w:rsid w:val="00F60ECB"/>
    <w:rsid w:val="00F63D54"/>
    <w:rsid w:val="00F63FE2"/>
    <w:rsid w:val="00F64087"/>
    <w:rsid w:val="00F646C2"/>
    <w:rsid w:val="00F651E6"/>
    <w:rsid w:val="00F66811"/>
    <w:rsid w:val="00F67E3C"/>
    <w:rsid w:val="00F70142"/>
    <w:rsid w:val="00F7033D"/>
    <w:rsid w:val="00F70550"/>
    <w:rsid w:val="00F72359"/>
    <w:rsid w:val="00F72CFA"/>
    <w:rsid w:val="00F73C04"/>
    <w:rsid w:val="00F73C6E"/>
    <w:rsid w:val="00F74215"/>
    <w:rsid w:val="00F75E17"/>
    <w:rsid w:val="00F80318"/>
    <w:rsid w:val="00F811F2"/>
    <w:rsid w:val="00F82E9D"/>
    <w:rsid w:val="00F82FB5"/>
    <w:rsid w:val="00F83265"/>
    <w:rsid w:val="00F849AB"/>
    <w:rsid w:val="00F862E4"/>
    <w:rsid w:val="00F866BE"/>
    <w:rsid w:val="00F86978"/>
    <w:rsid w:val="00F8706A"/>
    <w:rsid w:val="00F874D2"/>
    <w:rsid w:val="00F87888"/>
    <w:rsid w:val="00F87C63"/>
    <w:rsid w:val="00F90CB7"/>
    <w:rsid w:val="00F91BBB"/>
    <w:rsid w:val="00F92DD8"/>
    <w:rsid w:val="00F94E20"/>
    <w:rsid w:val="00F94E8A"/>
    <w:rsid w:val="00F9568C"/>
    <w:rsid w:val="00F9642B"/>
    <w:rsid w:val="00F9667F"/>
    <w:rsid w:val="00F9783E"/>
    <w:rsid w:val="00FA0006"/>
    <w:rsid w:val="00FA1758"/>
    <w:rsid w:val="00FA4396"/>
    <w:rsid w:val="00FA4CF0"/>
    <w:rsid w:val="00FA508A"/>
    <w:rsid w:val="00FA5FD2"/>
    <w:rsid w:val="00FA60C5"/>
    <w:rsid w:val="00FA61B7"/>
    <w:rsid w:val="00FA6589"/>
    <w:rsid w:val="00FA763C"/>
    <w:rsid w:val="00FB00E2"/>
    <w:rsid w:val="00FB029E"/>
    <w:rsid w:val="00FB106E"/>
    <w:rsid w:val="00FB3684"/>
    <w:rsid w:val="00FB4921"/>
    <w:rsid w:val="00FB5505"/>
    <w:rsid w:val="00FB58D5"/>
    <w:rsid w:val="00FB74E1"/>
    <w:rsid w:val="00FC2147"/>
    <w:rsid w:val="00FC3541"/>
    <w:rsid w:val="00FC3E91"/>
    <w:rsid w:val="00FC49FB"/>
    <w:rsid w:val="00FC60CF"/>
    <w:rsid w:val="00FC625A"/>
    <w:rsid w:val="00FC7103"/>
    <w:rsid w:val="00FC7639"/>
    <w:rsid w:val="00FD17C2"/>
    <w:rsid w:val="00FD1A4E"/>
    <w:rsid w:val="00FD202B"/>
    <w:rsid w:val="00FD246B"/>
    <w:rsid w:val="00FD295D"/>
    <w:rsid w:val="00FD396D"/>
    <w:rsid w:val="00FD3A7F"/>
    <w:rsid w:val="00FD4654"/>
    <w:rsid w:val="00FD4901"/>
    <w:rsid w:val="00FD4E64"/>
    <w:rsid w:val="00FD4F83"/>
    <w:rsid w:val="00FD55B2"/>
    <w:rsid w:val="00FD662C"/>
    <w:rsid w:val="00FD68AA"/>
    <w:rsid w:val="00FD7CAA"/>
    <w:rsid w:val="00FE028B"/>
    <w:rsid w:val="00FE1368"/>
    <w:rsid w:val="00FE1F75"/>
    <w:rsid w:val="00FE2090"/>
    <w:rsid w:val="00FE2A80"/>
    <w:rsid w:val="00FE48B8"/>
    <w:rsid w:val="00FE508D"/>
    <w:rsid w:val="00FE7325"/>
    <w:rsid w:val="00FE7520"/>
    <w:rsid w:val="00FE785F"/>
    <w:rsid w:val="00FF0CF7"/>
    <w:rsid w:val="00FF13D8"/>
    <w:rsid w:val="00FF39BD"/>
    <w:rsid w:val="00FF5316"/>
    <w:rsid w:val="00FF6403"/>
    <w:rsid w:val="00FF71C7"/>
    <w:rsid w:val="00FF730F"/>
    <w:rsid w:val="11736128"/>
    <w:rsid w:val="16283474"/>
    <w:rsid w:val="265C6237"/>
    <w:rsid w:val="2D3343E8"/>
    <w:rsid w:val="30234286"/>
    <w:rsid w:val="387332AD"/>
    <w:rsid w:val="4B6E0226"/>
    <w:rsid w:val="549A7893"/>
    <w:rsid w:val="780A62B8"/>
    <w:rsid w:val="788A1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napToGrid w:val="0"/>
      <w:spacing w:line="300" w:lineRule="auto"/>
      <w:jc w:val="both"/>
    </w:pPr>
    <w:rPr>
      <w:rFonts w:asciiTheme="minorEastAsia" w:hAnsiTheme="minorHAnsi" w:eastAsiaTheme="minorEastAsia" w:cstheme="minorBidi"/>
      <w:kern w:val="2"/>
      <w:sz w:val="24"/>
      <w:szCs w:val="21"/>
      <w:lang w:val="en-US" w:eastAsia="zh-CN" w:bidi="ar-SA"/>
    </w:rPr>
  </w:style>
  <w:style w:type="paragraph" w:styleId="3">
    <w:name w:val="heading 1"/>
    <w:basedOn w:val="1"/>
    <w:next w:val="1"/>
    <w:link w:val="38"/>
    <w:autoRedefine/>
    <w:qFormat/>
    <w:uiPriority w:val="9"/>
    <w:pPr>
      <w:keepNext/>
      <w:keepLines/>
      <w:spacing w:line="360" w:lineRule="auto"/>
      <w:ind w:left="1325" w:hanging="1325"/>
      <w:jc w:val="center"/>
      <w:outlineLvl w:val="0"/>
    </w:pPr>
    <w:rPr>
      <w:rFonts w:hAnsi="Calibri" w:eastAsia="黑体" w:cs="Times New Roman"/>
      <w:b/>
      <w:bCs/>
      <w:w w:val="80"/>
      <w:kern w:val="44"/>
      <w:sz w:val="36"/>
      <w:szCs w:val="44"/>
    </w:rPr>
  </w:style>
  <w:style w:type="paragraph" w:styleId="4">
    <w:name w:val="heading 2"/>
    <w:basedOn w:val="1"/>
    <w:next w:val="1"/>
    <w:link w:val="35"/>
    <w:autoRedefine/>
    <w:unhideWhenUsed/>
    <w:qFormat/>
    <w:uiPriority w:val="9"/>
    <w:pPr>
      <w:keepNext/>
      <w:keepLines/>
      <w:spacing w:line="360" w:lineRule="auto"/>
      <w:ind w:left="964" w:hanging="964"/>
      <w:jc w:val="center"/>
      <w:outlineLvl w:val="1"/>
    </w:pPr>
    <w:rPr>
      <w:rFonts w:hAnsi="Cambria" w:eastAsia="黑体" w:cs="Times New Roman"/>
      <w:b/>
      <w:bCs/>
      <w:kern w:val="0"/>
      <w:sz w:val="32"/>
      <w:szCs w:val="32"/>
    </w:rPr>
  </w:style>
  <w:style w:type="paragraph" w:styleId="5">
    <w:name w:val="heading 3"/>
    <w:basedOn w:val="1"/>
    <w:next w:val="2"/>
    <w:link w:val="33"/>
    <w:autoRedefine/>
    <w:unhideWhenUsed/>
    <w:qFormat/>
    <w:uiPriority w:val="9"/>
    <w:pPr>
      <w:keepNext/>
      <w:keepLines/>
      <w:outlineLvl w:val="2"/>
    </w:pPr>
    <w:rPr>
      <w:b/>
      <w:bCs/>
      <w:szCs w:val="32"/>
    </w:rPr>
  </w:style>
  <w:style w:type="paragraph" w:styleId="6">
    <w:name w:val="heading 4"/>
    <w:basedOn w:val="1"/>
    <w:next w:val="1"/>
    <w:link w:val="37"/>
    <w:autoRedefine/>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5"/>
    <w:basedOn w:val="1"/>
    <w:next w:val="1"/>
    <w:link w:val="36"/>
    <w:semiHidden/>
    <w:unhideWhenUsed/>
    <w:qFormat/>
    <w:uiPriority w:val="9"/>
    <w:pPr>
      <w:keepNext/>
      <w:keepLines/>
      <w:spacing w:before="280" w:after="290" w:line="376" w:lineRule="auto"/>
      <w:outlineLvl w:val="4"/>
    </w:pPr>
    <w:rPr>
      <w:b/>
      <w:bCs/>
      <w:sz w:val="28"/>
      <w:szCs w:val="28"/>
    </w:rPr>
  </w:style>
  <w:style w:type="paragraph" w:styleId="8">
    <w:name w:val="heading 6"/>
    <w:basedOn w:val="1"/>
    <w:next w:val="1"/>
    <w:link w:val="34"/>
    <w:semiHidden/>
    <w:unhideWhenUsed/>
    <w:qFormat/>
    <w:uiPriority w:val="9"/>
    <w:pPr>
      <w:keepNext/>
      <w:keepLines/>
      <w:spacing w:before="240" w:after="64" w:line="320" w:lineRule="auto"/>
      <w:outlineLvl w:val="5"/>
    </w:pPr>
    <w:rPr>
      <w:rFonts w:asciiTheme="majorHAnsi" w:hAnsiTheme="majorHAnsi" w:eastAsiaTheme="majorEastAsia" w:cstheme="majorBidi"/>
      <w:b/>
      <w:bCs/>
      <w:szCs w:val="24"/>
    </w:rPr>
  </w:style>
  <w:style w:type="character" w:default="1" w:styleId="21">
    <w:name w:val="Default Paragraph Font"/>
    <w:semiHidden/>
    <w:unhideWhenUsed/>
    <w:uiPriority w:val="1"/>
  </w:style>
  <w:style w:type="table" w:default="1" w:styleId="19">
    <w:name w:val="Normal Table"/>
    <w:semiHidden/>
    <w:unhideWhenUsed/>
    <w:uiPriority w:val="99"/>
    <w:tblPr>
      <w:tblCellMar>
        <w:top w:w="0" w:type="dxa"/>
        <w:left w:w="108" w:type="dxa"/>
        <w:bottom w:w="0" w:type="dxa"/>
        <w:right w:w="108" w:type="dxa"/>
      </w:tblCellMar>
    </w:tblPr>
  </w:style>
  <w:style w:type="paragraph" w:styleId="2">
    <w:name w:val="Normal Indent"/>
    <w:basedOn w:val="1"/>
    <w:autoRedefine/>
    <w:qFormat/>
    <w:uiPriority w:val="0"/>
    <w:pPr>
      <w:autoSpaceDE w:val="0"/>
      <w:autoSpaceDN w:val="0"/>
      <w:adjustRightInd w:val="0"/>
      <w:ind w:firstLine="420"/>
      <w:jc w:val="left"/>
    </w:pPr>
    <w:rPr>
      <w:rFonts w:ascii="宋体"/>
      <w:sz w:val="24"/>
    </w:rPr>
  </w:style>
  <w:style w:type="paragraph" w:styleId="9">
    <w:name w:val="annotation text"/>
    <w:basedOn w:val="1"/>
    <w:link w:val="64"/>
    <w:autoRedefine/>
    <w:unhideWhenUsed/>
    <w:qFormat/>
    <w:uiPriority w:val="0"/>
    <w:pPr>
      <w:jc w:val="left"/>
    </w:pPr>
  </w:style>
  <w:style w:type="paragraph" w:styleId="10">
    <w:name w:val="toc 3"/>
    <w:basedOn w:val="1"/>
    <w:next w:val="1"/>
    <w:autoRedefine/>
    <w:unhideWhenUsed/>
    <w:qFormat/>
    <w:uiPriority w:val="39"/>
    <w:pPr>
      <w:ind w:left="840" w:leftChars="400"/>
    </w:pPr>
  </w:style>
  <w:style w:type="paragraph" w:styleId="11">
    <w:name w:val="Balloon Text"/>
    <w:basedOn w:val="1"/>
    <w:link w:val="65"/>
    <w:autoRedefine/>
    <w:semiHidden/>
    <w:unhideWhenUsed/>
    <w:qFormat/>
    <w:uiPriority w:val="99"/>
    <w:pPr>
      <w:spacing w:line="240" w:lineRule="auto"/>
    </w:pPr>
    <w:rPr>
      <w:sz w:val="18"/>
      <w:szCs w:val="18"/>
    </w:rPr>
  </w:style>
  <w:style w:type="paragraph" w:styleId="12">
    <w:name w:val="footer"/>
    <w:basedOn w:val="1"/>
    <w:link w:val="43"/>
    <w:autoRedefine/>
    <w:unhideWhenUsed/>
    <w:qFormat/>
    <w:uiPriority w:val="99"/>
    <w:pPr>
      <w:tabs>
        <w:tab w:val="center" w:pos="4153"/>
        <w:tab w:val="right" w:pos="8306"/>
      </w:tabs>
      <w:spacing w:line="240" w:lineRule="auto"/>
      <w:jc w:val="left"/>
    </w:pPr>
    <w:rPr>
      <w:sz w:val="18"/>
      <w:szCs w:val="18"/>
    </w:rPr>
  </w:style>
  <w:style w:type="paragraph" w:styleId="13">
    <w:name w:val="header"/>
    <w:basedOn w:val="1"/>
    <w:link w:val="42"/>
    <w:autoRedefine/>
    <w:unhideWhenUsed/>
    <w:qFormat/>
    <w:uiPriority w:val="99"/>
    <w:pPr>
      <w:pBdr>
        <w:bottom w:val="single" w:color="auto" w:sz="6" w:space="1"/>
      </w:pBdr>
      <w:tabs>
        <w:tab w:val="center" w:pos="4153"/>
        <w:tab w:val="right" w:pos="8306"/>
      </w:tabs>
      <w:spacing w:line="240" w:lineRule="auto"/>
      <w:jc w:val="center"/>
    </w:pPr>
    <w:rPr>
      <w:sz w:val="18"/>
      <w:szCs w:val="18"/>
    </w:rPr>
  </w:style>
  <w:style w:type="paragraph" w:styleId="14">
    <w:name w:val="toc 1"/>
    <w:basedOn w:val="1"/>
    <w:next w:val="1"/>
    <w:autoRedefine/>
    <w:unhideWhenUsed/>
    <w:qFormat/>
    <w:uiPriority w:val="39"/>
  </w:style>
  <w:style w:type="paragraph" w:styleId="15">
    <w:name w:val="Subtitle"/>
    <w:basedOn w:val="1"/>
    <w:next w:val="1"/>
    <w:link w:val="54"/>
    <w:autoRedefine/>
    <w:qFormat/>
    <w:uiPriority w:val="11"/>
    <w:pPr>
      <w:spacing w:before="240" w:after="60" w:line="312" w:lineRule="auto"/>
      <w:jc w:val="center"/>
      <w:outlineLvl w:val="1"/>
    </w:pPr>
    <w:rPr>
      <w:rFonts w:asciiTheme="majorHAnsi" w:hAnsiTheme="majorHAnsi" w:cstheme="majorBidi"/>
      <w:b/>
      <w:bCs/>
      <w:kern w:val="28"/>
      <w:sz w:val="32"/>
      <w:szCs w:val="32"/>
    </w:rPr>
  </w:style>
  <w:style w:type="paragraph" w:styleId="16">
    <w:name w:val="toc 2"/>
    <w:basedOn w:val="1"/>
    <w:next w:val="1"/>
    <w:autoRedefine/>
    <w:unhideWhenUsed/>
    <w:qFormat/>
    <w:uiPriority w:val="39"/>
    <w:pPr>
      <w:ind w:left="420" w:leftChars="200"/>
    </w:pPr>
  </w:style>
  <w:style w:type="paragraph" w:styleId="17">
    <w:name w:val="Title"/>
    <w:basedOn w:val="1"/>
    <w:next w:val="1"/>
    <w:link w:val="53"/>
    <w:autoRedefine/>
    <w:qFormat/>
    <w:uiPriority w:val="10"/>
    <w:pPr>
      <w:spacing w:before="240" w:after="60"/>
      <w:jc w:val="center"/>
      <w:outlineLvl w:val="0"/>
    </w:pPr>
    <w:rPr>
      <w:rFonts w:asciiTheme="majorHAnsi" w:hAnsiTheme="majorHAnsi" w:cstheme="majorBidi"/>
      <w:b/>
      <w:bCs/>
      <w:sz w:val="32"/>
      <w:szCs w:val="32"/>
    </w:rPr>
  </w:style>
  <w:style w:type="paragraph" w:styleId="18">
    <w:name w:val="annotation subject"/>
    <w:basedOn w:val="9"/>
    <w:next w:val="9"/>
    <w:link w:val="66"/>
    <w:autoRedefine/>
    <w:semiHidden/>
    <w:unhideWhenUsed/>
    <w:qFormat/>
    <w:uiPriority w:val="99"/>
    <w:rPr>
      <w:b/>
      <w:bCs/>
    </w:rPr>
  </w:style>
  <w:style w:type="table" w:styleId="20">
    <w:name w:val="Table Grid"/>
    <w:basedOn w:val="19"/>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autoRedefine/>
    <w:qFormat/>
    <w:uiPriority w:val="22"/>
    <w:rPr>
      <w:b/>
      <w:bCs/>
    </w:rPr>
  </w:style>
  <w:style w:type="character" w:styleId="23">
    <w:name w:val="page number"/>
    <w:basedOn w:val="21"/>
    <w:autoRedefine/>
    <w:qFormat/>
    <w:uiPriority w:val="0"/>
  </w:style>
  <w:style w:type="character" w:styleId="24">
    <w:name w:val="FollowedHyperlink"/>
    <w:basedOn w:val="21"/>
    <w:autoRedefine/>
    <w:semiHidden/>
    <w:unhideWhenUsed/>
    <w:qFormat/>
    <w:uiPriority w:val="99"/>
    <w:rPr>
      <w:color w:val="800080" w:themeColor="followedHyperlink"/>
      <w:u w:val="single"/>
      <w14:textFill>
        <w14:solidFill>
          <w14:schemeClr w14:val="folHlink"/>
        </w14:solidFill>
      </w14:textFill>
    </w:rPr>
  </w:style>
  <w:style w:type="character" w:styleId="25">
    <w:name w:val="Emphasis"/>
    <w:basedOn w:val="21"/>
    <w:autoRedefine/>
    <w:qFormat/>
    <w:uiPriority w:val="20"/>
    <w:rPr>
      <w:i/>
      <w:iCs/>
    </w:rPr>
  </w:style>
  <w:style w:type="character" w:styleId="26">
    <w:name w:val="Hyperlink"/>
    <w:basedOn w:val="21"/>
    <w:autoRedefine/>
    <w:unhideWhenUsed/>
    <w:qFormat/>
    <w:uiPriority w:val="99"/>
    <w:rPr>
      <w:color w:val="0000FF" w:themeColor="hyperlink"/>
      <w:u w:val="single"/>
      <w14:textFill>
        <w14:solidFill>
          <w14:schemeClr w14:val="hlink"/>
        </w14:solidFill>
      </w14:textFill>
    </w:rPr>
  </w:style>
  <w:style w:type="character" w:styleId="27">
    <w:name w:val="annotation reference"/>
    <w:basedOn w:val="21"/>
    <w:autoRedefine/>
    <w:unhideWhenUsed/>
    <w:qFormat/>
    <w:uiPriority w:val="0"/>
    <w:rPr>
      <w:sz w:val="21"/>
      <w:szCs w:val="21"/>
    </w:rPr>
  </w:style>
  <w:style w:type="paragraph" w:customStyle="1" w:styleId="28">
    <w:name w:val="标题3-技术需求"/>
    <w:basedOn w:val="5"/>
    <w:autoRedefine/>
    <w:qFormat/>
    <w:uiPriority w:val="0"/>
    <w:pPr>
      <w:numPr>
        <w:ilvl w:val="1"/>
        <w:numId w:val="1"/>
      </w:numPr>
      <w:spacing w:line="360" w:lineRule="auto"/>
    </w:pPr>
    <w:rPr>
      <w:rFonts w:hAnsi="宋体" w:cs="宋体"/>
      <w:kern w:val="0"/>
      <w:szCs w:val="24"/>
    </w:rPr>
  </w:style>
  <w:style w:type="paragraph" w:customStyle="1" w:styleId="29">
    <w:name w:val="标题6-技术需求"/>
    <w:basedOn w:val="8"/>
    <w:autoRedefine/>
    <w:qFormat/>
    <w:uiPriority w:val="0"/>
    <w:pPr>
      <w:numPr>
        <w:ilvl w:val="4"/>
        <w:numId w:val="1"/>
      </w:numPr>
      <w:spacing w:before="0" w:after="0" w:line="360" w:lineRule="auto"/>
    </w:pPr>
    <w:rPr>
      <w:rFonts w:ascii="Cambria" w:hAnsi="Cambria" w:eastAsia="宋体" w:cs="Times New Roman"/>
    </w:rPr>
  </w:style>
  <w:style w:type="paragraph" w:customStyle="1" w:styleId="30">
    <w:name w:val="标题2-技术需求"/>
    <w:basedOn w:val="4"/>
    <w:autoRedefine/>
    <w:qFormat/>
    <w:uiPriority w:val="0"/>
    <w:pPr>
      <w:numPr>
        <w:ilvl w:val="0"/>
        <w:numId w:val="1"/>
      </w:numPr>
    </w:pPr>
    <w:rPr>
      <w:rFonts w:hAnsi="宋体" w:cs="宋体"/>
    </w:rPr>
  </w:style>
  <w:style w:type="paragraph" w:customStyle="1" w:styleId="31">
    <w:name w:val="标题5-技术需求"/>
    <w:basedOn w:val="7"/>
    <w:autoRedefine/>
    <w:qFormat/>
    <w:uiPriority w:val="0"/>
    <w:pPr>
      <w:numPr>
        <w:ilvl w:val="3"/>
        <w:numId w:val="1"/>
      </w:numPr>
      <w:spacing w:before="0" w:after="0" w:line="360" w:lineRule="auto"/>
    </w:pPr>
    <w:rPr>
      <w:rFonts w:hAnsi="Calibri" w:cs="Times New Roman"/>
      <w:sz w:val="24"/>
    </w:rPr>
  </w:style>
  <w:style w:type="paragraph" w:customStyle="1" w:styleId="32">
    <w:name w:val="标题4-技术需求"/>
    <w:basedOn w:val="6"/>
    <w:autoRedefine/>
    <w:qFormat/>
    <w:uiPriority w:val="0"/>
    <w:pPr>
      <w:numPr>
        <w:ilvl w:val="2"/>
        <w:numId w:val="1"/>
      </w:numPr>
      <w:spacing w:before="0" w:after="0" w:line="360" w:lineRule="auto"/>
    </w:pPr>
    <w:rPr>
      <w:rFonts w:ascii="宋体" w:hAnsi="宋体" w:eastAsia="宋体" w:cs="宋体"/>
      <w:sz w:val="24"/>
      <w:szCs w:val="24"/>
    </w:rPr>
  </w:style>
  <w:style w:type="character" w:customStyle="1" w:styleId="33">
    <w:name w:val="标题 3 字符"/>
    <w:basedOn w:val="21"/>
    <w:link w:val="5"/>
    <w:autoRedefine/>
    <w:qFormat/>
    <w:uiPriority w:val="9"/>
    <w:rPr>
      <w:rFonts w:asciiTheme="minorEastAsia"/>
      <w:b/>
      <w:bCs/>
      <w:sz w:val="24"/>
      <w:szCs w:val="32"/>
    </w:rPr>
  </w:style>
  <w:style w:type="character" w:customStyle="1" w:styleId="34">
    <w:name w:val="标题 6 字符"/>
    <w:basedOn w:val="21"/>
    <w:link w:val="8"/>
    <w:autoRedefine/>
    <w:semiHidden/>
    <w:qFormat/>
    <w:uiPriority w:val="9"/>
    <w:rPr>
      <w:rFonts w:asciiTheme="majorHAnsi" w:hAnsiTheme="majorHAnsi" w:eastAsiaTheme="majorEastAsia" w:cstheme="majorBidi"/>
      <w:b/>
      <w:bCs/>
      <w:sz w:val="24"/>
      <w:szCs w:val="24"/>
    </w:rPr>
  </w:style>
  <w:style w:type="character" w:customStyle="1" w:styleId="35">
    <w:name w:val="标题 2 字符"/>
    <w:basedOn w:val="21"/>
    <w:link w:val="4"/>
    <w:autoRedefine/>
    <w:qFormat/>
    <w:uiPriority w:val="9"/>
    <w:rPr>
      <w:rFonts w:hAnsi="Cambria" w:eastAsia="黑体" w:cs="Times New Roman" w:asciiTheme="minorEastAsia"/>
      <w:b/>
      <w:bCs/>
      <w:kern w:val="0"/>
      <w:sz w:val="32"/>
      <w:szCs w:val="32"/>
    </w:rPr>
  </w:style>
  <w:style w:type="character" w:customStyle="1" w:styleId="36">
    <w:name w:val="标题 5 字符"/>
    <w:basedOn w:val="21"/>
    <w:link w:val="7"/>
    <w:autoRedefine/>
    <w:semiHidden/>
    <w:qFormat/>
    <w:uiPriority w:val="9"/>
    <w:rPr>
      <w:b/>
      <w:bCs/>
      <w:sz w:val="28"/>
      <w:szCs w:val="28"/>
    </w:rPr>
  </w:style>
  <w:style w:type="character" w:customStyle="1" w:styleId="37">
    <w:name w:val="标题 4 字符"/>
    <w:basedOn w:val="21"/>
    <w:link w:val="6"/>
    <w:autoRedefine/>
    <w:semiHidden/>
    <w:qFormat/>
    <w:uiPriority w:val="9"/>
    <w:rPr>
      <w:rFonts w:asciiTheme="majorHAnsi" w:hAnsiTheme="majorHAnsi" w:eastAsiaTheme="majorEastAsia" w:cstheme="majorBidi"/>
      <w:b/>
      <w:bCs/>
      <w:sz w:val="28"/>
      <w:szCs w:val="28"/>
    </w:rPr>
  </w:style>
  <w:style w:type="character" w:customStyle="1" w:styleId="38">
    <w:name w:val="标题 1 字符"/>
    <w:basedOn w:val="21"/>
    <w:link w:val="3"/>
    <w:autoRedefine/>
    <w:qFormat/>
    <w:uiPriority w:val="9"/>
    <w:rPr>
      <w:rFonts w:hAnsi="Calibri" w:eastAsia="黑体" w:cs="Times New Roman" w:asciiTheme="minorEastAsia"/>
      <w:b/>
      <w:bCs/>
      <w:w w:val="80"/>
      <w:kern w:val="44"/>
      <w:sz w:val="36"/>
      <w:szCs w:val="44"/>
    </w:rPr>
  </w:style>
  <w:style w:type="paragraph" w:customStyle="1" w:styleId="39">
    <w:name w:val="正文-投标邀请"/>
    <w:basedOn w:val="1"/>
    <w:autoRedefine/>
    <w:qFormat/>
    <w:uiPriority w:val="0"/>
    <w:pPr>
      <w:spacing w:line="360" w:lineRule="auto"/>
    </w:pPr>
    <w:rPr>
      <w:sz w:val="28"/>
    </w:rPr>
  </w:style>
  <w:style w:type="paragraph" w:customStyle="1" w:styleId="40">
    <w:name w:val="正文须知-1级"/>
    <w:basedOn w:val="1"/>
    <w:next w:val="1"/>
    <w:autoRedefine/>
    <w:qFormat/>
    <w:uiPriority w:val="0"/>
    <w:pPr>
      <w:numPr>
        <w:ilvl w:val="0"/>
        <w:numId w:val="2"/>
      </w:numPr>
    </w:pPr>
    <w:rPr>
      <w:rFonts w:hAnsi="Calibri" w:cs="Times New Roman"/>
    </w:rPr>
  </w:style>
  <w:style w:type="paragraph" w:customStyle="1" w:styleId="41">
    <w:name w:val="正文须知-2级"/>
    <w:basedOn w:val="1"/>
    <w:autoRedefine/>
    <w:qFormat/>
    <w:uiPriority w:val="0"/>
    <w:pPr>
      <w:numPr>
        <w:ilvl w:val="1"/>
        <w:numId w:val="2"/>
      </w:numPr>
    </w:pPr>
  </w:style>
  <w:style w:type="character" w:customStyle="1" w:styleId="42">
    <w:name w:val="页眉 字符"/>
    <w:basedOn w:val="21"/>
    <w:link w:val="13"/>
    <w:autoRedefine/>
    <w:qFormat/>
    <w:uiPriority w:val="99"/>
    <w:rPr>
      <w:rFonts w:ascii="宋体" w:eastAsia="宋体"/>
      <w:sz w:val="18"/>
      <w:szCs w:val="18"/>
    </w:rPr>
  </w:style>
  <w:style w:type="character" w:customStyle="1" w:styleId="43">
    <w:name w:val="页脚 字符"/>
    <w:basedOn w:val="21"/>
    <w:link w:val="12"/>
    <w:autoRedefine/>
    <w:qFormat/>
    <w:uiPriority w:val="99"/>
    <w:rPr>
      <w:rFonts w:ascii="宋体" w:eastAsia="宋体"/>
      <w:sz w:val="18"/>
      <w:szCs w:val="18"/>
    </w:rPr>
  </w:style>
  <w:style w:type="paragraph" w:customStyle="1" w:styleId="44">
    <w:name w:val="附件六二级标题"/>
    <w:basedOn w:val="5"/>
    <w:next w:val="1"/>
    <w:autoRedefine/>
    <w:qFormat/>
    <w:uiPriority w:val="0"/>
    <w:pPr>
      <w:spacing w:line="240" w:lineRule="auto"/>
      <w:jc w:val="center"/>
    </w:pPr>
    <w:rPr>
      <w:rFonts w:hAnsi="宋体" w:cs="Times New Roman"/>
      <w:sz w:val="28"/>
    </w:rPr>
  </w:style>
  <w:style w:type="paragraph" w:customStyle="1" w:styleId="45">
    <w:name w:val="正文-首缩2字符"/>
    <w:basedOn w:val="1"/>
    <w:autoRedefine/>
    <w:qFormat/>
    <w:uiPriority w:val="99"/>
    <w:pPr>
      <w:ind w:firstLine="200" w:firstLineChars="200"/>
      <w:jc w:val="left"/>
    </w:pPr>
    <w:rPr>
      <w:rFonts w:hAnsi="宋体" w:cs="宋体"/>
      <w:szCs w:val="24"/>
    </w:rPr>
  </w:style>
  <w:style w:type="paragraph" w:styleId="46">
    <w:name w:val="List Paragraph"/>
    <w:basedOn w:val="1"/>
    <w:link w:val="68"/>
    <w:autoRedefine/>
    <w:qFormat/>
    <w:uiPriority w:val="34"/>
    <w:pPr>
      <w:ind w:firstLine="420" w:firstLineChars="200"/>
    </w:pPr>
  </w:style>
  <w:style w:type="paragraph" w:customStyle="1" w:styleId="47">
    <w:name w:val="附件六"/>
    <w:basedOn w:val="1"/>
    <w:autoRedefine/>
    <w:qFormat/>
    <w:uiPriority w:val="0"/>
    <w:pPr>
      <w:numPr>
        <w:ilvl w:val="0"/>
        <w:numId w:val="3"/>
      </w:numPr>
      <w:spacing w:line="360" w:lineRule="auto"/>
      <w:jc w:val="left"/>
    </w:pPr>
    <w:rPr>
      <w:rFonts w:hAnsi="宋体" w:cs="Times New Roman"/>
    </w:rPr>
  </w:style>
  <w:style w:type="paragraph" w:customStyle="1" w:styleId="48">
    <w:name w:val="须知前附表-带自动编号"/>
    <w:basedOn w:val="49"/>
    <w:next w:val="1"/>
    <w:autoRedefine/>
    <w:qFormat/>
    <w:uiPriority w:val="0"/>
    <w:pPr>
      <w:numPr>
        <w:ilvl w:val="0"/>
        <w:numId w:val="4"/>
      </w:numPr>
      <w:tabs>
        <w:tab w:val="left" w:pos="536"/>
      </w:tabs>
      <w:spacing w:line="240" w:lineRule="auto"/>
    </w:pPr>
    <w:rPr>
      <w:rFonts w:ascii="仿宋_GB2312" w:eastAsia="仿宋_GB2312"/>
    </w:rPr>
  </w:style>
  <w:style w:type="paragraph" w:customStyle="1" w:styleId="49">
    <w:name w:val="正文须知"/>
    <w:basedOn w:val="1"/>
    <w:next w:val="1"/>
    <w:autoRedefine/>
    <w:qFormat/>
    <w:uiPriority w:val="0"/>
    <w:pPr>
      <w:ind w:left="419" w:hanging="720"/>
    </w:pPr>
    <w:rPr>
      <w:rFonts w:hAnsi="Calibri" w:cs="Times New Roman"/>
    </w:rPr>
  </w:style>
  <w:style w:type="paragraph" w:customStyle="1" w:styleId="50">
    <w:name w:val="正文-须知前附表"/>
    <w:basedOn w:val="1"/>
    <w:next w:val="1"/>
    <w:autoRedefine/>
    <w:qFormat/>
    <w:uiPriority w:val="0"/>
    <w:pPr>
      <w:spacing w:line="240" w:lineRule="auto"/>
    </w:pPr>
    <w:rPr>
      <w:rFonts w:ascii="仿宋_GB2312" w:hAnsi="Calibri" w:eastAsia="仿宋_GB2312" w:cs="Times New Roman"/>
    </w:rPr>
  </w:style>
  <w:style w:type="paragraph" w:customStyle="1" w:styleId="51">
    <w:name w:val="正文-前附表资格证明文件"/>
    <w:basedOn w:val="1"/>
    <w:next w:val="1"/>
    <w:autoRedefine/>
    <w:qFormat/>
    <w:uiPriority w:val="0"/>
    <w:pPr>
      <w:ind w:hanging="150" w:hangingChars="150"/>
    </w:pPr>
  </w:style>
  <w:style w:type="paragraph" w:styleId="52">
    <w:name w:val="No Spacing"/>
    <w:autoRedefine/>
    <w:qFormat/>
    <w:uiPriority w:val="1"/>
    <w:pPr>
      <w:widowControl w:val="0"/>
      <w:adjustRightInd w:val="0"/>
      <w:snapToGrid w:val="0"/>
      <w:jc w:val="both"/>
    </w:pPr>
    <w:rPr>
      <w:rFonts w:ascii="宋体" w:eastAsia="宋体" w:hAnsiTheme="minorHAnsi" w:cstheme="minorBidi"/>
      <w:kern w:val="2"/>
      <w:sz w:val="24"/>
      <w:szCs w:val="21"/>
      <w:lang w:val="en-US" w:eastAsia="zh-CN" w:bidi="ar-SA"/>
    </w:rPr>
  </w:style>
  <w:style w:type="character" w:customStyle="1" w:styleId="53">
    <w:name w:val="标题 字符"/>
    <w:basedOn w:val="21"/>
    <w:link w:val="17"/>
    <w:autoRedefine/>
    <w:qFormat/>
    <w:uiPriority w:val="10"/>
    <w:rPr>
      <w:rFonts w:eastAsia="宋体" w:asciiTheme="majorHAnsi" w:hAnsiTheme="majorHAnsi" w:cstheme="majorBidi"/>
      <w:b/>
      <w:bCs/>
      <w:sz w:val="32"/>
      <w:szCs w:val="32"/>
    </w:rPr>
  </w:style>
  <w:style w:type="character" w:customStyle="1" w:styleId="54">
    <w:name w:val="副标题 字符"/>
    <w:basedOn w:val="21"/>
    <w:link w:val="15"/>
    <w:autoRedefine/>
    <w:qFormat/>
    <w:uiPriority w:val="11"/>
    <w:rPr>
      <w:rFonts w:eastAsia="宋体" w:asciiTheme="majorHAnsi" w:hAnsiTheme="majorHAnsi" w:cstheme="majorBidi"/>
      <w:b/>
      <w:bCs/>
      <w:kern w:val="28"/>
      <w:sz w:val="32"/>
      <w:szCs w:val="32"/>
    </w:rPr>
  </w:style>
  <w:style w:type="character" w:customStyle="1" w:styleId="55">
    <w:name w:val="Subtle Emphasis"/>
    <w:basedOn w:val="21"/>
    <w:autoRedefine/>
    <w:qFormat/>
    <w:uiPriority w:val="19"/>
    <w:rPr>
      <w:i/>
      <w:iCs/>
      <w:color w:val="808080" w:themeColor="text1" w:themeTint="80"/>
      <w14:textFill>
        <w14:solidFill>
          <w14:schemeClr w14:val="tx1">
            <w14:lumMod w14:val="50000"/>
            <w14:lumOff w14:val="50000"/>
          </w14:schemeClr>
        </w14:solidFill>
      </w14:textFill>
    </w:rPr>
  </w:style>
  <w:style w:type="character" w:customStyle="1" w:styleId="56">
    <w:name w:val="Intense Emphasis"/>
    <w:basedOn w:val="21"/>
    <w:autoRedefine/>
    <w:qFormat/>
    <w:uiPriority w:val="21"/>
    <w:rPr>
      <w:b/>
      <w:bCs/>
      <w:i/>
      <w:iCs/>
      <w:color w:val="4F81BD" w:themeColor="accent1"/>
      <w14:textFill>
        <w14:solidFill>
          <w14:schemeClr w14:val="accent1"/>
        </w14:solidFill>
      </w14:textFill>
    </w:rPr>
  </w:style>
  <w:style w:type="paragraph" w:styleId="57">
    <w:name w:val="Quote"/>
    <w:basedOn w:val="1"/>
    <w:next w:val="1"/>
    <w:link w:val="58"/>
    <w:autoRedefine/>
    <w:qFormat/>
    <w:uiPriority w:val="29"/>
    <w:rPr>
      <w:i/>
      <w:iCs/>
      <w:color w:val="000000" w:themeColor="text1"/>
      <w14:textFill>
        <w14:solidFill>
          <w14:schemeClr w14:val="tx1"/>
        </w14:solidFill>
      </w14:textFill>
    </w:rPr>
  </w:style>
  <w:style w:type="character" w:customStyle="1" w:styleId="58">
    <w:name w:val="引用 字符"/>
    <w:basedOn w:val="21"/>
    <w:link w:val="57"/>
    <w:autoRedefine/>
    <w:qFormat/>
    <w:uiPriority w:val="29"/>
    <w:rPr>
      <w:rFonts w:ascii="宋体" w:eastAsia="宋体"/>
      <w:i/>
      <w:iCs/>
      <w:color w:val="000000" w:themeColor="text1"/>
      <w:sz w:val="24"/>
      <w14:textFill>
        <w14:solidFill>
          <w14:schemeClr w14:val="tx1"/>
        </w14:solidFill>
      </w14:textFill>
    </w:rPr>
  </w:style>
  <w:style w:type="paragraph" w:styleId="59">
    <w:name w:val="Intense Quote"/>
    <w:basedOn w:val="1"/>
    <w:next w:val="1"/>
    <w:link w:val="60"/>
    <w:autoRedefine/>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60">
    <w:name w:val="明显引用 字符"/>
    <w:basedOn w:val="21"/>
    <w:link w:val="59"/>
    <w:autoRedefine/>
    <w:qFormat/>
    <w:uiPriority w:val="30"/>
    <w:rPr>
      <w:rFonts w:ascii="宋体" w:eastAsia="宋体"/>
      <w:b/>
      <w:bCs/>
      <w:i/>
      <w:iCs/>
      <w:color w:val="4F81BD" w:themeColor="accent1"/>
      <w:sz w:val="24"/>
      <w14:textFill>
        <w14:solidFill>
          <w14:schemeClr w14:val="accent1"/>
        </w14:solidFill>
      </w14:textFill>
    </w:rPr>
  </w:style>
  <w:style w:type="character" w:customStyle="1" w:styleId="61">
    <w:name w:val="Subtle Reference"/>
    <w:basedOn w:val="21"/>
    <w:autoRedefine/>
    <w:qFormat/>
    <w:uiPriority w:val="31"/>
    <w:rPr>
      <w:smallCaps/>
      <w:color w:val="C0504D" w:themeColor="accent2"/>
      <w:u w:val="single"/>
      <w14:textFill>
        <w14:solidFill>
          <w14:schemeClr w14:val="accent2"/>
        </w14:solidFill>
      </w14:textFill>
    </w:rPr>
  </w:style>
  <w:style w:type="character" w:customStyle="1" w:styleId="62">
    <w:name w:val="Intense Reference"/>
    <w:basedOn w:val="21"/>
    <w:autoRedefine/>
    <w:qFormat/>
    <w:uiPriority w:val="32"/>
    <w:rPr>
      <w:b/>
      <w:bCs/>
      <w:smallCaps/>
      <w:color w:val="C0504D" w:themeColor="accent2"/>
      <w:spacing w:val="5"/>
      <w:u w:val="single"/>
      <w14:textFill>
        <w14:solidFill>
          <w14:schemeClr w14:val="accent2"/>
        </w14:solidFill>
      </w14:textFill>
    </w:rPr>
  </w:style>
  <w:style w:type="character" w:customStyle="1" w:styleId="63">
    <w:name w:val="Book Title"/>
    <w:basedOn w:val="21"/>
    <w:autoRedefine/>
    <w:qFormat/>
    <w:uiPriority w:val="33"/>
    <w:rPr>
      <w:b/>
      <w:bCs/>
      <w:smallCaps/>
      <w:spacing w:val="5"/>
    </w:rPr>
  </w:style>
  <w:style w:type="character" w:customStyle="1" w:styleId="64">
    <w:name w:val="批注文字 字符"/>
    <w:basedOn w:val="21"/>
    <w:link w:val="9"/>
    <w:autoRedefine/>
    <w:qFormat/>
    <w:uiPriority w:val="0"/>
    <w:rPr>
      <w:rFonts w:asciiTheme="minorEastAsia"/>
      <w:sz w:val="24"/>
    </w:rPr>
  </w:style>
  <w:style w:type="character" w:customStyle="1" w:styleId="65">
    <w:name w:val="批注框文本 字符"/>
    <w:basedOn w:val="21"/>
    <w:link w:val="11"/>
    <w:autoRedefine/>
    <w:semiHidden/>
    <w:qFormat/>
    <w:uiPriority w:val="99"/>
    <w:rPr>
      <w:rFonts w:asciiTheme="minorEastAsia"/>
      <w:sz w:val="18"/>
      <w:szCs w:val="18"/>
    </w:rPr>
  </w:style>
  <w:style w:type="character" w:customStyle="1" w:styleId="66">
    <w:name w:val="批注主题 字符"/>
    <w:basedOn w:val="64"/>
    <w:link w:val="18"/>
    <w:autoRedefine/>
    <w:semiHidden/>
    <w:qFormat/>
    <w:uiPriority w:val="99"/>
    <w:rPr>
      <w:rFonts w:asciiTheme="minorEastAsia"/>
      <w:b/>
      <w:bCs/>
      <w:sz w:val="24"/>
    </w:rPr>
  </w:style>
  <w:style w:type="paragraph" w:customStyle="1" w:styleId="67">
    <w:name w:val="列出段落1"/>
    <w:basedOn w:val="1"/>
    <w:autoRedefine/>
    <w:qFormat/>
    <w:uiPriority w:val="0"/>
    <w:pPr>
      <w:ind w:firstLine="420" w:firstLineChars="200"/>
    </w:pPr>
    <w:rPr>
      <w:rFonts w:ascii="宋体" w:hAnsi="Calibri" w:eastAsia="宋体" w:cs="Times New Roman"/>
    </w:rPr>
  </w:style>
  <w:style w:type="character" w:customStyle="1" w:styleId="68">
    <w:name w:val="列表段落 字符"/>
    <w:link w:val="46"/>
    <w:autoRedefine/>
    <w:qFormat/>
    <w:uiPriority w:val="34"/>
    <w:rPr>
      <w:rFonts w:asciiTheme="minorEastAsia"/>
      <w:sz w:val="24"/>
    </w:rPr>
  </w:style>
  <w:style w:type="character" w:customStyle="1" w:styleId="69">
    <w:name w:val="投标人须知前附表"/>
    <w:basedOn w:val="21"/>
    <w:autoRedefine/>
    <w:qFormat/>
    <w:uiPriority w:val="1"/>
    <w:rPr>
      <w:rFonts w:ascii="黑体" w:hAnsi="黑体" w:eastAsia="黑体" w:cs="Times New Roman"/>
      <w:sz w:val="24"/>
    </w:rPr>
  </w:style>
  <w:style w:type="paragraph" w:customStyle="1" w:styleId="70">
    <w:name w:val="黑列表"/>
    <w:basedOn w:val="1"/>
    <w:autoRedefine/>
    <w:qFormat/>
    <w:uiPriority w:val="0"/>
    <w:pPr>
      <w:widowControl/>
      <w:numPr>
        <w:ilvl w:val="0"/>
        <w:numId w:val="5"/>
      </w:numPr>
      <w:tabs>
        <w:tab w:val="left" w:pos="960"/>
        <w:tab w:val="left" w:pos="1446"/>
        <w:tab w:val="clear" w:pos="482"/>
      </w:tabs>
      <w:snapToGrid/>
      <w:ind w:left="840" w:hanging="240"/>
      <w:jc w:val="left"/>
    </w:pPr>
    <w:rPr>
      <w:rFonts w:ascii="Times New Roman" w:hAnsi="Times New Roman" w:eastAsia="宋体" w:cs="Times New Roman"/>
      <w:kern w:val="0"/>
      <w:szCs w:val="20"/>
    </w:rPr>
  </w:style>
  <w:style w:type="paragraph" w:customStyle="1" w:styleId="71">
    <w:name w:val="图文"/>
    <w:basedOn w:val="1"/>
    <w:autoRedefine/>
    <w:qFormat/>
    <w:uiPriority w:val="0"/>
    <w:pPr>
      <w:spacing w:after="50" w:line="360" w:lineRule="auto"/>
    </w:pPr>
    <w:rPr>
      <w:rFonts w:ascii="Times New Roman" w:hAnsi="Times New Roman" w:eastAsia="宋体" w:cs="Times New Roman"/>
      <w:szCs w:val="24"/>
    </w:rPr>
  </w:style>
  <w:style w:type="character" w:customStyle="1" w:styleId="72">
    <w:name w:val="未处理的提及1"/>
    <w:basedOn w:val="21"/>
    <w:autoRedefine/>
    <w:semiHidden/>
    <w:unhideWhenUsed/>
    <w:qFormat/>
    <w:uiPriority w:val="99"/>
    <w:rPr>
      <w:color w:val="605E5C"/>
      <w:shd w:val="clear" w:color="auto" w:fill="E1DFDD"/>
    </w:rPr>
  </w:style>
  <w:style w:type="paragraph" w:customStyle="1" w:styleId="73">
    <w:name w:val="须知前附表-带自动编号*"/>
    <w:basedOn w:val="48"/>
    <w:autoRedefine/>
    <w:qFormat/>
    <w:uiPriority w:val="0"/>
    <w:pPr>
      <w:numPr>
        <w:numId w:val="6"/>
      </w:numPr>
      <w:ind w:left="541" w:hanging="541"/>
    </w:pPr>
  </w:style>
  <w:style w:type="character" w:customStyle="1" w:styleId="74">
    <w:name w:val="font01"/>
    <w:basedOn w:val="21"/>
    <w:autoRedefine/>
    <w:qFormat/>
    <w:uiPriority w:val="0"/>
    <w:rPr>
      <w:rFonts w:hint="default" w:ascii="Arial" w:hAnsi="Arial" w:cs="Arial"/>
      <w:color w:val="000000"/>
      <w:sz w:val="20"/>
      <w:szCs w:val="20"/>
      <w:u w:val="none"/>
    </w:rPr>
  </w:style>
  <w:style w:type="character" w:customStyle="1" w:styleId="75">
    <w:name w:val="font11"/>
    <w:basedOn w:val="21"/>
    <w:autoRedefine/>
    <w:qFormat/>
    <w:uiPriority w:val="0"/>
    <w:rPr>
      <w:rFonts w:hint="eastAsia" w:ascii="宋体" w:hAnsi="宋体" w:eastAsia="宋体" w:cs="宋体"/>
      <w:color w:val="000000"/>
      <w:sz w:val="20"/>
      <w:szCs w:val="20"/>
      <w:u w:val="none"/>
    </w:rPr>
  </w:style>
  <w:style w:type="character" w:customStyle="1" w:styleId="76">
    <w:name w:val="font21"/>
    <w:basedOn w:val="21"/>
    <w:autoRedefine/>
    <w:qFormat/>
    <w:uiPriority w:val="0"/>
    <w:rPr>
      <w:rFonts w:hint="eastAsia" w:ascii="仿宋_GB2312" w:eastAsia="仿宋_GB2312" w:cs="仿宋_GB2312"/>
      <w:b/>
      <w:bCs/>
      <w:color w:val="0000FF"/>
      <w:sz w:val="21"/>
      <w:szCs w:val="21"/>
      <w:u w:val="none"/>
    </w:rPr>
  </w:style>
  <w:style w:type="character" w:customStyle="1" w:styleId="77">
    <w:name w:val="font31"/>
    <w:basedOn w:val="21"/>
    <w:autoRedefine/>
    <w:qFormat/>
    <w:uiPriority w:val="0"/>
    <w:rPr>
      <w:rFonts w:hint="eastAsia" w:ascii="仿宋_GB2312" w:eastAsia="仿宋_GB2312" w:cs="仿宋_GB2312"/>
      <w:color w:val="0000FF"/>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2.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AAAsinchem\2024&#24180;&#20010;&#20154;&#39033;&#30446;&#25191;&#34892;\08-&#22253;&#21338;&#22253;\&#29289;&#19994;+&#20877;&#29983;&#27700;\20240307\bidding%20document-&#21271;&#20140;&#24066;&#25919;&#37319;&#25307;&#26631;&#36135;&#29289;&#26381;&#21153;&#36890;&#29992;&#29256;&#26412;20230816%5b&#20462;&#35746;&#23454;&#26045;&#29256;%5d.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D49E68B-976D-440E-9FD5-55569385F50E}">
  <ds:schemaRefs/>
</ds:datastoreItem>
</file>

<file path=docProps/app.xml><?xml version="1.0" encoding="utf-8"?>
<Properties xmlns="http://schemas.openxmlformats.org/officeDocument/2006/extended-properties" xmlns:vt="http://schemas.openxmlformats.org/officeDocument/2006/docPropsVTypes">
  <Template>bidding document-北京市政采招标货物服务通用版本20230816[修订实施版].dotx</Template>
  <Pages>75</Pages>
  <Words>49427</Words>
  <Characters>51851</Characters>
  <Lines>451</Lines>
  <Paragraphs>127</Paragraphs>
  <TotalTime>30</TotalTime>
  <ScaleCrop>false</ScaleCrop>
  <LinksUpToDate>false</LinksUpToDate>
  <CharactersWithSpaces>53531</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2024-03-07T07:51:00Z</dcterms:created>
  <dc:creator>中化商务-韩伟轩</dc:creator>
  <cp:lastModifiedBy>中化商务-韩伟轩</cp:lastModifiedBy>
  <dcterms:modified xsi:type="dcterms:W3CDTF">2024-03-08T14:25:09Z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AC78E0FD73A04D759A6DDF64C4124580_11</vt:lpwstr>
  </property>
  <property fmtid="{D5CDD505-2E9C-101B-9397-08002B2CF9AE}" pid="3" name="KSOProductBuildVer">
    <vt:lpwstr>2052-12.1.0.16388</vt:lpwstr>
  </property>
</Properties>
</file>