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1D3154">
      <w:pPr>
        <w:keepNext w:val="0"/>
        <w:keepLines w:val="0"/>
        <w:pageBreakBefore w:val="0"/>
        <w:widowControl/>
        <w:kinsoku/>
        <w:wordWrap/>
        <w:overflowPunct/>
        <w:topLinePunct w:val="0"/>
        <w:autoSpaceDE/>
        <w:autoSpaceDN/>
        <w:bidi w:val="0"/>
        <w:adjustRightInd w:val="0"/>
        <w:snapToGrid w:val="0"/>
        <w:spacing w:before="72" w:line="208" w:lineRule="auto"/>
        <w:ind w:left="97"/>
        <w:textAlignment w:val="baseline"/>
        <w:rPr>
          <w:rFonts w:hint="eastAsia" w:ascii="宋体" w:hAnsi="宋体" w:eastAsia="宋体" w:cs="宋体"/>
          <w:spacing w:val="0"/>
          <w:w w:val="100"/>
          <w:position w:val="0"/>
          <w:sz w:val="31"/>
          <w:szCs w:val="31"/>
        </w:rPr>
      </w:pPr>
    </w:p>
    <w:p w14:paraId="42980598">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14:paraId="6E46CAC7">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14:paraId="2085F752">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spacing w:val="0"/>
          <w:w w:val="100"/>
          <w:position w:val="0"/>
          <w:sz w:val="21"/>
        </w:rPr>
      </w:pPr>
    </w:p>
    <w:p w14:paraId="7FAEFBF8">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spacing w:val="0"/>
          <w:w w:val="100"/>
          <w:position w:val="0"/>
          <w:sz w:val="21"/>
        </w:rPr>
      </w:pPr>
    </w:p>
    <w:p w14:paraId="36772C2A">
      <w:pPr>
        <w:keepNext w:val="0"/>
        <w:keepLines w:val="0"/>
        <w:pageBreakBefore w:val="0"/>
        <w:widowControl/>
        <w:kinsoku/>
        <w:wordWrap/>
        <w:overflowPunct/>
        <w:topLinePunct w:val="0"/>
        <w:autoSpaceDE/>
        <w:autoSpaceDN/>
        <w:bidi w:val="0"/>
        <w:adjustRightInd w:val="0"/>
        <w:snapToGrid w:val="0"/>
        <w:spacing w:before="195" w:line="219" w:lineRule="auto"/>
        <w:ind w:left="1774"/>
        <w:textAlignment w:val="baseline"/>
        <w:outlineLvl w:val="0"/>
        <w:rPr>
          <w:rFonts w:hint="eastAsia" w:ascii="宋体" w:hAnsi="宋体" w:eastAsia="宋体" w:cs="宋体"/>
          <w:spacing w:val="0"/>
          <w:w w:val="100"/>
          <w:position w:val="0"/>
          <w:sz w:val="60"/>
          <w:szCs w:val="60"/>
        </w:rPr>
      </w:pPr>
      <w:bookmarkStart w:id="0" w:name="_Toc30593"/>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北京市政府采购项目</w:t>
      </w:r>
      <w:bookmarkEnd w:id="0"/>
    </w:p>
    <w:p w14:paraId="0491944F">
      <w:pPr>
        <w:keepNext w:val="0"/>
        <w:keepLines w:val="0"/>
        <w:pageBreakBefore w:val="0"/>
        <w:widowControl/>
        <w:kinsoku/>
        <w:wordWrap/>
        <w:overflowPunct/>
        <w:topLinePunct w:val="0"/>
        <w:autoSpaceDE/>
        <w:autoSpaceDN/>
        <w:bidi w:val="0"/>
        <w:adjustRightInd w:val="0"/>
        <w:snapToGrid w:val="0"/>
        <w:spacing w:before="65" w:line="219" w:lineRule="auto"/>
        <w:ind w:left="1483"/>
        <w:textAlignment w:val="baseline"/>
        <w:outlineLvl w:val="0"/>
        <w:rPr>
          <w:rFonts w:hint="eastAsia" w:ascii="宋体" w:hAnsi="宋体" w:eastAsia="宋体" w:cs="宋体"/>
          <w:spacing w:val="0"/>
          <w:w w:val="100"/>
          <w:position w:val="0"/>
          <w:sz w:val="60"/>
          <w:szCs w:val="60"/>
        </w:rPr>
      </w:pPr>
      <w:bookmarkStart w:id="1" w:name="_Toc3435"/>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公开招标文件示范文本</w:t>
      </w:r>
      <w:bookmarkEnd w:id="1"/>
    </w:p>
    <w:p w14:paraId="1FD72014">
      <w:pPr>
        <w:keepNext w:val="0"/>
        <w:keepLines w:val="0"/>
        <w:pageBreakBefore w:val="0"/>
        <w:widowControl/>
        <w:kinsoku/>
        <w:wordWrap/>
        <w:overflowPunct/>
        <w:topLinePunct w:val="0"/>
        <w:autoSpaceDE/>
        <w:autoSpaceDN/>
        <w:bidi w:val="0"/>
        <w:adjustRightInd w:val="0"/>
        <w:snapToGrid w:val="0"/>
        <w:spacing w:before="68" w:line="220" w:lineRule="auto"/>
        <w:ind w:left="2376"/>
        <w:textAlignment w:val="baseline"/>
        <w:rPr>
          <w:rFonts w:hint="eastAsia" w:ascii="宋体" w:hAnsi="宋体" w:eastAsia="宋体" w:cs="宋体"/>
          <w:spacing w:val="0"/>
          <w:w w:val="100"/>
          <w:position w:val="0"/>
          <w:sz w:val="60"/>
          <w:szCs w:val="60"/>
        </w:rPr>
      </w:pPr>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w:t>
      </w:r>
      <w:r>
        <w:rPr>
          <w:rFonts w:hint="eastAsia" w:ascii="宋体" w:hAnsi="宋体" w:eastAsia="宋体" w:cs="宋体"/>
          <w:b/>
          <w:bCs/>
          <w:spacing w:val="0"/>
          <w:w w:val="100"/>
          <w:position w:val="0"/>
          <w:sz w:val="60"/>
          <w:szCs w:val="60"/>
        </w:rPr>
        <w:t>2023</w:t>
      </w:r>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年版）</w:t>
      </w:r>
    </w:p>
    <w:p w14:paraId="152295ED">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14:paraId="0928D46B">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14:paraId="2D8FEEFA">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4026E5E8">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36"/>
          <w:szCs w:val="36"/>
          <w:lang w:eastAsia="zh-CN"/>
        </w:rPr>
      </w:pPr>
      <w:r>
        <w:rPr>
          <w:rFonts w:hint="eastAsia" w:ascii="宋体" w:hAnsi="宋体" w:eastAsia="宋体" w:cs="宋体"/>
          <w:spacing w:val="0"/>
          <w:w w:val="100"/>
          <w:position w:val="0"/>
          <w:sz w:val="36"/>
          <w:szCs w:val="36"/>
        </w:rPr>
        <w:t>项目名称：</w:t>
      </w:r>
      <w:r>
        <w:rPr>
          <w:rFonts w:hint="eastAsia" w:ascii="宋体" w:hAnsi="宋体" w:eastAsia="宋体" w:cs="宋体"/>
          <w:spacing w:val="0"/>
          <w:w w:val="100"/>
          <w:position w:val="0"/>
          <w:sz w:val="36"/>
          <w:szCs w:val="36"/>
          <w:lang w:eastAsia="zh-CN"/>
        </w:rPr>
        <w:t>2025年度环卫中心公共厕所运行保洁服务项目</w:t>
      </w:r>
    </w:p>
    <w:p w14:paraId="3A30F3E7">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pPr>
      <w:r>
        <w:rPr>
          <w:rFonts w:hint="eastAsia" w:ascii="宋体" w:hAnsi="宋体" w:eastAsia="宋体" w:cs="宋体"/>
          <w:spacing w:val="0"/>
          <w:w w:val="100"/>
          <w:position w:val="0"/>
          <w:sz w:val="36"/>
          <w:szCs w:val="36"/>
        </w:rPr>
        <w:t>项目编号/包号：</w:t>
      </w:r>
      <w:r>
        <w:rPr>
          <w:rFonts w:hint="eastAsia" w:ascii="宋体" w:hAnsi="宋体" w:eastAsia="宋体" w:cs="宋体"/>
          <w:spacing w:val="0"/>
          <w:w w:val="100"/>
          <w:position w:val="0"/>
          <w:sz w:val="36"/>
          <w:szCs w:val="36"/>
          <w:lang w:val="en-US" w:eastAsia="zh-CN"/>
        </w:rPr>
        <w:t>11010924210200010715-XM001/01</w:t>
      </w:r>
    </w:p>
    <w:p w14:paraId="6E69A125">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pPr>
      <w:r>
        <w:rPr>
          <w:rFonts w:hint="eastAsia" w:ascii="宋体" w:hAnsi="宋体" w:eastAsia="宋体" w:cs="宋体"/>
          <w:spacing w:val="0"/>
          <w:w w:val="100"/>
          <w:position w:val="0"/>
          <w:sz w:val="36"/>
          <w:szCs w:val="36"/>
        </w:rPr>
        <w:t>采购人：</w:t>
      </w:r>
      <w:r>
        <w:rPr>
          <w:rFonts w:hint="eastAsia" w:ascii="宋体" w:hAnsi="宋体" w:eastAsia="宋体" w:cs="宋体"/>
          <w:spacing w:val="0"/>
          <w:w w:val="100"/>
          <w:position w:val="0"/>
          <w:sz w:val="36"/>
          <w:szCs w:val="36"/>
          <w:lang w:val="en-US" w:eastAsia="zh-CN"/>
        </w:rPr>
        <w:t>北京市门头沟区环境卫生服务中心</w:t>
      </w:r>
    </w:p>
    <w:p w14:paraId="2C749BC0">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sectPr>
          <w:footerReference r:id="rId5" w:type="default"/>
          <w:pgSz w:w="11907" w:h="16841"/>
          <w:pgMar w:top="1117" w:right="1066" w:bottom="1060" w:left="1701" w:header="0" w:footer="0"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spacing w:val="0"/>
          <w:w w:val="100"/>
          <w:position w:val="0"/>
          <w:sz w:val="36"/>
          <w:szCs w:val="36"/>
        </w:rPr>
        <w:t>采购代理机构：</w:t>
      </w:r>
      <w:r>
        <w:rPr>
          <w:rFonts w:hint="eastAsia" w:ascii="宋体" w:hAnsi="宋体" w:eastAsia="宋体" w:cs="宋体"/>
          <w:spacing w:val="0"/>
          <w:w w:val="100"/>
          <w:position w:val="0"/>
          <w:sz w:val="36"/>
          <w:szCs w:val="36"/>
          <w:lang w:val="en-US" w:eastAsia="zh-CN"/>
        </w:rPr>
        <w:t>汇信（北京）工程管理有限公司</w:t>
      </w:r>
    </w:p>
    <w:p w14:paraId="0A6F0B98">
      <w:pPr>
        <w:pStyle w:val="7"/>
        <w:keepNext w:val="0"/>
        <w:keepLines w:val="0"/>
        <w:pageBreakBefore w:val="0"/>
        <w:widowControl/>
        <w:kinsoku/>
        <w:wordWrap/>
        <w:overflowPunct/>
        <w:topLinePunct w:val="0"/>
        <w:autoSpaceDE/>
        <w:autoSpaceDN/>
        <w:bidi w:val="0"/>
        <w:adjustRightInd w:val="0"/>
        <w:snapToGrid w:val="0"/>
        <w:spacing w:before="353" w:line="222" w:lineRule="auto"/>
        <w:ind w:left="3716"/>
        <w:textAlignment w:val="baseline"/>
        <w:outlineLvl w:val="0"/>
        <w:rPr>
          <w:rFonts w:hint="eastAsia" w:ascii="宋体" w:hAnsi="宋体" w:eastAsia="宋体" w:cs="宋体"/>
          <w:spacing w:val="0"/>
          <w:w w:val="100"/>
          <w:position w:val="0"/>
          <w:sz w:val="36"/>
          <w:szCs w:val="36"/>
        </w:rPr>
      </w:pPr>
      <w:bookmarkStart w:id="2" w:name="_Toc2449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目</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录</w:t>
      </w:r>
      <w:bookmarkEnd w:id="2"/>
    </w:p>
    <w:p w14:paraId="31DEA12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1F59E297">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15EADCDD">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1E13E958">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sdt>
      <w:sdtPr>
        <w:rPr>
          <w:rFonts w:ascii="宋体" w:hAnsi="宋体" w:eastAsia="宋体" w:cs="Arial"/>
          <w:snapToGrid w:val="0"/>
          <w:color w:val="000000"/>
          <w:kern w:val="0"/>
          <w:sz w:val="21"/>
          <w:szCs w:val="21"/>
          <w:lang w:val="en-US" w:eastAsia="en-US" w:bidi="ar-SA"/>
        </w:rPr>
        <w:id w:val="147482944"/>
        <w15:color w:val="DBDBDB"/>
        <w:docPartObj>
          <w:docPartGallery w:val="Table of Contents"/>
          <w:docPartUnique/>
        </w:docPartObj>
      </w:sdtPr>
      <w:sdtEndPr>
        <w:rPr>
          <w:rFonts w:hint="eastAsia" w:ascii="宋体" w:hAnsi="宋体" w:eastAsia="宋体" w:cs="宋体"/>
          <w:snapToGrid w:val="0"/>
          <w:color w:val="000000"/>
          <w:spacing w:val="0"/>
          <w:w w:val="100"/>
          <w:kern w:val="0"/>
          <w:position w:val="0"/>
          <w:sz w:val="21"/>
          <w:szCs w:val="24"/>
          <w:lang w:val="en-US" w:eastAsia="en-US" w:bidi="ar-SA"/>
        </w:rPr>
      </w:sdtEndPr>
      <w:sdtContent>
        <w:p w14:paraId="077F40B6">
          <w:pPr>
            <w:spacing w:before="0" w:beforeLines="0" w:after="0" w:afterLines="0" w:line="240" w:lineRule="auto"/>
            <w:ind w:left="0" w:leftChars="0" w:right="0" w:rightChars="0" w:firstLine="0" w:firstLineChars="0"/>
            <w:jc w:val="center"/>
          </w:pPr>
        </w:p>
        <w:p w14:paraId="718BFBC3">
          <w:pPr>
            <w:pStyle w:val="28"/>
            <w:tabs>
              <w:tab w:val="right" w:leader="dot" w:pos="9074"/>
            </w:tabs>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TOC \o "1-3" \h \u </w:instrText>
          </w:r>
          <w:r>
            <w:rPr>
              <w:rFonts w:hint="eastAsia" w:ascii="宋体" w:hAnsi="宋体" w:eastAsia="宋体" w:cs="宋体"/>
              <w:spacing w:val="0"/>
              <w:w w:val="100"/>
              <w:position w:val="0"/>
              <w:sz w:val="24"/>
              <w:szCs w:val="24"/>
            </w:rPr>
            <w:fldChar w:fldCharType="separate"/>
          </w:r>
        </w:p>
        <w:p w14:paraId="4A423016">
          <w:pPr>
            <w:pStyle w:val="28"/>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_Toc17495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_Toc17495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7537A96D">
          <w:pPr>
            <w:pStyle w:val="28"/>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_Toc15254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_Toc15254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268C3182">
          <w:pPr>
            <w:pStyle w:val="28"/>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_Toc2680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资格审查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_Toc2680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30EEC587">
          <w:pPr>
            <w:pStyle w:val="28"/>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_Toc7739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评标程序、评标方法和评标标准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_Toc7739 \h </w:instrText>
          </w:r>
          <w:r>
            <w:rPr>
              <w:rFonts w:hint="eastAsia" w:ascii="宋体" w:hAnsi="宋体" w:eastAsia="宋体" w:cs="宋体"/>
              <w:sz w:val="28"/>
              <w:szCs w:val="28"/>
            </w:rPr>
            <w:fldChar w:fldCharType="separate"/>
          </w:r>
          <w:r>
            <w:rPr>
              <w:rFonts w:hint="eastAsia" w:ascii="宋体" w:hAnsi="宋体" w:eastAsia="宋体" w:cs="宋体"/>
              <w:sz w:val="28"/>
              <w:szCs w:val="28"/>
            </w:rPr>
            <w:t>25</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62BED76F">
          <w:pPr>
            <w:pStyle w:val="28"/>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_Toc23597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_Toc23597 \h </w:instrText>
          </w:r>
          <w:r>
            <w:rPr>
              <w:rFonts w:hint="eastAsia" w:ascii="宋体" w:hAnsi="宋体" w:eastAsia="宋体" w:cs="宋体"/>
              <w:sz w:val="28"/>
              <w:szCs w:val="28"/>
            </w:rPr>
            <w:fldChar w:fldCharType="separate"/>
          </w:r>
          <w:r>
            <w:rPr>
              <w:rFonts w:hint="eastAsia"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49A42E4F">
          <w:pPr>
            <w:pStyle w:val="28"/>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_Toc17899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_Toc17899 \h </w:instrText>
          </w:r>
          <w:r>
            <w:rPr>
              <w:rFonts w:hint="eastAsia" w:ascii="宋体" w:hAnsi="宋体" w:eastAsia="宋体" w:cs="宋体"/>
              <w:sz w:val="28"/>
              <w:szCs w:val="28"/>
            </w:rPr>
            <w:fldChar w:fldCharType="separate"/>
          </w:r>
          <w:r>
            <w:rPr>
              <w:rFonts w:hint="eastAsia" w:ascii="宋体" w:hAnsi="宋体" w:eastAsia="宋体" w:cs="宋体"/>
              <w:sz w:val="28"/>
              <w:szCs w:val="28"/>
            </w:rPr>
            <w:t>38</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4F863E68">
          <w:pPr>
            <w:pStyle w:val="28"/>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_Toc24165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_Toc24165 \h </w:instrText>
          </w:r>
          <w:r>
            <w:rPr>
              <w:rFonts w:hint="eastAsia" w:ascii="宋体" w:hAnsi="宋体" w:eastAsia="宋体" w:cs="宋体"/>
              <w:sz w:val="28"/>
              <w:szCs w:val="28"/>
            </w:rPr>
            <w:fldChar w:fldCharType="separate"/>
          </w:r>
          <w:r>
            <w:rPr>
              <w:rFonts w:hint="eastAsia" w:ascii="宋体" w:hAnsi="宋体" w:eastAsia="宋体" w:cs="宋体"/>
              <w:sz w:val="28"/>
              <w:szCs w:val="28"/>
            </w:rPr>
            <w:t>56</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117CFEB8">
          <w:pPr>
            <w:keepNext w:val="0"/>
            <w:keepLines w:val="0"/>
            <w:pageBreakBefore w:val="0"/>
            <w:widowControl/>
            <w:kinsoku/>
            <w:wordWrap/>
            <w:overflowPunct/>
            <w:topLinePunct w:val="0"/>
            <w:autoSpaceDE/>
            <w:autoSpaceDN/>
            <w:bidi w:val="0"/>
            <w:adjustRightInd w:val="0"/>
            <w:snapToGrid w:val="0"/>
            <w:spacing w:line="219" w:lineRule="auto"/>
            <w:textAlignment w:val="baseline"/>
            <w:rPr>
              <w:rFonts w:hint="eastAsia" w:ascii="宋体" w:hAnsi="宋体" w:eastAsia="宋体" w:cs="宋体"/>
              <w:spacing w:val="0"/>
              <w:w w:val="100"/>
              <w:position w:val="0"/>
              <w:sz w:val="24"/>
              <w:szCs w:val="24"/>
            </w:rPr>
            <w:sectPr>
              <w:headerReference r:id="rId6" w:type="default"/>
              <w:footerReference r:id="rId7" w:type="default"/>
              <w:pgSz w:w="11907" w:h="16841"/>
              <w:pgMar w:top="1117" w:right="1133" w:bottom="0" w:left="1700" w:header="878" w:footer="0"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spacing w:val="0"/>
              <w:w w:val="100"/>
              <w:position w:val="0"/>
              <w:szCs w:val="24"/>
            </w:rPr>
            <w:fldChar w:fldCharType="end"/>
          </w:r>
        </w:p>
      </w:sdtContent>
    </w:sdt>
    <w:p w14:paraId="4F27DB15">
      <w:pPr>
        <w:pStyle w:val="7"/>
        <w:keepNext w:val="0"/>
        <w:keepLines w:val="0"/>
        <w:pageBreakBefore w:val="0"/>
        <w:widowControl/>
        <w:kinsoku/>
        <w:wordWrap/>
        <w:overflowPunct/>
        <w:topLinePunct w:val="0"/>
        <w:autoSpaceDE/>
        <w:autoSpaceDN/>
        <w:bidi w:val="0"/>
        <w:adjustRightInd w:val="0"/>
        <w:snapToGrid w:val="0"/>
        <w:spacing w:before="353" w:line="219" w:lineRule="auto"/>
        <w:ind w:left="3129"/>
        <w:textAlignment w:val="baseline"/>
        <w:outlineLvl w:val="0"/>
        <w:rPr>
          <w:rFonts w:hint="eastAsia" w:ascii="宋体" w:hAnsi="宋体" w:eastAsia="宋体" w:cs="宋体"/>
          <w:spacing w:val="0"/>
          <w:w w:val="100"/>
          <w:position w:val="0"/>
          <w:sz w:val="36"/>
          <w:szCs w:val="36"/>
        </w:rPr>
      </w:pPr>
      <w:bookmarkStart w:id="3" w:name="_Toc174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投标邀请</w:t>
      </w:r>
      <w:bookmarkEnd w:id="3"/>
    </w:p>
    <w:p w14:paraId="44502522">
      <w:pPr>
        <w:keepNext w:val="0"/>
        <w:keepLines w:val="0"/>
        <w:pageBreakBefore w:val="0"/>
        <w:widowControl/>
        <w:kinsoku/>
        <w:wordWrap/>
        <w:overflowPunct/>
        <w:topLinePunct w:val="0"/>
        <w:autoSpaceDE/>
        <w:autoSpaceDN/>
        <w:bidi w:val="0"/>
        <w:adjustRightInd w:val="0"/>
        <w:snapToGrid w:val="0"/>
        <w:spacing w:line="244" w:lineRule="auto"/>
        <w:textAlignment w:val="baseline"/>
        <w:rPr>
          <w:rFonts w:hint="eastAsia" w:ascii="宋体" w:hAnsi="宋体" w:eastAsia="宋体" w:cs="宋体"/>
          <w:spacing w:val="0"/>
          <w:w w:val="100"/>
          <w:position w:val="0"/>
          <w:sz w:val="21"/>
        </w:rPr>
      </w:pPr>
    </w:p>
    <w:p w14:paraId="11E814C3">
      <w:pPr>
        <w:keepNext w:val="0"/>
        <w:keepLines w:val="0"/>
        <w:pageBreakBefore w:val="0"/>
        <w:widowControl/>
        <w:kinsoku/>
        <w:wordWrap/>
        <w:overflowPunct/>
        <w:topLinePunct w:val="0"/>
        <w:autoSpaceDE/>
        <w:autoSpaceDN/>
        <w:bidi w:val="0"/>
        <w:adjustRightInd w:val="0"/>
        <w:snapToGrid w:val="0"/>
        <w:spacing w:line="245" w:lineRule="auto"/>
        <w:textAlignment w:val="baseline"/>
        <w:rPr>
          <w:rFonts w:hint="eastAsia" w:ascii="宋体" w:hAnsi="宋体" w:eastAsia="宋体" w:cs="宋体"/>
          <w:spacing w:val="0"/>
          <w:w w:val="100"/>
          <w:position w:val="0"/>
          <w:sz w:val="21"/>
        </w:rPr>
      </w:pPr>
    </w:p>
    <w:p w14:paraId="0E103643">
      <w:pPr>
        <w:pStyle w:val="7"/>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4" w:name="_Toc3217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一、项目基本情况</w:t>
      </w:r>
      <w:bookmarkEnd w:id="4"/>
    </w:p>
    <w:p w14:paraId="7DAA919F">
      <w:pPr>
        <w:pStyle w:val="7"/>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default" w:ascii="宋体" w:hAnsi="宋体" w:eastAsia="宋体" w:cs="宋体"/>
          <w:spacing w:val="0"/>
          <w:w w:val="100"/>
          <w:position w:val="0"/>
          <w:sz w:val="24"/>
          <w:szCs w:val="24"/>
          <w:u w:val="single"/>
          <w:lang w:val="en-US" w:eastAsia="zh-CN"/>
        </w:rPr>
      </w:pPr>
      <w:r>
        <w:rPr>
          <w:rFonts w:hint="eastAsia" w:ascii="宋体" w:hAnsi="宋体" w:eastAsia="宋体" w:cs="宋体"/>
          <w:spacing w:val="0"/>
          <w:w w:val="100"/>
          <w:position w:val="0"/>
          <w:sz w:val="24"/>
          <w:szCs w:val="24"/>
        </w:rPr>
        <w:t>1.项目编号</w:t>
      </w:r>
      <w:r>
        <w:rPr>
          <w:rFonts w:hint="eastAsia" w:cs="宋体"/>
          <w:spacing w:val="0"/>
          <w:w w:val="100"/>
          <w:position w:val="0"/>
          <w:sz w:val="24"/>
          <w:szCs w:val="24"/>
          <w:lang w:val="en-US" w:eastAsia="zh-CN"/>
        </w:rPr>
        <w:t>/包号</w:t>
      </w:r>
      <w:r>
        <w:rPr>
          <w:rFonts w:hint="eastAsia" w:ascii="宋体" w:hAnsi="宋体" w:eastAsia="宋体" w:cs="宋体"/>
          <w:spacing w:val="0"/>
          <w:w w:val="100"/>
          <w:position w:val="0"/>
          <w:sz w:val="24"/>
          <w:szCs w:val="24"/>
        </w:rPr>
        <w:t>：</w:t>
      </w:r>
      <w:r>
        <w:rPr>
          <w:rFonts w:hint="eastAsia" w:cs="宋体"/>
          <w:spacing w:val="0"/>
          <w:w w:val="100"/>
          <w:position w:val="0"/>
          <w:sz w:val="24"/>
          <w:szCs w:val="24"/>
          <w:u w:val="single"/>
          <w:lang w:val="en-US" w:eastAsia="zh-CN"/>
        </w:rPr>
        <w:t>11010924210200010715-XM001/01</w:t>
      </w:r>
    </w:p>
    <w:p w14:paraId="2E90D1B5">
      <w:pPr>
        <w:pStyle w:val="7"/>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2.项目名称：</w:t>
      </w:r>
      <w:r>
        <w:rPr>
          <w:rFonts w:hint="eastAsia" w:cs="宋体"/>
          <w:spacing w:val="0"/>
          <w:w w:val="100"/>
          <w:position w:val="0"/>
          <w:sz w:val="24"/>
          <w:szCs w:val="24"/>
          <w:u w:val="single" w:color="auto"/>
          <w:lang w:val="en-US" w:eastAsia="zh-CN"/>
        </w:rPr>
        <w:t>2025年度环卫中心公共厕所运行保洁服务项目</w:t>
      </w:r>
    </w:p>
    <w:p w14:paraId="75EE62A9">
      <w:pPr>
        <w:pStyle w:val="7"/>
        <w:keepNext w:val="0"/>
        <w:keepLines w:val="0"/>
        <w:pageBreakBefore w:val="0"/>
        <w:widowControl/>
        <w:kinsoku/>
        <w:wordWrap/>
        <w:overflowPunct/>
        <w:topLinePunct w:val="0"/>
        <w:autoSpaceDE/>
        <w:autoSpaceDN/>
        <w:bidi w:val="0"/>
        <w:adjustRightInd w:val="0"/>
        <w:snapToGrid w:val="0"/>
        <w:spacing w:line="360" w:lineRule="auto"/>
        <w:ind w:left="719" w:leftChars="228" w:hanging="240" w:hangingChars="1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3.项目预算金额：</w:t>
      </w:r>
      <w:r>
        <w:rPr>
          <w:rFonts w:hint="eastAsia" w:ascii="宋体" w:hAnsi="宋体" w:eastAsia="宋体" w:cs="宋体"/>
          <w:spacing w:val="0"/>
          <w:w w:val="100"/>
          <w:position w:val="0"/>
          <w:sz w:val="24"/>
          <w:szCs w:val="24"/>
          <w:u w:val="single"/>
        </w:rPr>
        <w:t>1729</w:t>
      </w:r>
      <w:r>
        <w:rPr>
          <w:rFonts w:hint="eastAsia" w:cs="宋体"/>
          <w:spacing w:val="0"/>
          <w:w w:val="100"/>
          <w:position w:val="0"/>
          <w:sz w:val="24"/>
          <w:szCs w:val="24"/>
          <w:u w:val="single"/>
          <w:lang w:val="en-US" w:eastAsia="zh-CN"/>
        </w:rPr>
        <w:t>.</w:t>
      </w:r>
      <w:r>
        <w:rPr>
          <w:rFonts w:hint="eastAsia" w:ascii="宋体" w:hAnsi="宋体" w:eastAsia="宋体" w:cs="宋体"/>
          <w:spacing w:val="0"/>
          <w:w w:val="100"/>
          <w:position w:val="0"/>
          <w:sz w:val="24"/>
          <w:szCs w:val="24"/>
          <w:u w:val="single"/>
        </w:rPr>
        <w:t>4</w:t>
      </w:r>
      <w:r>
        <w:rPr>
          <w:rFonts w:hint="eastAsia" w:ascii="宋体" w:hAnsi="宋体" w:eastAsia="宋体" w:cs="宋体"/>
          <w:color w:val="000000" w:themeColor="text1"/>
          <w:spacing w:val="0"/>
          <w:w w:val="100"/>
          <w:position w:val="0"/>
          <w:sz w:val="24"/>
          <w:szCs w:val="24"/>
          <w:u w:val="single"/>
          <w14:textFill>
            <w14:solidFill>
              <w14:schemeClr w14:val="tx1"/>
            </w14:solidFill>
          </w14:textFill>
        </w:rPr>
        <w:t>07</w:t>
      </w:r>
      <w:r>
        <w:rPr>
          <w:rFonts w:hint="eastAsia" w:ascii="宋体" w:hAnsi="宋体" w:eastAsia="宋体" w:cs="宋体"/>
          <w:color w:val="000000" w:themeColor="text1"/>
          <w:spacing w:val="0"/>
          <w:w w:val="100"/>
          <w:position w:val="0"/>
          <w:sz w:val="24"/>
          <w:szCs w:val="24"/>
          <w:highlight w:val="none"/>
          <w:u w:val="single"/>
          <w14:textFill>
            <w14:solidFill>
              <w14:schemeClr w14:val="tx1"/>
            </w14:solidFill>
          </w14:textFill>
        </w:rPr>
        <w:t>672</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万元、</w:t>
      </w:r>
      <w:r>
        <w:rPr>
          <w:rFonts w:hint="eastAsia" w:cs="宋体"/>
          <w:color w:val="000000" w:themeColor="text1"/>
          <w:spacing w:val="0"/>
          <w:w w:val="100"/>
          <w:position w:val="0"/>
          <w:sz w:val="24"/>
          <w:szCs w:val="24"/>
          <w:highlight w:val="none"/>
          <w:u w:val="none"/>
          <w:lang w:val="en-US" w:eastAsia="zh-CN"/>
          <w14:textFill>
            <w14:solidFill>
              <w14:schemeClr w14:val="tx1"/>
            </w14:solidFill>
          </w14:textFill>
        </w:rPr>
        <w:t>01包预算金额：</w:t>
      </w:r>
      <w:r>
        <w:rPr>
          <w:rFonts w:hint="eastAsia" w:cs="宋体"/>
          <w:color w:val="000000" w:themeColor="text1"/>
          <w:spacing w:val="0"/>
          <w:w w:val="100"/>
          <w:position w:val="0"/>
          <w:sz w:val="24"/>
          <w:szCs w:val="24"/>
          <w:highlight w:val="none"/>
          <w:u w:val="single"/>
          <w:lang w:val="en-US" w:eastAsia="zh-CN"/>
          <w14:textFill>
            <w14:solidFill>
              <w14:schemeClr w14:val="tx1"/>
            </w14:solidFill>
          </w14:textFill>
        </w:rPr>
        <w:t>122.694041</w:t>
      </w:r>
      <w:r>
        <w:rPr>
          <w:rFonts w:hint="eastAsia" w:cs="宋体"/>
          <w:color w:val="000000" w:themeColor="text1"/>
          <w:spacing w:val="0"/>
          <w:w w:val="100"/>
          <w:position w:val="0"/>
          <w:sz w:val="24"/>
          <w:szCs w:val="24"/>
          <w:highlight w:val="none"/>
          <w:u w:val="none"/>
          <w:lang w:val="en-US" w:eastAsia="zh-CN"/>
          <w14:textFill>
            <w14:solidFill>
              <w14:schemeClr w14:val="tx1"/>
            </w14:solidFill>
          </w14:textFill>
        </w:rPr>
        <w:t>万元</w:t>
      </w:r>
      <w:r>
        <w:rPr>
          <w:rFonts w:hint="eastAsia" w:cs="宋体"/>
          <w:color w:val="000000" w:themeColor="text1"/>
          <w:spacing w:val="0"/>
          <w:w w:val="100"/>
          <w:position w:val="0"/>
          <w:sz w:val="24"/>
          <w:szCs w:val="24"/>
          <w:highlight w:val="none"/>
          <w:u w:val="none"/>
          <w:lang w:val="en-US" w:eastAsia="zh-CN"/>
          <w14:textFill>
            <w14:solidFill>
              <w14:schemeClr w14:val="tx1"/>
            </w14:solidFill>
          </w14:textFill>
        </w:rPr>
        <w:t>、</w:t>
      </w:r>
      <w:r>
        <w:rPr>
          <w:rFonts w:hint="eastAsia" w:cs="宋体"/>
          <w:color w:val="000000" w:themeColor="text1"/>
          <w:spacing w:val="0"/>
          <w:w w:val="100"/>
          <w:position w:val="0"/>
          <w:sz w:val="24"/>
          <w:szCs w:val="24"/>
          <w:highlight w:val="none"/>
          <w:lang w:val="en-US" w:eastAsia="zh-CN"/>
          <w14:textFill>
            <w14:solidFill>
              <w14:schemeClr w14:val="tx1"/>
            </w14:solidFill>
          </w14:textFill>
        </w:rPr>
        <w:t>01包</w:t>
      </w:r>
      <w:r>
        <w:rPr>
          <w:rFonts w:hint="eastAsia" w:cs="宋体"/>
          <w:color w:val="000000" w:themeColor="text1"/>
          <w:spacing w:val="0"/>
          <w:w w:val="100"/>
          <w:position w:val="0"/>
          <w:sz w:val="24"/>
          <w:szCs w:val="24"/>
          <w:highlight w:val="none"/>
          <w:lang w:val="en-US" w:eastAsia="zh-CN"/>
          <w14:textFill>
            <w14:solidFill>
              <w14:schemeClr w14:val="tx1"/>
            </w14:solidFill>
          </w14:textFill>
        </w:rPr>
        <w:t>最高限价</w:t>
      </w:r>
      <w:r>
        <w:rPr>
          <w:rFonts w:hint="eastAsia" w:cs="宋体"/>
          <w:color w:val="000000" w:themeColor="text1"/>
          <w:spacing w:val="0"/>
          <w:w w:val="100"/>
          <w:position w:val="0"/>
          <w:sz w:val="24"/>
          <w:szCs w:val="24"/>
          <w:highlight w:val="none"/>
          <w:lang w:val="en-US" w:eastAsia="zh-CN"/>
          <w14:textFill>
            <w14:solidFill>
              <w14:schemeClr w14:val="tx1"/>
            </w14:solidFill>
          </w14:textFill>
        </w:rPr>
        <w:t>：</w:t>
      </w:r>
      <w:r>
        <w:rPr>
          <w:rFonts w:hint="eastAsia" w:cs="宋体"/>
          <w:color w:val="000000" w:themeColor="text1"/>
          <w:spacing w:val="0"/>
          <w:w w:val="100"/>
          <w:position w:val="0"/>
          <w:sz w:val="24"/>
          <w:szCs w:val="24"/>
          <w:highlight w:val="none"/>
          <w:u w:val="single"/>
          <w:lang w:val="en-US" w:eastAsia="zh-CN"/>
          <w14:textFill>
            <w14:solidFill>
              <w14:schemeClr w14:val="tx1"/>
            </w14:solidFill>
          </w14:textFill>
        </w:rPr>
        <w:t>112.273432</w:t>
      </w:r>
      <w:r>
        <w:rPr>
          <w:rFonts w:hint="eastAsia" w:cs="宋体"/>
          <w:color w:val="000000" w:themeColor="text1"/>
          <w:spacing w:val="0"/>
          <w:w w:val="100"/>
          <w:position w:val="0"/>
          <w:sz w:val="24"/>
          <w:szCs w:val="24"/>
          <w:highlight w:val="none"/>
          <w:lang w:val="en-US" w:eastAsia="zh-CN"/>
          <w14:textFill>
            <w14:solidFill>
              <w14:schemeClr w14:val="tx1"/>
            </w14:solidFill>
          </w14:textFill>
        </w:rPr>
        <w:t>万元</w:t>
      </w:r>
    </w:p>
    <w:p w14:paraId="7ECB1313">
      <w:pPr>
        <w:pStyle w:val="7"/>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4.采购需求：</w:t>
      </w:r>
      <w:r>
        <w:rPr>
          <w:rFonts w:hint="eastAsia" w:ascii="宋体" w:hAnsi="宋体"/>
          <w:sz w:val="24"/>
          <w:highlight w:val="none"/>
          <w:u w:val="single" w:color="auto"/>
        </w:rPr>
        <w:t>详见第五章技术规格及需求</w:t>
      </w:r>
    </w:p>
    <w:p w14:paraId="350B746D">
      <w:pPr>
        <w:pStyle w:val="7"/>
        <w:keepNext w:val="0"/>
        <w:keepLines w:val="0"/>
        <w:pageBreakBefore w:val="0"/>
        <w:widowControl/>
        <w:kinsoku/>
        <w:wordWrap/>
        <w:overflowPunct/>
        <w:topLinePunct w:val="0"/>
        <w:autoSpaceDE/>
        <w:autoSpaceDN/>
        <w:bidi w:val="0"/>
        <w:adjustRightInd w:val="0"/>
        <w:snapToGrid w:val="0"/>
        <w:spacing w:before="0" w:beforeLines="0" w:line="360" w:lineRule="auto"/>
        <w:ind w:left="0" w:firstLine="480" w:firstLineChars="200"/>
        <w:textAlignment w:val="baseline"/>
        <w:rPr>
          <w:rFonts w:hint="eastAsia" w:ascii="宋体" w:hAnsi="宋体" w:eastAsia="宋体" w:cs="宋体"/>
          <w:spacing w:val="0"/>
          <w:w w:val="100"/>
          <w:position w:val="0"/>
          <w:sz w:val="24"/>
          <w:szCs w:val="31"/>
          <w:highlight w:val="none"/>
          <w:u w:val="single" w:color="auto"/>
        </w:rPr>
      </w:pPr>
      <w:r>
        <w:rPr>
          <w:rFonts w:hint="eastAsia" w:ascii="宋体" w:hAnsi="宋体" w:eastAsia="宋体" w:cs="宋体"/>
          <w:spacing w:val="0"/>
          <w:w w:val="100"/>
          <w:position w:val="0"/>
          <w:sz w:val="24"/>
          <w:szCs w:val="24"/>
          <w:highlight w:val="none"/>
        </w:rPr>
        <w:t>5.合同履行期限：</w:t>
      </w:r>
      <w:r>
        <w:rPr>
          <w:rFonts w:hint="eastAsia" w:cs="宋体"/>
          <w:spacing w:val="0"/>
          <w:w w:val="100"/>
          <w:position w:val="0"/>
          <w:sz w:val="24"/>
          <w:szCs w:val="31"/>
          <w:highlight w:val="none"/>
          <w:u w:val="single" w:color="auto"/>
          <w:lang w:val="en-US" w:eastAsia="zh-CN"/>
        </w:rPr>
        <w:t>2025.2.1-2025.12.31。</w:t>
      </w:r>
      <w:bookmarkStart w:id="134" w:name="_GoBack"/>
      <w:bookmarkEnd w:id="134"/>
    </w:p>
    <w:p w14:paraId="37A36278">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6.本项目是否接受联合体投标： 口是  ■否。</w:t>
      </w:r>
    </w:p>
    <w:p w14:paraId="5F80F129">
      <w:pPr>
        <w:pStyle w:val="7"/>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5" w:name="_Toc282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二、申请人的资格要求（须同时满足）</w:t>
      </w:r>
      <w:bookmarkEnd w:id="5"/>
    </w:p>
    <w:p w14:paraId="5D2E414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1.满足《中华人民共和国政府采购法》第二十二条规定；</w:t>
      </w:r>
    </w:p>
    <w:p w14:paraId="1FA826E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2.落实政府采购政策需满足的资格要求：</w:t>
      </w:r>
    </w:p>
    <w:p w14:paraId="7B256E18">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6" w:name="_Toc3197"/>
      <w:r>
        <w:rPr>
          <w:rFonts w:hint="eastAsia" w:ascii="宋体" w:hAnsi="宋体" w:eastAsia="宋体" w:cs="宋体"/>
          <w:spacing w:val="0"/>
          <w:w w:val="100"/>
          <w:position w:val="0"/>
          <w:sz w:val="24"/>
          <w:szCs w:val="24"/>
          <w:highlight w:val="none"/>
        </w:rPr>
        <w:t>2.1  中小企业政策</w:t>
      </w:r>
      <w:bookmarkEnd w:id="6"/>
    </w:p>
    <w:p w14:paraId="49B690C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cs="宋体"/>
          <w:spacing w:val="0"/>
          <w:w w:val="100"/>
          <w:position w:val="0"/>
          <w:sz w:val="24"/>
          <w:szCs w:val="24"/>
          <w:lang w:val="en-US" w:eastAsia="zh-CN"/>
        </w:rPr>
        <w:t>□</w:t>
      </w:r>
      <w:r>
        <w:rPr>
          <w:rFonts w:hint="eastAsia" w:ascii="宋体" w:hAnsi="宋体" w:eastAsia="宋体" w:cs="宋体"/>
          <w:spacing w:val="0"/>
          <w:w w:val="100"/>
          <w:position w:val="0"/>
          <w:sz w:val="24"/>
          <w:szCs w:val="24"/>
        </w:rPr>
        <w:t>本项目</w:t>
      </w:r>
      <w:r>
        <w:rPr>
          <w:rFonts w:hint="eastAsia" w:ascii="宋体" w:hAnsi="宋体" w:eastAsia="宋体" w:cs="宋体"/>
          <w:spacing w:val="0"/>
          <w:w w:val="100"/>
          <w:position w:val="0"/>
          <w:sz w:val="24"/>
          <w:szCs w:val="24"/>
          <w:highlight w:val="none"/>
        </w:rPr>
        <w:t>不专门面向中小企</w:t>
      </w:r>
      <w:r>
        <w:rPr>
          <w:rFonts w:hint="eastAsia" w:ascii="宋体" w:hAnsi="宋体" w:eastAsia="宋体" w:cs="宋体"/>
          <w:spacing w:val="0"/>
          <w:w w:val="100"/>
          <w:position w:val="0"/>
          <w:sz w:val="24"/>
          <w:szCs w:val="24"/>
        </w:rPr>
        <w:t>业预留采购份额。</w:t>
      </w:r>
    </w:p>
    <w:p w14:paraId="2185D3A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w:t>
      </w:r>
      <w:r>
        <w:rPr>
          <w:rFonts w:hint="eastAsia" w:ascii="宋体" w:hAnsi="宋体" w:eastAsia="宋体" w:cs="宋体"/>
          <w:spacing w:val="0"/>
          <w:w w:val="100"/>
          <w:position w:val="0"/>
          <w:sz w:val="24"/>
          <w:szCs w:val="24"/>
          <w:lang w:val="en-US" w:eastAsia="zh-CN"/>
        </w:rPr>
        <w:t>项目</w:t>
      </w:r>
      <w:r>
        <w:rPr>
          <w:rFonts w:hint="eastAsia" w:ascii="宋体" w:hAnsi="宋体" w:eastAsia="宋体" w:cs="宋体"/>
          <w:spacing w:val="0"/>
          <w:w w:val="100"/>
          <w:position w:val="0"/>
          <w:sz w:val="24"/>
          <w:szCs w:val="24"/>
        </w:rPr>
        <w:t xml:space="preserve">专门面向  ■中小 </w:t>
      </w:r>
      <w:r>
        <w:rPr>
          <w:rFonts w:hint="eastAsia" w:cs="宋体"/>
          <w:spacing w:val="0"/>
          <w:w w:val="100"/>
          <w:position w:val="0"/>
          <w:sz w:val="24"/>
          <w:szCs w:val="24"/>
          <w:lang w:val="en-US" w:eastAsia="zh-CN"/>
        </w:rPr>
        <w:t>□</w:t>
      </w:r>
      <w:r>
        <w:rPr>
          <w:rFonts w:hint="eastAsia" w:ascii="宋体" w:hAnsi="宋体" w:eastAsia="宋体" w:cs="宋体"/>
          <w:spacing w:val="0"/>
          <w:w w:val="100"/>
          <w:position w:val="0"/>
          <w:sz w:val="24"/>
          <w:szCs w:val="24"/>
        </w:rPr>
        <w:t>小微企业  采购。即：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供的货物全部由符合政策要求的中小/小微企业制造、服务全部由符合政策要求的中小/小微企业承接。</w:t>
      </w:r>
    </w:p>
    <w:p w14:paraId="441E027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口本项目预留部分采购项目预算专门面向中小企业采购。对于预留份额，</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供的货物由符合政策要求的中小企业制造、服务由符合政策要求的中小企业承接。预留份额通过以下措施进行：</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14:paraId="7FBB30A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其它落实政府采购政策的资格要求（如有）：</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14:paraId="0F469B44">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3.本项目的特定资格要求：</w:t>
      </w:r>
    </w:p>
    <w:p w14:paraId="2C2F8A7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7" w:name="_Toc19369"/>
      <w:r>
        <w:rPr>
          <w:rFonts w:hint="eastAsia" w:ascii="宋体" w:hAnsi="宋体" w:eastAsia="宋体" w:cs="宋体"/>
          <w:spacing w:val="0"/>
          <w:w w:val="100"/>
          <w:position w:val="0"/>
          <w:sz w:val="24"/>
          <w:szCs w:val="24"/>
        </w:rPr>
        <w:t>3.1 本项目是否属于政府购买服务：</w:t>
      </w:r>
      <w:bookmarkEnd w:id="7"/>
    </w:p>
    <w:p w14:paraId="11BCBC2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■否</w:t>
      </w:r>
    </w:p>
    <w:p w14:paraId="1DCD1591">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口是，公益一类事业单位、使用事业编制且由财政拨款保障的群团组织，不得作为承接主体；</w:t>
      </w:r>
    </w:p>
    <w:p w14:paraId="61F7A86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8" w:name="_Toc17338"/>
      <w:r>
        <w:rPr>
          <w:rFonts w:hint="eastAsia" w:ascii="宋体" w:hAnsi="宋体" w:eastAsia="宋体" w:cs="宋体"/>
          <w:spacing w:val="0"/>
          <w:w w:val="100"/>
          <w:position w:val="0"/>
          <w:sz w:val="24"/>
          <w:szCs w:val="24"/>
        </w:rPr>
        <w:t>3.2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其他特定资格要求：</w:t>
      </w:r>
      <w:r>
        <w:rPr>
          <w:rFonts w:hint="eastAsia" w:asciiTheme="minorEastAsia" w:hAnsiTheme="minorEastAsia" w:eastAsiaTheme="minorEastAsia" w:cstheme="minorEastAsia"/>
          <w:spacing w:val="0"/>
          <w:w w:val="100"/>
          <w:position w:val="0"/>
          <w:sz w:val="28"/>
          <w:szCs w:val="28"/>
          <w:u w:val="single" w:color="auto"/>
          <w:lang w:val="en-US" w:eastAsia="zh-CN"/>
        </w:rPr>
        <w:t>/</w:t>
      </w:r>
      <w:r>
        <w:rPr>
          <w:rFonts w:hint="eastAsia" w:ascii="宋体" w:hAnsi="宋体" w:eastAsia="宋体" w:cs="宋体"/>
          <w:spacing w:val="0"/>
          <w:w w:val="100"/>
          <w:position w:val="0"/>
          <w:sz w:val="24"/>
          <w:szCs w:val="24"/>
        </w:rPr>
        <w:t>。</w:t>
      </w:r>
      <w:bookmarkEnd w:id="8"/>
    </w:p>
    <w:p w14:paraId="7D7DFB78">
      <w:pPr>
        <w:pStyle w:val="7"/>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9" w:name="_Toc3090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三、获取招标文件</w:t>
      </w:r>
      <w:bookmarkEnd w:id="9"/>
    </w:p>
    <w:p w14:paraId="05806C3D">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jc w:val="left"/>
        <w:textAlignment w:val="baseline"/>
        <w:rPr>
          <w:rFonts w:hint="eastAsia" w:asciiTheme="minorEastAsia" w:hAnsiTheme="minorEastAsia" w:eastAsiaTheme="minorEastAsia" w:cstheme="minorEastAsia"/>
          <w:spacing w:val="0"/>
          <w:w w:val="100"/>
          <w:position w:val="0"/>
          <w:sz w:val="24"/>
          <w:szCs w:val="24"/>
        </w:rPr>
      </w:pPr>
      <w:r>
        <w:rPr>
          <w:rFonts w:hint="eastAsia" w:ascii="宋体" w:hAnsi="宋体" w:eastAsia="宋体" w:cs="宋体"/>
          <w:spacing w:val="0"/>
          <w:w w:val="100"/>
          <w:position w:val="0"/>
          <w:sz w:val="24"/>
          <w:szCs w:val="24"/>
        </w:rPr>
        <w:t>1.</w:t>
      </w:r>
      <w:r>
        <w:rPr>
          <w:rFonts w:hint="eastAsia" w:asciiTheme="minorEastAsia" w:hAnsiTheme="minorEastAsia" w:eastAsiaTheme="minorEastAsia" w:cstheme="minorEastAsia"/>
          <w:spacing w:val="0"/>
          <w:w w:val="100"/>
          <w:position w:val="0"/>
          <w:sz w:val="24"/>
          <w:szCs w:val="24"/>
        </w:rPr>
        <w:t>时间：</w:t>
      </w:r>
      <w:r>
        <w:rPr>
          <w:rFonts w:hint="eastAsia" w:asciiTheme="minorEastAsia" w:hAnsiTheme="minorEastAsia" w:eastAsiaTheme="minorEastAsia" w:cstheme="minorEastAsia"/>
          <w:spacing w:val="0"/>
          <w:w w:val="100"/>
          <w:position w:val="0"/>
          <w:sz w:val="24"/>
          <w:szCs w:val="24"/>
          <w:u w:val="single" w:color="auto"/>
          <w:lang w:val="en-US" w:eastAsia="zh-CN"/>
        </w:rPr>
        <w:t>2025</w:t>
      </w:r>
      <w:r>
        <w:rPr>
          <w:rFonts w:hint="eastAsia" w:asciiTheme="minorEastAsia" w:hAnsiTheme="minorEastAsia" w:eastAsiaTheme="minorEastAsia" w:cstheme="minorEastAsia"/>
          <w:spacing w:val="0"/>
          <w:w w:val="100"/>
          <w:position w:val="0"/>
          <w:sz w:val="24"/>
          <w:szCs w:val="24"/>
        </w:rPr>
        <w:t>年</w:t>
      </w:r>
      <w:r>
        <w:rPr>
          <w:rFonts w:hint="eastAsia" w:asciiTheme="minorEastAsia" w:hAnsiTheme="minorEastAsia" w:eastAsiaTheme="minorEastAsia" w:cstheme="minorEastAsia"/>
          <w:spacing w:val="0"/>
          <w:w w:val="100"/>
          <w:position w:val="0"/>
          <w:sz w:val="24"/>
          <w:szCs w:val="24"/>
          <w:u w:val="single" w:color="auto"/>
          <w:lang w:val="en-US" w:eastAsia="zh-CN"/>
        </w:rPr>
        <w:t>01</w:t>
      </w:r>
      <w:r>
        <w:rPr>
          <w:rFonts w:hint="eastAsia" w:asciiTheme="minorEastAsia" w:hAnsiTheme="minorEastAsia" w:eastAsiaTheme="minorEastAsia" w:cstheme="minorEastAsia"/>
          <w:spacing w:val="0"/>
          <w:w w:val="100"/>
          <w:position w:val="0"/>
          <w:sz w:val="24"/>
          <w:szCs w:val="24"/>
        </w:rPr>
        <w:t>月</w:t>
      </w:r>
      <w:r>
        <w:rPr>
          <w:rFonts w:hint="eastAsia" w:asciiTheme="minorEastAsia" w:hAnsiTheme="minorEastAsia" w:eastAsiaTheme="minorEastAsia" w:cstheme="minorEastAsia"/>
          <w:sz w:val="24"/>
          <w:szCs w:val="24"/>
          <w:u w:val="single"/>
          <w:lang w:val="en-US" w:eastAsia="zh-CN"/>
        </w:rPr>
        <w:t>03</w:t>
      </w:r>
      <w:r>
        <w:rPr>
          <w:rFonts w:hint="eastAsia" w:asciiTheme="minorEastAsia" w:hAnsiTheme="minorEastAsia" w:eastAsiaTheme="minorEastAsia" w:cstheme="minorEastAsia"/>
          <w:spacing w:val="0"/>
          <w:w w:val="100"/>
          <w:position w:val="0"/>
          <w:sz w:val="24"/>
          <w:szCs w:val="24"/>
        </w:rPr>
        <w:t>日至</w:t>
      </w:r>
      <w:r>
        <w:rPr>
          <w:rFonts w:hint="eastAsia" w:asciiTheme="minorEastAsia" w:hAnsiTheme="minorEastAsia" w:eastAsiaTheme="minorEastAsia" w:cstheme="minorEastAsia"/>
          <w:sz w:val="24"/>
          <w:szCs w:val="24"/>
          <w:u w:val="single"/>
          <w:lang w:val="en-US" w:eastAsia="zh-CN"/>
        </w:rPr>
        <w:t>2025</w:t>
      </w:r>
      <w:r>
        <w:rPr>
          <w:rFonts w:hint="eastAsia" w:asciiTheme="minorEastAsia" w:hAnsiTheme="minorEastAsia" w:eastAsiaTheme="minorEastAsia" w:cstheme="minorEastAsia"/>
          <w:spacing w:val="0"/>
          <w:w w:val="100"/>
          <w:position w:val="0"/>
          <w:sz w:val="24"/>
          <w:szCs w:val="24"/>
        </w:rPr>
        <w:t>年</w:t>
      </w:r>
      <w:r>
        <w:rPr>
          <w:rFonts w:hint="eastAsia" w:asciiTheme="minorEastAsia" w:hAnsiTheme="minorEastAsia" w:eastAsiaTheme="minorEastAsia" w:cstheme="minorEastAsia"/>
          <w:sz w:val="24"/>
          <w:szCs w:val="24"/>
          <w:u w:val="single"/>
          <w:lang w:val="en-US" w:eastAsia="zh-CN"/>
        </w:rPr>
        <w:t>01</w:t>
      </w:r>
      <w:r>
        <w:rPr>
          <w:rFonts w:hint="eastAsia" w:asciiTheme="minorEastAsia" w:hAnsiTheme="minorEastAsia" w:eastAsiaTheme="minorEastAsia" w:cstheme="minorEastAsia"/>
          <w:spacing w:val="0"/>
          <w:w w:val="100"/>
          <w:position w:val="0"/>
          <w:sz w:val="24"/>
          <w:szCs w:val="24"/>
        </w:rPr>
        <w:t>月</w:t>
      </w:r>
      <w:r>
        <w:rPr>
          <w:rFonts w:hint="eastAsia" w:asciiTheme="minorEastAsia" w:hAnsiTheme="minorEastAsia" w:eastAsiaTheme="minorEastAsia" w:cstheme="minorEastAsia"/>
          <w:sz w:val="24"/>
          <w:szCs w:val="24"/>
          <w:u w:val="single"/>
          <w:lang w:val="en-US" w:eastAsia="zh-CN"/>
        </w:rPr>
        <w:t>09</w:t>
      </w:r>
      <w:r>
        <w:rPr>
          <w:rFonts w:hint="eastAsia" w:asciiTheme="minorEastAsia" w:hAnsiTheme="minorEastAsia" w:eastAsiaTheme="minorEastAsia" w:cstheme="minorEastAsia"/>
          <w:spacing w:val="0"/>
          <w:w w:val="100"/>
          <w:position w:val="0"/>
          <w:sz w:val="24"/>
          <w:szCs w:val="24"/>
        </w:rPr>
        <w:t>日， 每天上午</w:t>
      </w:r>
      <w:r>
        <w:rPr>
          <w:rFonts w:hint="eastAsia" w:asciiTheme="minorEastAsia" w:hAnsiTheme="minorEastAsia" w:eastAsiaTheme="minorEastAsia" w:cstheme="minorEastAsia"/>
          <w:spacing w:val="0"/>
          <w:w w:val="100"/>
          <w:position w:val="0"/>
          <w:sz w:val="24"/>
          <w:szCs w:val="24"/>
          <w:u w:val="single"/>
        </w:rPr>
        <w:t>09:30</w:t>
      </w:r>
      <w:r>
        <w:rPr>
          <w:rFonts w:hint="eastAsia" w:asciiTheme="minorEastAsia" w:hAnsiTheme="minorEastAsia" w:eastAsiaTheme="minorEastAsia" w:cstheme="minorEastAsia"/>
          <w:spacing w:val="0"/>
          <w:w w:val="100"/>
          <w:position w:val="0"/>
          <w:sz w:val="24"/>
          <w:szCs w:val="24"/>
        </w:rPr>
        <w:t>至</w:t>
      </w:r>
      <w:r>
        <w:rPr>
          <w:rFonts w:hint="eastAsia" w:asciiTheme="minorEastAsia" w:hAnsiTheme="minorEastAsia" w:eastAsiaTheme="minorEastAsia" w:cstheme="minorEastAsia"/>
          <w:sz w:val="24"/>
          <w:szCs w:val="24"/>
          <w:u w:val="single"/>
          <w:lang w:val="en-US" w:eastAsia="zh-CN"/>
        </w:rPr>
        <w:t>11:30</w:t>
      </w:r>
      <w:r>
        <w:rPr>
          <w:rFonts w:hint="eastAsia" w:asciiTheme="minorEastAsia" w:hAnsiTheme="minorEastAsia" w:eastAsiaTheme="minorEastAsia" w:cstheme="minorEastAsia"/>
          <w:spacing w:val="0"/>
          <w:w w:val="100"/>
          <w:position w:val="0"/>
          <w:sz w:val="24"/>
          <w:szCs w:val="24"/>
        </w:rPr>
        <w:t>，下午</w:t>
      </w:r>
      <w:r>
        <w:rPr>
          <w:rFonts w:hint="eastAsia" w:asciiTheme="minorEastAsia" w:hAnsiTheme="minorEastAsia" w:eastAsiaTheme="minorEastAsia" w:cstheme="minorEastAsia"/>
          <w:sz w:val="24"/>
          <w:szCs w:val="24"/>
          <w:u w:val="single"/>
          <w:lang w:val="en-US" w:eastAsia="zh-CN"/>
        </w:rPr>
        <w:t>13:30</w:t>
      </w:r>
      <w:r>
        <w:rPr>
          <w:rFonts w:hint="eastAsia" w:asciiTheme="minorEastAsia" w:hAnsiTheme="minorEastAsia" w:eastAsiaTheme="minorEastAsia" w:cstheme="minorEastAsia"/>
          <w:spacing w:val="0"/>
          <w:w w:val="100"/>
          <w:position w:val="0"/>
          <w:sz w:val="24"/>
          <w:szCs w:val="24"/>
        </w:rPr>
        <w:t>至</w:t>
      </w:r>
      <w:r>
        <w:rPr>
          <w:rFonts w:hint="eastAsia" w:asciiTheme="minorEastAsia" w:hAnsiTheme="minorEastAsia" w:eastAsiaTheme="minorEastAsia" w:cstheme="minorEastAsia"/>
          <w:sz w:val="24"/>
          <w:szCs w:val="24"/>
          <w:u w:val="single"/>
          <w:lang w:val="en-US" w:eastAsia="zh-CN"/>
        </w:rPr>
        <w:t>15:30</w:t>
      </w:r>
      <w:r>
        <w:rPr>
          <w:rFonts w:hint="eastAsia" w:asciiTheme="minorEastAsia" w:hAnsiTheme="minorEastAsia" w:eastAsiaTheme="minorEastAsia" w:cstheme="minorEastAsia"/>
          <w:spacing w:val="0"/>
          <w:w w:val="100"/>
          <w:position w:val="0"/>
          <w:sz w:val="24"/>
          <w:szCs w:val="24"/>
        </w:rPr>
        <w:t>（北京时间，法定节假日除外）。</w:t>
      </w:r>
    </w:p>
    <w:p w14:paraId="20EA02EC">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rPr>
      </w:pPr>
      <w:bookmarkStart w:id="10" w:name="_Toc2165"/>
      <w:r>
        <w:rPr>
          <w:rFonts w:hint="eastAsia" w:ascii="宋体" w:hAnsi="宋体" w:eastAsia="宋体" w:cs="宋体"/>
          <w:spacing w:val="0"/>
          <w:w w:val="100"/>
          <w:position w:val="0"/>
          <w:sz w:val="24"/>
          <w:szCs w:val="24"/>
        </w:rPr>
        <w:t>2.地点：北京市政府采购电子交易平台</w:t>
      </w:r>
      <w:bookmarkEnd w:id="10"/>
    </w:p>
    <w:p w14:paraId="795DE397">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3.方式：供应商使用 CA 数字证书或电子营业执照登录北京市政府采购电子交易平台（</w:t>
      </w: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"http://zbcg-bjzc.zhongcy.com/bjczj-portal-site/index.html#/home"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http://zbcg-bjzc.zhongcy.com/bjczj-portal-site/index.html#/home</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）获取</w:t>
      </w:r>
    </w:p>
    <w:p w14:paraId="107F6029">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电子版招标文件。</w:t>
      </w:r>
    </w:p>
    <w:p w14:paraId="5B2426AE">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rPr>
      </w:pPr>
      <w:bookmarkStart w:id="11" w:name="_Toc31387"/>
      <w:r>
        <w:rPr>
          <w:rFonts w:hint="eastAsia" w:ascii="宋体" w:hAnsi="宋体" w:eastAsia="宋体" w:cs="宋体"/>
          <w:spacing w:val="0"/>
          <w:w w:val="100"/>
          <w:position w:val="0"/>
          <w:sz w:val="24"/>
          <w:szCs w:val="24"/>
        </w:rPr>
        <w:t>4.售价：0元。</w:t>
      </w:r>
      <w:bookmarkEnd w:id="11"/>
    </w:p>
    <w:p w14:paraId="6FA60FFA">
      <w:pPr>
        <w:pStyle w:val="7"/>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2" w:name="_Toc30616"/>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四、</w:t>
      </w:r>
      <w:r>
        <w:rPr>
          <w:rFonts w:hint="eastAsia" w:cs="宋体"/>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交投标文件截止时间、开标时间和地点</w:t>
      </w:r>
      <w:bookmarkEnd w:id="12"/>
    </w:p>
    <w:p w14:paraId="6649ACD7">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投标截止时间、开标时间：</w:t>
      </w:r>
      <w:r>
        <w:rPr>
          <w:rFonts w:hint="eastAsia" w:cs="宋体"/>
          <w:spacing w:val="0"/>
          <w:w w:val="100"/>
          <w:position w:val="0"/>
          <w:sz w:val="24"/>
          <w:szCs w:val="24"/>
          <w:u w:val="single" w:color="auto"/>
          <w:lang w:val="en-US" w:eastAsia="zh-CN"/>
        </w:rPr>
        <w:t>2025</w:t>
      </w:r>
      <w:r>
        <w:rPr>
          <w:rFonts w:hint="eastAsia" w:ascii="宋体" w:hAnsi="宋体" w:eastAsia="宋体" w:cs="宋体"/>
          <w:spacing w:val="0"/>
          <w:w w:val="100"/>
          <w:position w:val="0"/>
          <w:sz w:val="24"/>
          <w:szCs w:val="24"/>
        </w:rPr>
        <w:t>年</w:t>
      </w:r>
      <w:r>
        <w:rPr>
          <w:rFonts w:hint="eastAsia" w:cs="宋体"/>
          <w:spacing w:val="0"/>
          <w:w w:val="100"/>
          <w:position w:val="0"/>
          <w:sz w:val="24"/>
          <w:szCs w:val="24"/>
          <w:u w:val="single" w:color="auto"/>
          <w:lang w:val="en-US" w:eastAsia="zh-CN"/>
        </w:rPr>
        <w:t>01</w:t>
      </w:r>
      <w:r>
        <w:rPr>
          <w:rFonts w:hint="eastAsia" w:ascii="宋体" w:hAnsi="宋体" w:eastAsia="宋体" w:cs="宋体"/>
          <w:spacing w:val="0"/>
          <w:w w:val="100"/>
          <w:position w:val="0"/>
          <w:sz w:val="24"/>
          <w:szCs w:val="24"/>
        </w:rPr>
        <w:t>月</w:t>
      </w:r>
      <w:r>
        <w:rPr>
          <w:rFonts w:hint="eastAsia" w:cs="宋体"/>
          <w:spacing w:val="0"/>
          <w:w w:val="100"/>
          <w:position w:val="0"/>
          <w:sz w:val="24"/>
          <w:szCs w:val="24"/>
          <w:u w:val="single" w:color="auto"/>
          <w:lang w:val="en-US" w:eastAsia="zh-CN"/>
        </w:rPr>
        <w:t>23</w:t>
      </w:r>
      <w:r>
        <w:rPr>
          <w:rFonts w:hint="eastAsia" w:ascii="宋体" w:hAnsi="宋体" w:eastAsia="宋体" w:cs="宋体"/>
          <w:spacing w:val="0"/>
          <w:w w:val="100"/>
          <w:position w:val="0"/>
          <w:sz w:val="24"/>
          <w:szCs w:val="24"/>
        </w:rPr>
        <w:t>日</w:t>
      </w:r>
      <w:r>
        <w:rPr>
          <w:rFonts w:hint="eastAsia" w:cs="宋体"/>
          <w:spacing w:val="0"/>
          <w:w w:val="100"/>
          <w:position w:val="0"/>
          <w:sz w:val="24"/>
          <w:szCs w:val="24"/>
          <w:u w:val="single" w:color="auto"/>
          <w:lang w:val="en-US" w:eastAsia="zh-CN"/>
        </w:rPr>
        <w:t>09</w:t>
      </w:r>
      <w:r>
        <w:rPr>
          <w:rFonts w:hint="eastAsia" w:ascii="宋体" w:hAnsi="宋体" w:eastAsia="宋体" w:cs="宋体"/>
          <w:spacing w:val="0"/>
          <w:w w:val="100"/>
          <w:position w:val="0"/>
          <w:sz w:val="24"/>
          <w:szCs w:val="24"/>
        </w:rPr>
        <w:t>点</w:t>
      </w:r>
      <w:r>
        <w:rPr>
          <w:rFonts w:hint="eastAsia" w:cs="宋体"/>
          <w:spacing w:val="0"/>
          <w:w w:val="100"/>
          <w:position w:val="0"/>
          <w:sz w:val="24"/>
          <w:szCs w:val="24"/>
          <w:u w:val="single" w:color="auto"/>
          <w:lang w:val="en-US" w:eastAsia="zh-CN"/>
        </w:rPr>
        <w:t>00</w:t>
      </w:r>
      <w:r>
        <w:rPr>
          <w:rFonts w:hint="eastAsia" w:ascii="宋体" w:hAnsi="宋体" w:eastAsia="宋体" w:cs="宋体"/>
          <w:spacing w:val="0"/>
          <w:w w:val="100"/>
          <w:position w:val="0"/>
          <w:sz w:val="24"/>
          <w:szCs w:val="24"/>
        </w:rPr>
        <w:t>分（北京时间）。</w:t>
      </w:r>
    </w:p>
    <w:p w14:paraId="619582BD">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地点：</w:t>
      </w:r>
      <w:r>
        <w:rPr>
          <w:rFonts w:hint="eastAsia" w:ascii="宋体" w:hAnsi="宋体" w:eastAsia="宋体" w:cs="宋体"/>
          <w:spacing w:val="0"/>
          <w:w w:val="100"/>
          <w:position w:val="0"/>
          <w:sz w:val="24"/>
          <w:szCs w:val="24"/>
          <w:u w:val="single" w:color="auto"/>
        </w:rPr>
        <w:t>本项目采用远程电子开标方式，由投标人自行对电子投标文件进行解密或供应商在开标地点使用CA认证证书登录北京市政府采购电子交易平台进行电子开标</w:t>
      </w:r>
      <w:r>
        <w:rPr>
          <w:rFonts w:hint="eastAsia" w:ascii="宋体" w:hAnsi="宋体" w:eastAsia="宋体" w:cs="宋体"/>
          <w:spacing w:val="0"/>
          <w:w w:val="100"/>
          <w:position w:val="0"/>
          <w:sz w:val="24"/>
          <w:szCs w:val="24"/>
        </w:rPr>
        <w:t>。</w:t>
      </w:r>
    </w:p>
    <w:p w14:paraId="0C42DBF7">
      <w:pPr>
        <w:pStyle w:val="7"/>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3" w:name="_Toc79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五、公告期限</w:t>
      </w:r>
      <w:bookmarkEnd w:id="13"/>
    </w:p>
    <w:p w14:paraId="54EC635B">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自本公告发布之日起5个工作日。</w:t>
      </w:r>
    </w:p>
    <w:p w14:paraId="15267CA0">
      <w:pPr>
        <w:pStyle w:val="7"/>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4" w:name="_Toc1681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六、其他补充事宜</w:t>
      </w:r>
      <w:bookmarkEnd w:id="14"/>
    </w:p>
    <w:p w14:paraId="618F4E60">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15" w:name="_Toc28342"/>
      <w:r>
        <w:rPr>
          <w:rFonts w:hint="eastAsia" w:ascii="宋体" w:hAnsi="宋体" w:eastAsia="宋体" w:cs="宋体"/>
          <w:spacing w:val="0"/>
          <w:w w:val="100"/>
          <w:position w:val="0"/>
          <w:sz w:val="24"/>
          <w:szCs w:val="24"/>
        </w:rPr>
        <w:t>1.本项目需要落实的政府采购政策：</w:t>
      </w:r>
      <w:r>
        <w:rPr>
          <w:rFonts w:hint="eastAsia" w:cs="宋体"/>
          <w:spacing w:val="0"/>
          <w:w w:val="100"/>
          <w:position w:val="0"/>
          <w:sz w:val="24"/>
          <w:szCs w:val="24"/>
          <w:u w:val="single" w:color="auto"/>
          <w:lang w:val="en-US"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spacing w:val="0"/>
          <w:w w:val="100"/>
          <w:position w:val="0"/>
          <w:sz w:val="24"/>
          <w:szCs w:val="24"/>
        </w:rPr>
        <w:t>。</w:t>
      </w:r>
      <w:bookmarkEnd w:id="15"/>
    </w:p>
    <w:p w14:paraId="489B7F73">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jc w:val="both"/>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lang w:val="en-US" w:eastAsia="zh-CN"/>
        </w:rPr>
        <w:t>2</w:t>
      </w:r>
      <w:r>
        <w:rPr>
          <w:rFonts w:hint="eastAsia" w:asciiTheme="minorEastAsia" w:hAnsiTheme="minorEastAsia" w:eastAsiaTheme="minorEastAsia" w:cstheme="minorEastAsia"/>
          <w:spacing w:val="0"/>
          <w:w w:val="100"/>
          <w:position w:val="0"/>
          <w:sz w:val="24"/>
          <w:szCs w:val="24"/>
          <w:highlight w:val="none"/>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4D284DB9">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CA数字证书服务热线010-58511086</w:t>
      </w:r>
    </w:p>
    <w:p w14:paraId="2E461245">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电子营业执照服务热线400-699-7000</w:t>
      </w:r>
    </w:p>
    <w:p w14:paraId="1B6DA03F">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技术支持服务热线010-86483801</w:t>
      </w:r>
    </w:p>
    <w:p w14:paraId="50260B5A">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lang w:val="en-US" w:eastAsia="zh-CN"/>
        </w:rPr>
        <w:t>2</w:t>
      </w:r>
      <w:r>
        <w:rPr>
          <w:rFonts w:hint="eastAsia" w:asciiTheme="minorEastAsia" w:hAnsiTheme="minorEastAsia" w:eastAsiaTheme="minorEastAsia" w:cstheme="minorEastAsia"/>
          <w:spacing w:val="0"/>
          <w:w w:val="100"/>
          <w:position w:val="0"/>
          <w:sz w:val="24"/>
          <w:szCs w:val="24"/>
          <w:highlight w:val="none"/>
        </w:rPr>
        <w:t>.1</w:t>
      </w:r>
      <w:r>
        <w:rPr>
          <w:rFonts w:hint="eastAsia" w:asciiTheme="minorEastAsia" w:hAnsiTheme="minorEastAsia" w:eastAsiaTheme="minorEastAsia" w:cstheme="minorEastAsia"/>
          <w:spacing w:val="0"/>
          <w:w w:val="100"/>
          <w:position w:val="0"/>
          <w:sz w:val="24"/>
          <w:szCs w:val="24"/>
          <w:highlight w:val="none"/>
          <w:lang w:val="en-US" w:eastAsia="zh-CN"/>
        </w:rPr>
        <w:t xml:space="preserve"> </w:t>
      </w:r>
      <w:r>
        <w:rPr>
          <w:rFonts w:hint="eastAsia" w:asciiTheme="minorEastAsia" w:hAnsiTheme="minorEastAsia" w:eastAsiaTheme="minorEastAsia" w:cstheme="minorEastAsia"/>
          <w:spacing w:val="0"/>
          <w:w w:val="100"/>
          <w:position w:val="0"/>
          <w:sz w:val="24"/>
          <w:szCs w:val="24"/>
          <w:highlight w:val="none"/>
        </w:rPr>
        <w:t>办理CA数字证书或电子营业执照</w:t>
      </w:r>
    </w:p>
    <w:p w14:paraId="5205B4AE">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供应商登录北京市政府采购电子交易平台查阅“用户指南”—“操作指南”—“市场主体CA办理操作流程指引”/“电子营业执照使用指南”，按照程序要求办理。</w:t>
      </w:r>
    </w:p>
    <w:p w14:paraId="43326C1A">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lang w:val="en-US" w:eastAsia="zh-CN"/>
        </w:rPr>
        <w:t>2</w:t>
      </w:r>
      <w:r>
        <w:rPr>
          <w:rFonts w:hint="eastAsia" w:asciiTheme="minorEastAsia" w:hAnsiTheme="minorEastAsia" w:eastAsiaTheme="minorEastAsia" w:cstheme="minorEastAsia"/>
          <w:spacing w:val="0"/>
          <w:w w:val="100"/>
          <w:position w:val="0"/>
          <w:sz w:val="24"/>
          <w:szCs w:val="24"/>
          <w:highlight w:val="none"/>
        </w:rPr>
        <w:t>.2 注册</w:t>
      </w:r>
    </w:p>
    <w:p w14:paraId="7B9FB235">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供应商登录北京市政府采购电子交易平台“用户指南”—“操作指南”—“市场主体注册入库操作流程指引”进行自助注册绑定。</w:t>
      </w:r>
    </w:p>
    <w:p w14:paraId="5B13AF50">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lang w:val="en-US" w:eastAsia="zh-CN"/>
        </w:rPr>
        <w:t>2</w:t>
      </w:r>
      <w:r>
        <w:rPr>
          <w:rFonts w:hint="eastAsia" w:asciiTheme="minorEastAsia" w:hAnsiTheme="minorEastAsia" w:eastAsiaTheme="minorEastAsia" w:cstheme="minorEastAsia"/>
          <w:spacing w:val="0"/>
          <w:w w:val="100"/>
          <w:position w:val="0"/>
          <w:sz w:val="24"/>
          <w:szCs w:val="24"/>
          <w:highlight w:val="none"/>
        </w:rPr>
        <w:t>.3 驱动、客户端下载</w:t>
      </w:r>
    </w:p>
    <w:p w14:paraId="6F2F2696">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供应商登录北京市政府采购电子交易平台“用户指南”—“工具下载”—“招标采购系统文件驱动安装包”下载相关驱动。</w:t>
      </w:r>
    </w:p>
    <w:p w14:paraId="31D5707D">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供应商登录北京市政府采购电子交易平台“用户指南”—“工具下载”—“投标文件编制工具”下载相关客户端。</w:t>
      </w:r>
    </w:p>
    <w:p w14:paraId="55D3D1A1">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lang w:val="en-US" w:eastAsia="zh-CN"/>
        </w:rPr>
        <w:t>2</w:t>
      </w:r>
      <w:r>
        <w:rPr>
          <w:rFonts w:hint="eastAsia" w:asciiTheme="minorEastAsia" w:hAnsiTheme="minorEastAsia" w:eastAsiaTheme="minorEastAsia" w:cstheme="minorEastAsia"/>
          <w:spacing w:val="0"/>
          <w:w w:val="100"/>
          <w:position w:val="0"/>
          <w:sz w:val="24"/>
          <w:szCs w:val="24"/>
          <w:highlight w:val="none"/>
        </w:rPr>
        <w:t>.4 获取电子招标文件</w:t>
      </w:r>
    </w:p>
    <w:p w14:paraId="74A2136A">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供应商使用CA数字证书或电子营业执照登录北京市政府采购电子交易平台获取电子招标文件。</w:t>
      </w:r>
    </w:p>
    <w:p w14:paraId="5764D57A">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w:t>
      </w:r>
      <w:r>
        <w:rPr>
          <w:rFonts w:hint="eastAsia" w:asciiTheme="minorEastAsia" w:hAnsiTheme="minorEastAsia" w:eastAsiaTheme="minorEastAsia" w:cstheme="minorEastAsia"/>
          <w:spacing w:val="0"/>
          <w:w w:val="100"/>
          <w:position w:val="0"/>
          <w:sz w:val="24"/>
          <w:szCs w:val="24"/>
          <w:highlight w:val="none"/>
          <w:lang w:eastAsia="zh-CN"/>
        </w:rPr>
        <w:t>提</w:t>
      </w:r>
      <w:r>
        <w:rPr>
          <w:rFonts w:hint="eastAsia" w:asciiTheme="minorEastAsia" w:hAnsiTheme="minorEastAsia" w:eastAsiaTheme="minorEastAsia" w:cstheme="minorEastAsia"/>
          <w:spacing w:val="0"/>
          <w:w w:val="100"/>
          <w:position w:val="0"/>
          <w:sz w:val="24"/>
          <w:szCs w:val="24"/>
          <w:highlight w:val="none"/>
        </w:rPr>
        <w:t>交相应包的电子投标文件。</w:t>
      </w:r>
    </w:p>
    <w:p w14:paraId="0E4D314E">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lang w:val="en-US" w:eastAsia="zh-CN"/>
        </w:rPr>
        <w:t>2</w:t>
      </w:r>
      <w:r>
        <w:rPr>
          <w:rFonts w:hint="eastAsia" w:asciiTheme="minorEastAsia" w:hAnsiTheme="minorEastAsia" w:eastAsiaTheme="minorEastAsia" w:cstheme="minorEastAsia"/>
          <w:spacing w:val="0"/>
          <w:w w:val="100"/>
          <w:position w:val="0"/>
          <w:sz w:val="24"/>
          <w:szCs w:val="24"/>
          <w:highlight w:val="none"/>
        </w:rPr>
        <w:t>.5 编制电子投标文件</w:t>
      </w:r>
    </w:p>
    <w:p w14:paraId="3627C08C">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56BD2412">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lang w:val="en-US" w:eastAsia="zh-CN"/>
        </w:rPr>
        <w:t>2</w:t>
      </w:r>
      <w:r>
        <w:rPr>
          <w:rFonts w:hint="eastAsia" w:asciiTheme="minorEastAsia" w:hAnsiTheme="minorEastAsia" w:eastAsiaTheme="minorEastAsia" w:cstheme="minorEastAsia"/>
          <w:spacing w:val="0"/>
          <w:w w:val="100"/>
          <w:position w:val="0"/>
          <w:sz w:val="24"/>
          <w:szCs w:val="24"/>
          <w:highlight w:val="none"/>
        </w:rPr>
        <w:t xml:space="preserve">.6 </w:t>
      </w:r>
      <w:r>
        <w:rPr>
          <w:rFonts w:hint="eastAsia" w:asciiTheme="minorEastAsia" w:hAnsiTheme="minorEastAsia" w:eastAsiaTheme="minorEastAsia" w:cstheme="minorEastAsia"/>
          <w:spacing w:val="0"/>
          <w:w w:val="100"/>
          <w:position w:val="0"/>
          <w:sz w:val="24"/>
          <w:szCs w:val="24"/>
          <w:highlight w:val="none"/>
          <w:lang w:eastAsia="zh-CN"/>
        </w:rPr>
        <w:t>提</w:t>
      </w:r>
      <w:r>
        <w:rPr>
          <w:rFonts w:hint="eastAsia" w:asciiTheme="minorEastAsia" w:hAnsiTheme="minorEastAsia" w:eastAsiaTheme="minorEastAsia" w:cstheme="minorEastAsia"/>
          <w:spacing w:val="0"/>
          <w:w w:val="100"/>
          <w:position w:val="0"/>
          <w:sz w:val="24"/>
          <w:szCs w:val="24"/>
          <w:highlight w:val="none"/>
        </w:rPr>
        <w:t>交电子投标文件</w:t>
      </w:r>
    </w:p>
    <w:p w14:paraId="231D0037">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rPr>
        <w:t>供应商应于投标截止时间前在北京市政府采购电子交易平台</w:t>
      </w:r>
      <w:r>
        <w:rPr>
          <w:rFonts w:hint="eastAsia" w:asciiTheme="minorEastAsia" w:hAnsiTheme="minorEastAsia" w:eastAsiaTheme="minorEastAsia" w:cstheme="minorEastAsia"/>
          <w:spacing w:val="0"/>
          <w:w w:val="100"/>
          <w:position w:val="0"/>
          <w:sz w:val="24"/>
          <w:szCs w:val="24"/>
          <w:highlight w:val="none"/>
          <w:lang w:eastAsia="zh-CN"/>
        </w:rPr>
        <w:t>提</w:t>
      </w:r>
      <w:r>
        <w:rPr>
          <w:rFonts w:hint="eastAsia" w:asciiTheme="minorEastAsia" w:hAnsiTheme="minorEastAsia" w:eastAsiaTheme="minorEastAsia" w:cstheme="minorEastAsia"/>
          <w:spacing w:val="0"/>
          <w:w w:val="100"/>
          <w:position w:val="0"/>
          <w:sz w:val="24"/>
          <w:szCs w:val="24"/>
          <w:highlight w:val="none"/>
        </w:rPr>
        <w:t>交电子投标文件，上传电子投标文件过程中请保持与互联网的连接畅通。</w:t>
      </w:r>
    </w:p>
    <w:p w14:paraId="4BB64E85">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Theme="minorEastAsia" w:hAnsiTheme="minorEastAsia" w:eastAsiaTheme="minorEastAsia" w:cstheme="minorEastAsia"/>
          <w:spacing w:val="0"/>
          <w:w w:val="100"/>
          <w:position w:val="0"/>
          <w:sz w:val="24"/>
          <w:szCs w:val="24"/>
          <w:highlight w:val="none"/>
          <w:lang w:val="en-US" w:eastAsia="zh-CN"/>
        </w:rPr>
        <w:t>2</w:t>
      </w:r>
      <w:r>
        <w:rPr>
          <w:rFonts w:hint="eastAsia" w:asciiTheme="minorEastAsia" w:hAnsiTheme="minorEastAsia" w:eastAsiaTheme="minorEastAsia" w:cstheme="minorEastAsia"/>
          <w:spacing w:val="0"/>
          <w:w w:val="100"/>
          <w:position w:val="0"/>
          <w:sz w:val="24"/>
          <w:szCs w:val="24"/>
          <w:highlight w:val="none"/>
        </w:rPr>
        <w:t>.7 电子开标</w:t>
      </w:r>
    </w:p>
    <w:p w14:paraId="0C78A6DD">
      <w:pPr>
        <w:pStyle w:val="7"/>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Theme="minorEastAsia" w:hAnsiTheme="minorEastAsia" w:eastAsiaTheme="minorEastAsia" w:cstheme="minorEastAsia"/>
          <w:spacing w:val="0"/>
          <w:w w:val="100"/>
          <w:position w:val="0"/>
          <w:sz w:val="24"/>
          <w:szCs w:val="24"/>
          <w:highlight w:val="none"/>
        </w:rPr>
        <w:t>供应商在开标地点使用CA数字证书或电子营业执照登录北京市政府采购电子交易平台进行电子开标。</w:t>
      </w:r>
    </w:p>
    <w:p w14:paraId="62188D8F">
      <w:pPr>
        <w:pStyle w:val="7"/>
        <w:keepNext w:val="0"/>
        <w:keepLines w:val="0"/>
        <w:pageBreakBefore w:val="0"/>
        <w:widowControl/>
        <w:kinsoku/>
        <w:wordWrap/>
        <w:overflowPunct/>
        <w:topLinePunct w:val="0"/>
        <w:autoSpaceDE/>
        <w:autoSpaceDN/>
        <w:bidi w:val="0"/>
        <w:adjustRightInd w:val="0"/>
        <w:snapToGrid w:val="0"/>
        <w:spacing w:before="78" w:line="219" w:lineRule="auto"/>
        <w:ind w:left="8"/>
        <w:textAlignment w:val="baseline"/>
        <w:outlineLvl w:val="1"/>
        <w:rPr>
          <w:rFonts w:hint="eastAsia" w:ascii="宋体" w:hAnsi="宋体" w:eastAsia="宋体" w:cs="宋体"/>
          <w:spacing w:val="0"/>
          <w:w w:val="100"/>
          <w:position w:val="0"/>
          <w:sz w:val="24"/>
          <w:szCs w:val="24"/>
        </w:rPr>
      </w:pPr>
      <w:bookmarkStart w:id="16" w:name="_Toc1875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七、对本次招标</w:t>
      </w:r>
      <w:r>
        <w:rPr>
          <w:rFonts w:hint="eastAsia" w:cs="宋体"/>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出询问，</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请按以下方式联系。</w:t>
      </w:r>
      <w:bookmarkEnd w:id="16"/>
    </w:p>
    <w:p w14:paraId="1E705044">
      <w:pPr>
        <w:pStyle w:val="7"/>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7" w:name="_Toc30870"/>
      <w:r>
        <w:rPr>
          <w:rFonts w:hint="eastAsia" w:ascii="宋体" w:hAnsi="宋体" w:eastAsia="宋体" w:cs="宋体"/>
          <w:b/>
          <w:bCs/>
          <w:spacing w:val="0"/>
          <w:w w:val="100"/>
          <w:position w:val="0"/>
          <w:sz w:val="24"/>
          <w:szCs w:val="24"/>
        </w:rPr>
        <w:t>1.</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采购人信息</w:t>
      </w:r>
      <w:bookmarkEnd w:id="17"/>
    </w:p>
    <w:p w14:paraId="517B1F44">
      <w:pPr>
        <w:pStyle w:val="7"/>
        <w:keepNext w:val="0"/>
        <w:keepLines w:val="0"/>
        <w:pageBreakBefore w:val="0"/>
        <w:widowControl/>
        <w:kinsoku/>
        <w:wordWrap/>
        <w:overflowPunct/>
        <w:topLinePunct w:val="0"/>
        <w:autoSpaceDE/>
        <w:autoSpaceDN/>
        <w:bidi w:val="0"/>
        <w:adjustRightInd w:val="0"/>
        <w:snapToGrid w:val="0"/>
        <w:spacing w:before="183" w:line="189" w:lineRule="auto"/>
        <w:ind w:left="0" w:firstLine="480" w:firstLineChars="20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t>名    称：</w:t>
      </w:r>
      <w:r>
        <w:rPr>
          <w:rFonts w:hint="eastAsia" w:cs="宋体"/>
          <w:spacing w:val="0"/>
          <w:w w:val="100"/>
          <w:position w:val="0"/>
          <w:sz w:val="24"/>
          <w:szCs w:val="24"/>
          <w:lang w:eastAsia="zh-CN"/>
        </w:rPr>
        <w:t>北京市门头沟区环境卫生服务中心</w:t>
      </w:r>
    </w:p>
    <w:p w14:paraId="3F16C17E">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w:t>
      </w:r>
    </w:p>
    <w:p w14:paraId="697A7340">
      <w:pPr>
        <w:pStyle w:val="7"/>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址：北京市门头沟区永定镇冯村西里 977 总站旁环境卫生服务中心</w:t>
      </w:r>
    </w:p>
    <w:p w14:paraId="171F71B1">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w:t>
      </w:r>
    </w:p>
    <w:p w14:paraId="123FF1E1">
      <w:pPr>
        <w:pStyle w:val="7"/>
        <w:keepNext w:val="0"/>
        <w:keepLines w:val="0"/>
        <w:pageBreakBefore w:val="0"/>
        <w:widowControl/>
        <w:kinsoku/>
        <w:wordWrap/>
        <w:overflowPunct/>
        <w:topLinePunct w:val="0"/>
        <w:autoSpaceDE/>
        <w:autoSpaceDN/>
        <w:bidi w:val="0"/>
        <w:adjustRightInd w:val="0"/>
        <w:snapToGrid w:val="0"/>
        <w:spacing w:before="202" w:line="222" w:lineRule="auto"/>
        <w:ind w:left="0" w:firstLine="480" w:firstLineChars="200"/>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rPr>
        <w:t>联系方式：王老师，010-69869114</w:t>
      </w:r>
    </w:p>
    <w:p w14:paraId="6B73E925">
      <w:pPr>
        <w:pStyle w:val="7"/>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8" w:name="_Toc16869"/>
      <w:r>
        <w:rPr>
          <w:rFonts w:hint="eastAsia" w:ascii="宋体" w:hAnsi="宋体" w:eastAsia="宋体" w:cs="宋体"/>
          <w:b/>
          <w:bCs/>
          <w:spacing w:val="0"/>
          <w:w w:val="100"/>
          <w:position w:val="0"/>
          <w:sz w:val="24"/>
          <w:szCs w:val="24"/>
        </w:rPr>
        <w:t>2.</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采购代理机构信息</w:t>
      </w:r>
      <w:bookmarkEnd w:id="18"/>
    </w:p>
    <w:p w14:paraId="726454FC">
      <w:pPr>
        <w:pStyle w:val="7"/>
        <w:keepNext w:val="0"/>
        <w:keepLines w:val="0"/>
        <w:pageBreakBefore w:val="0"/>
        <w:widowControl/>
        <w:kinsoku/>
        <w:wordWrap/>
        <w:overflowPunct/>
        <w:topLinePunct w:val="0"/>
        <w:autoSpaceDE/>
        <w:autoSpaceDN/>
        <w:bidi w:val="0"/>
        <w:adjustRightInd w:val="0"/>
        <w:snapToGrid w:val="0"/>
        <w:spacing w:before="181" w:line="189" w:lineRule="auto"/>
        <w:ind w:left="0" w:firstLine="480" w:firstLineChars="200"/>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rPr>
        <w:t>名    称：</w:t>
      </w:r>
      <w:r>
        <w:rPr>
          <w:rFonts w:hint="eastAsia" w:cs="宋体"/>
          <w:spacing w:val="0"/>
          <w:w w:val="100"/>
          <w:position w:val="0"/>
          <w:sz w:val="24"/>
          <w:szCs w:val="24"/>
          <w:lang w:val="en-US" w:eastAsia="zh-CN"/>
        </w:rPr>
        <w:t>汇信（北京）工程管理有限公司</w:t>
      </w:r>
    </w:p>
    <w:p w14:paraId="6C2EB983">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w:t>
      </w:r>
    </w:p>
    <w:p w14:paraId="3945AF8E">
      <w:pPr>
        <w:pStyle w:val="7"/>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    址：北京市经济开发区亦庄云时代B2座-18层</w:t>
      </w:r>
    </w:p>
    <w:p w14:paraId="2256B157">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w:t>
      </w:r>
    </w:p>
    <w:p w14:paraId="34F6FC39">
      <w:pPr>
        <w:pStyle w:val="7"/>
        <w:keepNext w:val="0"/>
        <w:keepLines w:val="0"/>
        <w:pageBreakBefore w:val="0"/>
        <w:widowControl/>
        <w:kinsoku/>
        <w:wordWrap/>
        <w:overflowPunct/>
        <w:topLinePunct w:val="0"/>
        <w:autoSpaceDE/>
        <w:autoSpaceDN/>
        <w:bidi w:val="0"/>
        <w:adjustRightInd w:val="0"/>
        <w:snapToGrid w:val="0"/>
        <w:spacing w:before="202" w:line="222"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联系方式：赵晓明、程远卫010-53387002</w:t>
      </w:r>
    </w:p>
    <w:p w14:paraId="60988511">
      <w:pPr>
        <w:pStyle w:val="7"/>
        <w:keepNext w:val="0"/>
        <w:keepLines w:val="0"/>
        <w:pageBreakBefore w:val="0"/>
        <w:widowControl/>
        <w:kinsoku/>
        <w:wordWrap/>
        <w:overflowPunct/>
        <w:topLinePunct w:val="0"/>
        <w:autoSpaceDE/>
        <w:autoSpaceDN/>
        <w:bidi w:val="0"/>
        <w:adjustRightInd w:val="0"/>
        <w:snapToGrid w:val="0"/>
        <w:spacing w:before="179" w:line="221"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9" w:name="_Toc25481"/>
      <w:r>
        <w:rPr>
          <w:rFonts w:hint="eastAsia" w:ascii="宋体" w:hAnsi="宋体" w:eastAsia="宋体" w:cs="宋体"/>
          <w:b/>
          <w:bCs/>
          <w:spacing w:val="0"/>
          <w:w w:val="100"/>
          <w:position w:val="0"/>
          <w:sz w:val="24"/>
          <w:szCs w:val="24"/>
        </w:rPr>
        <w:t>3.</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项目联系方式</w:t>
      </w:r>
      <w:bookmarkEnd w:id="19"/>
    </w:p>
    <w:p w14:paraId="53DA4E8E">
      <w:pPr>
        <w:pStyle w:val="7"/>
        <w:keepNext w:val="0"/>
        <w:keepLines w:val="0"/>
        <w:pageBreakBefore w:val="0"/>
        <w:widowControl/>
        <w:kinsoku/>
        <w:wordWrap/>
        <w:overflowPunct/>
        <w:topLinePunct w:val="0"/>
        <w:autoSpaceDE/>
        <w:autoSpaceDN/>
        <w:bidi w:val="0"/>
        <w:adjustRightInd w:val="0"/>
        <w:snapToGrid w:val="0"/>
        <w:spacing w:before="179" w:line="189"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项目联系人：赵晓明、程远卫</w:t>
      </w:r>
    </w:p>
    <w:p w14:paraId="552D4C03">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14:paraId="4142F5CA">
      <w:pPr>
        <w:pStyle w:val="7"/>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      话：010-53387002</w:t>
      </w:r>
    </w:p>
    <w:p w14:paraId="2A70669D">
      <w:pPr>
        <w:keepNext w:val="0"/>
        <w:keepLines w:val="0"/>
        <w:pageBreakBefore w:val="0"/>
        <w:widowControl/>
        <w:kinsoku/>
        <w:wordWrap/>
        <w:overflowPunct/>
        <w:topLinePunct w:val="0"/>
        <w:autoSpaceDE/>
        <w:autoSpaceDN/>
        <w:bidi w:val="0"/>
        <w:adjustRightInd w:val="0"/>
        <w:snapToGrid w:val="0"/>
        <w:spacing w:line="19" w:lineRule="exact"/>
        <w:ind w:left="221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14:paraId="1490B6B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06D0A11E">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20" w:name="_Toc1525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投标人须知</w:t>
      </w:r>
      <w:bookmarkEnd w:id="20"/>
    </w:p>
    <w:p w14:paraId="240137A1">
      <w:pPr>
        <w:pStyle w:val="7"/>
        <w:keepNext w:val="0"/>
        <w:keepLines w:val="0"/>
        <w:pageBreakBefore w:val="0"/>
        <w:widowControl/>
        <w:kinsoku/>
        <w:wordWrap/>
        <w:overflowPunct/>
        <w:topLinePunct w:val="0"/>
        <w:autoSpaceDE/>
        <w:autoSpaceDN/>
        <w:bidi w:val="0"/>
        <w:adjustRightInd w:val="0"/>
        <w:snapToGrid w:val="0"/>
        <w:spacing w:line="360" w:lineRule="auto"/>
        <w:jc w:val="center"/>
        <w:textAlignment w:val="baseline"/>
        <w:outlineLvl w:val="1"/>
        <w:rPr>
          <w:rFonts w:hint="eastAsia" w:ascii="宋体" w:hAnsi="宋体" w:eastAsia="宋体" w:cs="宋体"/>
          <w:spacing w:val="0"/>
          <w:w w:val="100"/>
          <w:position w:val="0"/>
          <w:sz w:val="21"/>
        </w:rPr>
      </w:pPr>
      <w:bookmarkStart w:id="21" w:name="_Toc702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投标人须知资料表</w:t>
      </w:r>
      <w:bookmarkEnd w:id="21"/>
    </w:p>
    <w:p w14:paraId="538238D3">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本表是对投标人须知的具体补充和修改，如有矛盾，均以本资料表为准。标记“■”的选项意为适用于本项目，标记“□”的选项意为不适用于本项目。</w:t>
      </w:r>
    </w:p>
    <w:tbl>
      <w:tblPr>
        <w:tblStyle w:val="25"/>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615C1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14:paraId="4013D2D4">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条款号</w:t>
            </w:r>
          </w:p>
        </w:tc>
        <w:tc>
          <w:tcPr>
            <w:tcW w:w="1700" w:type="dxa"/>
            <w:vAlign w:val="center"/>
          </w:tcPr>
          <w:p w14:paraId="7A9E09C9">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条目</w:t>
            </w:r>
          </w:p>
        </w:tc>
        <w:tc>
          <w:tcPr>
            <w:tcW w:w="7542" w:type="dxa"/>
            <w:vAlign w:val="center"/>
          </w:tcPr>
          <w:p w14:paraId="37728D56">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内容</w:t>
            </w:r>
          </w:p>
        </w:tc>
      </w:tr>
      <w:tr w14:paraId="4ECFE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14:paraId="3E2EA76B">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700" w:type="dxa"/>
            <w:vAlign w:val="center"/>
          </w:tcPr>
          <w:p w14:paraId="16C96896">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tc>
        <w:tc>
          <w:tcPr>
            <w:tcW w:w="7542" w:type="dxa"/>
            <w:vAlign w:val="center"/>
          </w:tcPr>
          <w:p w14:paraId="0F743DDC">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p w14:paraId="1A529D62">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■服务</w:t>
            </w:r>
          </w:p>
          <w:p w14:paraId="7F0EAD2D">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货物</w:t>
            </w:r>
          </w:p>
        </w:tc>
      </w:tr>
      <w:tr w14:paraId="08B51A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14:paraId="2A30E7D9">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p>
        </w:tc>
        <w:tc>
          <w:tcPr>
            <w:tcW w:w="1700" w:type="dxa"/>
            <w:vAlign w:val="center"/>
          </w:tcPr>
          <w:p w14:paraId="5D6A82D9">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科研仪器设备</w:t>
            </w:r>
          </w:p>
        </w:tc>
        <w:tc>
          <w:tcPr>
            <w:tcW w:w="7542" w:type="dxa"/>
            <w:vAlign w:val="center"/>
          </w:tcPr>
          <w:p w14:paraId="27C2D6D9">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是否属于科研仪器设备采购项目：</w:t>
            </w:r>
          </w:p>
          <w:p w14:paraId="304863AC">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是</w:t>
            </w:r>
          </w:p>
          <w:p w14:paraId="2E04E7C6">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■否</w:t>
            </w:r>
          </w:p>
        </w:tc>
      </w:tr>
      <w:tr w14:paraId="263646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14:paraId="434BB9B2">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p>
        </w:tc>
        <w:tc>
          <w:tcPr>
            <w:tcW w:w="1700" w:type="dxa"/>
            <w:vAlign w:val="center"/>
          </w:tcPr>
          <w:p w14:paraId="630FDFFF">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核心产品</w:t>
            </w:r>
          </w:p>
        </w:tc>
        <w:tc>
          <w:tcPr>
            <w:tcW w:w="7542" w:type="dxa"/>
            <w:vAlign w:val="center"/>
          </w:tcPr>
          <w:p w14:paraId="1A957888">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■关于核心产品本项目</w:t>
            </w:r>
            <w:r>
              <w:rPr>
                <w:rFonts w:hint="eastAsia" w:cs="宋体"/>
                <w:spacing w:val="0"/>
                <w:w w:val="100"/>
                <w:position w:val="0"/>
                <w:sz w:val="24"/>
                <w:szCs w:val="24"/>
                <w:highlight w:val="none"/>
                <w:u w:val="single"/>
                <w:lang w:eastAsia="zh-CN"/>
              </w:rPr>
              <w:t xml:space="preserve"> </w:t>
            </w:r>
            <w:r>
              <w:rPr>
                <w:rFonts w:hint="eastAsia" w:cs="宋体"/>
                <w:spacing w:val="0"/>
                <w:w w:val="100"/>
                <w:position w:val="0"/>
                <w:sz w:val="24"/>
                <w:szCs w:val="24"/>
                <w:highlight w:val="none"/>
                <w:u w:val="single"/>
                <w:lang w:val="en-US" w:eastAsia="zh-CN"/>
              </w:rPr>
              <w:t xml:space="preserve"> 01  </w:t>
            </w:r>
            <w:r>
              <w:rPr>
                <w:rFonts w:hint="eastAsia" w:ascii="宋体" w:hAnsi="宋体" w:eastAsia="宋体" w:cs="宋体"/>
                <w:spacing w:val="0"/>
                <w:w w:val="100"/>
                <w:position w:val="0"/>
                <w:sz w:val="24"/>
                <w:szCs w:val="24"/>
                <w:highlight w:val="none"/>
              </w:rPr>
              <w:t>包不适用。</w:t>
            </w:r>
          </w:p>
          <w:p w14:paraId="5AF7A406">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w:t>
            </w:r>
            <w:r>
              <w:rPr>
                <w:rFonts w:hint="eastAsia" w:cs="宋体"/>
                <w:spacing w:val="0"/>
                <w:w w:val="100"/>
                <w:position w:val="0"/>
                <w:sz w:val="24"/>
                <w:szCs w:val="24"/>
                <w:highlight w:val="none"/>
                <w:u w:val="single"/>
                <w:lang w:eastAsia="zh-CN"/>
              </w:rPr>
              <w:t xml:space="preserve"> </w:t>
            </w:r>
            <w:r>
              <w:rPr>
                <w:rFonts w:hint="eastAsia" w:cs="宋体"/>
                <w:spacing w:val="0"/>
                <w:w w:val="100"/>
                <w:position w:val="0"/>
                <w:sz w:val="24"/>
                <w:szCs w:val="24"/>
                <w:highlight w:val="none"/>
                <w:u w:val="single"/>
                <w:lang w:val="en-US" w:eastAsia="zh-CN"/>
              </w:rPr>
              <w:t xml:space="preserve">     </w:t>
            </w:r>
            <w:r>
              <w:rPr>
                <w:rFonts w:hint="eastAsia" w:ascii="宋体" w:hAnsi="宋体" w:eastAsia="宋体" w:cs="宋体"/>
                <w:spacing w:val="0"/>
                <w:w w:val="100"/>
                <w:position w:val="0"/>
                <w:sz w:val="24"/>
                <w:szCs w:val="24"/>
                <w:highlight w:val="none"/>
              </w:rPr>
              <w:t>包为单一产品采购项目。</w:t>
            </w:r>
          </w:p>
          <w:p w14:paraId="6042630E">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w:t>
            </w:r>
            <w:r>
              <w:rPr>
                <w:rFonts w:hint="eastAsia" w:cs="宋体"/>
                <w:spacing w:val="0"/>
                <w:w w:val="100"/>
                <w:position w:val="0"/>
                <w:sz w:val="24"/>
                <w:szCs w:val="24"/>
                <w:highlight w:val="none"/>
                <w:u w:val="single"/>
                <w:lang w:val="en-US" w:eastAsia="zh-CN"/>
              </w:rPr>
              <w:t xml:space="preserve">      </w:t>
            </w:r>
            <w:r>
              <w:rPr>
                <w:rFonts w:hint="eastAsia" w:ascii="宋体" w:hAnsi="宋体" w:eastAsia="宋体" w:cs="宋体"/>
                <w:spacing w:val="0"/>
                <w:w w:val="100"/>
                <w:position w:val="0"/>
                <w:sz w:val="24"/>
                <w:szCs w:val="24"/>
                <w:highlight w:val="none"/>
              </w:rPr>
              <w:t>包为非单一产品采购项目，核心产品为：</w:t>
            </w:r>
            <w:r>
              <w:rPr>
                <w:rFonts w:hint="eastAsia" w:cs="宋体"/>
                <w:spacing w:val="0"/>
                <w:w w:val="100"/>
                <w:position w:val="0"/>
                <w:sz w:val="24"/>
                <w:szCs w:val="24"/>
                <w:highlight w:val="none"/>
                <w:u w:val="single" w:color="auto"/>
                <w:lang w:val="en-US" w:eastAsia="zh-CN"/>
              </w:rPr>
              <w:t xml:space="preserve">     </w:t>
            </w:r>
            <w:r>
              <w:rPr>
                <w:rFonts w:hint="eastAsia" w:ascii="宋体" w:hAnsi="宋体" w:eastAsia="宋体" w:cs="宋体"/>
                <w:spacing w:val="0"/>
                <w:w w:val="100"/>
                <w:position w:val="0"/>
                <w:sz w:val="24"/>
                <w:szCs w:val="24"/>
                <w:highlight w:val="none"/>
              </w:rPr>
              <w:t>。</w:t>
            </w:r>
          </w:p>
        </w:tc>
      </w:tr>
      <w:tr w14:paraId="0DCEF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14:paraId="7234FE3A">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700" w:type="dxa"/>
            <w:vAlign w:val="center"/>
          </w:tcPr>
          <w:p w14:paraId="743CCF9D">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t>现场考察</w:t>
            </w:r>
          </w:p>
        </w:tc>
        <w:tc>
          <w:tcPr>
            <w:tcW w:w="7542" w:type="dxa"/>
            <w:vAlign w:val="center"/>
          </w:tcPr>
          <w:p w14:paraId="7193B4FE">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■不组织</w:t>
            </w:r>
          </w:p>
          <w:p w14:paraId="6E7EB966">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组织，考察时间：__年_月_日_点_分</w:t>
            </w:r>
          </w:p>
          <w:p w14:paraId="3DFA62C5">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考察地点：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16737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14:paraId="5B06DE8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p>
        </w:tc>
        <w:tc>
          <w:tcPr>
            <w:tcW w:w="1700" w:type="dxa"/>
            <w:vAlign w:val="center"/>
          </w:tcPr>
          <w:p w14:paraId="0A744A81">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开标前答疑会</w:t>
            </w:r>
          </w:p>
        </w:tc>
        <w:tc>
          <w:tcPr>
            <w:tcW w:w="7542" w:type="dxa"/>
            <w:vAlign w:val="center"/>
          </w:tcPr>
          <w:p w14:paraId="31CD6812">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■不召开</w:t>
            </w:r>
          </w:p>
          <w:p w14:paraId="100B6C9C">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召开，召开时间：__年_月_日_点_分</w:t>
            </w:r>
          </w:p>
          <w:p w14:paraId="0709CC4C">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召开地点：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013BE3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14:paraId="3AC17FD7">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p>
        </w:tc>
        <w:tc>
          <w:tcPr>
            <w:tcW w:w="1700" w:type="dxa"/>
            <w:vAlign w:val="center"/>
          </w:tcPr>
          <w:p w14:paraId="6774D0C2">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样品</w:t>
            </w:r>
          </w:p>
        </w:tc>
        <w:tc>
          <w:tcPr>
            <w:tcW w:w="7542" w:type="dxa"/>
            <w:vAlign w:val="center"/>
          </w:tcPr>
          <w:p w14:paraId="4F4118CC">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投标样品递交：</w:t>
            </w:r>
          </w:p>
          <w:p w14:paraId="0FFFD7AC">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■不需要</w:t>
            </w:r>
          </w:p>
          <w:p w14:paraId="59D71B29">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需要，具体要求如下：</w:t>
            </w:r>
          </w:p>
          <w:p w14:paraId="663EA696">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（1）样品制作的标准和要求：</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1E5C469C">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（2）是否需要随样品</w:t>
            </w:r>
            <w:r>
              <w:rPr>
                <w:rFonts w:hint="eastAsia" w:cs="宋体"/>
                <w:spacing w:val="0"/>
                <w:w w:val="100"/>
                <w:position w:val="0"/>
                <w:sz w:val="24"/>
                <w:szCs w:val="24"/>
                <w:lang w:val="en-US" w:eastAsia="zh-CN"/>
              </w:rPr>
              <w:t>提</w:t>
            </w:r>
            <w:r>
              <w:rPr>
                <w:rFonts w:hint="eastAsia" w:ascii="宋体" w:hAnsi="宋体" w:eastAsia="宋体" w:cs="宋体"/>
                <w:spacing w:val="0"/>
                <w:w w:val="100"/>
                <w:position w:val="0"/>
                <w:sz w:val="24"/>
                <w:szCs w:val="24"/>
              </w:rPr>
              <w:t>交相关检测报告：</w:t>
            </w:r>
          </w:p>
          <w:p w14:paraId="3434D0D8">
            <w:pPr>
              <w:pStyle w:val="26"/>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口不需要</w:t>
            </w:r>
          </w:p>
          <w:p w14:paraId="6A7A90C2">
            <w:pPr>
              <w:pStyle w:val="26"/>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口需要</w:t>
            </w:r>
          </w:p>
          <w:p w14:paraId="56464FA1">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（3）样品递交要求：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1A873049">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（4）未中标人样品退还：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49D4195C">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（5）中标人样品保管、封存及退还：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1E087EB0">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（6）其他要求（如有）：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23AF1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blHeader/>
          <w:jc w:val="center"/>
        </w:trPr>
        <w:tc>
          <w:tcPr>
            <w:tcW w:w="992" w:type="dxa"/>
            <w:vAlign w:val="center"/>
          </w:tcPr>
          <w:p w14:paraId="5890372F">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w:t>
            </w:r>
          </w:p>
        </w:tc>
        <w:tc>
          <w:tcPr>
            <w:tcW w:w="1700" w:type="dxa"/>
            <w:vAlign w:val="center"/>
          </w:tcPr>
          <w:p w14:paraId="1787244D">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t>标的所属行业</w:t>
            </w:r>
          </w:p>
        </w:tc>
        <w:tc>
          <w:tcPr>
            <w:tcW w:w="7542" w:type="dxa"/>
            <w:vAlign w:val="center"/>
          </w:tcPr>
          <w:p w14:paraId="2424EDF7">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本项目采购标的对应的中小企业划分标准所属行业：</w:t>
            </w:r>
          </w:p>
          <w:tbl>
            <w:tblPr>
              <w:tblStyle w:val="25"/>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1E020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14:paraId="374DA5F8">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cs="宋体"/>
                      <w:spacing w:val="0"/>
                      <w:w w:val="100"/>
                      <w:position w:val="0"/>
                      <w:sz w:val="24"/>
                      <w:szCs w:val="24"/>
                      <w:lang w:val="en-US" w:eastAsia="zh-CN"/>
                    </w:rPr>
                    <w:t>序号</w:t>
                  </w:r>
                </w:p>
              </w:tc>
              <w:tc>
                <w:tcPr>
                  <w:tcW w:w="2798" w:type="dxa"/>
                  <w:vAlign w:val="center"/>
                </w:tcPr>
                <w:p w14:paraId="23E84DF7">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标的名称</w:t>
                  </w:r>
                </w:p>
              </w:tc>
              <w:tc>
                <w:tcPr>
                  <w:tcW w:w="3241" w:type="dxa"/>
                  <w:vAlign w:val="center"/>
                </w:tcPr>
                <w:p w14:paraId="7F468609">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中小企业划分标准所属行业</w:t>
                  </w:r>
                </w:p>
              </w:tc>
            </w:tr>
            <w:tr w14:paraId="6ED43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6E35213E">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b/>
                      <w:bCs/>
                      <w:spacing w:val="0"/>
                      <w:w w:val="100"/>
                      <w:position w:val="0"/>
                      <w:sz w:val="24"/>
                      <w:szCs w:val="24"/>
                      <w:lang w:val="en-US" w:eastAsia="zh-CN"/>
                    </w:rPr>
                  </w:pPr>
                  <w:r>
                    <w:rPr>
                      <w:rFonts w:hint="eastAsia" w:ascii="宋体" w:hAnsi="宋体" w:eastAsia="宋体" w:cs="宋体"/>
                      <w:b/>
                      <w:bCs/>
                      <w:spacing w:val="0"/>
                      <w:w w:val="100"/>
                      <w:position w:val="0"/>
                      <w:sz w:val="24"/>
                      <w:szCs w:val="24"/>
                      <w:lang w:val="en-US" w:eastAsia="zh-CN"/>
                    </w:rPr>
                    <w:t>1</w:t>
                  </w:r>
                </w:p>
              </w:tc>
              <w:tc>
                <w:tcPr>
                  <w:tcW w:w="2798" w:type="dxa"/>
                  <w:vAlign w:val="center"/>
                </w:tcPr>
                <w:p w14:paraId="2F838D91">
                  <w:pPr>
                    <w:keepNext w:val="0"/>
                    <w:keepLines w:val="0"/>
                    <w:pageBreakBefore w:val="0"/>
                    <w:widowControl w:val="0"/>
                    <w:kinsoku/>
                    <w:wordWrap/>
                    <w:overflowPunct/>
                    <w:topLinePunct w:val="0"/>
                    <w:autoSpaceDE/>
                    <w:autoSpaceDN/>
                    <w:bidi w:val="0"/>
                    <w:adjustRightInd/>
                    <w:snapToGrid/>
                    <w:jc w:val="center"/>
                    <w:textAlignment w:val="auto"/>
                    <w:rPr>
                      <w:rFonts w:hint="default"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公厕保洁</w:t>
                  </w:r>
                </w:p>
              </w:tc>
              <w:tc>
                <w:tcPr>
                  <w:tcW w:w="3241" w:type="dxa"/>
                  <w:vAlign w:val="center"/>
                </w:tcPr>
                <w:p w14:paraId="43DE599F">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b/>
                      <w:bCs/>
                      <w:spacing w:val="0"/>
                      <w:w w:val="100"/>
                      <w:position w:val="0"/>
                      <w:sz w:val="24"/>
                      <w:szCs w:val="24"/>
                      <w:lang w:val="en-US" w:eastAsia="zh-CN"/>
                    </w:rPr>
                  </w:pPr>
                  <w:r>
                    <w:rPr>
                      <w:rFonts w:hint="eastAsia" w:ascii="宋体" w:hAnsi="宋体" w:eastAsia="宋体" w:cs="宋体"/>
                      <w:b/>
                      <w:bCs/>
                      <w:spacing w:val="0"/>
                      <w:w w:val="100"/>
                      <w:position w:val="0"/>
                      <w:sz w:val="24"/>
                      <w:szCs w:val="24"/>
                      <w:lang w:val="en-US" w:eastAsia="zh-CN"/>
                    </w:rPr>
                    <w:t>其他未列明行业</w:t>
                  </w:r>
                </w:p>
              </w:tc>
            </w:tr>
          </w:tbl>
          <w:p w14:paraId="2C2DA53E">
            <w:pPr>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p>
        </w:tc>
      </w:tr>
      <w:tr w14:paraId="6FBB3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14:paraId="0436F23A">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p>
        </w:tc>
        <w:tc>
          <w:tcPr>
            <w:tcW w:w="1700" w:type="dxa"/>
            <w:vAlign w:val="center"/>
          </w:tcPr>
          <w:p w14:paraId="64A5AFA0">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w:t>
            </w:r>
          </w:p>
        </w:tc>
        <w:tc>
          <w:tcPr>
            <w:tcW w:w="7542" w:type="dxa"/>
            <w:vAlign w:val="center"/>
          </w:tcPr>
          <w:p w14:paraId="23D06B24">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投标报价的特殊规定：</w:t>
            </w:r>
          </w:p>
          <w:p w14:paraId="466EE432">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w:t>
            </w:r>
          </w:p>
          <w:p w14:paraId="18354FFA">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有，具体情形：______</w:t>
            </w:r>
            <w:r>
              <w:rPr>
                <w:rFonts w:hint="eastAsia" w:cs="宋体"/>
                <w:spacing w:val="0"/>
                <w:w w:val="100"/>
                <w:position w:val="0"/>
                <w:sz w:val="24"/>
                <w:szCs w:val="24"/>
                <w:lang w:eastAsia="zh-CN"/>
              </w:rPr>
              <w:t>。</w:t>
            </w:r>
          </w:p>
        </w:tc>
      </w:tr>
      <w:tr w14:paraId="1DA51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19BD74BB">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p>
        </w:tc>
        <w:tc>
          <w:tcPr>
            <w:tcW w:w="1700" w:type="dxa"/>
            <w:vMerge w:val="restart"/>
            <w:tcBorders>
              <w:bottom w:val="nil"/>
            </w:tcBorders>
            <w:vAlign w:val="center"/>
          </w:tcPr>
          <w:p w14:paraId="06F13643">
            <w:pPr>
              <w:pStyle w:val="26"/>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7542" w:type="dxa"/>
            <w:vAlign w:val="center"/>
          </w:tcPr>
          <w:p w14:paraId="139011D4">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投标保证金金额：</w:t>
            </w:r>
          </w:p>
          <w:p w14:paraId="3DDB72BC">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rPr>
              <w:t>0</w:t>
            </w:r>
            <w:r>
              <w:rPr>
                <w:rFonts w:hint="eastAsia" w:cs="宋体"/>
                <w:spacing w:val="0"/>
                <w:w w:val="100"/>
                <w:position w:val="0"/>
                <w:lang w:val="en-US" w:eastAsia="zh-CN"/>
              </w:rPr>
              <w:t>1</w:t>
            </w:r>
            <w:r>
              <w:rPr>
                <w:rFonts w:hint="eastAsia" w:ascii="宋体" w:hAnsi="宋体" w:eastAsia="宋体" w:cs="宋体"/>
                <w:spacing w:val="0"/>
                <w:w w:val="100"/>
                <w:position w:val="0"/>
              </w:rPr>
              <w:t>包：</w:t>
            </w:r>
            <w:r>
              <w:rPr>
                <w:rFonts w:hint="eastAsia" w:ascii="宋体" w:hAnsi="宋体" w:eastAsia="宋体" w:cs="宋体"/>
                <w:spacing w:val="0"/>
                <w:w w:val="100"/>
                <w:position w:val="0"/>
                <w:u w:val="single" w:color="auto"/>
              </w:rPr>
              <w:t xml:space="preserve">  </w:t>
            </w:r>
            <w:r>
              <w:rPr>
                <w:rFonts w:hint="eastAsia" w:cs="宋体"/>
                <w:spacing w:val="0"/>
                <w:w w:val="100"/>
                <w:position w:val="0"/>
                <w:highlight w:val="none"/>
                <w:u w:val="single" w:color="auto"/>
                <w:lang w:val="en-US" w:eastAsia="zh-CN"/>
              </w:rPr>
              <w:t>2.00万元（贰万元）</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u w:val="single" w:color="auto"/>
              </w:rPr>
              <w:t xml:space="preserve"> </w:t>
            </w:r>
            <w:r>
              <w:rPr>
                <w:rFonts w:hint="eastAsia" w:cs="宋体"/>
                <w:spacing w:val="0"/>
                <w:w w:val="100"/>
                <w:position w:val="0"/>
                <w:lang w:eastAsia="zh-CN"/>
              </w:rPr>
              <w:t>。</w:t>
            </w:r>
          </w:p>
          <w:p w14:paraId="4EA7191B">
            <w:pPr>
              <w:keepNext w:val="0"/>
              <w:keepLines w:val="0"/>
              <w:pageBreakBefore w:val="0"/>
              <w:widowControl/>
              <w:wordWrap/>
              <w:overflowPunct/>
              <w:topLinePunct w:val="0"/>
              <w:bidi w:val="0"/>
              <w:adjustRightInd w:val="0"/>
              <w:snapToGrid w:val="0"/>
              <w:spacing w:line="240" w:lineRule="auto"/>
              <w:textAlignment w:val="baseline"/>
              <w:rPr>
                <w:rFonts w:ascii="宋体" w:hAnsi="宋体"/>
                <w:sz w:val="24"/>
              </w:rPr>
            </w:pPr>
            <w:r>
              <w:rPr>
                <w:rFonts w:hint="eastAsia" w:ascii="宋体" w:hAnsi="宋体" w:eastAsia="宋体" w:cs="宋体"/>
                <w:spacing w:val="0"/>
                <w:w w:val="100"/>
                <w:position w:val="0"/>
                <w:sz w:val="24"/>
                <w:szCs w:val="24"/>
              </w:rPr>
              <w:t>投标保证金收受人信息：</w:t>
            </w:r>
            <w:r>
              <w:rPr>
                <w:rFonts w:hint="eastAsia" w:ascii="宋体" w:hAnsi="宋体"/>
                <w:sz w:val="24"/>
                <w:u w:val="single"/>
              </w:rPr>
              <w:t>投标保证金可采用下列形式之一：</w:t>
            </w:r>
          </w:p>
          <w:p w14:paraId="464EC48B">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（1）支票（支票抬头：</w:t>
            </w:r>
            <w:r>
              <w:rPr>
                <w:rFonts w:hint="eastAsia" w:ascii="宋体" w:hAnsi="宋体" w:eastAsia="宋体" w:cs="宋体"/>
                <w:b w:val="0"/>
                <w:bCs/>
                <w:sz w:val="24"/>
                <w:u w:val="single"/>
                <w:lang w:eastAsia="zh-CN"/>
              </w:rPr>
              <w:t>汇信（北京）工程管理有限公司</w:t>
            </w:r>
            <w:r>
              <w:rPr>
                <w:rFonts w:hint="eastAsia" w:ascii="宋体" w:hAnsi="宋体" w:eastAsia="宋体" w:cs="宋体"/>
                <w:b w:val="0"/>
                <w:bCs/>
                <w:sz w:val="24"/>
                <w:u w:val="single"/>
              </w:rPr>
              <w:t>）；</w:t>
            </w:r>
          </w:p>
          <w:p w14:paraId="061064E6">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fldChar w:fldCharType="begin"/>
            </w:r>
            <w:r>
              <w:rPr>
                <w:rFonts w:hint="eastAsia" w:ascii="宋体" w:hAnsi="宋体" w:eastAsia="宋体" w:cs="宋体"/>
                <w:b w:val="0"/>
                <w:bCs/>
                <w:sz w:val="24"/>
                <w:u w:val="single"/>
              </w:rPr>
              <w:instrText xml:space="preserve"> HYPERLINK "mailto:(2）汇款（1.凡以汇款形式提交投标保证金的，投标人须在汇款当日将汇款凭证扫描件发送至18514520521@163.com并确保款项按招标文件要求时间到账，否则按未提交投标保证金处理" </w:instrText>
            </w:r>
            <w:r>
              <w:rPr>
                <w:rFonts w:hint="eastAsia" w:ascii="宋体" w:hAnsi="宋体" w:eastAsia="宋体" w:cs="宋体"/>
                <w:b w:val="0"/>
                <w:bCs/>
                <w:sz w:val="24"/>
                <w:u w:val="single"/>
              </w:rPr>
              <w:fldChar w:fldCharType="separate"/>
            </w:r>
            <w:r>
              <w:rPr>
                <w:rStyle w:val="22"/>
                <w:rFonts w:hint="eastAsia" w:ascii="宋体" w:hAnsi="宋体" w:eastAsia="宋体" w:cs="宋体"/>
                <w:b w:val="0"/>
                <w:bCs/>
                <w:color w:val="auto"/>
                <w:sz w:val="24"/>
                <w:u w:val="single"/>
                <w:lang w:eastAsia="zh-CN"/>
              </w:rPr>
              <w:t>（</w:t>
            </w:r>
            <w:r>
              <w:rPr>
                <w:rStyle w:val="22"/>
                <w:rFonts w:hint="eastAsia" w:ascii="宋体" w:hAnsi="宋体" w:eastAsia="宋体" w:cs="宋体"/>
                <w:b w:val="0"/>
                <w:bCs/>
                <w:color w:val="auto"/>
                <w:sz w:val="24"/>
                <w:u w:val="single"/>
                <w:lang w:val="en-US" w:eastAsia="zh-CN"/>
              </w:rPr>
              <w:t>2</w:t>
            </w:r>
            <w:r>
              <w:rPr>
                <w:rStyle w:val="22"/>
                <w:rFonts w:hint="eastAsia" w:ascii="宋体" w:hAnsi="宋体" w:eastAsia="宋体" w:cs="宋体"/>
                <w:b w:val="0"/>
                <w:bCs/>
                <w:color w:val="auto"/>
                <w:sz w:val="24"/>
                <w:u w:val="single"/>
                <w:lang w:eastAsia="zh-CN"/>
              </w:rPr>
              <w:t>）</w:t>
            </w:r>
            <w:r>
              <w:rPr>
                <w:rStyle w:val="22"/>
                <w:rFonts w:hint="eastAsia" w:ascii="宋体" w:hAnsi="宋体" w:eastAsia="宋体" w:cs="宋体"/>
                <w:b w:val="0"/>
                <w:bCs/>
                <w:color w:val="auto"/>
                <w:sz w:val="24"/>
                <w:u w:val="single"/>
              </w:rPr>
              <w:t>汇款（1.凡以汇款形式提交投标保证金的，投标人须在汇款当日将汇款凭证扫描件发送至huixin6283@163.com并确保款项按招标文件要求时间到账</w:t>
            </w:r>
            <w:r>
              <w:rPr>
                <w:rFonts w:hint="eastAsia" w:ascii="宋体" w:hAnsi="宋体" w:eastAsia="宋体" w:cs="宋体"/>
                <w:b w:val="0"/>
                <w:bCs/>
                <w:sz w:val="24"/>
                <w:u w:val="single"/>
              </w:rPr>
              <w:fldChar w:fldCharType="end"/>
            </w:r>
            <w:r>
              <w:rPr>
                <w:rFonts w:hint="eastAsia" w:ascii="宋体" w:hAnsi="宋体" w:eastAsia="宋体" w:cs="宋体"/>
                <w:b w:val="0"/>
                <w:bCs/>
                <w:sz w:val="24"/>
                <w:u w:val="single"/>
              </w:rPr>
              <w:t>；</w:t>
            </w:r>
          </w:p>
          <w:p w14:paraId="0EA96D80">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2.投标阶段投标保证金汇款凭证上用途栏应注明本项目招标编号【标准格式：</w:t>
            </w:r>
            <w:r>
              <w:rPr>
                <w:rFonts w:hint="eastAsia" w:ascii="宋体" w:hAnsi="宋体" w:eastAsia="宋体" w:cs="宋体"/>
                <w:b/>
                <w:bCs w:val="0"/>
                <w:sz w:val="24"/>
                <w:u w:val="single"/>
                <w:lang w:val="en-US" w:eastAsia="zh-CN"/>
              </w:rPr>
              <w:t>11010924210200010715-XM001</w:t>
            </w:r>
            <w:r>
              <w:rPr>
                <w:rFonts w:hint="eastAsia" w:ascii="宋体" w:hAnsi="宋体" w:eastAsia="宋体" w:cs="宋体"/>
                <w:b w:val="0"/>
                <w:bCs/>
                <w:sz w:val="24"/>
                <w:u w:val="single"/>
              </w:rPr>
              <w:t>】）；</w:t>
            </w:r>
          </w:p>
          <w:p w14:paraId="05B7B3FF">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sz w:val="24"/>
                <w:u w:val="single"/>
              </w:rPr>
            </w:pPr>
            <w:r>
              <w:rPr>
                <w:rFonts w:hint="eastAsia" w:ascii="宋体" w:hAnsi="宋体" w:eastAsia="宋体" w:cs="宋体"/>
                <w:b w:val="0"/>
                <w:bCs/>
                <w:sz w:val="24"/>
                <w:u w:val="single"/>
              </w:rPr>
              <w:t>注：邮件标题须以“</w:t>
            </w:r>
            <w:r>
              <w:rPr>
                <w:rFonts w:hint="eastAsia" w:ascii="宋体" w:hAnsi="宋体" w:eastAsia="宋体" w:cs="宋体"/>
                <w:b/>
                <w:bCs w:val="0"/>
                <w:sz w:val="24"/>
                <w:u w:val="single"/>
                <w:lang w:eastAsia="zh-CN"/>
              </w:rPr>
              <w:t>2025年度环卫中心公共厕所运行保洁服务项目</w:t>
            </w:r>
            <w:r>
              <w:rPr>
                <w:rFonts w:hint="eastAsia" w:ascii="宋体" w:hAnsi="宋体" w:eastAsia="宋体" w:cs="宋体"/>
                <w:b/>
                <w:bCs w:val="0"/>
                <w:sz w:val="24"/>
                <w:u w:val="single"/>
                <w:lang w:val="en-US" w:eastAsia="zh-CN"/>
              </w:rPr>
              <w:t>01包</w:t>
            </w:r>
            <w:r>
              <w:rPr>
                <w:rFonts w:hint="eastAsia" w:ascii="宋体" w:hAnsi="宋体" w:eastAsia="宋体" w:cs="宋体"/>
                <w:b w:val="0"/>
                <w:bCs/>
                <w:sz w:val="24"/>
                <w:u w:val="single"/>
              </w:rPr>
              <w:t xml:space="preserve"> 保证金”命名，邮件内容里需注明汇款经办人姓名、电话、投标单位账户信息。</w:t>
            </w:r>
          </w:p>
          <w:p w14:paraId="10EEFF3F">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lang w:eastAsia="zh-CN"/>
              </w:rPr>
            </w:pPr>
            <w:r>
              <w:rPr>
                <w:rFonts w:hint="eastAsia" w:ascii="宋体" w:hAnsi="宋体" w:eastAsia="宋体" w:cs="宋体"/>
                <w:b/>
                <w:bCs w:val="0"/>
                <w:sz w:val="24"/>
                <w:u w:val="single"/>
              </w:rPr>
              <w:t>账户名称：</w:t>
            </w:r>
            <w:r>
              <w:rPr>
                <w:rFonts w:hint="eastAsia" w:ascii="宋体" w:hAnsi="宋体" w:eastAsia="宋体" w:cs="宋体"/>
                <w:b/>
                <w:bCs w:val="0"/>
                <w:sz w:val="24"/>
                <w:u w:val="single"/>
                <w:lang w:eastAsia="zh-CN"/>
              </w:rPr>
              <w:t>汇信（北京）工程管理有限公司</w:t>
            </w:r>
          </w:p>
          <w:p w14:paraId="42044EC7">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lang w:eastAsia="zh-CN"/>
              </w:rPr>
            </w:pPr>
            <w:r>
              <w:rPr>
                <w:rFonts w:hint="eastAsia" w:ascii="宋体" w:hAnsi="宋体" w:eastAsia="宋体" w:cs="宋体"/>
                <w:b/>
                <w:bCs w:val="0"/>
                <w:sz w:val="24"/>
                <w:u w:val="single"/>
              </w:rPr>
              <w:t>开户银行：</w:t>
            </w:r>
            <w:r>
              <w:rPr>
                <w:rFonts w:hint="eastAsia" w:ascii="宋体" w:hAnsi="宋体" w:eastAsia="宋体" w:cs="宋体"/>
                <w:b/>
                <w:bCs w:val="0"/>
                <w:sz w:val="24"/>
                <w:u w:val="single"/>
                <w:lang w:eastAsia="zh-CN"/>
              </w:rPr>
              <w:t>上海浦东发展银行北京经济技术开发区支行</w:t>
            </w:r>
          </w:p>
          <w:p w14:paraId="528C8181">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rPr>
            </w:pPr>
            <w:r>
              <w:rPr>
                <w:rFonts w:hint="eastAsia" w:ascii="宋体" w:hAnsi="宋体" w:eastAsia="宋体" w:cs="宋体"/>
                <w:b/>
                <w:bCs w:val="0"/>
                <w:sz w:val="24"/>
                <w:u w:val="single"/>
              </w:rPr>
              <w:t>账  号： 9121 0078 8019 0000 1350</w:t>
            </w:r>
          </w:p>
          <w:p w14:paraId="15E9F699">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sz w:val="24"/>
                <w:u w:val="single"/>
              </w:rPr>
            </w:pPr>
            <w:r>
              <w:rPr>
                <w:rFonts w:hint="eastAsia" w:ascii="宋体" w:hAnsi="宋体" w:eastAsia="宋体" w:cs="宋体"/>
                <w:b/>
                <w:bCs w:val="0"/>
                <w:sz w:val="24"/>
                <w:u w:val="single"/>
              </w:rPr>
              <w:t>开 户 行 行 号：310100000204</w:t>
            </w:r>
          </w:p>
          <w:p w14:paraId="227D36FF">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val="0"/>
                <w:bCs/>
                <w:sz w:val="24"/>
                <w:u w:val="single"/>
              </w:rPr>
              <w:t>（3）投标担保函原件</w:t>
            </w:r>
            <w:r>
              <w:rPr>
                <w:rFonts w:hint="eastAsia" w:ascii="宋体" w:hAnsi="宋体" w:eastAsia="宋体" w:cs="宋体"/>
                <w:b w:val="0"/>
                <w:bCs/>
                <w:spacing w:val="0"/>
                <w:w w:val="100"/>
                <w:position w:val="0"/>
              </w:rPr>
              <w:t>。</w:t>
            </w:r>
          </w:p>
        </w:tc>
      </w:tr>
      <w:tr w14:paraId="343FB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14:paraId="2EE17DF0">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p>
        </w:tc>
        <w:tc>
          <w:tcPr>
            <w:tcW w:w="1700" w:type="dxa"/>
            <w:vMerge w:val="continue"/>
            <w:tcBorders>
              <w:top w:val="nil"/>
            </w:tcBorders>
            <w:vAlign w:val="center"/>
          </w:tcPr>
          <w:p w14:paraId="340E7A38">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1"/>
              </w:rPr>
            </w:pPr>
          </w:p>
        </w:tc>
        <w:tc>
          <w:tcPr>
            <w:tcW w:w="7542" w:type="dxa"/>
            <w:vAlign w:val="center"/>
          </w:tcPr>
          <w:p w14:paraId="47602C06">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投标保证金可以不予退还的其他情形：</w:t>
            </w:r>
          </w:p>
          <w:p w14:paraId="5F6E3418">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无</w:t>
            </w:r>
          </w:p>
          <w:p w14:paraId="19F57F9A">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cs="宋体"/>
                <w:spacing w:val="0"/>
                <w:w w:val="100"/>
                <w:position w:val="0"/>
                <w:lang w:eastAsia="zh-CN"/>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有，具体情形：</w:t>
            </w:r>
            <w:r>
              <w:rPr>
                <w:rFonts w:hint="eastAsia" w:cs="宋体"/>
                <w:spacing w:val="0"/>
                <w:w w:val="100"/>
                <w:position w:val="0"/>
                <w:u w:val="single" w:color="auto"/>
                <w:lang w:eastAsia="zh-CN"/>
              </w:rPr>
              <w:t>（</w:t>
            </w:r>
            <w:r>
              <w:rPr>
                <w:rFonts w:hint="eastAsia" w:cs="宋体"/>
                <w:spacing w:val="0"/>
                <w:w w:val="100"/>
                <w:position w:val="0"/>
                <w:u w:val="single" w:color="auto"/>
                <w:lang w:val="en-US" w:eastAsia="zh-CN"/>
              </w:rPr>
              <w:t>1</w:t>
            </w:r>
            <w:r>
              <w:rPr>
                <w:rFonts w:hint="eastAsia" w:cs="宋体"/>
                <w:spacing w:val="0"/>
                <w:w w:val="100"/>
                <w:position w:val="0"/>
                <w:u w:val="single" w:color="auto"/>
                <w:lang w:eastAsia="zh-CN"/>
              </w:rPr>
              <w:t>）</w:t>
            </w:r>
            <w:r>
              <w:rPr>
                <w:rFonts w:hint="eastAsia" w:ascii="宋体" w:hAnsi="宋体" w:eastAsia="宋体" w:cs="宋体"/>
                <w:spacing w:val="0"/>
                <w:w w:val="100"/>
                <w:position w:val="0"/>
                <w:u w:val="single" w:color="auto"/>
              </w:rPr>
              <w:t>投标人在收到中标通知书后，未按招标文件要求与采购人签订政府采购合同</w:t>
            </w:r>
            <w:r>
              <w:rPr>
                <w:rFonts w:hint="eastAsia" w:cs="宋体"/>
                <w:spacing w:val="0"/>
                <w:w w:val="100"/>
                <w:position w:val="0"/>
                <w:u w:val="single"/>
                <w:lang w:eastAsia="zh-CN"/>
              </w:rPr>
              <w:t>；</w:t>
            </w:r>
          </w:p>
          <w:p w14:paraId="5757A115">
            <w:pPr>
              <w:pStyle w:val="26"/>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textAlignment w:val="baseline"/>
              <w:rPr>
                <w:rFonts w:hint="eastAsia"/>
                <w:sz w:val="24"/>
                <w:u w:val="single"/>
                <w:lang w:eastAsia="zh-CN"/>
              </w:rPr>
            </w:pPr>
            <w:r>
              <w:rPr>
                <w:rFonts w:hint="eastAsia" w:ascii="宋体" w:hAnsi="宋体" w:eastAsia="宋体" w:cs="宋体"/>
                <w:snapToGrid w:val="0"/>
                <w:color w:val="000000"/>
                <w:kern w:val="0"/>
                <w:sz w:val="24"/>
                <w:szCs w:val="24"/>
                <w:lang w:val="en-US" w:eastAsia="zh-CN" w:bidi="ar-SA"/>
              </w:rPr>
              <w:t>（2）</w:t>
            </w:r>
            <w:r>
              <w:rPr>
                <w:rFonts w:hint="eastAsia" w:hAnsi="宋体"/>
                <w:sz w:val="24"/>
                <w:u w:val="single"/>
              </w:rPr>
              <w:t>投标人提供虚假资料</w:t>
            </w:r>
            <w:r>
              <w:rPr>
                <w:rFonts w:hint="eastAsia"/>
                <w:sz w:val="24"/>
                <w:u w:val="single"/>
                <w:lang w:eastAsia="zh-CN"/>
              </w:rPr>
              <w:t>；</w:t>
            </w:r>
          </w:p>
          <w:p w14:paraId="3ED4D9DA">
            <w:pPr>
              <w:pStyle w:val="26"/>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0"/>
              <w:textAlignment w:val="baseline"/>
              <w:rPr>
                <w:rFonts w:hint="eastAsia" w:eastAsia="宋体" w:cs="宋体"/>
                <w:spacing w:val="0"/>
                <w:w w:val="100"/>
                <w:position w:val="0"/>
                <w:lang w:eastAsia="zh-CN"/>
              </w:rPr>
            </w:pPr>
            <w:r>
              <w:rPr>
                <w:rFonts w:hint="eastAsia" w:ascii="宋体" w:hAnsi="宋体" w:eastAsia="宋体" w:cs="宋体"/>
                <w:snapToGrid w:val="0"/>
                <w:color w:val="000000"/>
                <w:spacing w:val="0"/>
                <w:w w:val="100"/>
                <w:kern w:val="0"/>
                <w:position w:val="0"/>
                <w:sz w:val="24"/>
                <w:szCs w:val="24"/>
                <w:lang w:val="en-US" w:eastAsia="zh-CN" w:bidi="ar-SA"/>
              </w:rPr>
              <w:t>（3）</w:t>
            </w:r>
            <w:r>
              <w:rPr>
                <w:rFonts w:hint="eastAsia" w:hAnsi="宋体"/>
                <w:sz w:val="24"/>
                <w:u w:val="single"/>
                <w:lang w:eastAsia="zh-CN"/>
              </w:rPr>
              <w:t>投标有效期内投标人撤销投标文件的。</w:t>
            </w:r>
          </w:p>
        </w:tc>
      </w:tr>
      <w:tr w14:paraId="43C40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14:paraId="7641BD61">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p>
        </w:tc>
        <w:tc>
          <w:tcPr>
            <w:tcW w:w="1700" w:type="dxa"/>
            <w:vAlign w:val="center"/>
          </w:tcPr>
          <w:p w14:paraId="0AAD01F7">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7542" w:type="dxa"/>
            <w:vAlign w:val="center"/>
          </w:tcPr>
          <w:p w14:paraId="7A7DE467">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自</w:t>
            </w:r>
            <w:r>
              <w:rPr>
                <w:rFonts w:hint="eastAsia" w:cs="宋体"/>
                <w:spacing w:val="0"/>
                <w:w w:val="100"/>
                <w:position w:val="0"/>
                <w:lang w:val="en-US" w:eastAsia="zh-CN"/>
              </w:rPr>
              <w:t>提</w:t>
            </w:r>
            <w:r>
              <w:rPr>
                <w:rFonts w:hint="eastAsia" w:ascii="宋体" w:hAnsi="宋体" w:eastAsia="宋体" w:cs="宋体"/>
                <w:spacing w:val="0"/>
                <w:w w:val="100"/>
                <w:position w:val="0"/>
              </w:rPr>
              <w:t>交投标文件的截止之日起算</w:t>
            </w:r>
            <w:r>
              <w:rPr>
                <w:rFonts w:hint="eastAsia" w:ascii="宋体" w:hAnsi="宋体" w:eastAsia="宋体" w:cs="宋体"/>
                <w:spacing w:val="0"/>
                <w:w w:val="100"/>
                <w:position w:val="0"/>
                <w:u w:val="single" w:color="auto"/>
              </w:rPr>
              <w:t xml:space="preserve"> </w:t>
            </w:r>
            <w:r>
              <w:rPr>
                <w:rFonts w:hint="eastAsia" w:cs="宋体"/>
                <w:spacing w:val="0"/>
                <w:w w:val="100"/>
                <w:position w:val="0"/>
                <w:u w:val="single" w:color="auto"/>
                <w:lang w:val="en-US" w:eastAsia="zh-CN"/>
              </w:rPr>
              <w:t>90</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日历天。</w:t>
            </w:r>
          </w:p>
        </w:tc>
      </w:tr>
      <w:tr w14:paraId="213AD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14:paraId="560D0CFA">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22.1</w:t>
            </w:r>
          </w:p>
        </w:tc>
        <w:tc>
          <w:tcPr>
            <w:tcW w:w="1700" w:type="dxa"/>
            <w:vAlign w:val="center"/>
          </w:tcPr>
          <w:p w14:paraId="55831555">
            <w:pPr>
              <w:pStyle w:val="26"/>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确定中标人</w:t>
            </w:r>
          </w:p>
        </w:tc>
        <w:tc>
          <w:tcPr>
            <w:tcW w:w="7542" w:type="dxa"/>
            <w:vAlign w:val="center"/>
          </w:tcPr>
          <w:p w14:paraId="2A6A2B73">
            <w:pPr>
              <w:pStyle w:val="26"/>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中标候选人并列的，采购人是否委托评标委员会确定中标人：</w:t>
            </w:r>
          </w:p>
          <w:p w14:paraId="14119082">
            <w:pPr>
              <w:pStyle w:val="26"/>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否</w:t>
            </w:r>
          </w:p>
          <w:p w14:paraId="2BED8DC1">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是</w:t>
            </w:r>
          </w:p>
          <w:p w14:paraId="0A350D05">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中标候选人并列的，按照以下方式确定中标人：</w:t>
            </w:r>
          </w:p>
          <w:p w14:paraId="769F724F">
            <w:pPr>
              <w:pStyle w:val="26"/>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得分且投标报价均相同的，以</w:t>
            </w:r>
            <w:r>
              <w:rPr>
                <w:rFonts w:hint="eastAsia" w:ascii="宋体" w:hAnsi="宋体" w:eastAsia="宋体" w:cs="宋体"/>
                <w:spacing w:val="0"/>
                <w:w w:val="100"/>
                <w:position w:val="0"/>
                <w:u w:val="single" w:color="auto"/>
              </w:rPr>
              <w:t xml:space="preserve"> 投标文件满足招标文件全部实质性要求，且按照评审因素的量化指标评审  </w:t>
            </w:r>
            <w:r>
              <w:rPr>
                <w:rFonts w:hint="eastAsia" w:ascii="宋体" w:hAnsi="宋体" w:eastAsia="宋体" w:cs="宋体"/>
                <w:spacing w:val="0"/>
                <w:w w:val="100"/>
                <w:position w:val="0"/>
              </w:rPr>
              <w:t>得分高者为中标人</w:t>
            </w:r>
          </w:p>
          <w:p w14:paraId="06ECF9B9">
            <w:pPr>
              <w:pStyle w:val="26"/>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随机抽取</w:t>
            </w:r>
          </w:p>
        </w:tc>
      </w:tr>
      <w:tr w14:paraId="18648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blHeader/>
          <w:jc w:val="center"/>
        </w:trPr>
        <w:tc>
          <w:tcPr>
            <w:tcW w:w="992" w:type="dxa"/>
            <w:vAlign w:val="center"/>
          </w:tcPr>
          <w:p w14:paraId="6A844DA0">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p>
        </w:tc>
        <w:tc>
          <w:tcPr>
            <w:tcW w:w="1700" w:type="dxa"/>
            <w:vAlign w:val="center"/>
          </w:tcPr>
          <w:p w14:paraId="1E0CE0F9">
            <w:pPr>
              <w:pStyle w:val="26"/>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w:t>
            </w:r>
          </w:p>
        </w:tc>
        <w:tc>
          <w:tcPr>
            <w:tcW w:w="7542" w:type="dxa"/>
            <w:vAlign w:val="center"/>
          </w:tcPr>
          <w:p w14:paraId="258A0B55">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本项目的非主体、非关键性工作是否允许分包：</w:t>
            </w:r>
          </w:p>
          <w:p w14:paraId="58A19107">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不允许</w:t>
            </w:r>
          </w:p>
          <w:p w14:paraId="25B11CE2">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允许，具体要求：</w:t>
            </w:r>
          </w:p>
          <w:p w14:paraId="3618AC81">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（1）可以分包履行的具体内容：</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w:t>
            </w:r>
          </w:p>
          <w:p w14:paraId="0E8EA754">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（2）允许分包的金额或者比例：</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w:t>
            </w:r>
          </w:p>
          <w:p w14:paraId="7C6E5BD1">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（3）其他要求：</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w:t>
            </w:r>
          </w:p>
        </w:tc>
      </w:tr>
      <w:tr w14:paraId="241CB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14:paraId="23622E15">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26.1.1</w:t>
            </w:r>
          </w:p>
        </w:tc>
        <w:tc>
          <w:tcPr>
            <w:tcW w:w="1700" w:type="dxa"/>
            <w:vAlign w:val="center"/>
          </w:tcPr>
          <w:p w14:paraId="2F3E003F">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询问</w:t>
            </w:r>
          </w:p>
        </w:tc>
        <w:tc>
          <w:tcPr>
            <w:tcW w:w="7542" w:type="dxa"/>
            <w:vAlign w:val="center"/>
          </w:tcPr>
          <w:p w14:paraId="00B8DE5E">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spacing w:val="0"/>
                <w:w w:val="100"/>
                <w:position w:val="0"/>
                <w:sz w:val="24"/>
                <w:szCs w:val="24"/>
                <w:lang w:val="en-US"/>
              </w:rPr>
            </w:pPr>
            <w:r>
              <w:rPr>
                <w:rFonts w:hint="eastAsia" w:ascii="宋体" w:hAnsi="宋体" w:eastAsia="宋体" w:cs="宋体"/>
                <w:spacing w:val="0"/>
                <w:w w:val="100"/>
                <w:position w:val="0"/>
              </w:rPr>
              <w:t>询问送达形式：</w:t>
            </w:r>
            <w:r>
              <w:rPr>
                <w:rFonts w:hint="eastAsia" w:cs="宋体"/>
                <w:spacing w:val="0"/>
                <w:w w:val="100"/>
                <w:position w:val="0"/>
                <w:u w:val="single"/>
                <w:lang w:val="en-US" w:eastAsia="zh-CN"/>
              </w:rPr>
              <w:t xml:space="preserve">  </w:t>
            </w:r>
            <w:r>
              <w:rPr>
                <w:rFonts w:hint="eastAsia" w:cs="宋体"/>
                <w:spacing w:val="0"/>
                <w:w w:val="100"/>
                <w:position w:val="0"/>
                <w:sz w:val="24"/>
                <w:szCs w:val="24"/>
                <w:u w:val="single"/>
                <w:lang w:val="en-US" w:eastAsia="zh-CN"/>
              </w:rPr>
              <w:t xml:space="preserve">纸质版  </w:t>
            </w:r>
          </w:p>
        </w:tc>
      </w:tr>
      <w:tr w14:paraId="647EC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025E1C9A">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26.3</w:t>
            </w:r>
          </w:p>
        </w:tc>
        <w:tc>
          <w:tcPr>
            <w:tcW w:w="1700" w:type="dxa"/>
            <w:vAlign w:val="center"/>
          </w:tcPr>
          <w:p w14:paraId="5EA0586D">
            <w:pPr>
              <w:pStyle w:val="26"/>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联系方式</w:t>
            </w:r>
          </w:p>
        </w:tc>
        <w:tc>
          <w:tcPr>
            <w:tcW w:w="7542" w:type="dxa"/>
            <w:vAlign w:val="center"/>
          </w:tcPr>
          <w:p w14:paraId="0370AE08">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接收询问和质疑的联系方式</w:t>
            </w:r>
          </w:p>
          <w:p w14:paraId="09489507">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联系部门：</w:t>
            </w:r>
            <w:r>
              <w:rPr>
                <w:rFonts w:hint="eastAsia" w:cs="宋体"/>
                <w:spacing w:val="0"/>
                <w:w w:val="100"/>
                <w:position w:val="0"/>
                <w:u w:val="single" w:color="auto"/>
                <w:lang w:val="en-US" w:eastAsia="zh-CN"/>
              </w:rPr>
              <w:t>招标部</w:t>
            </w:r>
            <w:r>
              <w:rPr>
                <w:rFonts w:hint="eastAsia" w:ascii="宋体" w:hAnsi="宋体" w:eastAsia="宋体" w:cs="宋体"/>
                <w:spacing w:val="0"/>
                <w:w w:val="100"/>
                <w:position w:val="0"/>
              </w:rPr>
              <w:t>；</w:t>
            </w:r>
          </w:p>
          <w:p w14:paraId="0B10C326">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联系电话：</w:t>
            </w:r>
            <w:r>
              <w:rPr>
                <w:rFonts w:hint="eastAsia" w:cs="宋体"/>
                <w:spacing w:val="0"/>
                <w:w w:val="100"/>
                <w:position w:val="0"/>
                <w:u w:val="single" w:color="auto"/>
                <w:lang w:val="en-US" w:eastAsia="zh-CN"/>
              </w:rPr>
              <w:t>010-53387002</w:t>
            </w:r>
            <w:r>
              <w:rPr>
                <w:rFonts w:hint="eastAsia" w:ascii="宋体" w:hAnsi="宋体" w:eastAsia="宋体" w:cs="宋体"/>
                <w:spacing w:val="0"/>
                <w:w w:val="100"/>
                <w:position w:val="0"/>
              </w:rPr>
              <w:t>；</w:t>
            </w:r>
          </w:p>
          <w:p w14:paraId="458883D0">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通讯地址：</w:t>
            </w:r>
            <w:r>
              <w:rPr>
                <w:rFonts w:hint="eastAsia" w:ascii="宋体" w:hAnsi="宋体" w:eastAsia="宋体" w:cs="宋体"/>
                <w:spacing w:val="0"/>
                <w:w w:val="100"/>
                <w:position w:val="0"/>
                <w:u w:val="single" w:color="auto"/>
              </w:rPr>
              <w:t>北京市经济开发区亦庄云时代B2座-18层</w:t>
            </w:r>
            <w:r>
              <w:rPr>
                <w:rFonts w:hint="eastAsia" w:ascii="宋体" w:hAnsi="宋体" w:eastAsia="宋体" w:cs="宋体"/>
                <w:spacing w:val="0"/>
                <w:w w:val="100"/>
                <w:position w:val="0"/>
              </w:rPr>
              <w:t>。</w:t>
            </w:r>
          </w:p>
        </w:tc>
      </w:tr>
      <w:tr w14:paraId="2979A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14:paraId="1BB7BDC2">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27</w:t>
            </w:r>
          </w:p>
        </w:tc>
        <w:tc>
          <w:tcPr>
            <w:tcW w:w="1700" w:type="dxa"/>
            <w:vAlign w:val="center"/>
          </w:tcPr>
          <w:p w14:paraId="663E30D9">
            <w:pPr>
              <w:pStyle w:val="26"/>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代理费</w:t>
            </w:r>
          </w:p>
        </w:tc>
        <w:tc>
          <w:tcPr>
            <w:tcW w:w="7542" w:type="dxa"/>
            <w:vAlign w:val="center"/>
          </w:tcPr>
          <w:p w14:paraId="71CACC1E">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收费对象：</w:t>
            </w:r>
          </w:p>
          <w:p w14:paraId="06AF8E0C">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采购人</w:t>
            </w:r>
          </w:p>
          <w:p w14:paraId="7268609A">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中标人</w:t>
            </w:r>
          </w:p>
          <w:p w14:paraId="3F204119">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收费标准：</w:t>
            </w:r>
            <w:r>
              <w:rPr>
                <w:rFonts w:hint="eastAsia" w:ascii="宋体" w:hAnsi="宋体" w:eastAsia="宋体" w:cs="宋体"/>
                <w:spacing w:val="0"/>
                <w:w w:val="100"/>
                <w:position w:val="0"/>
                <w:u w:val="single" w:color="auto"/>
              </w:rPr>
              <w:t>中标服务费收取参考原《招标代理服务收费管理暂行办法》（计价格【2002】1980号）</w:t>
            </w:r>
            <w:r>
              <w:rPr>
                <w:rFonts w:hint="eastAsia" w:cs="宋体"/>
                <w:spacing w:val="0"/>
                <w:w w:val="100"/>
                <w:position w:val="0"/>
                <w:u w:val="single" w:color="auto"/>
                <w:lang w:val="en-US" w:eastAsia="zh-CN"/>
              </w:rPr>
              <w:t>的标准记取</w:t>
            </w:r>
            <w:r>
              <w:rPr>
                <w:rFonts w:hint="eastAsia" w:ascii="宋体" w:hAnsi="宋体" w:eastAsia="宋体" w:cs="宋体"/>
                <w:spacing w:val="0"/>
                <w:w w:val="100"/>
                <w:position w:val="0"/>
              </w:rPr>
              <w:t>；</w:t>
            </w:r>
          </w:p>
          <w:p w14:paraId="67E4E992">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缴纳时间：</w:t>
            </w:r>
            <w:r>
              <w:rPr>
                <w:rFonts w:hint="eastAsia" w:ascii="宋体" w:hAnsi="宋体" w:eastAsia="宋体" w:cs="宋体"/>
                <w:spacing w:val="0"/>
                <w:w w:val="100"/>
                <w:position w:val="0"/>
                <w:u w:val="single" w:color="auto"/>
              </w:rPr>
              <w:t>中标人领取中标通知书时</w:t>
            </w:r>
            <w:r>
              <w:rPr>
                <w:rFonts w:hint="eastAsia" w:ascii="宋体" w:hAnsi="宋体" w:eastAsia="宋体" w:cs="宋体"/>
                <w:spacing w:val="0"/>
                <w:w w:val="100"/>
                <w:position w:val="0"/>
              </w:rPr>
              <w:t>。</w:t>
            </w:r>
          </w:p>
          <w:p w14:paraId="3B4A5660">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position w:val="0"/>
              </w:rPr>
            </w:pPr>
            <w:r>
              <w:rPr>
                <w:rFonts w:hint="eastAsia" w:ascii="宋体" w:hAnsi="宋体" w:eastAsia="宋体" w:cs="宋体"/>
                <w:b/>
                <w:bCs/>
                <w:spacing w:val="0"/>
                <w:w w:val="100"/>
                <w:position w:val="0"/>
              </w:rPr>
              <w:t>账户名称：汇信（北京）工程管理有限公司</w:t>
            </w:r>
          </w:p>
          <w:p w14:paraId="66275C04">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position w:val="0"/>
              </w:rPr>
            </w:pPr>
            <w:r>
              <w:rPr>
                <w:rFonts w:hint="eastAsia" w:ascii="宋体" w:hAnsi="宋体" w:eastAsia="宋体" w:cs="宋体"/>
                <w:b/>
                <w:bCs/>
                <w:spacing w:val="0"/>
                <w:w w:val="100"/>
                <w:position w:val="0"/>
              </w:rPr>
              <w:t xml:space="preserve">开户银行：招商银行股份有限公司北京亦庄支行 </w:t>
            </w:r>
          </w:p>
          <w:p w14:paraId="129B4F6E">
            <w:pPr>
              <w:pStyle w:val="26"/>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rPr>
              <w:t>账  号：1109 2986 6310 501</w:t>
            </w:r>
          </w:p>
        </w:tc>
      </w:tr>
      <w:tr w14:paraId="37F99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blHeader/>
          <w:jc w:val="center"/>
        </w:trPr>
        <w:tc>
          <w:tcPr>
            <w:tcW w:w="10234" w:type="dxa"/>
            <w:gridSpan w:val="3"/>
            <w:vAlign w:val="center"/>
          </w:tcPr>
          <w:p w14:paraId="1FC0D0A6">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b/>
                <w:bCs/>
                <w:spacing w:val="0"/>
                <w:w w:val="100"/>
                <w:position w:val="0"/>
              </w:rPr>
            </w:pPr>
            <w:r>
              <w:rPr>
                <w:rFonts w:hint="eastAsia" w:ascii="宋体" w:hAnsi="宋体"/>
                <w:b/>
                <w:sz w:val="24"/>
              </w:rPr>
              <w:t>适用于本投标人须知的增加的变动</w:t>
            </w:r>
          </w:p>
        </w:tc>
      </w:tr>
      <w:tr w14:paraId="1EA6C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shd w:val="clear" w:color="auto" w:fill="auto"/>
            <w:vAlign w:val="center"/>
          </w:tcPr>
          <w:p w14:paraId="63C4ECE6">
            <w:pPr>
              <w:pStyle w:val="10"/>
              <w:adjustRightInd w:val="0"/>
              <w:snapToGrid w:val="0"/>
              <w:jc w:val="center"/>
              <w:rPr>
                <w:rFonts w:hint="eastAsia" w:asciiTheme="minorEastAsia" w:hAnsiTheme="minorEastAsia" w:eastAsiaTheme="minorEastAsia" w:cstheme="minorEastAsia"/>
                <w:b/>
                <w:bCs/>
                <w:snapToGrid w:val="0"/>
                <w:color w:val="000000"/>
                <w:kern w:val="0"/>
                <w:sz w:val="24"/>
                <w:szCs w:val="24"/>
                <w:lang w:val="en-US" w:eastAsia="zh-CN" w:bidi="ar-SA"/>
              </w:rPr>
            </w:pPr>
            <w:r>
              <w:rPr>
                <w:rFonts w:hint="eastAsia" w:asciiTheme="minorEastAsia" w:hAnsiTheme="minorEastAsia" w:eastAsiaTheme="minorEastAsia" w:cstheme="minorEastAsia"/>
                <w:b/>
                <w:bCs/>
                <w:sz w:val="24"/>
                <w:szCs w:val="24"/>
                <w:lang w:val="en-US" w:eastAsia="zh-CN"/>
              </w:rPr>
              <w:t>1</w:t>
            </w:r>
          </w:p>
        </w:tc>
        <w:tc>
          <w:tcPr>
            <w:tcW w:w="1700" w:type="dxa"/>
            <w:shd w:val="clear" w:color="auto" w:fill="auto"/>
            <w:vAlign w:val="center"/>
          </w:tcPr>
          <w:p w14:paraId="44595B1B">
            <w:pPr>
              <w:jc w:val="center"/>
              <w:rPr>
                <w:rFonts w:hint="eastAsia" w:asciiTheme="minorEastAsia" w:hAnsiTheme="minorEastAsia" w:eastAsiaTheme="minorEastAsia" w:cstheme="minorEastAsia"/>
                <w:b/>
                <w:bCs/>
                <w:snapToGrid w:val="0"/>
                <w:color w:val="000000"/>
                <w:kern w:val="0"/>
                <w:sz w:val="24"/>
                <w:szCs w:val="21"/>
                <w:lang w:val="en-US" w:eastAsia="en-US" w:bidi="ar-SA"/>
              </w:rPr>
            </w:pPr>
            <w:r>
              <w:rPr>
                <w:rFonts w:hint="eastAsia" w:ascii="宋体" w:hAnsi="宋体" w:cs="宋体"/>
                <w:b/>
                <w:bCs/>
                <w:sz w:val="24"/>
              </w:rPr>
              <w:t>最多中标包数</w:t>
            </w:r>
          </w:p>
        </w:tc>
        <w:tc>
          <w:tcPr>
            <w:tcW w:w="7542" w:type="dxa"/>
            <w:shd w:val="clear" w:color="auto" w:fill="auto"/>
            <w:vAlign w:val="center"/>
          </w:tcPr>
          <w:p w14:paraId="10A0258C">
            <w:pPr>
              <w:pStyle w:val="10"/>
              <w:adjustRightInd w:val="0"/>
              <w:spacing w:line="240" w:lineRule="auto"/>
              <w:rPr>
                <w:rFonts w:hint="default" w:hAnsi="宋体" w:cs="宋体"/>
                <w:b/>
                <w:bCs/>
                <w:sz w:val="24"/>
                <w:szCs w:val="24"/>
              </w:rPr>
            </w:pPr>
            <w:r>
              <w:rPr>
                <w:rFonts w:hAnsi="宋体" w:cs="宋体"/>
                <w:b/>
                <w:bCs/>
                <w:sz w:val="24"/>
                <w:szCs w:val="24"/>
              </w:rPr>
              <w:t>如投标人对本项目的多个包同时进行投标，则投标人在本项目中最多中标包的数量：</w:t>
            </w:r>
          </w:p>
          <w:p w14:paraId="3EC77030">
            <w:pPr>
              <w:pStyle w:val="10"/>
              <w:rPr>
                <w:rFonts w:ascii="宋体" w:hAnsi="宋体" w:cs="宋体"/>
                <w:b/>
                <w:bCs/>
                <w:sz w:val="24"/>
              </w:rPr>
            </w:pPr>
            <w:r>
              <w:rPr>
                <w:rFonts w:hAnsi="宋体" w:cs="宋体"/>
                <w:b/>
                <w:bCs/>
                <w:sz w:val="24"/>
                <w:szCs w:val="24"/>
              </w:rPr>
              <w:t>口</w:t>
            </w:r>
            <w:r>
              <w:rPr>
                <w:rFonts w:hint="eastAsia" w:ascii="宋体" w:hAnsi="宋体" w:cs="宋体"/>
                <w:b/>
                <w:bCs/>
                <w:sz w:val="24"/>
              </w:rPr>
              <w:t>本项目不适用；</w:t>
            </w:r>
          </w:p>
          <w:p w14:paraId="4674FC79">
            <w:pPr>
              <w:pStyle w:val="10"/>
              <w:adjustRightInd w:val="0"/>
              <w:spacing w:line="240" w:lineRule="auto"/>
              <w:rPr>
                <w:rFonts w:hint="default" w:hAnsi="宋体" w:cs="宋体"/>
                <w:b/>
                <w:bCs/>
                <w:sz w:val="24"/>
                <w:szCs w:val="24"/>
              </w:rPr>
            </w:pPr>
            <w:r>
              <w:rPr>
                <w:rFonts w:hAnsi="宋体" w:cs="宋体"/>
                <w:b/>
                <w:bCs/>
                <w:sz w:val="24"/>
                <w:szCs w:val="24"/>
              </w:rPr>
              <w:t>口不限制；</w:t>
            </w:r>
          </w:p>
          <w:p w14:paraId="4D610BC3">
            <w:pPr>
              <w:pStyle w:val="10"/>
              <w:adjustRightInd w:val="0"/>
              <w:spacing w:line="240" w:lineRule="auto"/>
              <w:rPr>
                <w:rFonts w:hint="default" w:hAnsi="宋体" w:cs="宋体"/>
                <w:b/>
                <w:bCs/>
                <w:sz w:val="24"/>
                <w:szCs w:val="24"/>
              </w:rPr>
            </w:pPr>
            <w:r>
              <w:rPr>
                <w:rFonts w:hint="eastAsia" w:ascii="宋体" w:hAnsi="宋体" w:cs="宋体"/>
                <w:b/>
                <w:bCs/>
                <w:sz w:val="24"/>
              </w:rPr>
              <w:t>■</w:t>
            </w:r>
            <w:r>
              <w:rPr>
                <w:rFonts w:hAnsi="宋体" w:cs="宋体"/>
                <w:b/>
                <w:bCs/>
                <w:sz w:val="24"/>
                <w:szCs w:val="24"/>
              </w:rPr>
              <w:t>限制，具体规定如下：</w:t>
            </w:r>
          </w:p>
          <w:p w14:paraId="32966B98">
            <w:pPr>
              <w:pStyle w:val="10"/>
              <w:adjustRightInd w:val="0"/>
              <w:spacing w:line="240" w:lineRule="auto"/>
              <w:rPr>
                <w:rFonts w:hint="default" w:hAnsi="宋体" w:cs="宋体"/>
                <w:b/>
                <w:bCs/>
                <w:sz w:val="24"/>
                <w:szCs w:val="24"/>
              </w:rPr>
            </w:pPr>
            <w:r>
              <w:rPr>
                <w:rFonts w:hAnsi="宋体" w:cs="宋体"/>
                <w:b/>
                <w:bCs/>
                <w:sz w:val="24"/>
                <w:szCs w:val="24"/>
              </w:rPr>
              <w:t>1、本项目【</w:t>
            </w:r>
            <w:r>
              <w:rPr>
                <w:rFonts w:hint="eastAsia" w:hAnsi="宋体" w:eastAsia="宋体" w:cs="宋体"/>
                <w:b/>
                <w:bCs/>
                <w:sz w:val="24"/>
                <w:szCs w:val="24"/>
                <w:lang w:val="en-US" w:eastAsia="zh-CN"/>
              </w:rPr>
              <w:t>0</w:t>
            </w:r>
            <w:r>
              <w:rPr>
                <w:rFonts w:hint="eastAsia" w:ascii="Times New Roman" w:hAnsi="Times New Roman"/>
                <w:b/>
                <w:bCs/>
                <w:sz w:val="24"/>
                <w:lang w:val="en-US" w:eastAsia="zh-CN"/>
              </w:rPr>
              <w:t>1</w:t>
            </w:r>
            <w:r>
              <w:rPr>
                <w:rFonts w:hAnsi="宋体" w:cs="宋体"/>
                <w:b/>
                <w:bCs/>
                <w:sz w:val="24"/>
                <w:szCs w:val="24"/>
              </w:rPr>
              <w:t>】～【</w:t>
            </w:r>
            <w:r>
              <w:rPr>
                <w:rFonts w:hint="eastAsia" w:ascii="Times New Roman" w:hAnsi="Times New Roman"/>
                <w:b/>
                <w:bCs/>
                <w:sz w:val="24"/>
                <w:lang w:val="en-US" w:eastAsia="zh-CN"/>
              </w:rPr>
              <w:t>12</w:t>
            </w:r>
            <w:r>
              <w:rPr>
                <w:rFonts w:hAnsi="宋体" w:cs="宋体"/>
                <w:b/>
                <w:bCs/>
                <w:sz w:val="24"/>
                <w:szCs w:val="24"/>
              </w:rPr>
              <w:t>】包中，投标人可对其中的任意一个包或多个包同时进行投标，但其在上述包的范围内，最多中标包的数量为【</w:t>
            </w:r>
            <w:r>
              <w:rPr>
                <w:rFonts w:hint="eastAsia" w:hAnsi="宋体" w:cs="宋体"/>
                <w:b/>
                <w:bCs/>
                <w:sz w:val="24"/>
                <w:szCs w:val="24"/>
                <w:lang w:val="en-US" w:eastAsia="zh-CN"/>
              </w:rPr>
              <w:t>1</w:t>
            </w:r>
            <w:r>
              <w:rPr>
                <w:rFonts w:hAnsi="宋体" w:cs="宋体"/>
                <w:b/>
                <w:bCs/>
                <w:sz w:val="24"/>
                <w:szCs w:val="24"/>
              </w:rPr>
              <w:t>】个。</w:t>
            </w:r>
          </w:p>
          <w:p w14:paraId="29644814">
            <w:pPr>
              <w:pStyle w:val="10"/>
              <w:adjustRightInd w:val="0"/>
              <w:spacing w:line="240" w:lineRule="auto"/>
              <w:rPr>
                <w:rFonts w:hint="default" w:hAnsi="宋体" w:cs="宋体"/>
                <w:b/>
                <w:bCs/>
                <w:sz w:val="24"/>
                <w:szCs w:val="24"/>
              </w:rPr>
            </w:pPr>
            <w:r>
              <w:rPr>
                <w:rFonts w:hAnsi="宋体" w:cs="宋体"/>
                <w:b/>
                <w:bCs/>
                <w:sz w:val="24"/>
                <w:szCs w:val="24"/>
              </w:rPr>
              <w:t>2、关于投标人所投包的优先中标顺序，规定如下：</w:t>
            </w:r>
          </w:p>
          <w:p w14:paraId="5319E057">
            <w:pPr>
              <w:pStyle w:val="10"/>
              <w:rPr>
                <w:rFonts w:hint="eastAsia" w:asciiTheme="minorEastAsia" w:hAnsiTheme="minorEastAsia" w:eastAsiaTheme="minorEastAsia" w:cstheme="minorEastAsia"/>
                <w:b/>
                <w:bCs/>
                <w:snapToGrid w:val="0"/>
                <w:color w:val="000000"/>
                <w:kern w:val="0"/>
                <w:sz w:val="24"/>
                <w:szCs w:val="21"/>
                <w:lang w:val="en-US" w:eastAsia="en-US" w:bidi="ar-SA"/>
              </w:rPr>
            </w:pPr>
            <w:r>
              <w:rPr>
                <w:rFonts w:hAnsi="宋体" w:cs="宋体"/>
                <w:b/>
                <w:bCs/>
                <w:sz w:val="24"/>
                <w:szCs w:val="24"/>
              </w:rPr>
              <w:t>本项目为保证服务质量按质完成,每一投标人只能中其中一个包，如该投标人在多个标段的综合排序中均为第一，则按照每个标段的自然顺序顺延确定中标，并以此类推。</w:t>
            </w:r>
          </w:p>
        </w:tc>
      </w:tr>
    </w:tbl>
    <w:p w14:paraId="0A3F609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05E55862">
      <w:pP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br w:type="page"/>
      </w:r>
    </w:p>
    <w:p w14:paraId="77406521">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b/>
          <w:bCs/>
          <w:spacing w:val="0"/>
          <w:w w:val="100"/>
          <w:position w:val="0"/>
          <w:sz w:val="28"/>
          <w:szCs w:val="28"/>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投标人须知</w:t>
      </w:r>
    </w:p>
    <w:p w14:paraId="7277FEF1">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b/>
          <w:bCs/>
          <w:spacing w:val="0"/>
          <w:w w:val="100"/>
          <w:position w:val="0"/>
          <w:sz w:val="28"/>
          <w:szCs w:val="28"/>
        </w:rPr>
      </w:pPr>
      <w:bookmarkStart w:id="22" w:name="_Toc10009"/>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一</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说</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明</w:t>
      </w:r>
      <w:bookmarkEnd w:id="22"/>
    </w:p>
    <w:p w14:paraId="6018711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3" w:name="_Toc6385"/>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采购人、采购代理机构、投标人、联合体</w:t>
      </w:r>
      <w:bookmarkEnd w:id="23"/>
    </w:p>
    <w:p w14:paraId="2DFFFD4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 采购人、采购代理机构：指依法进行政府采购的国家机关、事业单位、团体组织，及其委托的采购代理机构。本项目采购人、采购代理机构见第一章《投标邀请》。</w:t>
      </w:r>
    </w:p>
    <w:p w14:paraId="25F029C0">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投标人（也称“供应商”、“申请人”）：指向采购人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供货物、工程或者服务的法人、其他组织或者自然人。</w:t>
      </w:r>
    </w:p>
    <w:p w14:paraId="018A192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 联合体：指两个以上的自然人、法人或者其他组织组成一个联合体，以一个供应商的身份共同参加政府采购。</w:t>
      </w:r>
    </w:p>
    <w:p w14:paraId="3FC9A6E8">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4" w:name="_Toc403"/>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资金来源、项目属性、科研仪器设备采购、核心产品</w:t>
      </w:r>
      <w:bookmarkEnd w:id="24"/>
    </w:p>
    <w:p w14:paraId="01BA18B1">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 资金来源为财政性资金和/或本项目采购中无法与财政性资金分割的非财政性资金。</w:t>
      </w:r>
    </w:p>
    <w:p w14:paraId="03955AF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项目属性见《投标人须知资料表》。</w:t>
      </w:r>
    </w:p>
    <w:p w14:paraId="73A70364">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 是否属于科研仪器设备采购见《投标人须知资料表》。</w:t>
      </w:r>
    </w:p>
    <w:p w14:paraId="761062B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 核心产品见《投标人须知资料表》。</w:t>
      </w:r>
    </w:p>
    <w:p w14:paraId="360FB5CF">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5" w:name="_Toc22302"/>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现场考察、开标前答疑会</w:t>
      </w:r>
      <w:bookmarkEnd w:id="25"/>
    </w:p>
    <w:p w14:paraId="4299698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 若《投标人须知资料表》中规定了组织现场考察、召开开标前答疑会，则投标人应按要求在规定的时间和地点参加。</w:t>
      </w:r>
    </w:p>
    <w:p w14:paraId="7CAB650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 由于未参加现场考察或开标前答疑会而导致对项目实际情况不了解，影响投标文件编制、投标报价准确性、综合因素响应不全面等问题的，由投标人自行承担不利评审后果。</w:t>
      </w:r>
    </w:p>
    <w:p w14:paraId="2EB0B49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6" w:name="_Toc2646"/>
      <w:r>
        <w:rPr>
          <w:rFonts w:hint="eastAsia" w:ascii="宋体" w:hAnsi="宋体" w:eastAsia="宋体" w:cs="宋体"/>
          <w:b/>
          <w:bCs/>
          <w:spacing w:val="0"/>
          <w:w w:val="100"/>
          <w:position w:val="0"/>
          <w:sz w:val="24"/>
          <w:szCs w:val="24"/>
        </w:rPr>
        <w:t>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样品</w:t>
      </w:r>
      <w:bookmarkEnd w:id="26"/>
    </w:p>
    <w:p w14:paraId="0789631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 本项目是否要求投标人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供样品，以及样品制作的标准和要求、是否需要随样品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交相关检测报告、样品的递交与退还等要求见《投标人须知资料表》。</w:t>
      </w:r>
    </w:p>
    <w:p w14:paraId="36963AC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 样品的评审方法以及评审标准等内容见第四章《评标程序、评标方法和评标标准》。</w:t>
      </w:r>
    </w:p>
    <w:p w14:paraId="1B428828">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7" w:name="_Toc28311"/>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政府采购政策（包括但不限于下列具体政策要求）</w:t>
      </w:r>
      <w:bookmarkEnd w:id="27"/>
    </w:p>
    <w:p w14:paraId="6F56693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8" w:name="_Toc15305"/>
      <w:r>
        <w:rPr>
          <w:rFonts w:hint="eastAsia" w:ascii="宋体" w:hAnsi="宋体" w:eastAsia="宋体" w:cs="宋体"/>
          <w:spacing w:val="0"/>
          <w:w w:val="100"/>
          <w:position w:val="0"/>
          <w:sz w:val="24"/>
          <w:szCs w:val="24"/>
        </w:rPr>
        <w:t>5.1 采购本国货物、工程和服务</w:t>
      </w:r>
      <w:bookmarkEnd w:id="28"/>
    </w:p>
    <w:p w14:paraId="03F7D0E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5.1.1 政府采购应当采购本国货物、工程和服务。但有</w:t>
      </w:r>
      <w:r>
        <w:rPr>
          <w:rFonts w:hint="eastAsia" w:ascii="宋体" w:hAnsi="宋体" w:eastAsia="宋体" w:cs="宋体"/>
          <w:b w:val="0"/>
          <w:bCs w:val="0"/>
          <w:spacing w:val="0"/>
          <w:w w:val="100"/>
          <w:position w:val="0"/>
          <w:sz w:val="24"/>
          <w:szCs w:val="24"/>
        </w:rPr>
        <w:t>《</w:t>
      </w:r>
      <w:r>
        <w:rPr>
          <w:rFonts w:hint="eastAsia" w:ascii="宋体" w:hAnsi="宋体" w:eastAsia="宋体" w:cs="宋体"/>
          <w:b w:val="0"/>
          <w:bCs w:val="0"/>
          <w:color w:val="000000" w:themeColor="text1"/>
          <w:spacing w:val="0"/>
          <w:w w:val="100"/>
          <w:position w:val="0"/>
          <w:sz w:val="24"/>
          <w:szCs w:val="24"/>
          <w14:textOutline w14:w="4359" w14:cap="flat" w14:cmpd="sng">
            <w14:solidFill>
              <w14:srgbClr w14:val="000000"/>
            </w14:solidFill>
            <w14:prstDash w14:val="solid"/>
            <w14:miter w14:val="0"/>
          </w14:textOutline>
          <w14:textFill>
            <w14:solidFill>
              <w14:schemeClr w14:val="tx1"/>
            </w14:solidFill>
          </w14:textFill>
        </w:rPr>
        <w:t>中华人民共和国政府采购法</w:t>
      </w:r>
      <w:r>
        <w:rPr>
          <w:rFonts w:hint="eastAsia" w:ascii="宋体" w:hAnsi="宋体" w:eastAsia="宋体" w:cs="宋体"/>
          <w:b w:val="0"/>
          <w:bCs w:val="0"/>
          <w:spacing w:val="0"/>
          <w:w w:val="100"/>
          <w:position w:val="0"/>
          <w:sz w:val="24"/>
          <w:szCs w:val="24"/>
        </w:rPr>
        <w:t>》</w:t>
      </w:r>
      <w:r>
        <w:rPr>
          <w:rFonts w:hint="eastAsia" w:ascii="宋体" w:hAnsi="宋体" w:eastAsia="宋体" w:cs="宋体"/>
          <w:spacing w:val="0"/>
          <w:w w:val="100"/>
          <w:position w:val="0"/>
          <w:sz w:val="24"/>
          <w:szCs w:val="24"/>
        </w:rPr>
        <w:t>第十条规定情形的除外。</w:t>
      </w:r>
    </w:p>
    <w:p w14:paraId="1DBD9911">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5.1.2 本项目如接受非本国货物、工程、服务参与投标，则具体要求见第四章《采购需求》。</w:t>
      </w:r>
    </w:p>
    <w:p w14:paraId="411FD7D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C9C302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9" w:name="_Toc19268"/>
      <w:r>
        <w:rPr>
          <w:rFonts w:hint="eastAsia" w:ascii="宋体" w:hAnsi="宋体" w:eastAsia="宋体" w:cs="宋体"/>
          <w:spacing w:val="0"/>
          <w:w w:val="100"/>
          <w:position w:val="0"/>
          <w:sz w:val="24"/>
          <w:szCs w:val="24"/>
        </w:rPr>
        <w:t>5.2 中小企业、监狱企业及残疾人福利性单位</w:t>
      </w:r>
      <w:bookmarkEnd w:id="29"/>
    </w:p>
    <w:p w14:paraId="2A49F11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5.2.1 中小企业定义：</w:t>
      </w:r>
    </w:p>
    <w:p w14:paraId="33F8364F">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w:t>
      </w:r>
      <w:r>
        <w:rPr>
          <w:rFonts w:hint="eastAsia" w:ascii="宋体" w:hAnsi="宋体" w:eastAsia="宋体" w:cs="宋体"/>
          <w:spacing w:val="0"/>
          <w:w w:val="100"/>
          <w:position w:val="0"/>
          <w:sz w:val="24"/>
          <w:szCs w:val="24"/>
          <w:highlight w:val="none"/>
        </w:rPr>
        <w:t>业。关于中小企业的相关规定依据《中华人民</w:t>
      </w:r>
      <w:r>
        <w:rPr>
          <w:rFonts w:hint="eastAsia" w:ascii="宋体" w:hAnsi="宋体" w:eastAsia="宋体" w:cs="宋体"/>
          <w:spacing w:val="0"/>
          <w:w w:val="100"/>
          <w:position w:val="0"/>
          <w:sz w:val="24"/>
          <w:szCs w:val="24"/>
        </w:rPr>
        <w:t>共和国中小企业促进法》、《关于进一步加大政府采购支持中小企业力度的通知》（财库〔2022〕19号）、《政府采购促进中小企业发展管理办法》（财库〔2020〕46号）、《关于印发中小企业划型标准规定的通知》（工信部联企业〔2011〕300号）。</w:t>
      </w:r>
    </w:p>
    <w:p w14:paraId="3DA5A81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供的货物、工程或者服务符合下列情形的，享受中小企业扶持政策：</w:t>
      </w:r>
    </w:p>
    <w:p w14:paraId="338FE24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（1）在货物采购项目中，货物由中小企业制造，即货物由中小企业生产且使用该中小企业商号或者注册商标；</w:t>
      </w:r>
    </w:p>
    <w:p w14:paraId="3EB0DE4F">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（2）在工程采购项目中，工程由中小企业承建，即工程施工单位为中小企业；</w:t>
      </w:r>
    </w:p>
    <w:p w14:paraId="33D9C5E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（3）在服务采购项目中，服务由中小企业承接，即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供服务的人员为中小企业依照《中华人民共和国劳动合同法》订立劳动合同的从业人员。</w:t>
      </w:r>
    </w:p>
    <w:p w14:paraId="5220C3C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在货物采购项目中，供应商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供的货物既有中小企业制造货物，也有大型企业制造货物的，不享受中小企业扶持政策。</w:t>
      </w:r>
    </w:p>
    <w:p w14:paraId="4B02F50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以联合体形式参加政府采购活动，联合体各方均为中小企业的，联合体视同中小企业。其中，联合体各方均为小微企业的，联合体视同小微企业。</w:t>
      </w:r>
    </w:p>
    <w:p w14:paraId="2FC7568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5.2.2 在政府采购活动中，监狱企业视同小型、微型企业，享受预留份额、评审中价格扣除等政府采购促进中小企业发展的政府采购政策。监狱企业定义：是指由司法部认定的为罪犯、戒毒人员</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DEBFC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2EF84E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安置的残疾人占本单位在职职工人数的比例不低于25%（含25%），并且安置的残疾人人数不少于10人（含10人）；</w:t>
      </w:r>
    </w:p>
    <w:p w14:paraId="6EB6556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依法与安置的每位残疾人签订了一年以上（含一年）的劳动合同或服务协议；</w:t>
      </w:r>
    </w:p>
    <w:p w14:paraId="5110D4D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为安置的每位残疾人按月足额缴纳了基本养老保险、基本医疗保险、失业保险、工伤保险和生育保险等社会保险费；</w:t>
      </w:r>
    </w:p>
    <w:p w14:paraId="0811671E">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通过银行等金融机构向安置的每位残疾人，按月支付了不低于单位所在区县适用的经省级人民政府批准的月最低工资标准的工资；</w:t>
      </w:r>
    </w:p>
    <w:p w14:paraId="4BB0BF20">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"5.2.3.5"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5.2.3.5</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供本单位制造的货物、承担的工程或者服务（以下简称产品），或者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7C72BFC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"5.2.3.6"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5.2.3.6</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3971D6F">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5.2.4 本项目是否专门面向中小企业预留采购份额见第一章《投标邀请》。</w:t>
      </w:r>
    </w:p>
    <w:p w14:paraId="5328D67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 采购标的对应的中小企业划分标准所属行业见《投标人须知资料表》。</w:t>
      </w:r>
    </w:p>
    <w:p w14:paraId="0E465AC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5.2.6 小微企业价格评审优惠的政策调整：见第四章《评标程序、评标方法和评标标准》。</w:t>
      </w:r>
    </w:p>
    <w:p w14:paraId="150E822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0" w:name="_Toc18637"/>
      <w:r>
        <w:rPr>
          <w:rFonts w:hint="eastAsia" w:ascii="宋体" w:hAnsi="宋体" w:eastAsia="宋体" w:cs="宋体"/>
          <w:spacing w:val="0"/>
          <w:w w:val="100"/>
          <w:position w:val="0"/>
          <w:sz w:val="24"/>
          <w:szCs w:val="24"/>
        </w:rPr>
        <w:t>5.3 政府采购节能产品、环境标志产品</w:t>
      </w:r>
      <w:bookmarkEnd w:id="30"/>
    </w:p>
    <w:p w14:paraId="286F516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6DA878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F3B9D2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0E16F6C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5.3.4 非政府强制采购的节能产品或环境标志产品，依据品目清单和认证证书实施政府优先采购。优先采购的具体规定见第四章《评标程序、评标方法和评标标准》（如涉及）。</w:t>
      </w:r>
    </w:p>
    <w:p w14:paraId="238F438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1" w:name="_Toc22713"/>
      <w:r>
        <w:rPr>
          <w:rFonts w:hint="eastAsia" w:ascii="宋体" w:hAnsi="宋体" w:eastAsia="宋体" w:cs="宋体"/>
          <w:spacing w:val="0"/>
          <w:w w:val="100"/>
          <w:position w:val="0"/>
          <w:sz w:val="24"/>
          <w:szCs w:val="24"/>
        </w:rPr>
        <w:t>5.4 正版软件</w:t>
      </w:r>
      <w:bookmarkEnd w:id="31"/>
    </w:p>
    <w:p w14:paraId="653615B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15629.11/1102）并通过国家产品认证的产品。其中，国家有特殊信息安全要求的项目必须采购认证产品，否则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677D16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15565D24">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2" w:name="_Toc10766"/>
      <w:r>
        <w:rPr>
          <w:rFonts w:hint="eastAsia" w:ascii="宋体" w:hAnsi="宋体" w:eastAsia="宋体" w:cs="宋体"/>
          <w:spacing w:val="0"/>
          <w:w w:val="100"/>
          <w:position w:val="0"/>
          <w:sz w:val="24"/>
          <w:szCs w:val="24"/>
        </w:rPr>
        <w:t>5.5 网络安全专用产品</w:t>
      </w:r>
      <w:bookmarkEnd w:id="32"/>
    </w:p>
    <w:p w14:paraId="4A27084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3FD46E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3" w:name="_Toc8877"/>
      <w:r>
        <w:rPr>
          <w:rFonts w:hint="eastAsia" w:ascii="宋体" w:hAnsi="宋体" w:eastAsia="宋体" w:cs="宋体"/>
          <w:spacing w:val="0"/>
          <w:w w:val="100"/>
          <w:position w:val="0"/>
          <w:sz w:val="24"/>
          <w:szCs w:val="24"/>
        </w:rPr>
        <w:t>5.6 推广使用低挥发性有机化合物（VOCs）</w:t>
      </w:r>
      <w:bookmarkEnd w:id="33"/>
    </w:p>
    <w:p w14:paraId="6B95B38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；属于推荐性标准的，优先采购，具体见第四章《评标程序、评标方法和评标标准》。</w:t>
      </w:r>
    </w:p>
    <w:p w14:paraId="2A11F44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4" w:name="_Toc25382"/>
      <w:r>
        <w:rPr>
          <w:rFonts w:hint="eastAsia" w:ascii="宋体" w:hAnsi="宋体" w:eastAsia="宋体" w:cs="宋体"/>
          <w:spacing w:val="0"/>
          <w:w w:val="100"/>
          <w:position w:val="0"/>
          <w:sz w:val="24"/>
          <w:szCs w:val="24"/>
        </w:rPr>
        <w:t>5.7 采购需求标准</w:t>
      </w:r>
      <w:bookmarkEnd w:id="34"/>
    </w:p>
    <w:p w14:paraId="7CF01488">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14:paraId="7EFF99C0">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14:paraId="4E8678C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35" w:name="_Toc4654"/>
      <w:r>
        <w:rPr>
          <w:rFonts w:hint="eastAsia" w:ascii="宋体" w:hAnsi="宋体" w:eastAsia="宋体" w:cs="宋体"/>
          <w:b/>
          <w:bCs/>
          <w:spacing w:val="0"/>
          <w:w w:val="100"/>
          <w:position w:val="0"/>
          <w:sz w:val="24"/>
          <w:szCs w:val="24"/>
        </w:rPr>
        <w:t>6</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投标费用</w:t>
      </w:r>
      <w:bookmarkEnd w:id="35"/>
    </w:p>
    <w:p w14:paraId="40C9AB0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6.1 投标人应自行承担所有与准备和参加投标有关的费用，无论投标的结果如何，采购人或采购代理机构在任何情况下均无承担这些费用的义务和责任。</w:t>
      </w:r>
    </w:p>
    <w:p w14:paraId="3600AFC4">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5F9F0DBA">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238441FE">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36" w:name="_Toc958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二</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招标文件</w:t>
      </w:r>
      <w:bookmarkEnd w:id="36"/>
    </w:p>
    <w:p w14:paraId="6119DCCB">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7" w:name="_Toc30073"/>
      <w:r>
        <w:rPr>
          <w:rFonts w:hint="eastAsia" w:ascii="宋体" w:hAnsi="宋体" w:eastAsia="宋体" w:cs="宋体"/>
          <w:b/>
          <w:bCs/>
          <w:spacing w:val="0"/>
          <w:w w:val="100"/>
          <w:position w:val="0"/>
          <w:sz w:val="24"/>
          <w:szCs w:val="24"/>
        </w:rPr>
        <w:t>7</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招标文件构成</w:t>
      </w:r>
      <w:bookmarkEnd w:id="37"/>
    </w:p>
    <w:p w14:paraId="53AD36EC">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8" w:name="_Toc26390"/>
      <w:r>
        <w:rPr>
          <w:rFonts w:hint="eastAsia" w:ascii="宋体" w:hAnsi="宋体" w:eastAsia="宋体" w:cs="宋体"/>
          <w:spacing w:val="0"/>
          <w:w w:val="100"/>
          <w:position w:val="0"/>
          <w:sz w:val="24"/>
          <w:szCs w:val="24"/>
        </w:rPr>
        <w:t>7.1 招标文件包括以下部分：</w:t>
      </w:r>
      <w:bookmarkEnd w:id="38"/>
    </w:p>
    <w:p w14:paraId="4EB63295">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第一章   投标邀请</w:t>
      </w:r>
    </w:p>
    <w:p w14:paraId="73209669">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第二章   投标人须知</w:t>
      </w:r>
    </w:p>
    <w:p w14:paraId="0F63BDA5">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第三章   资格审查</w:t>
      </w:r>
    </w:p>
    <w:p w14:paraId="11A60CF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第四章   评标程序、评标方法和评标标准</w:t>
      </w:r>
    </w:p>
    <w:p w14:paraId="2B566FA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第五章   采购需求</w:t>
      </w:r>
    </w:p>
    <w:p w14:paraId="73846CB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第六章   拟签订的合同文本</w:t>
      </w:r>
    </w:p>
    <w:p w14:paraId="2B1B7098">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第七章   投标文件格式</w:t>
      </w:r>
    </w:p>
    <w:p w14:paraId="139A1038">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7.2 投标人应认真阅读招标文件的全部内容。投标人应按照招标文件要求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交投标文件并保证所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供的全部资料的真实性，并对招标文件做出实质性响应，否则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578A4FBB">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9" w:name="_Toc12196"/>
      <w:r>
        <w:rPr>
          <w:rFonts w:hint="eastAsia" w:ascii="宋体" w:hAnsi="宋体" w:eastAsia="宋体" w:cs="宋体"/>
          <w:b/>
          <w:bCs/>
          <w:spacing w:val="0"/>
          <w:w w:val="100"/>
          <w:position w:val="0"/>
          <w:sz w:val="24"/>
          <w:szCs w:val="24"/>
        </w:rPr>
        <w:t>8</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对招标文件的澄清或修改</w:t>
      </w:r>
      <w:bookmarkEnd w:id="39"/>
    </w:p>
    <w:p w14:paraId="1B0E8E2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8.1 采购人或采购代理机构对已发出的招标文件进行必要澄清或者修改的，将在原公告发布媒体上发布更正公告，并以书面形式通知所有获取招标文件的潜在投标人。</w:t>
      </w:r>
    </w:p>
    <w:p w14:paraId="7A7B7164">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8.2 上述书面通知，按照获取招标文件的潜在投标人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供的联系方式发出，因</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供的信息有误导致通知延迟或无法通知的，采购人或采购代理机构不承担责任。</w:t>
      </w:r>
    </w:p>
    <w:p w14:paraId="35503D7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交投标文件的截止时间和开标时间。</w:t>
      </w:r>
    </w:p>
    <w:p w14:paraId="0CE02ADE">
      <w:pPr>
        <w:keepNext w:val="0"/>
        <w:keepLines w:val="0"/>
        <w:pageBreakBefore w:val="0"/>
        <w:widowControl/>
        <w:kinsoku/>
        <w:wordWrap/>
        <w:overflowPunct/>
        <w:topLinePunct w:val="0"/>
        <w:autoSpaceDE/>
        <w:autoSpaceDN/>
        <w:bidi w:val="0"/>
        <w:adjustRightInd w:val="0"/>
        <w:snapToGrid w:val="0"/>
        <w:spacing w:line="289" w:lineRule="auto"/>
        <w:textAlignment w:val="baseline"/>
        <w:rPr>
          <w:rFonts w:hint="eastAsia" w:ascii="宋体" w:hAnsi="宋体" w:eastAsia="宋体" w:cs="宋体"/>
          <w:spacing w:val="0"/>
          <w:w w:val="100"/>
          <w:position w:val="0"/>
          <w:sz w:val="21"/>
        </w:rPr>
      </w:pPr>
    </w:p>
    <w:p w14:paraId="633DA0CB">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3483E8A0">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40" w:name="_Toc3032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三</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投标文件的编制</w:t>
      </w:r>
      <w:bookmarkEnd w:id="40"/>
    </w:p>
    <w:p w14:paraId="4C86B91D">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1" w:name="_Toc5753"/>
      <w:r>
        <w:rPr>
          <w:rFonts w:hint="eastAsia" w:ascii="宋体" w:hAnsi="宋体" w:eastAsia="宋体" w:cs="宋体"/>
          <w:b/>
          <w:bCs/>
          <w:spacing w:val="0"/>
          <w:w w:val="100"/>
          <w:position w:val="0"/>
          <w:sz w:val="24"/>
          <w:szCs w:val="24"/>
        </w:rPr>
        <w:t>9</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投标范围、投标文件中计量单位的使用及投标语言</w:t>
      </w:r>
      <w:bookmarkEnd w:id="41"/>
    </w:p>
    <w:p w14:paraId="39E332F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w:t>
      </w:r>
      <w:r>
        <w:rPr>
          <w:rFonts w:hint="eastAsia" w:ascii="宋体" w:hAnsi="宋体" w:eastAsia="宋体" w:cs="宋体"/>
          <w:spacing w:val="0"/>
          <w:w w:val="100"/>
          <w:position w:val="0"/>
          <w:sz w:val="24"/>
          <w:szCs w:val="24"/>
        </w:rPr>
        <w:t>。</w:t>
      </w:r>
    </w:p>
    <w:p w14:paraId="47EF816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9.2 除招标文件有特殊要求外，本项目投标所使用的计量单位，应采用中华人民共和国法定计量单位。</w:t>
      </w:r>
    </w:p>
    <w:p w14:paraId="0747305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9.3 除专用术语外，投标文件及来往函电均应使用中文书写。必要时专用术语应附有中文解释。投标人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C4A7E61">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2" w:name="_Toc5940"/>
      <w:r>
        <w:rPr>
          <w:rFonts w:hint="eastAsia" w:ascii="宋体" w:hAnsi="宋体" w:eastAsia="宋体" w:cs="宋体"/>
          <w:b/>
          <w:bCs/>
          <w:spacing w:val="0"/>
          <w:w w:val="100"/>
          <w:position w:val="0"/>
          <w:sz w:val="24"/>
          <w:szCs w:val="24"/>
        </w:rPr>
        <w:t>10</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投标文件构成</w:t>
      </w:r>
      <w:bookmarkEnd w:id="42"/>
    </w:p>
    <w:p w14:paraId="5B71D95E">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10.1 投标人应当按照招标文件的要求编制投标文件。投标文件应由《资格证明文件》、《商务技术文件》两部分构成。投标文件的部分格式要求，见第七章《投标文件格式》。</w:t>
      </w:r>
    </w:p>
    <w:p w14:paraId="0302373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2</w:t>
      </w:r>
      <w:r>
        <w:rPr>
          <w:rFonts w:hint="eastAsia" w:ascii="宋体" w:hAnsi="宋体" w:eastAsia="宋体" w:cs="宋体"/>
          <w:spacing w:val="0"/>
          <w:w w:val="100"/>
          <w:position w:val="0"/>
          <w:sz w:val="24"/>
          <w:szCs w:val="24"/>
        </w:rPr>
        <w:t xml:space="preserve"> 第四章《评标程序、评标方法和评标标准》中涉及的证明文件。</w:t>
      </w:r>
    </w:p>
    <w:p w14:paraId="7AE3E3E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3</w:t>
      </w:r>
      <w:r>
        <w:rPr>
          <w:rFonts w:hint="eastAsia" w:ascii="宋体" w:hAnsi="宋体" w:eastAsia="宋体" w:cs="宋体"/>
          <w:spacing w:val="0"/>
          <w:w w:val="100"/>
          <w:position w:val="0"/>
          <w:sz w:val="24"/>
          <w:szCs w:val="24"/>
        </w:rPr>
        <w:t xml:space="preserve"> 对照第五章《采购需求》，说明所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供货物和服务已对第五章《采购需求》做出了响应，或申明与第五章《采购需求》的偏差和例外。如第五章《采购需求》中要求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供证明文件的，投标人应当按具体要求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w:t>
      </w:r>
    </w:p>
    <w:p w14:paraId="79D78E28">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3" w:name="_Toc30765"/>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4</w:t>
      </w:r>
      <w:r>
        <w:rPr>
          <w:rFonts w:hint="eastAsia" w:ascii="宋体" w:hAnsi="宋体" w:eastAsia="宋体" w:cs="宋体"/>
          <w:spacing w:val="0"/>
          <w:w w:val="100"/>
          <w:position w:val="0"/>
          <w:sz w:val="24"/>
          <w:szCs w:val="24"/>
        </w:rPr>
        <w:t xml:space="preserve"> 投标人认为应附的其他材料。</w:t>
      </w:r>
      <w:bookmarkEnd w:id="43"/>
    </w:p>
    <w:p w14:paraId="6B839F17">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4" w:name="_Toc23418"/>
      <w:r>
        <w:rPr>
          <w:rFonts w:hint="eastAsia" w:ascii="宋体" w:hAnsi="宋体" w:eastAsia="宋体" w:cs="宋体"/>
          <w:b/>
          <w:bCs/>
          <w:spacing w:val="0"/>
          <w:w w:val="100"/>
          <w:position w:val="0"/>
          <w:sz w:val="24"/>
          <w:szCs w:val="24"/>
        </w:rPr>
        <w:t>11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投标报价</w:t>
      </w:r>
      <w:bookmarkEnd w:id="44"/>
    </w:p>
    <w:p w14:paraId="26EE9851">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5" w:name="_Toc20444"/>
      <w:r>
        <w:rPr>
          <w:rFonts w:hint="eastAsia" w:ascii="宋体" w:hAnsi="宋体" w:eastAsia="宋体" w:cs="宋体"/>
          <w:spacing w:val="0"/>
          <w:w w:val="100"/>
          <w:position w:val="0"/>
          <w:sz w:val="24"/>
          <w:szCs w:val="24"/>
        </w:rPr>
        <w:t>11.1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所有投标均以人民币报价。</w:t>
      </w:r>
      <w:bookmarkEnd w:id="45"/>
    </w:p>
    <w:p w14:paraId="114D73B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14:paraId="0899171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81BD35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按照招标文件要求完成本项目的全部相关费用。</w:t>
      </w:r>
    </w:p>
    <w:p w14:paraId="4BB672E4">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采购人不得向供应商索要或者接受其给予的赠品、回扣或者与采购无关的其他商品、服务。</w:t>
      </w:r>
    </w:p>
    <w:p w14:paraId="607F294E">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投标人不能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供任何有选择性或可调整的报价（招标文件另有规定的除外），否则其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5A5282FA">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6" w:name="_Toc17672"/>
      <w:r>
        <w:rPr>
          <w:rFonts w:hint="eastAsia" w:ascii="宋体" w:hAnsi="宋体" w:eastAsia="宋体" w:cs="宋体"/>
          <w:b/>
          <w:bCs/>
          <w:spacing w:val="0"/>
          <w:w w:val="100"/>
          <w:position w:val="0"/>
          <w:sz w:val="24"/>
          <w:szCs w:val="24"/>
        </w:rPr>
        <w:t>12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投标保证金</w:t>
      </w:r>
      <w:bookmarkEnd w:id="46"/>
    </w:p>
    <w:p w14:paraId="075740C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投标人应按《投标人须知资料表》中规定的金额及要求交纳投标保证金。</w:t>
      </w:r>
    </w:p>
    <w:p w14:paraId="4A44855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交纳投标保证金可采用的形式：政府采购法律法规接受的支票、汇票、本票、网上银行支付或者金融机构、担保机构出具的保函等非现金形式。</w:t>
      </w:r>
    </w:p>
    <w:p w14:paraId="11DF645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投标保证金到账（保函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交）截止时间同投标截止时间。以支票、汇票、本票、网上银行支付等形式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交投标保证金的，应在投标截止时间前到账；以金融机构、担保机构出具的保函等形式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交投标保证金的，应在投标截止时间前将原件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交至采购代理机构。由于到账时间晚于投标截止时间的，或者票据错误、印鉴不清等原因导致不能到账的，其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477B82A">
      <w:pPr>
        <w:pStyle w:val="7"/>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textAlignment w:val="baseline"/>
        <w:outlineLvl w:val="2"/>
        <w:rPr>
          <w:rFonts w:hint="eastAsia" w:ascii="宋体" w:hAnsi="宋体" w:eastAsia="宋体" w:cs="宋体"/>
          <w:spacing w:val="0"/>
          <w:w w:val="100"/>
          <w:position w:val="0"/>
          <w:sz w:val="24"/>
          <w:szCs w:val="24"/>
        </w:rPr>
      </w:pPr>
      <w:bookmarkStart w:id="47" w:name="_Toc9978"/>
      <w:r>
        <w:rPr>
          <w:rFonts w:hint="eastAsia" w:ascii="宋体" w:hAnsi="宋体" w:eastAsia="宋体" w:cs="宋体"/>
          <w:spacing w:val="0"/>
          <w:w w:val="100"/>
          <w:position w:val="0"/>
          <w:sz w:val="24"/>
          <w:szCs w:val="24"/>
        </w:rPr>
        <w:t>12.4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投标保证金有效期同投标有效期。</w:t>
      </w:r>
      <w:bookmarkEnd w:id="47"/>
    </w:p>
    <w:p w14:paraId="111C86A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投标人为联合体的，可以由联合体中的一方或者多方共同交纳投标保证金，其交纳的投标保证金对联合体各方均具有约束力。</w:t>
      </w:r>
    </w:p>
    <w:p w14:paraId="0FA7CF2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A9ED43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投标人在投标截止时间前撤回已</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交的投标文件的，自收到投标人书面撤回通知之日起5个工作日内退还已收取的投标保证金；</w:t>
      </w:r>
    </w:p>
    <w:p w14:paraId="77CC5DB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中标人的投标保证金，自采购合同签订之日起5个工作日内退还中标人；</w:t>
      </w:r>
    </w:p>
    <w:p w14:paraId="7351666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未中标投标人的投标保证金，自中标通知书发出之日起5个工作日内退还未中标人；</w:t>
      </w:r>
    </w:p>
    <w:p w14:paraId="38EAEF24">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终止招标项目已经收取投标保证金的，自终止采购活动后5个工作日内退还已收取的投标保证金及其在银行产生的孳息。</w:t>
      </w:r>
    </w:p>
    <w:p w14:paraId="0BE909D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有下列情形之一的，采购人或采购代理机构可以不予退还投标保证金：</w:t>
      </w:r>
    </w:p>
    <w:p w14:paraId="36B6675F">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投标有效期内投标人撤销投标文件的；</w:t>
      </w:r>
    </w:p>
    <w:p w14:paraId="4ED4B0A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《投标人须知资料表》中规定的其他情形。</w:t>
      </w:r>
    </w:p>
    <w:p w14:paraId="100E10E4">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8" w:name="_Toc21364"/>
      <w:r>
        <w:rPr>
          <w:rFonts w:hint="eastAsia" w:ascii="宋体" w:hAnsi="宋体" w:eastAsia="宋体" w:cs="宋体"/>
          <w:b/>
          <w:bCs/>
          <w:spacing w:val="0"/>
          <w:w w:val="100"/>
          <w:position w:val="0"/>
          <w:sz w:val="24"/>
          <w:szCs w:val="24"/>
        </w:rPr>
        <w:t>13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投标有效期</w:t>
      </w:r>
      <w:bookmarkEnd w:id="48"/>
    </w:p>
    <w:p w14:paraId="346F24B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投标文件应在本招标文件《投标人须知资料表》中规定的投标有效期内保持有效，投标有效期少于招标文件规定期限的，其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796FDEB0">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9" w:name="_Toc21259"/>
      <w:r>
        <w:rPr>
          <w:rFonts w:hint="eastAsia" w:ascii="宋体" w:hAnsi="宋体" w:eastAsia="宋体" w:cs="宋体"/>
          <w:b/>
          <w:bCs/>
          <w:spacing w:val="0"/>
          <w:w w:val="100"/>
          <w:position w:val="0"/>
          <w:sz w:val="24"/>
          <w:szCs w:val="24"/>
        </w:rPr>
        <w:t>14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投标文件的签署、盖章</w:t>
      </w:r>
      <w:bookmarkEnd w:id="49"/>
    </w:p>
    <w:p w14:paraId="6598F43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招标文件要求签字的内容（如授权委托书等），可以使用电子签章或使用原件 的电子件（电子件指</w:t>
      </w:r>
      <w:r>
        <w:rPr>
          <w:rFonts w:hint="eastAsia" w:cs="宋体"/>
          <w:spacing w:val="0"/>
          <w:w w:val="100"/>
          <w:position w:val="0"/>
          <w:sz w:val="24"/>
          <w:szCs w:val="24"/>
          <w:lang w:val="en-US" w:eastAsia="zh-CN"/>
        </w:rPr>
        <w:t>扫描</w:t>
      </w:r>
      <w:r>
        <w:rPr>
          <w:rFonts w:hint="eastAsia" w:ascii="宋体" w:hAnsi="宋体" w:eastAsia="宋体" w:cs="宋体"/>
          <w:spacing w:val="0"/>
          <w:w w:val="100"/>
          <w:position w:val="0"/>
          <w:sz w:val="24"/>
          <w:szCs w:val="24"/>
        </w:rPr>
        <w:t>件、照片等形式电子文件）；要求第三方出具的盖章件原件（如联合协议、分包意向协议、制造商授权书等），投标文件中应使用原件的电子件。</w:t>
      </w:r>
    </w:p>
    <w:p w14:paraId="4749C82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招标文件要求盖章的内容，一般通过投标文件编制工具加盖电子签章。</w:t>
      </w:r>
    </w:p>
    <w:p w14:paraId="1405F333">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50" w:name="_Toc4453"/>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四</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w:t>
      </w:r>
      <w:r>
        <w:rPr>
          <w:rFonts w:hint="eastAsia" w:cs="宋体"/>
          <w:spacing w:val="0"/>
          <w:w w:val="100"/>
          <w:position w:val="0"/>
          <w:sz w:val="28"/>
          <w:szCs w:val="28"/>
          <w:lang w:eastAsia="zh-CN"/>
          <w14:textOutline w14:w="5104" w14:cap="flat" w14:cmpd="sng">
            <w14:solidFill>
              <w14:srgbClr w14:val="000000"/>
            </w14:solidFill>
            <w14:prstDash w14:val="solid"/>
            <w14:miter w14:val="0"/>
          </w14:textOutline>
        </w:rPr>
        <w:t>提</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交</w:t>
      </w:r>
      <w:bookmarkEnd w:id="50"/>
    </w:p>
    <w:p w14:paraId="2566ED5B">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1" w:name="_Toc31333"/>
      <w:r>
        <w:rPr>
          <w:rFonts w:hint="eastAsia" w:ascii="宋体" w:hAnsi="宋体" w:eastAsia="宋体" w:cs="宋体"/>
          <w:b/>
          <w:bCs/>
          <w:color w:val="000000"/>
          <w:sz w:val="24"/>
          <w:szCs w:val="24"/>
        </w:rPr>
        <w:t>15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投标文件的提交</w:t>
      </w:r>
      <w:bookmarkEnd w:id="51"/>
    </w:p>
    <w:p w14:paraId="01119156">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15.1</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本项目使用北京市政府采购电子交易平台。投标人根据招标文件及电子交易</w:t>
      </w:r>
      <w:r>
        <w:rPr>
          <w:rFonts w:hint="eastAsia" w:ascii="宋体" w:hAnsi="宋体" w:eastAsia="宋体" w:cs="宋体"/>
          <w:color w:val="000000"/>
          <w:sz w:val="24"/>
          <w:szCs w:val="24"/>
        </w:rPr>
        <w:t>平台供应商操作手册要求编制、生成并提交电子投标文件。</w:t>
      </w:r>
    </w:p>
    <w:p w14:paraId="62221C53">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采购人及采购代理机构拒绝接受通过电子交易平台以外任何形式提交的投标文件，投标保证金除外。</w:t>
      </w:r>
    </w:p>
    <w:p w14:paraId="53308FE3">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2" w:name="_Toc230"/>
      <w:r>
        <w:rPr>
          <w:rFonts w:hint="eastAsia" w:ascii="宋体" w:hAnsi="宋体" w:eastAsia="宋体" w:cs="宋体"/>
          <w:b/>
          <w:bCs/>
          <w:color w:val="000000"/>
          <w:sz w:val="24"/>
          <w:szCs w:val="24"/>
        </w:rPr>
        <w:t>16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投标截止时间</w:t>
      </w:r>
      <w:bookmarkEnd w:id="52"/>
    </w:p>
    <w:p w14:paraId="35A0DCE2">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投标人应在招标文件要求提交投标文件截止时间前，将电子投标文件提交至电子交易平台。</w:t>
      </w:r>
    </w:p>
    <w:p w14:paraId="00170D53">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3" w:name="_Toc24529"/>
      <w:r>
        <w:rPr>
          <w:rFonts w:hint="eastAsia" w:ascii="宋体" w:hAnsi="宋体" w:eastAsia="宋体" w:cs="宋体"/>
          <w:b/>
          <w:bCs/>
          <w:color w:val="000000"/>
          <w:sz w:val="24"/>
          <w:szCs w:val="24"/>
        </w:rPr>
        <w:t>17</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投标文件的修改与撤回</w:t>
      </w:r>
      <w:bookmarkEnd w:id="53"/>
    </w:p>
    <w:p w14:paraId="676CD9CC">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17.1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投标截止时间前，投标人可以通过电子交易平台对所提交的投标文件进行补</w:t>
      </w:r>
      <w:r>
        <w:rPr>
          <w:rFonts w:hint="eastAsia" w:ascii="宋体" w:hAnsi="宋体" w:eastAsia="宋体" w:cs="宋体"/>
          <w:snapToGrid w:val="0"/>
          <w:color w:val="000000"/>
          <w:kern w:val="0"/>
          <w:sz w:val="24"/>
          <w:szCs w:val="24"/>
          <w:lang w:val="en-US" w:eastAsia="zh-CN" w:bidi="ar"/>
        </w:rPr>
        <w:t>充、修改或者撤回。投标保证金的补充、修改或者撤回无需通过电子交易平</w:t>
      </w:r>
      <w:r>
        <w:rPr>
          <w:rFonts w:hint="eastAsia" w:ascii="宋体" w:hAnsi="宋体" w:eastAsia="宋体" w:cs="宋体"/>
          <w:color w:val="000000"/>
          <w:sz w:val="24"/>
          <w:szCs w:val="24"/>
        </w:rPr>
        <w:t>台，但应就其补充、修改或者撤回通知采购人或采购代理机构。</w:t>
      </w:r>
    </w:p>
    <w:p w14:paraId="4474B488">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pPr>
      <w:r>
        <w:rPr>
          <w:rFonts w:hint="eastAsia" w:ascii="宋体" w:hAnsi="宋体" w:eastAsia="宋体" w:cs="宋体"/>
          <w:color w:val="000000"/>
          <w:sz w:val="24"/>
          <w:szCs w:val="24"/>
        </w:rPr>
        <w:t>17.2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投标人对投标文件的补充、修改的内容应当按照招标文件要求签署、盖章，作为投标文件的组成部分。</w:t>
      </w:r>
    </w:p>
    <w:p w14:paraId="5ED3E207">
      <w:pPr>
        <w:pStyle w:val="7"/>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53DCAAB7">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baseline"/>
        <w:outlineLvl w:val="2"/>
        <w:rPr>
          <w:rFonts w:hint="eastAsia" w:ascii="宋体" w:hAnsi="宋体" w:eastAsia="宋体" w:cs="宋体"/>
          <w:sz w:val="28"/>
          <w:szCs w:val="28"/>
        </w:rPr>
      </w:pPr>
      <w:bookmarkStart w:id="54" w:name="_Toc1785"/>
      <w:r>
        <w:rPr>
          <w:rFonts w:hint="eastAsia" w:ascii="宋体" w:hAnsi="宋体" w:eastAsia="宋体" w:cs="宋体"/>
          <w:b/>
          <w:bCs/>
          <w:color w:val="000000"/>
          <w:sz w:val="28"/>
          <w:szCs w:val="28"/>
        </w:rPr>
        <w:t>五</w:t>
      </w:r>
      <w:r>
        <w:rPr>
          <w:rFonts w:hint="eastAsia" w:cs="宋体"/>
          <w:b/>
          <w:bCs/>
          <w:color w:val="000000"/>
          <w:sz w:val="28"/>
          <w:szCs w:val="28"/>
          <w:lang w:val="en-US" w:eastAsia="zh-CN"/>
        </w:rPr>
        <w:t xml:space="preserve">  </w:t>
      </w:r>
      <w:r>
        <w:rPr>
          <w:rFonts w:hint="eastAsia" w:ascii="宋体" w:hAnsi="宋体" w:eastAsia="宋体" w:cs="宋体"/>
          <w:b/>
          <w:bCs/>
          <w:color w:val="000000"/>
          <w:sz w:val="28"/>
          <w:szCs w:val="28"/>
        </w:rPr>
        <w:t>开标、资格审查及评标</w:t>
      </w:r>
      <w:bookmarkEnd w:id="54"/>
    </w:p>
    <w:p w14:paraId="1864D066">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5" w:name="_Toc13365"/>
      <w:r>
        <w:rPr>
          <w:rFonts w:hint="eastAsia" w:ascii="宋体" w:hAnsi="宋体" w:eastAsia="宋体" w:cs="宋体"/>
          <w:b/>
          <w:bCs/>
          <w:color w:val="000000"/>
          <w:sz w:val="24"/>
          <w:szCs w:val="24"/>
        </w:rPr>
        <w:t>18</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开标</w:t>
      </w:r>
      <w:bookmarkEnd w:id="55"/>
    </w:p>
    <w:p w14:paraId="2427907D">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采购人或采购代理机构将按招标文件的规定，在投标截止时间的同一时间和招标文件预先确定的地点组织开标。</w:t>
      </w:r>
    </w:p>
    <w:p w14:paraId="7529A61F">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本项目开标使用北京市政府采购电子交易平台。投标人应在规定的时间内对</w:t>
      </w:r>
      <w:r>
        <w:rPr>
          <w:rFonts w:hint="eastAsia" w:ascii="宋体" w:hAnsi="宋体" w:eastAsia="宋体" w:cs="宋体"/>
          <w:snapToGrid w:val="0"/>
          <w:color w:val="000000"/>
          <w:kern w:val="0"/>
          <w:sz w:val="24"/>
          <w:szCs w:val="24"/>
          <w:lang w:val="en-US" w:eastAsia="zh-CN" w:bidi="ar"/>
        </w:rPr>
        <w:t>投标文件进行解密，因非系统原因导致的解密失败，视为</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w:t>
      </w:r>
    </w:p>
    <w:p w14:paraId="0259B121">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开标过程将使用电子交易平台宣布投标人名称、投标价格和招标文件规定的</w:t>
      </w:r>
      <w:r>
        <w:rPr>
          <w:rFonts w:hint="eastAsia" w:ascii="宋体" w:hAnsi="宋体" w:eastAsia="宋体" w:cs="宋体"/>
          <w:snapToGrid w:val="0"/>
          <w:color w:val="000000"/>
          <w:kern w:val="0"/>
          <w:sz w:val="24"/>
          <w:szCs w:val="24"/>
          <w:lang w:val="en-US" w:eastAsia="zh-CN" w:bidi="ar"/>
        </w:rPr>
        <w:t>需要宣布的其他内容并进行记录，并由参加开标的各投标人确认。投标人未</w:t>
      </w:r>
      <w:r>
        <w:rPr>
          <w:rFonts w:hint="eastAsia" w:ascii="宋体" w:hAnsi="宋体" w:eastAsia="宋体" w:cs="宋体"/>
          <w:color w:val="000000"/>
          <w:sz w:val="24"/>
          <w:szCs w:val="24"/>
        </w:rPr>
        <w:t>在规定时间内提出疑义或确认一览表的，视同认可开标结果。</w:t>
      </w:r>
    </w:p>
    <w:p w14:paraId="29663B06">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投标人对开标过程和开标记录有疑义，以及认为采购人、采购代理机构相关</w:t>
      </w:r>
      <w:r>
        <w:rPr>
          <w:rFonts w:hint="eastAsia" w:ascii="宋体" w:hAnsi="宋体" w:eastAsia="宋体" w:cs="宋体"/>
          <w:snapToGrid w:val="0"/>
          <w:color w:val="000000"/>
          <w:kern w:val="0"/>
          <w:sz w:val="24"/>
          <w:szCs w:val="24"/>
          <w:lang w:val="en-US" w:eastAsia="zh-CN" w:bidi="ar"/>
        </w:rPr>
        <w:t>工作人员有需要回避的情形的，应当场提出询问或者回避申请。采购人、采</w:t>
      </w:r>
      <w:r>
        <w:rPr>
          <w:rFonts w:hint="eastAsia" w:ascii="宋体" w:hAnsi="宋体" w:eastAsia="宋体" w:cs="宋体"/>
          <w:color w:val="000000"/>
          <w:sz w:val="24"/>
          <w:szCs w:val="24"/>
        </w:rPr>
        <w:t>购代理机构对投标人提出的询问或者回避申请将及时处理。</w:t>
      </w:r>
    </w:p>
    <w:p w14:paraId="19B636EC">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6" w:name="_Toc14609"/>
      <w:r>
        <w:rPr>
          <w:rFonts w:hint="eastAsia" w:ascii="宋体" w:hAnsi="宋体" w:eastAsia="宋体" w:cs="宋体"/>
          <w:color w:val="000000"/>
          <w:sz w:val="24"/>
          <w:szCs w:val="24"/>
        </w:rPr>
        <w:t>18.5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投标人不足3家的，不予开标。</w:t>
      </w:r>
      <w:bookmarkEnd w:id="56"/>
    </w:p>
    <w:p w14:paraId="1A3E1EDB">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7" w:name="_Toc26303"/>
      <w:r>
        <w:rPr>
          <w:rFonts w:hint="eastAsia" w:ascii="宋体" w:hAnsi="宋体" w:eastAsia="宋体" w:cs="宋体"/>
          <w:b/>
          <w:bCs/>
          <w:color w:val="000000"/>
          <w:sz w:val="24"/>
          <w:szCs w:val="24"/>
        </w:rPr>
        <w:t>19</w:t>
      </w:r>
      <w:r>
        <w:rPr>
          <w:rFonts w:hint="eastAsia" w:cs="宋体"/>
          <w:b/>
          <w:bCs/>
          <w:spacing w:val="0"/>
          <w:w w:val="100"/>
          <w:position w:val="0"/>
          <w:sz w:val="24"/>
          <w:szCs w:val="24"/>
          <w:lang w:val="en-US" w:eastAsia="zh-CN"/>
        </w:rPr>
        <w:t>、</w:t>
      </w:r>
      <w:r>
        <w:rPr>
          <w:rFonts w:hint="eastAsia" w:ascii="宋体" w:hAnsi="宋体" w:eastAsia="宋体" w:cs="宋体"/>
          <w:b/>
          <w:bCs/>
          <w:color w:val="000000"/>
          <w:sz w:val="24"/>
          <w:szCs w:val="24"/>
        </w:rPr>
        <w:t>资格审查</w:t>
      </w:r>
      <w:bookmarkEnd w:id="57"/>
    </w:p>
    <w:p w14:paraId="0D30350E">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8" w:name="_Toc17187"/>
      <w:r>
        <w:rPr>
          <w:rFonts w:hint="eastAsia" w:ascii="宋体" w:hAnsi="宋体" w:eastAsia="宋体" w:cs="宋体"/>
          <w:color w:val="000000"/>
          <w:sz w:val="24"/>
          <w:szCs w:val="24"/>
        </w:rPr>
        <w:t>19.1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见第三章《资格审查》。</w:t>
      </w:r>
      <w:bookmarkEnd w:id="58"/>
    </w:p>
    <w:p w14:paraId="660A5E7E">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9" w:name="_Toc28446"/>
      <w:r>
        <w:rPr>
          <w:rFonts w:hint="eastAsia" w:ascii="宋体" w:hAnsi="宋体" w:eastAsia="宋体" w:cs="宋体"/>
          <w:b/>
          <w:bCs/>
          <w:color w:val="000000"/>
          <w:sz w:val="24"/>
          <w:szCs w:val="24"/>
        </w:rPr>
        <w:t>20</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评标委员会</w:t>
      </w:r>
      <w:bookmarkEnd w:id="59"/>
    </w:p>
    <w:p w14:paraId="5553B95E">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20.1</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评标委员会根据政府采购有关规定和本次采购项目的特点进行组建，并负责</w:t>
      </w:r>
      <w:r>
        <w:rPr>
          <w:rFonts w:hint="eastAsia" w:ascii="宋体" w:hAnsi="宋体" w:eastAsia="宋体" w:cs="宋体"/>
          <w:color w:val="000000"/>
          <w:sz w:val="24"/>
          <w:szCs w:val="24"/>
        </w:rPr>
        <w:t>具体评标事务，独立履行职责。</w:t>
      </w:r>
    </w:p>
    <w:p w14:paraId="2B28D8A9">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20.2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评审专家须符合《财政部关于在政府采购活动中查询及使用信用记录有关问</w:t>
      </w:r>
      <w:r>
        <w:rPr>
          <w:rFonts w:hint="eastAsia" w:ascii="宋体" w:hAnsi="宋体" w:eastAsia="宋体" w:cs="宋体"/>
          <w:snapToGrid w:val="0"/>
          <w:color w:val="000000"/>
          <w:kern w:val="0"/>
          <w:sz w:val="24"/>
          <w:szCs w:val="24"/>
          <w:lang w:val="en-US" w:eastAsia="zh-CN" w:bidi="ar"/>
        </w:rPr>
        <w:t>题的通知》（财库〔2016〕125号）的规定。依法自行选定评审专家的，采购人和采购代理机构将查询有关信用记录，对具有行贿、受贿、欺诈等不良</w:t>
      </w:r>
      <w:r>
        <w:rPr>
          <w:rFonts w:hint="eastAsia" w:ascii="宋体" w:hAnsi="宋体" w:eastAsia="宋体" w:cs="宋体"/>
          <w:color w:val="000000"/>
          <w:sz w:val="24"/>
          <w:szCs w:val="24"/>
        </w:rPr>
        <w:t>信用记录的人员，拒绝其参与政府采购活动。</w:t>
      </w:r>
    </w:p>
    <w:p w14:paraId="1D2080AD">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0" w:name="_Toc4967"/>
      <w:r>
        <w:rPr>
          <w:rFonts w:hint="eastAsia" w:cs="宋体"/>
          <w:b/>
          <w:bCs/>
          <w:color w:val="000000"/>
          <w:sz w:val="24"/>
          <w:szCs w:val="24"/>
          <w:lang w:val="en-US" w:eastAsia="zh-CN"/>
        </w:rPr>
        <w:t>21</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评标程序、评标方法和评标标准</w:t>
      </w:r>
      <w:bookmarkEnd w:id="60"/>
    </w:p>
    <w:p w14:paraId="6CFD9994">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1" w:name="_Toc10959"/>
      <w:r>
        <w:rPr>
          <w:rFonts w:hint="eastAsia" w:ascii="宋体" w:hAnsi="宋体" w:eastAsia="宋体" w:cs="宋体"/>
          <w:color w:val="000000"/>
          <w:sz w:val="24"/>
          <w:szCs w:val="24"/>
        </w:rPr>
        <w:t>21.1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见第四章《评标程序、评标方法和评标标准》</w:t>
      </w:r>
      <w:bookmarkEnd w:id="61"/>
    </w:p>
    <w:p w14:paraId="581CE356">
      <w:pPr>
        <w:pStyle w:val="7"/>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0B6C9340">
      <w:pPr>
        <w:pStyle w:val="7"/>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1CCE72D4">
      <w:pPr>
        <w:pStyle w:val="7"/>
        <w:keepNext w:val="0"/>
        <w:keepLines w:val="0"/>
        <w:pageBreakBefore w:val="0"/>
        <w:widowControl/>
        <w:kinsoku/>
        <w:wordWrap/>
        <w:overflowPunct/>
        <w:topLinePunct w:val="0"/>
        <w:autoSpaceDE/>
        <w:autoSpaceDN/>
        <w:bidi w:val="0"/>
        <w:adjustRightInd w:val="0"/>
        <w:snapToGrid w:val="0"/>
        <w:spacing w:before="92" w:line="221" w:lineRule="auto"/>
        <w:ind w:left="3635"/>
        <w:textAlignment w:val="baseline"/>
        <w:outlineLvl w:val="1"/>
        <w:rPr>
          <w:rFonts w:hint="eastAsia" w:ascii="宋体" w:hAnsi="宋体" w:eastAsia="宋体" w:cs="宋体"/>
          <w:spacing w:val="0"/>
          <w:w w:val="100"/>
          <w:position w:val="0"/>
          <w:sz w:val="28"/>
          <w:szCs w:val="28"/>
        </w:rPr>
      </w:pPr>
      <w:bookmarkStart w:id="62" w:name="_Toc845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六</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确定中标</w:t>
      </w:r>
      <w:bookmarkEnd w:id="62"/>
    </w:p>
    <w:p w14:paraId="33734C6B">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3" w:name="_Toc28040"/>
      <w:r>
        <w:rPr>
          <w:rFonts w:hint="eastAsia" w:ascii="宋体" w:hAnsi="宋体" w:eastAsia="宋体" w:cs="宋体"/>
          <w:b/>
          <w:bCs/>
          <w:color w:val="000000"/>
          <w:sz w:val="24"/>
          <w:szCs w:val="24"/>
        </w:rPr>
        <w:t>22</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确定中标人</w:t>
      </w:r>
      <w:bookmarkEnd w:id="63"/>
    </w:p>
    <w:p w14:paraId="2087D269">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采购人将在评标报告确定的中标候选人名单中按顺序确定中标人，中标候选</w:t>
      </w:r>
      <w:r>
        <w:rPr>
          <w:rFonts w:hint="eastAsia" w:ascii="宋体" w:hAnsi="宋体" w:eastAsia="宋体" w:cs="宋体"/>
          <w:snapToGrid w:val="0"/>
          <w:color w:val="000000"/>
          <w:kern w:val="0"/>
          <w:sz w:val="24"/>
          <w:szCs w:val="24"/>
          <w:lang w:val="en-US" w:eastAsia="zh-CN" w:bidi="ar"/>
        </w:rPr>
        <w:t>人并列的，由采购人或者采购人委托评标委员会按照招标文件规定的方式确定中标人；招标文件未规定的，采取随机抽取的方式确定。采购人是否委托</w:t>
      </w:r>
      <w:r>
        <w:rPr>
          <w:rFonts w:hint="eastAsia" w:ascii="宋体" w:hAnsi="宋体" w:eastAsia="宋体" w:cs="宋体"/>
          <w:color w:val="000000"/>
          <w:sz w:val="24"/>
          <w:szCs w:val="24"/>
        </w:rPr>
        <w:t>评标委员会直接确定中标人，见《投标人须知资料表》。中标候选人并列的，按照《投标人须知资料表》要求确定中标人。</w:t>
      </w:r>
    </w:p>
    <w:p w14:paraId="15543129">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4" w:name="_Toc3391"/>
      <w:r>
        <w:rPr>
          <w:rFonts w:hint="eastAsia" w:ascii="宋体" w:hAnsi="宋体" w:eastAsia="宋体" w:cs="宋体"/>
          <w:b/>
          <w:bCs/>
          <w:color w:val="000000"/>
          <w:sz w:val="24"/>
          <w:szCs w:val="24"/>
        </w:rPr>
        <w:t>23</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中标公告与中标通知书</w:t>
      </w:r>
      <w:bookmarkEnd w:id="64"/>
    </w:p>
    <w:p w14:paraId="5939361E">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采购人或采购代理机构自中标人确定之日起2个工作日内，在北京市政府采</w:t>
      </w:r>
      <w:r>
        <w:rPr>
          <w:rFonts w:hint="eastAsia" w:ascii="宋体" w:hAnsi="宋体" w:eastAsia="宋体" w:cs="宋体"/>
          <w:snapToGrid w:val="0"/>
          <w:color w:val="000000"/>
          <w:kern w:val="0"/>
          <w:sz w:val="24"/>
          <w:szCs w:val="24"/>
          <w:lang w:val="en-US" w:eastAsia="zh-CN" w:bidi="ar"/>
        </w:rPr>
        <w:t>购网公告中标结果，同时向中标人发出中标通知书，中标公告期限为1个工</w:t>
      </w:r>
      <w:r>
        <w:rPr>
          <w:rFonts w:hint="eastAsia" w:ascii="宋体" w:hAnsi="宋体" w:eastAsia="宋体" w:cs="宋体"/>
          <w:color w:val="000000"/>
          <w:sz w:val="24"/>
          <w:szCs w:val="24"/>
        </w:rPr>
        <w:t>作日。</w:t>
      </w:r>
    </w:p>
    <w:p w14:paraId="6F2BEBB8">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中标通知书对采购人和中标供应商均具有法律效力。中标通知书发出后，采</w:t>
      </w:r>
      <w:r>
        <w:rPr>
          <w:rFonts w:hint="eastAsia" w:ascii="宋体" w:hAnsi="宋体" w:eastAsia="宋体" w:cs="宋体"/>
          <w:snapToGrid w:val="0"/>
          <w:color w:val="000000"/>
          <w:kern w:val="0"/>
          <w:sz w:val="24"/>
          <w:szCs w:val="24"/>
          <w:lang w:val="en-US" w:eastAsia="zh-CN" w:bidi="ar"/>
        </w:rPr>
        <w:t>购人改变中标结果的，或者中标供应商放弃中标项目的，应当依法承担法律</w:t>
      </w:r>
      <w:r>
        <w:rPr>
          <w:rFonts w:hint="eastAsia" w:ascii="宋体" w:hAnsi="宋体" w:eastAsia="宋体" w:cs="宋体"/>
          <w:color w:val="000000"/>
          <w:sz w:val="24"/>
          <w:szCs w:val="24"/>
        </w:rPr>
        <w:t>责任。</w:t>
      </w:r>
    </w:p>
    <w:p w14:paraId="382339E7">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5" w:name="_Toc9799"/>
      <w:r>
        <w:rPr>
          <w:rFonts w:hint="eastAsia" w:ascii="宋体" w:hAnsi="宋体" w:eastAsia="宋体" w:cs="宋体"/>
          <w:b/>
          <w:bCs/>
          <w:color w:val="000000"/>
          <w:sz w:val="24"/>
          <w:szCs w:val="24"/>
        </w:rPr>
        <w:t>24</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废标</w:t>
      </w:r>
      <w:bookmarkEnd w:id="65"/>
    </w:p>
    <w:p w14:paraId="0C45FD9B">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6" w:name="_Toc6873"/>
      <w:r>
        <w:rPr>
          <w:rFonts w:hint="eastAsia" w:ascii="宋体" w:hAnsi="宋体" w:eastAsia="宋体" w:cs="宋体"/>
          <w:color w:val="00000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在招标采购中，出现下列情形之一的，应予废标：</w:t>
      </w:r>
      <w:bookmarkEnd w:id="66"/>
    </w:p>
    <w:p w14:paraId="77E0B18A">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符合专业条件的供应商或者对招标文件作实质响应的供应商不足三家的；</w:t>
      </w:r>
    </w:p>
    <w:p w14:paraId="1C16489C">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出现影响采购公正的违法、违规行为的；</w:t>
      </w:r>
    </w:p>
    <w:p w14:paraId="4E27622F">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投标人的报价均超过了采购预算，采购人不能支付的；</w:t>
      </w:r>
    </w:p>
    <w:p w14:paraId="1486152B">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因重大变故，采购任务取消的。</w:t>
      </w:r>
    </w:p>
    <w:p w14:paraId="2C4270F9">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7" w:name="_Toc17810"/>
      <w:r>
        <w:rPr>
          <w:rFonts w:hint="eastAsia" w:ascii="宋体" w:hAnsi="宋体" w:eastAsia="宋体" w:cs="宋体"/>
          <w:color w:val="00000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废标后，采购人将废标理由书面通知所有投标人。</w:t>
      </w:r>
      <w:bookmarkEnd w:id="67"/>
    </w:p>
    <w:p w14:paraId="7B0952E6">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8" w:name="_Toc5580"/>
      <w:r>
        <w:rPr>
          <w:rFonts w:hint="eastAsia" w:ascii="宋体" w:hAnsi="宋体" w:eastAsia="宋体" w:cs="宋体"/>
          <w:b/>
          <w:bCs/>
          <w:color w:val="000000"/>
          <w:sz w:val="24"/>
          <w:szCs w:val="24"/>
        </w:rPr>
        <w:t>25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签订合同</w:t>
      </w:r>
      <w:bookmarkEnd w:id="68"/>
    </w:p>
    <w:p w14:paraId="39270E77">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中标人、采购人应当自中标通知书发出之日起30日内，按照招标文件和中标</w:t>
      </w:r>
      <w:r>
        <w:rPr>
          <w:rFonts w:hint="eastAsia" w:ascii="宋体" w:hAnsi="宋体" w:eastAsia="宋体" w:cs="宋体"/>
          <w:snapToGrid w:val="0"/>
          <w:color w:val="000000"/>
          <w:kern w:val="0"/>
          <w:sz w:val="24"/>
          <w:szCs w:val="24"/>
          <w:lang w:val="en-US" w:eastAsia="zh-CN" w:bidi="ar"/>
        </w:rPr>
        <w:t>人投标文件的规定签订书面合同。所签订的合同不得对招标文件确定的事项</w:t>
      </w:r>
      <w:r>
        <w:rPr>
          <w:rFonts w:hint="eastAsia" w:ascii="宋体" w:hAnsi="宋体" w:eastAsia="宋体" w:cs="宋体"/>
          <w:color w:val="000000"/>
          <w:sz w:val="24"/>
          <w:szCs w:val="24"/>
        </w:rPr>
        <w:t>和中标人投标文件作实质性修改。</w:t>
      </w:r>
    </w:p>
    <w:p w14:paraId="350C74F5">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中标人拒绝与采购人签订合同的，采购人可以按照评标报告推荐的中标候选人名单排序，确定下一候选人为中标人，也可以重新开展政府采购活动。</w:t>
      </w:r>
    </w:p>
    <w:p w14:paraId="1285D421">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联合体中标的，联合体各方应当共同与采购人签订合同，就采购合同约定的事项向采购人承担连带责任。</w:t>
      </w:r>
    </w:p>
    <w:p w14:paraId="67414B77">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9" w:name="_Toc14048"/>
      <w:r>
        <w:rPr>
          <w:rFonts w:hint="eastAsia" w:ascii="宋体" w:hAnsi="宋体" w:eastAsia="宋体" w:cs="宋体"/>
          <w:color w:val="00000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政府采购合同不能转包。</w:t>
      </w:r>
      <w:bookmarkEnd w:id="69"/>
    </w:p>
    <w:p w14:paraId="1CFD86BC">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采购人允许采用分包方式履行合同的，中标人可以依法在中标后将中标项目</w:t>
      </w:r>
      <w:r>
        <w:rPr>
          <w:rFonts w:hint="eastAsia" w:ascii="宋体" w:hAnsi="宋体" w:eastAsia="宋体" w:cs="宋体"/>
          <w:snapToGrid w:val="0"/>
          <w:color w:val="000000"/>
          <w:kern w:val="0"/>
          <w:sz w:val="24"/>
          <w:szCs w:val="24"/>
          <w:lang w:val="en-US" w:eastAsia="zh-CN" w:bidi="ar"/>
        </w:rPr>
        <w:t>的非主体、非关键性工作采取分包方式履行合同。本项目的非主体、非关键</w:t>
      </w:r>
      <w:r>
        <w:rPr>
          <w:rFonts w:hint="eastAsia" w:ascii="宋体" w:hAnsi="宋体" w:eastAsia="宋体" w:cs="宋体"/>
          <w:color w:val="000000"/>
          <w:sz w:val="24"/>
          <w:szCs w:val="24"/>
        </w:rPr>
        <w:t>性工作是否允许分包，见《投标人须知资料表》。政府采购合同分包履行的，</w:t>
      </w:r>
      <w:r>
        <w:rPr>
          <w:rFonts w:hint="eastAsia" w:ascii="宋体" w:hAnsi="宋体" w:eastAsia="宋体" w:cs="宋体"/>
          <w:snapToGrid w:val="0"/>
          <w:color w:val="000000"/>
          <w:kern w:val="0"/>
          <w:sz w:val="24"/>
          <w:szCs w:val="24"/>
          <w:lang w:val="en-US" w:eastAsia="zh-CN" w:bidi="ar"/>
        </w:rPr>
        <w:t>应当在投标文件中载明分包承担主体，分包承担主体应当具备相应资质条件且不得再次分包</w:t>
      </w:r>
      <w:r>
        <w:rPr>
          <w:rFonts w:hint="eastAsia" w:ascii="宋体" w:hAnsi="宋体" w:eastAsia="宋体" w:cs="宋体"/>
          <w:b/>
          <w:bCs/>
          <w:snapToGrid w:val="0"/>
          <w:color w:val="000000"/>
          <w:kern w:val="0"/>
          <w:sz w:val="24"/>
          <w:szCs w:val="24"/>
          <w:lang w:val="en-US" w:eastAsia="zh-CN" w:bidi="ar"/>
        </w:rPr>
        <w:t>，</w:t>
      </w:r>
      <w:r>
        <w:rPr>
          <w:rFonts w:hint="eastAsia" w:ascii="宋体" w:hAnsi="宋体" w:eastAsia="宋体" w:cs="宋体"/>
          <w:snapToGrid w:val="0"/>
          <w:color w:val="000000"/>
          <w:kern w:val="0"/>
          <w:sz w:val="24"/>
          <w:szCs w:val="24"/>
          <w:lang w:val="en-US" w:eastAsia="zh-CN" w:bidi="ar"/>
        </w:rPr>
        <w:t>否则</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。中标人就采购项目和分包项目向采购人负</w:t>
      </w:r>
      <w:r>
        <w:rPr>
          <w:rFonts w:hint="eastAsia" w:ascii="宋体" w:hAnsi="宋体" w:eastAsia="宋体" w:cs="宋体"/>
          <w:color w:val="000000"/>
          <w:sz w:val="24"/>
          <w:szCs w:val="24"/>
        </w:rPr>
        <w:t>责，分包供应商就分包项目承担责任。</w:t>
      </w:r>
    </w:p>
    <w:p w14:paraId="10F76744">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70" w:name="_Toc21896"/>
      <w:r>
        <w:rPr>
          <w:rFonts w:hint="eastAsia" w:ascii="宋体" w:hAnsi="宋体" w:eastAsia="宋体" w:cs="宋体"/>
          <w:b/>
          <w:bCs/>
          <w:color w:val="000000"/>
          <w:sz w:val="24"/>
          <w:szCs w:val="24"/>
        </w:rPr>
        <w:t>26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询问与质疑</w:t>
      </w:r>
      <w:bookmarkEnd w:id="70"/>
    </w:p>
    <w:p w14:paraId="3EF0485C">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1" w:name="_Toc3669"/>
      <w:r>
        <w:rPr>
          <w:rFonts w:hint="eastAsia" w:ascii="宋体" w:hAnsi="宋体" w:eastAsia="宋体" w:cs="宋体"/>
          <w:color w:val="000000"/>
          <w:sz w:val="24"/>
          <w:szCs w:val="24"/>
        </w:rPr>
        <w:t>26.1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询问</w:t>
      </w:r>
      <w:bookmarkEnd w:id="71"/>
    </w:p>
    <w:p w14:paraId="7185386F">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投标人对政府采购活动事项有疑问的，可依法提出询问，并按《投标人须知资料表》载明的形式送达采购人或采购代理机构。</w:t>
      </w:r>
    </w:p>
    <w:p w14:paraId="74A8623C">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26.1.2</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采购人或采购代理机构对供应商依法提出的询问，在3个工作日内</w:t>
      </w:r>
      <w:r>
        <w:rPr>
          <w:rFonts w:hint="eastAsia" w:ascii="宋体" w:hAnsi="宋体" w:eastAsia="宋体" w:cs="宋体"/>
          <w:color w:val="000000"/>
          <w:sz w:val="24"/>
          <w:szCs w:val="24"/>
        </w:rPr>
        <w:t>作出答复，但答复的内容不得涉及商业秘密。</w:t>
      </w:r>
    </w:p>
    <w:p w14:paraId="0DB5C17B">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2" w:name="_Toc5712"/>
      <w:r>
        <w:rPr>
          <w:rFonts w:hint="eastAsia" w:ascii="宋体" w:hAnsi="宋体" w:eastAsia="宋体" w:cs="宋体"/>
          <w:color w:val="000000"/>
          <w:sz w:val="24"/>
          <w:szCs w:val="24"/>
        </w:rPr>
        <w:t>26.2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w:t>
      </w:r>
      <w:bookmarkEnd w:id="72"/>
    </w:p>
    <w:p w14:paraId="02263177">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投标人认为采购文件、采购过程、中标结果使自己的权益受到损害的，</w:t>
      </w:r>
      <w:r>
        <w:rPr>
          <w:rFonts w:hint="eastAsia" w:ascii="宋体" w:hAnsi="宋体" w:eastAsia="宋体" w:cs="宋体"/>
          <w:snapToGrid w:val="0"/>
          <w:color w:val="000000"/>
          <w:kern w:val="0"/>
          <w:sz w:val="24"/>
          <w:szCs w:val="24"/>
          <w:lang w:val="en-US" w:eastAsia="zh-CN" w:bidi="ar"/>
        </w:rPr>
        <w:t>可以在知道或者应知其权益受到损害之日起7个工作日内，以书面形式向采购人、采购代理机构提出质疑。采购人、采购代理机构在收</w:t>
      </w:r>
      <w:r>
        <w:rPr>
          <w:rFonts w:hint="eastAsia" w:ascii="宋体" w:hAnsi="宋体" w:eastAsia="宋体" w:cs="宋体"/>
          <w:color w:val="000000"/>
          <w:sz w:val="24"/>
          <w:szCs w:val="24"/>
        </w:rPr>
        <w:t>到质疑函后7个工作日内作出答复。</w:t>
      </w:r>
    </w:p>
    <w:p w14:paraId="2A96CD4B">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质疑函须使用财政部制定的范本文件。投标人为自然人的，质疑函应</w:t>
      </w:r>
      <w:r>
        <w:rPr>
          <w:rFonts w:hint="eastAsia" w:ascii="宋体" w:hAnsi="宋体" w:eastAsia="宋体" w:cs="宋体"/>
          <w:snapToGrid w:val="0"/>
          <w:color w:val="000000"/>
          <w:kern w:val="0"/>
          <w:sz w:val="24"/>
          <w:szCs w:val="24"/>
          <w:lang w:val="en-US" w:eastAsia="zh-CN" w:bidi="ar"/>
        </w:rPr>
        <w:t>当由本人签字；投标人为法人或者其他组织的，质疑函应当由法定代</w:t>
      </w:r>
      <w:r>
        <w:rPr>
          <w:rFonts w:hint="eastAsia" w:ascii="宋体" w:hAnsi="宋体" w:eastAsia="宋体" w:cs="宋体"/>
          <w:color w:val="000000"/>
          <w:sz w:val="24"/>
          <w:szCs w:val="24"/>
        </w:rPr>
        <w:t>表人、主要负责人，或者其授权代表签字或者盖章，并加盖公章。</w:t>
      </w:r>
    </w:p>
    <w:p w14:paraId="10716658">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投标人委托代理人进行质疑的，应当随质疑函同时提交投标人签署的</w:t>
      </w:r>
      <w:r>
        <w:rPr>
          <w:rFonts w:hint="eastAsia" w:ascii="宋体" w:hAnsi="宋体" w:eastAsia="宋体" w:cs="宋体"/>
          <w:snapToGrid w:val="0"/>
          <w:color w:val="000000"/>
          <w:kern w:val="0"/>
          <w:sz w:val="24"/>
          <w:szCs w:val="24"/>
          <w:lang w:val="en-US" w:eastAsia="zh-CN"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hint="eastAsia" w:ascii="宋体" w:hAnsi="宋体" w:eastAsia="宋体" w:cs="宋体"/>
          <w:color w:val="000000"/>
          <w:sz w:val="24"/>
          <w:szCs w:val="24"/>
        </w:rPr>
        <w:t>或者盖章，并加盖公章。</w:t>
      </w:r>
    </w:p>
    <w:p w14:paraId="627888E4">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投标人应在法定质疑期内一次性提出针对同一采购程序环节的质疑，</w:t>
      </w:r>
      <w:r>
        <w:rPr>
          <w:rFonts w:hint="eastAsia" w:ascii="宋体" w:hAnsi="宋体" w:eastAsia="宋体" w:cs="宋体"/>
          <w:snapToGrid w:val="0"/>
          <w:color w:val="000000"/>
          <w:kern w:val="0"/>
          <w:sz w:val="24"/>
          <w:szCs w:val="24"/>
          <w:lang w:val="en-US" w:eastAsia="zh-CN" w:bidi="ar"/>
        </w:rPr>
        <w:t>法定质疑期内针对同一采购程序环节再次提出的质疑，采购人、采购</w:t>
      </w:r>
      <w:r>
        <w:rPr>
          <w:rFonts w:hint="eastAsia" w:ascii="宋体" w:hAnsi="宋体" w:eastAsia="宋体" w:cs="宋体"/>
          <w:color w:val="000000"/>
          <w:sz w:val="24"/>
          <w:szCs w:val="24"/>
        </w:rPr>
        <w:t>代理机构有权不予答复。</w:t>
      </w:r>
    </w:p>
    <w:p w14:paraId="2EC6EBF8">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26.3</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接收询问和质疑的联系部门、联系电话和通讯地址见《投标人须知资料表》。</w:t>
      </w:r>
    </w:p>
    <w:p w14:paraId="00A7D669">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default" w:ascii="宋体" w:hAnsi="宋体" w:eastAsia="宋体" w:cs="宋体"/>
          <w:b/>
          <w:bCs/>
          <w:sz w:val="24"/>
          <w:szCs w:val="24"/>
          <w:lang w:val="en-US" w:eastAsia="zh-CN"/>
        </w:rPr>
      </w:pPr>
      <w:bookmarkStart w:id="73" w:name="_Toc21800"/>
      <w:r>
        <w:rPr>
          <w:rFonts w:hint="eastAsia" w:cs="宋体"/>
          <w:b/>
          <w:bCs/>
          <w:sz w:val="24"/>
          <w:szCs w:val="24"/>
          <w:lang w:val="en-US" w:eastAsia="zh-CN"/>
        </w:rPr>
        <w:t>27</w:t>
      </w:r>
      <w:r>
        <w:rPr>
          <w:rFonts w:hint="eastAsia" w:cs="宋体"/>
          <w:b/>
          <w:bCs/>
          <w:spacing w:val="0"/>
          <w:w w:val="100"/>
          <w:position w:val="0"/>
          <w:sz w:val="24"/>
          <w:szCs w:val="24"/>
          <w:lang w:eastAsia="zh-CN"/>
        </w:rPr>
        <w:t>、</w:t>
      </w:r>
      <w:r>
        <w:rPr>
          <w:rFonts w:hint="eastAsia" w:cs="宋体"/>
          <w:b/>
          <w:bCs/>
          <w:sz w:val="24"/>
          <w:szCs w:val="24"/>
          <w:lang w:val="en-US" w:eastAsia="zh-CN"/>
        </w:rPr>
        <w:t>代理费</w:t>
      </w:r>
      <w:bookmarkEnd w:id="73"/>
    </w:p>
    <w:p w14:paraId="6B699A1E">
      <w:pPr>
        <w:pStyle w:val="14"/>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cs="宋体"/>
          <w:color w:val="000000"/>
          <w:sz w:val="24"/>
          <w:szCs w:val="24"/>
          <w:lang w:val="en-US" w:eastAsia="zh-CN"/>
        </w:rPr>
        <w:t>27.1</w:t>
      </w:r>
      <w:r>
        <w:rPr>
          <w:rFonts w:hint="eastAsia" w:ascii="宋体" w:hAnsi="宋体" w:eastAsia="宋体" w:cs="宋体"/>
          <w:color w:val="000000"/>
          <w:sz w:val="24"/>
          <w:szCs w:val="24"/>
        </w:rPr>
        <w:t>收费对象、收费标准及缴纳时间见《投标人须知资料表》。由中标人支付的，中标人须一次性向采购代理机构缴纳代理费，投标报价应包含代理费用。</w:t>
      </w:r>
    </w:p>
    <w:p w14:paraId="10A5E29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7B029E2A">
      <w:pPr>
        <w:pStyle w:val="7"/>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0"/>
        <w:rPr>
          <w:rFonts w:hint="eastAsia" w:ascii="宋体" w:hAnsi="宋体" w:eastAsia="宋体" w:cs="宋体"/>
          <w:spacing w:val="0"/>
          <w:w w:val="100"/>
          <w:position w:val="0"/>
          <w:sz w:val="36"/>
          <w:szCs w:val="36"/>
        </w:rPr>
      </w:pPr>
      <w:bookmarkStart w:id="74" w:name="_Toc2680"/>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资格审查</w:t>
      </w:r>
      <w:bookmarkEnd w:id="74"/>
    </w:p>
    <w:p w14:paraId="05061AEA">
      <w:pPr>
        <w:pStyle w:val="7"/>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1"/>
        <w:rPr>
          <w:rFonts w:hint="eastAsia" w:ascii="宋体" w:hAnsi="宋体" w:eastAsia="宋体" w:cs="宋体"/>
          <w:spacing w:val="0"/>
          <w:w w:val="100"/>
          <w:position w:val="0"/>
          <w:sz w:val="24"/>
          <w:szCs w:val="24"/>
        </w:rPr>
      </w:pPr>
      <w:bookmarkStart w:id="75" w:name="_Toc2929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一、资格审查程序</w:t>
      </w:r>
      <w:bookmarkEnd w:id="75"/>
    </w:p>
    <w:p w14:paraId="450B0FCB">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6" w:name="_Toc19085"/>
      <w:r>
        <w:rPr>
          <w:rFonts w:hint="eastAsia" w:ascii="宋体" w:hAnsi="宋体" w:eastAsia="宋体" w:cs="宋体"/>
          <w:b w:val="0"/>
          <w:bCs w:val="0"/>
          <w:spacing w:val="0"/>
          <w:w w:val="100"/>
          <w:position w:val="0"/>
          <w:sz w:val="24"/>
          <w:szCs w:val="24"/>
        </w:rPr>
        <w:t>1</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开标结束后，采购人或采购代理机构将根据《资格审查要求》中的规定，对投标人进行资格审查，并形成资格审查结果。</w:t>
      </w:r>
      <w:bookmarkEnd w:id="76"/>
    </w:p>
    <w:p w14:paraId="65C3A80B">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7" w:name="_Toc23333"/>
      <w:r>
        <w:rPr>
          <w:rFonts w:hint="eastAsia" w:ascii="宋体" w:hAnsi="宋体" w:eastAsia="宋体" w:cs="宋体"/>
          <w:b w:val="0"/>
          <w:bCs w:val="0"/>
          <w:spacing w:val="0"/>
          <w:w w:val="100"/>
          <w:position w:val="0"/>
          <w:sz w:val="24"/>
          <w:szCs w:val="24"/>
        </w:rPr>
        <w:t>2</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《资格审查要求》中对格式有要求的，除招标文件另有规定外，均为“实质性格式”文件。</w:t>
      </w:r>
      <w:bookmarkEnd w:id="77"/>
    </w:p>
    <w:p w14:paraId="73041299">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8" w:name="_Toc17318"/>
      <w:r>
        <w:rPr>
          <w:rFonts w:hint="eastAsia" w:ascii="宋体" w:hAnsi="宋体" w:eastAsia="宋体" w:cs="宋体"/>
          <w:b w:val="0"/>
          <w:bCs w:val="0"/>
          <w:spacing w:val="0"/>
          <w:w w:val="100"/>
          <w:position w:val="0"/>
          <w:sz w:val="24"/>
          <w:szCs w:val="24"/>
        </w:rPr>
        <w:t>3</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投标人《资格证明文件》有任何一项不符合《资格审查要求》的，资格审查不合格，其</w:t>
      </w:r>
      <w:r>
        <w:rPr>
          <w:rFonts w:hint="eastAsia" w:ascii="宋体" w:hAnsi="宋体" w:eastAsia="宋体" w:cs="宋体"/>
          <w:b w:val="0"/>
          <w:bCs w:val="0"/>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b w:val="0"/>
          <w:bCs w:val="0"/>
          <w:spacing w:val="0"/>
          <w:w w:val="100"/>
          <w:position w:val="0"/>
          <w:sz w:val="24"/>
          <w:szCs w:val="24"/>
        </w:rPr>
        <w:t>。</w:t>
      </w:r>
      <w:bookmarkEnd w:id="78"/>
    </w:p>
    <w:p w14:paraId="0630EBEC">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b w:val="0"/>
          <w:bCs w:val="0"/>
          <w:spacing w:val="0"/>
          <w:w w:val="100"/>
          <w:position w:val="0"/>
          <w:sz w:val="24"/>
          <w:szCs w:val="24"/>
        </w:rPr>
      </w:pPr>
      <w:bookmarkStart w:id="79" w:name="_Toc19382"/>
      <w:r>
        <w:rPr>
          <w:rFonts w:hint="eastAsia" w:ascii="宋体" w:hAnsi="宋体" w:eastAsia="宋体" w:cs="宋体"/>
          <w:b w:val="0"/>
          <w:bCs w:val="0"/>
          <w:spacing w:val="0"/>
          <w:w w:val="100"/>
          <w:position w:val="0"/>
          <w:sz w:val="24"/>
          <w:szCs w:val="24"/>
        </w:rPr>
        <w:t>4</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资格审查合格的投标人不足3家的，不进行评标。</w:t>
      </w:r>
      <w:bookmarkEnd w:id="79"/>
    </w:p>
    <w:p w14:paraId="31E610D8">
      <w:pPr>
        <w:keepNext w:val="0"/>
        <w:keepLines w:val="0"/>
        <w:pageBreakBefore w:val="0"/>
        <w:widowControl/>
        <w:kinsoku/>
        <w:wordWrap/>
        <w:overflowPunct/>
        <w:topLinePunct w:val="0"/>
        <w:autoSpaceDE/>
        <w:autoSpaceDN/>
        <w:bidi w:val="0"/>
        <w:adjustRightInd w:val="0"/>
        <w:snapToGrid w:val="0"/>
        <w:spacing w:line="377" w:lineRule="auto"/>
        <w:textAlignment w:val="baseline"/>
        <w:rPr>
          <w:rFonts w:hint="eastAsia" w:ascii="宋体" w:hAnsi="宋体" w:eastAsia="宋体" w:cs="宋体"/>
          <w:spacing w:val="0"/>
          <w:w w:val="100"/>
          <w:position w:val="0"/>
          <w:sz w:val="21"/>
        </w:rPr>
      </w:pPr>
    </w:p>
    <w:p w14:paraId="073FDFCD">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rPr>
      </w:pPr>
      <w:bookmarkStart w:id="80" w:name="_Toc3212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二、资格审查要求</w:t>
      </w:r>
      <w:bookmarkEnd w:id="80"/>
    </w:p>
    <w:tbl>
      <w:tblPr>
        <w:tblStyle w:val="2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14:paraId="16276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B2DC64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14:paraId="537FA7FB">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4819" w:type="dxa"/>
            <w:vAlign w:val="center"/>
          </w:tcPr>
          <w:p w14:paraId="0A68100C">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c>
          <w:tcPr>
            <w:tcW w:w="1644" w:type="dxa"/>
            <w:vAlign w:val="center"/>
          </w:tcPr>
          <w:p w14:paraId="0EDA46FB">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格式要求</w:t>
            </w:r>
          </w:p>
        </w:tc>
      </w:tr>
      <w:tr w14:paraId="47E2F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381896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14:paraId="2549A7E3">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满足《中华人民共和国政府采购法》第二十二条规定</w:t>
            </w:r>
          </w:p>
        </w:tc>
        <w:tc>
          <w:tcPr>
            <w:tcW w:w="4819" w:type="dxa"/>
            <w:vAlign w:val="center"/>
          </w:tcPr>
          <w:p w14:paraId="72624682">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具体规定见第一章《投标邀请》</w:t>
            </w:r>
          </w:p>
        </w:tc>
        <w:tc>
          <w:tcPr>
            <w:tcW w:w="1644" w:type="dxa"/>
            <w:vAlign w:val="center"/>
          </w:tcPr>
          <w:p w14:paraId="29EC9064">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1B66AE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BE55E0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14:paraId="15C2880C">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营业执照等证明文件</w:t>
            </w:r>
          </w:p>
        </w:tc>
        <w:tc>
          <w:tcPr>
            <w:tcW w:w="4819" w:type="dxa"/>
            <w:vAlign w:val="center"/>
          </w:tcPr>
          <w:p w14:paraId="312FBA1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投标人为企业（包括合伙企业）的，应</w:t>
            </w:r>
            <w:r>
              <w:rPr>
                <w:rFonts w:hint="eastAsia" w:cs="宋体"/>
                <w:spacing w:val="0"/>
                <w:w w:val="100"/>
                <w:position w:val="0"/>
                <w:lang w:eastAsia="zh-CN"/>
              </w:rPr>
              <w:t>提</w:t>
            </w:r>
            <w:r>
              <w:rPr>
                <w:rFonts w:hint="eastAsia" w:ascii="宋体" w:hAnsi="宋体" w:eastAsia="宋体" w:cs="宋体"/>
                <w:spacing w:val="0"/>
                <w:w w:val="100"/>
                <w:position w:val="0"/>
              </w:rPr>
              <w:t>供有效的“营业执照”；</w:t>
            </w:r>
          </w:p>
          <w:p w14:paraId="02874DB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投标人为事业单位的，应</w:t>
            </w:r>
            <w:r>
              <w:rPr>
                <w:rFonts w:hint="eastAsia" w:cs="宋体"/>
                <w:spacing w:val="0"/>
                <w:w w:val="100"/>
                <w:position w:val="0"/>
                <w:lang w:eastAsia="zh-CN"/>
              </w:rPr>
              <w:t>提</w:t>
            </w:r>
            <w:r>
              <w:rPr>
                <w:rFonts w:hint="eastAsia" w:ascii="宋体" w:hAnsi="宋体" w:eastAsia="宋体" w:cs="宋体"/>
                <w:spacing w:val="0"/>
                <w:w w:val="100"/>
                <w:position w:val="0"/>
              </w:rPr>
              <w:t>供有效的“事业单位法人证书”；</w:t>
            </w:r>
          </w:p>
          <w:p w14:paraId="5E9E027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投标人是非企业机构的，应</w:t>
            </w:r>
            <w:r>
              <w:rPr>
                <w:rFonts w:hint="eastAsia" w:cs="宋体"/>
                <w:spacing w:val="0"/>
                <w:w w:val="100"/>
                <w:position w:val="0"/>
                <w:lang w:eastAsia="zh-CN"/>
              </w:rPr>
              <w:t>提</w:t>
            </w:r>
            <w:r>
              <w:rPr>
                <w:rFonts w:hint="eastAsia" w:ascii="宋体" w:hAnsi="宋体" w:eastAsia="宋体" w:cs="宋体"/>
                <w:spacing w:val="0"/>
                <w:w w:val="100"/>
                <w:position w:val="0"/>
              </w:rPr>
              <w:t>供有效的“执业 许可证”、“登记证书”等证明文件；</w:t>
            </w:r>
          </w:p>
          <w:p w14:paraId="3DF45E6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投标人是个体工商户的，应</w:t>
            </w:r>
            <w:r>
              <w:rPr>
                <w:rFonts w:hint="eastAsia" w:cs="宋体"/>
                <w:spacing w:val="0"/>
                <w:w w:val="100"/>
                <w:position w:val="0"/>
                <w:lang w:eastAsia="zh-CN"/>
              </w:rPr>
              <w:t>提</w:t>
            </w:r>
            <w:r>
              <w:rPr>
                <w:rFonts w:hint="eastAsia" w:ascii="宋体" w:hAnsi="宋体" w:eastAsia="宋体" w:cs="宋体"/>
                <w:spacing w:val="0"/>
                <w:w w:val="100"/>
                <w:position w:val="0"/>
              </w:rPr>
              <w:t>供有效的“个体工商户营业执照”；</w:t>
            </w:r>
          </w:p>
          <w:p w14:paraId="7DB5D06B">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投标人是自然人的，应</w:t>
            </w:r>
            <w:r>
              <w:rPr>
                <w:rFonts w:hint="eastAsia" w:cs="宋体"/>
                <w:spacing w:val="0"/>
                <w:w w:val="100"/>
                <w:position w:val="0"/>
                <w:lang w:eastAsia="zh-CN"/>
              </w:rPr>
              <w:t>提</w:t>
            </w:r>
            <w:r>
              <w:rPr>
                <w:rFonts w:hint="eastAsia" w:ascii="宋体" w:hAnsi="宋体" w:eastAsia="宋体" w:cs="宋体"/>
                <w:spacing w:val="0"/>
                <w:w w:val="100"/>
                <w:position w:val="0"/>
              </w:rPr>
              <w:t>供有效的自然人身份证明。</w:t>
            </w:r>
          </w:p>
          <w:p w14:paraId="0873D6FF">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分支机构参加投标的，应</w:t>
            </w:r>
            <w:r>
              <w:rPr>
                <w:rFonts w:hint="eastAsia" w:cs="宋体"/>
                <w:spacing w:val="0"/>
                <w:w w:val="100"/>
                <w:position w:val="0"/>
                <w:lang w:eastAsia="zh-CN"/>
              </w:rPr>
              <w:t>提</w:t>
            </w:r>
            <w:r>
              <w:rPr>
                <w:rFonts w:hint="eastAsia" w:ascii="宋体" w:hAnsi="宋体" w:eastAsia="宋体" w:cs="宋体"/>
                <w:spacing w:val="0"/>
                <w:w w:val="100"/>
                <w:position w:val="0"/>
              </w:rPr>
              <w:t>供该分支机构或其所属法人/其他组织的相应证明文件；同时还应</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供其所属法人/其他组织出具的授权其参与本项目的授权书（格式自拟，须加盖其所属法人/其他组织的公章）；对于银行、保险、石油石化、电力、电信等行业的分支机构，可以</w:t>
            </w:r>
            <w:r>
              <w:rPr>
                <w:rFonts w:hint="eastAsia" w:cs="宋体"/>
                <w:spacing w:val="0"/>
                <w:w w:val="100"/>
                <w:position w:val="0"/>
                <w:lang w:eastAsia="zh-CN"/>
              </w:rPr>
              <w:t>提</w:t>
            </w:r>
            <w:r>
              <w:rPr>
                <w:rFonts w:hint="eastAsia" w:ascii="宋体" w:hAnsi="宋体" w:eastAsia="宋体" w:cs="宋体"/>
                <w:spacing w:val="0"/>
                <w:w w:val="100"/>
                <w:position w:val="0"/>
              </w:rPr>
              <w:t>供上述授权，也可以</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供其所属法人/其他组织的有关文件或制度等能够证明授权其独立开展业务的证明材料。</w:t>
            </w:r>
          </w:p>
        </w:tc>
        <w:tc>
          <w:tcPr>
            <w:tcW w:w="1644" w:type="dxa"/>
            <w:vAlign w:val="center"/>
          </w:tcPr>
          <w:p w14:paraId="13FFD682">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40571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45D77F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14:paraId="1754C20C">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投标人资格声明书</w:t>
            </w:r>
          </w:p>
        </w:tc>
        <w:tc>
          <w:tcPr>
            <w:tcW w:w="4819" w:type="dxa"/>
            <w:vAlign w:val="center"/>
          </w:tcPr>
          <w:p w14:paraId="2BDF36E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供了符合招标文件要求的《投标人资格声明书》。</w:t>
            </w:r>
          </w:p>
        </w:tc>
        <w:tc>
          <w:tcPr>
            <w:tcW w:w="1644" w:type="dxa"/>
            <w:vAlign w:val="center"/>
          </w:tcPr>
          <w:p w14:paraId="54AB6680">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61E6A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56E0124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14:paraId="342A1BCE">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投标人信用记录</w:t>
            </w:r>
          </w:p>
        </w:tc>
        <w:tc>
          <w:tcPr>
            <w:tcW w:w="4819" w:type="dxa"/>
            <w:vAlign w:val="center"/>
          </w:tcPr>
          <w:p w14:paraId="759E9EE2">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查询渠道：信用中国网站和中国政府采购网（</w:t>
            </w:r>
            <w:r>
              <w:rPr>
                <w:rFonts w:hint="eastAsia" w:ascii="宋体" w:hAnsi="宋体" w:eastAsia="宋体" w:cs="宋体"/>
                <w:spacing w:val="0"/>
                <w:w w:val="100"/>
                <w:position w:val="0"/>
                <w:sz w:val="20"/>
                <w:szCs w:val="20"/>
              </w:rPr>
              <w:t>www.creditchina.gov.cn</w:t>
            </w:r>
            <w:r>
              <w:rPr>
                <w:rFonts w:hint="eastAsia" w:ascii="宋体" w:hAnsi="宋体" w:eastAsia="宋体" w:cs="宋体"/>
                <w:spacing w:val="0"/>
                <w:w w:val="100"/>
                <w:position w:val="0"/>
              </w:rPr>
              <w:t>、</w:t>
            </w:r>
            <w:r>
              <w:rPr>
                <w:rFonts w:hint="eastAsia" w:ascii="宋体" w:hAnsi="宋体" w:eastAsia="宋体" w:cs="宋体"/>
                <w:spacing w:val="0"/>
                <w:w w:val="100"/>
                <w:position w:val="0"/>
                <w:sz w:val="20"/>
                <w:szCs w:val="20"/>
              </w:rPr>
              <w:t>www.ccgp.gov.cn</w:t>
            </w:r>
            <w:r>
              <w:rPr>
                <w:rFonts w:hint="eastAsia" w:ascii="宋体" w:hAnsi="宋体" w:eastAsia="宋体" w:cs="宋体"/>
                <w:spacing w:val="0"/>
                <w:w w:val="100"/>
                <w:position w:val="0"/>
              </w:rPr>
              <w:t>）；截止时点：投标截止时间以后、资格审查阶段采购人或采购代理机构的实际查询时间；</w:t>
            </w:r>
          </w:p>
          <w:p w14:paraId="2CE69FE6">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信用信息查询记录和证据留存具体方式：查询结果网页打印页作为查询记录和证据，与其他采购文件一并保存；</w:t>
            </w:r>
          </w:p>
          <w:p w14:paraId="1BA2F49C">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信用信息的使用原则：经认定的被列入失信被执行人、重大税收违法案件当事人名单、政府采购严重违法失信行为记录名单的投标人，其</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。联合体形式投标的，联合体成员存在不良信用记录，视同联合体存在不良信用记录。</w:t>
            </w:r>
          </w:p>
        </w:tc>
        <w:tc>
          <w:tcPr>
            <w:tcW w:w="1644" w:type="dxa"/>
            <w:vAlign w:val="center"/>
          </w:tcPr>
          <w:p w14:paraId="7FABA534">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无须投标人</w:t>
            </w:r>
            <w:r>
              <w:rPr>
                <w:rFonts w:hint="eastAsia" w:cs="宋体"/>
                <w:spacing w:val="0"/>
                <w:w w:val="100"/>
                <w:position w:val="0"/>
                <w:lang w:eastAsia="zh-CN"/>
              </w:rPr>
              <w:t>提</w:t>
            </w:r>
            <w:r>
              <w:rPr>
                <w:rFonts w:hint="eastAsia" w:ascii="宋体" w:hAnsi="宋体" w:eastAsia="宋体" w:cs="宋体"/>
                <w:spacing w:val="0"/>
                <w:w w:val="100"/>
                <w:position w:val="0"/>
              </w:rPr>
              <w:t>供，由采购人或采购代理机构查询。</w:t>
            </w:r>
          </w:p>
        </w:tc>
      </w:tr>
      <w:tr w14:paraId="5F1C3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E894F4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14:paraId="10B58188">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4819" w:type="dxa"/>
            <w:vAlign w:val="center"/>
          </w:tcPr>
          <w:p w14:paraId="403803FF">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1644" w:type="dxa"/>
            <w:vAlign w:val="center"/>
          </w:tcPr>
          <w:p w14:paraId="285DBF1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w:t>
            </w:r>
          </w:p>
        </w:tc>
      </w:tr>
      <w:tr w14:paraId="230A47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5A1C8C3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14:paraId="477D953F">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落实政府采购政策需满足的资格要求</w:t>
            </w:r>
          </w:p>
        </w:tc>
        <w:tc>
          <w:tcPr>
            <w:tcW w:w="4819" w:type="dxa"/>
            <w:vAlign w:val="center"/>
          </w:tcPr>
          <w:p w14:paraId="419725DB">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14:paraId="6274C358">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5CAFA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199B27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p>
        </w:tc>
        <w:tc>
          <w:tcPr>
            <w:tcW w:w="1812" w:type="dxa"/>
            <w:vAlign w:val="center"/>
          </w:tcPr>
          <w:p w14:paraId="55D97ECB">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中小企业政策</w:t>
            </w:r>
          </w:p>
        </w:tc>
        <w:tc>
          <w:tcPr>
            <w:tcW w:w="4819" w:type="dxa"/>
            <w:vAlign w:val="center"/>
          </w:tcPr>
          <w:p w14:paraId="67F41D1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14:paraId="39A0DCB8">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0C364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15D5C71">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2-1-1</w:t>
            </w:r>
          </w:p>
        </w:tc>
        <w:tc>
          <w:tcPr>
            <w:tcW w:w="1812" w:type="dxa"/>
            <w:vAlign w:val="center"/>
          </w:tcPr>
          <w:p w14:paraId="1BD848C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中小企业证明文件</w:t>
            </w:r>
          </w:p>
        </w:tc>
        <w:tc>
          <w:tcPr>
            <w:tcW w:w="4819" w:type="dxa"/>
            <w:vAlign w:val="center"/>
          </w:tcPr>
          <w:p w14:paraId="2BE60AC6">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当本项目（包）涉及预留份额专门面向中小企业采购，此时建议在《资格证明文件》中</w:t>
            </w:r>
            <w:r>
              <w:rPr>
                <w:rFonts w:hint="eastAsia" w:cs="宋体"/>
                <w:spacing w:val="0"/>
                <w:w w:val="100"/>
                <w:position w:val="0"/>
                <w:lang w:eastAsia="zh-CN"/>
              </w:rPr>
              <w:t>提</w:t>
            </w:r>
            <w:r>
              <w:rPr>
                <w:rFonts w:hint="eastAsia" w:ascii="宋体" w:hAnsi="宋体" w:eastAsia="宋体" w:cs="宋体"/>
                <w:spacing w:val="0"/>
                <w:w w:val="100"/>
                <w:position w:val="0"/>
              </w:rPr>
              <w:t>供。</w:t>
            </w:r>
          </w:p>
          <w:p w14:paraId="524F8988">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1、投标人单独投标的，应</w:t>
            </w:r>
            <w:r>
              <w:rPr>
                <w:rFonts w:hint="eastAsia" w:cs="宋体"/>
                <w:spacing w:val="0"/>
                <w:w w:val="100"/>
                <w:position w:val="0"/>
                <w:lang w:eastAsia="zh-CN"/>
              </w:rPr>
              <w:t>提</w:t>
            </w:r>
            <w:r>
              <w:rPr>
                <w:rFonts w:hint="eastAsia" w:ascii="宋体" w:hAnsi="宋体" w:eastAsia="宋体" w:cs="宋体"/>
                <w:spacing w:val="0"/>
                <w:w w:val="100"/>
                <w:position w:val="0"/>
              </w:rPr>
              <w:t>供《中小企业声明函》或《残疾人福利性单位声明函》或由省级以上监狱管理局、戒毒管理局（含新疆生产建设兵团）出具的属于监狱企业的证明文件。</w:t>
            </w:r>
          </w:p>
          <w:p w14:paraId="1AEA919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14:paraId="3477E44E">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466F6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8A2F53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w:t>
            </w:r>
          </w:p>
        </w:tc>
        <w:tc>
          <w:tcPr>
            <w:tcW w:w="1812" w:type="dxa"/>
            <w:vAlign w:val="center"/>
          </w:tcPr>
          <w:p w14:paraId="2A34EC60">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拟分包情况说明及分包意向协议</w:t>
            </w:r>
          </w:p>
        </w:tc>
        <w:tc>
          <w:tcPr>
            <w:tcW w:w="4819" w:type="dxa"/>
            <w:vAlign w:val="center"/>
          </w:tcPr>
          <w:p w14:paraId="29CA855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如本项目（包）要求通过分包措施预留部分采购份额面向中小企业采购、且投标人因落实政府采购政策拟进行分包的，必须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p w14:paraId="62B47CE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对于预留份额专门面向中小企业采购的项目（包），组成联合体或者接受分包合同的中小</w:t>
            </w:r>
          </w:p>
          <w:p w14:paraId="78CAB82F">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企业与联合体内其他企业、分包企业之间不得存在直接控股、管理关系。</w:t>
            </w:r>
          </w:p>
        </w:tc>
        <w:tc>
          <w:tcPr>
            <w:tcW w:w="1644" w:type="dxa"/>
            <w:vAlign w:val="center"/>
          </w:tcPr>
          <w:p w14:paraId="292B83A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62078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B39209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812" w:type="dxa"/>
            <w:vAlign w:val="center"/>
          </w:tcPr>
          <w:p w14:paraId="6DE3B3D4">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其它落实政府采 购政策的资格要 求</w:t>
            </w:r>
          </w:p>
        </w:tc>
        <w:tc>
          <w:tcPr>
            <w:tcW w:w="4819" w:type="dxa"/>
            <w:vAlign w:val="center"/>
          </w:tcPr>
          <w:p w14:paraId="694BBCD6">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68BD15CB">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5182C2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E29A35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14:paraId="1CBBDD48">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本项目的特定资格要求</w:t>
            </w:r>
          </w:p>
        </w:tc>
        <w:tc>
          <w:tcPr>
            <w:tcW w:w="4819" w:type="dxa"/>
            <w:vAlign w:val="center"/>
          </w:tcPr>
          <w:p w14:paraId="30D36B6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146C978E">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62DC1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649EA0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812" w:type="dxa"/>
            <w:vAlign w:val="center"/>
          </w:tcPr>
          <w:p w14:paraId="3EF4697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本项目对于联合体的要求</w:t>
            </w:r>
          </w:p>
        </w:tc>
        <w:tc>
          <w:tcPr>
            <w:tcW w:w="4819" w:type="dxa"/>
            <w:vAlign w:val="center"/>
          </w:tcPr>
          <w:p w14:paraId="7A977F78">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1、如本项目接受联合体投标，且投标人为联合体时必须</w:t>
            </w:r>
            <w:r>
              <w:rPr>
                <w:rFonts w:hint="eastAsia" w:cs="宋体"/>
                <w:spacing w:val="0"/>
                <w:w w:val="100"/>
                <w:position w:val="0"/>
                <w:lang w:eastAsia="zh-CN"/>
              </w:rPr>
              <w:t>提</w:t>
            </w:r>
            <w:r>
              <w:rPr>
                <w:rFonts w:hint="eastAsia" w:ascii="宋体" w:hAnsi="宋体" w:eastAsia="宋体" w:cs="宋体"/>
                <w:spacing w:val="0"/>
                <w:w w:val="100"/>
                <w:position w:val="0"/>
              </w:rPr>
              <w:t>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C224E4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2、联合体各成员单位均须</w:t>
            </w:r>
            <w:r>
              <w:rPr>
                <w:rFonts w:hint="eastAsia" w:cs="宋体"/>
                <w:spacing w:val="0"/>
                <w:w w:val="100"/>
                <w:position w:val="0"/>
                <w:lang w:eastAsia="zh-CN"/>
              </w:rPr>
              <w:t>提</w:t>
            </w:r>
            <w:r>
              <w:rPr>
                <w:rFonts w:hint="eastAsia" w:ascii="宋体" w:hAnsi="宋体" w:eastAsia="宋体" w:cs="宋体"/>
                <w:spacing w:val="0"/>
                <w:w w:val="100"/>
                <w:position w:val="0"/>
              </w:rPr>
              <w:t>供本表中序号1-1、1-2的证明文件。联合体各成员单位均应满足本表3-2及3-3项规定。</w:t>
            </w:r>
          </w:p>
          <w:p w14:paraId="642F2BB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3、本表序号3-4项规定的其他特定资格要求中的每一小项要求，联合体各方中至少应当有一方符合本表中其他资格要求并</w:t>
            </w:r>
            <w:r>
              <w:rPr>
                <w:rFonts w:hint="eastAsia" w:cs="宋体"/>
                <w:spacing w:val="0"/>
                <w:w w:val="100"/>
                <w:position w:val="0"/>
                <w:lang w:eastAsia="zh-CN"/>
              </w:rPr>
              <w:t>提</w:t>
            </w:r>
            <w:r>
              <w:rPr>
                <w:rFonts w:hint="eastAsia" w:ascii="宋体" w:hAnsi="宋体" w:eastAsia="宋体" w:cs="宋体"/>
                <w:spacing w:val="0"/>
                <w:w w:val="100"/>
                <w:position w:val="0"/>
              </w:rPr>
              <w:t>供证明文件。</w:t>
            </w:r>
          </w:p>
          <w:p w14:paraId="129F7543">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4、联合体中有同类资质的供应商按照联合体分工承担相同工作的，应当按照资质等级较低的供应商确定资质等级。</w:t>
            </w:r>
          </w:p>
          <w:p w14:paraId="1451E1B2">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5、以联合体形式参加政府采购活动的，联合体各方不得再单独参加或者与其他供应商另外组成联合体参加同一合同项下的政府采购活动。</w:t>
            </w:r>
          </w:p>
          <w:p w14:paraId="668B7286">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6、若联合体中任一成员单位中途退出，则该联合体的</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14:paraId="7CFD9E73">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7、本项目不接受联合体投标时，投标人不得为联合体。</w:t>
            </w:r>
          </w:p>
        </w:tc>
        <w:tc>
          <w:tcPr>
            <w:tcW w:w="1644" w:type="dxa"/>
            <w:vAlign w:val="center"/>
          </w:tcPr>
          <w:p w14:paraId="38B91E2F">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供《联合协议》原件的电子件格式见《投标文件格式》</w:t>
            </w:r>
          </w:p>
        </w:tc>
      </w:tr>
      <w:tr w14:paraId="41C3A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952333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p>
        </w:tc>
        <w:tc>
          <w:tcPr>
            <w:tcW w:w="1812" w:type="dxa"/>
            <w:vAlign w:val="center"/>
          </w:tcPr>
          <w:p w14:paraId="7CFFF982">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政府购买服务承接主体的要求</w:t>
            </w:r>
          </w:p>
        </w:tc>
        <w:tc>
          <w:tcPr>
            <w:tcW w:w="4819" w:type="dxa"/>
            <w:vAlign w:val="center"/>
          </w:tcPr>
          <w:p w14:paraId="5192578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如本项目属于政府购买服务，投标人不属于公益一类事业单位、使用事业编制且由财政拨款保障的群团组织。</w:t>
            </w:r>
          </w:p>
        </w:tc>
        <w:tc>
          <w:tcPr>
            <w:tcW w:w="1644" w:type="dxa"/>
            <w:vAlign w:val="center"/>
          </w:tcPr>
          <w:p w14:paraId="0D4CBF61">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6CF924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5F32171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3-3</w:t>
            </w:r>
          </w:p>
        </w:tc>
        <w:tc>
          <w:tcPr>
            <w:tcW w:w="1812" w:type="dxa"/>
            <w:vAlign w:val="center"/>
          </w:tcPr>
          <w:p w14:paraId="4B76D7F0">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其他特定资格要求</w:t>
            </w:r>
          </w:p>
        </w:tc>
        <w:tc>
          <w:tcPr>
            <w:tcW w:w="4819" w:type="dxa"/>
            <w:vAlign w:val="center"/>
          </w:tcPr>
          <w:p w14:paraId="4FC82B86">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42A6FE18">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6CB2F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0F8591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14:paraId="1ECD5206">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4819" w:type="dxa"/>
            <w:vAlign w:val="center"/>
          </w:tcPr>
          <w:p w14:paraId="7E22BF6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按照招标文件的规定</w:t>
            </w:r>
            <w:r>
              <w:rPr>
                <w:rFonts w:hint="eastAsia" w:cs="宋体"/>
                <w:spacing w:val="0"/>
                <w:w w:val="100"/>
                <w:position w:val="0"/>
                <w:lang w:eastAsia="zh-CN"/>
              </w:rPr>
              <w:t>提</w:t>
            </w:r>
            <w:r>
              <w:rPr>
                <w:rFonts w:hint="eastAsia" w:ascii="宋体" w:hAnsi="宋体" w:eastAsia="宋体" w:cs="宋体"/>
                <w:spacing w:val="0"/>
                <w:w w:val="100"/>
                <w:position w:val="0"/>
              </w:rPr>
              <w:t>交投标保证金。</w:t>
            </w:r>
          </w:p>
        </w:tc>
        <w:tc>
          <w:tcPr>
            <w:tcW w:w="1644" w:type="dxa"/>
            <w:vAlign w:val="center"/>
          </w:tcPr>
          <w:p w14:paraId="2EB55AAB">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bl>
    <w:p w14:paraId="44E2859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089C554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715D3D37">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81" w:name="_Toc7739"/>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评标程序、评标方法和评标标准</w:t>
      </w:r>
      <w:bookmarkEnd w:id="81"/>
    </w:p>
    <w:p w14:paraId="053A9248">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4"/>
          <w:szCs w:val="24"/>
        </w:rPr>
      </w:pPr>
      <w:bookmarkStart w:id="82" w:name="_Toc767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一、评标方法</w:t>
      </w:r>
      <w:bookmarkEnd w:id="82"/>
    </w:p>
    <w:p w14:paraId="1297AF44">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3" w:name="_Toc11347"/>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投标文件的符合性审查</w:t>
      </w:r>
      <w:bookmarkEnd w:id="83"/>
    </w:p>
    <w:p w14:paraId="433A28D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评标委员会对资格审查合格的投标人的投标文件进行符合性审查，以确定其</w:t>
      </w:r>
    </w:p>
    <w:p w14:paraId="5EFC089D">
      <w:pPr>
        <w:pStyle w:val="7"/>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是否满足招标文件的实质性要求。</w:t>
      </w:r>
    </w:p>
    <w:p w14:paraId="4701D8B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074442B1">
      <w:pPr>
        <w:pStyle w:val="7"/>
        <w:keepNext w:val="0"/>
        <w:keepLines w:val="0"/>
        <w:pageBreakBefore w:val="0"/>
        <w:widowControl/>
        <w:kinsoku/>
        <w:wordWrap/>
        <w:overflowPunct/>
        <w:topLinePunct w:val="0"/>
        <w:autoSpaceDE/>
        <w:autoSpaceDN/>
        <w:bidi w:val="0"/>
        <w:adjustRightInd w:val="0"/>
        <w:snapToGrid w:val="0"/>
        <w:spacing w:before="178" w:line="220" w:lineRule="auto"/>
        <w:ind w:left="364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符合性审查要求</w:t>
      </w:r>
    </w:p>
    <w:p w14:paraId="4D146E89">
      <w:pPr>
        <w:keepNext w:val="0"/>
        <w:keepLines w:val="0"/>
        <w:pageBreakBefore w:val="0"/>
        <w:widowControl/>
        <w:kinsoku/>
        <w:wordWrap/>
        <w:overflowPunct/>
        <w:topLinePunct w:val="0"/>
        <w:autoSpaceDE/>
        <w:autoSpaceDN/>
        <w:bidi w:val="0"/>
        <w:adjustRightInd w:val="0"/>
        <w:snapToGrid w:val="0"/>
        <w:spacing w:line="145" w:lineRule="exact"/>
        <w:textAlignment w:val="baseline"/>
        <w:rPr>
          <w:rFonts w:hint="eastAsia" w:ascii="宋体" w:hAnsi="宋体" w:eastAsia="宋体" w:cs="宋体"/>
          <w:spacing w:val="0"/>
          <w:w w:val="100"/>
          <w:position w:val="0"/>
        </w:rPr>
      </w:pPr>
    </w:p>
    <w:tbl>
      <w:tblPr>
        <w:tblStyle w:val="2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22E0D5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14:paraId="0578BF41">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14:paraId="497A5D14">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6727" w:type="dxa"/>
            <w:vAlign w:val="center"/>
          </w:tcPr>
          <w:p w14:paraId="147B127F">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r>
      <w:tr w14:paraId="2C0D1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67DB86F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14:paraId="6EA48B5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授权委托书</w:t>
            </w:r>
          </w:p>
        </w:tc>
        <w:tc>
          <w:tcPr>
            <w:tcW w:w="6727" w:type="dxa"/>
            <w:vAlign w:val="center"/>
          </w:tcPr>
          <w:p w14:paraId="219892F1">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按招标文件要求</w:t>
            </w:r>
            <w:r>
              <w:rPr>
                <w:rFonts w:hint="eastAsia" w:cs="宋体"/>
                <w:spacing w:val="0"/>
                <w:w w:val="100"/>
                <w:position w:val="0"/>
                <w:lang w:eastAsia="zh-CN"/>
              </w:rPr>
              <w:t>提</w:t>
            </w:r>
            <w:r>
              <w:rPr>
                <w:rFonts w:hint="eastAsia" w:ascii="宋体" w:hAnsi="宋体" w:eastAsia="宋体" w:cs="宋体"/>
                <w:spacing w:val="0"/>
                <w:w w:val="100"/>
                <w:position w:val="0"/>
              </w:rPr>
              <w:t>供授权委托书；</w:t>
            </w:r>
          </w:p>
        </w:tc>
      </w:tr>
      <w:tr w14:paraId="3AC12A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9EBC06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14:paraId="4D550D6F">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投标完整性</w:t>
            </w:r>
          </w:p>
        </w:tc>
        <w:tc>
          <w:tcPr>
            <w:tcW w:w="6727" w:type="dxa"/>
            <w:vAlign w:val="center"/>
          </w:tcPr>
          <w:p w14:paraId="450537A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未将一个采购包中的内容拆分投标；</w:t>
            </w:r>
          </w:p>
        </w:tc>
      </w:tr>
      <w:tr w14:paraId="4D56F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583AAE5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14:paraId="33441D6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w:t>
            </w:r>
          </w:p>
        </w:tc>
        <w:tc>
          <w:tcPr>
            <w:tcW w:w="6727" w:type="dxa"/>
            <w:vAlign w:val="center"/>
          </w:tcPr>
          <w:p w14:paraId="48C7259C">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投标报价未超过招标文件中规定的项目/采购包预算金额或者项目/采购包最高限价；</w:t>
            </w:r>
          </w:p>
        </w:tc>
      </w:tr>
      <w:tr w14:paraId="5ECA1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58C4FD4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14:paraId="4BF525FC">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报价唯一性</w:t>
            </w:r>
          </w:p>
        </w:tc>
        <w:tc>
          <w:tcPr>
            <w:tcW w:w="6727" w:type="dxa"/>
            <w:vAlign w:val="center"/>
          </w:tcPr>
          <w:p w14:paraId="6AB4CEC8">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投标文件未出现可选择性或可调整的报价（招标文件另有规定的除外）；</w:t>
            </w:r>
          </w:p>
        </w:tc>
      </w:tr>
      <w:tr w14:paraId="0BBF0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64ED6F8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w:t>
            </w:r>
          </w:p>
        </w:tc>
        <w:tc>
          <w:tcPr>
            <w:tcW w:w="1812" w:type="dxa"/>
            <w:vAlign w:val="center"/>
          </w:tcPr>
          <w:p w14:paraId="0CD5D23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6727" w:type="dxa"/>
            <w:vAlign w:val="center"/>
          </w:tcPr>
          <w:p w14:paraId="53061FAB">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投标文件中承诺的投标有效期满足招标文件中载明的投标有效期的；</w:t>
            </w:r>
          </w:p>
        </w:tc>
      </w:tr>
      <w:tr w14:paraId="6AE7A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5EFC189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w:t>
            </w:r>
          </w:p>
        </w:tc>
        <w:tc>
          <w:tcPr>
            <w:tcW w:w="1812" w:type="dxa"/>
            <w:vAlign w:val="center"/>
          </w:tcPr>
          <w:p w14:paraId="331207A2">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实质性格式</w:t>
            </w:r>
          </w:p>
        </w:tc>
        <w:tc>
          <w:tcPr>
            <w:tcW w:w="6727" w:type="dxa"/>
            <w:vAlign w:val="center"/>
          </w:tcPr>
          <w:p w14:paraId="571A260E">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标记为“实质性格式”的文件均按招标文件要求</w:t>
            </w:r>
            <w:r>
              <w:rPr>
                <w:rFonts w:hint="eastAsia" w:cs="宋体"/>
                <w:spacing w:val="0"/>
                <w:w w:val="100"/>
                <w:position w:val="0"/>
                <w:lang w:eastAsia="zh-CN"/>
              </w:rPr>
              <w:t>提</w:t>
            </w:r>
            <w:r>
              <w:rPr>
                <w:rFonts w:hint="eastAsia" w:ascii="宋体" w:hAnsi="宋体" w:eastAsia="宋体" w:cs="宋体"/>
                <w:spacing w:val="0"/>
                <w:w w:val="100"/>
                <w:position w:val="0"/>
              </w:rPr>
              <w:t>供且签署、盖章的；</w:t>
            </w:r>
          </w:p>
        </w:tc>
      </w:tr>
      <w:tr w14:paraId="45DFB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7BBF4F4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w:t>
            </w:r>
          </w:p>
        </w:tc>
        <w:tc>
          <w:tcPr>
            <w:tcW w:w="1812" w:type="dxa"/>
            <w:vAlign w:val="center"/>
          </w:tcPr>
          <w:p w14:paraId="7773C90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★号条款响应</w:t>
            </w:r>
          </w:p>
        </w:tc>
        <w:tc>
          <w:tcPr>
            <w:tcW w:w="6727" w:type="dxa"/>
            <w:vAlign w:val="center"/>
          </w:tcPr>
          <w:p w14:paraId="5BAFD1F6">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投标文件满足招标文件第五章《采购需求》中★号条款要求的；</w:t>
            </w:r>
          </w:p>
        </w:tc>
      </w:tr>
      <w:tr w14:paraId="240706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2E58641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w:t>
            </w:r>
          </w:p>
        </w:tc>
        <w:tc>
          <w:tcPr>
            <w:tcW w:w="1812" w:type="dxa"/>
            <w:vAlign w:val="center"/>
          </w:tcPr>
          <w:p w14:paraId="4B432C60">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拟分包情况说明（如有）</w:t>
            </w:r>
          </w:p>
        </w:tc>
        <w:tc>
          <w:tcPr>
            <w:tcW w:w="6727" w:type="dxa"/>
            <w:vAlign w:val="center"/>
          </w:tcPr>
          <w:p w14:paraId="24C164DF">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如本项目（包）非因“落实政府采购政策”亦允许分包，且供应商拟进行分包时，必须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tc>
      </w:tr>
      <w:tr w14:paraId="0BE74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14:paraId="5A9B736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w:t>
            </w:r>
          </w:p>
        </w:tc>
        <w:tc>
          <w:tcPr>
            <w:tcW w:w="1812" w:type="dxa"/>
            <w:vAlign w:val="center"/>
          </w:tcPr>
          <w:p w14:paraId="1F27B69C">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分包其他要求（如有）</w:t>
            </w:r>
          </w:p>
        </w:tc>
        <w:tc>
          <w:tcPr>
            <w:tcW w:w="6727" w:type="dxa"/>
            <w:vAlign w:val="center"/>
          </w:tcPr>
          <w:p w14:paraId="7D183309">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分包履行的内容、金额或者比例未超出《投标人须知资料表》中的规定；</w:t>
            </w:r>
          </w:p>
          <w:p w14:paraId="0B96CB46">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分包承担主体具备《投标人须知资料表》载明的资质条件且</w:t>
            </w:r>
            <w:r>
              <w:rPr>
                <w:rFonts w:hint="eastAsia" w:cs="宋体"/>
                <w:spacing w:val="0"/>
                <w:w w:val="100"/>
                <w:position w:val="0"/>
                <w:lang w:eastAsia="zh-CN"/>
              </w:rPr>
              <w:t>提</w:t>
            </w:r>
            <w:r>
              <w:rPr>
                <w:rFonts w:hint="eastAsia" w:ascii="宋体" w:hAnsi="宋体" w:eastAsia="宋体" w:cs="宋体"/>
                <w:spacing w:val="0"/>
                <w:w w:val="100"/>
                <w:position w:val="0"/>
              </w:rPr>
              <w:t>供了资质证书电子件（如有）；</w:t>
            </w:r>
          </w:p>
        </w:tc>
      </w:tr>
      <w:tr w14:paraId="2B2004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72DD5A9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p>
        </w:tc>
        <w:tc>
          <w:tcPr>
            <w:tcW w:w="1812" w:type="dxa"/>
            <w:vAlign w:val="center"/>
          </w:tcPr>
          <w:p w14:paraId="2EE8831E">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报价的修正（如有）</w:t>
            </w:r>
          </w:p>
        </w:tc>
        <w:tc>
          <w:tcPr>
            <w:tcW w:w="6727" w:type="dxa"/>
            <w:vAlign w:val="center"/>
          </w:tcPr>
          <w:p w14:paraId="5EC87EE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不涉及报价修正，或投标文件报价出现前后不一致时，投标人对修正后的报价予以确认；（如有）</w:t>
            </w:r>
          </w:p>
        </w:tc>
      </w:tr>
      <w:tr w14:paraId="46B0E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5452193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14:paraId="6AEEA549">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报价合理性</w:t>
            </w:r>
          </w:p>
        </w:tc>
        <w:tc>
          <w:tcPr>
            <w:tcW w:w="6727" w:type="dxa"/>
            <w:vAlign w:val="center"/>
          </w:tcPr>
          <w:p w14:paraId="77D77D4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报价合理，或投标人的报价明显低于其他通过符合性审查投标人的报价，有可能影响产品质量或者不能诚信履约的，能够应评标委员会要求在规定时间内证明其报价合理性的；</w:t>
            </w:r>
          </w:p>
        </w:tc>
      </w:tr>
      <w:tr w14:paraId="7AC79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14:paraId="136525C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14:paraId="60FE38FE">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进口产品（如有）</w:t>
            </w:r>
          </w:p>
        </w:tc>
        <w:tc>
          <w:tcPr>
            <w:tcW w:w="6727" w:type="dxa"/>
            <w:vAlign w:val="center"/>
          </w:tcPr>
          <w:p w14:paraId="4EE9512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招标文件不接受进口产品投标的内容时，投标人所投产品不含进口产品；</w:t>
            </w:r>
          </w:p>
        </w:tc>
      </w:tr>
      <w:tr w14:paraId="2F0EF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14:paraId="48222D1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14:paraId="7114C91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w:t>
            </w:r>
          </w:p>
        </w:tc>
        <w:tc>
          <w:tcPr>
            <w:tcW w:w="6727" w:type="dxa"/>
            <w:vAlign w:val="center"/>
          </w:tcPr>
          <w:p w14:paraId="0DE7550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国家有关部门对投标人的投标产品有强制性规定或要求的（如相应技术、安全、节能和环保等），投标人的投标产品应符合相应规定或要求，并</w:t>
            </w:r>
            <w:r>
              <w:rPr>
                <w:rFonts w:hint="eastAsia" w:cs="宋体"/>
                <w:spacing w:val="0"/>
                <w:w w:val="100"/>
                <w:position w:val="0"/>
                <w:lang w:eastAsia="zh-CN"/>
              </w:rPr>
              <w:t>提</w:t>
            </w:r>
            <w:r>
              <w:rPr>
                <w:rFonts w:hint="eastAsia" w:ascii="宋体" w:hAnsi="宋体" w:eastAsia="宋体" w:cs="宋体"/>
                <w:spacing w:val="0"/>
                <w:w w:val="100"/>
                <w:position w:val="0"/>
              </w:rPr>
              <w:t>供证明文件电子件：</w:t>
            </w:r>
          </w:p>
          <w:p w14:paraId="5E90050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1）采购的产品若属于《节能产品政府采购品目清单》范围中政府强制采购产品，则投标人所报产品必须获得国家确定的认证机构出具的、处于有效期之内的节能产品认证证书；</w:t>
            </w:r>
          </w:p>
          <w:p w14:paraId="1D0F5D51">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794DAD48">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7F18A8E2">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4）项目中涉及涂料、胶黏剂、油墨、清洗剂等挥发性有机物产品，且属于强制性标准的，供应商应执行符合本市和国家的VOCs含量限制标准。</w:t>
            </w:r>
          </w:p>
        </w:tc>
      </w:tr>
      <w:tr w14:paraId="2B418C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14:paraId="1E56C94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14:paraId="46475CE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公平竞争</w:t>
            </w:r>
          </w:p>
        </w:tc>
        <w:tc>
          <w:tcPr>
            <w:tcW w:w="6727" w:type="dxa"/>
            <w:vAlign w:val="center"/>
          </w:tcPr>
          <w:p w14:paraId="3E4B836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投标人遵循公平竞争的原则，不存在恶意串通，妨碍其他投标人的竞争行为，不存在损害采购人或者其他投标人的合法权益情形的；</w:t>
            </w:r>
          </w:p>
        </w:tc>
      </w:tr>
      <w:tr w14:paraId="148F8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14:paraId="5D125D2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15</w:t>
            </w:r>
          </w:p>
        </w:tc>
        <w:tc>
          <w:tcPr>
            <w:tcW w:w="1812" w:type="dxa"/>
            <w:vAlign w:val="center"/>
          </w:tcPr>
          <w:p w14:paraId="3E8E6001">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串通投标</w:t>
            </w:r>
          </w:p>
        </w:tc>
        <w:tc>
          <w:tcPr>
            <w:tcW w:w="6727" w:type="dxa"/>
            <w:vAlign w:val="center"/>
          </w:tcPr>
          <w:p w14:paraId="72653B0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7B5E0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6AA0F02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16</w:t>
            </w:r>
          </w:p>
        </w:tc>
        <w:tc>
          <w:tcPr>
            <w:tcW w:w="1812" w:type="dxa"/>
            <w:vAlign w:val="center"/>
          </w:tcPr>
          <w:p w14:paraId="6EEDD121">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附加条件</w:t>
            </w:r>
          </w:p>
        </w:tc>
        <w:tc>
          <w:tcPr>
            <w:tcW w:w="6727" w:type="dxa"/>
            <w:vAlign w:val="center"/>
          </w:tcPr>
          <w:p w14:paraId="2F85B6D2">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投标文件未含有采购人不能接受的附加条件的；</w:t>
            </w:r>
          </w:p>
        </w:tc>
      </w:tr>
      <w:tr w14:paraId="57099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14:paraId="77A4025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17</w:t>
            </w:r>
          </w:p>
        </w:tc>
        <w:tc>
          <w:tcPr>
            <w:tcW w:w="1812" w:type="dxa"/>
            <w:vAlign w:val="center"/>
          </w:tcPr>
          <w:p w14:paraId="41CD840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其他无效情形</w:t>
            </w:r>
          </w:p>
        </w:tc>
        <w:tc>
          <w:tcPr>
            <w:tcW w:w="6727" w:type="dxa"/>
            <w:vAlign w:val="center"/>
          </w:tcPr>
          <w:p w14:paraId="585CCD46">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投标人、投标文件不存在不符合法律、法规和招标文件规定的其他无效情形。</w:t>
            </w:r>
          </w:p>
        </w:tc>
      </w:tr>
    </w:tbl>
    <w:p w14:paraId="15ACA55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4E36F63B">
      <w:pPr>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br w:type="page"/>
      </w:r>
    </w:p>
    <w:p w14:paraId="32939DF7">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4" w:name="_Toc32322"/>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val="en-US" w:eastAsia="zh-CN"/>
        </w:rPr>
        <w:t>、</w:t>
      </w:r>
      <w:r>
        <w:rPr>
          <w:rFonts w:hint="eastAsia" w:ascii="宋体" w:hAnsi="宋体" w:eastAsia="宋体" w:cs="宋体"/>
          <w:b/>
          <w:bCs/>
          <w:spacing w:val="0"/>
          <w:w w:val="100"/>
          <w:position w:val="0"/>
          <w:sz w:val="24"/>
          <w:szCs w:val="24"/>
        </w:rPr>
        <w:t>投标文件有关事项的澄清或者说明</w:t>
      </w:r>
      <w:bookmarkEnd w:id="84"/>
    </w:p>
    <w:p w14:paraId="6E8FEFF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6D0F3A5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评标委员会认为投标人的报价明显低于其他通过符合性审查投标人的报价，有可能影响产品质量或者不能诚信履约的，有权要求该投标人在评标现场合理的时间内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供书面说明，必要时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交相关证明材料；若投标人不能证明其报价合理性，评标委员会将其作为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无效投标处理</w:t>
      </w:r>
      <w:r>
        <w:rPr>
          <w:rFonts w:hint="eastAsia" w:ascii="宋体" w:hAnsi="宋体" w:eastAsia="宋体" w:cs="宋体"/>
          <w:spacing w:val="0"/>
          <w:w w:val="100"/>
          <w:position w:val="0"/>
          <w:sz w:val="24"/>
          <w:szCs w:val="24"/>
        </w:rPr>
        <w:t>。</w:t>
      </w:r>
    </w:p>
    <w:p w14:paraId="0E2ED9A1">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78E20351">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投标文件报价出现前后不一致的，按照下列规定修正：</w:t>
      </w:r>
    </w:p>
    <w:p w14:paraId="1D9A007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招标文件对于报价修正是否另有规定：</w:t>
      </w:r>
    </w:p>
    <w:p w14:paraId="3639CE6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有，具体规定为：</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p>
    <w:p w14:paraId="7B7A447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■无，按下述2.4.2-2.4.7项规定修正。</w:t>
      </w:r>
    </w:p>
    <w:p w14:paraId="4F8261A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单独递交的开标一览表（报价表）与投标文件中开标一览表（报价表）内容不一致的，以单独递交的开标一览表（报价表）为准；</w:t>
      </w:r>
    </w:p>
    <w:p w14:paraId="1E6C85F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投标文件中开标一览表（报价表）内容与投标文件中相应内容不一致的，以开标一览表（报价表）为准；</w:t>
      </w:r>
    </w:p>
    <w:p w14:paraId="425FAEF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大写金额和小写金额不一致的，以大写金额为准；</w:t>
      </w:r>
    </w:p>
    <w:p w14:paraId="059120E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单价金额小数点或者百分比有明显错位的，以开标一览表的总价为准，并修改单价；</w:t>
      </w:r>
    </w:p>
    <w:p w14:paraId="3FF72C0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总价金额与按单价汇总金额不一致的，以单价金额计算结果为准。</w:t>
      </w:r>
    </w:p>
    <w:p w14:paraId="5FF07B48">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同时出现两种以上不一致的，按照前款规定的顺序修正。修正后的报价经投标人书面确认后产生约束力，投标人不确认的，其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61D9218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落实政府采购政策的价格调整：只有符合第二章《投标人须知》5.2 条规定情形的，可以享受中小企业扶持政策，用扣除后的价格参加评审；否则，评标时价格不予扣除。</w:t>
      </w:r>
    </w:p>
    <w:p w14:paraId="2EF210CE">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对于未预留份额专门面向中小企业采购的采购项目，以及预留份额项目中的非预留部分采购包，对小微企</w:t>
      </w:r>
      <w:r>
        <w:rPr>
          <w:rFonts w:hint="eastAsia" w:ascii="宋体" w:hAnsi="宋体" w:eastAsia="宋体" w:cs="宋体"/>
          <w:spacing w:val="0"/>
          <w:w w:val="100"/>
          <w:position w:val="0"/>
          <w:sz w:val="24"/>
          <w:szCs w:val="24"/>
          <w:highlight w:val="none"/>
        </w:rPr>
        <w:t>业报价给予</w:t>
      </w:r>
      <w:r>
        <w:rPr>
          <w:rFonts w:hint="eastAsia" w:cs="宋体"/>
          <w:spacing w:val="0"/>
          <w:w w:val="100"/>
          <w:position w:val="0"/>
          <w:sz w:val="24"/>
          <w:szCs w:val="24"/>
          <w:highlight w:val="none"/>
          <w:u w:val="single" w:color="auto"/>
          <w:lang w:val="en-US" w:eastAsia="zh-CN"/>
        </w:rPr>
        <w:t>10</w:t>
      </w:r>
      <w:r>
        <w:rPr>
          <w:rFonts w:hint="eastAsia" w:ascii="宋体" w:hAnsi="宋体" w:eastAsia="宋体" w:cs="宋体"/>
          <w:spacing w:val="0"/>
          <w:w w:val="100"/>
          <w:position w:val="0"/>
          <w:sz w:val="24"/>
          <w:szCs w:val="24"/>
          <w:highlight w:val="none"/>
        </w:rPr>
        <w:t>%的扣除</w:t>
      </w:r>
      <w:r>
        <w:rPr>
          <w:rFonts w:hint="eastAsia" w:ascii="宋体" w:hAnsi="宋体" w:eastAsia="宋体" w:cs="宋体"/>
          <w:spacing w:val="0"/>
          <w:w w:val="100"/>
          <w:position w:val="0"/>
          <w:sz w:val="24"/>
          <w:szCs w:val="24"/>
        </w:rPr>
        <w:t>，用扣除后的价格参加评审。</w:t>
      </w:r>
    </w:p>
    <w:p w14:paraId="2E7225F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w:t>
      </w:r>
      <w:r>
        <w:rPr>
          <w:rFonts w:hint="eastAsia" w:ascii="宋体" w:hAnsi="宋体" w:eastAsia="宋体" w:cs="宋体"/>
          <w:spacing w:val="0"/>
          <w:w w:val="100"/>
          <w:position w:val="0"/>
          <w:sz w:val="24"/>
          <w:szCs w:val="24"/>
          <w:highlight w:val="none"/>
        </w:rPr>
        <w:t>包意向协议约定小微企业的合同份额占到合同总金额30%以上的联合体或者大中型企业的报价给予</w:t>
      </w:r>
      <w:r>
        <w:rPr>
          <w:rFonts w:hint="eastAsia" w:cs="宋体"/>
          <w:spacing w:val="0"/>
          <w:w w:val="100"/>
          <w:position w:val="0"/>
          <w:sz w:val="24"/>
          <w:szCs w:val="24"/>
          <w:highlight w:val="none"/>
          <w:u w:val="single" w:color="auto"/>
          <w:lang w:val="en-US" w:eastAsia="zh-CN"/>
        </w:rPr>
        <w:t>4</w:t>
      </w:r>
      <w:r>
        <w:rPr>
          <w:rFonts w:hint="eastAsia" w:ascii="宋体" w:hAnsi="宋体" w:eastAsia="宋体" w:cs="宋体"/>
          <w:spacing w:val="0"/>
          <w:w w:val="100"/>
          <w:position w:val="0"/>
          <w:sz w:val="24"/>
          <w:szCs w:val="24"/>
          <w:highlight w:val="none"/>
        </w:rPr>
        <w:t>%的扣除，用扣除后的价格参加评审。</w:t>
      </w:r>
    </w:p>
    <w:p w14:paraId="6C78359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组成联合体或者接受分包的小微企业与联合体内其他企业、分包企业之间存在直接控股、管理关系的，不享受价格扣除优惠政策。</w:t>
      </w:r>
    </w:p>
    <w:p w14:paraId="04EF24C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价格扣除比例对小型企业和微型企业同等对待，不作区分。</w:t>
      </w:r>
    </w:p>
    <w:p w14:paraId="62CA63F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中小企业参加政府采购活动，应当按照招标文件给定的格式出具《中小企业声明函》，否则不得享受相关中小企业扶持政策。</w:t>
      </w:r>
    </w:p>
    <w:p w14:paraId="26DB942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监狱企业</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供了由省级以上监狱管理局、戒毒管理局（含新疆生产建设兵团）出具的属于监狱企业的证明文件的，视同小微企业。</w:t>
      </w:r>
    </w:p>
    <w:p w14:paraId="44AF981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残疾人福利性单位按招标文件要求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供了《残疾人福利性单位声明函》的，视同小微企业。</w:t>
      </w:r>
    </w:p>
    <w:p w14:paraId="615E216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2.5.8</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若投标人同时属于小型或微型企业、监狱企业、残疾人福利性单位中的两种及以上，将不重复享受小微企业价格扣减的优惠政策。</w:t>
      </w:r>
    </w:p>
    <w:p w14:paraId="3B0D4E7A">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5" w:name="_Toc24655"/>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投标文件的比较和评价</w:t>
      </w:r>
      <w:bookmarkEnd w:id="85"/>
    </w:p>
    <w:p w14:paraId="76E3C5CE">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评标委员会将按照招标文件中规定的评标方法和标准，对符合性审查合格的投标文件进行商务和技术评估，综合比较与评价；未通过符合性审查的投标文件不得进入比较与评价。</w:t>
      </w:r>
    </w:p>
    <w:p w14:paraId="040B021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评标方法和评标标准</w:t>
      </w:r>
    </w:p>
    <w:p w14:paraId="5DF3BA2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本项目采用的评标方法为：</w:t>
      </w:r>
    </w:p>
    <w:p w14:paraId="6574FDC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E81B58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最低评标价法，指投标文件满足招标文件全部实质性要求，且投标报价最低的投标人为中标候选人的评标方法。</w:t>
      </w:r>
    </w:p>
    <w:p w14:paraId="3E0F2E0E">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210AB250">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随机抽取</w:t>
      </w:r>
    </w:p>
    <w:p w14:paraId="0F59382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 xml:space="preserve">其他方式，具体要求： </w:t>
      </w:r>
      <w:r>
        <w:rPr>
          <w:rFonts w:hint="eastAsia" w:ascii="宋体" w:hAnsi="宋体" w:eastAsia="宋体" w:cs="宋体"/>
          <w:spacing w:val="0"/>
          <w:w w:val="100"/>
          <w:position w:val="0"/>
          <w:sz w:val="24"/>
          <w:szCs w:val="24"/>
          <w:u w:val="single" w:color="auto"/>
        </w:rPr>
        <w:t xml:space="preserve">      </w:t>
      </w:r>
    </w:p>
    <w:p w14:paraId="3FD042C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非政府强制采购的节能产品或环境标志产品，依据品目清单和认证证书实施政府优先采购。优先采购的具体规定（如涉及）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13FDF5F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关于无线局域网认证产品政府采购清单中的产品，优先采购的具体规定（如涉及）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4EDA709D">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6" w:name="_Toc1479"/>
      <w:r>
        <w:rPr>
          <w:rFonts w:hint="eastAsia" w:ascii="宋体" w:hAnsi="宋体" w:eastAsia="宋体" w:cs="宋体"/>
          <w:b/>
          <w:bCs/>
          <w:spacing w:val="0"/>
          <w:w w:val="100"/>
          <w:position w:val="0"/>
          <w:sz w:val="24"/>
          <w:szCs w:val="24"/>
        </w:rPr>
        <w:t>4   确定中标候选人名单</w:t>
      </w:r>
      <w:bookmarkEnd w:id="86"/>
    </w:p>
    <w:p w14:paraId="36851CEA">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F017A00">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■随机</w:t>
      </w:r>
      <w:r>
        <w:rPr>
          <w:rFonts w:hint="eastAsia" w:ascii="宋体" w:hAnsi="宋体" w:eastAsia="宋体" w:cs="宋体"/>
          <w:spacing w:val="0"/>
          <w:w w:val="100"/>
          <w:position w:val="0"/>
          <w:sz w:val="24"/>
          <w:szCs w:val="24"/>
          <w:highlight w:val="none"/>
        </w:rPr>
        <w:t>抽取</w:t>
      </w:r>
    </w:p>
    <w:p w14:paraId="2BEC92F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其他方式，具体</w:t>
      </w:r>
      <w:r>
        <w:rPr>
          <w:rFonts w:hint="eastAsia" w:ascii="宋体" w:hAnsi="宋体" w:eastAsia="宋体" w:cs="宋体"/>
          <w:spacing w:val="0"/>
          <w:w w:val="100"/>
          <w:position w:val="0"/>
          <w:sz w:val="24"/>
          <w:szCs w:val="24"/>
        </w:rPr>
        <w:t xml:space="preserve">要求： </w:t>
      </w:r>
      <w:r>
        <w:rPr>
          <w:rFonts w:hint="eastAsia" w:ascii="宋体" w:hAnsi="宋体" w:eastAsia="宋体" w:cs="宋体"/>
          <w:spacing w:val="0"/>
          <w:w w:val="100"/>
          <w:position w:val="0"/>
          <w:sz w:val="24"/>
          <w:szCs w:val="24"/>
          <w:u w:val="single" w:color="auto"/>
        </w:rPr>
        <w:t xml:space="preserve">      </w:t>
      </w:r>
    </w:p>
    <w:p w14:paraId="491A0EB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222F6F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686800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评标委员会要对评分汇总情况进行复核，特别是对排名第一的、报价最低的、投标或响应文件被认定为无效的情形进行重点复核。</w:t>
      </w:r>
    </w:p>
    <w:p w14:paraId="74957D3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3</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名中标候选人。</w:t>
      </w:r>
    </w:p>
    <w:p w14:paraId="48008CAF">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7" w:name="_Toc30965"/>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报告违法行为</w:t>
      </w:r>
      <w:bookmarkEnd w:id="87"/>
    </w:p>
    <w:p w14:paraId="20C5505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1"/>
          <w:lang w:eastAsia="zh-CN"/>
        </w:rPr>
      </w:pPr>
      <w:r>
        <w:rPr>
          <w:rFonts w:hint="eastAsia" w:ascii="宋体" w:hAnsi="宋体" w:eastAsia="宋体" w:cs="宋体"/>
          <w:spacing w:val="0"/>
          <w:w w:val="100"/>
          <w:position w:val="0"/>
          <w:sz w:val="24"/>
          <w:szCs w:val="24"/>
        </w:rPr>
        <w:t>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评标委员会在评标过程中发现投标人有行贿、</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供虚假材料或者串通等违法行为时，有向采购人、采购代理机构或者有关部门报告的职责</w:t>
      </w:r>
      <w:r>
        <w:rPr>
          <w:rFonts w:hint="eastAsia" w:cs="宋体"/>
          <w:spacing w:val="0"/>
          <w:w w:val="100"/>
          <w:position w:val="0"/>
          <w:sz w:val="24"/>
          <w:szCs w:val="24"/>
          <w:lang w:eastAsia="zh-CN"/>
        </w:rPr>
        <w:t>。</w:t>
      </w:r>
    </w:p>
    <w:p w14:paraId="3FCE730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br w:type="page"/>
      </w:r>
    </w:p>
    <w:p w14:paraId="702637E8">
      <w:pPr>
        <w:pStyle w:val="7"/>
        <w:keepNext w:val="0"/>
        <w:keepLines w:val="0"/>
        <w:pageBreakBefore w:val="0"/>
        <w:widowControl/>
        <w:kinsoku/>
        <w:wordWrap/>
        <w:overflowPunct/>
        <w:topLinePunct w:val="0"/>
        <w:autoSpaceDE/>
        <w:autoSpaceDN/>
        <w:bidi w:val="0"/>
        <w:adjustRightInd w:val="0"/>
        <w:snapToGrid w:val="0"/>
        <w:spacing w:before="78" w:line="221" w:lineRule="auto"/>
        <w:ind w:left="3942"/>
        <w:textAlignment w:val="baseline"/>
        <w:outlineLvl w:val="1"/>
        <w:rPr>
          <w:rFonts w:hint="eastAsia" w:ascii="宋体" w:hAnsi="宋体" w:eastAsia="宋体" w:cs="宋体"/>
          <w:spacing w:val="0"/>
          <w:w w:val="100"/>
          <w:position w:val="0"/>
          <w:sz w:val="24"/>
          <w:szCs w:val="24"/>
        </w:rPr>
      </w:pPr>
      <w:bookmarkStart w:id="88" w:name="_Toc2492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二、评标标准</w:t>
      </w:r>
      <w:bookmarkEnd w:id="88"/>
    </w:p>
    <w:p w14:paraId="56A812CF">
      <w:pPr>
        <w:keepNext w:val="0"/>
        <w:keepLines w:val="0"/>
        <w:pageBreakBefore w:val="0"/>
        <w:widowControl/>
        <w:kinsoku/>
        <w:wordWrap/>
        <w:overflowPunct/>
        <w:topLinePunct w:val="0"/>
        <w:autoSpaceDE/>
        <w:autoSpaceDN/>
        <w:bidi w:val="0"/>
        <w:adjustRightInd w:val="0"/>
        <w:snapToGrid w:val="0"/>
        <w:spacing w:before="39"/>
        <w:textAlignment w:val="baseline"/>
        <w:rPr>
          <w:rFonts w:hint="eastAsia" w:ascii="宋体" w:hAnsi="宋体" w:eastAsia="宋体" w:cs="宋体"/>
          <w:spacing w:val="0"/>
          <w:w w:val="100"/>
          <w:position w:val="0"/>
        </w:rPr>
      </w:pPr>
    </w:p>
    <w:tbl>
      <w:tblPr>
        <w:tblStyle w:val="18"/>
        <w:tblW w:w="93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2"/>
        <w:gridCol w:w="992"/>
        <w:gridCol w:w="1134"/>
        <w:gridCol w:w="6450"/>
      </w:tblGrid>
      <w:tr w14:paraId="19CD5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6" w:hRule="atLeast"/>
          <w:jc w:val="center"/>
        </w:trPr>
        <w:tc>
          <w:tcPr>
            <w:tcW w:w="752" w:type="dxa"/>
            <w:tcBorders>
              <w:top w:val="single" w:color="auto" w:sz="6" w:space="0"/>
              <w:left w:val="single" w:color="auto" w:sz="6" w:space="0"/>
              <w:bottom w:val="single" w:color="auto" w:sz="6" w:space="0"/>
              <w:right w:val="single" w:color="auto" w:sz="6" w:space="0"/>
            </w:tcBorders>
            <w:noWrap w:val="0"/>
            <w:vAlign w:val="center"/>
          </w:tcPr>
          <w:p w14:paraId="6E607824">
            <w:pPr>
              <w:spacing w:beforeLines="0"/>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992" w:type="dxa"/>
            <w:tcBorders>
              <w:top w:val="single" w:color="auto" w:sz="6" w:space="0"/>
              <w:left w:val="single" w:color="auto" w:sz="6" w:space="0"/>
              <w:bottom w:val="single" w:color="auto" w:sz="6" w:space="0"/>
              <w:right w:val="single" w:color="auto" w:sz="6" w:space="0"/>
            </w:tcBorders>
            <w:noWrap w:val="0"/>
            <w:vAlign w:val="center"/>
          </w:tcPr>
          <w:p w14:paraId="6021D606">
            <w:pPr>
              <w:spacing w:beforeLines="0"/>
              <w:jc w:val="center"/>
              <w:rPr>
                <w:rFonts w:hint="eastAsia" w:ascii="宋体" w:hAnsi="宋体" w:eastAsia="宋体" w:cs="宋体"/>
                <w:b/>
                <w:sz w:val="24"/>
                <w:szCs w:val="24"/>
              </w:rPr>
            </w:pPr>
            <w:r>
              <w:rPr>
                <w:rFonts w:hint="eastAsia" w:ascii="宋体" w:hAnsi="宋体" w:eastAsia="宋体" w:cs="宋体"/>
                <w:b/>
                <w:sz w:val="24"/>
                <w:szCs w:val="24"/>
              </w:rPr>
              <w:t>评审</w:t>
            </w:r>
          </w:p>
          <w:p w14:paraId="586B2D4D">
            <w:pPr>
              <w:spacing w:beforeLines="0"/>
              <w:jc w:val="center"/>
              <w:rPr>
                <w:rFonts w:hint="eastAsia" w:ascii="宋体" w:hAnsi="宋体" w:eastAsia="宋体" w:cs="宋体"/>
                <w:b/>
                <w:sz w:val="24"/>
                <w:szCs w:val="24"/>
              </w:rPr>
            </w:pPr>
            <w:r>
              <w:rPr>
                <w:rFonts w:hint="eastAsia" w:ascii="宋体" w:hAnsi="宋体" w:eastAsia="宋体" w:cs="宋体"/>
                <w:b/>
                <w:sz w:val="24"/>
                <w:szCs w:val="24"/>
              </w:rPr>
              <w:t>条款</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3DD4709">
            <w:pPr>
              <w:spacing w:beforeLines="0"/>
              <w:jc w:val="center"/>
              <w:rPr>
                <w:rFonts w:hint="eastAsia" w:ascii="宋体" w:hAnsi="宋体" w:eastAsia="宋体" w:cs="宋体"/>
                <w:b/>
                <w:sz w:val="24"/>
                <w:szCs w:val="24"/>
              </w:rPr>
            </w:pPr>
            <w:r>
              <w:rPr>
                <w:rFonts w:hint="eastAsia" w:ascii="宋体" w:hAnsi="宋体" w:eastAsia="宋体" w:cs="宋体"/>
                <w:b/>
                <w:sz w:val="24"/>
                <w:szCs w:val="24"/>
              </w:rPr>
              <w:t>评审项</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6EBF08B0">
            <w:pPr>
              <w:spacing w:beforeLines="0"/>
              <w:jc w:val="center"/>
              <w:rPr>
                <w:rFonts w:hint="eastAsia" w:ascii="宋体" w:hAnsi="宋体" w:eastAsia="宋体" w:cs="宋体"/>
                <w:b/>
                <w:sz w:val="24"/>
                <w:szCs w:val="24"/>
              </w:rPr>
            </w:pPr>
            <w:r>
              <w:rPr>
                <w:rFonts w:hint="eastAsia" w:ascii="宋体" w:hAnsi="宋体" w:eastAsia="宋体" w:cs="宋体"/>
                <w:b/>
                <w:sz w:val="24"/>
                <w:szCs w:val="24"/>
              </w:rPr>
              <w:t>评审细则</w:t>
            </w:r>
          </w:p>
        </w:tc>
      </w:tr>
      <w:tr w14:paraId="2E1B1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752" w:type="dxa"/>
            <w:tcBorders>
              <w:top w:val="single" w:color="auto" w:sz="6" w:space="0"/>
              <w:left w:val="single" w:color="auto" w:sz="6" w:space="0"/>
              <w:bottom w:val="single" w:color="auto" w:sz="6" w:space="0"/>
              <w:right w:val="single" w:color="auto" w:sz="6" w:space="0"/>
            </w:tcBorders>
            <w:noWrap w:val="0"/>
            <w:vAlign w:val="center"/>
          </w:tcPr>
          <w:p w14:paraId="6DD10EE3">
            <w:pPr>
              <w:spacing w:beforeLines="0"/>
              <w:jc w:val="center"/>
              <w:rPr>
                <w:rFonts w:hint="eastAsia" w:ascii="宋体" w:hAnsi="宋体" w:eastAsia="宋体" w:cs="宋体"/>
                <w:b/>
                <w:sz w:val="24"/>
                <w:szCs w:val="24"/>
              </w:rPr>
            </w:pPr>
            <w:r>
              <w:rPr>
                <w:rFonts w:hint="eastAsia" w:ascii="宋体" w:hAnsi="宋体" w:eastAsia="宋体" w:cs="宋体"/>
                <w:b/>
                <w:sz w:val="24"/>
                <w:szCs w:val="24"/>
              </w:rPr>
              <w:t>1</w:t>
            </w:r>
          </w:p>
        </w:tc>
        <w:tc>
          <w:tcPr>
            <w:tcW w:w="992" w:type="dxa"/>
            <w:tcBorders>
              <w:top w:val="single" w:color="auto" w:sz="6" w:space="0"/>
              <w:left w:val="single" w:color="auto" w:sz="6" w:space="0"/>
              <w:bottom w:val="single" w:color="auto" w:sz="6" w:space="0"/>
              <w:right w:val="single" w:color="auto" w:sz="6" w:space="0"/>
            </w:tcBorders>
            <w:noWrap w:val="0"/>
            <w:vAlign w:val="center"/>
          </w:tcPr>
          <w:p w14:paraId="7ABD282F">
            <w:pPr>
              <w:spacing w:beforeLines="0"/>
              <w:jc w:val="center"/>
              <w:rPr>
                <w:rFonts w:hint="eastAsia" w:ascii="宋体" w:hAnsi="宋体" w:eastAsia="宋体" w:cs="宋体"/>
                <w:sz w:val="24"/>
                <w:szCs w:val="24"/>
              </w:rPr>
            </w:pPr>
            <w:r>
              <w:rPr>
                <w:rFonts w:hint="eastAsia" w:ascii="宋体" w:hAnsi="宋体" w:eastAsia="宋体" w:cs="宋体"/>
                <w:sz w:val="24"/>
                <w:szCs w:val="24"/>
              </w:rPr>
              <w:t>价格</w:t>
            </w:r>
          </w:p>
          <w:p w14:paraId="7B555284">
            <w:pPr>
              <w:spacing w:beforeLines="0"/>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w:t>
            </w:r>
            <w:r>
              <w:rPr>
                <w:rFonts w:hint="eastAsia" w:ascii="宋体" w:hAnsi="宋体" w:eastAsia="宋体" w:cs="宋体"/>
                <w:sz w:val="24"/>
                <w:szCs w:val="24"/>
              </w:rPr>
              <w:t>0分)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1194ADB">
            <w:pPr>
              <w:spacing w:beforeLines="0"/>
              <w:jc w:val="center"/>
              <w:rPr>
                <w:rFonts w:hint="eastAsia" w:ascii="宋体" w:hAnsi="宋体" w:eastAsia="宋体" w:cs="宋体"/>
                <w:sz w:val="24"/>
                <w:szCs w:val="24"/>
              </w:rPr>
            </w:pPr>
            <w:r>
              <w:rPr>
                <w:rFonts w:hint="eastAsia" w:ascii="宋体" w:hAnsi="宋体" w:eastAsia="宋体" w:cs="宋体"/>
                <w:sz w:val="24"/>
                <w:szCs w:val="24"/>
              </w:rPr>
              <w:t>价格</w:t>
            </w:r>
          </w:p>
          <w:p w14:paraId="17C124D8">
            <w:pPr>
              <w:spacing w:beforeLines="0"/>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1</w:t>
            </w:r>
            <w:r>
              <w:rPr>
                <w:rFonts w:hint="eastAsia" w:ascii="宋体" w:hAnsi="宋体" w:eastAsia="宋体" w:cs="宋体"/>
                <w:sz w:val="24"/>
                <w:szCs w:val="24"/>
              </w:rPr>
              <w:t>0分)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24050833">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各投标人的价格得分:(评标基准价/投标报价)×</w:t>
            </w:r>
            <w:r>
              <w:rPr>
                <w:rFonts w:hint="eastAsia" w:ascii="宋体" w:hAnsi="宋体" w:cs="宋体"/>
                <w:kern w:val="0"/>
                <w:sz w:val="24"/>
                <w:szCs w:val="24"/>
                <w:lang w:val="en-US" w:eastAsia="zh-CN"/>
              </w:rPr>
              <w:t>1</w:t>
            </w:r>
            <w:r>
              <w:rPr>
                <w:rFonts w:hint="eastAsia" w:ascii="宋体" w:hAnsi="宋体" w:eastAsia="宋体" w:cs="宋体"/>
                <w:kern w:val="0"/>
                <w:sz w:val="24"/>
                <w:szCs w:val="24"/>
              </w:rPr>
              <w:t>0</w:t>
            </w:r>
          </w:p>
          <w:p w14:paraId="5A6F8EB9">
            <w:pPr>
              <w:widowControl/>
              <w:spacing w:beforeLines="0"/>
              <w:jc w:val="left"/>
              <w:rPr>
                <w:rFonts w:hint="eastAsia" w:ascii="宋体" w:hAnsi="宋体" w:eastAsia="宋体" w:cs="宋体"/>
                <w:kern w:val="0"/>
                <w:sz w:val="24"/>
                <w:szCs w:val="24"/>
              </w:rPr>
            </w:pPr>
            <w:r>
              <w:rPr>
                <w:rFonts w:hint="eastAsia" w:ascii="宋体" w:hAnsi="宋体" w:eastAsia="宋体" w:cs="宋体"/>
                <w:kern w:val="0"/>
                <w:sz w:val="24"/>
                <w:szCs w:val="24"/>
              </w:rPr>
              <w:t>(注:实质性响应招标文件要求且最低评标价为评标基准价)</w:t>
            </w:r>
          </w:p>
          <w:p w14:paraId="5D5C464E">
            <w:pPr>
              <w:widowControl/>
              <w:spacing w:beforeLines="0"/>
              <w:jc w:val="left"/>
              <w:rPr>
                <w:rFonts w:hint="eastAsia" w:ascii="宋体" w:hAnsi="宋体" w:eastAsia="宋体" w:cs="宋体"/>
                <w:kern w:val="0"/>
                <w:sz w:val="24"/>
                <w:szCs w:val="24"/>
              </w:rPr>
            </w:pPr>
            <w:r>
              <w:rPr>
                <w:rFonts w:hint="eastAsia" w:ascii="宋体" w:hAnsi="宋体" w:eastAsia="宋体" w:cs="宋体"/>
                <w:b/>
                <w:bCs/>
                <w:kern w:val="0"/>
                <w:sz w:val="24"/>
                <w:szCs w:val="24"/>
              </w:rPr>
              <w:t>报价明显低于其他通过符合性审查投标人的报价，有可能影响产品质量或者不能诚信履约的，不能按评审委员会要求时间提交相关证明材料证明其报价合理性的视为无效投标。</w:t>
            </w:r>
          </w:p>
        </w:tc>
      </w:tr>
      <w:tr w14:paraId="7C5E8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31" w:hRule="atLeast"/>
          <w:jc w:val="center"/>
        </w:trPr>
        <w:tc>
          <w:tcPr>
            <w:tcW w:w="752" w:type="dxa"/>
            <w:vMerge w:val="restart"/>
            <w:tcBorders>
              <w:top w:val="single" w:color="auto" w:sz="6" w:space="0"/>
              <w:left w:val="single" w:color="auto" w:sz="6" w:space="0"/>
              <w:right w:val="single" w:color="auto" w:sz="6" w:space="0"/>
            </w:tcBorders>
            <w:noWrap w:val="0"/>
            <w:vAlign w:val="center"/>
          </w:tcPr>
          <w:p w14:paraId="29B628DD">
            <w:pPr>
              <w:spacing w:beforeLines="0"/>
              <w:jc w:val="center"/>
              <w:rPr>
                <w:rFonts w:hint="eastAsia" w:ascii="宋体" w:hAnsi="宋体" w:eastAsia="宋体" w:cs="宋体"/>
                <w:b/>
                <w:sz w:val="24"/>
                <w:szCs w:val="24"/>
              </w:rPr>
            </w:pPr>
            <w:r>
              <w:rPr>
                <w:rFonts w:hint="eastAsia" w:ascii="宋体" w:hAnsi="宋体" w:eastAsia="宋体" w:cs="宋体"/>
                <w:b/>
                <w:sz w:val="24"/>
                <w:szCs w:val="24"/>
              </w:rPr>
              <w:t>2</w:t>
            </w:r>
          </w:p>
        </w:tc>
        <w:tc>
          <w:tcPr>
            <w:tcW w:w="992" w:type="dxa"/>
            <w:vMerge w:val="restart"/>
            <w:tcBorders>
              <w:top w:val="single" w:color="auto" w:sz="6" w:space="0"/>
              <w:left w:val="single" w:color="auto" w:sz="6" w:space="0"/>
              <w:right w:val="single" w:color="auto" w:sz="6" w:space="0"/>
            </w:tcBorders>
            <w:noWrap w:val="0"/>
            <w:vAlign w:val="center"/>
          </w:tcPr>
          <w:p w14:paraId="653D9365">
            <w:pPr>
              <w:spacing w:beforeLines="0"/>
              <w:jc w:val="center"/>
              <w:rPr>
                <w:rFonts w:hint="eastAsia" w:ascii="宋体" w:hAnsi="宋体" w:eastAsia="宋体" w:cs="宋体"/>
                <w:sz w:val="24"/>
                <w:szCs w:val="24"/>
              </w:rPr>
            </w:pPr>
            <w:r>
              <w:rPr>
                <w:rFonts w:hint="eastAsia" w:ascii="宋体" w:hAnsi="宋体" w:eastAsia="宋体" w:cs="宋体"/>
                <w:sz w:val="24"/>
                <w:szCs w:val="24"/>
              </w:rPr>
              <w:t>技术</w:t>
            </w:r>
          </w:p>
          <w:p w14:paraId="048C6F35">
            <w:pPr>
              <w:spacing w:beforeLines="0"/>
              <w:jc w:val="center"/>
              <w:rPr>
                <w:rFonts w:hint="eastAsia" w:ascii="宋体" w:hAnsi="宋体" w:eastAsia="宋体" w:cs="宋体"/>
                <w:sz w:val="24"/>
                <w:szCs w:val="24"/>
              </w:rPr>
            </w:pPr>
            <w:r>
              <w:rPr>
                <w:rFonts w:hint="eastAsia" w:ascii="宋体" w:hAnsi="宋体" w:eastAsia="宋体" w:cs="宋体"/>
                <w:sz w:val="24"/>
                <w:szCs w:val="24"/>
              </w:rPr>
              <w:t>部分</w:t>
            </w:r>
          </w:p>
          <w:p w14:paraId="56D6DD79">
            <w:pPr>
              <w:spacing w:beforeLines="0"/>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0</w:t>
            </w:r>
            <w:r>
              <w:rPr>
                <w:rFonts w:hint="eastAsia" w:ascii="宋体" w:hAnsi="宋体" w:eastAsia="宋体" w:cs="宋体"/>
                <w:sz w:val="24"/>
                <w:szCs w:val="24"/>
              </w:rPr>
              <w:t>分)</w:t>
            </w:r>
          </w:p>
        </w:tc>
        <w:tc>
          <w:tcPr>
            <w:tcW w:w="1134" w:type="dxa"/>
            <w:tcBorders>
              <w:top w:val="single" w:color="auto" w:sz="6" w:space="0"/>
              <w:left w:val="single" w:color="auto" w:sz="6" w:space="0"/>
              <w:right w:val="single" w:color="auto" w:sz="6" w:space="0"/>
            </w:tcBorders>
            <w:noWrap w:val="0"/>
            <w:vAlign w:val="center"/>
          </w:tcPr>
          <w:p w14:paraId="586EC617">
            <w:pPr>
              <w:spacing w:beforeLines="0"/>
              <w:jc w:val="center"/>
              <w:rPr>
                <w:rFonts w:hint="eastAsia" w:ascii="宋体" w:hAnsi="宋体" w:eastAsia="宋体" w:cs="宋体"/>
                <w:sz w:val="24"/>
                <w:szCs w:val="24"/>
              </w:rPr>
            </w:pPr>
          </w:p>
          <w:p w14:paraId="6ADC92A0">
            <w:pPr>
              <w:spacing w:beforeLines="0"/>
              <w:jc w:val="center"/>
              <w:rPr>
                <w:rFonts w:hint="eastAsia" w:ascii="宋体" w:hAnsi="宋体" w:eastAsia="宋体" w:cs="宋体"/>
                <w:sz w:val="24"/>
                <w:lang w:val="en-US" w:eastAsia="zh-CN"/>
              </w:rPr>
            </w:pPr>
            <w:r>
              <w:rPr>
                <w:rFonts w:hint="eastAsia" w:ascii="宋体" w:hAnsi="宋体" w:eastAsia="宋体" w:cs="宋体"/>
                <w:sz w:val="24"/>
                <w:lang w:val="en-US" w:eastAsia="zh-CN"/>
              </w:rPr>
              <w:t>需求理解</w:t>
            </w:r>
          </w:p>
          <w:p w14:paraId="22627082">
            <w:pPr>
              <w:pStyle w:val="16"/>
              <w:ind w:firstLine="0" w:firstLineChars="0"/>
              <w:jc w:val="center"/>
              <w:rPr>
                <w:rFonts w:hint="default"/>
                <w:lang w:val="en-US" w:eastAsia="zh-CN"/>
              </w:rPr>
            </w:pPr>
            <w:r>
              <w:rPr>
                <w:rFonts w:hint="eastAsia" w:ascii="宋体" w:hAnsi="宋体" w:eastAsia="宋体" w:cs="宋体"/>
                <w:sz w:val="24"/>
                <w:szCs w:val="24"/>
              </w:rPr>
              <w:t>(</w:t>
            </w:r>
            <w:r>
              <w:rPr>
                <w:rFonts w:hint="eastAsia" w:cs="宋体"/>
                <w:sz w:val="24"/>
                <w:szCs w:val="24"/>
                <w:lang w:val="en-US" w:eastAsia="zh-CN"/>
              </w:rPr>
              <w:t>20</w:t>
            </w:r>
            <w:r>
              <w:rPr>
                <w:rFonts w:hint="eastAsia" w:ascii="宋体" w:hAnsi="宋体" w:eastAsia="宋体" w:cs="宋体"/>
                <w:sz w:val="24"/>
                <w:szCs w:val="24"/>
              </w:rPr>
              <w:t>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2647BA38">
            <w:pPr>
              <w:widowControl/>
              <w:spacing w:beforeLines="0"/>
              <w:jc w:val="lef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根据招标要求和投标技术响应情况，对供应商提供的需求理解进行评价,其中：（1）公厕现状（2）工作安排（3）技术方案及保障措施（4）风险分析与解决方案，进行评价：</w:t>
            </w:r>
          </w:p>
          <w:p w14:paraId="7BFD961F">
            <w:pPr>
              <w:widowControl/>
              <w:spacing w:beforeLines="0"/>
              <w:jc w:val="lef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上述四项内容均进行了阐述且满足采购需求的得</w:t>
            </w:r>
            <w:r>
              <w:rPr>
                <w:rFonts w:hint="eastAsia" w:ascii="宋体" w:hAnsi="宋体" w:cs="宋体"/>
                <w:sz w:val="24"/>
                <w:szCs w:val="24"/>
                <w:u w:val="none"/>
                <w:lang w:val="en-US" w:eastAsia="zh-CN"/>
              </w:rPr>
              <w:t>20</w:t>
            </w:r>
            <w:r>
              <w:rPr>
                <w:rFonts w:hint="eastAsia" w:ascii="宋体" w:hAnsi="宋体" w:eastAsia="宋体" w:cs="宋体"/>
                <w:sz w:val="24"/>
                <w:szCs w:val="24"/>
                <w:u w:val="none"/>
                <w:lang w:val="en-US" w:eastAsia="zh-CN"/>
              </w:rPr>
              <w:t>分；</w:t>
            </w:r>
          </w:p>
          <w:p w14:paraId="6E9F14A2">
            <w:pPr>
              <w:widowControl/>
              <w:spacing w:beforeLines="0"/>
              <w:jc w:val="lef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每有一项内容虽阐述但未贴合项目实际情况进行论述，或内容中未包括具体实施细节及措施，扣</w:t>
            </w:r>
            <w:r>
              <w:rPr>
                <w:rFonts w:hint="eastAsia" w:ascii="宋体" w:hAnsi="宋体" w:cs="宋体"/>
                <w:sz w:val="24"/>
                <w:szCs w:val="24"/>
                <w:u w:val="none"/>
                <w:lang w:val="en-US" w:eastAsia="zh-CN"/>
              </w:rPr>
              <w:t>2</w:t>
            </w:r>
            <w:r>
              <w:rPr>
                <w:rFonts w:hint="eastAsia" w:ascii="宋体" w:hAnsi="宋体" w:eastAsia="宋体" w:cs="宋体"/>
                <w:sz w:val="24"/>
                <w:szCs w:val="24"/>
                <w:u w:val="none"/>
                <w:lang w:val="en-US" w:eastAsia="zh-CN"/>
              </w:rPr>
              <w:t>分；</w:t>
            </w:r>
          </w:p>
          <w:p w14:paraId="20210DB2">
            <w:pPr>
              <w:spacing w:beforeLines="0"/>
              <w:jc w:val="left"/>
              <w:rPr>
                <w:rFonts w:hint="eastAsia" w:ascii="宋体" w:hAnsi="宋体" w:eastAsia="宋体" w:cs="宋体"/>
                <w:sz w:val="24"/>
                <w:szCs w:val="24"/>
                <w:lang w:val="en-US" w:eastAsia="zh-CN"/>
              </w:rPr>
            </w:pPr>
            <w:r>
              <w:rPr>
                <w:rFonts w:hint="eastAsia" w:ascii="宋体" w:hAnsi="宋体" w:eastAsia="宋体" w:cs="宋体"/>
                <w:sz w:val="24"/>
                <w:szCs w:val="24"/>
                <w:u w:val="none"/>
                <w:lang w:val="en-US" w:eastAsia="zh-CN"/>
              </w:rPr>
              <w:t>每有一项内容未阐述或不符合项目实际情况且未提供具体实施细节及措施，扣</w:t>
            </w:r>
            <w:r>
              <w:rPr>
                <w:rFonts w:hint="eastAsia" w:ascii="宋体" w:hAnsi="宋体" w:cs="宋体"/>
                <w:sz w:val="24"/>
                <w:szCs w:val="24"/>
                <w:u w:val="none"/>
                <w:lang w:val="en-US" w:eastAsia="zh-CN"/>
              </w:rPr>
              <w:t>5</w:t>
            </w:r>
            <w:r>
              <w:rPr>
                <w:rFonts w:hint="eastAsia" w:ascii="宋体" w:hAnsi="宋体" w:eastAsia="宋体" w:cs="宋体"/>
                <w:sz w:val="24"/>
                <w:szCs w:val="24"/>
                <w:u w:val="none"/>
                <w:lang w:val="en-US" w:eastAsia="zh-CN"/>
              </w:rPr>
              <w:t>分，最低得0分。</w:t>
            </w:r>
          </w:p>
        </w:tc>
      </w:tr>
      <w:tr w14:paraId="41B81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752" w:type="dxa"/>
            <w:vMerge w:val="continue"/>
            <w:tcBorders>
              <w:left w:val="single" w:color="auto" w:sz="6" w:space="0"/>
              <w:right w:val="single" w:color="auto" w:sz="6" w:space="0"/>
            </w:tcBorders>
            <w:noWrap w:val="0"/>
            <w:vAlign w:val="center"/>
          </w:tcPr>
          <w:p w14:paraId="2ECE04B8">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4D2B94E7">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right w:val="single" w:color="auto" w:sz="6" w:space="0"/>
            </w:tcBorders>
            <w:noWrap w:val="0"/>
            <w:vAlign w:val="center"/>
          </w:tcPr>
          <w:p w14:paraId="7B1D559F">
            <w:pPr>
              <w:spacing w:beforeLine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应急预案</w:t>
            </w:r>
          </w:p>
          <w:p w14:paraId="1ABC159B">
            <w:pPr>
              <w:spacing w:beforeLines="0"/>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20</w:t>
            </w:r>
            <w:r>
              <w:rPr>
                <w:rFonts w:hint="eastAsia" w:ascii="宋体" w:hAnsi="宋体" w:eastAsia="宋体" w:cs="宋体"/>
                <w:sz w:val="24"/>
                <w:szCs w:val="24"/>
              </w:rPr>
              <w:t>分)</w:t>
            </w:r>
          </w:p>
        </w:tc>
        <w:tc>
          <w:tcPr>
            <w:tcW w:w="6450" w:type="dxa"/>
            <w:tcBorders>
              <w:top w:val="single" w:color="auto" w:sz="6" w:space="0"/>
              <w:left w:val="single" w:color="auto" w:sz="6" w:space="0"/>
              <w:right w:val="single" w:color="auto" w:sz="6" w:space="0"/>
            </w:tcBorders>
            <w:noWrap w:val="0"/>
            <w:vAlign w:val="center"/>
          </w:tcPr>
          <w:p w14:paraId="7CA25256">
            <w:pPr>
              <w:widowControl/>
              <w:spacing w:beforeLines="0"/>
              <w:jc w:val="lef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根据招标要求和投标技术响应情况，对供应商提供的应急预案进行评价,其中：（1）突发状况分析（2）应急措施（3）响应时间（4）备品备件情况，进行评价：</w:t>
            </w:r>
          </w:p>
          <w:p w14:paraId="0C4BC577">
            <w:pPr>
              <w:widowControl/>
              <w:spacing w:beforeLines="0"/>
              <w:jc w:val="lef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上述四项内容均进行了阐述且满足采购需求的得</w:t>
            </w:r>
            <w:r>
              <w:rPr>
                <w:rFonts w:hint="eastAsia" w:ascii="宋体" w:hAnsi="宋体" w:cs="宋体"/>
                <w:sz w:val="24"/>
                <w:szCs w:val="24"/>
                <w:u w:val="none"/>
                <w:lang w:val="en-US" w:eastAsia="zh-CN"/>
              </w:rPr>
              <w:t>20</w:t>
            </w:r>
            <w:r>
              <w:rPr>
                <w:rFonts w:hint="eastAsia" w:ascii="宋体" w:hAnsi="宋体" w:eastAsia="宋体" w:cs="宋体"/>
                <w:sz w:val="24"/>
                <w:szCs w:val="24"/>
                <w:u w:val="none"/>
                <w:lang w:val="en-US" w:eastAsia="zh-CN"/>
              </w:rPr>
              <w:t>分；</w:t>
            </w:r>
          </w:p>
          <w:p w14:paraId="7C90CFE0">
            <w:pPr>
              <w:widowControl/>
              <w:spacing w:beforeLines="0"/>
              <w:jc w:val="lef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每有一项内容虽阐述但未贴合项目实际情况进行论述，或内容中未包括具体实施细节及措施，扣</w:t>
            </w:r>
            <w:r>
              <w:rPr>
                <w:rFonts w:hint="eastAsia" w:ascii="宋体" w:hAnsi="宋体" w:cs="宋体"/>
                <w:sz w:val="24"/>
                <w:szCs w:val="24"/>
                <w:u w:val="none"/>
                <w:lang w:val="en-US" w:eastAsia="zh-CN"/>
              </w:rPr>
              <w:t>2</w:t>
            </w:r>
            <w:r>
              <w:rPr>
                <w:rFonts w:hint="eastAsia" w:ascii="宋体" w:hAnsi="宋体" w:eastAsia="宋体" w:cs="宋体"/>
                <w:sz w:val="24"/>
                <w:szCs w:val="24"/>
                <w:u w:val="none"/>
                <w:lang w:val="en-US" w:eastAsia="zh-CN"/>
              </w:rPr>
              <w:t>分；</w:t>
            </w:r>
          </w:p>
          <w:p w14:paraId="59DDA729">
            <w:pPr>
              <w:widowControl/>
              <w:spacing w:beforeLines="0"/>
              <w:jc w:val="left"/>
              <w:rPr>
                <w:rFonts w:hint="eastAsia" w:ascii="宋体" w:hAnsi="宋体" w:eastAsia="宋体" w:cs="宋体"/>
                <w:sz w:val="24"/>
                <w:szCs w:val="24"/>
              </w:rPr>
            </w:pPr>
            <w:r>
              <w:rPr>
                <w:rFonts w:hint="eastAsia" w:ascii="宋体" w:hAnsi="宋体" w:eastAsia="宋体" w:cs="宋体"/>
                <w:sz w:val="24"/>
                <w:szCs w:val="24"/>
                <w:u w:val="none"/>
                <w:lang w:val="en-US" w:eastAsia="zh-CN"/>
              </w:rPr>
              <w:t>每有一项内容未阐述或不符合项目实际情况且未提供具体实施细节及措施，扣</w:t>
            </w:r>
            <w:r>
              <w:rPr>
                <w:rFonts w:hint="eastAsia" w:ascii="宋体" w:hAnsi="宋体" w:cs="宋体"/>
                <w:sz w:val="24"/>
                <w:szCs w:val="24"/>
                <w:u w:val="none"/>
                <w:lang w:val="en-US" w:eastAsia="zh-CN"/>
              </w:rPr>
              <w:t>5</w:t>
            </w:r>
            <w:r>
              <w:rPr>
                <w:rFonts w:hint="eastAsia" w:ascii="宋体" w:hAnsi="宋体" w:eastAsia="宋体" w:cs="宋体"/>
                <w:sz w:val="24"/>
                <w:szCs w:val="24"/>
                <w:u w:val="none"/>
                <w:lang w:val="en-US" w:eastAsia="zh-CN"/>
              </w:rPr>
              <w:t>分，最低得0分。</w:t>
            </w:r>
          </w:p>
        </w:tc>
      </w:tr>
      <w:tr w14:paraId="73AEA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752" w:type="dxa"/>
            <w:vMerge w:val="continue"/>
            <w:tcBorders>
              <w:left w:val="single" w:color="auto" w:sz="6" w:space="0"/>
              <w:right w:val="single" w:color="auto" w:sz="6" w:space="0"/>
            </w:tcBorders>
            <w:noWrap w:val="0"/>
            <w:vAlign w:val="center"/>
          </w:tcPr>
          <w:p w14:paraId="565E1A67">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3D46E1FA">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right w:val="single" w:color="auto" w:sz="6" w:space="0"/>
            </w:tcBorders>
            <w:noWrap w:val="0"/>
            <w:vAlign w:val="center"/>
          </w:tcPr>
          <w:p w14:paraId="2849038A">
            <w:pPr>
              <w:spacing w:beforeLines="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人员配备</w:t>
            </w:r>
          </w:p>
          <w:p w14:paraId="54CC0A87">
            <w:pPr>
              <w:spacing w:beforeLines="0"/>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8</w:t>
            </w:r>
            <w:r>
              <w:rPr>
                <w:rFonts w:hint="eastAsia" w:ascii="宋体" w:hAnsi="宋体" w:eastAsia="宋体" w:cs="宋体"/>
                <w:sz w:val="24"/>
                <w:szCs w:val="24"/>
              </w:rPr>
              <w:t>分)</w:t>
            </w:r>
          </w:p>
        </w:tc>
        <w:tc>
          <w:tcPr>
            <w:tcW w:w="6450" w:type="dxa"/>
            <w:tcBorders>
              <w:top w:val="single" w:color="auto" w:sz="6" w:space="0"/>
              <w:left w:val="single" w:color="auto" w:sz="6" w:space="0"/>
              <w:right w:val="single" w:color="auto" w:sz="6" w:space="0"/>
            </w:tcBorders>
            <w:noWrap w:val="0"/>
            <w:vAlign w:val="center"/>
          </w:tcPr>
          <w:p w14:paraId="43667107">
            <w:pPr>
              <w:numPr>
                <w:ilvl w:val="0"/>
                <w:numId w:val="0"/>
              </w:numPr>
              <w:spacing w:beforeLines="0"/>
              <w:jc w:val="left"/>
              <w:rPr>
                <w:rFonts w:hint="eastAsia" w:ascii="宋体" w:hAnsi="宋体" w:eastAsia="宋体" w:cs="宋体"/>
                <w:sz w:val="24"/>
                <w:szCs w:val="24"/>
              </w:rPr>
            </w:pPr>
            <w:r>
              <w:rPr>
                <w:rFonts w:hint="eastAsia" w:ascii="宋体" w:hAnsi="宋体" w:eastAsia="宋体" w:cs="宋体"/>
                <w:sz w:val="24"/>
                <w:szCs w:val="24"/>
                <w:u w:val="none"/>
                <w:lang w:val="en-US" w:eastAsia="zh-CN"/>
              </w:rPr>
              <w:t>根据招标要求和投标技术响应情况，对供应商提供的保障措施进行评价,其中：</w:t>
            </w:r>
            <w:r>
              <w:rPr>
                <w:rFonts w:hint="eastAsia" w:ascii="宋体" w:hAnsi="宋体" w:eastAsia="宋体" w:cs="宋体"/>
                <w:sz w:val="24"/>
                <w:szCs w:val="24"/>
                <w:lang w:val="en-US" w:eastAsia="zh-CN"/>
              </w:rPr>
              <w:t>（1）</w:t>
            </w:r>
            <w:r>
              <w:rPr>
                <w:rFonts w:hint="eastAsia" w:ascii="宋体" w:hAnsi="宋体" w:eastAsia="宋体" w:cs="宋体"/>
                <w:sz w:val="24"/>
                <w:szCs w:val="24"/>
              </w:rPr>
              <w:t>管理机构</w:t>
            </w:r>
            <w:r>
              <w:rPr>
                <w:rFonts w:hint="eastAsia" w:ascii="宋体" w:hAnsi="宋体" w:eastAsia="宋体" w:cs="宋体"/>
                <w:sz w:val="24"/>
                <w:szCs w:val="24"/>
                <w:lang w:val="en-US" w:eastAsia="zh-CN"/>
              </w:rPr>
              <w:t>分配（2）</w:t>
            </w:r>
            <w:r>
              <w:rPr>
                <w:rFonts w:hint="eastAsia" w:ascii="宋体" w:hAnsi="宋体" w:eastAsia="宋体" w:cs="宋体"/>
                <w:sz w:val="24"/>
                <w:szCs w:val="24"/>
              </w:rPr>
              <w:t>信息处理流程</w:t>
            </w:r>
            <w:r>
              <w:rPr>
                <w:rFonts w:hint="eastAsia" w:ascii="宋体" w:hAnsi="宋体" w:eastAsia="宋体" w:cs="宋体"/>
                <w:sz w:val="24"/>
                <w:szCs w:val="24"/>
                <w:lang w:val="en-US" w:eastAsia="zh-CN"/>
              </w:rPr>
              <w:t>（3）</w:t>
            </w:r>
            <w:r>
              <w:rPr>
                <w:rFonts w:hint="eastAsia" w:ascii="宋体" w:hAnsi="宋体" w:eastAsia="宋体" w:cs="宋体"/>
                <w:sz w:val="24"/>
                <w:szCs w:val="24"/>
              </w:rPr>
              <w:t>反馈机制</w:t>
            </w:r>
            <w:r>
              <w:rPr>
                <w:rFonts w:hint="eastAsia" w:ascii="宋体" w:hAnsi="宋体" w:eastAsia="宋体" w:cs="宋体"/>
                <w:sz w:val="24"/>
                <w:szCs w:val="24"/>
                <w:lang w:val="en-US" w:eastAsia="zh-CN"/>
              </w:rPr>
              <w:t>（4）人员配备及整体水平，</w:t>
            </w:r>
            <w:r>
              <w:rPr>
                <w:rFonts w:hint="eastAsia" w:ascii="宋体" w:hAnsi="宋体" w:eastAsia="宋体" w:cs="宋体"/>
                <w:sz w:val="24"/>
                <w:szCs w:val="24"/>
                <w:u w:val="none"/>
                <w:lang w:val="en-US" w:eastAsia="zh-CN"/>
              </w:rPr>
              <w:t>进行评价：</w:t>
            </w:r>
          </w:p>
          <w:p w14:paraId="5FE54882">
            <w:pPr>
              <w:numPr>
                <w:ilvl w:val="0"/>
                <w:numId w:val="0"/>
              </w:numPr>
              <w:spacing w:beforeLines="0"/>
              <w:jc w:val="lef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上述四项内容均进行了阐述且满足采购需求的得</w:t>
            </w:r>
            <w:r>
              <w:rPr>
                <w:rFonts w:hint="eastAsia" w:ascii="宋体" w:hAnsi="宋体" w:cs="宋体"/>
                <w:sz w:val="24"/>
                <w:szCs w:val="24"/>
                <w:u w:val="none"/>
                <w:lang w:val="en-US" w:eastAsia="zh-CN"/>
              </w:rPr>
              <w:t>18</w:t>
            </w:r>
            <w:r>
              <w:rPr>
                <w:rFonts w:hint="eastAsia" w:ascii="宋体" w:hAnsi="宋体" w:eastAsia="宋体" w:cs="宋体"/>
                <w:sz w:val="24"/>
                <w:szCs w:val="24"/>
                <w:u w:val="none"/>
                <w:lang w:val="en-US" w:eastAsia="zh-CN"/>
              </w:rPr>
              <w:t>分；</w:t>
            </w:r>
          </w:p>
          <w:p w14:paraId="2F95CBAF">
            <w:pPr>
              <w:widowControl/>
              <w:spacing w:beforeLines="0"/>
              <w:jc w:val="lef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每有一项内容虽阐述但未贴合项目实际情况进行论述，或内容中未包括具体实施细节及措施，扣</w:t>
            </w:r>
            <w:r>
              <w:rPr>
                <w:rFonts w:hint="eastAsia" w:ascii="宋体" w:hAnsi="宋体" w:cs="宋体"/>
                <w:sz w:val="24"/>
                <w:szCs w:val="24"/>
                <w:u w:val="none"/>
                <w:lang w:val="en-US" w:eastAsia="zh-CN"/>
              </w:rPr>
              <w:t>2</w:t>
            </w:r>
            <w:r>
              <w:rPr>
                <w:rFonts w:hint="eastAsia" w:ascii="宋体" w:hAnsi="宋体" w:eastAsia="宋体" w:cs="宋体"/>
                <w:sz w:val="24"/>
                <w:szCs w:val="24"/>
                <w:u w:val="none"/>
                <w:lang w:val="en-US" w:eastAsia="zh-CN"/>
              </w:rPr>
              <w:t>分；</w:t>
            </w:r>
          </w:p>
          <w:p w14:paraId="7DC3EF1B">
            <w:pPr>
              <w:widowControl/>
              <w:spacing w:beforeLines="0"/>
              <w:jc w:val="left"/>
              <w:rPr>
                <w:rFonts w:hint="eastAsia" w:ascii="宋体" w:hAnsi="宋体" w:eastAsia="宋体" w:cs="宋体"/>
                <w:sz w:val="24"/>
                <w:szCs w:val="24"/>
              </w:rPr>
            </w:pPr>
            <w:r>
              <w:rPr>
                <w:rFonts w:hint="eastAsia" w:ascii="宋体" w:hAnsi="宋体" w:eastAsia="宋体" w:cs="宋体"/>
                <w:sz w:val="24"/>
                <w:szCs w:val="24"/>
                <w:u w:val="none"/>
                <w:lang w:val="en-US" w:eastAsia="zh-CN"/>
              </w:rPr>
              <w:t>每有一项内容未阐述或不符合项目实际情况且未提供具体实施细节及措施，扣</w:t>
            </w:r>
            <w:r>
              <w:rPr>
                <w:rFonts w:hint="eastAsia" w:ascii="宋体" w:hAnsi="宋体" w:cs="宋体"/>
                <w:sz w:val="24"/>
                <w:szCs w:val="24"/>
                <w:u w:val="none"/>
                <w:lang w:val="en-US" w:eastAsia="zh-CN"/>
              </w:rPr>
              <w:t>4.5</w:t>
            </w:r>
            <w:r>
              <w:rPr>
                <w:rFonts w:hint="eastAsia" w:ascii="宋体" w:hAnsi="宋体" w:eastAsia="宋体" w:cs="宋体"/>
                <w:sz w:val="24"/>
                <w:szCs w:val="24"/>
                <w:u w:val="none"/>
                <w:lang w:val="en-US" w:eastAsia="zh-CN"/>
              </w:rPr>
              <w:t>分，最低得0分。</w:t>
            </w:r>
          </w:p>
        </w:tc>
      </w:tr>
      <w:tr w14:paraId="309BC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752" w:type="dxa"/>
            <w:vMerge w:val="continue"/>
            <w:tcBorders>
              <w:left w:val="single" w:color="auto" w:sz="6" w:space="0"/>
              <w:right w:val="single" w:color="auto" w:sz="6" w:space="0"/>
            </w:tcBorders>
            <w:noWrap w:val="0"/>
            <w:vAlign w:val="center"/>
          </w:tcPr>
          <w:p w14:paraId="26F00358">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3EF91390">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A8F1FEB">
            <w:pPr>
              <w:spacing w:beforeLines="0"/>
              <w:jc w:val="center"/>
              <w:rPr>
                <w:rFonts w:hint="eastAsia" w:ascii="宋体" w:hAnsi="宋体" w:eastAsia="宋体" w:cs="宋体"/>
                <w:sz w:val="24"/>
                <w:szCs w:val="24"/>
              </w:rPr>
            </w:pPr>
            <w:r>
              <w:rPr>
                <w:rFonts w:hint="eastAsia" w:ascii="宋体" w:hAnsi="宋体" w:eastAsia="宋体" w:cs="宋体"/>
                <w:sz w:val="24"/>
                <w:szCs w:val="24"/>
                <w:lang w:val="en-US" w:eastAsia="zh-CN"/>
              </w:rPr>
              <w:t>检查考核方案</w:t>
            </w:r>
            <w:r>
              <w:rPr>
                <w:rFonts w:hint="eastAsia" w:ascii="宋体" w:hAnsi="宋体" w:eastAsia="宋体" w:cs="宋体"/>
                <w:sz w:val="24"/>
                <w:szCs w:val="24"/>
              </w:rPr>
              <w:t xml:space="preserve">   (</w:t>
            </w:r>
            <w:r>
              <w:rPr>
                <w:rFonts w:hint="eastAsia" w:ascii="宋体" w:hAnsi="宋体" w:cs="宋体"/>
                <w:sz w:val="24"/>
                <w:szCs w:val="24"/>
                <w:lang w:val="en-US" w:eastAsia="zh-CN"/>
              </w:rPr>
              <w:t>16</w:t>
            </w:r>
            <w:r>
              <w:rPr>
                <w:rFonts w:hint="eastAsia" w:ascii="宋体" w:hAnsi="宋体" w:eastAsia="宋体" w:cs="宋体"/>
                <w:sz w:val="24"/>
                <w:szCs w:val="24"/>
              </w:rPr>
              <w:t>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2487884C">
            <w:pPr>
              <w:keepNext w:val="0"/>
              <w:keepLines w:val="0"/>
              <w:pageBreakBefore w:val="0"/>
              <w:widowControl/>
              <w:kinsoku/>
              <w:wordWrap/>
              <w:overflowPunct/>
              <w:topLinePunct w:val="0"/>
              <w:autoSpaceDE/>
              <w:autoSpaceDN/>
              <w:bidi w:val="0"/>
              <w:adjustRightInd/>
              <w:snapToGrid/>
              <w:spacing w:before="0" w:beforeLines="0" w:line="240" w:lineRule="auto"/>
              <w:ind w:left="0" w:leftChars="0" w:right="0" w:rightChars="0" w:firstLine="0" w:firstLineChars="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根据招标要求和投标技术响应情况，对供应商提供的</w:t>
            </w:r>
            <w:r>
              <w:rPr>
                <w:rFonts w:hint="eastAsia" w:ascii="宋体" w:hAnsi="宋体" w:eastAsia="宋体" w:cs="宋体"/>
                <w:kern w:val="0"/>
                <w:sz w:val="24"/>
                <w:szCs w:val="24"/>
                <w:lang w:val="en-US" w:eastAsia="zh-CN"/>
              </w:rPr>
              <w:t>检查考核方案</w:t>
            </w:r>
            <w:r>
              <w:rPr>
                <w:rFonts w:hint="eastAsia" w:ascii="宋体" w:hAnsi="宋体" w:eastAsia="宋体" w:cs="宋体"/>
                <w:kern w:val="0"/>
                <w:sz w:val="24"/>
                <w:szCs w:val="24"/>
                <w:lang w:eastAsia="zh-CN"/>
              </w:rPr>
              <w:t>进行评价，其中：（</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考核方式</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考核时间及周期</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考核内容（4）考核目标</w:t>
            </w:r>
            <w:r>
              <w:rPr>
                <w:rFonts w:hint="eastAsia" w:ascii="宋体" w:hAnsi="宋体" w:eastAsia="宋体" w:cs="宋体"/>
                <w:kern w:val="0"/>
                <w:sz w:val="24"/>
                <w:szCs w:val="24"/>
                <w:lang w:eastAsia="zh-CN"/>
              </w:rPr>
              <w:t>，进行评价：</w:t>
            </w:r>
          </w:p>
          <w:p w14:paraId="204AD23F">
            <w:pPr>
              <w:keepNext w:val="0"/>
              <w:keepLines w:val="0"/>
              <w:pageBreakBefore w:val="0"/>
              <w:widowControl/>
              <w:kinsoku/>
              <w:wordWrap/>
              <w:overflowPunct/>
              <w:topLinePunct w:val="0"/>
              <w:autoSpaceDE/>
              <w:autoSpaceDN/>
              <w:bidi w:val="0"/>
              <w:adjustRightInd/>
              <w:snapToGrid/>
              <w:spacing w:before="0" w:beforeLines="0" w:line="240" w:lineRule="auto"/>
              <w:ind w:left="0" w:leftChars="0" w:right="0" w:rightChars="0" w:firstLine="0" w:firstLineChars="0"/>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上述</w:t>
            </w:r>
            <w:r>
              <w:rPr>
                <w:rFonts w:hint="eastAsia" w:ascii="宋体" w:hAnsi="宋体" w:eastAsia="宋体" w:cs="宋体"/>
                <w:kern w:val="0"/>
                <w:sz w:val="24"/>
                <w:szCs w:val="24"/>
                <w:lang w:val="en-US" w:eastAsia="zh-CN"/>
              </w:rPr>
              <w:t>四</w:t>
            </w:r>
            <w:r>
              <w:rPr>
                <w:rFonts w:hint="eastAsia" w:ascii="宋体" w:hAnsi="宋体" w:eastAsia="宋体" w:cs="宋体"/>
                <w:kern w:val="0"/>
                <w:sz w:val="24"/>
                <w:szCs w:val="24"/>
                <w:lang w:eastAsia="zh-CN"/>
              </w:rPr>
              <w:t>项内容均进行了阐述且满足采购需求得</w:t>
            </w:r>
            <w:r>
              <w:rPr>
                <w:rFonts w:hint="eastAsia" w:ascii="宋体" w:hAnsi="宋体" w:cs="宋体"/>
                <w:kern w:val="0"/>
                <w:sz w:val="24"/>
                <w:szCs w:val="24"/>
                <w:lang w:val="en-US" w:eastAsia="zh-CN"/>
              </w:rPr>
              <w:t>16</w:t>
            </w:r>
            <w:r>
              <w:rPr>
                <w:rFonts w:hint="eastAsia" w:ascii="宋体" w:hAnsi="宋体" w:eastAsia="宋体" w:cs="宋体"/>
                <w:kern w:val="0"/>
                <w:sz w:val="24"/>
                <w:szCs w:val="24"/>
                <w:lang w:eastAsia="zh-CN"/>
              </w:rPr>
              <w:t>分；</w:t>
            </w:r>
          </w:p>
          <w:p w14:paraId="465A9FC0">
            <w:pPr>
              <w:keepNext w:val="0"/>
              <w:keepLines w:val="0"/>
              <w:pageBreakBefore w:val="0"/>
              <w:widowControl/>
              <w:kinsoku/>
              <w:wordWrap/>
              <w:overflowPunct/>
              <w:topLinePunct w:val="0"/>
              <w:autoSpaceDE/>
              <w:autoSpaceDN/>
              <w:bidi w:val="0"/>
              <w:adjustRightInd/>
              <w:snapToGrid/>
              <w:spacing w:before="0" w:beforeLines="0" w:line="240" w:lineRule="auto"/>
              <w:ind w:left="0" w:leftChars="0" w:right="0" w:rightChars="0" w:firstLine="0" w:firstLineChars="0"/>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每有1项内容虽阐述但未贴合项目实际情况进行论述，或内容中未包括具体实施细节及措施，</w:t>
            </w:r>
            <w:r>
              <w:rPr>
                <w:rFonts w:hint="eastAsia" w:ascii="宋体" w:hAnsi="宋体" w:eastAsia="宋体" w:cs="宋体"/>
                <w:kern w:val="0"/>
                <w:sz w:val="24"/>
                <w:szCs w:val="24"/>
                <w:lang w:val="en-US" w:eastAsia="zh-CN"/>
              </w:rPr>
              <w:t>扣</w:t>
            </w:r>
            <w:r>
              <w:rPr>
                <w:rFonts w:hint="eastAsia" w:ascii="宋体" w:hAnsi="宋体" w:cs="宋体"/>
                <w:kern w:val="0"/>
                <w:sz w:val="24"/>
                <w:szCs w:val="24"/>
                <w:lang w:val="en-US" w:eastAsia="zh-CN"/>
              </w:rPr>
              <w:t>2</w:t>
            </w:r>
            <w:r>
              <w:rPr>
                <w:rFonts w:hint="eastAsia" w:ascii="宋体" w:hAnsi="宋体" w:eastAsia="宋体" w:cs="宋体"/>
                <w:kern w:val="0"/>
                <w:sz w:val="24"/>
                <w:szCs w:val="24"/>
                <w:lang w:eastAsia="zh-CN"/>
              </w:rPr>
              <w:t>分；</w:t>
            </w:r>
          </w:p>
          <w:p w14:paraId="2383B7CC">
            <w:pPr>
              <w:spacing w:beforeLines="0"/>
              <w:jc w:val="left"/>
              <w:rPr>
                <w:rFonts w:hint="eastAsia" w:ascii="宋体" w:hAnsi="宋体" w:eastAsia="宋体" w:cs="宋体"/>
                <w:sz w:val="24"/>
                <w:szCs w:val="24"/>
              </w:rPr>
            </w:pPr>
            <w:r>
              <w:rPr>
                <w:rFonts w:hint="eastAsia" w:ascii="宋体" w:hAnsi="宋体" w:eastAsia="宋体" w:cs="宋体"/>
                <w:kern w:val="0"/>
                <w:sz w:val="24"/>
                <w:szCs w:val="24"/>
                <w:lang w:eastAsia="zh-CN"/>
              </w:rPr>
              <w:t>每有1项内容</w:t>
            </w:r>
            <w:r>
              <w:rPr>
                <w:rFonts w:hint="eastAsia" w:ascii="宋体" w:hAnsi="宋体" w:eastAsia="宋体" w:cs="宋体"/>
                <w:kern w:val="0"/>
                <w:sz w:val="24"/>
                <w:szCs w:val="24"/>
                <w:lang w:val="en-US" w:eastAsia="zh-CN"/>
              </w:rPr>
              <w:t>未</w:t>
            </w:r>
            <w:r>
              <w:rPr>
                <w:rFonts w:hint="eastAsia" w:ascii="宋体" w:hAnsi="宋体" w:eastAsia="宋体" w:cs="宋体"/>
                <w:kern w:val="0"/>
                <w:sz w:val="24"/>
                <w:szCs w:val="24"/>
                <w:lang w:eastAsia="zh-CN"/>
              </w:rPr>
              <w:t>阐述</w:t>
            </w:r>
            <w:r>
              <w:rPr>
                <w:rFonts w:hint="eastAsia" w:ascii="宋体" w:hAnsi="宋体" w:eastAsia="宋体" w:cs="宋体"/>
                <w:kern w:val="0"/>
                <w:sz w:val="24"/>
                <w:szCs w:val="24"/>
                <w:lang w:val="en-US" w:eastAsia="zh-CN"/>
              </w:rPr>
              <w:t>或不符合</w:t>
            </w:r>
            <w:r>
              <w:rPr>
                <w:rFonts w:hint="eastAsia" w:ascii="宋体" w:hAnsi="宋体" w:eastAsia="宋体" w:cs="宋体"/>
                <w:kern w:val="0"/>
                <w:sz w:val="24"/>
                <w:szCs w:val="24"/>
                <w:lang w:eastAsia="zh-CN"/>
              </w:rPr>
              <w:t>项目实际情况</w:t>
            </w:r>
            <w:r>
              <w:rPr>
                <w:rFonts w:hint="eastAsia" w:ascii="宋体" w:hAnsi="宋体" w:eastAsia="宋体" w:cs="宋体"/>
                <w:kern w:val="0"/>
                <w:sz w:val="24"/>
                <w:szCs w:val="24"/>
                <w:lang w:val="en-US" w:eastAsia="zh-CN"/>
              </w:rPr>
              <w:t>且未提供具体实施细节及措施</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扣</w:t>
            </w:r>
            <w:r>
              <w:rPr>
                <w:rFonts w:hint="eastAsia" w:ascii="宋体" w:hAnsi="宋体" w:cs="宋体"/>
                <w:kern w:val="0"/>
                <w:sz w:val="24"/>
                <w:szCs w:val="24"/>
                <w:lang w:val="en-US" w:eastAsia="zh-CN"/>
              </w:rPr>
              <w:t>4</w:t>
            </w:r>
            <w:r>
              <w:rPr>
                <w:rFonts w:hint="eastAsia" w:ascii="宋体" w:hAnsi="宋体" w:eastAsia="宋体" w:cs="宋体"/>
                <w:kern w:val="0"/>
                <w:sz w:val="24"/>
                <w:szCs w:val="24"/>
                <w:lang w:eastAsia="zh-CN"/>
              </w:rPr>
              <w:t>分，</w:t>
            </w:r>
            <w:r>
              <w:rPr>
                <w:rFonts w:hint="eastAsia" w:ascii="宋体" w:hAnsi="宋体" w:eastAsia="宋体" w:cs="宋体"/>
                <w:kern w:val="0"/>
                <w:sz w:val="24"/>
                <w:szCs w:val="24"/>
                <w:lang w:val="en-US" w:eastAsia="zh-CN"/>
              </w:rPr>
              <w:t>最低得0分。</w:t>
            </w:r>
          </w:p>
        </w:tc>
      </w:tr>
      <w:tr w14:paraId="691FE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752" w:type="dxa"/>
            <w:vMerge w:val="continue"/>
            <w:tcBorders>
              <w:left w:val="single" w:color="auto" w:sz="6" w:space="0"/>
              <w:right w:val="single" w:color="auto" w:sz="6" w:space="0"/>
            </w:tcBorders>
            <w:noWrap w:val="0"/>
            <w:vAlign w:val="center"/>
          </w:tcPr>
          <w:p w14:paraId="6FF64E06">
            <w:pPr>
              <w:spacing w:beforeLines="0"/>
              <w:jc w:val="center"/>
              <w:rPr>
                <w:rFonts w:hint="eastAsia" w:ascii="宋体" w:hAnsi="宋体" w:eastAsia="宋体" w:cs="宋体"/>
                <w:b/>
                <w:sz w:val="24"/>
                <w:szCs w:val="24"/>
              </w:rPr>
            </w:pPr>
          </w:p>
        </w:tc>
        <w:tc>
          <w:tcPr>
            <w:tcW w:w="992" w:type="dxa"/>
            <w:vMerge w:val="continue"/>
            <w:tcBorders>
              <w:left w:val="single" w:color="auto" w:sz="6" w:space="0"/>
              <w:right w:val="single" w:color="auto" w:sz="6" w:space="0"/>
            </w:tcBorders>
            <w:noWrap w:val="0"/>
            <w:vAlign w:val="center"/>
          </w:tcPr>
          <w:p w14:paraId="1E401E90">
            <w:pPr>
              <w:spacing w:beforeLines="0"/>
              <w:jc w:val="center"/>
              <w:rPr>
                <w:rFonts w:hint="eastAsia" w:ascii="宋体" w:hAnsi="宋体" w:eastAsia="宋体" w:cs="宋体"/>
                <w:sz w:val="24"/>
                <w:szCs w:val="24"/>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A92C4B9">
            <w:pPr>
              <w:spacing w:beforeLines="0"/>
              <w:jc w:val="center"/>
              <w:rPr>
                <w:rFonts w:hint="eastAsia"/>
                <w:sz w:val="24"/>
                <w:lang w:val="en-US" w:eastAsia="zh-CN"/>
              </w:rPr>
            </w:pPr>
            <w:r>
              <w:rPr>
                <w:rFonts w:hint="eastAsia"/>
                <w:sz w:val="24"/>
                <w:lang w:val="en-US" w:eastAsia="zh-CN"/>
              </w:rPr>
              <w:t>管理制度</w:t>
            </w:r>
          </w:p>
          <w:p w14:paraId="0FDC3306">
            <w:pPr>
              <w:pStyle w:val="16"/>
              <w:ind w:firstLine="0" w:firstLineChars="0"/>
              <w:rPr>
                <w:rFonts w:hint="default"/>
                <w:lang w:val="en-US" w:eastAsia="zh-CN"/>
              </w:rPr>
            </w:pPr>
            <w:r>
              <w:rPr>
                <w:rFonts w:hint="eastAsia" w:ascii="宋体" w:hAnsi="宋体" w:eastAsia="宋体" w:cs="宋体"/>
                <w:sz w:val="24"/>
                <w:szCs w:val="24"/>
                <w:lang w:val="en-US" w:eastAsia="zh-CN"/>
              </w:rPr>
              <w:t>（</w:t>
            </w:r>
            <w:r>
              <w:rPr>
                <w:rFonts w:hint="eastAsia" w:cs="宋体"/>
                <w:sz w:val="24"/>
                <w:szCs w:val="24"/>
                <w:lang w:val="en-US" w:eastAsia="zh-CN"/>
              </w:rPr>
              <w:t>16</w:t>
            </w:r>
            <w:r>
              <w:rPr>
                <w:rFonts w:hint="eastAsia" w:ascii="宋体" w:hAnsi="宋体" w:eastAsia="宋体" w:cs="宋体"/>
                <w:sz w:val="24"/>
                <w:szCs w:val="24"/>
                <w:lang w:val="en-US" w:eastAsia="zh-CN"/>
              </w:rPr>
              <w:t>分）</w:t>
            </w:r>
          </w:p>
        </w:tc>
        <w:tc>
          <w:tcPr>
            <w:tcW w:w="6450" w:type="dxa"/>
            <w:tcBorders>
              <w:top w:val="single" w:color="auto" w:sz="6" w:space="0"/>
              <w:left w:val="single" w:color="auto" w:sz="6" w:space="0"/>
              <w:right w:val="single" w:color="auto" w:sz="6" w:space="0"/>
            </w:tcBorders>
            <w:noWrap w:val="0"/>
            <w:vAlign w:val="center"/>
          </w:tcPr>
          <w:p w14:paraId="536D9D08">
            <w:pPr>
              <w:keepNext w:val="0"/>
              <w:keepLines w:val="0"/>
              <w:pageBreakBefore w:val="0"/>
              <w:widowControl/>
              <w:kinsoku/>
              <w:wordWrap/>
              <w:overflowPunct/>
              <w:topLinePunct w:val="0"/>
              <w:autoSpaceDE/>
              <w:autoSpaceDN/>
              <w:bidi w:val="0"/>
              <w:adjustRightInd/>
              <w:snapToGrid/>
              <w:spacing w:before="0" w:beforeLines="0" w:line="240" w:lineRule="auto"/>
              <w:ind w:left="0" w:leftChars="0" w:right="0" w:rightChars="0" w:firstLine="0" w:firstLineChars="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根据招标要求和投标技术响应情况，对供应商提供的</w:t>
            </w:r>
            <w:r>
              <w:rPr>
                <w:rFonts w:hint="eastAsia" w:ascii="宋体" w:hAnsi="宋体" w:eastAsia="宋体" w:cs="宋体"/>
                <w:kern w:val="0"/>
                <w:sz w:val="24"/>
                <w:szCs w:val="24"/>
                <w:lang w:val="en-US" w:eastAsia="zh-CN"/>
              </w:rPr>
              <w:t>管理制度</w:t>
            </w:r>
            <w:r>
              <w:rPr>
                <w:rFonts w:hint="eastAsia" w:ascii="宋体" w:hAnsi="宋体" w:eastAsia="宋体" w:cs="宋体"/>
                <w:kern w:val="0"/>
                <w:sz w:val="24"/>
                <w:szCs w:val="24"/>
                <w:lang w:eastAsia="zh-CN"/>
              </w:rPr>
              <w:t>进行评价，其中：（</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w:t>
            </w:r>
            <w:r>
              <w:rPr>
                <w:rFonts w:hint="eastAsia" w:ascii="宋体" w:hAnsi="宋体" w:cs="宋体"/>
                <w:snapToGrid w:val="0"/>
                <w:sz w:val="24"/>
              </w:rPr>
              <w:t>保障服务质量的管理制度</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w:t>
            </w:r>
            <w:r>
              <w:rPr>
                <w:rFonts w:hint="eastAsia" w:ascii="宋体" w:hAnsi="宋体" w:cs="宋体"/>
                <w:snapToGrid w:val="0"/>
                <w:sz w:val="24"/>
              </w:rPr>
              <w:t>项目负责人的管理职责</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zh-CN"/>
              </w:rPr>
              <w:t>）</w:t>
            </w:r>
            <w:r>
              <w:rPr>
                <w:rFonts w:hint="eastAsia" w:ascii="宋体" w:hAnsi="宋体" w:cs="宋体"/>
                <w:snapToGrid w:val="0"/>
                <w:sz w:val="24"/>
              </w:rPr>
              <w:t>内部管理的职责分工</w:t>
            </w:r>
            <w:r>
              <w:rPr>
                <w:rFonts w:hint="eastAsia" w:ascii="宋体" w:hAnsi="宋体" w:eastAsia="宋体" w:cs="宋体"/>
                <w:kern w:val="0"/>
                <w:sz w:val="24"/>
                <w:szCs w:val="24"/>
                <w:lang w:val="en-US" w:eastAsia="zh-CN"/>
              </w:rPr>
              <w:t>（4）</w:t>
            </w:r>
            <w:r>
              <w:rPr>
                <w:rFonts w:hint="eastAsia" w:ascii="宋体" w:hAnsi="宋体" w:cs="宋体"/>
                <w:snapToGrid w:val="0"/>
                <w:sz w:val="24"/>
              </w:rPr>
              <w:t>日常管理制度</w:t>
            </w:r>
            <w:r>
              <w:rPr>
                <w:rFonts w:hint="eastAsia" w:ascii="宋体" w:hAnsi="宋体" w:eastAsia="宋体" w:cs="宋体"/>
                <w:kern w:val="0"/>
                <w:sz w:val="24"/>
                <w:szCs w:val="24"/>
                <w:lang w:eastAsia="zh-CN"/>
              </w:rPr>
              <w:t>，进行评价：</w:t>
            </w:r>
          </w:p>
          <w:p w14:paraId="4E04BE01">
            <w:pPr>
              <w:keepNext w:val="0"/>
              <w:keepLines w:val="0"/>
              <w:pageBreakBefore w:val="0"/>
              <w:widowControl/>
              <w:kinsoku/>
              <w:wordWrap/>
              <w:overflowPunct/>
              <w:topLinePunct w:val="0"/>
              <w:autoSpaceDE/>
              <w:autoSpaceDN/>
              <w:bidi w:val="0"/>
              <w:adjustRightInd/>
              <w:snapToGrid/>
              <w:spacing w:before="0" w:beforeLines="0" w:line="240" w:lineRule="auto"/>
              <w:ind w:left="0" w:leftChars="0" w:right="0" w:rightChars="0" w:firstLine="0" w:firstLineChars="0"/>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上述</w:t>
            </w:r>
            <w:r>
              <w:rPr>
                <w:rFonts w:hint="eastAsia" w:ascii="宋体" w:hAnsi="宋体" w:cs="宋体"/>
                <w:kern w:val="0"/>
                <w:sz w:val="24"/>
                <w:szCs w:val="24"/>
                <w:lang w:val="en-US" w:eastAsia="zh-CN"/>
              </w:rPr>
              <w:t>四</w:t>
            </w:r>
            <w:r>
              <w:rPr>
                <w:rFonts w:hint="eastAsia" w:ascii="宋体" w:hAnsi="宋体" w:eastAsia="宋体" w:cs="宋体"/>
                <w:kern w:val="0"/>
                <w:sz w:val="24"/>
                <w:szCs w:val="24"/>
                <w:lang w:eastAsia="zh-CN"/>
              </w:rPr>
              <w:t>项内容均进行了阐述且满足采购需求得</w:t>
            </w:r>
            <w:r>
              <w:rPr>
                <w:rFonts w:hint="eastAsia" w:ascii="宋体" w:hAnsi="宋体" w:cs="宋体"/>
                <w:kern w:val="0"/>
                <w:sz w:val="24"/>
                <w:szCs w:val="24"/>
                <w:lang w:val="en-US" w:eastAsia="zh-CN"/>
              </w:rPr>
              <w:t>16</w:t>
            </w:r>
            <w:r>
              <w:rPr>
                <w:rFonts w:hint="eastAsia" w:ascii="宋体" w:hAnsi="宋体" w:eastAsia="宋体" w:cs="宋体"/>
                <w:kern w:val="0"/>
                <w:sz w:val="24"/>
                <w:szCs w:val="24"/>
                <w:lang w:eastAsia="zh-CN"/>
              </w:rPr>
              <w:t>分；</w:t>
            </w:r>
          </w:p>
          <w:p w14:paraId="02DAE392">
            <w:pPr>
              <w:keepNext w:val="0"/>
              <w:keepLines w:val="0"/>
              <w:pageBreakBefore w:val="0"/>
              <w:widowControl/>
              <w:kinsoku/>
              <w:wordWrap/>
              <w:overflowPunct/>
              <w:topLinePunct w:val="0"/>
              <w:autoSpaceDE/>
              <w:autoSpaceDN/>
              <w:bidi w:val="0"/>
              <w:adjustRightInd/>
              <w:snapToGrid/>
              <w:spacing w:before="0" w:beforeLines="0" w:line="240" w:lineRule="auto"/>
              <w:ind w:left="0" w:leftChars="0" w:right="0" w:rightChars="0" w:firstLine="0" w:firstLineChars="0"/>
              <w:jc w:val="left"/>
              <w:textAlignment w:val="auto"/>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每有1项内容虽阐述但未贴合项目实际情况进行论述，或内容中未包括具体实施细节及措施，</w:t>
            </w:r>
            <w:r>
              <w:rPr>
                <w:rFonts w:hint="eastAsia" w:ascii="宋体" w:hAnsi="宋体" w:eastAsia="宋体" w:cs="宋体"/>
                <w:kern w:val="0"/>
                <w:sz w:val="24"/>
                <w:szCs w:val="24"/>
                <w:lang w:val="en-US" w:eastAsia="zh-CN"/>
              </w:rPr>
              <w:t>扣</w:t>
            </w:r>
            <w:r>
              <w:rPr>
                <w:rFonts w:hint="eastAsia" w:ascii="宋体" w:hAnsi="宋体" w:cs="宋体"/>
                <w:kern w:val="0"/>
                <w:sz w:val="24"/>
                <w:szCs w:val="24"/>
                <w:lang w:val="en-US" w:eastAsia="zh-CN"/>
              </w:rPr>
              <w:t>2</w:t>
            </w:r>
            <w:r>
              <w:rPr>
                <w:rFonts w:hint="eastAsia" w:ascii="宋体" w:hAnsi="宋体" w:eastAsia="宋体" w:cs="宋体"/>
                <w:kern w:val="0"/>
                <w:sz w:val="24"/>
                <w:szCs w:val="24"/>
                <w:lang w:eastAsia="zh-CN"/>
              </w:rPr>
              <w:t>分；</w:t>
            </w:r>
          </w:p>
          <w:p w14:paraId="47867912">
            <w:pPr>
              <w:spacing w:beforeLines="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每有1项内容</w:t>
            </w:r>
            <w:r>
              <w:rPr>
                <w:rFonts w:hint="eastAsia" w:ascii="宋体" w:hAnsi="宋体" w:eastAsia="宋体" w:cs="宋体"/>
                <w:kern w:val="0"/>
                <w:sz w:val="24"/>
                <w:szCs w:val="24"/>
                <w:lang w:val="en-US" w:eastAsia="zh-CN"/>
              </w:rPr>
              <w:t>未</w:t>
            </w:r>
            <w:r>
              <w:rPr>
                <w:rFonts w:hint="eastAsia" w:ascii="宋体" w:hAnsi="宋体" w:eastAsia="宋体" w:cs="宋体"/>
                <w:kern w:val="0"/>
                <w:sz w:val="24"/>
                <w:szCs w:val="24"/>
                <w:lang w:eastAsia="zh-CN"/>
              </w:rPr>
              <w:t>阐述</w:t>
            </w:r>
            <w:r>
              <w:rPr>
                <w:rFonts w:hint="eastAsia" w:ascii="宋体" w:hAnsi="宋体" w:eastAsia="宋体" w:cs="宋体"/>
                <w:kern w:val="0"/>
                <w:sz w:val="24"/>
                <w:szCs w:val="24"/>
                <w:lang w:val="en-US" w:eastAsia="zh-CN"/>
              </w:rPr>
              <w:t>或不符合</w:t>
            </w:r>
            <w:r>
              <w:rPr>
                <w:rFonts w:hint="eastAsia" w:ascii="宋体" w:hAnsi="宋体" w:eastAsia="宋体" w:cs="宋体"/>
                <w:kern w:val="0"/>
                <w:sz w:val="24"/>
                <w:szCs w:val="24"/>
                <w:lang w:eastAsia="zh-CN"/>
              </w:rPr>
              <w:t>项目实际情况</w:t>
            </w:r>
            <w:r>
              <w:rPr>
                <w:rFonts w:hint="eastAsia" w:ascii="宋体" w:hAnsi="宋体" w:eastAsia="宋体" w:cs="宋体"/>
                <w:kern w:val="0"/>
                <w:sz w:val="24"/>
                <w:szCs w:val="24"/>
                <w:lang w:val="en-US" w:eastAsia="zh-CN"/>
              </w:rPr>
              <w:t>且未提供具体实施细节及措施</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扣</w:t>
            </w:r>
            <w:r>
              <w:rPr>
                <w:rFonts w:hint="eastAsia" w:ascii="宋体" w:hAnsi="宋体" w:cs="宋体"/>
                <w:kern w:val="0"/>
                <w:sz w:val="24"/>
                <w:szCs w:val="24"/>
                <w:lang w:val="en-US" w:eastAsia="zh-CN"/>
              </w:rPr>
              <w:t>4</w:t>
            </w:r>
            <w:r>
              <w:rPr>
                <w:rFonts w:hint="eastAsia" w:ascii="宋体" w:hAnsi="宋体" w:eastAsia="宋体" w:cs="宋体"/>
                <w:kern w:val="0"/>
                <w:sz w:val="24"/>
                <w:szCs w:val="24"/>
                <w:lang w:eastAsia="zh-CN"/>
              </w:rPr>
              <w:t>分，</w:t>
            </w:r>
            <w:r>
              <w:rPr>
                <w:rFonts w:hint="eastAsia" w:ascii="宋体" w:hAnsi="宋体" w:eastAsia="宋体" w:cs="宋体"/>
                <w:kern w:val="0"/>
                <w:sz w:val="24"/>
                <w:szCs w:val="24"/>
                <w:lang w:val="en-US" w:eastAsia="zh-CN"/>
              </w:rPr>
              <w:t>最低得0分。</w:t>
            </w:r>
          </w:p>
        </w:tc>
      </w:tr>
    </w:tbl>
    <w:p w14:paraId="25F4DD2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6B5D42F1">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42340466">
      <w:pPr>
        <w:pStyle w:val="7"/>
        <w:keepNext w:val="0"/>
        <w:keepLines w:val="0"/>
        <w:pageBreakBefore w:val="0"/>
        <w:widowControl/>
        <w:kinsoku/>
        <w:wordWrap/>
        <w:overflowPunct/>
        <w:topLinePunct w:val="0"/>
        <w:autoSpaceDE/>
        <w:autoSpaceDN/>
        <w:bidi w:val="0"/>
        <w:adjustRightInd w:val="0"/>
        <w:snapToGrid w:val="0"/>
        <w:spacing w:before="353" w:line="219" w:lineRule="auto"/>
        <w:ind w:left="3016"/>
        <w:textAlignment w:val="baseline"/>
        <w:outlineLvl w:val="0"/>
        <w:rPr>
          <w:rFonts w:hint="eastAsia" w:ascii="宋体" w:hAnsi="宋体" w:eastAsia="宋体" w:cs="宋体"/>
          <w:spacing w:val="0"/>
          <w:w w:val="100"/>
          <w:position w:val="0"/>
          <w:sz w:val="36"/>
          <w:szCs w:val="36"/>
        </w:rPr>
      </w:pPr>
      <w:bookmarkStart w:id="89" w:name="_Toc23597"/>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w:t>
      </w:r>
      <w:bookmarkEnd w:id="89"/>
    </w:p>
    <w:p w14:paraId="63E68BC9">
      <w:pPr>
        <w:spacing w:line="360" w:lineRule="auto"/>
        <w:ind w:firstLine="562" w:firstLineChars="200"/>
        <w:jc w:val="left"/>
        <w:rPr>
          <w:rFonts w:hint="eastAsia" w:ascii="宋体" w:hAnsi="宋体" w:eastAsia="宋体" w:cs="宋体"/>
          <w:b/>
          <w:sz w:val="28"/>
          <w:szCs w:val="24"/>
        </w:rPr>
      </w:pPr>
      <w:bookmarkStart w:id="90" w:name="_Toc8649"/>
      <w:r>
        <w:rPr>
          <w:rFonts w:hint="eastAsia" w:ascii="宋体" w:hAnsi="宋体" w:eastAsia="宋体" w:cs="宋体"/>
          <w:b/>
          <w:sz w:val="28"/>
          <w:szCs w:val="24"/>
        </w:rPr>
        <w:t>一、作业范围</w:t>
      </w:r>
    </w:p>
    <w:p w14:paraId="12897149">
      <w:pPr>
        <w:spacing w:line="360" w:lineRule="auto"/>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各包详见明细。</w:t>
      </w:r>
    </w:p>
    <w:p w14:paraId="70B61674">
      <w:pPr>
        <w:spacing w:line="360" w:lineRule="auto"/>
        <w:ind w:firstLine="562" w:firstLineChars="200"/>
        <w:jc w:val="left"/>
        <w:rPr>
          <w:rFonts w:hint="eastAsia" w:ascii="宋体" w:hAnsi="宋体" w:eastAsia="宋体" w:cs="宋体"/>
          <w:b/>
          <w:sz w:val="28"/>
          <w:szCs w:val="24"/>
        </w:rPr>
      </w:pPr>
      <w:r>
        <w:rPr>
          <w:rFonts w:hint="eastAsia" w:ascii="宋体" w:hAnsi="宋体" w:eastAsia="宋体" w:cs="宋体"/>
          <w:b/>
          <w:sz w:val="28"/>
          <w:szCs w:val="24"/>
        </w:rPr>
        <w:t>二、服务作业内容及其他要求</w:t>
      </w:r>
    </w:p>
    <w:p w14:paraId="2F12B0E0">
      <w:pPr>
        <w:pStyle w:val="15"/>
        <w:spacing w:before="0" w:beforeAutospacing="0" w:after="0" w:afterAutospacing="0" w:line="360" w:lineRule="auto"/>
        <w:ind w:firstLine="480" w:firstLineChars="200"/>
        <w:rPr>
          <w:rFonts w:hint="eastAsia" w:ascii="宋体" w:hAnsi="宋体" w:eastAsia="宋体" w:cs="宋体"/>
        </w:rPr>
      </w:pPr>
      <w:r>
        <w:rPr>
          <w:rFonts w:hint="eastAsia" w:ascii="宋体" w:hAnsi="宋体" w:eastAsia="宋体" w:cs="宋体"/>
        </w:rPr>
        <w:t>（1）作业内容及费用：按照《北京市环境卫生洁净指数评价方案》、《北京市公共厕所运行管理规范》（DBI1/T356-2017）及甲方相关要求进行公厕运行保洁及责任范围内公厕维修工作，并完成甲方安排布置的其他临时性环境卫生保障、应急保障、重大活动保障等工作，保证作业质量标准不低于相应要求，应接受甲方及市、区政府职能部门、新闻媒体及周围群众的监督检查。</w:t>
      </w:r>
    </w:p>
    <w:p w14:paraId="30F6EB59">
      <w:pPr>
        <w:pStyle w:val="15"/>
        <w:spacing w:before="0" w:beforeAutospacing="0" w:after="0" w:afterAutospacing="0" w:line="360" w:lineRule="auto"/>
        <w:ind w:firstLine="480" w:firstLineChars="200"/>
        <w:rPr>
          <w:rFonts w:hint="eastAsia" w:ascii="宋体" w:hAnsi="宋体" w:eastAsia="宋体" w:cs="宋体"/>
        </w:rPr>
      </w:pPr>
      <w:r>
        <w:rPr>
          <w:rFonts w:hint="eastAsia" w:ascii="宋体" w:hAnsi="宋体" w:eastAsia="宋体" w:cs="宋体"/>
        </w:rPr>
        <w:t>合同总价中包含合同有效期内服务过程中所需的设备、工具、人工、保险、消耗品、维修、运输、水、电、责任范围维修等一切费用，甲、乙双方均不得产生合同总价以外的任何费用。</w:t>
      </w:r>
    </w:p>
    <w:p w14:paraId="21BEF56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供应商的服务内容应考虑到公共公厕保洁管理的全部费用，不得以文件中没有提及的内容而向采购人要求额外的费用。</w:t>
      </w:r>
    </w:p>
    <w:p w14:paraId="4825289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（2）质量要求：</w:t>
      </w:r>
    </w:p>
    <w:p w14:paraId="1695D437">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外围</w:t>
      </w:r>
    </w:p>
    <w:p w14:paraId="2CDC9E2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公共厕所环境卫生责任区内应保持干净整洁，不应有私搭乱建、暴露垃圾、粪便、污水、污迹等。无障碍通道应功能完好，使用正常，地面干净整洁，不应有积灰、积水、结冰及废弃物等，不应堆放杂物。粪井内污物距井盖距离应大于 50cm，井盖周边不应有泄漏、遗撒痕迹。</w:t>
      </w:r>
    </w:p>
    <w:p w14:paraId="146710E1">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墙面和地面</w:t>
      </w:r>
    </w:p>
    <w:p w14:paraId="40DB0F2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厕内天花板和墙面应干净整洁，不应有破损、脱落、积灰、污迹、水渍、蛛网、乱涂画等。厕内地面应干净整洁，不应有破损、泛沙、污渍、痰迹、积水、废弃物等。厕外墙面应干净整洁，不应有脱落、乱涂画、乱张贴、乱吊挂等。</w:t>
      </w:r>
    </w:p>
    <w:p w14:paraId="683867F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厕内环境</w:t>
      </w:r>
    </w:p>
    <w:p w14:paraId="0CB4364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通风、采光、照明应保持完好，一类、二类公共厕所不应有臭味和异味，三类公共厕所不应有明显臭味和异味。整体环境应整洁，不应有蚊蝇、蛆虫，不应堆放杂物。工具间物品应摆放整洁，不应存放与作业无关物品。工作人员管理间内各类物品应摆放整洁，生活用品隐蔽贮藏。</w:t>
      </w:r>
    </w:p>
    <w:p w14:paraId="68219811">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厕内设备</w:t>
      </w:r>
    </w:p>
    <w:p w14:paraId="4448A5E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照明灯具、排气扇、除臭系统、烘手器、冲水器、呼叫器等设备功能完好、干净整洁，不应有积灰、积水、水渍、污物、蛛网等。洗手器具、镜子、挂衣钩、扶手、手纸架等设施应安装牢固、功能完好、干净整洁，不应有积灰、积水、绣渍、污物、蛛网等。门、窗等设施应完好，开闭灵活，干净整洁。灭火器、消防栓应设置醒目标识，并应符合 GB 2894 的规定。</w:t>
      </w:r>
    </w:p>
    <w:p w14:paraId="5B2DF58B">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厕位</w:t>
      </w:r>
    </w:p>
    <w:p w14:paraId="44CF4B3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隔断板（门）应保持整洁完好，不应有积灰、污迹、蛛网、乱涂画等。小便槽（斗、池）应保持整洁，不应有锈迹、尿垢、污物；沟眼、管道应保持畅通。便器外侧不应有锈迹、粪便、污物；便器内侧不应有积粪、污垢，洁净见底，管道畅通。厕位内纸篓不应满冒。</w:t>
      </w:r>
    </w:p>
    <w:p w14:paraId="1A121E3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标识标牌</w:t>
      </w:r>
    </w:p>
    <w:p w14:paraId="1506225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公共厕所内部应设置禁烟标识，并应符合 GB 2894 的规定。保洁作业期间应设置醒目标识，并应符合 GB 2894 的规定。公共厕所粪井周边应设置警示标识，并应符合 GB 2894 的规定。厕内用电设备发生故障应设置警示标识，并应符合 GB 2894 的规定。设施维修期间应设置醒目标识，并应符合 GB 2894 的规定。</w:t>
      </w:r>
    </w:p>
    <w:p w14:paraId="026E73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（3）服务要求</w:t>
      </w:r>
    </w:p>
    <w:p w14:paraId="11DA3A1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一般要求</w:t>
      </w:r>
    </w:p>
    <w:p w14:paraId="66218A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公共厕所应 24 小时开放。一类、二类公共厕所服务作业时间应为 06：00～22：00，应随脏随保洁；三类公共厕所服务作业时间应为 07：00～21：00，应巡回保洁；特殊区域、节假日视需求宜延长保洁时间。</w:t>
      </w:r>
    </w:p>
    <w:p w14:paraId="6D356BC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同一保洁单位工作人员应统一服装，工作时文明用语。工作人员应每日检查设备设施并记录，设备设施损坏时应及时报修。工作人员应定时查看粪井满溢情况并记录，需要时应通知运输人员抽运。第三卫生间、无障碍专用厕所间应正常开放，不应随意停止使用、移做它用、堆放物品；无法正常开放时应当公示停用期限。夏季应每日喷洒灭蚊蝇药物，春季、秋季应每两日喷洒一次灭蚊蝇药物。公共厕所应通风良好，通风除臭设备运行正常，宜采用物理除臭方式。不应出售商品。</w:t>
      </w:r>
    </w:p>
    <w:p w14:paraId="7B5C7B3B">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具体要求</w:t>
      </w:r>
    </w:p>
    <w:p w14:paraId="774BADB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擦洗：一类、二类公共厕所每班应不少于 2 次；三类公共厕所每班应不少于 1 次。清洁工具应入水漂洗、沥干后再进行作业；遇有乱涂画应清除后再进行作业。DB11/T 356—2017</w:t>
      </w:r>
    </w:p>
    <w:p w14:paraId="59D37C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拖洗：服务作业时间内一类、二类公共厕所的地面污物应立即拖洗，三类公共厕所应在30分钟内拖洗。清洁工具应入水清洗干净、沥干后再进行作业，作业后地面应见湿不见水。厕外平均温度低于 5℃ 时，拖洗作业应注意防地面结冰。</w:t>
      </w:r>
    </w:p>
    <w:p w14:paraId="44EAE52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清理：地面、蹲位、便器等污物,一类、二类公共厕所在服务作业时间内应立即清理，三类公共厕所应在30分钟内清理。用于清理作业的各类清洁工具应干净完好。工作人员在清理作业前应戴好防护用品。</w:t>
      </w:r>
    </w:p>
    <w:p w14:paraId="54FE7D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消毒：公共厕所消毒频次要求如下：公共厕所全面消毒应每日不少于 1 次；一类、二类公共厕所的龙头、扶手、烘手器、洗手器、通风口等处的消毒应每日不少于 4 次，三类公共厕所应每日不少于 2 次；特殊时期应增加消毒次数。消毒作业前应对工作人员进行培训，并在作业前戴好防护用品。消毒剂应符合GB 27948和GB 27952的规定。</w:t>
      </w:r>
    </w:p>
    <w:p w14:paraId="13B928B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清除：张贴类非法宣传品应在本班内清理完成，作业过程中不应损坏设备设施。喷涂类非法宣传品应在24小时内完成，作业时应选用同类材料，材料颜色应与原色相同或相近。作业应在确保安全的情况下进行。</w:t>
      </w:r>
    </w:p>
    <w:p w14:paraId="127B7E5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维护要求：应建立、健全维护管理制度，制定维护计划并组织实施（包括大、中、小修计划等）。应制定维护应急预案，包括停水、停电、紧急报修等方面的应急措施。</w:t>
      </w:r>
    </w:p>
    <w:p w14:paraId="05D7F91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公共厕所内部设施维修时间要求：内部设施故障导致出现停水、停电、漏水、便器堵塞等急迫性维修时，维修人员应在接报 1小时内到达现场，12 小时内修复；门、窗、纱、灯具、标牌、衣钩、扶手等损坏，应在 24 小时内修复；洗手台、便器、面镜、无障碍设施、天花板、墙壁涂层、墙砖、隔板等损坏，应在 48 小时内修复；内外墙面、地面损坏应在 72 小时内修复。公共厕所内外墙应定期清洗、粉饰（每年不少于两次粉饰）；设施维修期间，应设置标识公示停用期限。</w:t>
      </w:r>
    </w:p>
    <w:p w14:paraId="47C4726D">
      <w:pPr>
        <w:spacing w:line="360" w:lineRule="auto"/>
        <w:ind w:firstLine="480" w:firstLineChars="200"/>
        <w:jc w:val="left"/>
        <w:rPr>
          <w:rFonts w:hint="eastAsia" w:ascii="宋体" w:hAnsi="宋体" w:eastAsia="宋体" w:cs="宋体"/>
          <w:b/>
          <w:sz w:val="24"/>
          <w:szCs w:val="24"/>
        </w:rPr>
      </w:pPr>
      <w:r>
        <w:rPr>
          <w:rFonts w:hint="eastAsia" w:ascii="宋体" w:hAnsi="宋体" w:eastAsia="宋体" w:cs="宋体"/>
          <w:sz w:val="24"/>
          <w:szCs w:val="24"/>
        </w:rPr>
        <w:t>维修范围：公共厕所的门、门帘、窗、窗纱、灯、灯罩、线路、水表、电表、排风扇、天花板、墙砖、装饰材料、地砖、烘手器、皂液盒、洗手盆、面镜、挂衣钩、大小便器、墩布池、纸篓、地漏、厕间门板、隔板及配件、感应水龙头及感应器、温控开关、脚踏阀、拉手、门锁、各种标志牌、扶手、电暖器、电伴热（主体以外范围）、地伴热（主体以外范围）、供暖设施、发泡设施、呼叫器、各种电机等配套设施。</w:t>
      </w:r>
    </w:p>
    <w:p w14:paraId="340EB76C">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公共厕所上水即从水表（含）到厕内各个用水节门、下水即从厕内各个坑位到粪井外沿（含吊井），公共厕所电路即从电表箱至厕内所有设备设施，如遇特殊情况，甲乙双方协商解决。</w:t>
      </w:r>
    </w:p>
    <w:p w14:paraId="0B85394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公共厕所的内外墙粉刷及防水，井盖、井圈的日常维护管理及更换。</w:t>
      </w:r>
    </w:p>
    <w:p w14:paraId="2FDB3A40">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（4）其他要求</w:t>
      </w:r>
    </w:p>
    <w:p w14:paraId="7C04B4EA">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1.应配备不少于1名项目负责人、不少于2名日常检查人员、不少于2名日常维修人员（维修人员应有电工、有限空间作业等相应资质）。</w:t>
      </w:r>
    </w:p>
    <w:p w14:paraId="0AD4B0EA">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2.扫雪铲冰、重大活动等应急保障作业人员数应≥日常作业人员数的2倍。</w:t>
      </w:r>
    </w:p>
    <w:bookmarkEnd w:id="90"/>
    <w:p w14:paraId="76A0E90E">
      <w:pPr>
        <w:pStyle w:val="17"/>
        <w:spacing w:beforeLines="0" w:after="0" w:line="360" w:lineRule="auto"/>
        <w:ind w:left="0" w:leftChars="0" w:firstLine="482"/>
        <w:rPr>
          <w:rFonts w:hint="eastAsia"/>
        </w:rPr>
      </w:pPr>
      <w:bookmarkStart w:id="91" w:name="_Toc12799"/>
    </w:p>
    <w:bookmarkEnd w:id="91"/>
    <w:p w14:paraId="0D61BCCC">
      <w:pPr>
        <w:pStyle w:val="7"/>
        <w:keepNext w:val="0"/>
        <w:keepLines w:val="0"/>
        <w:pageBreakBefore w:val="0"/>
        <w:widowControl/>
        <w:kinsoku/>
        <w:wordWrap/>
        <w:overflowPunct/>
        <w:topLinePunct w:val="0"/>
        <w:autoSpaceDE/>
        <w:autoSpaceDN/>
        <w:bidi w:val="0"/>
        <w:adjustRightInd w:val="0"/>
        <w:snapToGrid w:val="0"/>
        <w:spacing w:line="360" w:lineRule="auto"/>
        <w:ind w:left="0"/>
        <w:textAlignment w:val="baseline"/>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pPr>
    </w:p>
    <w:p w14:paraId="076A6DDA">
      <w:pPr>
        <w:keepNext w:val="0"/>
        <w:keepLines w:val="0"/>
        <w:pageBreakBefore w:val="0"/>
        <w:widowControl/>
        <w:wordWrap/>
        <w:overflowPunct/>
        <w:topLinePunct w:val="0"/>
        <w:bidi w:val="0"/>
        <w:adjustRightInd/>
        <w:snapToGrid/>
        <w:spacing w:line="240" w:lineRule="auto"/>
        <w:textAlignment w:val="auto"/>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6196469C">
      <w:pPr>
        <w:keepNext w:val="0"/>
        <w:keepLines w:val="0"/>
        <w:pageBreakBefore w:val="0"/>
        <w:widowControl/>
        <w:wordWrap/>
        <w:overflowPunct/>
        <w:topLinePunct w:val="0"/>
        <w:bidi w:val="0"/>
        <w:adjustRightInd w:val="0"/>
        <w:snapToGrid w:val="0"/>
        <w:spacing w:line="360" w:lineRule="auto"/>
        <w:jc w:val="center"/>
        <w:textAlignment w:val="baseline"/>
        <w:rPr>
          <w:rFonts w:hint="eastAsia" w:ascii="宋体" w:hAnsi="宋体" w:eastAsia="宋体" w:cs="宋体"/>
          <w:spacing w:val="0"/>
          <w:w w:val="100"/>
          <w:position w:val="0"/>
          <w:sz w:val="24"/>
          <w:szCs w:val="24"/>
          <w:u w:val="none"/>
          <w:lang w:val="en-US" w:eastAsia="zh-CN"/>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24"/>
          <w:szCs w:val="24"/>
          <w:u w:val="none"/>
          <w14:textOutline w14:w="6537" w14:cap="flat" w14:cmpd="sng">
            <w14:solidFill>
              <w14:srgbClr w14:val="000000"/>
            </w14:solidFill>
            <w14:prstDash w14:val="solid"/>
            <w14:miter w14:val="0"/>
          </w14:textOutline>
        </w:rPr>
        <w:t>2025年度环卫中心公共厕所运行保洁服务项目</w:t>
      </w:r>
      <w:r>
        <w:rPr>
          <w:rFonts w:hint="eastAsia" w:ascii="宋体" w:hAnsi="宋体" w:eastAsia="宋体" w:cs="宋体"/>
          <w:spacing w:val="0"/>
          <w:w w:val="100"/>
          <w:position w:val="0"/>
          <w:sz w:val="24"/>
          <w:szCs w:val="24"/>
          <w:u w:val="single"/>
          <w:lang w:val="en-US" w:eastAsia="zh-CN"/>
          <w14:textOutline w14:w="6537" w14:cap="flat" w14:cmpd="sng">
            <w14:solidFill>
              <w14:srgbClr w14:val="000000"/>
            </w14:solidFill>
            <w14:prstDash w14:val="solid"/>
            <w14:miter w14:val="0"/>
          </w14:textOutline>
        </w:rPr>
        <w:t xml:space="preserve">  01  </w:t>
      </w:r>
      <w:r>
        <w:rPr>
          <w:rFonts w:hint="eastAsia" w:ascii="宋体" w:hAnsi="宋体" w:eastAsia="宋体" w:cs="宋体"/>
          <w:spacing w:val="0"/>
          <w:w w:val="100"/>
          <w:position w:val="0"/>
          <w:sz w:val="24"/>
          <w:szCs w:val="24"/>
          <w:u w:val="none"/>
          <w:lang w:val="en-US" w:eastAsia="zh-CN"/>
          <w14:textOutline w14:w="6537" w14:cap="flat" w14:cmpd="sng">
            <w14:solidFill>
              <w14:srgbClr w14:val="000000"/>
            </w14:solidFill>
            <w14:prstDash w14:val="solid"/>
            <w14:miter w14:val="0"/>
          </w14:textOutline>
        </w:rPr>
        <w:t>包明细</w:t>
      </w:r>
    </w:p>
    <w:tbl>
      <w:tblPr>
        <w:tblStyle w:val="18"/>
        <w:tblW w:w="95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80"/>
        <w:gridCol w:w="1155"/>
        <w:gridCol w:w="1560"/>
        <w:gridCol w:w="570"/>
        <w:gridCol w:w="600"/>
        <w:gridCol w:w="600"/>
        <w:gridCol w:w="705"/>
        <w:gridCol w:w="810"/>
        <w:gridCol w:w="795"/>
        <w:gridCol w:w="508"/>
      </w:tblGrid>
      <w:tr w14:paraId="2BEAC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22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E7F261">
            <w:pPr>
              <w:keepNext w:val="0"/>
              <w:keepLines w:val="0"/>
              <w:widowControl/>
              <w:suppressLineNumbers w:val="0"/>
              <w:jc w:val="center"/>
              <w:textAlignment w:val="center"/>
              <w:rPr>
                <w:rFonts w:ascii="Calibri" w:hAnsi="Calibri" w:eastAsia="宋体" w:cs="Calibri"/>
                <w:b/>
                <w:bCs/>
                <w:i w:val="0"/>
                <w:iCs w:val="0"/>
                <w:color w:val="000000"/>
                <w:sz w:val="20"/>
                <w:szCs w:val="20"/>
                <w:u w:val="none"/>
              </w:rPr>
            </w:pPr>
            <w:r>
              <w:rPr>
                <w:rFonts w:hint="default" w:ascii="Calibri" w:hAnsi="Calibri" w:eastAsia="宋体" w:cs="Calibri"/>
                <w:b/>
                <w:bCs/>
                <w:i w:val="0"/>
                <w:iCs w:val="0"/>
                <w:snapToGrid w:val="0"/>
                <w:color w:val="000000"/>
                <w:kern w:val="0"/>
                <w:sz w:val="20"/>
                <w:szCs w:val="20"/>
                <w:u w:val="none"/>
                <w:lang w:val="en-US" w:eastAsia="zh-CN" w:bidi="ar"/>
              </w:rPr>
              <w:t>厕所名称</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D1C624">
            <w:pPr>
              <w:keepNext w:val="0"/>
              <w:keepLines w:val="0"/>
              <w:widowControl/>
              <w:suppressLineNumbers w:val="0"/>
              <w:jc w:val="center"/>
              <w:textAlignment w:val="center"/>
              <w:rPr>
                <w:rFonts w:hint="default" w:ascii="Calibri" w:hAnsi="Calibri" w:eastAsia="宋体" w:cs="Calibri"/>
                <w:b/>
                <w:bCs/>
                <w:i w:val="0"/>
                <w:iCs w:val="0"/>
                <w:color w:val="000000"/>
                <w:sz w:val="20"/>
                <w:szCs w:val="20"/>
                <w:u w:val="none"/>
              </w:rPr>
            </w:pPr>
            <w:r>
              <w:rPr>
                <w:rFonts w:hint="default" w:ascii="Calibri" w:hAnsi="Calibri" w:eastAsia="宋体" w:cs="Calibri"/>
                <w:b/>
                <w:bCs/>
                <w:i w:val="0"/>
                <w:iCs w:val="0"/>
                <w:snapToGrid w:val="0"/>
                <w:color w:val="000000"/>
                <w:kern w:val="0"/>
                <w:sz w:val="20"/>
                <w:szCs w:val="20"/>
                <w:u w:val="none"/>
                <w:lang w:val="en-US" w:eastAsia="zh-CN" w:bidi="ar"/>
              </w:rPr>
              <w:t>所在街道乡镇</w:t>
            </w:r>
          </w:p>
        </w:tc>
        <w:tc>
          <w:tcPr>
            <w:tcW w:w="15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21D850">
            <w:pPr>
              <w:keepNext w:val="0"/>
              <w:keepLines w:val="0"/>
              <w:widowControl/>
              <w:suppressLineNumbers w:val="0"/>
              <w:jc w:val="center"/>
              <w:textAlignment w:val="center"/>
              <w:rPr>
                <w:rFonts w:hint="default" w:ascii="Calibri" w:hAnsi="Calibri" w:eastAsia="宋体" w:cs="Calibri"/>
                <w:b/>
                <w:bCs/>
                <w:i w:val="0"/>
                <w:iCs w:val="0"/>
                <w:color w:val="000000"/>
                <w:sz w:val="20"/>
                <w:szCs w:val="20"/>
                <w:u w:val="none"/>
              </w:rPr>
            </w:pPr>
            <w:r>
              <w:rPr>
                <w:rFonts w:hint="default" w:ascii="Calibri" w:hAnsi="Calibri" w:eastAsia="宋体" w:cs="Calibri"/>
                <w:b/>
                <w:bCs/>
                <w:i w:val="0"/>
                <w:iCs w:val="0"/>
                <w:snapToGrid w:val="0"/>
                <w:color w:val="000000"/>
                <w:kern w:val="0"/>
                <w:sz w:val="20"/>
                <w:szCs w:val="20"/>
                <w:u w:val="none"/>
                <w:lang w:val="en-US" w:eastAsia="zh-CN" w:bidi="ar"/>
              </w:rPr>
              <w:t>厕所编号</w:t>
            </w: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639C32">
            <w:pPr>
              <w:keepNext w:val="0"/>
              <w:keepLines w:val="0"/>
              <w:widowControl/>
              <w:suppressLineNumbers w:val="0"/>
              <w:jc w:val="center"/>
              <w:textAlignment w:val="center"/>
              <w:rPr>
                <w:rFonts w:hint="default" w:ascii="Calibri" w:hAnsi="Calibri" w:eastAsia="宋体" w:cs="Calibri"/>
                <w:b/>
                <w:bCs/>
                <w:i w:val="0"/>
                <w:iCs w:val="0"/>
                <w:color w:val="000000"/>
                <w:sz w:val="20"/>
                <w:szCs w:val="20"/>
                <w:u w:val="none"/>
              </w:rPr>
            </w:pPr>
            <w:r>
              <w:rPr>
                <w:rFonts w:hint="default" w:ascii="Calibri" w:hAnsi="Calibri" w:eastAsia="宋体" w:cs="Calibri"/>
                <w:b/>
                <w:bCs/>
                <w:i w:val="0"/>
                <w:iCs w:val="0"/>
                <w:snapToGrid w:val="0"/>
                <w:color w:val="000000"/>
                <w:kern w:val="0"/>
                <w:sz w:val="20"/>
                <w:szCs w:val="20"/>
                <w:u w:val="none"/>
                <w:lang w:val="en-US" w:eastAsia="zh-CN" w:bidi="ar"/>
              </w:rPr>
              <w:t>类别</w:t>
            </w:r>
          </w:p>
        </w:tc>
        <w:tc>
          <w:tcPr>
            <w:tcW w:w="351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28B21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坑位情况</w:t>
            </w:r>
          </w:p>
        </w:tc>
        <w:tc>
          <w:tcPr>
            <w:tcW w:w="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6C81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备注</w:t>
            </w:r>
          </w:p>
        </w:tc>
      </w:tr>
      <w:tr w14:paraId="49733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2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6A4F4">
            <w:pPr>
              <w:jc w:val="center"/>
              <w:rPr>
                <w:rFonts w:hint="default" w:ascii="Calibri" w:hAnsi="Calibri" w:eastAsia="宋体" w:cs="Calibri"/>
                <w:b/>
                <w:bCs/>
                <w:i w:val="0"/>
                <w:iCs w:val="0"/>
                <w:color w:val="000000"/>
                <w:sz w:val="20"/>
                <w:szCs w:val="20"/>
                <w:u w:val="none"/>
              </w:rPr>
            </w:pP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8DA7B">
            <w:pPr>
              <w:jc w:val="center"/>
              <w:rPr>
                <w:rFonts w:hint="default" w:ascii="Calibri" w:hAnsi="Calibri" w:eastAsia="宋体" w:cs="Calibri"/>
                <w:b/>
                <w:bCs/>
                <w:i w:val="0"/>
                <w:iCs w:val="0"/>
                <w:color w:val="000000"/>
                <w:sz w:val="20"/>
                <w:szCs w:val="20"/>
                <w:u w:val="none"/>
              </w:rPr>
            </w:pPr>
          </w:p>
        </w:tc>
        <w:tc>
          <w:tcPr>
            <w:tcW w:w="15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A1A63">
            <w:pPr>
              <w:jc w:val="center"/>
              <w:rPr>
                <w:rFonts w:hint="default" w:ascii="Calibri" w:hAnsi="Calibri" w:eastAsia="宋体" w:cs="Calibri"/>
                <w:b/>
                <w:bCs/>
                <w:i w:val="0"/>
                <w:iCs w:val="0"/>
                <w:color w:val="000000"/>
                <w:sz w:val="20"/>
                <w:szCs w:val="20"/>
                <w:u w:val="none"/>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27E09">
            <w:pPr>
              <w:jc w:val="center"/>
              <w:rPr>
                <w:rFonts w:hint="default" w:ascii="Calibri" w:hAnsi="Calibri" w:eastAsia="宋体" w:cs="Calibri"/>
                <w:b/>
                <w:bCs/>
                <w:i w:val="0"/>
                <w:iCs w:val="0"/>
                <w:color w:val="000000"/>
                <w:sz w:val="20"/>
                <w:szCs w:val="20"/>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A700">
            <w:pPr>
              <w:keepNext w:val="0"/>
              <w:keepLines w:val="0"/>
              <w:widowControl/>
              <w:suppressLineNumbers w:val="0"/>
              <w:jc w:val="center"/>
              <w:textAlignment w:val="center"/>
              <w:rPr>
                <w:rFonts w:hint="default" w:ascii="Calibri" w:hAnsi="Calibri" w:eastAsia="宋体" w:cs="Calibri"/>
                <w:b/>
                <w:bCs/>
                <w:i w:val="0"/>
                <w:iCs w:val="0"/>
                <w:color w:val="000000"/>
                <w:sz w:val="20"/>
                <w:szCs w:val="20"/>
                <w:u w:val="none"/>
              </w:rPr>
            </w:pPr>
            <w:r>
              <w:rPr>
                <w:rFonts w:hint="default" w:ascii="Calibri" w:hAnsi="Calibri" w:eastAsia="宋体" w:cs="Calibri"/>
                <w:b/>
                <w:bCs/>
                <w:i w:val="0"/>
                <w:iCs w:val="0"/>
                <w:snapToGrid w:val="0"/>
                <w:color w:val="000000"/>
                <w:kern w:val="0"/>
                <w:sz w:val="20"/>
                <w:szCs w:val="20"/>
                <w:u w:val="none"/>
                <w:lang w:val="en-US" w:eastAsia="zh-CN" w:bidi="ar"/>
              </w:rPr>
              <w:t>男</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8751">
            <w:pPr>
              <w:keepNext w:val="0"/>
              <w:keepLines w:val="0"/>
              <w:widowControl/>
              <w:suppressLineNumbers w:val="0"/>
              <w:jc w:val="center"/>
              <w:textAlignment w:val="center"/>
              <w:rPr>
                <w:rFonts w:hint="default" w:ascii="Calibri" w:hAnsi="Calibri" w:eastAsia="宋体" w:cs="Calibri"/>
                <w:b/>
                <w:bCs/>
                <w:i w:val="0"/>
                <w:iCs w:val="0"/>
                <w:color w:val="000000"/>
                <w:sz w:val="20"/>
                <w:szCs w:val="20"/>
                <w:u w:val="none"/>
              </w:rPr>
            </w:pPr>
            <w:r>
              <w:rPr>
                <w:rFonts w:hint="default" w:ascii="Calibri" w:hAnsi="Calibri" w:eastAsia="宋体" w:cs="Calibri"/>
                <w:b/>
                <w:bCs/>
                <w:i w:val="0"/>
                <w:iCs w:val="0"/>
                <w:snapToGrid w:val="0"/>
                <w:color w:val="000000"/>
                <w:kern w:val="0"/>
                <w:sz w:val="20"/>
                <w:szCs w:val="20"/>
                <w:u w:val="none"/>
                <w:lang w:val="en-US" w:eastAsia="zh-CN" w:bidi="ar"/>
              </w:rPr>
              <w:t>女</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1A729">
            <w:pPr>
              <w:keepNext w:val="0"/>
              <w:keepLines w:val="0"/>
              <w:widowControl/>
              <w:suppressLineNumbers w:val="0"/>
              <w:jc w:val="center"/>
              <w:textAlignment w:val="center"/>
              <w:rPr>
                <w:rFonts w:hint="default" w:ascii="Calibri" w:hAnsi="Calibri" w:eastAsia="宋体" w:cs="Calibri"/>
                <w:b/>
                <w:bCs/>
                <w:i w:val="0"/>
                <w:iCs w:val="0"/>
                <w:color w:val="000000"/>
                <w:sz w:val="20"/>
                <w:szCs w:val="20"/>
                <w:u w:val="none"/>
              </w:rPr>
            </w:pPr>
            <w:r>
              <w:rPr>
                <w:rFonts w:hint="default" w:ascii="Calibri" w:hAnsi="Calibri" w:eastAsia="宋体" w:cs="Calibri"/>
                <w:b/>
                <w:bCs/>
                <w:i w:val="0"/>
                <w:iCs w:val="0"/>
                <w:snapToGrid w:val="0"/>
                <w:color w:val="000000"/>
                <w:kern w:val="0"/>
                <w:sz w:val="20"/>
                <w:szCs w:val="20"/>
                <w:u w:val="none"/>
                <w:lang w:val="en-US" w:eastAsia="zh-CN" w:bidi="ar"/>
              </w:rPr>
              <w:t>无性别</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4A0C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第三</w:t>
            </w:r>
            <w:r>
              <w:rPr>
                <w:rFonts w:hint="default" w:ascii="Calibri" w:hAnsi="Calibri" w:eastAsia="宋体" w:cs="Calibri"/>
                <w:b/>
                <w:bCs/>
                <w:i w:val="0"/>
                <w:iCs w:val="0"/>
                <w:snapToGrid w:val="0"/>
                <w:color w:val="000000"/>
                <w:kern w:val="0"/>
                <w:sz w:val="20"/>
                <w:szCs w:val="20"/>
                <w:u w:val="none"/>
                <w:lang w:val="en-US" w:eastAsia="zh-CN" w:bidi="ar"/>
              </w:rPr>
              <w:br w:type="textWrapping"/>
            </w:r>
            <w:r>
              <w:rPr>
                <w:rFonts w:hint="eastAsia" w:ascii="宋体" w:hAnsi="宋体" w:eastAsia="宋体" w:cs="宋体"/>
                <w:b/>
                <w:bCs/>
                <w:i w:val="0"/>
                <w:iCs w:val="0"/>
                <w:snapToGrid w:val="0"/>
                <w:color w:val="000000"/>
                <w:kern w:val="0"/>
                <w:sz w:val="20"/>
                <w:szCs w:val="20"/>
                <w:u w:val="none"/>
                <w:lang w:val="en-US" w:eastAsia="zh-CN" w:bidi="ar"/>
              </w:rPr>
              <w:t>卫生间</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08F3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坑位数</w:t>
            </w:r>
          </w:p>
        </w:tc>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7D15">
            <w:pPr>
              <w:jc w:val="center"/>
              <w:rPr>
                <w:rFonts w:hint="eastAsia" w:ascii="宋体" w:hAnsi="宋体" w:eastAsia="宋体" w:cs="宋体"/>
                <w:b/>
                <w:bCs/>
                <w:i w:val="0"/>
                <w:iCs w:val="0"/>
                <w:color w:val="000000"/>
                <w:sz w:val="22"/>
                <w:szCs w:val="22"/>
                <w:u w:val="none"/>
              </w:rPr>
            </w:pPr>
          </w:p>
        </w:tc>
      </w:tr>
      <w:tr w14:paraId="46D8A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118A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潭柘寺镇平原村</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71FB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AD4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1091020000003</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BFCF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9819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5</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64103">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6944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CA3C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F02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13</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775F0">
            <w:pPr>
              <w:rPr>
                <w:rFonts w:hint="eastAsia" w:ascii="宋体" w:hAnsi="宋体" w:eastAsia="宋体" w:cs="宋体"/>
                <w:i w:val="0"/>
                <w:iCs w:val="0"/>
                <w:color w:val="000000"/>
                <w:sz w:val="22"/>
                <w:szCs w:val="22"/>
                <w:u w:val="none"/>
              </w:rPr>
            </w:pPr>
          </w:p>
        </w:tc>
      </w:tr>
      <w:tr w14:paraId="1B66E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7D95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潭柘寺镇南辛房村口</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60F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E1F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1091020000004</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0305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A7C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4</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1BD5">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8D5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5A76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034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6ECA2">
            <w:pPr>
              <w:rPr>
                <w:rFonts w:hint="eastAsia" w:ascii="宋体" w:hAnsi="宋体" w:eastAsia="宋体" w:cs="宋体"/>
                <w:i w:val="0"/>
                <w:iCs w:val="0"/>
                <w:color w:val="000000"/>
                <w:sz w:val="22"/>
                <w:szCs w:val="22"/>
                <w:u w:val="none"/>
              </w:rPr>
            </w:pPr>
          </w:p>
        </w:tc>
      </w:tr>
      <w:tr w14:paraId="766BD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72BC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潭柘寺鲁新家园9号楼旁</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FCC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6889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1091020000005</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B2F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38AF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4</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83D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5D2B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91A2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AD4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A8FCA">
            <w:pPr>
              <w:rPr>
                <w:rFonts w:hint="eastAsia" w:ascii="宋体" w:hAnsi="宋体" w:eastAsia="宋体" w:cs="宋体"/>
                <w:i w:val="0"/>
                <w:iCs w:val="0"/>
                <w:color w:val="000000"/>
                <w:sz w:val="22"/>
                <w:szCs w:val="22"/>
                <w:u w:val="none"/>
              </w:rPr>
            </w:pPr>
          </w:p>
        </w:tc>
      </w:tr>
      <w:tr w14:paraId="087F8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D753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潭柘新区6号院13号楼</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BBD9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4306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1091020000007</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407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746D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6</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4CA4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57D4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BAB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62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17</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7D591">
            <w:pPr>
              <w:rPr>
                <w:rFonts w:hint="eastAsia" w:ascii="宋体" w:hAnsi="宋体" w:eastAsia="宋体" w:cs="宋体"/>
                <w:i w:val="0"/>
                <w:iCs w:val="0"/>
                <w:color w:val="000000"/>
                <w:sz w:val="22"/>
                <w:szCs w:val="22"/>
                <w:u w:val="none"/>
              </w:rPr>
            </w:pPr>
          </w:p>
        </w:tc>
      </w:tr>
      <w:tr w14:paraId="77CF2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BCD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石门营四区（A4）14号楼北</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368B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东辛房街道</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F89B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1091020000008</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ACEB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BE773">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4</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F9CF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7E8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7D7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DD5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240E">
            <w:pPr>
              <w:rPr>
                <w:rFonts w:hint="eastAsia" w:ascii="宋体" w:hAnsi="宋体" w:eastAsia="宋体" w:cs="宋体"/>
                <w:i w:val="0"/>
                <w:iCs w:val="0"/>
                <w:color w:val="000000"/>
                <w:sz w:val="22"/>
                <w:szCs w:val="22"/>
                <w:u w:val="none"/>
              </w:rPr>
            </w:pPr>
          </w:p>
        </w:tc>
      </w:tr>
      <w:tr w14:paraId="6B96B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68C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石门营七区（B4）13号楼北</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EAD5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东辛房街道</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7D30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1091020000009</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3A8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410C3">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3D4C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1E20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325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7F8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8</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1EFC2">
            <w:pPr>
              <w:rPr>
                <w:rFonts w:hint="eastAsia" w:ascii="宋体" w:hAnsi="宋体" w:eastAsia="宋体" w:cs="宋体"/>
                <w:i w:val="0"/>
                <w:iCs w:val="0"/>
                <w:color w:val="000000"/>
                <w:sz w:val="22"/>
                <w:szCs w:val="22"/>
                <w:u w:val="none"/>
              </w:rPr>
            </w:pPr>
          </w:p>
        </w:tc>
      </w:tr>
      <w:tr w14:paraId="61DAA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DCAE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石门营七区（B1）1号楼南</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3937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东辛房街道</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6600">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1091020000010</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F687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306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9CC5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076D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5561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29E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8</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35D41">
            <w:pPr>
              <w:rPr>
                <w:rFonts w:hint="eastAsia" w:ascii="宋体" w:hAnsi="宋体" w:eastAsia="宋体" w:cs="宋体"/>
                <w:i w:val="0"/>
                <w:iCs w:val="0"/>
                <w:color w:val="000000"/>
                <w:sz w:val="22"/>
                <w:szCs w:val="22"/>
                <w:u w:val="none"/>
              </w:rPr>
            </w:pPr>
          </w:p>
        </w:tc>
      </w:tr>
      <w:tr w14:paraId="0D8CD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A12E">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石门营大峪中学分校东北角</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75AA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东辛房街道</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BDBD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1091020000011</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67960">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一类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75EF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4</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9936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B628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5A71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F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12</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6BFC9">
            <w:pPr>
              <w:rPr>
                <w:rFonts w:hint="eastAsia" w:ascii="宋体" w:hAnsi="宋体" w:eastAsia="宋体" w:cs="宋体"/>
                <w:i w:val="0"/>
                <w:iCs w:val="0"/>
                <w:color w:val="000000"/>
                <w:sz w:val="22"/>
                <w:szCs w:val="22"/>
                <w:u w:val="none"/>
              </w:rPr>
            </w:pPr>
          </w:p>
        </w:tc>
      </w:tr>
      <w:tr w14:paraId="16473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3E92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石门营幸福广场内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7E05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永定地区</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6543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1091020000012</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CC8F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一类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F8990">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4</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4030">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21B6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2DE8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D1B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15</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840AE">
            <w:pPr>
              <w:rPr>
                <w:rFonts w:hint="eastAsia" w:ascii="宋体" w:hAnsi="宋体" w:eastAsia="宋体" w:cs="宋体"/>
                <w:i w:val="0"/>
                <w:iCs w:val="0"/>
                <w:color w:val="000000"/>
                <w:sz w:val="22"/>
                <w:szCs w:val="22"/>
                <w:u w:val="none"/>
              </w:rPr>
            </w:pPr>
          </w:p>
        </w:tc>
      </w:tr>
      <w:tr w14:paraId="4B6C0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0BF95">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石门营文化公园内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069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永定地区</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50D7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1091020000013</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38D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8ED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6</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B0F3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A5705">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79B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CD2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15</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51DAF">
            <w:pPr>
              <w:rPr>
                <w:rFonts w:hint="eastAsia" w:ascii="宋体" w:hAnsi="宋体" w:eastAsia="宋体" w:cs="宋体"/>
                <w:i w:val="0"/>
                <w:iCs w:val="0"/>
                <w:color w:val="000000"/>
                <w:sz w:val="22"/>
                <w:szCs w:val="22"/>
                <w:u w:val="none"/>
              </w:rPr>
            </w:pPr>
          </w:p>
        </w:tc>
      </w:tr>
      <w:tr w14:paraId="6EA36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2F33">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潭柘寺镇桃花溪路2号院14号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95780">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6AE6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1091020000173</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8022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D88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5</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EF6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9</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65D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1FEC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A14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15</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98D54">
            <w:pPr>
              <w:rPr>
                <w:rFonts w:hint="eastAsia" w:ascii="宋体" w:hAnsi="宋体" w:eastAsia="宋体" w:cs="宋体"/>
                <w:i w:val="0"/>
                <w:iCs w:val="0"/>
                <w:color w:val="000000"/>
                <w:sz w:val="22"/>
                <w:szCs w:val="22"/>
                <w:u w:val="none"/>
              </w:rPr>
            </w:pPr>
          </w:p>
        </w:tc>
      </w:tr>
      <w:tr w14:paraId="79F8A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B100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潭柘寺镇桃花溪路4号院15号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1DD5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FA8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1091020000174</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64D1">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42EE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4</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9BB7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6140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B1273">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33B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13</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74B51">
            <w:pPr>
              <w:rPr>
                <w:rFonts w:hint="eastAsia" w:ascii="宋体" w:hAnsi="宋体" w:eastAsia="宋体" w:cs="宋体"/>
                <w:i w:val="0"/>
                <w:iCs w:val="0"/>
                <w:color w:val="000000"/>
                <w:sz w:val="22"/>
                <w:szCs w:val="22"/>
                <w:u w:val="none"/>
              </w:rPr>
            </w:pPr>
          </w:p>
        </w:tc>
      </w:tr>
      <w:tr w14:paraId="4F8F7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4A17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永定镇卧龙岗北街24号对面</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DA1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永定地区</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C97C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1091020000197</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A4D5">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一类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A66DE">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976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2BC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D94D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850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48029">
            <w:pPr>
              <w:rPr>
                <w:rFonts w:hint="eastAsia" w:ascii="宋体" w:hAnsi="宋体" w:eastAsia="宋体" w:cs="宋体"/>
                <w:i w:val="0"/>
                <w:iCs w:val="0"/>
                <w:color w:val="000000"/>
                <w:sz w:val="22"/>
                <w:szCs w:val="22"/>
                <w:u w:val="none"/>
              </w:rPr>
            </w:pPr>
          </w:p>
        </w:tc>
      </w:tr>
      <w:tr w14:paraId="13A84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A44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永定镇卧龙岗村文化活动中心旁</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1CA1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永定地区</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4DAC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1091020000198</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AC5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一类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3EC99">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0E83F">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642E3">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9A59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83D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CB9D">
            <w:pPr>
              <w:rPr>
                <w:rFonts w:hint="eastAsia" w:ascii="宋体" w:hAnsi="宋体" w:eastAsia="宋体" w:cs="宋体"/>
                <w:i w:val="0"/>
                <w:iCs w:val="0"/>
                <w:color w:val="000000"/>
                <w:sz w:val="22"/>
                <w:szCs w:val="22"/>
                <w:u w:val="none"/>
              </w:rPr>
            </w:pPr>
          </w:p>
        </w:tc>
      </w:tr>
      <w:tr w14:paraId="20CD5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186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潭柘寺镇京潭西路2号院10号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8E8D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B1AB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1091020000176</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84D3C">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二类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AD71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5F9D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9</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E9B64">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1C2D">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C1B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13</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748BF">
            <w:pPr>
              <w:rPr>
                <w:rFonts w:hint="eastAsia" w:ascii="宋体" w:hAnsi="宋体" w:eastAsia="宋体" w:cs="宋体"/>
                <w:i w:val="0"/>
                <w:iCs w:val="0"/>
                <w:color w:val="000000"/>
                <w:sz w:val="22"/>
                <w:szCs w:val="22"/>
                <w:u w:val="none"/>
              </w:rPr>
            </w:pPr>
          </w:p>
        </w:tc>
      </w:tr>
      <w:tr w14:paraId="6661F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E57C0">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潭柘寺镇政府西南角</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699C6">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潭柘寺镇</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B430A">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1091020000203</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A733B">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三类</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74473">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E552">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EC47">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81C08">
            <w:pPr>
              <w:keepNext w:val="0"/>
              <w:keepLines w:val="0"/>
              <w:widowControl/>
              <w:suppressLineNumbers w:val="0"/>
              <w:jc w:val="center"/>
              <w:textAlignment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snapToGrid w:val="0"/>
                <w:color w:val="000000"/>
                <w:kern w:val="0"/>
                <w:sz w:val="20"/>
                <w:szCs w:val="20"/>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84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2D604">
            <w:pPr>
              <w:rPr>
                <w:rFonts w:hint="eastAsia" w:ascii="宋体" w:hAnsi="宋体" w:eastAsia="宋体" w:cs="宋体"/>
                <w:i w:val="0"/>
                <w:iCs w:val="0"/>
                <w:color w:val="000000"/>
                <w:sz w:val="22"/>
                <w:szCs w:val="22"/>
                <w:u w:val="none"/>
              </w:rPr>
            </w:pPr>
          </w:p>
        </w:tc>
      </w:tr>
      <w:tr w14:paraId="3D64A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FB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何各庄02工地公厕</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066EF">
            <w:pPr>
              <w:jc w:val="center"/>
              <w:rPr>
                <w:rFonts w:hint="eastAsia" w:ascii="宋体" w:hAnsi="宋体" w:eastAsia="宋体" w:cs="宋体"/>
                <w:i w:val="0"/>
                <w:iCs w:val="0"/>
                <w:color w:val="000000"/>
                <w:sz w:val="22"/>
                <w:szCs w:val="22"/>
                <w:u w:val="none"/>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50190">
            <w:pPr>
              <w:jc w:val="center"/>
              <w:rPr>
                <w:rFonts w:hint="eastAsia" w:ascii="宋体" w:hAnsi="宋体" w:eastAsia="宋体" w:cs="宋体"/>
                <w:i w:val="0"/>
                <w:iCs w:val="0"/>
                <w:color w:val="000000"/>
                <w:sz w:val="22"/>
                <w:szCs w:val="22"/>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17386">
            <w:pPr>
              <w:jc w:val="center"/>
              <w:rPr>
                <w:rFonts w:hint="eastAsia" w:ascii="宋体" w:hAnsi="宋体" w:eastAsia="宋体" w:cs="宋体"/>
                <w:i w:val="0"/>
                <w:iCs w:val="0"/>
                <w:color w:val="000000"/>
                <w:sz w:val="22"/>
                <w:szCs w:val="22"/>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04B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91C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0CD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7B0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D97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w:t>
            </w:r>
          </w:p>
        </w:tc>
        <w:tc>
          <w:tcPr>
            <w:tcW w:w="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57AB6">
            <w:pPr>
              <w:jc w:val="center"/>
              <w:rPr>
                <w:rFonts w:hint="eastAsia" w:ascii="宋体" w:hAnsi="宋体" w:eastAsia="宋体" w:cs="宋体"/>
                <w:i w:val="0"/>
                <w:iCs w:val="0"/>
                <w:color w:val="000000"/>
                <w:sz w:val="22"/>
                <w:szCs w:val="22"/>
                <w:u w:val="none"/>
              </w:rPr>
            </w:pPr>
          </w:p>
        </w:tc>
      </w:tr>
    </w:tbl>
    <w:p w14:paraId="42D06FB2">
      <w:pPr>
        <w:keepNext w:val="0"/>
        <w:keepLines w:val="0"/>
        <w:pageBreakBefore w:val="0"/>
        <w:widowControl/>
        <w:wordWrap/>
        <w:overflowPunct/>
        <w:topLinePunct w:val="0"/>
        <w:bidi w:val="0"/>
        <w:adjustRightInd w:val="0"/>
        <w:snapToGrid w:val="0"/>
        <w:spacing w:line="360" w:lineRule="auto"/>
        <w:jc w:val="center"/>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0560F049">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92" w:name="_Toc17899"/>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拟签订的合同文本</w:t>
      </w:r>
      <w:bookmarkEnd w:id="92"/>
    </w:p>
    <w:p w14:paraId="100C8056">
      <w:pPr>
        <w:jc w:val="center"/>
        <w:rPr>
          <w:rFonts w:hint="eastAsia" w:ascii="宋体" w:hAnsi="宋体"/>
          <w:sz w:val="36"/>
          <w:szCs w:val="36"/>
        </w:rPr>
      </w:pPr>
      <w:bookmarkStart w:id="93" w:name="_Toc3995"/>
      <w:bookmarkStart w:id="94" w:name="_Toc25240"/>
      <w:bookmarkStart w:id="95" w:name="_Toc504554325"/>
      <w:bookmarkStart w:id="96" w:name="_Toc13960"/>
      <w:r>
        <w:rPr>
          <w:rFonts w:hint="eastAsia" w:ascii="宋体" w:hAnsi="宋体"/>
          <w:b/>
          <w:bCs/>
          <w:sz w:val="36"/>
          <w:szCs w:val="36"/>
        </w:rPr>
        <w:t>2025年度环卫中心公共厕所运行保洁服务项目合同</w:t>
      </w:r>
    </w:p>
    <w:p w14:paraId="67B7FF77">
      <w:pPr>
        <w:rPr>
          <w:rFonts w:hint="eastAsia" w:ascii="宋体" w:hAnsi="宋体"/>
          <w:sz w:val="28"/>
          <w:szCs w:val="28"/>
        </w:rPr>
      </w:pPr>
    </w:p>
    <w:p w14:paraId="0F0E9091">
      <w:pPr>
        <w:rPr>
          <w:rFonts w:hint="eastAsia" w:ascii="宋体" w:hAnsi="宋体"/>
          <w:sz w:val="28"/>
          <w:szCs w:val="28"/>
        </w:rPr>
      </w:pPr>
    </w:p>
    <w:p w14:paraId="27673DC9">
      <w:pPr>
        <w:rPr>
          <w:rFonts w:hint="eastAsia" w:ascii="宋体" w:hAnsi="宋体"/>
          <w:sz w:val="28"/>
          <w:szCs w:val="28"/>
        </w:rPr>
      </w:pPr>
    </w:p>
    <w:p w14:paraId="41B0738A">
      <w:pPr>
        <w:rPr>
          <w:rFonts w:hint="eastAsia" w:ascii="宋体" w:hAnsi="宋体"/>
          <w:sz w:val="28"/>
          <w:szCs w:val="28"/>
        </w:rPr>
      </w:pPr>
    </w:p>
    <w:p w14:paraId="311F0CE8">
      <w:pPr>
        <w:rPr>
          <w:rFonts w:hint="eastAsia" w:ascii="宋体" w:hAnsi="宋体"/>
          <w:sz w:val="28"/>
          <w:szCs w:val="28"/>
        </w:rPr>
      </w:pPr>
    </w:p>
    <w:p w14:paraId="39D9F665">
      <w:pPr>
        <w:jc w:val="left"/>
        <w:rPr>
          <w:rFonts w:hint="eastAsia" w:ascii="宋体" w:hAnsi="宋体"/>
          <w:b/>
          <w:bCs/>
          <w:sz w:val="28"/>
          <w:szCs w:val="28"/>
        </w:rPr>
      </w:pPr>
      <w:r>
        <w:rPr>
          <w:rFonts w:hint="eastAsia" w:ascii="宋体" w:hAnsi="宋体"/>
          <w:b/>
          <w:bCs/>
          <w:sz w:val="28"/>
          <w:szCs w:val="28"/>
        </w:rPr>
        <w:t>合同编号：</w:t>
      </w:r>
    </w:p>
    <w:p w14:paraId="26191DC1">
      <w:pPr>
        <w:ind w:left="840" w:leftChars="400" w:firstLine="4132" w:firstLineChars="1475"/>
        <w:jc w:val="left"/>
        <w:rPr>
          <w:rFonts w:hint="eastAsia" w:ascii="宋体" w:hAnsi="宋体"/>
          <w:b/>
          <w:bCs/>
          <w:sz w:val="28"/>
          <w:szCs w:val="28"/>
        </w:rPr>
      </w:pPr>
    </w:p>
    <w:p w14:paraId="3D4B2FEC">
      <w:pPr>
        <w:jc w:val="left"/>
        <w:rPr>
          <w:rFonts w:hint="eastAsia" w:ascii="宋体" w:hAnsi="宋体"/>
          <w:b/>
          <w:bCs/>
          <w:sz w:val="28"/>
          <w:szCs w:val="28"/>
        </w:rPr>
      </w:pPr>
      <w:r>
        <w:rPr>
          <w:rFonts w:hint="eastAsia" w:ascii="宋体" w:hAnsi="宋体"/>
          <w:b/>
          <w:bCs/>
          <w:sz w:val="28"/>
          <w:szCs w:val="28"/>
        </w:rPr>
        <w:t>项目名称：2025年度环卫中心公共厕所运行保洁服务项目（第</w:t>
      </w:r>
      <w:r>
        <w:rPr>
          <w:rFonts w:hint="eastAsia" w:ascii="宋体" w:hAnsi="宋体"/>
          <w:b/>
          <w:bCs/>
          <w:sz w:val="28"/>
          <w:szCs w:val="28"/>
          <w:u w:val="single"/>
        </w:rPr>
        <w:t xml:space="preserve">   </w:t>
      </w:r>
      <w:r>
        <w:rPr>
          <w:rFonts w:hint="eastAsia" w:ascii="宋体" w:hAnsi="宋体"/>
          <w:b/>
          <w:bCs/>
          <w:sz w:val="28"/>
          <w:szCs w:val="28"/>
        </w:rPr>
        <w:t>包）</w:t>
      </w:r>
    </w:p>
    <w:p w14:paraId="5CF97C5D">
      <w:pPr>
        <w:ind w:left="2165" w:leftChars="364" w:hanging="1401" w:hangingChars="500"/>
        <w:jc w:val="left"/>
        <w:rPr>
          <w:rFonts w:hint="eastAsia" w:ascii="宋体" w:hAnsi="宋体"/>
          <w:b/>
          <w:bCs/>
          <w:sz w:val="28"/>
          <w:szCs w:val="28"/>
        </w:rPr>
      </w:pPr>
    </w:p>
    <w:p w14:paraId="464F0488">
      <w:pPr>
        <w:ind w:left="2165" w:leftChars="364" w:hanging="1401" w:hangingChars="500"/>
        <w:rPr>
          <w:rFonts w:hint="eastAsia" w:ascii="宋体" w:hAnsi="宋体"/>
          <w:b/>
          <w:bCs/>
          <w:sz w:val="28"/>
          <w:szCs w:val="28"/>
        </w:rPr>
      </w:pPr>
    </w:p>
    <w:p w14:paraId="44F4D87F">
      <w:pPr>
        <w:ind w:left="2165" w:leftChars="364" w:hanging="1401" w:hangingChars="500"/>
        <w:rPr>
          <w:rFonts w:hint="eastAsia" w:ascii="宋体" w:hAnsi="宋体"/>
          <w:b/>
          <w:bCs/>
          <w:sz w:val="28"/>
          <w:szCs w:val="28"/>
        </w:rPr>
      </w:pPr>
    </w:p>
    <w:p w14:paraId="53BC0E57">
      <w:pPr>
        <w:ind w:left="2165" w:leftChars="364" w:hanging="1401" w:hangingChars="500"/>
        <w:rPr>
          <w:rFonts w:hint="eastAsia" w:ascii="宋体" w:hAnsi="宋体"/>
          <w:b/>
          <w:bCs/>
          <w:sz w:val="28"/>
          <w:szCs w:val="28"/>
        </w:rPr>
      </w:pPr>
    </w:p>
    <w:p w14:paraId="0958FCE6">
      <w:pPr>
        <w:ind w:left="2165" w:leftChars="364" w:hanging="1401" w:hangingChars="500"/>
        <w:rPr>
          <w:rFonts w:hint="eastAsia" w:ascii="宋体" w:hAnsi="宋体"/>
          <w:b/>
          <w:bCs/>
          <w:sz w:val="28"/>
          <w:szCs w:val="28"/>
        </w:rPr>
      </w:pPr>
    </w:p>
    <w:p w14:paraId="1363E654">
      <w:pPr>
        <w:ind w:left="2165" w:leftChars="364" w:hanging="1401" w:hangingChars="500"/>
        <w:rPr>
          <w:rFonts w:hint="eastAsia" w:ascii="宋体" w:hAnsi="宋体"/>
          <w:b/>
          <w:bCs/>
          <w:sz w:val="28"/>
          <w:szCs w:val="28"/>
        </w:rPr>
      </w:pPr>
    </w:p>
    <w:p w14:paraId="3C476B57">
      <w:pPr>
        <w:ind w:left="2165" w:leftChars="364" w:hanging="1401" w:hangingChars="500"/>
        <w:rPr>
          <w:rFonts w:hint="eastAsia" w:ascii="宋体" w:hAnsi="宋体"/>
          <w:b/>
          <w:bCs/>
          <w:sz w:val="28"/>
          <w:szCs w:val="28"/>
        </w:rPr>
      </w:pPr>
    </w:p>
    <w:p w14:paraId="0E407298">
      <w:pPr>
        <w:ind w:left="2171" w:leftChars="1034" w:firstLine="137" w:firstLineChars="49"/>
        <w:rPr>
          <w:rFonts w:hint="eastAsia" w:ascii="宋体" w:hAnsi="宋体"/>
          <w:b/>
          <w:bCs/>
          <w:sz w:val="28"/>
          <w:szCs w:val="28"/>
        </w:rPr>
      </w:pPr>
    </w:p>
    <w:p w14:paraId="14610978">
      <w:pPr>
        <w:ind w:left="1699" w:leftChars="721" w:hanging="185" w:hangingChars="66"/>
        <w:rPr>
          <w:rFonts w:hint="eastAsia" w:ascii="宋体" w:hAnsi="宋体"/>
          <w:b/>
          <w:bCs/>
          <w:sz w:val="28"/>
          <w:szCs w:val="28"/>
        </w:rPr>
      </w:pPr>
      <w:r>
        <w:rPr>
          <w:rFonts w:hint="eastAsia" w:ascii="宋体" w:hAnsi="宋体"/>
          <w:b/>
          <w:bCs/>
          <w:sz w:val="28"/>
          <w:szCs w:val="28"/>
        </w:rPr>
        <w:t>甲      方：北京市门头沟区环境卫生服务中心</w:t>
      </w:r>
    </w:p>
    <w:p w14:paraId="1932E69D">
      <w:pPr>
        <w:ind w:left="2165" w:leftChars="364" w:hanging="1401" w:hangingChars="500"/>
        <w:rPr>
          <w:rFonts w:hint="eastAsia" w:ascii="宋体" w:hAnsi="宋体"/>
          <w:b/>
          <w:bCs/>
          <w:sz w:val="28"/>
          <w:szCs w:val="28"/>
          <w:u w:val="single"/>
        </w:rPr>
      </w:pPr>
    </w:p>
    <w:p w14:paraId="6A251884">
      <w:pPr>
        <w:ind w:left="2170" w:leftChars="744" w:hanging="608" w:hangingChars="217"/>
        <w:rPr>
          <w:rFonts w:hint="eastAsia" w:ascii="宋体" w:hAnsi="宋体"/>
          <w:b/>
          <w:bCs/>
          <w:sz w:val="28"/>
          <w:szCs w:val="28"/>
        </w:rPr>
      </w:pPr>
      <w:r>
        <w:rPr>
          <w:rFonts w:hint="eastAsia" w:ascii="宋体" w:hAnsi="宋体"/>
          <w:b/>
          <w:bCs/>
          <w:sz w:val="28"/>
          <w:szCs w:val="28"/>
        </w:rPr>
        <w:t>乙      方：</w:t>
      </w:r>
    </w:p>
    <w:p w14:paraId="6D25D19E">
      <w:pPr>
        <w:ind w:left="2165" w:leftChars="364" w:hanging="1401" w:hangingChars="500"/>
        <w:rPr>
          <w:rFonts w:hint="eastAsia" w:ascii="宋体" w:hAnsi="宋体"/>
          <w:b/>
          <w:bCs/>
          <w:sz w:val="28"/>
          <w:szCs w:val="28"/>
        </w:rPr>
      </w:pPr>
    </w:p>
    <w:p w14:paraId="776E2B71">
      <w:pPr>
        <w:ind w:left="2165" w:leftChars="743" w:hanging="605" w:hangingChars="216"/>
        <w:rPr>
          <w:rFonts w:hint="eastAsia" w:ascii="宋体" w:hAnsi="宋体"/>
          <w:b/>
          <w:bCs/>
          <w:sz w:val="28"/>
          <w:szCs w:val="28"/>
        </w:rPr>
      </w:pPr>
      <w:r>
        <w:rPr>
          <w:rFonts w:hint="eastAsia" w:ascii="宋体" w:hAnsi="宋体"/>
          <w:b/>
          <w:bCs/>
          <w:sz w:val="28"/>
          <w:szCs w:val="28"/>
        </w:rPr>
        <w:t>签 署 日 期：    年    月   日</w:t>
      </w:r>
    </w:p>
    <w:p w14:paraId="01985BED">
      <w:pPr>
        <w:rPr>
          <w:rFonts w:hint="eastAsia" w:ascii="宋体" w:hAnsi="宋体"/>
          <w:b/>
          <w:bCs/>
          <w:sz w:val="28"/>
          <w:szCs w:val="28"/>
        </w:rPr>
        <w:sectPr>
          <w:pgSz w:w="11906" w:h="16838"/>
          <w:pgMar w:top="1440" w:right="1797" w:bottom="1089" w:left="1797" w:header="851" w:footer="992" w:gutter="0"/>
          <w:cols w:space="720" w:num="1"/>
          <w:docGrid w:type="lines" w:linePitch="312" w:charSpace="0"/>
        </w:sectPr>
      </w:pPr>
    </w:p>
    <w:p w14:paraId="6B9822D7">
      <w:pPr>
        <w:rPr>
          <w:rFonts w:hint="eastAsia" w:ascii="宋体" w:hAnsi="宋体"/>
          <w:b/>
          <w:bCs/>
          <w:sz w:val="28"/>
          <w:szCs w:val="28"/>
        </w:rPr>
      </w:pPr>
    </w:p>
    <w:p w14:paraId="4D7E98DA">
      <w:pPr>
        <w:spacing w:line="400" w:lineRule="exact"/>
        <w:jc w:val="center"/>
        <w:rPr>
          <w:rFonts w:hint="eastAsia" w:ascii="宋体" w:hAnsi="宋体"/>
          <w:b/>
          <w:bCs/>
          <w:sz w:val="28"/>
          <w:szCs w:val="28"/>
        </w:rPr>
      </w:pPr>
      <w:r>
        <w:rPr>
          <w:rFonts w:hint="eastAsia" w:ascii="宋体" w:hAnsi="宋体"/>
          <w:b/>
          <w:bCs/>
          <w:sz w:val="28"/>
          <w:szCs w:val="28"/>
        </w:rPr>
        <w:t>2025年度环卫中心公共厕所运行保洁服务项目合同</w:t>
      </w:r>
    </w:p>
    <w:p w14:paraId="16690F5B">
      <w:pPr>
        <w:spacing w:line="400" w:lineRule="exact"/>
        <w:jc w:val="center"/>
        <w:rPr>
          <w:rFonts w:hint="eastAsia" w:ascii="宋体" w:hAnsi="宋体"/>
          <w:b/>
          <w:sz w:val="32"/>
        </w:rPr>
      </w:pPr>
    </w:p>
    <w:p w14:paraId="536DF76A">
      <w:pPr>
        <w:spacing w:line="440" w:lineRule="exact"/>
        <w:ind w:firstLine="480" w:firstLineChars="200"/>
        <w:jc w:val="left"/>
        <w:rPr>
          <w:rFonts w:hint="eastAsia" w:ascii="宋体" w:hAnsi="宋体"/>
          <w:sz w:val="24"/>
          <w:szCs w:val="24"/>
        </w:rPr>
      </w:pPr>
      <w:r>
        <w:rPr>
          <w:rFonts w:hint="eastAsia" w:ascii="宋体" w:hAnsi="宋体"/>
          <w:sz w:val="24"/>
          <w:szCs w:val="24"/>
        </w:rPr>
        <w:t>甲方：北京市门头沟区环境卫生服务中心（以下简称甲方）</w:t>
      </w:r>
    </w:p>
    <w:p w14:paraId="28EF361F">
      <w:pPr>
        <w:spacing w:line="440" w:lineRule="exact"/>
        <w:ind w:firstLine="480" w:firstLineChars="200"/>
        <w:jc w:val="left"/>
        <w:rPr>
          <w:rFonts w:hint="eastAsia" w:ascii="宋体" w:hAnsi="宋体"/>
          <w:sz w:val="24"/>
          <w:szCs w:val="24"/>
        </w:rPr>
      </w:pPr>
      <w:r>
        <w:rPr>
          <w:rFonts w:hint="eastAsia" w:ascii="宋体" w:hAnsi="宋体"/>
          <w:sz w:val="24"/>
          <w:szCs w:val="24"/>
        </w:rPr>
        <w:t>乙方：                              （以下简称乙方）</w:t>
      </w:r>
    </w:p>
    <w:p w14:paraId="4A6174E6">
      <w:pPr>
        <w:spacing w:line="360" w:lineRule="auto"/>
        <w:ind w:firstLine="480" w:firstLineChars="200"/>
        <w:rPr>
          <w:rFonts w:hint="eastAsia" w:ascii="宋体" w:hAnsi="宋体"/>
          <w:sz w:val="24"/>
          <w:szCs w:val="24"/>
        </w:rPr>
      </w:pPr>
      <w:r>
        <w:rPr>
          <w:rFonts w:hint="eastAsia" w:ascii="宋体" w:hAnsi="宋体"/>
          <w:sz w:val="24"/>
          <w:szCs w:val="24"/>
        </w:rPr>
        <w:t>北京市门头沟区环境卫生服务中心通过公开招标方式，现确定（乙方）为2025年度环卫中心公共厕所运行保洁服务项目第</w:t>
      </w:r>
      <w:r>
        <w:rPr>
          <w:rFonts w:hint="eastAsia" w:ascii="宋体" w:hAnsi="宋体"/>
          <w:sz w:val="24"/>
          <w:szCs w:val="24"/>
          <w:u w:val="single"/>
        </w:rPr>
        <w:t xml:space="preserve">    </w:t>
      </w:r>
      <w:r>
        <w:rPr>
          <w:rFonts w:hint="eastAsia" w:ascii="宋体" w:hAnsi="宋体"/>
          <w:sz w:val="24"/>
          <w:szCs w:val="24"/>
        </w:rPr>
        <w:t>包供应商，甲乙双方本着平等、自愿、有偿、诚实信用的原则，签署本合同。</w:t>
      </w:r>
    </w:p>
    <w:p w14:paraId="006E2197">
      <w:pPr>
        <w:spacing w:line="360" w:lineRule="auto"/>
        <w:ind w:firstLine="480" w:firstLineChars="200"/>
        <w:rPr>
          <w:rFonts w:hint="eastAsia" w:ascii="宋体" w:hAnsi="宋体"/>
          <w:b/>
          <w:sz w:val="24"/>
          <w:szCs w:val="24"/>
        </w:rPr>
      </w:pPr>
      <w:r>
        <w:rPr>
          <w:rFonts w:hint="eastAsia" w:ascii="宋体" w:hAnsi="宋体"/>
          <w:b/>
          <w:sz w:val="24"/>
          <w:szCs w:val="24"/>
        </w:rPr>
        <w:t>第一条 服务期限、范围及内容</w:t>
      </w:r>
    </w:p>
    <w:p w14:paraId="727F0DCB">
      <w:pPr>
        <w:spacing w:line="360" w:lineRule="auto"/>
        <w:ind w:firstLine="480" w:firstLineChars="200"/>
        <w:rPr>
          <w:rFonts w:ascii="宋体" w:hAnsi="宋体"/>
          <w:sz w:val="24"/>
          <w:szCs w:val="24"/>
        </w:rPr>
      </w:pPr>
      <w:r>
        <w:rPr>
          <w:rFonts w:hint="eastAsia" w:ascii="宋体" w:hAnsi="宋体"/>
          <w:sz w:val="24"/>
          <w:szCs w:val="24"/>
        </w:rPr>
        <w:t>1、承包期限</w:t>
      </w:r>
      <w:r>
        <w:rPr>
          <w:rFonts w:hint="eastAsia" w:ascii="宋体" w:hAnsi="宋体"/>
          <w:sz w:val="24"/>
          <w:szCs w:val="24"/>
          <w:u w:val="single"/>
        </w:rPr>
        <w:t xml:space="preserve">  </w:t>
      </w:r>
      <w:r>
        <w:rPr>
          <w:rFonts w:hint="eastAsia" w:ascii="宋体" w:hAnsi="宋体"/>
          <w:sz w:val="24"/>
          <w:szCs w:val="24"/>
        </w:rPr>
        <w:t>年，自</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日至</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日止。</w:t>
      </w:r>
    </w:p>
    <w:p w14:paraId="55A60F03">
      <w:pPr>
        <w:spacing w:line="360" w:lineRule="auto"/>
        <w:ind w:firstLine="480" w:firstLineChars="200"/>
        <w:rPr>
          <w:rFonts w:hint="eastAsia" w:ascii="宋体" w:hAnsi="宋体" w:cs="宋体"/>
          <w:kern w:val="0"/>
          <w:sz w:val="24"/>
          <w:szCs w:val="24"/>
        </w:rPr>
      </w:pPr>
      <w:r>
        <w:rPr>
          <w:rFonts w:hint="eastAsia" w:ascii="宋体" w:hAnsi="宋体"/>
          <w:sz w:val="24"/>
          <w:szCs w:val="24"/>
        </w:rPr>
        <w:t>2、服务范围：</w:t>
      </w:r>
      <w:r>
        <w:rPr>
          <w:rFonts w:hint="eastAsia" w:ascii="宋体" w:hAnsi="宋体" w:cs="宋体"/>
          <w:kern w:val="0"/>
          <w:sz w:val="24"/>
          <w:szCs w:val="24"/>
        </w:rPr>
        <w:t>详见《2025年度环卫中心公共厕所运行保洁服务项目第</w:t>
      </w:r>
      <w:r>
        <w:rPr>
          <w:rFonts w:hint="eastAsia" w:ascii="宋体" w:hAnsi="宋体" w:cs="宋体"/>
          <w:kern w:val="0"/>
          <w:sz w:val="24"/>
          <w:szCs w:val="24"/>
          <w:u w:val="single"/>
        </w:rPr>
        <w:t xml:space="preserve">   </w:t>
      </w:r>
      <w:r>
        <w:rPr>
          <w:rFonts w:hint="eastAsia" w:ascii="宋体" w:hAnsi="宋体" w:cs="宋体"/>
          <w:kern w:val="0"/>
          <w:sz w:val="24"/>
          <w:szCs w:val="24"/>
        </w:rPr>
        <w:t>包明细》</w:t>
      </w:r>
    </w:p>
    <w:p w14:paraId="27E7F00F">
      <w:pPr>
        <w:spacing w:line="360" w:lineRule="auto"/>
        <w:ind w:firstLine="480" w:firstLineChars="200"/>
        <w:rPr>
          <w:rFonts w:ascii="宋体" w:hAnsi="宋体"/>
          <w:sz w:val="24"/>
          <w:szCs w:val="24"/>
        </w:rPr>
      </w:pPr>
      <w:r>
        <w:rPr>
          <w:rFonts w:hint="eastAsia" w:ascii="宋体" w:hAnsi="宋体"/>
          <w:sz w:val="24"/>
          <w:szCs w:val="24"/>
        </w:rPr>
        <w:t>3、服务作业内容及其他要求</w:t>
      </w:r>
    </w:p>
    <w:p w14:paraId="72A99B85">
      <w:pPr>
        <w:pStyle w:val="15"/>
        <w:spacing w:before="0" w:beforeAutospacing="0" w:after="0" w:afterAutospacing="0" w:line="360" w:lineRule="auto"/>
        <w:ind w:firstLine="480" w:firstLineChars="200"/>
        <w:rPr>
          <w:rFonts w:ascii="宋体" w:hAnsi="宋体"/>
        </w:rPr>
      </w:pPr>
      <w:r>
        <w:rPr>
          <w:rFonts w:hint="eastAsia" w:ascii="宋体" w:hAnsi="宋体"/>
        </w:rPr>
        <w:t>（1）作业内容：按照</w:t>
      </w:r>
      <w:r>
        <w:t>《北京市环境卫生</w:t>
      </w:r>
      <w:r>
        <w:rPr>
          <w:rFonts w:hint="eastAsia"/>
        </w:rPr>
        <w:t>洁净指数评价方案</w:t>
      </w:r>
      <w:r>
        <w:t>》</w:t>
      </w:r>
      <w:r>
        <w:rPr>
          <w:rFonts w:hint="eastAsia" w:ascii="宋体" w:hAnsi="宋体"/>
        </w:rPr>
        <w:t>、</w:t>
      </w:r>
      <w:r>
        <w:rPr>
          <w:rFonts w:ascii="宋体" w:hAnsi="宋体"/>
        </w:rPr>
        <w:t>《北京市公共厕所运行管理规范》（DBI1/T356-2017）及甲方相关要求进行公厕运行保洁及责任范围内公厕维修工作，</w:t>
      </w:r>
      <w:r>
        <w:rPr>
          <w:rFonts w:hint="eastAsia" w:ascii="宋体" w:hAnsi="宋体"/>
        </w:rPr>
        <w:t>并完成</w:t>
      </w:r>
      <w:r>
        <w:rPr>
          <w:rFonts w:ascii="宋体" w:hAnsi="宋体"/>
        </w:rPr>
        <w:t>甲方安排</w:t>
      </w:r>
      <w:r>
        <w:rPr>
          <w:rFonts w:hint="eastAsia" w:ascii="宋体" w:hAnsi="宋体"/>
        </w:rPr>
        <w:t>布置</w:t>
      </w:r>
      <w:r>
        <w:rPr>
          <w:rFonts w:ascii="宋体" w:hAnsi="宋体"/>
        </w:rPr>
        <w:t>的其他临时性环境卫生保障、应急保障、重大活动保障等工作</w:t>
      </w:r>
      <w:r>
        <w:rPr>
          <w:rFonts w:hint="eastAsia" w:ascii="宋体" w:hAnsi="宋体"/>
        </w:rPr>
        <w:t>，保证作业质量标准不低于相应要求，应接受甲方及市、区政府职能部门、新闻媒体及周围群众的监督检查。</w:t>
      </w:r>
    </w:p>
    <w:p w14:paraId="5D5FDF09">
      <w:pPr>
        <w:spacing w:line="360" w:lineRule="auto"/>
        <w:ind w:firstLine="480" w:firstLineChars="200"/>
        <w:rPr>
          <w:rFonts w:hint="eastAsia" w:ascii="宋体" w:hAnsi="宋体"/>
          <w:sz w:val="24"/>
          <w:szCs w:val="24"/>
        </w:rPr>
      </w:pPr>
      <w:r>
        <w:rPr>
          <w:rFonts w:hint="eastAsia" w:ascii="宋体" w:hAnsi="宋体"/>
          <w:sz w:val="24"/>
          <w:szCs w:val="24"/>
        </w:rPr>
        <w:t>（2）质量要求：</w:t>
      </w:r>
    </w:p>
    <w:p w14:paraId="12B6111B">
      <w:pPr>
        <w:spacing w:line="360" w:lineRule="auto"/>
        <w:ind w:firstLine="480" w:firstLineChars="200"/>
        <w:rPr>
          <w:rFonts w:hint="eastAsia" w:ascii="宋体" w:hAnsi="宋体"/>
          <w:b/>
          <w:sz w:val="24"/>
          <w:szCs w:val="24"/>
        </w:rPr>
      </w:pPr>
      <w:r>
        <w:rPr>
          <w:rFonts w:hint="eastAsia" w:ascii="宋体" w:hAnsi="宋体"/>
          <w:b/>
          <w:sz w:val="24"/>
          <w:szCs w:val="24"/>
        </w:rPr>
        <w:t>外围</w:t>
      </w:r>
    </w:p>
    <w:p w14:paraId="3B59CC4F">
      <w:pPr>
        <w:spacing w:line="360" w:lineRule="auto"/>
        <w:ind w:firstLine="480" w:firstLineChars="200"/>
        <w:rPr>
          <w:rFonts w:hint="eastAsia" w:ascii="宋体" w:hAnsi="宋体"/>
          <w:sz w:val="24"/>
          <w:szCs w:val="24"/>
        </w:rPr>
      </w:pPr>
      <w:r>
        <w:rPr>
          <w:rFonts w:hint="eastAsia" w:ascii="宋体" w:hAnsi="宋体"/>
          <w:sz w:val="24"/>
          <w:szCs w:val="24"/>
        </w:rPr>
        <w:t>公共厕所环境卫生责任区内应保持干净整洁，不应有私搭乱建、暴露垃圾、粪便、污水、污迹等。无障碍通道应功能完好，使用正常，地面干净整洁，不应有积灰、积水、结冰及废弃物等，不应堆放杂物。粪井内污物距井盖距离应大于 50cm，井盖周边不应有泄漏、遗撒痕迹。</w:t>
      </w:r>
    </w:p>
    <w:p w14:paraId="2EBBDA79">
      <w:pPr>
        <w:spacing w:line="360" w:lineRule="auto"/>
        <w:ind w:firstLine="480" w:firstLineChars="200"/>
        <w:rPr>
          <w:rFonts w:hint="eastAsia" w:ascii="宋体" w:hAnsi="宋体"/>
          <w:b/>
          <w:sz w:val="24"/>
          <w:szCs w:val="24"/>
        </w:rPr>
      </w:pPr>
      <w:r>
        <w:rPr>
          <w:rFonts w:hint="eastAsia" w:ascii="宋体" w:hAnsi="宋体"/>
          <w:b/>
          <w:sz w:val="24"/>
          <w:szCs w:val="24"/>
        </w:rPr>
        <w:t>墙面和地面</w:t>
      </w:r>
    </w:p>
    <w:p w14:paraId="7D1165E0">
      <w:pPr>
        <w:spacing w:line="360" w:lineRule="auto"/>
        <w:ind w:firstLine="480" w:firstLineChars="200"/>
        <w:rPr>
          <w:rFonts w:hint="eastAsia" w:ascii="宋体" w:hAnsi="宋体"/>
          <w:sz w:val="24"/>
          <w:szCs w:val="24"/>
        </w:rPr>
      </w:pPr>
      <w:r>
        <w:rPr>
          <w:rFonts w:hint="eastAsia" w:ascii="宋体" w:hAnsi="宋体"/>
          <w:sz w:val="24"/>
          <w:szCs w:val="24"/>
        </w:rPr>
        <w:t>厕内天花板和墙面应干净整洁，不应有破损、脱落、积灰、污迹、水渍、蛛网、乱涂画等。厕内地面应干净整洁，不应有破损、泛沙、污渍、痰迹、积水、废弃物等。厕外墙面应干净整洁，不应有脱落、乱涂画、乱张贴、乱吊挂等。</w:t>
      </w:r>
    </w:p>
    <w:p w14:paraId="54B8CE4E">
      <w:pPr>
        <w:spacing w:line="360" w:lineRule="auto"/>
        <w:ind w:firstLine="480" w:firstLineChars="200"/>
        <w:rPr>
          <w:rFonts w:hint="eastAsia" w:ascii="宋体" w:hAnsi="宋体"/>
          <w:b/>
          <w:sz w:val="24"/>
          <w:szCs w:val="24"/>
        </w:rPr>
      </w:pPr>
      <w:r>
        <w:rPr>
          <w:rFonts w:hint="eastAsia" w:ascii="宋体" w:hAnsi="宋体"/>
          <w:b/>
          <w:sz w:val="24"/>
          <w:szCs w:val="24"/>
        </w:rPr>
        <w:t>厕内环境</w:t>
      </w:r>
    </w:p>
    <w:p w14:paraId="1DC27FF5">
      <w:pPr>
        <w:spacing w:line="360" w:lineRule="auto"/>
        <w:ind w:firstLine="480" w:firstLineChars="200"/>
        <w:rPr>
          <w:rFonts w:hint="eastAsia" w:ascii="宋体" w:hAnsi="宋体"/>
          <w:sz w:val="24"/>
          <w:szCs w:val="24"/>
        </w:rPr>
      </w:pPr>
      <w:r>
        <w:rPr>
          <w:rFonts w:hint="eastAsia" w:ascii="宋体" w:hAnsi="宋体"/>
          <w:sz w:val="24"/>
          <w:szCs w:val="24"/>
        </w:rPr>
        <w:t>通风、采光、照明应保持完好，一类、二类公共厕所不应有臭味和异味，三类公共厕所不应有明显臭味和异味。整体环境应整洁，不应有蚊蝇、蛆虫，不应堆放杂物。工具间物品应摆放整洁，不应存放与作业无关物品。工作人员管理间内各类物品应摆放整洁，生活用品隐蔽贮藏。</w:t>
      </w:r>
    </w:p>
    <w:p w14:paraId="73DD1C12">
      <w:pPr>
        <w:spacing w:line="360" w:lineRule="auto"/>
        <w:ind w:firstLine="480" w:firstLineChars="200"/>
        <w:rPr>
          <w:rFonts w:hint="eastAsia" w:ascii="宋体" w:hAnsi="宋体"/>
          <w:b/>
          <w:sz w:val="24"/>
          <w:szCs w:val="24"/>
        </w:rPr>
      </w:pPr>
      <w:r>
        <w:rPr>
          <w:rFonts w:hint="eastAsia" w:ascii="宋体" w:hAnsi="宋体"/>
          <w:b/>
          <w:sz w:val="24"/>
          <w:szCs w:val="24"/>
        </w:rPr>
        <w:t>厕内设备</w:t>
      </w:r>
    </w:p>
    <w:p w14:paraId="24D41892">
      <w:pPr>
        <w:spacing w:line="360" w:lineRule="auto"/>
        <w:ind w:firstLine="480" w:firstLineChars="200"/>
        <w:rPr>
          <w:rFonts w:hint="eastAsia" w:ascii="宋体" w:hAnsi="宋体"/>
          <w:sz w:val="24"/>
          <w:szCs w:val="24"/>
        </w:rPr>
      </w:pPr>
      <w:r>
        <w:rPr>
          <w:rFonts w:hint="eastAsia" w:ascii="宋体" w:hAnsi="宋体"/>
          <w:sz w:val="24"/>
          <w:szCs w:val="24"/>
        </w:rPr>
        <w:t>照明灯具、排气扇、除臭系统、烘手器、冲水器、呼叫器等设备功能完好、干净整洁，不应有积灰、积水、水渍、污物、蛛网等。洗手器具、镜子、挂衣钩、扶手、手纸架等设施应安装牢固、功能完好、干净整洁，不应有积灰、积水、绣渍、污物、蛛网等。门、窗等设施应完好，开闭灵活，干净整洁。灭火器、消防栓应设置醒目标识，并应符合 GB 2894 的规定。</w:t>
      </w:r>
    </w:p>
    <w:p w14:paraId="0DF81AD7">
      <w:pPr>
        <w:spacing w:line="360" w:lineRule="auto"/>
        <w:ind w:firstLine="480" w:firstLineChars="200"/>
        <w:rPr>
          <w:rFonts w:hint="eastAsia" w:ascii="宋体" w:hAnsi="宋体"/>
          <w:b/>
          <w:sz w:val="24"/>
          <w:szCs w:val="24"/>
        </w:rPr>
      </w:pPr>
      <w:r>
        <w:rPr>
          <w:rFonts w:hint="eastAsia" w:ascii="宋体" w:hAnsi="宋体"/>
          <w:b/>
          <w:sz w:val="24"/>
          <w:szCs w:val="24"/>
        </w:rPr>
        <w:t>厕位</w:t>
      </w:r>
    </w:p>
    <w:p w14:paraId="05D74F50">
      <w:pPr>
        <w:spacing w:line="360" w:lineRule="auto"/>
        <w:ind w:firstLine="480" w:firstLineChars="200"/>
        <w:rPr>
          <w:rFonts w:hint="eastAsia" w:ascii="宋体" w:hAnsi="宋体"/>
          <w:sz w:val="24"/>
          <w:szCs w:val="24"/>
        </w:rPr>
      </w:pPr>
      <w:r>
        <w:rPr>
          <w:rFonts w:hint="eastAsia" w:ascii="宋体" w:hAnsi="宋体"/>
          <w:sz w:val="24"/>
          <w:szCs w:val="24"/>
        </w:rPr>
        <w:t>隔断板（门）应保持整洁完好，不应有积灰、污迹、蛛网、乱涂画等。小便槽（斗、池）应保持整洁，不应有锈迹、尿垢、污物；沟眼、管道应保持畅通。便器外侧不应有锈迹、粪便、污物；便器内侧不应有积粪、污垢，洁净见底，管道畅通。厕位内纸篓不应满冒。</w:t>
      </w:r>
    </w:p>
    <w:p w14:paraId="1AE244B4">
      <w:pPr>
        <w:spacing w:line="360" w:lineRule="auto"/>
        <w:ind w:firstLine="480" w:firstLineChars="200"/>
        <w:rPr>
          <w:rFonts w:hint="eastAsia" w:ascii="宋体" w:hAnsi="宋体"/>
          <w:b/>
          <w:sz w:val="24"/>
          <w:szCs w:val="24"/>
        </w:rPr>
      </w:pPr>
      <w:r>
        <w:rPr>
          <w:rFonts w:hint="eastAsia" w:ascii="宋体" w:hAnsi="宋体"/>
          <w:b/>
          <w:sz w:val="24"/>
          <w:szCs w:val="24"/>
        </w:rPr>
        <w:t>标识标牌</w:t>
      </w:r>
    </w:p>
    <w:p w14:paraId="0C9AC892">
      <w:pPr>
        <w:spacing w:line="360" w:lineRule="auto"/>
        <w:ind w:firstLine="480" w:firstLineChars="200"/>
        <w:rPr>
          <w:rFonts w:hint="eastAsia" w:ascii="宋体" w:hAnsi="宋体"/>
          <w:sz w:val="24"/>
          <w:szCs w:val="24"/>
        </w:rPr>
      </w:pPr>
      <w:r>
        <w:rPr>
          <w:rFonts w:hint="eastAsia" w:ascii="宋体" w:hAnsi="宋体"/>
          <w:sz w:val="24"/>
          <w:szCs w:val="24"/>
        </w:rPr>
        <w:t>公共厕所内部应设置禁烟标识，并应符合 GB 2894 的规定。保洁作业期间应设置醒目标识，并应符合 GB 2894 的规定。公共厕所粪井周边应设置警示标识，并应符合 GB 2894 的规定。厕内用电设备发生故障应设置警示标识，并应符合 GB 2894 的规定。设施维修期间应设置醒目标识，并应符合 GB 2894 的规定。</w:t>
      </w:r>
    </w:p>
    <w:p w14:paraId="655CF3DA">
      <w:pPr>
        <w:spacing w:line="360" w:lineRule="auto"/>
        <w:ind w:firstLine="480" w:firstLineChars="200"/>
        <w:rPr>
          <w:rFonts w:hint="eastAsia" w:ascii="宋体" w:hAnsi="宋体"/>
          <w:sz w:val="24"/>
          <w:szCs w:val="24"/>
        </w:rPr>
      </w:pPr>
      <w:r>
        <w:rPr>
          <w:rFonts w:hint="eastAsia" w:ascii="宋体" w:hAnsi="宋体"/>
          <w:sz w:val="24"/>
          <w:szCs w:val="24"/>
        </w:rPr>
        <w:t>（3）服务要求</w:t>
      </w:r>
    </w:p>
    <w:p w14:paraId="2CE0E277">
      <w:pPr>
        <w:spacing w:line="360" w:lineRule="auto"/>
        <w:ind w:firstLine="480" w:firstLineChars="200"/>
        <w:rPr>
          <w:rFonts w:hint="eastAsia" w:ascii="宋体" w:hAnsi="宋体"/>
          <w:b/>
          <w:sz w:val="24"/>
          <w:szCs w:val="24"/>
        </w:rPr>
      </w:pPr>
      <w:r>
        <w:rPr>
          <w:rFonts w:hint="eastAsia" w:ascii="宋体" w:hAnsi="宋体"/>
          <w:b/>
          <w:sz w:val="24"/>
          <w:szCs w:val="24"/>
        </w:rPr>
        <w:t>一般要求</w:t>
      </w:r>
    </w:p>
    <w:p w14:paraId="4C163C51">
      <w:pPr>
        <w:spacing w:line="360" w:lineRule="auto"/>
        <w:ind w:firstLine="480" w:firstLineChars="200"/>
        <w:rPr>
          <w:rFonts w:hint="eastAsia" w:ascii="宋体" w:hAnsi="宋体"/>
          <w:sz w:val="24"/>
          <w:szCs w:val="24"/>
        </w:rPr>
      </w:pPr>
      <w:r>
        <w:rPr>
          <w:rFonts w:hint="eastAsia" w:ascii="宋体" w:hAnsi="宋体"/>
          <w:sz w:val="24"/>
          <w:szCs w:val="24"/>
        </w:rPr>
        <w:t>公共厕所应 24 小时开放。一类、二类公共厕所服务作业时间应为 06：00～22：00，应随脏随保洁；三类公共厕所服务作业时间应为 07：00～21：00，应巡回保洁；特殊区域、节假日视需求宜延长保洁时间。</w:t>
      </w:r>
    </w:p>
    <w:p w14:paraId="16D7EF87">
      <w:pPr>
        <w:spacing w:line="360" w:lineRule="auto"/>
        <w:ind w:firstLine="480" w:firstLineChars="200"/>
        <w:rPr>
          <w:rFonts w:hint="eastAsia" w:ascii="宋体" w:hAnsi="宋体"/>
          <w:sz w:val="24"/>
          <w:szCs w:val="24"/>
        </w:rPr>
      </w:pPr>
      <w:r>
        <w:rPr>
          <w:rFonts w:hint="eastAsia" w:ascii="宋体" w:hAnsi="宋体"/>
          <w:sz w:val="24"/>
          <w:szCs w:val="24"/>
        </w:rPr>
        <w:t>同一保洁单位工作人员应统一服装，工作时文明用语。工作人员应每日检查设备设施并记录，设备设施损坏时应及时报修。工作人员应定时查看粪井满溢情况并记录，需要时应通知运输人员抽运。第三卫生间、无障碍专用厕所间应正常开放，不应随意停止使用、移做它用、堆放物品；无法正常开放时应当公示停用期限。夏季应每日喷洒灭蚊蝇药物，春季、秋季应每两日喷洒一次灭蚊蝇药物。公共厕所应通风良好，通风除臭设备运行正常，宜采用物理除臭方式。不应出售商品。</w:t>
      </w:r>
    </w:p>
    <w:p w14:paraId="6099B10B">
      <w:pPr>
        <w:spacing w:line="360" w:lineRule="auto"/>
        <w:ind w:firstLine="480" w:firstLineChars="200"/>
        <w:rPr>
          <w:rFonts w:hint="eastAsia" w:ascii="宋体" w:hAnsi="宋体"/>
          <w:b/>
          <w:sz w:val="24"/>
          <w:szCs w:val="24"/>
        </w:rPr>
      </w:pPr>
      <w:r>
        <w:rPr>
          <w:rFonts w:hint="eastAsia" w:ascii="宋体" w:hAnsi="宋体"/>
          <w:b/>
          <w:sz w:val="24"/>
          <w:szCs w:val="24"/>
        </w:rPr>
        <w:t>具体要求</w:t>
      </w:r>
    </w:p>
    <w:p w14:paraId="56CB9439">
      <w:pPr>
        <w:spacing w:line="360" w:lineRule="auto"/>
        <w:ind w:firstLine="480" w:firstLineChars="200"/>
        <w:rPr>
          <w:rFonts w:hint="eastAsia" w:ascii="宋体" w:hAnsi="宋体"/>
          <w:sz w:val="24"/>
          <w:szCs w:val="24"/>
        </w:rPr>
      </w:pPr>
      <w:r>
        <w:rPr>
          <w:rFonts w:hint="eastAsia" w:ascii="宋体" w:hAnsi="宋体"/>
          <w:sz w:val="24"/>
          <w:szCs w:val="24"/>
        </w:rPr>
        <w:t>擦洗：一类、二类公共厕所每班应不少于 2 次；三类公共厕所每班应不少于 1 次。清洁工具应入水漂洗、沥干后再进行作业；遇有乱涂画应清除后再进行作业。DB11/T 356—2017</w:t>
      </w:r>
    </w:p>
    <w:p w14:paraId="75B2DC56">
      <w:pPr>
        <w:spacing w:line="360" w:lineRule="auto"/>
        <w:ind w:firstLine="480" w:firstLineChars="200"/>
        <w:rPr>
          <w:rFonts w:hint="eastAsia" w:ascii="宋体" w:hAnsi="宋体"/>
          <w:sz w:val="24"/>
          <w:szCs w:val="24"/>
        </w:rPr>
      </w:pPr>
      <w:r>
        <w:rPr>
          <w:rFonts w:hint="eastAsia" w:ascii="宋体" w:hAnsi="宋体"/>
          <w:sz w:val="24"/>
          <w:szCs w:val="24"/>
        </w:rPr>
        <w:t>拖洗：服务作业时间内一类、二类公共厕所的地面污物应立即拖洗，三类公共厕所应在30分钟内拖洗。清洁工具应入水清洗干净、沥干后再进行作业，作业后地面应见湿不见水。厕外平均温度低于 5℃ 时，拖洗作业应注意防地面结冰。</w:t>
      </w:r>
    </w:p>
    <w:p w14:paraId="5CEC020E">
      <w:pPr>
        <w:spacing w:line="360" w:lineRule="auto"/>
        <w:ind w:firstLine="480" w:firstLineChars="200"/>
        <w:rPr>
          <w:rFonts w:hint="eastAsia" w:ascii="宋体" w:hAnsi="宋体"/>
          <w:sz w:val="24"/>
          <w:szCs w:val="24"/>
        </w:rPr>
      </w:pPr>
      <w:r>
        <w:rPr>
          <w:rFonts w:hint="eastAsia" w:ascii="宋体" w:hAnsi="宋体"/>
          <w:sz w:val="24"/>
          <w:szCs w:val="24"/>
        </w:rPr>
        <w:t>清理：地面、蹲位、便器等污物,一类、二类公共厕所在服务作业时间内应立即清理，三类公共厕所应在30分钟内清理。用于清理作业的各类清洁工具应干净完好。工作人员在清理作业前应戴好防护用品。</w:t>
      </w:r>
    </w:p>
    <w:p w14:paraId="58BD244E">
      <w:pPr>
        <w:spacing w:line="360" w:lineRule="auto"/>
        <w:ind w:firstLine="480" w:firstLineChars="200"/>
        <w:rPr>
          <w:rFonts w:hint="eastAsia" w:ascii="宋体" w:hAnsi="宋体"/>
          <w:sz w:val="24"/>
          <w:szCs w:val="24"/>
        </w:rPr>
      </w:pPr>
      <w:r>
        <w:rPr>
          <w:rFonts w:hint="eastAsia" w:ascii="宋体" w:hAnsi="宋体"/>
          <w:sz w:val="24"/>
          <w:szCs w:val="24"/>
        </w:rPr>
        <w:t>消毒：公共厕所消毒频次要求如下：公共厕所全面消毒应每日不少于 1 次；一类、二类公共厕所的龙头、扶手、烘手器、洗手器、通风口等处的消毒应每日不少于 4 次，三类公共厕所应每日不少于 2 次；特殊时期应增加消毒次数。消毒作业前应对工作人员进行培训，并在作业前戴好防护用品。消毒剂应符合GB 27948和GB 27952的规定。</w:t>
      </w:r>
    </w:p>
    <w:p w14:paraId="50F2F0D1">
      <w:pPr>
        <w:spacing w:line="360" w:lineRule="auto"/>
        <w:ind w:firstLine="480" w:firstLineChars="200"/>
        <w:rPr>
          <w:rFonts w:hint="eastAsia" w:ascii="宋体" w:hAnsi="宋体"/>
          <w:sz w:val="24"/>
          <w:szCs w:val="24"/>
        </w:rPr>
      </w:pPr>
      <w:r>
        <w:rPr>
          <w:rFonts w:hint="eastAsia" w:ascii="宋体" w:hAnsi="宋体"/>
          <w:sz w:val="24"/>
          <w:szCs w:val="24"/>
        </w:rPr>
        <w:t>清除：张贴类非法宣传品应在本班内清理完成，作业过程中不应损坏设备设施。喷涂类非法宣传品应在24小时内完成，作业时应选用同类材料，材料颜色应与原色相同或相近。作业应在确保安全的情况下进行。</w:t>
      </w:r>
    </w:p>
    <w:p w14:paraId="3045932C">
      <w:pPr>
        <w:spacing w:line="360" w:lineRule="auto"/>
        <w:ind w:firstLine="480" w:firstLineChars="200"/>
        <w:rPr>
          <w:rFonts w:hint="eastAsia" w:ascii="宋体" w:hAnsi="宋体"/>
          <w:sz w:val="24"/>
          <w:szCs w:val="24"/>
        </w:rPr>
      </w:pPr>
      <w:r>
        <w:rPr>
          <w:rFonts w:hint="eastAsia" w:ascii="宋体" w:hAnsi="宋体"/>
          <w:sz w:val="24"/>
          <w:szCs w:val="24"/>
        </w:rPr>
        <w:t>维护要求：应建立、健全维护管理制度，制定维护计划并组织实施（包括大、中、小修计划等）。应制定维护应急预案，包括停水、停电、紧急报修等方面的应急措施。</w:t>
      </w:r>
    </w:p>
    <w:p w14:paraId="1290D319">
      <w:pPr>
        <w:spacing w:line="360" w:lineRule="auto"/>
        <w:ind w:firstLine="480" w:firstLineChars="200"/>
        <w:rPr>
          <w:rFonts w:hint="eastAsia" w:ascii="宋体" w:hAnsi="宋体"/>
          <w:sz w:val="24"/>
          <w:szCs w:val="24"/>
        </w:rPr>
      </w:pPr>
      <w:r>
        <w:rPr>
          <w:rFonts w:hint="eastAsia" w:ascii="宋体" w:hAnsi="宋体"/>
          <w:sz w:val="24"/>
          <w:szCs w:val="24"/>
        </w:rPr>
        <w:t>公共厕所内部设施维修时间要求：内部设施故障导致出现停水、停电、漏水、便器堵塞等急迫性维修时，维修人员应在接报 1小时内到达现场，12 小时内修复；门、窗、纱、灯具、标牌、衣钩、扶手等损坏，应在 24 小时内修复；洗手台、便器、面镜、无障碍设施、天花板、墙壁涂层、墙砖、隔板等损坏，应在 48 小时内修复；内外墙面、地面损坏应在 72 小时内修复。公共厕所内外墙应定期清洗、粉饰（每年不少于两次粉饰）；设施维修期间，应设置标识公示停用期限。</w:t>
      </w:r>
    </w:p>
    <w:p w14:paraId="75467FA7">
      <w:pPr>
        <w:spacing w:line="440" w:lineRule="exact"/>
        <w:ind w:firstLine="480" w:firstLineChars="200"/>
        <w:jc w:val="left"/>
        <w:rPr>
          <w:rFonts w:hint="eastAsia" w:ascii="宋体" w:hAnsi="宋体"/>
          <w:b/>
          <w:sz w:val="24"/>
          <w:szCs w:val="24"/>
        </w:rPr>
      </w:pPr>
      <w:r>
        <w:rPr>
          <w:rFonts w:hint="eastAsia" w:ascii="宋体" w:hAnsi="宋体"/>
          <w:sz w:val="24"/>
          <w:szCs w:val="24"/>
        </w:rPr>
        <w:t>维修范围：公共厕所的门、门帘、窗、窗纱、灯、灯罩、线路、水表、电表、排风扇、天花板、墙砖、装饰材料、地砖、烘手器、皂液盒、洗手盆、面镜、挂衣钩、大小便器、墩布池、纸篓、地漏、厕间门板、隔板及配件、感应水龙头及感应器、温控开关、脚踏阀、拉手、门锁、各种标志牌、扶手、电暖器、电伴热（主体以外范围）、地伴热（主体以外范围）、供暖设施、发泡设施、呼叫器、各种电机等配套设施。</w:t>
      </w:r>
    </w:p>
    <w:p w14:paraId="181671AE">
      <w:pPr>
        <w:spacing w:line="440" w:lineRule="exact"/>
        <w:ind w:firstLine="480" w:firstLineChars="200"/>
        <w:jc w:val="left"/>
        <w:rPr>
          <w:rFonts w:ascii="宋体" w:hAnsi="宋体"/>
          <w:sz w:val="24"/>
          <w:szCs w:val="24"/>
        </w:rPr>
      </w:pPr>
      <w:r>
        <w:rPr>
          <w:rFonts w:hint="eastAsia" w:ascii="宋体" w:hAnsi="宋体"/>
          <w:sz w:val="24"/>
          <w:szCs w:val="24"/>
        </w:rPr>
        <w:t>公共厕所上水即从水表（含）到厕内各个用水节门、下水即从厕内各个坑位到粪井外沿（含吊井），公共厕所电路即从电表箱至厕内所有设备设施，如遇特殊情况，甲乙双方协商解决。</w:t>
      </w:r>
    </w:p>
    <w:p w14:paraId="5B2BDAC6">
      <w:pPr>
        <w:spacing w:line="440" w:lineRule="exact"/>
        <w:ind w:firstLine="480" w:firstLineChars="200"/>
        <w:jc w:val="left"/>
        <w:rPr>
          <w:rFonts w:hint="eastAsia" w:ascii="宋体" w:hAnsi="宋体"/>
          <w:sz w:val="24"/>
          <w:szCs w:val="24"/>
        </w:rPr>
      </w:pPr>
      <w:r>
        <w:rPr>
          <w:rFonts w:hint="eastAsia" w:ascii="宋体" w:hAnsi="宋体"/>
          <w:sz w:val="24"/>
          <w:szCs w:val="24"/>
        </w:rPr>
        <w:t>公共厕所的内外墙粉刷及防水，井盖、井圈的日常维护管理及更换。</w:t>
      </w:r>
    </w:p>
    <w:p w14:paraId="69EB2DC4">
      <w:pPr>
        <w:spacing w:line="440" w:lineRule="exact"/>
        <w:ind w:firstLine="480" w:firstLineChars="200"/>
        <w:jc w:val="left"/>
        <w:rPr>
          <w:rFonts w:hint="eastAsia" w:ascii="宋体" w:hAnsi="宋体"/>
          <w:sz w:val="24"/>
          <w:szCs w:val="24"/>
        </w:rPr>
      </w:pPr>
      <w:r>
        <w:rPr>
          <w:rFonts w:hint="eastAsia" w:ascii="宋体" w:hAnsi="宋体"/>
          <w:sz w:val="24"/>
          <w:szCs w:val="24"/>
        </w:rPr>
        <w:t>（4）其他要求</w:t>
      </w:r>
    </w:p>
    <w:p w14:paraId="073066F2">
      <w:pPr>
        <w:spacing w:line="440" w:lineRule="exact"/>
        <w:ind w:firstLine="480" w:firstLineChars="200"/>
        <w:jc w:val="left"/>
        <w:rPr>
          <w:rFonts w:hint="eastAsia" w:ascii="宋体" w:hAnsi="宋体"/>
          <w:sz w:val="24"/>
          <w:szCs w:val="24"/>
        </w:rPr>
      </w:pPr>
      <w:r>
        <w:rPr>
          <w:rFonts w:hint="eastAsia" w:ascii="宋体" w:hAnsi="宋体"/>
          <w:sz w:val="24"/>
          <w:szCs w:val="24"/>
        </w:rPr>
        <w:t>1.应配备不少于1名项目负责人、不少于2名日常检查人员、不少于2名日常维修人员（维修人员应有电工、有限空间作业等相应资质）。</w:t>
      </w:r>
    </w:p>
    <w:p w14:paraId="77B5A015">
      <w:pPr>
        <w:spacing w:line="440" w:lineRule="exact"/>
        <w:ind w:firstLine="480" w:firstLineChars="200"/>
        <w:jc w:val="left"/>
        <w:rPr>
          <w:rFonts w:hint="eastAsia" w:ascii="宋体" w:hAnsi="宋体"/>
          <w:sz w:val="24"/>
          <w:szCs w:val="24"/>
        </w:rPr>
      </w:pPr>
      <w:r>
        <w:rPr>
          <w:rFonts w:hint="eastAsia"/>
          <w:sz w:val="24"/>
          <w:szCs w:val="24"/>
        </w:rPr>
        <w:t>2.扫雪铲冰、重大活动等应急保障作业人员数应≥日常作业人员数的2倍。</w:t>
      </w:r>
    </w:p>
    <w:p w14:paraId="08299669">
      <w:pPr>
        <w:spacing w:line="360" w:lineRule="auto"/>
        <w:ind w:firstLine="471" w:firstLineChars="196"/>
        <w:jc w:val="left"/>
        <w:rPr>
          <w:rFonts w:ascii="宋体" w:hAnsi="宋体"/>
          <w:b/>
          <w:sz w:val="24"/>
          <w:szCs w:val="24"/>
        </w:rPr>
      </w:pPr>
      <w:r>
        <w:rPr>
          <w:rFonts w:hint="eastAsia" w:ascii="宋体" w:hAnsi="宋体"/>
          <w:b/>
          <w:sz w:val="24"/>
          <w:szCs w:val="24"/>
        </w:rPr>
        <w:t>第二条 承包金额及付款方式</w:t>
      </w:r>
    </w:p>
    <w:p w14:paraId="33B43D32">
      <w:pPr>
        <w:spacing w:line="360" w:lineRule="auto"/>
        <w:ind w:firstLine="480" w:firstLineChars="200"/>
        <w:rPr>
          <w:rFonts w:ascii="宋体" w:hAnsi="宋体"/>
          <w:sz w:val="24"/>
          <w:szCs w:val="24"/>
        </w:rPr>
      </w:pPr>
      <w:r>
        <w:rPr>
          <w:rFonts w:hint="eastAsia" w:ascii="宋体" w:hAnsi="宋体"/>
          <w:sz w:val="24"/>
          <w:szCs w:val="24"/>
        </w:rPr>
        <w:t>1.承包款的拨付</w:t>
      </w:r>
    </w:p>
    <w:p w14:paraId="74BC5861">
      <w:pPr>
        <w:spacing w:line="360" w:lineRule="auto"/>
        <w:ind w:firstLine="480" w:firstLineChars="200"/>
        <w:rPr>
          <w:rFonts w:hint="eastAsia"/>
          <w:sz w:val="24"/>
          <w:szCs w:val="24"/>
        </w:rPr>
      </w:pPr>
      <w:r>
        <w:rPr>
          <w:rFonts w:hint="eastAsia"/>
          <w:sz w:val="24"/>
          <w:szCs w:val="24"/>
        </w:rPr>
        <w:t>（1）年承包金额人民币：  佰  拾  万  仟  佰  拾  元  角  分（小写￥               元）。</w:t>
      </w:r>
    </w:p>
    <w:p w14:paraId="39528CD5">
      <w:pPr>
        <w:spacing w:line="360" w:lineRule="auto"/>
        <w:ind w:firstLine="480" w:firstLineChars="200"/>
        <w:rPr>
          <w:rFonts w:hint="eastAsia"/>
          <w:sz w:val="24"/>
          <w:szCs w:val="24"/>
        </w:rPr>
      </w:pPr>
      <w:r>
        <w:rPr>
          <w:rFonts w:hint="eastAsia"/>
          <w:sz w:val="24"/>
          <w:szCs w:val="24"/>
        </w:rPr>
        <w:t>（2）承包费结算方式：甲方</w:t>
      </w:r>
      <w:r>
        <w:rPr>
          <w:rFonts w:hint="eastAsia"/>
          <w:sz w:val="24"/>
          <w:szCs w:val="24"/>
          <w:u w:val="single"/>
        </w:rPr>
        <w:t xml:space="preserve">      </w:t>
      </w:r>
      <w:r>
        <w:rPr>
          <w:rFonts w:hint="eastAsia"/>
          <w:sz w:val="24"/>
          <w:szCs w:val="24"/>
        </w:rPr>
        <w:t>年分两次支付给乙方年承包费的90%，剩余年承包费的10%于次年结算。</w:t>
      </w:r>
    </w:p>
    <w:p w14:paraId="6E0B6D17">
      <w:pPr>
        <w:spacing w:line="440" w:lineRule="exact"/>
        <w:ind w:firstLine="480" w:firstLineChars="200"/>
        <w:jc w:val="left"/>
        <w:rPr>
          <w:rFonts w:hint="eastAsia" w:ascii="宋体" w:hAnsi="宋体"/>
          <w:sz w:val="24"/>
          <w:szCs w:val="24"/>
        </w:rPr>
      </w:pPr>
      <w:r>
        <w:rPr>
          <w:rFonts w:hint="eastAsia" w:ascii="宋体" w:hAnsi="宋体"/>
          <w:sz w:val="24"/>
          <w:szCs w:val="24"/>
        </w:rPr>
        <w:t>（3）合同总价中包含合同有效期内服务过程中所需的设备、工具、人工、保险、消耗品、维修、运输、水、电、责任范围维修等一切费用，甲、乙双方均不得产生合同总价以外的任何费用。</w:t>
      </w:r>
    </w:p>
    <w:p w14:paraId="30E60712">
      <w:pPr>
        <w:spacing w:line="360" w:lineRule="auto"/>
        <w:ind w:firstLine="480" w:firstLineChars="200"/>
        <w:rPr>
          <w:rFonts w:hint="eastAsia"/>
          <w:sz w:val="24"/>
          <w:szCs w:val="24"/>
        </w:rPr>
      </w:pPr>
      <w:r>
        <w:rPr>
          <w:rFonts w:hint="eastAsia"/>
          <w:sz w:val="24"/>
          <w:szCs w:val="24"/>
        </w:rPr>
        <w:t>（4）考核期内每出现一次一般责任事故，扣除承包费50,000元；考核期内出现一次重大责任事故，扣除承包费100,000元。</w:t>
      </w:r>
    </w:p>
    <w:p w14:paraId="730FAC96">
      <w:pPr>
        <w:spacing w:line="360" w:lineRule="auto"/>
        <w:ind w:firstLine="480" w:firstLineChars="200"/>
        <w:rPr>
          <w:rFonts w:ascii="宋体" w:hAnsi="宋体"/>
          <w:b/>
          <w:sz w:val="24"/>
          <w:szCs w:val="24"/>
        </w:rPr>
      </w:pPr>
      <w:r>
        <w:rPr>
          <w:rFonts w:hint="eastAsia" w:ascii="宋体" w:hAnsi="宋体"/>
          <w:b/>
          <w:sz w:val="24"/>
          <w:szCs w:val="24"/>
        </w:rPr>
        <w:t>第三条 检查与考核</w:t>
      </w:r>
    </w:p>
    <w:p w14:paraId="35C4408F">
      <w:pPr>
        <w:spacing w:line="360" w:lineRule="auto"/>
        <w:ind w:firstLine="480" w:firstLineChars="200"/>
        <w:rPr>
          <w:rFonts w:hint="eastAsia"/>
          <w:sz w:val="24"/>
          <w:szCs w:val="24"/>
        </w:rPr>
      </w:pPr>
      <w:r>
        <w:rPr>
          <w:rFonts w:hint="eastAsia"/>
          <w:sz w:val="24"/>
          <w:szCs w:val="24"/>
        </w:rPr>
        <w:t>1、甲方</w:t>
      </w:r>
      <w:r>
        <w:rPr>
          <w:sz w:val="24"/>
          <w:szCs w:val="24"/>
        </w:rPr>
        <w:t>依据《北京市环境</w:t>
      </w:r>
      <w:r>
        <w:rPr>
          <w:rFonts w:hint="eastAsia"/>
          <w:sz w:val="24"/>
          <w:szCs w:val="24"/>
        </w:rPr>
        <w:t>卫生监督检查考评办法》、《北京市公共厕所运行管理规范》（DBI1/T356-2017）、责任事故认定办法及甲方相关考核标准对乙方业务完成情况进行检查评分，每月根据检查结果对乙方进行考核排名。</w:t>
      </w:r>
    </w:p>
    <w:p w14:paraId="28DB79DB">
      <w:pPr>
        <w:spacing w:line="360" w:lineRule="auto"/>
        <w:ind w:firstLine="480" w:firstLineChars="200"/>
        <w:rPr>
          <w:sz w:val="24"/>
          <w:szCs w:val="24"/>
        </w:rPr>
      </w:pPr>
      <w:r>
        <w:rPr>
          <w:rFonts w:hint="eastAsia"/>
          <w:sz w:val="24"/>
          <w:szCs w:val="24"/>
        </w:rPr>
        <w:t>2、考核</w:t>
      </w:r>
    </w:p>
    <w:p w14:paraId="3143275E">
      <w:pPr>
        <w:spacing w:line="360" w:lineRule="auto"/>
        <w:ind w:firstLine="480" w:firstLineChars="200"/>
        <w:rPr>
          <w:rFonts w:hint="eastAsia"/>
          <w:sz w:val="24"/>
          <w:szCs w:val="24"/>
        </w:rPr>
      </w:pPr>
      <w:r>
        <w:rPr>
          <w:rFonts w:hint="eastAsia"/>
          <w:sz w:val="24"/>
          <w:szCs w:val="24"/>
        </w:rPr>
        <w:t>（1）考核内容包含市、区级检查、接诉即办考核、环卫中心检查、日常运行、重大活动及应急保障任务等。</w:t>
      </w:r>
    </w:p>
    <w:p w14:paraId="48FEB3AE">
      <w:pPr>
        <w:spacing w:line="360" w:lineRule="auto"/>
        <w:ind w:firstLine="480" w:firstLineChars="200"/>
        <w:rPr>
          <w:sz w:val="24"/>
          <w:szCs w:val="24"/>
        </w:rPr>
      </w:pPr>
      <w:r>
        <w:rPr>
          <w:rFonts w:hint="eastAsia"/>
          <w:sz w:val="24"/>
          <w:szCs w:val="24"/>
        </w:rPr>
        <w:t>（2）每月对乙方保洁业务完成情况进行百分制考核，结果及时反馈至乙方。</w:t>
      </w:r>
      <w:r>
        <w:rPr>
          <w:sz w:val="24"/>
          <w:szCs w:val="24"/>
        </w:rPr>
        <w:t>如有异议可在3日内以书面形式提交甲方进行复议。</w:t>
      </w:r>
    </w:p>
    <w:p w14:paraId="14E661B3">
      <w:pPr>
        <w:spacing w:line="360" w:lineRule="auto"/>
        <w:ind w:firstLine="480" w:firstLineChars="200"/>
        <w:rPr>
          <w:rFonts w:hint="eastAsia"/>
          <w:sz w:val="24"/>
          <w:szCs w:val="24"/>
        </w:rPr>
      </w:pPr>
      <w:r>
        <w:rPr>
          <w:rFonts w:hint="eastAsia"/>
          <w:sz w:val="24"/>
          <w:szCs w:val="24"/>
        </w:rPr>
        <w:t>（3）每年度考核满分为100分，其分数为该年度12个月得分之和的算术平均数。考核分数将书面通知乙方。</w:t>
      </w:r>
    </w:p>
    <w:p w14:paraId="2859A918">
      <w:pPr>
        <w:spacing w:line="360" w:lineRule="auto"/>
        <w:ind w:firstLine="480" w:firstLineChars="200"/>
        <w:rPr>
          <w:rFonts w:hint="eastAsia"/>
          <w:sz w:val="24"/>
          <w:szCs w:val="24"/>
        </w:rPr>
      </w:pPr>
      <w:r>
        <w:rPr>
          <w:rFonts w:hint="eastAsia"/>
          <w:sz w:val="24"/>
          <w:szCs w:val="24"/>
        </w:rPr>
        <w:t>（4）连续3次月考核成绩最后1名，甲方有权终止合同。</w:t>
      </w:r>
    </w:p>
    <w:p w14:paraId="055993FB">
      <w:pPr>
        <w:spacing w:line="360" w:lineRule="auto"/>
        <w:ind w:firstLine="480" w:firstLineChars="200"/>
        <w:rPr>
          <w:rFonts w:hint="eastAsia"/>
          <w:sz w:val="24"/>
          <w:szCs w:val="24"/>
        </w:rPr>
      </w:pPr>
      <w:r>
        <w:rPr>
          <w:rFonts w:hint="eastAsia"/>
          <w:sz w:val="24"/>
          <w:szCs w:val="24"/>
        </w:rPr>
        <w:t>（5）乙方1年内出现1次重大责任事故或2次一般责任事故的，甲方有权终止合同。</w:t>
      </w:r>
    </w:p>
    <w:p w14:paraId="207811B4">
      <w:pPr>
        <w:spacing w:line="360" w:lineRule="auto"/>
        <w:ind w:firstLine="480" w:firstLineChars="200"/>
        <w:rPr>
          <w:rFonts w:hint="eastAsia"/>
          <w:b/>
          <w:sz w:val="24"/>
          <w:szCs w:val="24"/>
        </w:rPr>
      </w:pPr>
      <w:r>
        <w:rPr>
          <w:rFonts w:hint="eastAsia"/>
          <w:b/>
          <w:sz w:val="24"/>
          <w:szCs w:val="24"/>
        </w:rPr>
        <w:t>重大责任事故和一般责任事故的认定</w:t>
      </w:r>
    </w:p>
    <w:p w14:paraId="06C53D2F">
      <w:pPr>
        <w:spacing w:line="360" w:lineRule="auto"/>
        <w:ind w:firstLine="480" w:firstLineChars="200"/>
        <w:rPr>
          <w:rFonts w:hint="eastAsia"/>
          <w:sz w:val="24"/>
          <w:szCs w:val="24"/>
        </w:rPr>
      </w:pPr>
      <w:r>
        <w:rPr>
          <w:rFonts w:hint="eastAsia"/>
          <w:sz w:val="24"/>
          <w:szCs w:val="24"/>
        </w:rPr>
        <w:t>重大责任事故――被新闻单位曝光，经查属实，影响重大的；各种重大政治活动及上级部门检查中，出现问题，造成严重后果的；未经甲方批准擅自停止作业造成严重影响的；在有重大政治活动或紧急任务的情况下，没有按要求及时完成指令性工作任务的；发生重大安全生产事故的。</w:t>
      </w:r>
    </w:p>
    <w:p w14:paraId="390702E1">
      <w:pPr>
        <w:spacing w:line="360" w:lineRule="auto"/>
        <w:ind w:firstLine="480" w:firstLineChars="200"/>
        <w:rPr>
          <w:rFonts w:hint="eastAsia"/>
          <w:sz w:val="24"/>
          <w:szCs w:val="24"/>
        </w:rPr>
      </w:pPr>
      <w:r>
        <w:rPr>
          <w:rFonts w:hint="eastAsia"/>
          <w:sz w:val="24"/>
          <w:szCs w:val="24"/>
        </w:rPr>
        <w:t>一般责任事故――人大代表、政协委员、上级领导及群众反映业务管理及服务质量有问题，经查属实，造成一定影响的；各种重大政治活动或上级部门检查中出现问题，造成不良影响的；因乙方主观因素，造成12345接诉即办举报，造成一定影响的；未能及时按质按量完成甲方布置的各项临时任务的；对各种检查和群众反映的问题，在规定的期限内未能及时解决的。</w:t>
      </w:r>
    </w:p>
    <w:p w14:paraId="103502AC">
      <w:pPr>
        <w:spacing w:line="360" w:lineRule="auto"/>
        <w:ind w:firstLine="480" w:firstLineChars="200"/>
        <w:jc w:val="left"/>
        <w:rPr>
          <w:rFonts w:hint="eastAsia" w:ascii="宋体" w:hAnsi="宋体"/>
          <w:b/>
          <w:sz w:val="24"/>
          <w:szCs w:val="24"/>
        </w:rPr>
      </w:pPr>
      <w:r>
        <w:rPr>
          <w:rFonts w:hint="eastAsia" w:ascii="宋体" w:hAnsi="宋体"/>
          <w:b/>
          <w:sz w:val="24"/>
          <w:szCs w:val="24"/>
        </w:rPr>
        <w:t>第四条 甲方权利、义务</w:t>
      </w:r>
    </w:p>
    <w:p w14:paraId="0F0A0FE0">
      <w:pPr>
        <w:spacing w:line="360" w:lineRule="auto"/>
        <w:ind w:firstLine="480" w:firstLineChars="200"/>
        <w:jc w:val="left"/>
        <w:rPr>
          <w:rFonts w:ascii="宋体" w:hAnsi="宋体"/>
          <w:sz w:val="24"/>
          <w:szCs w:val="24"/>
        </w:rPr>
      </w:pPr>
      <w:r>
        <w:rPr>
          <w:rFonts w:hint="eastAsia" w:ascii="宋体" w:hAnsi="宋体"/>
          <w:sz w:val="24"/>
          <w:szCs w:val="24"/>
        </w:rPr>
        <w:t>1、权利</w:t>
      </w:r>
    </w:p>
    <w:p w14:paraId="69EBA76E">
      <w:pPr>
        <w:spacing w:line="360" w:lineRule="auto"/>
        <w:ind w:firstLine="480" w:firstLineChars="200"/>
        <w:rPr>
          <w:rFonts w:hint="eastAsia"/>
          <w:sz w:val="24"/>
          <w:szCs w:val="24"/>
        </w:rPr>
      </w:pPr>
      <w:r>
        <w:rPr>
          <w:rFonts w:hint="eastAsia" w:ascii="宋体" w:hAnsi="宋体"/>
          <w:sz w:val="24"/>
          <w:szCs w:val="24"/>
        </w:rPr>
        <w:t>（1）甲方有权</w:t>
      </w:r>
      <w:r>
        <w:rPr>
          <w:rFonts w:ascii="宋体" w:hAnsi="宋体"/>
          <w:sz w:val="24"/>
          <w:szCs w:val="24"/>
        </w:rPr>
        <w:t>依据</w:t>
      </w:r>
      <w:r>
        <w:rPr>
          <w:sz w:val="24"/>
          <w:szCs w:val="24"/>
        </w:rPr>
        <w:t>《北京市环境卫生</w:t>
      </w:r>
      <w:r>
        <w:rPr>
          <w:rFonts w:hint="eastAsia"/>
          <w:sz w:val="24"/>
          <w:szCs w:val="24"/>
        </w:rPr>
        <w:t>洁净指数评价方案</w:t>
      </w:r>
      <w:r>
        <w:rPr>
          <w:sz w:val="24"/>
          <w:szCs w:val="24"/>
        </w:rPr>
        <w:t>》</w:t>
      </w:r>
      <w:r>
        <w:rPr>
          <w:rFonts w:ascii="宋体" w:hAnsi="宋体"/>
          <w:sz w:val="24"/>
          <w:szCs w:val="24"/>
        </w:rPr>
        <w:t>、《北京市公共厕</w:t>
      </w:r>
      <w:r>
        <w:rPr>
          <w:sz w:val="24"/>
          <w:szCs w:val="24"/>
        </w:rPr>
        <w:t>所运行管理规范》（DBI1/T356-2017）</w:t>
      </w:r>
      <w:r>
        <w:rPr>
          <w:rFonts w:hint="eastAsia"/>
          <w:sz w:val="24"/>
          <w:szCs w:val="24"/>
        </w:rPr>
        <w:t>、责任事故认定办法</w:t>
      </w:r>
      <w:r>
        <w:rPr>
          <w:sz w:val="24"/>
          <w:szCs w:val="24"/>
        </w:rPr>
        <w:t>及甲方相关考评办法对乙方保洁</w:t>
      </w:r>
      <w:r>
        <w:rPr>
          <w:rFonts w:hint="eastAsia"/>
          <w:sz w:val="24"/>
          <w:szCs w:val="24"/>
        </w:rPr>
        <w:t>服务</w:t>
      </w:r>
      <w:r>
        <w:rPr>
          <w:sz w:val="24"/>
          <w:szCs w:val="24"/>
        </w:rPr>
        <w:t>质量进行检查、</w:t>
      </w:r>
      <w:r>
        <w:rPr>
          <w:rFonts w:hint="eastAsia"/>
          <w:sz w:val="24"/>
          <w:szCs w:val="24"/>
        </w:rPr>
        <w:t>考核</w:t>
      </w:r>
      <w:r>
        <w:rPr>
          <w:sz w:val="24"/>
          <w:szCs w:val="24"/>
        </w:rPr>
        <w:t>。</w:t>
      </w:r>
    </w:p>
    <w:p w14:paraId="139FC043">
      <w:pPr>
        <w:spacing w:line="360" w:lineRule="auto"/>
        <w:ind w:firstLine="480" w:firstLineChars="200"/>
        <w:rPr>
          <w:rFonts w:ascii="宋体" w:hAnsi="宋体"/>
          <w:sz w:val="24"/>
          <w:szCs w:val="24"/>
        </w:rPr>
      </w:pPr>
      <w:r>
        <w:rPr>
          <w:rFonts w:hint="eastAsia"/>
          <w:sz w:val="24"/>
          <w:szCs w:val="24"/>
        </w:rPr>
        <w:t>（2）甲方有权依据市、区检查考核标准对《门头沟区环境卫生服务中心公共厕所运行保洁考核标准》进行调整。</w:t>
      </w:r>
    </w:p>
    <w:p w14:paraId="51959F71">
      <w:pPr>
        <w:spacing w:line="360" w:lineRule="auto"/>
        <w:ind w:firstLine="480" w:firstLineChars="200"/>
        <w:rPr>
          <w:rFonts w:ascii="宋体" w:hAnsi="宋体"/>
          <w:sz w:val="24"/>
          <w:szCs w:val="24"/>
        </w:rPr>
      </w:pPr>
      <w:r>
        <w:rPr>
          <w:rFonts w:hint="eastAsia" w:ascii="宋体" w:hAnsi="宋体"/>
          <w:sz w:val="24"/>
          <w:szCs w:val="24"/>
        </w:rPr>
        <w:t>（3）乙方未按合同规定的质量标准和作业工艺要求服务的，甲方有权要求乙方进行整改，未按整改要求达到服务质量标准的，甲方有权解除合同。</w:t>
      </w:r>
    </w:p>
    <w:p w14:paraId="3D4F4DC7">
      <w:pPr>
        <w:spacing w:line="360" w:lineRule="auto"/>
        <w:ind w:firstLine="480" w:firstLineChars="200"/>
        <w:rPr>
          <w:rFonts w:ascii="宋体" w:hAnsi="宋体"/>
          <w:sz w:val="24"/>
          <w:szCs w:val="24"/>
        </w:rPr>
      </w:pPr>
      <w:r>
        <w:rPr>
          <w:rFonts w:hint="eastAsia" w:ascii="宋体" w:hAnsi="宋体"/>
          <w:sz w:val="24"/>
          <w:szCs w:val="24"/>
        </w:rPr>
        <w:t>（4）乙方未按合同规定的质量标准和作业工艺作业，甲方有权根据考核结果扣除相应的承包费。</w:t>
      </w:r>
    </w:p>
    <w:p w14:paraId="780CFAF9">
      <w:pPr>
        <w:spacing w:line="360" w:lineRule="auto"/>
        <w:ind w:firstLine="480" w:firstLineChars="200"/>
        <w:rPr>
          <w:rFonts w:ascii="宋体" w:hAnsi="宋体"/>
          <w:sz w:val="24"/>
          <w:szCs w:val="24"/>
        </w:rPr>
      </w:pPr>
      <w:r>
        <w:rPr>
          <w:rFonts w:hint="eastAsia" w:ascii="宋体" w:hAnsi="宋体"/>
          <w:sz w:val="24"/>
          <w:szCs w:val="24"/>
        </w:rPr>
        <w:t>（5）甲方有权对乙方的服务范围进行调整。</w:t>
      </w:r>
    </w:p>
    <w:p w14:paraId="38E05A5F">
      <w:pPr>
        <w:spacing w:line="360" w:lineRule="auto"/>
        <w:ind w:firstLine="480" w:firstLineChars="200"/>
        <w:rPr>
          <w:rFonts w:hint="eastAsia" w:ascii="宋体" w:hAnsi="宋体"/>
          <w:sz w:val="24"/>
          <w:szCs w:val="24"/>
        </w:rPr>
      </w:pPr>
      <w:r>
        <w:rPr>
          <w:rFonts w:hint="eastAsia" w:ascii="宋体" w:hAnsi="宋体"/>
          <w:sz w:val="24"/>
          <w:szCs w:val="24"/>
        </w:rPr>
        <w:t>（6）甲方有权要求乙方承担因</w:t>
      </w:r>
      <w:r>
        <w:rPr>
          <w:rFonts w:hint="eastAsia" w:ascii="宋体" w:hAnsi="宋体" w:cs="宋体"/>
          <w:kern w:val="0"/>
          <w:sz w:val="24"/>
          <w:szCs w:val="24"/>
        </w:rPr>
        <w:t>管理不善造成的公共厕所主体结构损坏等大型工程费用，正常使用情况下发生的公共厕所主体结构损坏等大型工程，所需的费用由甲方承担。</w:t>
      </w:r>
    </w:p>
    <w:p w14:paraId="59E3E954">
      <w:pPr>
        <w:spacing w:line="360" w:lineRule="auto"/>
        <w:ind w:firstLine="480" w:firstLineChars="200"/>
        <w:rPr>
          <w:rFonts w:hint="eastAsia" w:ascii="宋体" w:hAnsi="宋体"/>
          <w:sz w:val="24"/>
          <w:szCs w:val="24"/>
        </w:rPr>
      </w:pPr>
      <w:r>
        <w:rPr>
          <w:rFonts w:hint="eastAsia" w:ascii="宋体" w:hAnsi="宋体"/>
          <w:sz w:val="24"/>
          <w:szCs w:val="24"/>
        </w:rPr>
        <w:t>2、义务</w:t>
      </w:r>
    </w:p>
    <w:p w14:paraId="13F73E6B">
      <w:pPr>
        <w:spacing w:line="360" w:lineRule="auto"/>
        <w:ind w:firstLine="480" w:firstLineChars="200"/>
        <w:rPr>
          <w:rFonts w:hint="eastAsia" w:ascii="宋体" w:hAnsi="宋体"/>
          <w:sz w:val="24"/>
          <w:szCs w:val="24"/>
        </w:rPr>
      </w:pPr>
      <w:r>
        <w:rPr>
          <w:rFonts w:hint="eastAsia" w:ascii="宋体" w:hAnsi="宋体"/>
          <w:sz w:val="24"/>
          <w:szCs w:val="24"/>
        </w:rPr>
        <w:t>（1）甲方负有向乙方解释服务质量标准和作业工艺的义务。</w:t>
      </w:r>
    </w:p>
    <w:p w14:paraId="665DE6EE">
      <w:pPr>
        <w:spacing w:line="360" w:lineRule="auto"/>
        <w:ind w:firstLine="480" w:firstLineChars="200"/>
        <w:rPr>
          <w:rFonts w:hint="eastAsia" w:ascii="宋体" w:hAnsi="宋体"/>
          <w:sz w:val="24"/>
          <w:szCs w:val="24"/>
        </w:rPr>
      </w:pPr>
      <w:r>
        <w:rPr>
          <w:rFonts w:hint="eastAsia" w:ascii="宋体" w:hAnsi="宋体"/>
          <w:sz w:val="24"/>
          <w:szCs w:val="24"/>
        </w:rPr>
        <w:t>（2）甲方负有向乙方通告检查及考核结果的义务。</w:t>
      </w:r>
    </w:p>
    <w:p w14:paraId="6C6FB012">
      <w:pPr>
        <w:spacing w:line="360" w:lineRule="auto"/>
        <w:ind w:firstLine="480" w:firstLineChars="200"/>
        <w:rPr>
          <w:rFonts w:ascii="宋体" w:hAnsi="宋体"/>
          <w:sz w:val="24"/>
          <w:szCs w:val="24"/>
        </w:rPr>
      </w:pPr>
      <w:r>
        <w:rPr>
          <w:rFonts w:hint="eastAsia" w:ascii="宋体" w:hAnsi="宋体"/>
          <w:sz w:val="24"/>
          <w:szCs w:val="24"/>
        </w:rPr>
        <w:t>（3）甲方负有按期向乙方支付服务费用的义务。</w:t>
      </w:r>
    </w:p>
    <w:p w14:paraId="1D812755">
      <w:pPr>
        <w:spacing w:line="360" w:lineRule="auto"/>
        <w:ind w:firstLine="480" w:firstLineChars="200"/>
        <w:jc w:val="left"/>
        <w:rPr>
          <w:rFonts w:hint="eastAsia" w:ascii="宋体" w:hAnsi="宋体"/>
          <w:b/>
          <w:sz w:val="24"/>
          <w:szCs w:val="24"/>
        </w:rPr>
      </w:pPr>
      <w:r>
        <w:rPr>
          <w:rFonts w:hint="eastAsia" w:ascii="宋体" w:hAnsi="宋体"/>
          <w:b/>
          <w:sz w:val="24"/>
          <w:szCs w:val="24"/>
        </w:rPr>
        <w:t>第五条 乙方权利、义务</w:t>
      </w:r>
    </w:p>
    <w:p w14:paraId="02E5C309">
      <w:pPr>
        <w:spacing w:line="360" w:lineRule="auto"/>
        <w:ind w:firstLine="480" w:firstLineChars="200"/>
        <w:jc w:val="left"/>
        <w:rPr>
          <w:rFonts w:ascii="宋体" w:hAnsi="宋体"/>
          <w:sz w:val="24"/>
          <w:szCs w:val="24"/>
        </w:rPr>
      </w:pPr>
      <w:r>
        <w:rPr>
          <w:rFonts w:hint="eastAsia" w:ascii="宋体" w:hAnsi="宋体"/>
          <w:sz w:val="24"/>
          <w:szCs w:val="24"/>
        </w:rPr>
        <w:t>1、乙方的权利</w:t>
      </w:r>
    </w:p>
    <w:p w14:paraId="0D7F279E">
      <w:pPr>
        <w:spacing w:line="360" w:lineRule="auto"/>
        <w:ind w:firstLine="480" w:firstLineChars="200"/>
        <w:jc w:val="left"/>
        <w:rPr>
          <w:rFonts w:ascii="宋体" w:hAnsi="宋体"/>
          <w:sz w:val="24"/>
          <w:szCs w:val="24"/>
        </w:rPr>
      </w:pPr>
      <w:r>
        <w:rPr>
          <w:rFonts w:hint="eastAsia" w:ascii="宋体" w:hAnsi="宋体"/>
          <w:sz w:val="24"/>
          <w:szCs w:val="24"/>
        </w:rPr>
        <w:t>（1）乙方享有组织公共厕所运行保洁服务的权利，并自行承担服务风险。</w:t>
      </w:r>
    </w:p>
    <w:p w14:paraId="0363A736">
      <w:pPr>
        <w:spacing w:line="360" w:lineRule="auto"/>
        <w:ind w:firstLine="480" w:firstLineChars="200"/>
        <w:jc w:val="left"/>
        <w:rPr>
          <w:rFonts w:ascii="宋体" w:hAnsi="宋体"/>
          <w:sz w:val="24"/>
          <w:szCs w:val="24"/>
        </w:rPr>
      </w:pPr>
      <w:r>
        <w:rPr>
          <w:rFonts w:hint="eastAsia" w:ascii="宋体" w:hAnsi="宋体"/>
          <w:sz w:val="24"/>
          <w:szCs w:val="24"/>
        </w:rPr>
        <w:t>（2）乙方享有根据作业量、作业质量获得相应服务费的权利。</w:t>
      </w:r>
    </w:p>
    <w:p w14:paraId="2556575D">
      <w:pPr>
        <w:spacing w:line="360" w:lineRule="auto"/>
        <w:ind w:firstLine="480" w:firstLineChars="200"/>
        <w:jc w:val="left"/>
        <w:rPr>
          <w:rFonts w:ascii="宋体" w:hAnsi="宋体"/>
          <w:sz w:val="24"/>
          <w:szCs w:val="24"/>
        </w:rPr>
      </w:pPr>
      <w:r>
        <w:rPr>
          <w:rFonts w:hint="eastAsia" w:ascii="宋体" w:hAnsi="宋体"/>
          <w:sz w:val="24"/>
          <w:szCs w:val="24"/>
        </w:rPr>
        <w:t>（3）乙方享有对服务作业质量标准、检查结果要求甲方进行解释说明的权利。</w:t>
      </w:r>
    </w:p>
    <w:p w14:paraId="14436C30">
      <w:pPr>
        <w:spacing w:line="360" w:lineRule="auto"/>
        <w:ind w:firstLine="480" w:firstLineChars="200"/>
        <w:jc w:val="left"/>
        <w:rPr>
          <w:rFonts w:ascii="宋体" w:hAnsi="宋体"/>
          <w:sz w:val="24"/>
          <w:szCs w:val="24"/>
        </w:rPr>
      </w:pPr>
      <w:r>
        <w:rPr>
          <w:rFonts w:hint="eastAsia" w:ascii="宋体" w:hAnsi="宋体"/>
          <w:sz w:val="24"/>
          <w:szCs w:val="24"/>
        </w:rPr>
        <w:t>（4）乙方享有根据作业情况调整作业计划，临时变更作业安排的权利，但须向甲方报告，并经甲方书面同意，以便甲方进行监督考核。</w:t>
      </w:r>
    </w:p>
    <w:p w14:paraId="5EEFFAD3">
      <w:pPr>
        <w:spacing w:line="360" w:lineRule="auto"/>
        <w:ind w:firstLine="480" w:firstLineChars="200"/>
        <w:jc w:val="left"/>
        <w:rPr>
          <w:rFonts w:ascii="宋体" w:hAnsi="宋体"/>
          <w:sz w:val="24"/>
          <w:szCs w:val="24"/>
        </w:rPr>
      </w:pPr>
      <w:r>
        <w:rPr>
          <w:rFonts w:hint="eastAsia" w:ascii="宋体" w:hAnsi="宋体"/>
          <w:sz w:val="24"/>
          <w:szCs w:val="24"/>
        </w:rPr>
        <w:t>2、乙方的义务：</w:t>
      </w:r>
    </w:p>
    <w:p w14:paraId="4ED1AC24">
      <w:pPr>
        <w:spacing w:line="360" w:lineRule="auto"/>
        <w:ind w:firstLine="480" w:firstLineChars="200"/>
        <w:jc w:val="left"/>
        <w:rPr>
          <w:rFonts w:ascii="宋体" w:hAnsi="宋体"/>
          <w:sz w:val="24"/>
          <w:szCs w:val="24"/>
        </w:rPr>
      </w:pPr>
      <w:r>
        <w:rPr>
          <w:rFonts w:hint="eastAsia" w:ascii="宋体" w:hAnsi="宋体"/>
          <w:sz w:val="24"/>
          <w:szCs w:val="24"/>
        </w:rPr>
        <w:t>（1）乙方有在合同规定的服务范围内按质量标准和作业工艺进行作业的义务。</w:t>
      </w:r>
    </w:p>
    <w:p w14:paraId="7A3D4BDC">
      <w:pPr>
        <w:spacing w:line="360" w:lineRule="auto"/>
        <w:ind w:firstLine="480" w:firstLineChars="200"/>
        <w:jc w:val="left"/>
        <w:rPr>
          <w:rFonts w:ascii="宋体" w:hAnsi="宋体"/>
          <w:sz w:val="24"/>
          <w:szCs w:val="24"/>
        </w:rPr>
      </w:pPr>
      <w:r>
        <w:rPr>
          <w:rFonts w:hint="eastAsia" w:ascii="宋体" w:hAnsi="宋体"/>
          <w:sz w:val="24"/>
          <w:szCs w:val="24"/>
        </w:rPr>
        <w:t>（2）乙方有完成突发应急事件及重大活动临时性保障作业的义务，并在一小时内做出实质响应。</w:t>
      </w:r>
    </w:p>
    <w:p w14:paraId="4567E789">
      <w:pPr>
        <w:spacing w:line="360" w:lineRule="auto"/>
        <w:ind w:firstLine="480" w:firstLineChars="200"/>
        <w:jc w:val="left"/>
        <w:rPr>
          <w:rFonts w:ascii="宋体" w:hAnsi="宋体"/>
          <w:sz w:val="24"/>
          <w:szCs w:val="24"/>
        </w:rPr>
      </w:pPr>
      <w:r>
        <w:rPr>
          <w:rFonts w:hint="eastAsia" w:ascii="宋体" w:hAnsi="宋体"/>
          <w:sz w:val="24"/>
          <w:szCs w:val="24"/>
        </w:rPr>
        <w:t>（3）乙方有在服务期限内向甲方提交工作计划，并经甲方书面确认后实施的义务。</w:t>
      </w:r>
    </w:p>
    <w:p w14:paraId="464FBCDB">
      <w:pPr>
        <w:spacing w:line="360" w:lineRule="auto"/>
        <w:ind w:firstLine="480" w:firstLineChars="200"/>
        <w:jc w:val="left"/>
        <w:rPr>
          <w:rFonts w:ascii="宋体" w:hAnsi="宋体"/>
          <w:sz w:val="24"/>
          <w:szCs w:val="24"/>
        </w:rPr>
      </w:pPr>
      <w:r>
        <w:rPr>
          <w:rFonts w:hint="eastAsia" w:ascii="宋体" w:hAnsi="宋体"/>
          <w:sz w:val="24"/>
          <w:szCs w:val="24"/>
        </w:rPr>
        <w:t>（4）乙方有保存相关资料，接受甲方或甲方指定部门的检查并提供相关报告的义务。</w:t>
      </w:r>
    </w:p>
    <w:p w14:paraId="05740BE5">
      <w:pPr>
        <w:spacing w:line="360" w:lineRule="auto"/>
        <w:ind w:firstLine="480" w:firstLineChars="200"/>
        <w:jc w:val="left"/>
        <w:rPr>
          <w:rFonts w:ascii="宋体" w:hAnsi="宋体"/>
          <w:sz w:val="24"/>
          <w:szCs w:val="24"/>
        </w:rPr>
      </w:pPr>
      <w:r>
        <w:rPr>
          <w:rFonts w:hint="eastAsia" w:ascii="宋体" w:hAnsi="宋体"/>
          <w:sz w:val="24"/>
          <w:szCs w:val="24"/>
        </w:rPr>
        <w:t>（5）乙方有义务接受各级监督检查及整改要求。</w:t>
      </w:r>
    </w:p>
    <w:p w14:paraId="28FAA1DC">
      <w:pPr>
        <w:spacing w:line="360" w:lineRule="auto"/>
        <w:ind w:firstLine="480" w:firstLineChars="200"/>
        <w:jc w:val="left"/>
        <w:rPr>
          <w:rFonts w:ascii="宋体" w:hAnsi="宋体"/>
          <w:sz w:val="24"/>
          <w:szCs w:val="24"/>
        </w:rPr>
      </w:pPr>
      <w:r>
        <w:rPr>
          <w:rFonts w:hint="eastAsia" w:ascii="宋体" w:hAnsi="宋体"/>
          <w:sz w:val="24"/>
          <w:szCs w:val="24"/>
        </w:rPr>
        <w:t>（6）乙方对各部门提出的整改要求，有义务在120分钟内迅速采取相关措施，完成相应工作。</w:t>
      </w:r>
    </w:p>
    <w:p w14:paraId="41CD3326">
      <w:pPr>
        <w:spacing w:line="360" w:lineRule="auto"/>
        <w:ind w:firstLine="480" w:firstLineChars="200"/>
        <w:jc w:val="left"/>
        <w:rPr>
          <w:rFonts w:ascii="宋体" w:hAnsi="宋体"/>
          <w:sz w:val="24"/>
          <w:szCs w:val="24"/>
        </w:rPr>
      </w:pPr>
      <w:r>
        <w:rPr>
          <w:rFonts w:hint="eastAsia" w:ascii="宋体" w:hAnsi="宋体"/>
          <w:sz w:val="24"/>
          <w:szCs w:val="24"/>
        </w:rPr>
        <w:t>（7）乙方如有重大工作方案调整需征得甲方书面同意后实施。</w:t>
      </w:r>
    </w:p>
    <w:p w14:paraId="4490699A">
      <w:pPr>
        <w:spacing w:line="360" w:lineRule="auto"/>
        <w:ind w:firstLine="480" w:firstLineChars="200"/>
        <w:rPr>
          <w:rFonts w:ascii="宋体" w:hAnsi="宋体"/>
          <w:b/>
          <w:sz w:val="24"/>
          <w:szCs w:val="24"/>
        </w:rPr>
      </w:pPr>
      <w:r>
        <w:rPr>
          <w:rFonts w:hint="eastAsia" w:ascii="宋体" w:hAnsi="宋体"/>
          <w:b/>
          <w:sz w:val="24"/>
          <w:szCs w:val="24"/>
        </w:rPr>
        <w:t>第六条 违约责任</w:t>
      </w:r>
    </w:p>
    <w:p w14:paraId="3F9E47AE">
      <w:pPr>
        <w:spacing w:line="360" w:lineRule="auto"/>
        <w:ind w:firstLine="480" w:firstLineChars="200"/>
        <w:rPr>
          <w:rFonts w:ascii="宋体" w:hAnsi="宋体"/>
          <w:sz w:val="24"/>
          <w:szCs w:val="24"/>
        </w:rPr>
      </w:pPr>
      <w:r>
        <w:rPr>
          <w:rFonts w:hint="eastAsia" w:ascii="宋体" w:hAnsi="宋体"/>
          <w:sz w:val="24"/>
          <w:szCs w:val="24"/>
        </w:rPr>
        <w:t>1、如果乙方不能按投标文件承诺和合同规定的服务质量标准进行作业的，应承担违约责任。甲方将根据考核结果及结算办法从乙方的承包费中扣除。</w:t>
      </w:r>
    </w:p>
    <w:p w14:paraId="515A1EF6">
      <w:pPr>
        <w:spacing w:line="360" w:lineRule="auto"/>
        <w:ind w:firstLine="480" w:firstLineChars="200"/>
        <w:rPr>
          <w:rFonts w:ascii="宋体" w:hAnsi="宋体"/>
          <w:sz w:val="24"/>
          <w:szCs w:val="24"/>
        </w:rPr>
      </w:pPr>
      <w:r>
        <w:rPr>
          <w:rFonts w:hint="eastAsia" w:ascii="宋体" w:hAnsi="宋体"/>
          <w:sz w:val="24"/>
          <w:szCs w:val="24"/>
        </w:rPr>
        <w:t>2、乙方未按合同规定的质量标准和作业工艺要求提供服务的，需按甲方要求进行调整。整改后仍未达到相关服务质量标准和作业工艺要求的，甲方可以解除合同，乙方应退还甲方其未履行义务部分的相应服务费。</w:t>
      </w:r>
    </w:p>
    <w:p w14:paraId="018C0403">
      <w:pPr>
        <w:spacing w:line="360" w:lineRule="auto"/>
        <w:ind w:firstLine="480" w:firstLineChars="200"/>
        <w:rPr>
          <w:rFonts w:ascii="宋体" w:hAnsi="宋体"/>
          <w:sz w:val="24"/>
          <w:szCs w:val="24"/>
        </w:rPr>
      </w:pPr>
      <w:r>
        <w:rPr>
          <w:rFonts w:hint="eastAsia" w:ascii="宋体" w:hAnsi="宋体"/>
          <w:sz w:val="24"/>
          <w:szCs w:val="24"/>
        </w:rPr>
        <w:t>3、乙方未经甲方书面同意，擅自解除合同的，乙方还应退还甲方其未履行义务部分的相应服务费并向甲方支付合同总价1%的违约金。</w:t>
      </w:r>
    </w:p>
    <w:p w14:paraId="12032D06">
      <w:pPr>
        <w:spacing w:line="360" w:lineRule="auto"/>
        <w:ind w:firstLine="480" w:firstLineChars="200"/>
        <w:rPr>
          <w:rFonts w:ascii="宋体" w:hAnsi="宋体"/>
          <w:sz w:val="24"/>
          <w:szCs w:val="24"/>
        </w:rPr>
      </w:pPr>
      <w:r>
        <w:rPr>
          <w:rFonts w:hint="eastAsia" w:ascii="宋体" w:hAnsi="宋体"/>
          <w:sz w:val="24"/>
          <w:szCs w:val="24"/>
        </w:rPr>
        <w:t>4、如果乙方没有按照合同规定的时间履行合同义务，甲方有权在不影响合同项下的其他补救措施的情况下，从乙方的承包费中扣除误期赔偿费。每延误一周的赔偿费按合同总价的百分之一点五（1.5%）计收，不足一周的按一周算，直至服务交付或提供服务为止。一旦误期赔偿费的数额累计超过合同总价的5%，甲方有权终止合同，乙方应退还甲方其未履行义务部分的相应服务费。</w:t>
      </w:r>
    </w:p>
    <w:p w14:paraId="179E4972">
      <w:pPr>
        <w:spacing w:line="360" w:lineRule="auto"/>
        <w:ind w:firstLine="480" w:firstLineChars="200"/>
        <w:rPr>
          <w:rFonts w:ascii="宋体" w:hAnsi="宋体"/>
          <w:sz w:val="24"/>
          <w:szCs w:val="24"/>
        </w:rPr>
      </w:pPr>
      <w:r>
        <w:rPr>
          <w:rFonts w:hint="eastAsia" w:ascii="宋体" w:hAnsi="宋体"/>
          <w:sz w:val="24"/>
          <w:szCs w:val="24"/>
        </w:rPr>
        <w:t>5、乙方违反法律规定或约定擅自分包转包的，甲方有权解除本合同，乙方应退还甲方其未履行义务部分的相应服务费，乙方还应按合同总价的3%向甲方支付违约金，上述违约金不足以弥补甲方所受损失的，以甲方损失为准。</w:t>
      </w:r>
    </w:p>
    <w:p w14:paraId="1ACFC21E">
      <w:pPr>
        <w:spacing w:line="360" w:lineRule="auto"/>
        <w:ind w:firstLine="480" w:firstLineChars="200"/>
        <w:rPr>
          <w:rFonts w:ascii="宋体" w:hAnsi="宋体"/>
          <w:sz w:val="24"/>
          <w:szCs w:val="24"/>
        </w:rPr>
      </w:pPr>
      <w:r>
        <w:rPr>
          <w:rFonts w:hint="eastAsia" w:ascii="宋体" w:hAnsi="宋体"/>
          <w:sz w:val="24"/>
          <w:szCs w:val="24"/>
        </w:rPr>
        <w:t>6、除本合同另有约定外，乙方违反合同约定的其他义务的，经甲方催告后【3】日内仍拒不改正的，甲方有权解除本合同，乙方应退还甲方其未履行义务部分的相应服务费，乙方还应按合同总价的3%向甲方支付违约金，上述违约金不足以弥补甲方所受损失的，以甲方损失为准。</w:t>
      </w:r>
    </w:p>
    <w:p w14:paraId="0A2E816D">
      <w:pPr>
        <w:spacing w:line="360" w:lineRule="auto"/>
        <w:ind w:firstLine="480" w:firstLineChars="200"/>
        <w:rPr>
          <w:rFonts w:ascii="宋体" w:hAnsi="宋体"/>
          <w:sz w:val="24"/>
          <w:szCs w:val="24"/>
        </w:rPr>
      </w:pPr>
      <w:r>
        <w:rPr>
          <w:rFonts w:hint="eastAsia" w:ascii="宋体" w:hAnsi="宋体"/>
          <w:sz w:val="24"/>
          <w:szCs w:val="24"/>
        </w:rPr>
        <w:t>7、乙方根据本合同约定而需向甲方支付的一切费用，甲方均有权从应向乙方支付的款项中予以扣除。</w:t>
      </w:r>
    </w:p>
    <w:p w14:paraId="350E2AA6">
      <w:pPr>
        <w:spacing w:line="360" w:lineRule="auto"/>
        <w:ind w:firstLine="480" w:firstLineChars="200"/>
        <w:rPr>
          <w:rFonts w:ascii="宋体" w:hAnsi="宋体"/>
          <w:sz w:val="24"/>
          <w:szCs w:val="24"/>
        </w:rPr>
      </w:pPr>
      <w:r>
        <w:rPr>
          <w:rFonts w:hint="eastAsia" w:ascii="宋体" w:hAnsi="宋体"/>
          <w:sz w:val="24"/>
          <w:szCs w:val="24"/>
        </w:rPr>
        <w:t>8、本合同所称甲方损失，包括但不限于甲方经济利益的损失和预期利益的减损、甲方为证实乙方违约行为所支付的调查取证、公证费用、甲方为寻求救济所支付的诉讼费、保全费、律师代理费、咨询费和法院执行费用、差旅费等全部损失及费用。</w:t>
      </w:r>
    </w:p>
    <w:p w14:paraId="7B270017">
      <w:pPr>
        <w:spacing w:line="360" w:lineRule="auto"/>
        <w:ind w:firstLine="480" w:firstLineChars="200"/>
        <w:rPr>
          <w:rFonts w:ascii="宋体" w:hAnsi="宋体"/>
          <w:b/>
          <w:sz w:val="24"/>
          <w:szCs w:val="24"/>
        </w:rPr>
      </w:pPr>
      <w:r>
        <w:rPr>
          <w:rFonts w:hint="eastAsia" w:ascii="宋体" w:hAnsi="宋体"/>
          <w:b/>
          <w:sz w:val="24"/>
          <w:szCs w:val="24"/>
        </w:rPr>
        <w:t>第七条 合同的变更、解除和终止</w:t>
      </w:r>
    </w:p>
    <w:p w14:paraId="5EB811E9">
      <w:pPr>
        <w:spacing w:line="360" w:lineRule="auto"/>
        <w:ind w:firstLine="480" w:firstLineChars="200"/>
        <w:rPr>
          <w:rFonts w:ascii="宋体" w:hAnsi="宋体"/>
          <w:sz w:val="24"/>
          <w:szCs w:val="24"/>
        </w:rPr>
      </w:pPr>
      <w:r>
        <w:rPr>
          <w:rFonts w:hint="eastAsia" w:ascii="宋体" w:hAnsi="宋体"/>
          <w:sz w:val="24"/>
          <w:szCs w:val="24"/>
        </w:rPr>
        <w:t>1、本合同生效后既具有法律约束力，甲乙双方均不得随意变更和解除。如需修改或补充合同内容，经协商，双方应签署书面补充协议。该补充协议将作为本合同的一个组成部分。</w:t>
      </w:r>
    </w:p>
    <w:p w14:paraId="44B56548">
      <w:pPr>
        <w:spacing w:line="360" w:lineRule="auto"/>
        <w:ind w:firstLine="480" w:firstLineChars="200"/>
        <w:rPr>
          <w:rFonts w:ascii="宋体" w:hAnsi="宋体"/>
          <w:sz w:val="24"/>
          <w:szCs w:val="24"/>
        </w:rPr>
      </w:pPr>
      <w:r>
        <w:rPr>
          <w:rFonts w:hint="eastAsia" w:ascii="宋体" w:hAnsi="宋体"/>
          <w:sz w:val="24"/>
          <w:szCs w:val="24"/>
        </w:rPr>
        <w:t>2、合同解除后，乙方须于5日内退还给甲方其未履行义务部分的相应服务费及其他费用。</w:t>
      </w:r>
    </w:p>
    <w:p w14:paraId="15792F2E">
      <w:pPr>
        <w:spacing w:line="360" w:lineRule="auto"/>
        <w:ind w:firstLine="480" w:firstLineChars="200"/>
        <w:rPr>
          <w:rFonts w:ascii="宋体" w:hAnsi="宋体"/>
          <w:sz w:val="24"/>
          <w:szCs w:val="24"/>
        </w:rPr>
      </w:pPr>
      <w:r>
        <w:rPr>
          <w:rFonts w:hint="eastAsia" w:ascii="宋体" w:hAnsi="宋体"/>
          <w:sz w:val="24"/>
          <w:szCs w:val="24"/>
        </w:rPr>
        <w:t>3、如果乙方出现重大经营风险，此种风险足以影响到本合同的履行或是造成乙方不能按照甲方提出的服务质量标准执行的，甲方有权解除合同，乙方承担相应违约责任。</w:t>
      </w:r>
    </w:p>
    <w:p w14:paraId="30BA444F">
      <w:pPr>
        <w:spacing w:line="360" w:lineRule="auto"/>
        <w:ind w:firstLine="480" w:firstLineChars="200"/>
        <w:rPr>
          <w:rFonts w:ascii="宋体" w:hAnsi="宋体"/>
          <w:sz w:val="24"/>
          <w:szCs w:val="24"/>
        </w:rPr>
      </w:pPr>
      <w:r>
        <w:rPr>
          <w:rFonts w:hint="eastAsia" w:ascii="宋体" w:hAnsi="宋体"/>
          <w:sz w:val="24"/>
          <w:szCs w:val="24"/>
        </w:rPr>
        <w:t>4、提前解除合同</w:t>
      </w:r>
    </w:p>
    <w:p w14:paraId="505C6007">
      <w:pPr>
        <w:spacing w:line="360" w:lineRule="auto"/>
        <w:ind w:firstLine="480" w:firstLineChars="200"/>
        <w:rPr>
          <w:rFonts w:ascii="宋体" w:hAnsi="宋体"/>
          <w:sz w:val="24"/>
          <w:szCs w:val="24"/>
        </w:rPr>
      </w:pPr>
      <w:r>
        <w:rPr>
          <w:rFonts w:hint="eastAsia" w:ascii="宋体" w:hAnsi="宋体"/>
          <w:sz w:val="24"/>
          <w:szCs w:val="24"/>
        </w:rPr>
        <w:t>乙方因企业自身出现重大风险而无法继续履行合同义务时，应提前10个工作日以书面告知甲方，并在甲方确定新的服务提供人之前，应继续履行合同义务。同时，乙方应返还甲方已付但其未提供服务的相应款项，支付甲方合同总价1%的违约金，违约金不足以弥补甲方损失的应予以补足。</w:t>
      </w:r>
    </w:p>
    <w:p w14:paraId="3B93BAE0">
      <w:pPr>
        <w:spacing w:line="360" w:lineRule="auto"/>
        <w:ind w:firstLine="480" w:firstLineChars="200"/>
        <w:rPr>
          <w:rFonts w:ascii="宋体" w:hAnsi="宋体"/>
          <w:b/>
          <w:sz w:val="24"/>
          <w:szCs w:val="24"/>
        </w:rPr>
      </w:pPr>
      <w:r>
        <w:rPr>
          <w:rFonts w:hint="eastAsia" w:ascii="宋体" w:hAnsi="宋体"/>
          <w:b/>
          <w:sz w:val="24"/>
          <w:szCs w:val="24"/>
        </w:rPr>
        <w:t>第八条 不可抗力</w:t>
      </w:r>
    </w:p>
    <w:p w14:paraId="7726EC9F">
      <w:pPr>
        <w:spacing w:line="360" w:lineRule="auto"/>
        <w:ind w:firstLine="480" w:firstLineChars="200"/>
        <w:rPr>
          <w:rFonts w:ascii="宋体" w:hAnsi="宋体"/>
          <w:sz w:val="24"/>
          <w:szCs w:val="24"/>
        </w:rPr>
      </w:pPr>
      <w:r>
        <w:rPr>
          <w:rFonts w:hint="eastAsia" w:ascii="宋体" w:hAnsi="宋体"/>
          <w:sz w:val="24"/>
          <w:szCs w:val="24"/>
        </w:rPr>
        <w:t>在履行合同中因发生不可抗力，造成合同部分或全部不能履行，甲乙双方均不承担违约责任。</w:t>
      </w:r>
    </w:p>
    <w:p w14:paraId="5F42310E">
      <w:pPr>
        <w:spacing w:line="360" w:lineRule="auto"/>
        <w:ind w:firstLine="480" w:firstLineChars="200"/>
        <w:rPr>
          <w:rFonts w:ascii="宋体" w:hAnsi="宋体"/>
          <w:sz w:val="24"/>
          <w:szCs w:val="24"/>
        </w:rPr>
      </w:pPr>
      <w:r>
        <w:rPr>
          <w:rFonts w:hint="eastAsia" w:ascii="宋体" w:hAnsi="宋体"/>
          <w:sz w:val="24"/>
          <w:szCs w:val="24"/>
        </w:rPr>
        <w:t>不可抗力包括：</w:t>
      </w:r>
    </w:p>
    <w:p w14:paraId="1DD831FE">
      <w:pPr>
        <w:spacing w:line="360" w:lineRule="auto"/>
        <w:ind w:firstLine="480" w:firstLineChars="200"/>
        <w:rPr>
          <w:rFonts w:ascii="宋体" w:hAnsi="宋体"/>
          <w:sz w:val="24"/>
          <w:szCs w:val="24"/>
        </w:rPr>
      </w:pPr>
      <w:r>
        <w:rPr>
          <w:rFonts w:hint="eastAsia" w:ascii="宋体" w:hAnsi="宋体"/>
          <w:sz w:val="24"/>
          <w:szCs w:val="24"/>
        </w:rPr>
        <w:t>（1）自然灾害（地震、洪水、水灾、台风、雷击等）；</w:t>
      </w:r>
    </w:p>
    <w:p w14:paraId="30BCBDE6">
      <w:pPr>
        <w:spacing w:line="360" w:lineRule="auto"/>
        <w:ind w:firstLine="480" w:firstLineChars="200"/>
        <w:rPr>
          <w:rFonts w:ascii="宋体" w:hAnsi="宋体"/>
          <w:sz w:val="24"/>
          <w:szCs w:val="24"/>
        </w:rPr>
      </w:pPr>
      <w:r>
        <w:rPr>
          <w:rFonts w:hint="eastAsia" w:ascii="宋体" w:hAnsi="宋体"/>
          <w:sz w:val="24"/>
          <w:szCs w:val="24"/>
        </w:rPr>
        <w:t>（2）由于适用法律的变更或任何使用的新法规的颁布导致本合同的履行不再合法；</w:t>
      </w:r>
    </w:p>
    <w:p w14:paraId="77BA6498">
      <w:pPr>
        <w:spacing w:line="360" w:lineRule="auto"/>
        <w:ind w:firstLine="480" w:firstLineChars="200"/>
        <w:rPr>
          <w:rFonts w:ascii="宋体" w:hAnsi="宋体"/>
          <w:sz w:val="24"/>
          <w:szCs w:val="24"/>
        </w:rPr>
      </w:pPr>
      <w:r>
        <w:rPr>
          <w:rFonts w:hint="eastAsia" w:ascii="宋体" w:hAnsi="宋体"/>
          <w:sz w:val="24"/>
          <w:szCs w:val="24"/>
        </w:rPr>
        <w:t>（3）政策性调整；</w:t>
      </w:r>
    </w:p>
    <w:p w14:paraId="3CC4C7FB">
      <w:pPr>
        <w:spacing w:line="360" w:lineRule="auto"/>
        <w:ind w:firstLine="480" w:firstLineChars="200"/>
        <w:rPr>
          <w:rFonts w:ascii="宋体" w:hAnsi="宋体"/>
          <w:sz w:val="24"/>
          <w:szCs w:val="24"/>
        </w:rPr>
      </w:pPr>
      <w:r>
        <w:rPr>
          <w:rFonts w:hint="eastAsia" w:ascii="宋体" w:hAnsi="宋体"/>
          <w:sz w:val="24"/>
          <w:szCs w:val="24"/>
        </w:rPr>
        <w:t>（4）其他合同双方一致认可的属于不可抗力的事件。</w:t>
      </w:r>
    </w:p>
    <w:p w14:paraId="76DBC575">
      <w:pPr>
        <w:spacing w:line="360" w:lineRule="auto"/>
        <w:ind w:firstLine="480" w:firstLineChars="200"/>
        <w:rPr>
          <w:rFonts w:ascii="宋体" w:hAnsi="宋体"/>
          <w:sz w:val="24"/>
          <w:szCs w:val="24"/>
        </w:rPr>
      </w:pPr>
      <w:r>
        <w:rPr>
          <w:rFonts w:hint="eastAsia" w:ascii="宋体" w:hAnsi="宋体"/>
          <w:sz w:val="24"/>
          <w:szCs w:val="24"/>
        </w:rPr>
        <w:t>2、有不可抗力事件发生，发生方应立刻将所发生的不可抗力的事故情况以书面形式通知另一方，并在 7日内将有权机关出具的证明文件提交另一方认可。</w:t>
      </w:r>
    </w:p>
    <w:p w14:paraId="5547F598">
      <w:pPr>
        <w:spacing w:line="360" w:lineRule="auto"/>
        <w:ind w:firstLine="480" w:firstLineChars="200"/>
        <w:rPr>
          <w:rFonts w:ascii="宋体" w:hAnsi="宋体"/>
          <w:sz w:val="24"/>
          <w:szCs w:val="24"/>
        </w:rPr>
      </w:pPr>
      <w:r>
        <w:rPr>
          <w:rFonts w:hint="eastAsia" w:ascii="宋体" w:hAnsi="宋体"/>
          <w:sz w:val="24"/>
          <w:szCs w:val="24"/>
        </w:rPr>
        <w:t>3、发生不可抗力的，双方应积极采取措施避免损失的进一步扩大，否则须就损失扩大的部分承担赔偿责任。一方延迟履行期间发生不可抗力的，不免除责任。</w:t>
      </w:r>
    </w:p>
    <w:p w14:paraId="0C3AD639">
      <w:pPr>
        <w:spacing w:line="360" w:lineRule="auto"/>
        <w:ind w:firstLine="480" w:firstLineChars="200"/>
        <w:rPr>
          <w:rFonts w:ascii="宋体" w:hAnsi="宋体"/>
          <w:b/>
          <w:sz w:val="24"/>
          <w:szCs w:val="24"/>
        </w:rPr>
      </w:pPr>
      <w:r>
        <w:rPr>
          <w:rFonts w:hint="eastAsia" w:ascii="宋体" w:hAnsi="宋体"/>
          <w:b/>
          <w:sz w:val="24"/>
          <w:szCs w:val="24"/>
        </w:rPr>
        <w:t>第九条 争端解决</w:t>
      </w:r>
    </w:p>
    <w:p w14:paraId="7BD1033E">
      <w:pPr>
        <w:spacing w:line="360" w:lineRule="auto"/>
        <w:ind w:firstLine="480" w:firstLineChars="200"/>
        <w:rPr>
          <w:rFonts w:ascii="宋体" w:hAnsi="宋体"/>
          <w:sz w:val="24"/>
          <w:szCs w:val="24"/>
        </w:rPr>
      </w:pPr>
      <w:r>
        <w:rPr>
          <w:rFonts w:hint="eastAsia" w:ascii="宋体" w:hAnsi="宋体"/>
          <w:sz w:val="24"/>
          <w:szCs w:val="24"/>
        </w:rPr>
        <w:t>与本合同有关的一切纠纷，双方应首先本着相互谅解、信任、平等互利的原则充分协商，解决争端。如协商不成，可向甲方所在地有管辖权的人民法院起诉。在协商和诉讼过程中，乙方应保证服务工作的正常进行。</w:t>
      </w:r>
    </w:p>
    <w:p w14:paraId="395E75CF">
      <w:pPr>
        <w:spacing w:line="360" w:lineRule="auto"/>
        <w:ind w:firstLine="480" w:firstLineChars="200"/>
        <w:rPr>
          <w:rFonts w:ascii="宋体" w:hAnsi="宋体"/>
          <w:b/>
          <w:sz w:val="24"/>
          <w:szCs w:val="24"/>
        </w:rPr>
      </w:pPr>
      <w:r>
        <w:rPr>
          <w:rFonts w:hint="eastAsia" w:ascii="宋体" w:hAnsi="宋体"/>
          <w:b/>
          <w:sz w:val="24"/>
          <w:szCs w:val="24"/>
        </w:rPr>
        <w:t>第十条 其他事宜</w:t>
      </w:r>
    </w:p>
    <w:p w14:paraId="243CD883">
      <w:pPr>
        <w:spacing w:line="360" w:lineRule="auto"/>
        <w:ind w:firstLine="480" w:firstLineChars="200"/>
        <w:rPr>
          <w:rFonts w:ascii="宋体" w:hAnsi="宋体"/>
          <w:sz w:val="24"/>
          <w:szCs w:val="24"/>
        </w:rPr>
      </w:pPr>
      <w:r>
        <w:rPr>
          <w:rFonts w:hint="eastAsia" w:ascii="宋体" w:hAnsi="宋体"/>
          <w:sz w:val="24"/>
          <w:szCs w:val="24"/>
        </w:rPr>
        <w:t>1、在合同履行过程中出现的所有问题均以书面形式通知对方。</w:t>
      </w:r>
    </w:p>
    <w:p w14:paraId="3211B972">
      <w:pPr>
        <w:spacing w:line="360" w:lineRule="auto"/>
        <w:ind w:firstLine="480" w:firstLineChars="200"/>
        <w:rPr>
          <w:rFonts w:ascii="宋体" w:hAnsi="宋体"/>
          <w:sz w:val="24"/>
          <w:szCs w:val="24"/>
        </w:rPr>
      </w:pPr>
      <w:r>
        <w:rPr>
          <w:rFonts w:hint="eastAsia" w:ascii="宋体" w:hAnsi="宋体"/>
          <w:sz w:val="24"/>
          <w:szCs w:val="24"/>
        </w:rPr>
        <w:t>2、甲方不承担乙方服务或其他过程中发生的工伤事故或其他伤害事件的责任。</w:t>
      </w:r>
    </w:p>
    <w:p w14:paraId="72A56DAF">
      <w:pPr>
        <w:spacing w:line="360" w:lineRule="auto"/>
        <w:ind w:firstLine="480" w:firstLineChars="200"/>
        <w:rPr>
          <w:rFonts w:ascii="宋体" w:hAnsi="宋体"/>
          <w:sz w:val="24"/>
          <w:szCs w:val="24"/>
        </w:rPr>
      </w:pPr>
      <w:r>
        <w:rPr>
          <w:rFonts w:hint="eastAsia" w:ascii="宋体" w:hAnsi="宋体"/>
          <w:sz w:val="24"/>
          <w:szCs w:val="24"/>
        </w:rPr>
        <w:t>3、本项目不得分包、转包。</w:t>
      </w:r>
    </w:p>
    <w:p w14:paraId="7B585B3E">
      <w:pPr>
        <w:spacing w:line="360" w:lineRule="auto"/>
        <w:ind w:firstLine="480" w:firstLineChars="200"/>
        <w:rPr>
          <w:rFonts w:ascii="宋体" w:hAnsi="宋体"/>
          <w:sz w:val="24"/>
          <w:szCs w:val="24"/>
        </w:rPr>
      </w:pPr>
      <w:r>
        <w:rPr>
          <w:rFonts w:hint="eastAsia" w:ascii="宋体" w:hAnsi="宋体"/>
          <w:sz w:val="24"/>
          <w:szCs w:val="24"/>
        </w:rPr>
        <w:t>4、与本合同有关的一切税费均适用中华人民共和国法律的相关规定。</w:t>
      </w:r>
    </w:p>
    <w:p w14:paraId="68FB3A0A">
      <w:pPr>
        <w:spacing w:line="360" w:lineRule="auto"/>
        <w:ind w:firstLine="480" w:firstLineChars="200"/>
        <w:rPr>
          <w:rFonts w:ascii="宋体" w:hAnsi="宋体"/>
          <w:sz w:val="24"/>
          <w:szCs w:val="24"/>
        </w:rPr>
      </w:pPr>
      <w:r>
        <w:rPr>
          <w:rFonts w:hint="eastAsia" w:ascii="宋体" w:hAnsi="宋体"/>
          <w:sz w:val="24"/>
          <w:szCs w:val="24"/>
        </w:rPr>
        <w:t>5、除技术规范中另有规定外，计量单位均使用国家法定计量单位。</w:t>
      </w:r>
    </w:p>
    <w:p w14:paraId="4FA4E008">
      <w:pPr>
        <w:spacing w:line="360" w:lineRule="auto"/>
        <w:ind w:firstLine="480" w:firstLineChars="200"/>
        <w:rPr>
          <w:rFonts w:ascii="宋体" w:hAnsi="宋体"/>
          <w:sz w:val="24"/>
          <w:szCs w:val="24"/>
        </w:rPr>
      </w:pPr>
      <w:r>
        <w:rPr>
          <w:rFonts w:hint="eastAsia" w:ascii="宋体" w:hAnsi="宋体"/>
          <w:sz w:val="24"/>
          <w:szCs w:val="24"/>
        </w:rPr>
        <w:t>6、本合同应按照中华人民共和国的法律进行解释。</w:t>
      </w:r>
    </w:p>
    <w:p w14:paraId="26EACE1F">
      <w:pPr>
        <w:spacing w:line="360" w:lineRule="auto"/>
        <w:ind w:firstLine="480" w:firstLineChars="200"/>
        <w:rPr>
          <w:rFonts w:hint="eastAsia" w:ascii="宋体" w:hAnsi="宋体"/>
          <w:b/>
          <w:sz w:val="24"/>
          <w:szCs w:val="24"/>
        </w:rPr>
      </w:pPr>
      <w:r>
        <w:rPr>
          <w:rFonts w:hint="eastAsia" w:ascii="宋体" w:hAnsi="宋体"/>
          <w:b/>
          <w:sz w:val="24"/>
          <w:szCs w:val="24"/>
        </w:rPr>
        <w:t>第十一条 合同附件</w:t>
      </w:r>
    </w:p>
    <w:p w14:paraId="60FC6209">
      <w:pPr>
        <w:spacing w:line="360" w:lineRule="auto"/>
        <w:ind w:firstLine="480" w:firstLineChars="200"/>
        <w:rPr>
          <w:rFonts w:hint="eastAsia" w:ascii="宋体" w:hAnsi="宋体"/>
          <w:sz w:val="24"/>
          <w:szCs w:val="24"/>
        </w:rPr>
      </w:pPr>
      <w:r>
        <w:rPr>
          <w:rFonts w:hint="eastAsia" w:ascii="宋体" w:hAnsi="宋体"/>
          <w:sz w:val="24"/>
          <w:szCs w:val="24"/>
        </w:rPr>
        <w:t>附件1：《2025年度环卫中心公共厕所运行保洁服务项目第</w:t>
      </w:r>
      <w:r>
        <w:rPr>
          <w:rFonts w:hint="eastAsia" w:ascii="宋体" w:hAnsi="宋体"/>
          <w:sz w:val="24"/>
          <w:szCs w:val="24"/>
          <w:u w:val="single"/>
        </w:rPr>
        <w:t xml:space="preserve">   </w:t>
      </w:r>
      <w:r>
        <w:rPr>
          <w:rFonts w:hint="eastAsia" w:ascii="宋体" w:hAnsi="宋体"/>
          <w:sz w:val="24"/>
          <w:szCs w:val="24"/>
        </w:rPr>
        <w:t>包明细》</w:t>
      </w:r>
    </w:p>
    <w:p w14:paraId="1C98E96C">
      <w:pPr>
        <w:spacing w:line="360" w:lineRule="auto"/>
        <w:ind w:firstLine="480" w:firstLineChars="200"/>
        <w:rPr>
          <w:rFonts w:hint="eastAsia" w:ascii="宋体" w:hAnsi="宋体"/>
          <w:sz w:val="24"/>
          <w:szCs w:val="24"/>
        </w:rPr>
      </w:pPr>
      <w:r>
        <w:rPr>
          <w:rFonts w:hint="eastAsia" w:ascii="宋体" w:hAnsi="宋体"/>
          <w:sz w:val="24"/>
          <w:szCs w:val="24"/>
        </w:rPr>
        <w:t>附件2：《门头沟区环境卫生服务中心公共厕所运行保洁考核标准》</w:t>
      </w:r>
    </w:p>
    <w:p w14:paraId="13430981">
      <w:pPr>
        <w:spacing w:line="360" w:lineRule="auto"/>
        <w:ind w:firstLine="480" w:firstLineChars="200"/>
        <w:rPr>
          <w:rFonts w:hint="eastAsia" w:ascii="宋体" w:hAnsi="宋体"/>
          <w:sz w:val="24"/>
          <w:szCs w:val="24"/>
        </w:rPr>
      </w:pPr>
      <w:r>
        <w:rPr>
          <w:rFonts w:hint="eastAsia" w:ascii="宋体" w:hAnsi="宋体"/>
          <w:sz w:val="24"/>
          <w:szCs w:val="24"/>
        </w:rPr>
        <w:t>附件3.《环卫中心业务外包服务项目安全协议》</w:t>
      </w:r>
    </w:p>
    <w:p w14:paraId="46085EEA">
      <w:pPr>
        <w:spacing w:line="360" w:lineRule="auto"/>
        <w:ind w:firstLine="480" w:firstLineChars="200"/>
        <w:rPr>
          <w:rFonts w:hint="eastAsia" w:ascii="宋体" w:hAnsi="宋体"/>
          <w:sz w:val="24"/>
          <w:szCs w:val="24"/>
        </w:rPr>
      </w:pPr>
      <w:r>
        <w:rPr>
          <w:rFonts w:hint="eastAsia" w:ascii="宋体" w:hAnsi="宋体"/>
          <w:sz w:val="24"/>
          <w:szCs w:val="24"/>
        </w:rPr>
        <w:t>附件4.《环卫中心外包业务安全生产考核表》</w:t>
      </w:r>
    </w:p>
    <w:p w14:paraId="24FCEC34">
      <w:pPr>
        <w:spacing w:line="360" w:lineRule="auto"/>
        <w:ind w:firstLine="480" w:firstLineChars="200"/>
        <w:rPr>
          <w:rFonts w:ascii="宋体" w:hAnsi="宋体"/>
          <w:b/>
          <w:sz w:val="24"/>
          <w:szCs w:val="24"/>
        </w:rPr>
      </w:pPr>
      <w:r>
        <w:rPr>
          <w:rFonts w:hint="eastAsia" w:ascii="宋体" w:hAnsi="宋体"/>
          <w:b/>
          <w:sz w:val="24"/>
          <w:szCs w:val="24"/>
        </w:rPr>
        <w:t>第十二条 合同生效及其他</w:t>
      </w:r>
    </w:p>
    <w:p w14:paraId="6638C89E">
      <w:pPr>
        <w:spacing w:line="360" w:lineRule="auto"/>
        <w:ind w:firstLine="480" w:firstLineChars="200"/>
        <w:rPr>
          <w:rFonts w:ascii="宋体" w:hAnsi="宋体"/>
          <w:sz w:val="24"/>
          <w:szCs w:val="24"/>
        </w:rPr>
      </w:pPr>
      <w:r>
        <w:rPr>
          <w:rFonts w:hint="eastAsia" w:ascii="宋体" w:hAnsi="宋体"/>
          <w:sz w:val="24"/>
          <w:szCs w:val="24"/>
        </w:rPr>
        <w:t>1、本合同经双方法定代表人或授权代表签字并加盖公章后生效。</w:t>
      </w:r>
    </w:p>
    <w:p w14:paraId="29EA78FE">
      <w:pPr>
        <w:spacing w:line="360" w:lineRule="auto"/>
        <w:ind w:firstLine="480" w:firstLineChars="200"/>
        <w:rPr>
          <w:rFonts w:ascii="宋体" w:hAnsi="宋体"/>
          <w:sz w:val="24"/>
          <w:szCs w:val="24"/>
        </w:rPr>
      </w:pPr>
      <w:r>
        <w:rPr>
          <w:rFonts w:hint="eastAsia" w:ascii="宋体" w:hAnsi="宋体"/>
          <w:sz w:val="24"/>
          <w:szCs w:val="24"/>
        </w:rPr>
        <w:t>2、本合同一式4份，甲方执2份，乙方执2份，具有同等法律效力。</w:t>
      </w:r>
    </w:p>
    <w:p w14:paraId="48BA9664">
      <w:pPr>
        <w:spacing w:line="360" w:lineRule="auto"/>
        <w:rPr>
          <w:rFonts w:hint="eastAsia" w:ascii="宋体" w:hAnsi="宋体"/>
          <w:sz w:val="24"/>
          <w:szCs w:val="24"/>
        </w:rPr>
      </w:pPr>
    </w:p>
    <w:p w14:paraId="55796B36">
      <w:pPr>
        <w:spacing w:line="360" w:lineRule="auto"/>
        <w:rPr>
          <w:rFonts w:ascii="宋体" w:hAnsi="宋体"/>
          <w:sz w:val="24"/>
          <w:szCs w:val="24"/>
        </w:rPr>
      </w:pPr>
      <w:r>
        <w:rPr>
          <w:rFonts w:hint="eastAsia" w:ascii="宋体" w:hAnsi="宋体"/>
          <w:sz w:val="24"/>
          <w:szCs w:val="24"/>
        </w:rPr>
        <w:t>甲方：北京市门头沟区环境卫生服务中心       乙方：</w:t>
      </w:r>
    </w:p>
    <w:p w14:paraId="59A16123">
      <w:pPr>
        <w:spacing w:line="360" w:lineRule="auto"/>
        <w:rPr>
          <w:rFonts w:ascii="宋体" w:hAnsi="宋体"/>
          <w:sz w:val="24"/>
          <w:szCs w:val="24"/>
        </w:rPr>
      </w:pPr>
      <w:r>
        <w:rPr>
          <w:rFonts w:hint="eastAsia" w:ascii="宋体" w:hAnsi="宋体"/>
          <w:sz w:val="24"/>
          <w:szCs w:val="24"/>
        </w:rPr>
        <w:t>（盖章）                                   （盖章）</w:t>
      </w:r>
    </w:p>
    <w:p w14:paraId="4B0BBB7F">
      <w:pPr>
        <w:spacing w:line="360" w:lineRule="auto"/>
        <w:rPr>
          <w:rFonts w:hint="eastAsia" w:ascii="宋体" w:hAnsi="宋体"/>
          <w:sz w:val="24"/>
          <w:szCs w:val="24"/>
        </w:rPr>
      </w:pPr>
    </w:p>
    <w:p w14:paraId="0BFAA935">
      <w:pPr>
        <w:spacing w:line="360" w:lineRule="auto"/>
        <w:rPr>
          <w:rFonts w:ascii="宋体" w:hAnsi="宋体"/>
          <w:sz w:val="24"/>
          <w:szCs w:val="24"/>
        </w:rPr>
      </w:pPr>
    </w:p>
    <w:p w14:paraId="1F7E219D">
      <w:pPr>
        <w:spacing w:line="360" w:lineRule="auto"/>
        <w:rPr>
          <w:rFonts w:ascii="宋体" w:hAnsi="宋体"/>
          <w:sz w:val="24"/>
          <w:szCs w:val="24"/>
        </w:rPr>
      </w:pPr>
      <w:r>
        <w:rPr>
          <w:rFonts w:hint="eastAsia" w:ascii="宋体" w:hAnsi="宋体"/>
          <w:sz w:val="24"/>
          <w:szCs w:val="24"/>
        </w:rPr>
        <w:t xml:space="preserve">授权代理（签字）：                          授权代理（签字）：  </w:t>
      </w:r>
    </w:p>
    <w:p w14:paraId="5729D1FF">
      <w:pPr>
        <w:spacing w:line="360" w:lineRule="auto"/>
        <w:ind w:firstLine="480" w:firstLineChars="200"/>
        <w:rPr>
          <w:rFonts w:hint="eastAsia" w:ascii="宋体" w:hAnsi="宋体"/>
          <w:sz w:val="24"/>
          <w:szCs w:val="24"/>
        </w:rPr>
      </w:pPr>
    </w:p>
    <w:p w14:paraId="57BE3F92">
      <w:pPr>
        <w:spacing w:line="360" w:lineRule="auto"/>
        <w:rPr>
          <w:rFonts w:ascii="宋体" w:hAnsi="宋体"/>
          <w:sz w:val="24"/>
          <w:szCs w:val="24"/>
        </w:rPr>
      </w:pPr>
      <w:r>
        <w:rPr>
          <w:rFonts w:hint="eastAsia" w:ascii="宋体" w:hAnsi="宋体"/>
          <w:sz w:val="24"/>
          <w:szCs w:val="24"/>
        </w:rPr>
        <w:t xml:space="preserve">日期：          年   月   日               日期：         年   月   日   </w:t>
      </w:r>
    </w:p>
    <w:p w14:paraId="3995E5A4">
      <w:pPr>
        <w:spacing w:line="360" w:lineRule="auto"/>
        <w:ind w:firstLine="480" w:firstLineChars="200"/>
        <w:rPr>
          <w:rFonts w:ascii="宋体" w:hAnsi="宋体"/>
          <w:sz w:val="24"/>
          <w:szCs w:val="24"/>
        </w:rPr>
      </w:pPr>
      <w:r>
        <w:rPr>
          <w:rFonts w:hint="eastAsia" w:ascii="宋体" w:hAnsi="宋体"/>
          <w:sz w:val="24"/>
          <w:szCs w:val="24"/>
        </w:rPr>
        <w:t xml:space="preserve">         </w:t>
      </w:r>
    </w:p>
    <w:p w14:paraId="67C40BBA">
      <w:pPr>
        <w:spacing w:line="360" w:lineRule="auto"/>
        <w:jc w:val="left"/>
        <w:rPr>
          <w:rFonts w:ascii="宋体" w:hAnsi="宋体"/>
          <w:sz w:val="24"/>
          <w:szCs w:val="24"/>
        </w:rPr>
      </w:pPr>
      <w:r>
        <w:rPr>
          <w:rFonts w:hint="eastAsia" w:ascii="宋体" w:hAnsi="宋体"/>
          <w:sz w:val="24"/>
          <w:szCs w:val="24"/>
        </w:rPr>
        <w:t>地址：    北京市门头沟区永定镇冯村西里     地址：</w:t>
      </w:r>
    </w:p>
    <w:p w14:paraId="5405E444">
      <w:pPr>
        <w:spacing w:line="360" w:lineRule="auto"/>
        <w:rPr>
          <w:rFonts w:hint="eastAsia" w:ascii="宋体" w:hAnsi="宋体"/>
          <w:sz w:val="24"/>
          <w:szCs w:val="24"/>
        </w:rPr>
      </w:pPr>
    </w:p>
    <w:p w14:paraId="02FD6DE8">
      <w:pPr>
        <w:spacing w:line="360" w:lineRule="auto"/>
        <w:rPr>
          <w:rFonts w:ascii="宋体" w:hAnsi="宋体"/>
          <w:sz w:val="24"/>
          <w:szCs w:val="24"/>
        </w:rPr>
      </w:pPr>
      <w:r>
        <w:rPr>
          <w:rFonts w:hint="eastAsia" w:ascii="宋体" w:hAnsi="宋体"/>
          <w:sz w:val="24"/>
          <w:szCs w:val="24"/>
        </w:rPr>
        <w:t>邮政编码：102300                           邮政编码：</w:t>
      </w:r>
    </w:p>
    <w:p w14:paraId="36CB6B03">
      <w:pPr>
        <w:spacing w:line="360" w:lineRule="auto"/>
        <w:rPr>
          <w:rFonts w:hint="eastAsia" w:ascii="宋体" w:hAnsi="宋体"/>
          <w:sz w:val="24"/>
          <w:szCs w:val="24"/>
        </w:rPr>
      </w:pPr>
    </w:p>
    <w:p w14:paraId="04E39128">
      <w:pPr>
        <w:spacing w:line="360" w:lineRule="auto"/>
        <w:rPr>
          <w:rFonts w:ascii="宋体" w:hAnsi="宋体"/>
          <w:sz w:val="24"/>
          <w:szCs w:val="24"/>
        </w:rPr>
      </w:pPr>
      <w:r>
        <w:rPr>
          <w:rFonts w:hint="eastAsia" w:ascii="宋体" w:hAnsi="宋体"/>
          <w:sz w:val="24"/>
          <w:szCs w:val="24"/>
        </w:rPr>
        <w:t>电话：    69843333                         电话：</w:t>
      </w:r>
    </w:p>
    <w:p w14:paraId="1C75F426">
      <w:pPr>
        <w:spacing w:line="360" w:lineRule="auto"/>
        <w:rPr>
          <w:rFonts w:hint="eastAsia" w:ascii="宋体" w:hAnsi="宋体"/>
          <w:sz w:val="24"/>
          <w:szCs w:val="24"/>
        </w:rPr>
      </w:pPr>
    </w:p>
    <w:p w14:paraId="04D95835">
      <w:pPr>
        <w:spacing w:line="360" w:lineRule="auto"/>
        <w:rPr>
          <w:rFonts w:ascii="宋体" w:hAnsi="宋体"/>
          <w:sz w:val="24"/>
          <w:szCs w:val="24"/>
        </w:rPr>
      </w:pPr>
      <w:r>
        <w:rPr>
          <w:rFonts w:hint="eastAsia" w:ascii="宋体" w:hAnsi="宋体"/>
          <w:sz w:val="24"/>
          <w:szCs w:val="24"/>
        </w:rPr>
        <w:t>开户银行：工商银行北京龙泉支行             开户银行：</w:t>
      </w:r>
    </w:p>
    <w:p w14:paraId="4ACCADF4">
      <w:pPr>
        <w:spacing w:line="360" w:lineRule="auto"/>
        <w:rPr>
          <w:rFonts w:hint="eastAsia" w:ascii="宋体" w:hAnsi="宋体"/>
          <w:sz w:val="24"/>
          <w:szCs w:val="24"/>
        </w:rPr>
      </w:pPr>
    </w:p>
    <w:p w14:paraId="75BDBE81">
      <w:pPr>
        <w:spacing w:line="360" w:lineRule="auto"/>
        <w:rPr>
          <w:rFonts w:ascii="宋体" w:hAnsi="宋体"/>
          <w:sz w:val="24"/>
          <w:szCs w:val="24"/>
        </w:rPr>
      </w:pPr>
      <w:r>
        <w:rPr>
          <w:rFonts w:hint="eastAsia" w:ascii="宋体" w:hAnsi="宋体"/>
          <w:sz w:val="24"/>
          <w:szCs w:val="24"/>
        </w:rPr>
        <w:t>账号：    0200002029200114252               账号：</w:t>
      </w:r>
    </w:p>
    <w:p w14:paraId="3064DD6D">
      <w:pPr>
        <w:adjustRightInd w:val="0"/>
        <w:snapToGrid w:val="0"/>
        <w:spacing w:line="360" w:lineRule="auto"/>
        <w:rPr>
          <w:rFonts w:hint="eastAsia" w:ascii="宋体" w:hAnsi="宋体"/>
          <w:b/>
          <w:sz w:val="24"/>
          <w:szCs w:val="24"/>
        </w:rPr>
      </w:pPr>
    </w:p>
    <w:p w14:paraId="77F77415">
      <w:pPr>
        <w:adjustRightInd w:val="0"/>
        <w:snapToGrid w:val="0"/>
        <w:spacing w:line="360" w:lineRule="auto"/>
        <w:rPr>
          <w:rFonts w:hint="eastAsia" w:ascii="宋体" w:hAnsi="宋体"/>
          <w:b/>
          <w:sz w:val="24"/>
          <w:szCs w:val="24"/>
        </w:rPr>
      </w:pPr>
    </w:p>
    <w:p w14:paraId="76F48D4B">
      <w:pPr>
        <w:adjustRightInd w:val="0"/>
        <w:snapToGrid w:val="0"/>
        <w:spacing w:line="360" w:lineRule="auto"/>
        <w:jc w:val="left"/>
        <w:rPr>
          <w:rFonts w:hint="eastAsia" w:ascii="宋体" w:hAnsi="宋体"/>
          <w:b/>
          <w:sz w:val="24"/>
          <w:szCs w:val="28"/>
        </w:rPr>
      </w:pPr>
    </w:p>
    <w:p w14:paraId="1D324C79">
      <w:pPr>
        <w:adjustRightInd w:val="0"/>
        <w:snapToGrid w:val="0"/>
        <w:spacing w:line="360" w:lineRule="auto"/>
        <w:jc w:val="left"/>
        <w:rPr>
          <w:rFonts w:hint="eastAsia" w:ascii="宋体" w:hAnsi="宋体"/>
          <w:b/>
          <w:sz w:val="24"/>
          <w:szCs w:val="28"/>
        </w:rPr>
      </w:pPr>
    </w:p>
    <w:p w14:paraId="75327740">
      <w:pPr>
        <w:adjustRightInd w:val="0"/>
        <w:snapToGrid w:val="0"/>
        <w:spacing w:line="360" w:lineRule="auto"/>
        <w:jc w:val="left"/>
        <w:rPr>
          <w:rFonts w:hint="eastAsia" w:ascii="宋体" w:hAnsi="宋体"/>
          <w:b/>
          <w:sz w:val="24"/>
          <w:szCs w:val="28"/>
        </w:rPr>
      </w:pPr>
    </w:p>
    <w:p w14:paraId="38B72878">
      <w:pPr>
        <w:spacing w:line="420" w:lineRule="exact"/>
        <w:rPr>
          <w:rFonts w:hint="eastAsia" w:ascii="宋体" w:hAnsi="宋体"/>
          <w:sz w:val="22"/>
          <w:szCs w:val="24"/>
        </w:rPr>
      </w:pPr>
    </w:p>
    <w:p w14:paraId="0D2850E0">
      <w:pPr>
        <w:spacing w:line="420" w:lineRule="exact"/>
        <w:rPr>
          <w:rFonts w:hint="eastAsia" w:ascii="宋体" w:hAnsi="宋体"/>
          <w:sz w:val="22"/>
          <w:szCs w:val="24"/>
        </w:rPr>
      </w:pPr>
    </w:p>
    <w:p w14:paraId="1BCA4320">
      <w:pPr>
        <w:spacing w:line="420" w:lineRule="exact"/>
        <w:rPr>
          <w:rFonts w:hint="eastAsia" w:ascii="宋体" w:hAnsi="宋体"/>
          <w:sz w:val="22"/>
          <w:szCs w:val="24"/>
        </w:rPr>
      </w:pPr>
    </w:p>
    <w:p w14:paraId="6498F8DC">
      <w:pPr>
        <w:spacing w:line="420" w:lineRule="exact"/>
        <w:rPr>
          <w:rFonts w:hint="eastAsia" w:ascii="宋体" w:hAnsi="宋体"/>
          <w:sz w:val="22"/>
          <w:szCs w:val="24"/>
        </w:rPr>
      </w:pPr>
    </w:p>
    <w:p w14:paraId="612760E9">
      <w:pPr>
        <w:spacing w:line="420" w:lineRule="exact"/>
        <w:rPr>
          <w:rFonts w:hint="eastAsia" w:ascii="宋体" w:hAnsi="宋体"/>
          <w:sz w:val="22"/>
          <w:szCs w:val="24"/>
        </w:rPr>
      </w:pPr>
    </w:p>
    <w:p w14:paraId="270104DD">
      <w:pPr>
        <w:spacing w:line="420" w:lineRule="exact"/>
        <w:rPr>
          <w:rFonts w:hint="eastAsia" w:ascii="宋体" w:hAnsi="宋体"/>
          <w:sz w:val="22"/>
          <w:szCs w:val="24"/>
        </w:rPr>
      </w:pPr>
    </w:p>
    <w:p w14:paraId="476150ED">
      <w:pPr>
        <w:adjustRightInd/>
        <w:snapToGrid/>
        <w:spacing w:line="240" w:lineRule="auto"/>
        <w:rPr>
          <w:rFonts w:hint="eastAsia" w:ascii="宋体" w:hAnsi="宋体"/>
          <w:b/>
          <w:sz w:val="24"/>
          <w:szCs w:val="24"/>
        </w:rPr>
      </w:pPr>
      <w:r>
        <w:rPr>
          <w:rFonts w:hint="eastAsia" w:ascii="宋体" w:hAnsi="宋体"/>
          <w:b/>
          <w:sz w:val="24"/>
          <w:szCs w:val="24"/>
        </w:rPr>
        <w:br w:type="page"/>
      </w:r>
    </w:p>
    <w:p w14:paraId="46700E55">
      <w:pPr>
        <w:adjustRightInd w:val="0"/>
        <w:snapToGrid w:val="0"/>
        <w:spacing w:line="360" w:lineRule="auto"/>
        <w:rPr>
          <w:rFonts w:hint="eastAsia" w:ascii="宋体" w:hAnsi="宋体"/>
          <w:b/>
          <w:sz w:val="24"/>
          <w:szCs w:val="24"/>
        </w:rPr>
      </w:pPr>
      <w:r>
        <w:rPr>
          <w:rFonts w:hint="eastAsia" w:ascii="宋体" w:hAnsi="宋体"/>
          <w:b/>
          <w:sz w:val="24"/>
          <w:szCs w:val="24"/>
        </w:rPr>
        <w:t>附件1：</w:t>
      </w:r>
    </w:p>
    <w:p w14:paraId="7207ABDE">
      <w:pPr>
        <w:adjustRightInd w:val="0"/>
        <w:snapToGrid w:val="0"/>
        <w:spacing w:line="360" w:lineRule="auto"/>
        <w:jc w:val="center"/>
        <w:rPr>
          <w:rFonts w:hint="eastAsia" w:ascii="宋体" w:hAnsi="宋体"/>
          <w:b/>
          <w:sz w:val="24"/>
          <w:szCs w:val="28"/>
        </w:rPr>
      </w:pPr>
      <w:r>
        <w:rPr>
          <w:rFonts w:hint="eastAsia" w:ascii="宋体" w:hAnsi="宋体" w:cs="宋体"/>
          <w:b/>
          <w:kern w:val="0"/>
          <w:sz w:val="24"/>
          <w:szCs w:val="24"/>
        </w:rPr>
        <w:t>2025年度环卫中心公共厕所运行保洁服务项目第</w:t>
      </w:r>
      <w:r>
        <w:rPr>
          <w:rFonts w:hint="eastAsia" w:ascii="宋体" w:hAnsi="宋体" w:cs="宋体"/>
          <w:b/>
          <w:kern w:val="0"/>
          <w:sz w:val="24"/>
          <w:szCs w:val="24"/>
          <w:u w:val="single"/>
        </w:rPr>
        <w:t xml:space="preserve">   </w:t>
      </w:r>
      <w:r>
        <w:rPr>
          <w:rFonts w:hint="eastAsia" w:ascii="宋体" w:hAnsi="宋体" w:cs="宋体"/>
          <w:b/>
          <w:kern w:val="0"/>
          <w:sz w:val="24"/>
          <w:szCs w:val="24"/>
        </w:rPr>
        <w:t>包明细</w:t>
      </w:r>
    </w:p>
    <w:p w14:paraId="63AE5953">
      <w:pPr>
        <w:adjustRightInd w:val="0"/>
        <w:snapToGrid w:val="0"/>
        <w:spacing w:line="360" w:lineRule="auto"/>
        <w:jc w:val="left"/>
        <w:rPr>
          <w:rFonts w:hint="eastAsia" w:ascii="宋体" w:hAnsi="宋体"/>
          <w:b/>
          <w:sz w:val="24"/>
          <w:szCs w:val="28"/>
        </w:rPr>
      </w:pPr>
    </w:p>
    <w:p w14:paraId="754DD37B">
      <w:pPr>
        <w:adjustRightInd w:val="0"/>
        <w:snapToGrid w:val="0"/>
        <w:spacing w:line="360" w:lineRule="auto"/>
        <w:jc w:val="left"/>
        <w:rPr>
          <w:rFonts w:hint="eastAsia" w:ascii="宋体" w:hAnsi="宋体"/>
          <w:b/>
          <w:sz w:val="24"/>
          <w:szCs w:val="28"/>
        </w:rPr>
      </w:pPr>
    </w:p>
    <w:p w14:paraId="2F4D1E12">
      <w:pPr>
        <w:adjustRightInd w:val="0"/>
        <w:snapToGrid w:val="0"/>
        <w:spacing w:line="360" w:lineRule="auto"/>
        <w:jc w:val="left"/>
        <w:rPr>
          <w:rFonts w:hint="eastAsia" w:ascii="宋体" w:hAnsi="宋体"/>
          <w:b/>
          <w:sz w:val="24"/>
          <w:szCs w:val="28"/>
        </w:rPr>
      </w:pPr>
    </w:p>
    <w:p w14:paraId="12E5E71D">
      <w:pPr>
        <w:adjustRightInd w:val="0"/>
        <w:snapToGrid w:val="0"/>
        <w:spacing w:line="360" w:lineRule="auto"/>
        <w:jc w:val="left"/>
        <w:rPr>
          <w:rFonts w:hint="eastAsia" w:ascii="宋体" w:hAnsi="宋体"/>
          <w:b/>
          <w:sz w:val="24"/>
          <w:szCs w:val="28"/>
        </w:rPr>
      </w:pPr>
    </w:p>
    <w:p w14:paraId="7BB0546F">
      <w:pPr>
        <w:adjustRightInd w:val="0"/>
        <w:snapToGrid w:val="0"/>
        <w:spacing w:line="360" w:lineRule="auto"/>
        <w:jc w:val="left"/>
        <w:rPr>
          <w:rFonts w:hint="eastAsia" w:ascii="宋体" w:hAnsi="宋体"/>
          <w:b/>
          <w:sz w:val="24"/>
          <w:szCs w:val="28"/>
        </w:rPr>
      </w:pPr>
    </w:p>
    <w:p w14:paraId="396BA2EA">
      <w:pPr>
        <w:adjustRightInd w:val="0"/>
        <w:snapToGrid w:val="0"/>
        <w:spacing w:line="360" w:lineRule="auto"/>
        <w:jc w:val="left"/>
        <w:rPr>
          <w:rFonts w:hint="eastAsia" w:ascii="宋体" w:hAnsi="宋体"/>
          <w:b/>
          <w:sz w:val="24"/>
          <w:szCs w:val="28"/>
        </w:rPr>
      </w:pPr>
    </w:p>
    <w:p w14:paraId="484B9778">
      <w:pPr>
        <w:adjustRightInd w:val="0"/>
        <w:snapToGrid w:val="0"/>
        <w:spacing w:line="360" w:lineRule="auto"/>
        <w:jc w:val="left"/>
        <w:rPr>
          <w:rFonts w:hint="eastAsia" w:ascii="宋体" w:hAnsi="宋体"/>
          <w:b/>
          <w:sz w:val="24"/>
          <w:szCs w:val="28"/>
        </w:rPr>
      </w:pPr>
    </w:p>
    <w:p w14:paraId="1D305F1E">
      <w:pPr>
        <w:adjustRightInd w:val="0"/>
        <w:snapToGrid w:val="0"/>
        <w:spacing w:line="360" w:lineRule="auto"/>
        <w:jc w:val="left"/>
        <w:rPr>
          <w:rFonts w:hint="eastAsia" w:ascii="宋体" w:hAnsi="宋体"/>
          <w:b/>
          <w:sz w:val="24"/>
          <w:szCs w:val="28"/>
        </w:rPr>
      </w:pPr>
    </w:p>
    <w:p w14:paraId="7EE7521F">
      <w:pPr>
        <w:adjustRightInd w:val="0"/>
        <w:snapToGrid w:val="0"/>
        <w:spacing w:line="360" w:lineRule="auto"/>
        <w:jc w:val="left"/>
        <w:rPr>
          <w:rFonts w:hint="eastAsia" w:ascii="宋体" w:hAnsi="宋体"/>
          <w:b/>
          <w:sz w:val="24"/>
          <w:szCs w:val="28"/>
        </w:rPr>
      </w:pPr>
    </w:p>
    <w:p w14:paraId="20C97AB9">
      <w:pPr>
        <w:adjustRightInd w:val="0"/>
        <w:snapToGrid w:val="0"/>
        <w:spacing w:line="360" w:lineRule="auto"/>
        <w:jc w:val="left"/>
        <w:rPr>
          <w:rFonts w:hint="eastAsia" w:ascii="宋体" w:hAnsi="宋体"/>
          <w:b/>
          <w:sz w:val="24"/>
          <w:szCs w:val="28"/>
        </w:rPr>
      </w:pPr>
    </w:p>
    <w:p w14:paraId="0644D57A">
      <w:pPr>
        <w:adjustRightInd w:val="0"/>
        <w:snapToGrid w:val="0"/>
        <w:spacing w:line="360" w:lineRule="auto"/>
        <w:jc w:val="left"/>
        <w:rPr>
          <w:rFonts w:hint="eastAsia" w:ascii="宋体" w:hAnsi="宋体"/>
          <w:b/>
          <w:sz w:val="24"/>
          <w:szCs w:val="28"/>
        </w:rPr>
      </w:pPr>
    </w:p>
    <w:p w14:paraId="33E89762">
      <w:pPr>
        <w:adjustRightInd w:val="0"/>
        <w:snapToGrid w:val="0"/>
        <w:spacing w:line="360" w:lineRule="auto"/>
        <w:jc w:val="left"/>
        <w:rPr>
          <w:rFonts w:hint="eastAsia" w:ascii="宋体" w:hAnsi="宋体"/>
          <w:b/>
          <w:sz w:val="24"/>
          <w:szCs w:val="28"/>
        </w:rPr>
      </w:pPr>
    </w:p>
    <w:p w14:paraId="411FE94C">
      <w:pPr>
        <w:adjustRightInd w:val="0"/>
        <w:snapToGrid w:val="0"/>
        <w:spacing w:line="360" w:lineRule="auto"/>
        <w:jc w:val="left"/>
        <w:rPr>
          <w:rFonts w:hint="eastAsia" w:ascii="宋体" w:hAnsi="宋体"/>
          <w:b/>
          <w:sz w:val="24"/>
          <w:szCs w:val="28"/>
        </w:rPr>
      </w:pPr>
    </w:p>
    <w:p w14:paraId="2F1EF002">
      <w:pPr>
        <w:adjustRightInd w:val="0"/>
        <w:snapToGrid w:val="0"/>
        <w:spacing w:line="360" w:lineRule="auto"/>
        <w:jc w:val="left"/>
        <w:rPr>
          <w:rFonts w:hint="eastAsia" w:ascii="宋体" w:hAnsi="宋体"/>
          <w:b/>
          <w:sz w:val="24"/>
          <w:szCs w:val="28"/>
        </w:rPr>
      </w:pPr>
    </w:p>
    <w:p w14:paraId="4DAA8989">
      <w:pPr>
        <w:adjustRightInd w:val="0"/>
        <w:snapToGrid w:val="0"/>
        <w:spacing w:line="360" w:lineRule="auto"/>
        <w:jc w:val="left"/>
        <w:rPr>
          <w:rFonts w:hint="eastAsia" w:ascii="宋体" w:hAnsi="宋体"/>
          <w:b/>
          <w:sz w:val="24"/>
          <w:szCs w:val="28"/>
        </w:rPr>
      </w:pPr>
    </w:p>
    <w:p w14:paraId="198E076F">
      <w:pPr>
        <w:adjustRightInd w:val="0"/>
        <w:snapToGrid w:val="0"/>
        <w:spacing w:line="360" w:lineRule="auto"/>
        <w:jc w:val="left"/>
        <w:rPr>
          <w:rFonts w:hint="eastAsia" w:ascii="宋体" w:hAnsi="宋体"/>
          <w:b/>
          <w:sz w:val="24"/>
          <w:szCs w:val="28"/>
        </w:rPr>
      </w:pPr>
    </w:p>
    <w:p w14:paraId="4EA7A7EA">
      <w:pPr>
        <w:adjustRightInd w:val="0"/>
        <w:snapToGrid w:val="0"/>
        <w:spacing w:line="360" w:lineRule="auto"/>
        <w:jc w:val="left"/>
        <w:rPr>
          <w:rFonts w:hint="eastAsia" w:ascii="宋体" w:hAnsi="宋体"/>
          <w:b/>
          <w:sz w:val="24"/>
          <w:szCs w:val="28"/>
        </w:rPr>
      </w:pPr>
    </w:p>
    <w:p w14:paraId="376EB3C5">
      <w:pPr>
        <w:adjustRightInd w:val="0"/>
        <w:snapToGrid w:val="0"/>
        <w:spacing w:line="360" w:lineRule="auto"/>
        <w:jc w:val="left"/>
        <w:rPr>
          <w:rFonts w:hint="eastAsia" w:ascii="宋体" w:hAnsi="宋体"/>
          <w:b/>
          <w:sz w:val="24"/>
          <w:szCs w:val="28"/>
        </w:rPr>
      </w:pPr>
    </w:p>
    <w:p w14:paraId="78F993D7">
      <w:pPr>
        <w:adjustRightInd w:val="0"/>
        <w:snapToGrid w:val="0"/>
        <w:spacing w:line="360" w:lineRule="auto"/>
        <w:jc w:val="left"/>
        <w:rPr>
          <w:rFonts w:hint="eastAsia" w:ascii="宋体" w:hAnsi="宋体"/>
          <w:b/>
          <w:sz w:val="24"/>
          <w:szCs w:val="28"/>
        </w:rPr>
      </w:pPr>
    </w:p>
    <w:p w14:paraId="3550E152">
      <w:pPr>
        <w:adjustRightInd w:val="0"/>
        <w:snapToGrid w:val="0"/>
        <w:spacing w:line="360" w:lineRule="auto"/>
        <w:jc w:val="left"/>
        <w:rPr>
          <w:rFonts w:hint="eastAsia" w:ascii="宋体" w:hAnsi="宋体"/>
          <w:b/>
          <w:sz w:val="24"/>
          <w:szCs w:val="28"/>
        </w:rPr>
      </w:pPr>
    </w:p>
    <w:p w14:paraId="0B722464">
      <w:pPr>
        <w:adjustRightInd w:val="0"/>
        <w:snapToGrid w:val="0"/>
        <w:spacing w:line="360" w:lineRule="auto"/>
        <w:jc w:val="left"/>
        <w:rPr>
          <w:rFonts w:hint="eastAsia" w:ascii="宋体" w:hAnsi="宋体"/>
          <w:b/>
          <w:sz w:val="24"/>
          <w:szCs w:val="28"/>
        </w:rPr>
      </w:pPr>
    </w:p>
    <w:p w14:paraId="471FC9A3">
      <w:pPr>
        <w:adjustRightInd w:val="0"/>
        <w:snapToGrid w:val="0"/>
        <w:spacing w:line="360" w:lineRule="auto"/>
        <w:jc w:val="left"/>
        <w:rPr>
          <w:rFonts w:hint="eastAsia" w:ascii="宋体" w:hAnsi="宋体"/>
          <w:b/>
          <w:sz w:val="24"/>
          <w:szCs w:val="28"/>
        </w:rPr>
      </w:pPr>
    </w:p>
    <w:p w14:paraId="7F6CDB4F">
      <w:pPr>
        <w:adjustRightInd w:val="0"/>
        <w:snapToGrid w:val="0"/>
        <w:spacing w:line="360" w:lineRule="auto"/>
        <w:jc w:val="left"/>
        <w:rPr>
          <w:rFonts w:hint="eastAsia" w:ascii="宋体" w:hAnsi="宋体"/>
          <w:b/>
          <w:sz w:val="24"/>
          <w:szCs w:val="28"/>
        </w:rPr>
      </w:pPr>
    </w:p>
    <w:p w14:paraId="44298202">
      <w:pPr>
        <w:adjustRightInd w:val="0"/>
        <w:snapToGrid w:val="0"/>
        <w:spacing w:line="360" w:lineRule="auto"/>
        <w:jc w:val="left"/>
        <w:rPr>
          <w:rFonts w:hint="eastAsia" w:ascii="宋体" w:hAnsi="宋体"/>
          <w:b/>
          <w:sz w:val="24"/>
          <w:szCs w:val="28"/>
        </w:rPr>
      </w:pPr>
    </w:p>
    <w:p w14:paraId="782D0FAD">
      <w:pPr>
        <w:adjustRightInd w:val="0"/>
        <w:snapToGrid w:val="0"/>
        <w:spacing w:line="360" w:lineRule="auto"/>
        <w:jc w:val="left"/>
        <w:rPr>
          <w:rFonts w:hint="eastAsia" w:ascii="宋体" w:hAnsi="宋体"/>
          <w:b/>
          <w:sz w:val="24"/>
          <w:szCs w:val="28"/>
        </w:rPr>
      </w:pPr>
    </w:p>
    <w:p w14:paraId="05ABE856">
      <w:pPr>
        <w:adjustRightInd w:val="0"/>
        <w:snapToGrid w:val="0"/>
        <w:spacing w:line="360" w:lineRule="auto"/>
        <w:jc w:val="left"/>
        <w:rPr>
          <w:rFonts w:hint="eastAsia" w:ascii="宋体" w:hAnsi="宋体"/>
          <w:b/>
          <w:sz w:val="24"/>
          <w:szCs w:val="28"/>
        </w:rPr>
      </w:pPr>
    </w:p>
    <w:p w14:paraId="30F4F1B0">
      <w:pPr>
        <w:adjustRightInd w:val="0"/>
        <w:snapToGrid w:val="0"/>
        <w:spacing w:line="360" w:lineRule="auto"/>
        <w:jc w:val="left"/>
        <w:rPr>
          <w:rFonts w:hint="eastAsia" w:ascii="宋体" w:hAnsi="宋体"/>
          <w:b/>
          <w:sz w:val="24"/>
          <w:szCs w:val="28"/>
        </w:rPr>
      </w:pPr>
    </w:p>
    <w:p w14:paraId="69308279">
      <w:pPr>
        <w:adjustRightInd w:val="0"/>
        <w:snapToGrid w:val="0"/>
        <w:spacing w:line="360" w:lineRule="auto"/>
        <w:jc w:val="left"/>
        <w:rPr>
          <w:rFonts w:hint="eastAsia" w:ascii="宋体" w:hAnsi="宋体"/>
          <w:b/>
          <w:sz w:val="24"/>
          <w:szCs w:val="28"/>
        </w:rPr>
      </w:pPr>
    </w:p>
    <w:p w14:paraId="7550BD18">
      <w:pPr>
        <w:adjustRightInd/>
        <w:snapToGrid/>
        <w:spacing w:line="240" w:lineRule="auto"/>
        <w:jc w:val="left"/>
        <w:rPr>
          <w:rFonts w:hint="eastAsia" w:ascii="宋体" w:hAnsi="宋体"/>
          <w:b/>
          <w:sz w:val="24"/>
          <w:szCs w:val="28"/>
        </w:rPr>
      </w:pPr>
      <w:r>
        <w:rPr>
          <w:rFonts w:hint="eastAsia" w:ascii="宋体" w:hAnsi="宋体"/>
          <w:b/>
          <w:sz w:val="24"/>
          <w:szCs w:val="28"/>
        </w:rPr>
        <w:br w:type="page"/>
      </w:r>
    </w:p>
    <w:p w14:paraId="160AA2DC">
      <w:pPr>
        <w:adjustRightInd w:val="0"/>
        <w:snapToGrid w:val="0"/>
        <w:spacing w:line="360" w:lineRule="auto"/>
        <w:jc w:val="left"/>
        <w:rPr>
          <w:rFonts w:hint="eastAsia" w:ascii="宋体" w:hAnsi="宋体"/>
          <w:b/>
          <w:sz w:val="24"/>
          <w:szCs w:val="28"/>
        </w:rPr>
      </w:pPr>
      <w:r>
        <w:rPr>
          <w:rFonts w:hint="eastAsia" w:ascii="宋体" w:hAnsi="宋体"/>
          <w:b/>
          <w:sz w:val="24"/>
          <w:szCs w:val="28"/>
        </w:rPr>
        <w:t>附件2：</w:t>
      </w:r>
    </w:p>
    <w:tbl>
      <w:tblPr>
        <w:tblStyle w:val="18"/>
        <w:tblW w:w="9964" w:type="dxa"/>
        <w:jc w:val="center"/>
        <w:tblLayout w:type="autofit"/>
        <w:tblCellMar>
          <w:top w:w="0" w:type="dxa"/>
          <w:left w:w="108" w:type="dxa"/>
          <w:bottom w:w="0" w:type="dxa"/>
          <w:right w:w="108" w:type="dxa"/>
        </w:tblCellMar>
      </w:tblPr>
      <w:tblGrid>
        <w:gridCol w:w="1560"/>
        <w:gridCol w:w="6825"/>
        <w:gridCol w:w="1579"/>
      </w:tblGrid>
      <w:tr w14:paraId="293BC6B8">
        <w:trPr>
          <w:trHeight w:val="615" w:hRule="atLeast"/>
          <w:jc w:val="center"/>
        </w:trPr>
        <w:tc>
          <w:tcPr>
            <w:tcW w:w="9964" w:type="dxa"/>
            <w:gridSpan w:val="3"/>
            <w:tcBorders>
              <w:top w:val="nil"/>
              <w:left w:val="nil"/>
              <w:bottom w:val="single" w:color="auto" w:sz="4" w:space="0"/>
              <w:right w:val="nil"/>
            </w:tcBorders>
            <w:noWrap w:val="0"/>
            <w:vAlign w:val="center"/>
          </w:tcPr>
          <w:p w14:paraId="05EA4381">
            <w:pPr>
              <w:widowControl/>
              <w:jc w:val="center"/>
              <w:rPr>
                <w:rFonts w:ascii="宋体" w:hAnsi="宋体" w:cs="宋体"/>
                <w:b/>
                <w:bCs/>
                <w:color w:val="000000"/>
                <w:kern w:val="0"/>
                <w:sz w:val="28"/>
                <w:szCs w:val="28"/>
              </w:rPr>
            </w:pPr>
            <w:r>
              <w:rPr>
                <w:rFonts w:hint="eastAsia" w:ascii="宋体" w:hAnsi="宋体" w:cs="宋体"/>
                <w:b/>
                <w:bCs/>
                <w:color w:val="000000"/>
                <w:kern w:val="0"/>
                <w:sz w:val="28"/>
                <w:szCs w:val="28"/>
              </w:rPr>
              <w:t>门头沟区环境卫生服务中心公共厕所运行保洁考核标准</w:t>
            </w:r>
          </w:p>
        </w:tc>
      </w:tr>
      <w:tr w14:paraId="62EC76D3">
        <w:tblPrEx>
          <w:tblCellMar>
            <w:top w:w="0" w:type="dxa"/>
            <w:left w:w="108" w:type="dxa"/>
            <w:bottom w:w="0" w:type="dxa"/>
            <w:right w:w="108" w:type="dxa"/>
          </w:tblCellMar>
        </w:tblPrEx>
        <w:trPr>
          <w:trHeight w:val="570" w:hRule="atLeast"/>
          <w:jc w:val="center"/>
        </w:trPr>
        <w:tc>
          <w:tcPr>
            <w:tcW w:w="1560" w:type="dxa"/>
            <w:tcBorders>
              <w:top w:val="nil"/>
              <w:left w:val="single" w:color="auto" w:sz="4" w:space="0"/>
              <w:bottom w:val="single" w:color="auto" w:sz="4" w:space="0"/>
              <w:right w:val="single" w:color="auto" w:sz="4" w:space="0"/>
            </w:tcBorders>
            <w:noWrap/>
            <w:vAlign w:val="center"/>
          </w:tcPr>
          <w:p w14:paraId="408F74A7">
            <w:pPr>
              <w:widowControl/>
              <w:jc w:val="center"/>
              <w:rPr>
                <w:rFonts w:ascii="宋体" w:hAnsi="宋体" w:cs="宋体"/>
                <w:b/>
                <w:bCs/>
                <w:color w:val="000000"/>
                <w:kern w:val="0"/>
                <w:sz w:val="24"/>
                <w:szCs w:val="24"/>
              </w:rPr>
            </w:pPr>
            <w:r>
              <w:rPr>
                <w:rFonts w:hint="eastAsia" w:ascii="宋体" w:hAnsi="宋体" w:cs="宋体"/>
                <w:b/>
                <w:bCs/>
                <w:color w:val="000000"/>
                <w:kern w:val="0"/>
                <w:sz w:val="24"/>
                <w:szCs w:val="24"/>
              </w:rPr>
              <w:t>考核内容</w:t>
            </w:r>
          </w:p>
        </w:tc>
        <w:tc>
          <w:tcPr>
            <w:tcW w:w="6825" w:type="dxa"/>
            <w:tcBorders>
              <w:top w:val="nil"/>
              <w:left w:val="nil"/>
              <w:bottom w:val="single" w:color="auto" w:sz="4" w:space="0"/>
              <w:right w:val="single" w:color="auto" w:sz="4" w:space="0"/>
            </w:tcBorders>
            <w:noWrap w:val="0"/>
            <w:vAlign w:val="center"/>
          </w:tcPr>
          <w:p w14:paraId="56FC750E">
            <w:pPr>
              <w:widowControl/>
              <w:jc w:val="center"/>
              <w:rPr>
                <w:rFonts w:ascii="宋体" w:hAnsi="宋体" w:cs="宋体"/>
                <w:b/>
                <w:bCs/>
                <w:color w:val="000000"/>
                <w:kern w:val="0"/>
                <w:sz w:val="24"/>
                <w:szCs w:val="24"/>
              </w:rPr>
            </w:pPr>
            <w:r>
              <w:rPr>
                <w:rFonts w:hint="eastAsia" w:ascii="宋体" w:hAnsi="宋体" w:cs="宋体"/>
                <w:b/>
                <w:bCs/>
                <w:color w:val="000000"/>
                <w:kern w:val="0"/>
                <w:sz w:val="24"/>
                <w:szCs w:val="24"/>
              </w:rPr>
              <w:t>违反作业的行为</w:t>
            </w:r>
          </w:p>
        </w:tc>
        <w:tc>
          <w:tcPr>
            <w:tcW w:w="1579" w:type="dxa"/>
            <w:tcBorders>
              <w:top w:val="nil"/>
              <w:left w:val="nil"/>
              <w:bottom w:val="single" w:color="auto" w:sz="4" w:space="0"/>
              <w:right w:val="single" w:color="auto" w:sz="4" w:space="0"/>
            </w:tcBorders>
            <w:noWrap w:val="0"/>
            <w:vAlign w:val="center"/>
          </w:tcPr>
          <w:p w14:paraId="7EEFAE16">
            <w:pPr>
              <w:widowControl/>
              <w:jc w:val="center"/>
              <w:rPr>
                <w:rFonts w:ascii="宋体" w:hAnsi="宋体" w:cs="宋体"/>
                <w:b/>
                <w:bCs/>
                <w:color w:val="000000"/>
                <w:kern w:val="0"/>
                <w:sz w:val="24"/>
                <w:szCs w:val="24"/>
              </w:rPr>
            </w:pPr>
            <w:r>
              <w:rPr>
                <w:rFonts w:hint="eastAsia" w:ascii="宋体" w:hAnsi="宋体" w:cs="宋体"/>
                <w:b/>
                <w:bCs/>
                <w:color w:val="000000"/>
                <w:kern w:val="0"/>
                <w:sz w:val="24"/>
                <w:szCs w:val="24"/>
              </w:rPr>
              <w:t>处罚标准</w:t>
            </w:r>
            <w:r>
              <w:rPr>
                <w:rFonts w:hint="eastAsia" w:ascii="宋体" w:hAnsi="宋体" w:cs="宋体"/>
                <w:b/>
                <w:bCs/>
                <w:color w:val="000000"/>
                <w:kern w:val="0"/>
                <w:sz w:val="24"/>
                <w:szCs w:val="24"/>
              </w:rPr>
              <w:br w:type="textWrapping"/>
            </w:r>
            <w:r>
              <w:rPr>
                <w:rFonts w:hint="eastAsia" w:ascii="宋体" w:hAnsi="宋体" w:cs="宋体"/>
                <w:b/>
                <w:bCs/>
                <w:color w:val="000000"/>
                <w:kern w:val="0"/>
                <w:sz w:val="24"/>
                <w:szCs w:val="24"/>
              </w:rPr>
              <w:t>（元/处/次）</w:t>
            </w:r>
          </w:p>
        </w:tc>
      </w:tr>
      <w:tr w14:paraId="4609633F">
        <w:tblPrEx>
          <w:tblCellMar>
            <w:top w:w="0" w:type="dxa"/>
            <w:left w:w="108" w:type="dxa"/>
            <w:bottom w:w="0" w:type="dxa"/>
            <w:right w:w="108" w:type="dxa"/>
          </w:tblCellMar>
        </w:tblPrEx>
        <w:trPr>
          <w:trHeight w:val="270" w:hRule="atLeast"/>
          <w:jc w:val="center"/>
        </w:trPr>
        <w:tc>
          <w:tcPr>
            <w:tcW w:w="1560" w:type="dxa"/>
            <w:vMerge w:val="restart"/>
            <w:tcBorders>
              <w:top w:val="nil"/>
              <w:left w:val="single" w:color="auto" w:sz="4" w:space="0"/>
              <w:bottom w:val="single" w:color="auto" w:sz="4" w:space="0"/>
              <w:right w:val="single" w:color="auto" w:sz="4" w:space="0"/>
            </w:tcBorders>
            <w:noWrap w:val="0"/>
            <w:vAlign w:val="center"/>
          </w:tcPr>
          <w:p w14:paraId="0D2752C4">
            <w:pPr>
              <w:widowControl/>
              <w:jc w:val="center"/>
              <w:rPr>
                <w:rFonts w:ascii="宋体" w:hAnsi="宋体" w:cs="宋体"/>
                <w:color w:val="000000"/>
                <w:kern w:val="0"/>
                <w:sz w:val="22"/>
                <w:szCs w:val="22"/>
              </w:rPr>
            </w:pPr>
            <w:r>
              <w:rPr>
                <w:rFonts w:hint="eastAsia" w:ascii="宋体" w:hAnsi="宋体" w:cs="宋体"/>
                <w:color w:val="000000"/>
                <w:kern w:val="0"/>
                <w:sz w:val="22"/>
                <w:szCs w:val="22"/>
              </w:rPr>
              <w:t>公厕开放</w:t>
            </w:r>
          </w:p>
        </w:tc>
        <w:tc>
          <w:tcPr>
            <w:tcW w:w="6825" w:type="dxa"/>
            <w:tcBorders>
              <w:top w:val="nil"/>
              <w:left w:val="nil"/>
              <w:bottom w:val="single" w:color="auto" w:sz="4" w:space="0"/>
              <w:right w:val="single" w:color="auto" w:sz="4" w:space="0"/>
            </w:tcBorders>
            <w:noWrap w:val="0"/>
            <w:vAlign w:val="center"/>
          </w:tcPr>
          <w:p w14:paraId="499DC59F">
            <w:pPr>
              <w:widowControl/>
              <w:jc w:val="left"/>
              <w:rPr>
                <w:rFonts w:ascii="宋体" w:hAnsi="宋体" w:cs="宋体"/>
                <w:color w:val="000000"/>
                <w:kern w:val="0"/>
                <w:sz w:val="22"/>
                <w:szCs w:val="22"/>
              </w:rPr>
            </w:pPr>
            <w:r>
              <w:rPr>
                <w:rFonts w:hint="eastAsia" w:ascii="宋体" w:hAnsi="宋体" w:cs="宋体"/>
                <w:color w:val="000000"/>
                <w:kern w:val="0"/>
                <w:sz w:val="22"/>
                <w:szCs w:val="22"/>
              </w:rPr>
              <w:t>公厕关门。</w:t>
            </w:r>
          </w:p>
        </w:tc>
        <w:tc>
          <w:tcPr>
            <w:tcW w:w="1579" w:type="dxa"/>
            <w:tcBorders>
              <w:top w:val="nil"/>
              <w:left w:val="nil"/>
              <w:bottom w:val="single" w:color="auto" w:sz="4" w:space="0"/>
              <w:right w:val="single" w:color="auto" w:sz="4" w:space="0"/>
            </w:tcBorders>
            <w:noWrap w:val="0"/>
            <w:vAlign w:val="center"/>
          </w:tcPr>
          <w:p w14:paraId="1A82F58D">
            <w:pPr>
              <w:widowControl/>
              <w:jc w:val="center"/>
              <w:rPr>
                <w:rFonts w:ascii="宋体" w:hAnsi="宋体" w:cs="宋体"/>
                <w:color w:val="000000"/>
                <w:kern w:val="0"/>
                <w:sz w:val="22"/>
                <w:szCs w:val="22"/>
              </w:rPr>
            </w:pPr>
            <w:r>
              <w:rPr>
                <w:rFonts w:hint="eastAsia" w:ascii="宋体" w:hAnsi="宋体" w:cs="宋体"/>
                <w:color w:val="000000"/>
                <w:kern w:val="0"/>
                <w:sz w:val="22"/>
                <w:szCs w:val="22"/>
              </w:rPr>
              <w:t>1000</w:t>
            </w:r>
          </w:p>
        </w:tc>
      </w:tr>
      <w:tr w14:paraId="23FCB40C">
        <w:tblPrEx>
          <w:tblCellMar>
            <w:top w:w="0" w:type="dxa"/>
            <w:left w:w="108" w:type="dxa"/>
            <w:bottom w:w="0" w:type="dxa"/>
            <w:right w:w="108" w:type="dxa"/>
          </w:tblCellMar>
        </w:tblPrEx>
        <w:trPr>
          <w:trHeight w:val="270" w:hRule="atLeast"/>
          <w:jc w:val="center"/>
        </w:trPr>
        <w:tc>
          <w:tcPr>
            <w:tcW w:w="1560" w:type="dxa"/>
            <w:vMerge w:val="continue"/>
            <w:tcBorders>
              <w:top w:val="nil"/>
              <w:left w:val="single" w:color="auto" w:sz="4" w:space="0"/>
              <w:bottom w:val="single" w:color="auto" w:sz="4" w:space="0"/>
              <w:right w:val="single" w:color="auto" w:sz="4" w:space="0"/>
            </w:tcBorders>
            <w:noWrap w:val="0"/>
            <w:vAlign w:val="center"/>
          </w:tcPr>
          <w:p w14:paraId="5687FBBA">
            <w:pPr>
              <w:widowControl/>
              <w:jc w:val="left"/>
              <w:rPr>
                <w:rFonts w:ascii="宋体" w:hAnsi="宋体" w:cs="宋体"/>
                <w:color w:val="000000"/>
                <w:kern w:val="0"/>
                <w:sz w:val="22"/>
                <w:szCs w:val="22"/>
              </w:rPr>
            </w:pPr>
          </w:p>
        </w:tc>
        <w:tc>
          <w:tcPr>
            <w:tcW w:w="6825" w:type="dxa"/>
            <w:tcBorders>
              <w:top w:val="nil"/>
              <w:left w:val="nil"/>
              <w:bottom w:val="single" w:color="auto" w:sz="4" w:space="0"/>
              <w:right w:val="single" w:color="auto" w:sz="4" w:space="0"/>
            </w:tcBorders>
            <w:noWrap w:val="0"/>
            <w:vAlign w:val="center"/>
          </w:tcPr>
          <w:p w14:paraId="28569855">
            <w:pPr>
              <w:widowControl/>
              <w:jc w:val="left"/>
              <w:rPr>
                <w:rFonts w:ascii="宋体" w:hAnsi="宋体" w:cs="宋体"/>
                <w:color w:val="000000"/>
                <w:kern w:val="0"/>
                <w:sz w:val="22"/>
                <w:szCs w:val="22"/>
              </w:rPr>
            </w:pPr>
            <w:r>
              <w:rPr>
                <w:rFonts w:hint="eastAsia" w:ascii="宋体" w:hAnsi="宋体" w:cs="宋体"/>
                <w:color w:val="000000"/>
                <w:kern w:val="0"/>
                <w:sz w:val="22"/>
                <w:szCs w:val="22"/>
              </w:rPr>
              <w:t>男女厕间、第三卫生间、无障碍专用厕所间、管理间等关门、堆放杂物。</w:t>
            </w:r>
          </w:p>
        </w:tc>
        <w:tc>
          <w:tcPr>
            <w:tcW w:w="1579" w:type="dxa"/>
            <w:tcBorders>
              <w:top w:val="nil"/>
              <w:left w:val="nil"/>
              <w:bottom w:val="single" w:color="auto" w:sz="4" w:space="0"/>
              <w:right w:val="single" w:color="auto" w:sz="4" w:space="0"/>
            </w:tcBorders>
            <w:noWrap w:val="0"/>
            <w:vAlign w:val="center"/>
          </w:tcPr>
          <w:p w14:paraId="1F2C6FC7">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624348FF">
        <w:tblPrEx>
          <w:tblCellMar>
            <w:top w:w="0" w:type="dxa"/>
            <w:left w:w="108" w:type="dxa"/>
            <w:bottom w:w="0" w:type="dxa"/>
            <w:right w:w="108" w:type="dxa"/>
          </w:tblCellMar>
        </w:tblPrEx>
        <w:trPr>
          <w:trHeight w:val="540" w:hRule="atLeast"/>
          <w:jc w:val="center"/>
        </w:trPr>
        <w:tc>
          <w:tcPr>
            <w:tcW w:w="1560" w:type="dxa"/>
            <w:tcBorders>
              <w:top w:val="nil"/>
              <w:left w:val="single" w:color="auto" w:sz="4" w:space="0"/>
              <w:bottom w:val="single" w:color="auto" w:sz="4" w:space="0"/>
              <w:right w:val="single" w:color="auto" w:sz="4" w:space="0"/>
            </w:tcBorders>
            <w:noWrap w:val="0"/>
            <w:vAlign w:val="center"/>
          </w:tcPr>
          <w:p w14:paraId="40F1DC4E">
            <w:pPr>
              <w:widowControl/>
              <w:jc w:val="center"/>
              <w:rPr>
                <w:rFonts w:ascii="宋体" w:hAnsi="宋体" w:cs="宋体"/>
                <w:color w:val="000000"/>
                <w:kern w:val="0"/>
                <w:sz w:val="22"/>
                <w:szCs w:val="22"/>
              </w:rPr>
            </w:pPr>
            <w:r>
              <w:rPr>
                <w:rFonts w:hint="eastAsia" w:ascii="宋体" w:hAnsi="宋体" w:cs="宋体"/>
                <w:color w:val="000000"/>
                <w:kern w:val="0"/>
                <w:sz w:val="22"/>
                <w:szCs w:val="22"/>
              </w:rPr>
              <w:t>公厕外围</w:t>
            </w:r>
          </w:p>
        </w:tc>
        <w:tc>
          <w:tcPr>
            <w:tcW w:w="6825" w:type="dxa"/>
            <w:tcBorders>
              <w:top w:val="nil"/>
              <w:left w:val="nil"/>
              <w:bottom w:val="single" w:color="auto" w:sz="4" w:space="0"/>
              <w:right w:val="single" w:color="auto" w:sz="4" w:space="0"/>
            </w:tcBorders>
            <w:noWrap w:val="0"/>
            <w:vAlign w:val="center"/>
          </w:tcPr>
          <w:p w14:paraId="017B09FA">
            <w:pPr>
              <w:widowControl/>
              <w:jc w:val="left"/>
              <w:rPr>
                <w:rFonts w:ascii="宋体" w:hAnsi="宋体" w:cs="宋体"/>
                <w:color w:val="000000"/>
                <w:kern w:val="0"/>
                <w:sz w:val="22"/>
                <w:szCs w:val="22"/>
              </w:rPr>
            </w:pPr>
            <w:r>
              <w:rPr>
                <w:rFonts w:hint="eastAsia" w:ascii="宋体" w:hAnsi="宋体" w:cs="宋体"/>
                <w:color w:val="000000"/>
                <w:kern w:val="0"/>
                <w:sz w:val="22"/>
                <w:szCs w:val="22"/>
              </w:rPr>
              <w:t>责任区范围有乱贴乱画、污物、污水、渣土、暴露垃圾、私搭乱建、堆放杂物、积冰积雪。</w:t>
            </w:r>
          </w:p>
        </w:tc>
        <w:tc>
          <w:tcPr>
            <w:tcW w:w="1579" w:type="dxa"/>
            <w:tcBorders>
              <w:top w:val="nil"/>
              <w:left w:val="nil"/>
              <w:bottom w:val="single" w:color="auto" w:sz="4" w:space="0"/>
              <w:right w:val="single" w:color="auto" w:sz="4" w:space="0"/>
            </w:tcBorders>
            <w:noWrap w:val="0"/>
            <w:vAlign w:val="center"/>
          </w:tcPr>
          <w:p w14:paraId="7BCDEDA8">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7BCF5333">
        <w:tblPrEx>
          <w:tblCellMar>
            <w:top w:w="0" w:type="dxa"/>
            <w:left w:w="108" w:type="dxa"/>
            <w:bottom w:w="0" w:type="dxa"/>
            <w:right w:w="108" w:type="dxa"/>
          </w:tblCellMar>
        </w:tblPrEx>
        <w:trPr>
          <w:trHeight w:val="810" w:hRule="atLeast"/>
          <w:jc w:val="center"/>
        </w:trPr>
        <w:tc>
          <w:tcPr>
            <w:tcW w:w="1560" w:type="dxa"/>
            <w:tcBorders>
              <w:top w:val="nil"/>
              <w:left w:val="single" w:color="auto" w:sz="4" w:space="0"/>
              <w:bottom w:val="single" w:color="auto" w:sz="4" w:space="0"/>
              <w:right w:val="single" w:color="auto" w:sz="4" w:space="0"/>
            </w:tcBorders>
            <w:noWrap w:val="0"/>
            <w:vAlign w:val="center"/>
          </w:tcPr>
          <w:p w14:paraId="7C57A8BF">
            <w:pPr>
              <w:widowControl/>
              <w:jc w:val="center"/>
              <w:rPr>
                <w:rFonts w:ascii="宋体" w:hAnsi="宋体" w:cs="宋体"/>
                <w:color w:val="000000"/>
                <w:kern w:val="0"/>
                <w:sz w:val="22"/>
                <w:szCs w:val="22"/>
              </w:rPr>
            </w:pPr>
            <w:r>
              <w:rPr>
                <w:rFonts w:hint="eastAsia" w:ascii="宋体" w:hAnsi="宋体" w:cs="宋体"/>
                <w:color w:val="000000"/>
                <w:kern w:val="0"/>
                <w:sz w:val="22"/>
                <w:szCs w:val="22"/>
              </w:rPr>
              <w:t>公厕外观</w:t>
            </w:r>
          </w:p>
        </w:tc>
        <w:tc>
          <w:tcPr>
            <w:tcW w:w="6825" w:type="dxa"/>
            <w:tcBorders>
              <w:top w:val="nil"/>
              <w:left w:val="nil"/>
              <w:bottom w:val="single" w:color="auto" w:sz="4" w:space="0"/>
              <w:right w:val="single" w:color="auto" w:sz="4" w:space="0"/>
            </w:tcBorders>
            <w:noWrap w:val="0"/>
            <w:vAlign w:val="center"/>
          </w:tcPr>
          <w:p w14:paraId="778E1653">
            <w:pPr>
              <w:widowControl/>
              <w:jc w:val="left"/>
              <w:rPr>
                <w:rFonts w:ascii="宋体" w:hAnsi="宋体" w:cs="宋体"/>
                <w:color w:val="000000"/>
                <w:kern w:val="0"/>
                <w:sz w:val="22"/>
                <w:szCs w:val="22"/>
              </w:rPr>
            </w:pPr>
            <w:r>
              <w:rPr>
                <w:rFonts w:hint="eastAsia" w:ascii="宋体" w:hAnsi="宋体" w:cs="宋体"/>
                <w:color w:val="000000"/>
                <w:kern w:val="0"/>
                <w:sz w:val="22"/>
                <w:szCs w:val="22"/>
              </w:rPr>
              <w:t>外立面、内墙面、天花板、门窗、照明灯、洁手器具、面镜、挂衣钩、洗手台、烘手器、冲水设施、便器、无障碍设备设施等存在刻画、脱漆、破损、锈蚀:厕铭牌、导向标志牌、厕内标志标识有损坏、脱落、老化、掉色、不洁。</w:t>
            </w:r>
          </w:p>
        </w:tc>
        <w:tc>
          <w:tcPr>
            <w:tcW w:w="1579" w:type="dxa"/>
            <w:tcBorders>
              <w:top w:val="nil"/>
              <w:left w:val="nil"/>
              <w:bottom w:val="single" w:color="auto" w:sz="4" w:space="0"/>
              <w:right w:val="single" w:color="auto" w:sz="4" w:space="0"/>
            </w:tcBorders>
            <w:noWrap w:val="0"/>
            <w:vAlign w:val="center"/>
          </w:tcPr>
          <w:p w14:paraId="2288A809">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2DC7700A">
        <w:tblPrEx>
          <w:tblCellMar>
            <w:top w:w="0" w:type="dxa"/>
            <w:left w:w="108" w:type="dxa"/>
            <w:bottom w:w="0" w:type="dxa"/>
            <w:right w:w="108" w:type="dxa"/>
          </w:tblCellMar>
        </w:tblPrEx>
        <w:trPr>
          <w:trHeight w:val="270" w:hRule="atLeast"/>
          <w:jc w:val="center"/>
        </w:trPr>
        <w:tc>
          <w:tcPr>
            <w:tcW w:w="1560" w:type="dxa"/>
            <w:tcBorders>
              <w:top w:val="nil"/>
              <w:left w:val="single" w:color="auto" w:sz="4" w:space="0"/>
              <w:bottom w:val="single" w:color="auto" w:sz="4" w:space="0"/>
              <w:right w:val="single" w:color="auto" w:sz="4" w:space="0"/>
            </w:tcBorders>
            <w:noWrap w:val="0"/>
            <w:vAlign w:val="center"/>
          </w:tcPr>
          <w:p w14:paraId="1F4282E9">
            <w:pPr>
              <w:widowControl/>
              <w:jc w:val="center"/>
              <w:rPr>
                <w:rFonts w:ascii="宋体" w:hAnsi="宋体" w:cs="宋体"/>
                <w:color w:val="000000"/>
                <w:kern w:val="0"/>
                <w:sz w:val="22"/>
                <w:szCs w:val="22"/>
              </w:rPr>
            </w:pPr>
            <w:r>
              <w:rPr>
                <w:rFonts w:hint="eastAsia" w:ascii="宋体" w:hAnsi="宋体" w:cs="宋体"/>
                <w:color w:val="000000"/>
                <w:kern w:val="0"/>
                <w:sz w:val="22"/>
                <w:szCs w:val="22"/>
              </w:rPr>
              <w:t>设备设施</w:t>
            </w:r>
          </w:p>
        </w:tc>
        <w:tc>
          <w:tcPr>
            <w:tcW w:w="6825" w:type="dxa"/>
            <w:tcBorders>
              <w:top w:val="nil"/>
              <w:left w:val="nil"/>
              <w:bottom w:val="single" w:color="auto" w:sz="4" w:space="0"/>
              <w:right w:val="single" w:color="auto" w:sz="4" w:space="0"/>
            </w:tcBorders>
            <w:noWrap w:val="0"/>
            <w:vAlign w:val="center"/>
          </w:tcPr>
          <w:p w14:paraId="17568D77">
            <w:pPr>
              <w:widowControl/>
              <w:jc w:val="left"/>
              <w:rPr>
                <w:rFonts w:ascii="宋体" w:hAnsi="宋体" w:cs="宋体"/>
                <w:color w:val="000000"/>
                <w:kern w:val="0"/>
                <w:sz w:val="22"/>
                <w:szCs w:val="22"/>
              </w:rPr>
            </w:pPr>
            <w:r>
              <w:rPr>
                <w:rFonts w:hint="eastAsia" w:ascii="宋体" w:hAnsi="宋体" w:cs="宋体"/>
                <w:color w:val="000000"/>
                <w:kern w:val="0"/>
                <w:sz w:val="22"/>
                <w:szCs w:val="22"/>
              </w:rPr>
              <w:t>厕内机器设备不能正常使用、损坏。</w:t>
            </w:r>
          </w:p>
        </w:tc>
        <w:tc>
          <w:tcPr>
            <w:tcW w:w="1579" w:type="dxa"/>
            <w:tcBorders>
              <w:top w:val="nil"/>
              <w:left w:val="nil"/>
              <w:bottom w:val="single" w:color="auto" w:sz="4" w:space="0"/>
              <w:right w:val="single" w:color="auto" w:sz="4" w:space="0"/>
            </w:tcBorders>
            <w:noWrap w:val="0"/>
            <w:vAlign w:val="center"/>
          </w:tcPr>
          <w:p w14:paraId="1794631A">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744C2ACB">
        <w:tblPrEx>
          <w:tblCellMar>
            <w:top w:w="0" w:type="dxa"/>
            <w:left w:w="108" w:type="dxa"/>
            <w:bottom w:w="0" w:type="dxa"/>
            <w:right w:w="108" w:type="dxa"/>
          </w:tblCellMar>
        </w:tblPrEx>
        <w:trPr>
          <w:trHeight w:val="270" w:hRule="atLeast"/>
          <w:jc w:val="center"/>
        </w:trPr>
        <w:tc>
          <w:tcPr>
            <w:tcW w:w="1560" w:type="dxa"/>
            <w:tcBorders>
              <w:top w:val="nil"/>
              <w:left w:val="single" w:color="auto" w:sz="4" w:space="0"/>
              <w:bottom w:val="single" w:color="auto" w:sz="4" w:space="0"/>
              <w:right w:val="single" w:color="auto" w:sz="4" w:space="0"/>
            </w:tcBorders>
            <w:noWrap w:val="0"/>
            <w:vAlign w:val="center"/>
          </w:tcPr>
          <w:p w14:paraId="12E60DAC">
            <w:pPr>
              <w:widowControl/>
              <w:jc w:val="center"/>
              <w:rPr>
                <w:rFonts w:ascii="宋体" w:hAnsi="宋体" w:cs="宋体"/>
                <w:color w:val="000000"/>
                <w:kern w:val="0"/>
                <w:sz w:val="22"/>
                <w:szCs w:val="22"/>
              </w:rPr>
            </w:pPr>
            <w:r>
              <w:rPr>
                <w:rFonts w:hint="eastAsia" w:ascii="宋体" w:hAnsi="宋体" w:cs="宋体"/>
                <w:color w:val="000000"/>
                <w:kern w:val="0"/>
                <w:sz w:val="22"/>
                <w:szCs w:val="22"/>
              </w:rPr>
              <w:t>工具物资</w:t>
            </w:r>
          </w:p>
        </w:tc>
        <w:tc>
          <w:tcPr>
            <w:tcW w:w="6825" w:type="dxa"/>
            <w:tcBorders>
              <w:top w:val="nil"/>
              <w:left w:val="nil"/>
              <w:bottom w:val="single" w:color="auto" w:sz="4" w:space="0"/>
              <w:right w:val="single" w:color="auto" w:sz="4" w:space="0"/>
            </w:tcBorders>
            <w:noWrap w:val="0"/>
            <w:vAlign w:val="center"/>
          </w:tcPr>
          <w:p w14:paraId="3D3D96C5">
            <w:pPr>
              <w:widowControl/>
              <w:jc w:val="left"/>
              <w:rPr>
                <w:rFonts w:ascii="宋体" w:hAnsi="宋体" w:cs="宋体"/>
                <w:color w:val="000000"/>
                <w:kern w:val="0"/>
                <w:sz w:val="22"/>
                <w:szCs w:val="22"/>
              </w:rPr>
            </w:pPr>
            <w:r>
              <w:rPr>
                <w:rFonts w:hint="eastAsia" w:ascii="宋体" w:hAnsi="宋体" w:cs="宋体"/>
                <w:color w:val="000000"/>
                <w:kern w:val="0"/>
                <w:sz w:val="22"/>
                <w:szCs w:val="22"/>
              </w:rPr>
              <w:t>保洁工具、物资未统一整齐摆放在工具间或指定位置。</w:t>
            </w:r>
          </w:p>
        </w:tc>
        <w:tc>
          <w:tcPr>
            <w:tcW w:w="1579" w:type="dxa"/>
            <w:tcBorders>
              <w:top w:val="nil"/>
              <w:left w:val="nil"/>
              <w:bottom w:val="single" w:color="auto" w:sz="4" w:space="0"/>
              <w:right w:val="single" w:color="auto" w:sz="4" w:space="0"/>
            </w:tcBorders>
            <w:noWrap w:val="0"/>
            <w:vAlign w:val="center"/>
          </w:tcPr>
          <w:p w14:paraId="14A36AA1">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3CFBF7F0">
        <w:tblPrEx>
          <w:tblCellMar>
            <w:top w:w="0" w:type="dxa"/>
            <w:left w:w="108" w:type="dxa"/>
            <w:bottom w:w="0" w:type="dxa"/>
            <w:right w:w="108" w:type="dxa"/>
          </w:tblCellMar>
        </w:tblPrEx>
        <w:trPr>
          <w:trHeight w:val="540" w:hRule="atLeast"/>
          <w:jc w:val="center"/>
        </w:trPr>
        <w:tc>
          <w:tcPr>
            <w:tcW w:w="1560" w:type="dxa"/>
            <w:vMerge w:val="restart"/>
            <w:tcBorders>
              <w:top w:val="nil"/>
              <w:left w:val="single" w:color="auto" w:sz="4" w:space="0"/>
              <w:bottom w:val="single" w:color="auto" w:sz="4" w:space="0"/>
              <w:right w:val="single" w:color="auto" w:sz="4" w:space="0"/>
            </w:tcBorders>
            <w:noWrap w:val="0"/>
            <w:vAlign w:val="center"/>
          </w:tcPr>
          <w:p w14:paraId="5E9BD914">
            <w:pPr>
              <w:widowControl/>
              <w:jc w:val="center"/>
              <w:rPr>
                <w:rFonts w:ascii="宋体" w:hAnsi="宋体" w:cs="宋体"/>
                <w:color w:val="000000"/>
                <w:kern w:val="0"/>
                <w:sz w:val="22"/>
                <w:szCs w:val="22"/>
              </w:rPr>
            </w:pPr>
            <w:r>
              <w:rPr>
                <w:rFonts w:hint="eastAsia" w:ascii="宋体" w:hAnsi="宋体" w:cs="宋体"/>
                <w:color w:val="000000"/>
                <w:kern w:val="0"/>
                <w:sz w:val="22"/>
                <w:szCs w:val="22"/>
              </w:rPr>
              <w:t>公厕保洁消毒</w:t>
            </w:r>
          </w:p>
        </w:tc>
        <w:tc>
          <w:tcPr>
            <w:tcW w:w="6825" w:type="dxa"/>
            <w:tcBorders>
              <w:top w:val="nil"/>
              <w:left w:val="nil"/>
              <w:bottom w:val="single" w:color="auto" w:sz="4" w:space="0"/>
              <w:right w:val="single" w:color="auto" w:sz="4" w:space="0"/>
            </w:tcBorders>
            <w:noWrap w:val="0"/>
            <w:vAlign w:val="center"/>
          </w:tcPr>
          <w:p w14:paraId="705105DC">
            <w:pPr>
              <w:widowControl/>
              <w:jc w:val="left"/>
              <w:rPr>
                <w:rFonts w:ascii="宋体" w:hAnsi="宋体" w:cs="宋体"/>
                <w:color w:val="000000"/>
                <w:kern w:val="0"/>
                <w:sz w:val="22"/>
                <w:szCs w:val="22"/>
              </w:rPr>
            </w:pPr>
            <w:r>
              <w:rPr>
                <w:rFonts w:hint="eastAsia" w:ascii="宋体" w:hAnsi="宋体" w:cs="宋体"/>
                <w:color w:val="000000"/>
                <w:kern w:val="0"/>
                <w:sz w:val="22"/>
                <w:szCs w:val="22"/>
              </w:rPr>
              <w:t>公厕擦洗、拖洗、清理、消毒、清除等保洁作业未达到《公共厕所运行管理规范》(DB11/T 356)要求。</w:t>
            </w:r>
          </w:p>
        </w:tc>
        <w:tc>
          <w:tcPr>
            <w:tcW w:w="1579" w:type="dxa"/>
            <w:tcBorders>
              <w:top w:val="nil"/>
              <w:left w:val="nil"/>
              <w:bottom w:val="single" w:color="auto" w:sz="4" w:space="0"/>
              <w:right w:val="single" w:color="auto" w:sz="4" w:space="0"/>
            </w:tcBorders>
            <w:noWrap w:val="0"/>
            <w:vAlign w:val="center"/>
          </w:tcPr>
          <w:p w14:paraId="1E0E52B4">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646C7B06">
        <w:tblPrEx>
          <w:tblCellMar>
            <w:top w:w="0" w:type="dxa"/>
            <w:left w:w="108" w:type="dxa"/>
            <w:bottom w:w="0" w:type="dxa"/>
            <w:right w:w="108" w:type="dxa"/>
          </w:tblCellMar>
        </w:tblPrEx>
        <w:trPr>
          <w:trHeight w:val="540" w:hRule="atLeast"/>
          <w:jc w:val="center"/>
        </w:trPr>
        <w:tc>
          <w:tcPr>
            <w:tcW w:w="1560" w:type="dxa"/>
            <w:vMerge w:val="continue"/>
            <w:tcBorders>
              <w:top w:val="nil"/>
              <w:left w:val="single" w:color="auto" w:sz="4" w:space="0"/>
              <w:bottom w:val="single" w:color="auto" w:sz="4" w:space="0"/>
              <w:right w:val="single" w:color="auto" w:sz="4" w:space="0"/>
            </w:tcBorders>
            <w:noWrap w:val="0"/>
            <w:vAlign w:val="center"/>
          </w:tcPr>
          <w:p w14:paraId="14DACED3">
            <w:pPr>
              <w:widowControl/>
              <w:jc w:val="left"/>
              <w:rPr>
                <w:rFonts w:ascii="宋体" w:hAnsi="宋体" w:cs="宋体"/>
                <w:color w:val="000000"/>
                <w:kern w:val="0"/>
                <w:sz w:val="22"/>
                <w:szCs w:val="22"/>
              </w:rPr>
            </w:pPr>
          </w:p>
        </w:tc>
        <w:tc>
          <w:tcPr>
            <w:tcW w:w="6825" w:type="dxa"/>
            <w:tcBorders>
              <w:top w:val="nil"/>
              <w:left w:val="nil"/>
              <w:bottom w:val="single" w:color="auto" w:sz="4" w:space="0"/>
              <w:right w:val="single" w:color="auto" w:sz="4" w:space="0"/>
            </w:tcBorders>
            <w:noWrap w:val="0"/>
            <w:vAlign w:val="center"/>
          </w:tcPr>
          <w:p w14:paraId="3E1C1A28">
            <w:pPr>
              <w:widowControl/>
              <w:jc w:val="left"/>
              <w:rPr>
                <w:rFonts w:ascii="宋体" w:hAnsi="宋体" w:cs="宋体"/>
                <w:color w:val="000000"/>
                <w:kern w:val="0"/>
                <w:sz w:val="22"/>
                <w:szCs w:val="22"/>
              </w:rPr>
            </w:pPr>
            <w:r>
              <w:rPr>
                <w:rFonts w:hint="eastAsia" w:ascii="宋体" w:hAnsi="宋体" w:cs="宋体"/>
                <w:color w:val="000000"/>
                <w:kern w:val="0"/>
                <w:sz w:val="22"/>
                <w:szCs w:val="22"/>
              </w:rPr>
              <w:t>大便器内有积存物，小便器内有积尿、污物，纸萎溢满;厕内地面、蹲台有废弃物、污渍、积水，雨雪天时地面湿滑等。厕内机器设备外观不洁，有积尘、积垢。</w:t>
            </w:r>
          </w:p>
        </w:tc>
        <w:tc>
          <w:tcPr>
            <w:tcW w:w="1579" w:type="dxa"/>
            <w:tcBorders>
              <w:top w:val="nil"/>
              <w:left w:val="nil"/>
              <w:bottom w:val="single" w:color="auto" w:sz="4" w:space="0"/>
              <w:right w:val="single" w:color="auto" w:sz="4" w:space="0"/>
            </w:tcBorders>
            <w:noWrap w:val="0"/>
            <w:vAlign w:val="center"/>
          </w:tcPr>
          <w:p w14:paraId="0FCBFEEC">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455ADE56">
        <w:tblPrEx>
          <w:tblCellMar>
            <w:top w:w="0" w:type="dxa"/>
            <w:left w:w="108" w:type="dxa"/>
            <w:bottom w:w="0" w:type="dxa"/>
            <w:right w:w="108" w:type="dxa"/>
          </w:tblCellMar>
        </w:tblPrEx>
        <w:trPr>
          <w:trHeight w:val="270" w:hRule="atLeast"/>
          <w:jc w:val="center"/>
        </w:trPr>
        <w:tc>
          <w:tcPr>
            <w:tcW w:w="1560" w:type="dxa"/>
            <w:tcBorders>
              <w:top w:val="nil"/>
              <w:left w:val="single" w:color="auto" w:sz="4" w:space="0"/>
              <w:bottom w:val="single" w:color="auto" w:sz="4" w:space="0"/>
              <w:right w:val="single" w:color="auto" w:sz="4" w:space="0"/>
            </w:tcBorders>
            <w:noWrap w:val="0"/>
            <w:vAlign w:val="center"/>
          </w:tcPr>
          <w:p w14:paraId="15DC9C59">
            <w:pPr>
              <w:widowControl/>
              <w:jc w:val="center"/>
              <w:rPr>
                <w:rFonts w:ascii="宋体" w:hAnsi="宋体" w:cs="宋体"/>
                <w:color w:val="000000"/>
                <w:kern w:val="0"/>
                <w:sz w:val="22"/>
                <w:szCs w:val="22"/>
              </w:rPr>
            </w:pPr>
            <w:r>
              <w:rPr>
                <w:rFonts w:hint="eastAsia" w:ascii="宋体" w:hAnsi="宋体" w:cs="宋体"/>
                <w:color w:val="000000"/>
                <w:kern w:val="0"/>
                <w:sz w:val="22"/>
                <w:szCs w:val="22"/>
              </w:rPr>
              <w:t>保洁员管理</w:t>
            </w:r>
          </w:p>
        </w:tc>
        <w:tc>
          <w:tcPr>
            <w:tcW w:w="6825" w:type="dxa"/>
            <w:tcBorders>
              <w:top w:val="nil"/>
              <w:left w:val="nil"/>
              <w:bottom w:val="single" w:color="auto" w:sz="4" w:space="0"/>
              <w:right w:val="single" w:color="auto" w:sz="4" w:space="0"/>
            </w:tcBorders>
            <w:noWrap w:val="0"/>
            <w:vAlign w:val="center"/>
          </w:tcPr>
          <w:p w14:paraId="47DD17D7">
            <w:pPr>
              <w:widowControl/>
              <w:jc w:val="left"/>
              <w:rPr>
                <w:rFonts w:ascii="宋体" w:hAnsi="宋体" w:cs="宋体"/>
                <w:color w:val="000000"/>
                <w:kern w:val="0"/>
                <w:sz w:val="22"/>
                <w:szCs w:val="22"/>
              </w:rPr>
            </w:pPr>
            <w:r>
              <w:rPr>
                <w:rFonts w:hint="eastAsia" w:ascii="宋体" w:hAnsi="宋体" w:cs="宋体"/>
                <w:color w:val="000000"/>
                <w:kern w:val="0"/>
                <w:sz w:val="22"/>
                <w:szCs w:val="22"/>
              </w:rPr>
              <w:t>保洁员脱岗、服装不整洁、工作时间从事与工作无关事情、态度恶劣。</w:t>
            </w:r>
          </w:p>
        </w:tc>
        <w:tc>
          <w:tcPr>
            <w:tcW w:w="1579" w:type="dxa"/>
            <w:tcBorders>
              <w:top w:val="nil"/>
              <w:left w:val="nil"/>
              <w:bottom w:val="single" w:color="auto" w:sz="4" w:space="0"/>
              <w:right w:val="single" w:color="auto" w:sz="4" w:space="0"/>
            </w:tcBorders>
            <w:noWrap w:val="0"/>
            <w:vAlign w:val="center"/>
          </w:tcPr>
          <w:p w14:paraId="0852365F">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68163236">
        <w:tblPrEx>
          <w:tblCellMar>
            <w:top w:w="0" w:type="dxa"/>
            <w:left w:w="108" w:type="dxa"/>
            <w:bottom w:w="0" w:type="dxa"/>
            <w:right w:w="108" w:type="dxa"/>
          </w:tblCellMar>
        </w:tblPrEx>
        <w:trPr>
          <w:trHeight w:val="270" w:hRule="atLeast"/>
          <w:jc w:val="center"/>
        </w:trPr>
        <w:tc>
          <w:tcPr>
            <w:tcW w:w="1560" w:type="dxa"/>
            <w:tcBorders>
              <w:top w:val="nil"/>
              <w:left w:val="single" w:color="auto" w:sz="4" w:space="0"/>
              <w:bottom w:val="single" w:color="auto" w:sz="4" w:space="0"/>
              <w:right w:val="single" w:color="auto" w:sz="4" w:space="0"/>
            </w:tcBorders>
            <w:noWrap w:val="0"/>
            <w:vAlign w:val="center"/>
          </w:tcPr>
          <w:p w14:paraId="08BE11B6">
            <w:pPr>
              <w:widowControl/>
              <w:jc w:val="center"/>
              <w:rPr>
                <w:rFonts w:ascii="宋体" w:hAnsi="宋体" w:cs="宋体"/>
                <w:color w:val="000000"/>
                <w:kern w:val="0"/>
                <w:sz w:val="22"/>
                <w:szCs w:val="22"/>
              </w:rPr>
            </w:pPr>
            <w:r>
              <w:rPr>
                <w:rFonts w:hint="eastAsia" w:ascii="宋体" w:hAnsi="宋体" w:cs="宋体"/>
                <w:color w:val="000000"/>
                <w:kern w:val="0"/>
                <w:sz w:val="22"/>
                <w:szCs w:val="22"/>
              </w:rPr>
              <w:t>制度上墙</w:t>
            </w:r>
          </w:p>
        </w:tc>
        <w:tc>
          <w:tcPr>
            <w:tcW w:w="6825" w:type="dxa"/>
            <w:tcBorders>
              <w:top w:val="nil"/>
              <w:left w:val="nil"/>
              <w:bottom w:val="single" w:color="auto" w:sz="4" w:space="0"/>
              <w:right w:val="single" w:color="auto" w:sz="4" w:space="0"/>
            </w:tcBorders>
            <w:noWrap w:val="0"/>
            <w:vAlign w:val="center"/>
          </w:tcPr>
          <w:p w14:paraId="2E5B5667">
            <w:pPr>
              <w:widowControl/>
              <w:jc w:val="left"/>
              <w:rPr>
                <w:rFonts w:ascii="宋体" w:hAnsi="宋体" w:cs="宋体"/>
                <w:color w:val="000000"/>
                <w:kern w:val="0"/>
                <w:sz w:val="22"/>
                <w:szCs w:val="22"/>
              </w:rPr>
            </w:pPr>
            <w:r>
              <w:rPr>
                <w:rFonts w:hint="eastAsia" w:ascii="宋体" w:hAnsi="宋体" w:cs="宋体"/>
                <w:color w:val="000000"/>
                <w:kern w:val="0"/>
                <w:sz w:val="22"/>
                <w:szCs w:val="22"/>
              </w:rPr>
              <w:t>未在明显位置公示保洁员服务规范、作业标准、设备设施操作规程等。</w:t>
            </w:r>
          </w:p>
        </w:tc>
        <w:tc>
          <w:tcPr>
            <w:tcW w:w="1579" w:type="dxa"/>
            <w:tcBorders>
              <w:top w:val="nil"/>
              <w:left w:val="nil"/>
              <w:bottom w:val="single" w:color="auto" w:sz="4" w:space="0"/>
              <w:right w:val="single" w:color="auto" w:sz="4" w:space="0"/>
            </w:tcBorders>
            <w:noWrap w:val="0"/>
            <w:vAlign w:val="center"/>
          </w:tcPr>
          <w:p w14:paraId="2E54E9C8">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2B3787C6">
        <w:tblPrEx>
          <w:tblCellMar>
            <w:top w:w="0" w:type="dxa"/>
            <w:left w:w="108" w:type="dxa"/>
            <w:bottom w:w="0" w:type="dxa"/>
            <w:right w:w="108" w:type="dxa"/>
          </w:tblCellMar>
        </w:tblPrEx>
        <w:trPr>
          <w:trHeight w:val="540" w:hRule="atLeast"/>
          <w:jc w:val="center"/>
        </w:trPr>
        <w:tc>
          <w:tcPr>
            <w:tcW w:w="1560" w:type="dxa"/>
            <w:tcBorders>
              <w:top w:val="nil"/>
              <w:left w:val="single" w:color="auto" w:sz="4" w:space="0"/>
              <w:bottom w:val="single" w:color="auto" w:sz="4" w:space="0"/>
              <w:right w:val="single" w:color="auto" w:sz="4" w:space="0"/>
            </w:tcBorders>
            <w:noWrap w:val="0"/>
            <w:vAlign w:val="center"/>
          </w:tcPr>
          <w:p w14:paraId="7B783599">
            <w:pPr>
              <w:widowControl/>
              <w:jc w:val="center"/>
              <w:rPr>
                <w:rFonts w:ascii="宋体" w:hAnsi="宋体" w:cs="宋体"/>
                <w:color w:val="000000"/>
                <w:kern w:val="0"/>
                <w:sz w:val="22"/>
                <w:szCs w:val="22"/>
              </w:rPr>
            </w:pPr>
            <w:r>
              <w:rPr>
                <w:rFonts w:hint="eastAsia" w:ascii="宋体" w:hAnsi="宋体" w:cs="宋体"/>
                <w:color w:val="000000"/>
                <w:kern w:val="0"/>
                <w:sz w:val="22"/>
                <w:szCs w:val="22"/>
              </w:rPr>
              <w:t>作业记录</w:t>
            </w:r>
          </w:p>
        </w:tc>
        <w:tc>
          <w:tcPr>
            <w:tcW w:w="6825" w:type="dxa"/>
            <w:tcBorders>
              <w:top w:val="nil"/>
              <w:left w:val="nil"/>
              <w:bottom w:val="single" w:color="auto" w:sz="4" w:space="0"/>
              <w:right w:val="single" w:color="auto" w:sz="4" w:space="0"/>
            </w:tcBorders>
            <w:noWrap w:val="0"/>
            <w:vAlign w:val="center"/>
          </w:tcPr>
          <w:p w14:paraId="229E1051">
            <w:pPr>
              <w:widowControl/>
              <w:jc w:val="left"/>
              <w:rPr>
                <w:rFonts w:ascii="宋体" w:hAnsi="宋体" w:cs="宋体"/>
                <w:color w:val="000000"/>
                <w:kern w:val="0"/>
                <w:sz w:val="22"/>
                <w:szCs w:val="22"/>
              </w:rPr>
            </w:pPr>
            <w:r>
              <w:rPr>
                <w:rFonts w:hint="eastAsia" w:ascii="宋体" w:hAnsi="宋体" w:cs="宋体"/>
                <w:color w:val="000000"/>
                <w:kern w:val="0"/>
                <w:sz w:val="22"/>
                <w:szCs w:val="22"/>
              </w:rPr>
              <w:t>服务保洁记录、维修保养记录、粪便抽运记录、消毒记录、检查记录等不符合要求。</w:t>
            </w:r>
          </w:p>
        </w:tc>
        <w:tc>
          <w:tcPr>
            <w:tcW w:w="1579" w:type="dxa"/>
            <w:tcBorders>
              <w:top w:val="nil"/>
              <w:left w:val="nil"/>
              <w:bottom w:val="single" w:color="auto" w:sz="4" w:space="0"/>
              <w:right w:val="single" w:color="auto" w:sz="4" w:space="0"/>
            </w:tcBorders>
            <w:noWrap w:val="0"/>
            <w:vAlign w:val="center"/>
          </w:tcPr>
          <w:p w14:paraId="2BCFB9D9">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2A6CD62B">
        <w:tblPrEx>
          <w:tblCellMar>
            <w:top w:w="0" w:type="dxa"/>
            <w:left w:w="108" w:type="dxa"/>
            <w:bottom w:w="0" w:type="dxa"/>
            <w:right w:w="108" w:type="dxa"/>
          </w:tblCellMar>
        </w:tblPrEx>
        <w:trPr>
          <w:trHeight w:val="270" w:hRule="atLeast"/>
          <w:jc w:val="center"/>
        </w:trPr>
        <w:tc>
          <w:tcPr>
            <w:tcW w:w="1560" w:type="dxa"/>
            <w:tcBorders>
              <w:top w:val="nil"/>
              <w:left w:val="single" w:color="auto" w:sz="4" w:space="0"/>
              <w:bottom w:val="single" w:color="auto" w:sz="4" w:space="0"/>
              <w:right w:val="single" w:color="auto" w:sz="4" w:space="0"/>
            </w:tcBorders>
            <w:noWrap w:val="0"/>
            <w:vAlign w:val="center"/>
          </w:tcPr>
          <w:p w14:paraId="7EDBAA52">
            <w:pPr>
              <w:widowControl/>
              <w:jc w:val="center"/>
              <w:rPr>
                <w:rFonts w:ascii="宋体" w:hAnsi="宋体" w:cs="宋体"/>
                <w:color w:val="000000"/>
                <w:kern w:val="0"/>
                <w:sz w:val="22"/>
                <w:szCs w:val="22"/>
              </w:rPr>
            </w:pPr>
            <w:r>
              <w:rPr>
                <w:rFonts w:hint="eastAsia" w:ascii="宋体" w:hAnsi="宋体" w:cs="宋体"/>
                <w:color w:val="000000"/>
                <w:kern w:val="0"/>
                <w:sz w:val="22"/>
                <w:szCs w:val="22"/>
              </w:rPr>
              <w:t>臭味控制</w:t>
            </w:r>
          </w:p>
        </w:tc>
        <w:tc>
          <w:tcPr>
            <w:tcW w:w="6825" w:type="dxa"/>
            <w:tcBorders>
              <w:top w:val="nil"/>
              <w:left w:val="nil"/>
              <w:bottom w:val="single" w:color="auto" w:sz="4" w:space="0"/>
              <w:right w:val="single" w:color="auto" w:sz="4" w:space="0"/>
            </w:tcBorders>
            <w:noWrap w:val="0"/>
            <w:vAlign w:val="center"/>
          </w:tcPr>
          <w:p w14:paraId="5E934982">
            <w:pPr>
              <w:widowControl/>
              <w:jc w:val="left"/>
              <w:rPr>
                <w:rFonts w:ascii="宋体" w:hAnsi="宋体" w:cs="宋体"/>
                <w:color w:val="000000"/>
                <w:kern w:val="0"/>
                <w:sz w:val="22"/>
                <w:szCs w:val="22"/>
              </w:rPr>
            </w:pPr>
            <w:r>
              <w:rPr>
                <w:rFonts w:hint="eastAsia" w:ascii="宋体" w:hAnsi="宋体" w:cs="宋体"/>
                <w:color w:val="000000"/>
                <w:kern w:val="0"/>
                <w:sz w:val="22"/>
                <w:szCs w:val="22"/>
              </w:rPr>
              <w:t>未开窗通风，不开放除臭设备，有明显臭味。</w:t>
            </w:r>
          </w:p>
        </w:tc>
        <w:tc>
          <w:tcPr>
            <w:tcW w:w="1579" w:type="dxa"/>
            <w:tcBorders>
              <w:top w:val="nil"/>
              <w:left w:val="nil"/>
              <w:bottom w:val="single" w:color="auto" w:sz="4" w:space="0"/>
              <w:right w:val="single" w:color="auto" w:sz="4" w:space="0"/>
            </w:tcBorders>
            <w:noWrap w:val="0"/>
            <w:vAlign w:val="center"/>
          </w:tcPr>
          <w:p w14:paraId="3924A597">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31673123">
        <w:tblPrEx>
          <w:tblCellMar>
            <w:top w:w="0" w:type="dxa"/>
            <w:left w:w="108" w:type="dxa"/>
            <w:bottom w:w="0" w:type="dxa"/>
            <w:right w:w="108" w:type="dxa"/>
          </w:tblCellMar>
        </w:tblPrEx>
        <w:trPr>
          <w:trHeight w:val="270" w:hRule="atLeast"/>
          <w:jc w:val="center"/>
        </w:trPr>
        <w:tc>
          <w:tcPr>
            <w:tcW w:w="1560" w:type="dxa"/>
            <w:tcBorders>
              <w:top w:val="nil"/>
              <w:left w:val="single" w:color="auto" w:sz="4" w:space="0"/>
              <w:bottom w:val="single" w:color="auto" w:sz="4" w:space="0"/>
              <w:right w:val="single" w:color="auto" w:sz="4" w:space="0"/>
            </w:tcBorders>
            <w:noWrap w:val="0"/>
            <w:vAlign w:val="center"/>
          </w:tcPr>
          <w:p w14:paraId="38092249">
            <w:pPr>
              <w:widowControl/>
              <w:jc w:val="center"/>
              <w:rPr>
                <w:rFonts w:ascii="宋体" w:hAnsi="宋体" w:cs="宋体"/>
                <w:color w:val="000000"/>
                <w:kern w:val="0"/>
                <w:sz w:val="22"/>
                <w:szCs w:val="22"/>
              </w:rPr>
            </w:pPr>
            <w:r>
              <w:rPr>
                <w:rFonts w:hint="eastAsia" w:ascii="宋体" w:hAnsi="宋体" w:cs="宋体"/>
                <w:color w:val="000000"/>
                <w:kern w:val="0"/>
                <w:sz w:val="22"/>
                <w:szCs w:val="22"/>
              </w:rPr>
              <w:t>虫害防治</w:t>
            </w:r>
          </w:p>
        </w:tc>
        <w:tc>
          <w:tcPr>
            <w:tcW w:w="6825" w:type="dxa"/>
            <w:tcBorders>
              <w:top w:val="nil"/>
              <w:left w:val="nil"/>
              <w:bottom w:val="single" w:color="auto" w:sz="4" w:space="0"/>
              <w:right w:val="single" w:color="auto" w:sz="4" w:space="0"/>
            </w:tcBorders>
            <w:noWrap w:val="0"/>
            <w:vAlign w:val="center"/>
          </w:tcPr>
          <w:p w14:paraId="58778E75">
            <w:pPr>
              <w:widowControl/>
              <w:jc w:val="left"/>
              <w:rPr>
                <w:rFonts w:ascii="宋体" w:hAnsi="宋体" w:cs="宋体"/>
                <w:color w:val="000000"/>
                <w:kern w:val="0"/>
                <w:sz w:val="22"/>
                <w:szCs w:val="22"/>
              </w:rPr>
            </w:pPr>
            <w:r>
              <w:rPr>
                <w:rFonts w:hint="eastAsia" w:ascii="宋体" w:hAnsi="宋体" w:cs="宋体"/>
                <w:color w:val="000000"/>
                <w:kern w:val="0"/>
                <w:sz w:val="22"/>
                <w:szCs w:val="22"/>
              </w:rPr>
              <w:t>未按要求喷洒灭蚊蝇药物等，有蚊蝇、蛛网、鼠害等。</w:t>
            </w:r>
          </w:p>
        </w:tc>
        <w:tc>
          <w:tcPr>
            <w:tcW w:w="1579" w:type="dxa"/>
            <w:tcBorders>
              <w:top w:val="nil"/>
              <w:left w:val="nil"/>
              <w:bottom w:val="single" w:color="auto" w:sz="4" w:space="0"/>
              <w:right w:val="single" w:color="auto" w:sz="4" w:space="0"/>
            </w:tcBorders>
            <w:noWrap w:val="0"/>
            <w:vAlign w:val="center"/>
          </w:tcPr>
          <w:p w14:paraId="6FF8BBCB">
            <w:pPr>
              <w:widowControl/>
              <w:jc w:val="center"/>
              <w:rPr>
                <w:rFonts w:ascii="宋体" w:hAnsi="宋体" w:cs="宋体"/>
                <w:color w:val="000000"/>
                <w:kern w:val="0"/>
                <w:sz w:val="22"/>
                <w:szCs w:val="22"/>
              </w:rPr>
            </w:pPr>
            <w:r>
              <w:rPr>
                <w:rFonts w:hint="eastAsia" w:ascii="宋体" w:hAnsi="宋体" w:cs="宋体"/>
                <w:color w:val="000000"/>
                <w:kern w:val="0"/>
                <w:sz w:val="22"/>
                <w:szCs w:val="22"/>
              </w:rPr>
              <w:t>500</w:t>
            </w:r>
          </w:p>
        </w:tc>
      </w:tr>
      <w:tr w14:paraId="514BDD19">
        <w:tblPrEx>
          <w:tblCellMar>
            <w:top w:w="0" w:type="dxa"/>
            <w:left w:w="108" w:type="dxa"/>
            <w:bottom w:w="0" w:type="dxa"/>
            <w:right w:w="108" w:type="dxa"/>
          </w:tblCellMar>
        </w:tblPrEx>
        <w:trPr>
          <w:trHeight w:val="270" w:hRule="atLeast"/>
          <w:jc w:val="center"/>
        </w:trPr>
        <w:tc>
          <w:tcPr>
            <w:tcW w:w="1560" w:type="dxa"/>
            <w:tcBorders>
              <w:top w:val="single" w:color="auto" w:sz="4" w:space="0"/>
              <w:left w:val="single" w:color="auto" w:sz="4" w:space="0"/>
              <w:bottom w:val="single" w:color="auto" w:sz="4" w:space="0"/>
              <w:right w:val="single" w:color="auto" w:sz="4" w:space="0"/>
            </w:tcBorders>
            <w:noWrap w:val="0"/>
            <w:vAlign w:val="center"/>
          </w:tcPr>
          <w:p w14:paraId="12D12BFF">
            <w:pPr>
              <w:widowControl/>
              <w:jc w:val="center"/>
              <w:rPr>
                <w:rFonts w:ascii="宋体" w:hAnsi="宋体" w:cs="宋体"/>
                <w:color w:val="000000"/>
                <w:kern w:val="0"/>
                <w:sz w:val="22"/>
                <w:szCs w:val="22"/>
              </w:rPr>
            </w:pPr>
            <w:r>
              <w:rPr>
                <w:rFonts w:hint="eastAsia" w:ascii="宋体" w:hAnsi="宋体" w:cs="宋体"/>
                <w:color w:val="000000"/>
                <w:kern w:val="0"/>
                <w:sz w:val="22"/>
                <w:szCs w:val="22"/>
              </w:rPr>
              <w:t>化粪池作业</w:t>
            </w:r>
          </w:p>
        </w:tc>
        <w:tc>
          <w:tcPr>
            <w:tcW w:w="6825" w:type="dxa"/>
            <w:tcBorders>
              <w:top w:val="single" w:color="auto" w:sz="4" w:space="0"/>
              <w:left w:val="nil"/>
              <w:bottom w:val="single" w:color="auto" w:sz="4" w:space="0"/>
              <w:right w:val="single" w:color="auto" w:sz="4" w:space="0"/>
            </w:tcBorders>
            <w:noWrap w:val="0"/>
            <w:vAlign w:val="center"/>
          </w:tcPr>
          <w:p w14:paraId="6C02317D">
            <w:pPr>
              <w:widowControl/>
              <w:jc w:val="left"/>
              <w:rPr>
                <w:rFonts w:ascii="宋体" w:hAnsi="宋体" w:cs="宋体"/>
                <w:color w:val="000000"/>
                <w:kern w:val="0"/>
                <w:sz w:val="22"/>
                <w:szCs w:val="22"/>
              </w:rPr>
            </w:pPr>
            <w:r>
              <w:rPr>
                <w:rFonts w:hint="eastAsia" w:ascii="宋体" w:hAnsi="宋体" w:cs="宋体"/>
                <w:color w:val="000000"/>
                <w:kern w:val="0"/>
                <w:sz w:val="22"/>
                <w:szCs w:val="22"/>
              </w:rPr>
              <w:t>粪井满溢。</w:t>
            </w:r>
          </w:p>
        </w:tc>
        <w:tc>
          <w:tcPr>
            <w:tcW w:w="1579" w:type="dxa"/>
            <w:tcBorders>
              <w:top w:val="single" w:color="auto" w:sz="4" w:space="0"/>
              <w:left w:val="nil"/>
              <w:bottom w:val="single" w:color="auto" w:sz="4" w:space="0"/>
              <w:right w:val="single" w:color="auto" w:sz="4" w:space="0"/>
            </w:tcBorders>
            <w:noWrap w:val="0"/>
            <w:vAlign w:val="center"/>
          </w:tcPr>
          <w:p w14:paraId="2F97C7AD">
            <w:pPr>
              <w:widowControl/>
              <w:jc w:val="center"/>
              <w:rPr>
                <w:rFonts w:ascii="宋体" w:hAnsi="宋体" w:cs="宋体"/>
                <w:color w:val="000000"/>
                <w:kern w:val="0"/>
                <w:sz w:val="22"/>
                <w:szCs w:val="22"/>
              </w:rPr>
            </w:pPr>
            <w:r>
              <w:rPr>
                <w:rFonts w:hint="eastAsia" w:ascii="宋体" w:hAnsi="宋体" w:cs="宋体"/>
                <w:color w:val="000000"/>
                <w:kern w:val="0"/>
                <w:sz w:val="22"/>
                <w:szCs w:val="22"/>
              </w:rPr>
              <w:t>1000</w:t>
            </w:r>
          </w:p>
        </w:tc>
      </w:tr>
      <w:tr w14:paraId="53BEDDF7">
        <w:tblPrEx>
          <w:tblCellMar>
            <w:top w:w="0" w:type="dxa"/>
            <w:left w:w="108" w:type="dxa"/>
            <w:bottom w:w="0" w:type="dxa"/>
            <w:right w:w="108" w:type="dxa"/>
          </w:tblCellMar>
        </w:tblPrEx>
        <w:trPr>
          <w:trHeight w:val="270" w:hRule="atLeast"/>
          <w:jc w:val="center"/>
        </w:trPr>
        <w:tc>
          <w:tcPr>
            <w:tcW w:w="1560" w:type="dxa"/>
            <w:tcBorders>
              <w:top w:val="single" w:color="auto" w:sz="4" w:space="0"/>
              <w:left w:val="single" w:color="auto" w:sz="4" w:space="0"/>
              <w:bottom w:val="single" w:color="auto" w:sz="4" w:space="0"/>
              <w:right w:val="single" w:color="auto" w:sz="4" w:space="0"/>
            </w:tcBorders>
            <w:noWrap w:val="0"/>
            <w:vAlign w:val="center"/>
          </w:tcPr>
          <w:p w14:paraId="63FE3DEA">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接诉即办</w:t>
            </w:r>
          </w:p>
        </w:tc>
        <w:tc>
          <w:tcPr>
            <w:tcW w:w="6825" w:type="dxa"/>
            <w:tcBorders>
              <w:top w:val="single" w:color="auto" w:sz="4" w:space="0"/>
              <w:left w:val="nil"/>
              <w:bottom w:val="single" w:color="auto" w:sz="4" w:space="0"/>
              <w:right w:val="single" w:color="auto" w:sz="4" w:space="0"/>
            </w:tcBorders>
            <w:noWrap w:val="0"/>
            <w:vAlign w:val="center"/>
          </w:tcPr>
          <w:p w14:paraId="30DAB7A9">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因管理及服务质量等主观因素，造成12345举报。</w:t>
            </w:r>
          </w:p>
        </w:tc>
        <w:tc>
          <w:tcPr>
            <w:tcW w:w="1579" w:type="dxa"/>
            <w:tcBorders>
              <w:top w:val="single" w:color="auto" w:sz="4" w:space="0"/>
              <w:left w:val="nil"/>
              <w:bottom w:val="single" w:color="auto" w:sz="4" w:space="0"/>
              <w:right w:val="single" w:color="auto" w:sz="4" w:space="0"/>
            </w:tcBorders>
            <w:noWrap w:val="0"/>
            <w:vAlign w:val="center"/>
          </w:tcPr>
          <w:p w14:paraId="621792C6">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视情节严重，500-5000</w:t>
            </w:r>
          </w:p>
        </w:tc>
      </w:tr>
      <w:tr w14:paraId="2E0C07BE">
        <w:tblPrEx>
          <w:tblCellMar>
            <w:top w:w="0" w:type="dxa"/>
            <w:left w:w="108" w:type="dxa"/>
            <w:bottom w:w="0" w:type="dxa"/>
            <w:right w:w="108" w:type="dxa"/>
          </w:tblCellMar>
        </w:tblPrEx>
        <w:trPr>
          <w:trHeight w:val="270" w:hRule="atLeast"/>
          <w:jc w:val="center"/>
        </w:trPr>
        <w:tc>
          <w:tcPr>
            <w:tcW w:w="1560" w:type="dxa"/>
            <w:tcBorders>
              <w:top w:val="single" w:color="auto" w:sz="4" w:space="0"/>
              <w:left w:val="single" w:color="auto" w:sz="4" w:space="0"/>
              <w:bottom w:val="single" w:color="auto" w:sz="4" w:space="0"/>
              <w:right w:val="single" w:color="auto" w:sz="4" w:space="0"/>
            </w:tcBorders>
            <w:noWrap w:val="0"/>
            <w:vAlign w:val="center"/>
          </w:tcPr>
          <w:p w14:paraId="0A7A4AB3">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区级检查</w:t>
            </w:r>
          </w:p>
        </w:tc>
        <w:tc>
          <w:tcPr>
            <w:tcW w:w="6825" w:type="dxa"/>
            <w:tcBorders>
              <w:top w:val="single" w:color="auto" w:sz="4" w:space="0"/>
              <w:left w:val="nil"/>
              <w:bottom w:val="single" w:color="auto" w:sz="4" w:space="0"/>
              <w:right w:val="single" w:color="auto" w:sz="4" w:space="0"/>
            </w:tcBorders>
            <w:noWrap w:val="0"/>
            <w:vAlign w:val="center"/>
          </w:tcPr>
          <w:p w14:paraId="173A5B57">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区级各项检查中存在以上问题。</w:t>
            </w:r>
          </w:p>
        </w:tc>
        <w:tc>
          <w:tcPr>
            <w:tcW w:w="1579" w:type="dxa"/>
            <w:tcBorders>
              <w:top w:val="single" w:color="auto" w:sz="4" w:space="0"/>
              <w:left w:val="nil"/>
              <w:bottom w:val="single" w:color="auto" w:sz="4" w:space="0"/>
              <w:right w:val="single" w:color="auto" w:sz="4" w:space="0"/>
            </w:tcBorders>
            <w:noWrap w:val="0"/>
            <w:vAlign w:val="center"/>
          </w:tcPr>
          <w:p w14:paraId="1E659D16">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视情节严重，500-2000</w:t>
            </w:r>
          </w:p>
        </w:tc>
      </w:tr>
      <w:tr w14:paraId="4E39C257">
        <w:tblPrEx>
          <w:tblCellMar>
            <w:top w:w="0" w:type="dxa"/>
            <w:left w:w="108" w:type="dxa"/>
            <w:bottom w:w="0" w:type="dxa"/>
            <w:right w:w="108" w:type="dxa"/>
          </w:tblCellMar>
        </w:tblPrEx>
        <w:trPr>
          <w:trHeight w:val="270" w:hRule="atLeast"/>
          <w:jc w:val="center"/>
        </w:trPr>
        <w:tc>
          <w:tcPr>
            <w:tcW w:w="1560" w:type="dxa"/>
            <w:tcBorders>
              <w:top w:val="single" w:color="auto" w:sz="4" w:space="0"/>
              <w:left w:val="single" w:color="auto" w:sz="4" w:space="0"/>
              <w:bottom w:val="single" w:color="auto" w:sz="4" w:space="0"/>
              <w:right w:val="single" w:color="auto" w:sz="4" w:space="0"/>
            </w:tcBorders>
            <w:noWrap w:val="0"/>
            <w:vAlign w:val="center"/>
          </w:tcPr>
          <w:p w14:paraId="5E367F59">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市级检查</w:t>
            </w:r>
          </w:p>
        </w:tc>
        <w:tc>
          <w:tcPr>
            <w:tcW w:w="6825" w:type="dxa"/>
            <w:tcBorders>
              <w:top w:val="single" w:color="auto" w:sz="4" w:space="0"/>
              <w:left w:val="nil"/>
              <w:bottom w:val="single" w:color="auto" w:sz="4" w:space="0"/>
              <w:right w:val="single" w:color="auto" w:sz="4" w:space="0"/>
            </w:tcBorders>
            <w:noWrap w:val="0"/>
            <w:vAlign w:val="center"/>
          </w:tcPr>
          <w:p w14:paraId="36332AAD">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市级各项检查中存在以上问题。</w:t>
            </w:r>
          </w:p>
        </w:tc>
        <w:tc>
          <w:tcPr>
            <w:tcW w:w="1579" w:type="dxa"/>
            <w:tcBorders>
              <w:top w:val="single" w:color="auto" w:sz="4" w:space="0"/>
              <w:left w:val="nil"/>
              <w:bottom w:val="single" w:color="auto" w:sz="4" w:space="0"/>
              <w:right w:val="single" w:color="auto" w:sz="4" w:space="0"/>
            </w:tcBorders>
            <w:noWrap w:val="0"/>
            <w:vAlign w:val="center"/>
          </w:tcPr>
          <w:p w14:paraId="17BA50D4">
            <w:pPr>
              <w:widowControl/>
              <w:jc w:val="center"/>
              <w:rPr>
                <w:rFonts w:hint="eastAsia" w:ascii="宋体" w:hAnsi="宋体" w:cs="宋体"/>
                <w:color w:val="000000"/>
                <w:kern w:val="0"/>
                <w:sz w:val="22"/>
                <w:szCs w:val="22"/>
              </w:rPr>
            </w:pPr>
            <w:r>
              <w:rPr>
                <w:rFonts w:hint="eastAsia" w:ascii="宋体" w:hAnsi="宋体" w:cs="宋体"/>
                <w:color w:val="000000"/>
                <w:kern w:val="0"/>
                <w:sz w:val="22"/>
                <w:szCs w:val="22"/>
              </w:rPr>
              <w:t>视情节严重，5000-20000</w:t>
            </w:r>
          </w:p>
        </w:tc>
      </w:tr>
    </w:tbl>
    <w:p w14:paraId="18438C48">
      <w:pPr>
        <w:adjustRightInd w:val="0"/>
        <w:snapToGrid w:val="0"/>
        <w:spacing w:line="360" w:lineRule="auto"/>
        <w:jc w:val="left"/>
        <w:rPr>
          <w:rFonts w:hint="eastAsia" w:ascii="宋体" w:hAnsi="宋体"/>
          <w:b/>
          <w:sz w:val="24"/>
          <w:szCs w:val="28"/>
        </w:rPr>
      </w:pPr>
    </w:p>
    <w:p w14:paraId="7F37C83F">
      <w:pPr>
        <w:spacing w:line="420" w:lineRule="exact"/>
        <w:rPr>
          <w:rFonts w:hint="eastAsia" w:ascii="宋体" w:hAnsi="宋体"/>
          <w:sz w:val="22"/>
          <w:szCs w:val="24"/>
        </w:rPr>
      </w:pPr>
    </w:p>
    <w:p w14:paraId="0DA0C46A">
      <w:pPr>
        <w:spacing w:line="420" w:lineRule="exact"/>
        <w:rPr>
          <w:rFonts w:hint="eastAsia" w:ascii="宋体" w:hAnsi="宋体"/>
          <w:sz w:val="22"/>
          <w:szCs w:val="24"/>
        </w:rPr>
      </w:pPr>
    </w:p>
    <w:p w14:paraId="187BCB05">
      <w:pPr>
        <w:spacing w:line="420" w:lineRule="exact"/>
        <w:rPr>
          <w:rFonts w:hint="eastAsia" w:ascii="宋体" w:hAnsi="宋体"/>
          <w:sz w:val="22"/>
          <w:szCs w:val="24"/>
        </w:rPr>
      </w:pPr>
    </w:p>
    <w:p w14:paraId="17BC22F4">
      <w:pPr>
        <w:rPr>
          <w:rFonts w:hint="eastAsia" w:ascii="宋体" w:hAnsi="宋体"/>
          <w:b/>
          <w:sz w:val="24"/>
          <w:szCs w:val="24"/>
        </w:rPr>
      </w:pPr>
      <w:r>
        <w:rPr>
          <w:rFonts w:hint="eastAsia" w:ascii="宋体" w:hAnsi="宋体"/>
          <w:b/>
          <w:sz w:val="24"/>
          <w:szCs w:val="24"/>
        </w:rPr>
        <w:br w:type="page"/>
      </w:r>
    </w:p>
    <w:p w14:paraId="1362E9E3">
      <w:pPr>
        <w:rPr>
          <w:rFonts w:hint="eastAsia" w:ascii="宋体" w:hAnsi="宋体"/>
          <w:b/>
          <w:sz w:val="24"/>
          <w:szCs w:val="24"/>
        </w:rPr>
      </w:pPr>
      <w:r>
        <w:rPr>
          <w:rFonts w:hint="eastAsia" w:ascii="宋体" w:hAnsi="宋体"/>
          <w:b/>
          <w:sz w:val="24"/>
          <w:szCs w:val="24"/>
        </w:rPr>
        <w:t>附件3：</w:t>
      </w:r>
    </w:p>
    <w:p w14:paraId="051267EC">
      <w:pPr>
        <w:spacing w:line="360" w:lineRule="auto"/>
        <w:jc w:val="center"/>
        <w:rPr>
          <w:rFonts w:hint="eastAsia" w:ascii="仿宋_GB2312" w:eastAsia="仿宋_GB2312"/>
          <w:b/>
          <w:bCs/>
          <w:sz w:val="28"/>
          <w:szCs w:val="28"/>
        </w:rPr>
      </w:pPr>
      <w:r>
        <w:rPr>
          <w:rFonts w:hint="eastAsia" w:ascii="仿宋_GB2312" w:eastAsia="仿宋_GB2312"/>
          <w:b/>
          <w:bCs/>
          <w:sz w:val="28"/>
          <w:szCs w:val="28"/>
        </w:rPr>
        <w:t>环卫中心业务外包服务项目安全协议</w:t>
      </w:r>
    </w:p>
    <w:p w14:paraId="3A8C2916">
      <w:pPr>
        <w:pStyle w:val="13"/>
        <w:spacing w:line="360" w:lineRule="auto"/>
        <w:rPr>
          <w:rFonts w:hint="eastAsia" w:ascii="仿宋_GB2312" w:eastAsia="仿宋_GB2312"/>
          <w:sz w:val="22"/>
          <w:szCs w:val="28"/>
        </w:rPr>
      </w:pPr>
    </w:p>
    <w:p w14:paraId="1F50622E">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甲方：北京市门头沟区环境卫生服务中心</w:t>
      </w:r>
    </w:p>
    <w:p w14:paraId="34C1D87E">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乙方：*******公司（盖章）</w:t>
      </w:r>
    </w:p>
    <w:p w14:paraId="31F59D31">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为贯彻“安全第一，预防为主，综合治理”的方针，增强安全生产意识，强化安全责任落实，双方本着平等、自愿的原则，签订本协议书。甲方和乙方均严格遵守本协议书规定的权利、责任和义务，确保项目服务期内各项工作安全进行。</w:t>
      </w:r>
    </w:p>
    <w:p w14:paraId="7A85F3BF">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第一条 项目范围及内容</w:t>
      </w:r>
    </w:p>
    <w:p w14:paraId="1383B2B5">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（一） 项目名称：2025年度********项目第*包</w:t>
      </w:r>
    </w:p>
    <w:p w14:paraId="7501B730">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（二） 作业内容：</w:t>
      </w:r>
    </w:p>
    <w:p w14:paraId="324DF75A">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第二条：甲方的责任和权利</w:t>
      </w:r>
    </w:p>
    <w:p w14:paraId="1C8E7ED7">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1、认真贯彻执行安全生产法律、法规。</w:t>
      </w:r>
    </w:p>
    <w:p w14:paraId="7027284F">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2、甲方有权要求乙方必须严格遵守安全生产法律、法规、标准、安全生产规章制度和操作规程，熟练掌握事故防范措施和事故应急处理预案;并建立建全各项安全制度以及相应的安全保护措施。</w:t>
      </w:r>
    </w:p>
    <w:p w14:paraId="29E996FB">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3、甲方对应对乙方执行规章制度及履行安全职责情况，有权进行检查、监督、考核。凡不遵守安全规定，违反安全相关规定、违反操作规程的人员，及时进行纠正、处罚，直至停止其工作。对乙方存在的安全问题，提出整改意见，并监督乙方整改落实。</w:t>
      </w:r>
    </w:p>
    <w:p w14:paraId="63B869EC">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4、甲方应及时传达承包业务相关的安全生产规定、工作要求及通知。</w:t>
      </w:r>
    </w:p>
    <w:p w14:paraId="69FAD636">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5、甲方组织安全生产工作会，有权要求乙方汇报安全生产工作。</w:t>
      </w:r>
    </w:p>
    <w:p w14:paraId="36E99531">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第三条：乙方的责任和权利</w:t>
      </w:r>
    </w:p>
    <w:p w14:paraId="1E6AEB19">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1、乙方对所承包的业务负安全生产主体责任。必须认真贯彻执行安全生产法律、法规，严格遵守安全生产规章制度、安全操作规程，熟练掌握事故防范措施和事故应急处理预案等。</w:t>
      </w:r>
    </w:p>
    <w:p w14:paraId="684FF5F2">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2、乙方须建立健全各项《安全生产管理制度》、《安全生产操作规程》及《安全生产应急预案》。其中安全生产管理制度应包括：《</w:t>
      </w:r>
      <w:r>
        <w:rPr>
          <w:rFonts w:hint="eastAsia" w:ascii="仿宋_GB2312" w:hAnsi="仿宋_GB2312" w:eastAsia="仿宋_GB2312" w:cs="仿宋_GB2312"/>
          <w:b w:val="0"/>
          <w:bCs w:val="0"/>
          <w:sz w:val="24"/>
          <w:szCs w:val="22"/>
          <w:lang w:val="zh-CN"/>
        </w:rPr>
        <w:t>安全生产教育和培训制度》</w:t>
      </w:r>
      <w:r>
        <w:rPr>
          <w:rFonts w:hint="eastAsia" w:ascii="仿宋_GB2312" w:hAnsi="仿宋_GB2312" w:eastAsia="仿宋_GB2312" w:cs="仿宋_GB2312"/>
          <w:b w:val="0"/>
          <w:bCs w:val="0"/>
          <w:sz w:val="24"/>
          <w:szCs w:val="22"/>
        </w:rPr>
        <w:t>及学习培训计划、</w:t>
      </w:r>
      <w:r>
        <w:rPr>
          <w:rFonts w:hint="eastAsia" w:ascii="仿宋_GB2312" w:hAnsi="仿宋_GB2312" w:eastAsia="仿宋_GB2312" w:cs="仿宋_GB2312"/>
          <w:b w:val="0"/>
          <w:bCs w:val="0"/>
          <w:sz w:val="24"/>
          <w:szCs w:val="22"/>
          <w:lang w:val="zh-CN"/>
        </w:rPr>
        <w:t>《</w:t>
      </w:r>
      <w:r>
        <w:rPr>
          <w:rFonts w:hint="eastAsia" w:ascii="仿宋_GB2312" w:hAnsi="仿宋_GB2312" w:eastAsia="仿宋_GB2312" w:cs="仿宋_GB2312"/>
          <w:b w:val="0"/>
          <w:bCs w:val="0"/>
          <w:sz w:val="24"/>
          <w:szCs w:val="22"/>
        </w:rPr>
        <w:t>安全生产检查及隐患治理制度</w:t>
      </w:r>
      <w:r>
        <w:rPr>
          <w:rFonts w:hint="eastAsia" w:ascii="仿宋_GB2312" w:hAnsi="仿宋_GB2312" w:eastAsia="仿宋_GB2312" w:cs="仿宋_GB2312"/>
          <w:b w:val="0"/>
          <w:bCs w:val="0"/>
          <w:sz w:val="24"/>
          <w:szCs w:val="22"/>
          <w:lang w:val="zh-CN"/>
        </w:rPr>
        <w:t>》。</w:t>
      </w:r>
    </w:p>
    <w:p w14:paraId="2FF52D52">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3、乙方对其承包范围内的安全生产管理工作负安全主体责任，乙方必须遵守各项安全生产法律法规及管理规定，并对甲方在安全检查过程中发现的问题和隐患，按要求及时整改。</w:t>
      </w:r>
    </w:p>
    <w:p w14:paraId="3B3E4107">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4、乙方须参加甲方的安全教育和安全技术培训，提升安全生产知识和安全技能，增强事故预防和应急处理的能力。</w:t>
      </w:r>
    </w:p>
    <w:p w14:paraId="22C6774A">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5、乙方须配备安全管理人员，并制定所负责业务范围内的《安全风险清单》、《安全检查计划》、《安全隐患台账》。</w:t>
      </w:r>
    </w:p>
    <w:p w14:paraId="4722E9DA">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6、乙方应为所承包业务工作投保安全生产责任险。</w:t>
      </w:r>
    </w:p>
    <w:p w14:paraId="3EE532F1">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7、乙方须对职工进行安全教育、考核，经考试合格后方可上岗，乙方须将安全教育考核报甲方备案。乙方负有对职工进行日常安全教育的责任，并做好教育记录，履行签字手续。乙方不得安排未经安全教育培训和教育培训考核不合格的人员作业。</w:t>
      </w:r>
    </w:p>
    <w:p w14:paraId="15561F99">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8、涉及特殊工种作业的，乙方作业人员必须凭有效的上岗证上岗工作，同时配齐安全保护用具。</w:t>
      </w:r>
    </w:p>
    <w:p w14:paraId="60D5D113">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9、乙方有权对甲方的安全工作提出合理化建议和改进意见，并对甲方违章指挥、强令乙方冒险作业，有权拒绝执行。</w:t>
      </w:r>
    </w:p>
    <w:p w14:paraId="7AAA8CF6">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10、乙方在承包期内，因乙方原因，发生安全生产事故，其工作人员发生人身伤害事故及财产损失或对他人造成人身财产损害的由乙方承担全部赔偿责任，且乙方承担相应的法律责任。</w:t>
      </w:r>
    </w:p>
    <w:p w14:paraId="74A9D80D">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第四条：乙方须遵守的相关安全管理规定</w:t>
      </w:r>
    </w:p>
    <w:p w14:paraId="0BB20822">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1、消防安全管理</w:t>
      </w:r>
    </w:p>
    <w:p w14:paraId="29ECCBF2">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（1）乙方须配齐灭火器，并摆放在明显易取得的位置，灭火器箱上禁止摆放其他物品。乙方工作人员必须熟悉灭火器的使用，并对灭火器每周至少检查1次，确保有效期。</w:t>
      </w:r>
    </w:p>
    <w:p w14:paraId="33159504">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（2）乙方在甲方场区、设施内禁止私搭乱接电源线，禁止私自安装电源插座，禁止私自使用电褥子、小太阳大功率取暖设施。</w:t>
      </w:r>
    </w:p>
    <w:p w14:paraId="6A824F5A">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3）未经甲方同意，禁止在甲方场区、设施内动用明火作业，禁止使用液化气，禁止存放易燃、易爆等物品。乙方在甲方场区、设施内涉及动火作业时，须严格遵守《北京市既有建筑施工动火作业消防安全管理规定（试行）》通知规定，严格遵守安全作业流程。</w:t>
      </w:r>
    </w:p>
    <w:p w14:paraId="1765461C">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（4）甲方场区、设施内禁止电动车（电动汽车、电动自行车、电动三四轮车）充电。</w:t>
      </w:r>
    </w:p>
    <w:p w14:paraId="6479082D">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（5）在甲方场区内禁止违规占用、堵塞消防、逃生通道。</w:t>
      </w:r>
    </w:p>
    <w:p w14:paraId="709F3F34">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2、有限空间及危化品安全管理</w:t>
      </w:r>
    </w:p>
    <w:p w14:paraId="2510F5A9">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（1）乙方对承包业务中涉及有限空间、危化品的，须建立相应的安全管理制度、操作规程应急预案及物品清单、日常巡检维护台账。</w:t>
      </w:r>
    </w:p>
    <w:p w14:paraId="573A13B4">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（2）对承包业务中涉及有限空间作业须严格按照操作规程实施，提前办理报备审批。须按照国家相应的安全规定，配齐安全作业、检测、救援设备。</w:t>
      </w:r>
    </w:p>
    <w:p w14:paraId="38D78D6E">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（3）乙方对承包业务中涉及危化品使用的，须严格按照国家相关要求配备齐全合格的防护装备、检测设备，并建立独立的危化品储藏库房。</w:t>
      </w:r>
    </w:p>
    <w:p w14:paraId="28DCA41B">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3、须遵守的其他事项</w:t>
      </w:r>
    </w:p>
    <w:p w14:paraId="1ED51C4D">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（1）乙方须配备相应的防汛物资，同时须按照甲方关于防汛工作要求，及时疏散、转移环卫设施内的工作人员。</w:t>
      </w:r>
    </w:p>
    <w:p w14:paraId="552121F3">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（2）乙方在甲方场区、设施内不得留宿非本单位人员，严禁从事赌博、吸毒、邪教宣传等违法行为。</w:t>
      </w:r>
    </w:p>
    <w:p w14:paraId="1486E5D9">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（3）乙方在甲方场区、设施内严禁利用互联网、微信、微博传播非法政治言论。</w:t>
      </w:r>
    </w:p>
    <w:p w14:paraId="7D9A88DF">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（4）乙方工作人员在甲方场区、设施内严禁聚会饮酒。</w:t>
      </w:r>
    </w:p>
    <w:p w14:paraId="7E9196B0">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（5）乙方严格落实安全生产主体责任，加强对本单位职工的安全管理。严格遵守国家法律法规，遵守各项安全生产管理规定。</w:t>
      </w:r>
    </w:p>
    <w:p w14:paraId="0EE8E859">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（6）乙方加强职工宿舍的安全管理，制定宿舍安全管理制度，并指定专人负责各项安全管理工作</w:t>
      </w:r>
      <w:r>
        <w:rPr>
          <w:rFonts w:hint="eastAsia" w:ascii="仿宋_GB2312" w:hAnsi="仿宋_GB2312" w:eastAsia="仿宋_GB2312" w:cs="仿宋_GB2312"/>
          <w:b w:val="0"/>
          <w:bCs w:val="0"/>
          <w:sz w:val="24"/>
          <w:szCs w:val="22"/>
          <w:lang w:val="zh-CN"/>
        </w:rPr>
        <w:t>。</w:t>
      </w:r>
    </w:p>
    <w:p w14:paraId="3A23FEB8">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（7）乙方办公场所及职工食堂、宿舍等，须符合消防管理规定，配备灭火设施，严禁违规电动自行车充电，严禁占用消防通道等违反消防安全管理规定的行为发生。</w:t>
      </w:r>
    </w:p>
    <w:p w14:paraId="7933F579">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（8）在工作期以外，乙方职工须遵守中华人民共和国道路交通安全法律法规。</w:t>
      </w:r>
    </w:p>
    <w:p w14:paraId="236D0A10">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（9）在工作期以外，乙方职工因违反国家法律法规，及地方相关安全管理规定，造成安全事故，由其本人及乙方承担相应的安全及法律责任，与甲方无关。</w:t>
      </w:r>
    </w:p>
    <w:p w14:paraId="2FA26444">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（10）乙方加强职工的日常生活管理，乙方职工工作期外，参与赌博、吸毒、斗殴、邪教宣传、非法政治言论宣传等违法行为，其本人及乙方承担相应的法律责任，与甲方无关。</w:t>
      </w:r>
    </w:p>
    <w:p w14:paraId="10685EEA">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第五条：违约责任及处理</w:t>
      </w:r>
    </w:p>
    <w:p w14:paraId="2DE9C124">
      <w:pPr>
        <w:pStyle w:val="13"/>
        <w:numPr>
          <w:ilvl w:val="0"/>
          <w:numId w:val="1"/>
        </w:numPr>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甲方对乙方安全职责的履行、安全工作的开展情况、安全隐患整改情况进行监督检查，违反规定的，经甲、乙双方盖章确认，甲方按照《环卫中心外包业务安全生产考核表》（附表），扣除承乙方承包费。</w:t>
      </w:r>
    </w:p>
    <w:p w14:paraId="487FFD4A">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2、由于乙方原因，发生安全生产事故，或对社会造成严重负面影响，甲方有权解除服务合同。</w:t>
      </w:r>
    </w:p>
    <w:p w14:paraId="67496592">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第六条：本协议自甲乙双方签字盖章之日起生效，至承包合同结束时终止。</w:t>
      </w:r>
    </w:p>
    <w:p w14:paraId="3FB48824">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第七条：因本协议产生争议的，由甲方所在地人民法院诉讼解决。</w:t>
      </w:r>
    </w:p>
    <w:p w14:paraId="4D666B08">
      <w:pPr>
        <w:pStyle w:val="13"/>
        <w:spacing w:line="360" w:lineRule="auto"/>
        <w:ind w:firstLine="480" w:firstLineChars="200"/>
        <w:jc w:val="left"/>
        <w:rPr>
          <w:rFonts w:hint="eastAsia" w:ascii="仿宋_GB2312" w:hAnsi="仿宋_GB2312" w:eastAsia="仿宋_GB2312" w:cs="仿宋_GB2312"/>
          <w:b w:val="0"/>
          <w:bCs w:val="0"/>
          <w:sz w:val="24"/>
          <w:szCs w:val="22"/>
        </w:rPr>
      </w:pPr>
    </w:p>
    <w:p w14:paraId="3C64483E">
      <w:pPr>
        <w:pStyle w:val="13"/>
        <w:spacing w:line="360" w:lineRule="auto"/>
        <w:ind w:firstLine="480" w:firstLineChars="200"/>
        <w:jc w:val="left"/>
        <w:rPr>
          <w:rFonts w:hint="eastAsia" w:ascii="仿宋_GB2312" w:hAnsi="仿宋_GB2312" w:eastAsia="仿宋_GB2312" w:cs="仿宋_GB2312"/>
          <w:b w:val="0"/>
          <w:bCs w:val="0"/>
          <w:sz w:val="24"/>
          <w:szCs w:val="22"/>
        </w:rPr>
      </w:pPr>
      <w:r>
        <w:rPr>
          <w:rFonts w:hint="eastAsia" w:ascii="仿宋_GB2312" w:hAnsi="仿宋_GB2312" w:eastAsia="仿宋_GB2312" w:cs="仿宋_GB2312"/>
          <w:b w:val="0"/>
          <w:bCs w:val="0"/>
          <w:sz w:val="24"/>
          <w:szCs w:val="22"/>
        </w:rPr>
        <w:t>甲方（盖章）：                        乙方（盖章）：</w:t>
      </w:r>
    </w:p>
    <w:p w14:paraId="6868F7B6">
      <w:pPr>
        <w:spacing w:line="360" w:lineRule="auto"/>
        <w:ind w:firstLine="480" w:firstLineChars="200"/>
        <w:rPr>
          <w:rFonts w:hint="eastAsia" w:ascii="仿宋_GB2312" w:hAnsi="仿宋" w:eastAsia="仿宋_GB2312"/>
          <w:sz w:val="24"/>
          <w:szCs w:val="22"/>
        </w:rPr>
      </w:pPr>
      <w:r>
        <w:rPr>
          <w:rFonts w:hint="eastAsia" w:ascii="仿宋_GB2312" w:hAnsi="仿宋" w:eastAsia="仿宋_GB2312"/>
          <w:sz w:val="24"/>
          <w:szCs w:val="22"/>
        </w:rPr>
        <w:t xml:space="preserve">法定代表人：                          法定代表人：       </w:t>
      </w:r>
    </w:p>
    <w:p w14:paraId="2648E8F7">
      <w:pPr>
        <w:spacing w:line="360" w:lineRule="auto"/>
        <w:ind w:firstLine="480" w:firstLineChars="200"/>
        <w:rPr>
          <w:rFonts w:hint="eastAsia" w:ascii="仿宋_GB2312" w:hAnsi="仿宋" w:eastAsia="仿宋_GB2312"/>
          <w:sz w:val="24"/>
          <w:szCs w:val="22"/>
        </w:rPr>
      </w:pPr>
      <w:r>
        <w:rPr>
          <w:rFonts w:hint="eastAsia" w:ascii="仿宋_GB2312" w:hAnsi="仿宋" w:eastAsia="仿宋_GB2312"/>
          <w:sz w:val="24"/>
          <w:szCs w:val="22"/>
        </w:rPr>
        <w:t>日期：    年   月   日                日期：   年  月  日</w:t>
      </w:r>
    </w:p>
    <w:p w14:paraId="149275B1">
      <w:pPr>
        <w:spacing w:line="360" w:lineRule="auto"/>
        <w:ind w:firstLine="480" w:firstLineChars="200"/>
        <w:rPr>
          <w:rFonts w:hint="eastAsia" w:ascii="仿宋_GB2312" w:hAnsi="仿宋" w:eastAsia="仿宋_GB2312"/>
          <w:sz w:val="24"/>
          <w:szCs w:val="22"/>
        </w:rPr>
      </w:pPr>
    </w:p>
    <w:p w14:paraId="4B17C978">
      <w:pPr>
        <w:spacing w:line="360" w:lineRule="auto"/>
        <w:ind w:firstLine="480" w:firstLineChars="200"/>
        <w:rPr>
          <w:rFonts w:hint="eastAsia" w:ascii="仿宋_GB2312" w:hAnsi="仿宋" w:eastAsia="仿宋_GB2312"/>
          <w:sz w:val="24"/>
          <w:szCs w:val="22"/>
        </w:rPr>
      </w:pPr>
    </w:p>
    <w:p w14:paraId="2E63A098">
      <w:pPr>
        <w:spacing w:line="360" w:lineRule="auto"/>
        <w:ind w:firstLine="480" w:firstLineChars="200"/>
        <w:rPr>
          <w:rFonts w:hint="eastAsia" w:ascii="仿宋_GB2312" w:hAnsi="仿宋" w:eastAsia="仿宋_GB2312"/>
          <w:sz w:val="24"/>
          <w:szCs w:val="22"/>
        </w:rPr>
      </w:pPr>
    </w:p>
    <w:p w14:paraId="6E5E7B03">
      <w:pPr>
        <w:spacing w:line="360" w:lineRule="auto"/>
        <w:ind w:firstLine="480" w:firstLineChars="200"/>
        <w:rPr>
          <w:rFonts w:hint="eastAsia" w:ascii="仿宋_GB2312" w:hAnsi="仿宋" w:eastAsia="仿宋_GB2312"/>
          <w:sz w:val="24"/>
          <w:szCs w:val="22"/>
        </w:rPr>
      </w:pPr>
    </w:p>
    <w:p w14:paraId="6870B49D">
      <w:pPr>
        <w:spacing w:line="240" w:lineRule="auto"/>
        <w:rPr>
          <w:rFonts w:hint="eastAsia" w:ascii="仿宋_GB2312" w:hAnsi="宋体" w:eastAsia="仿宋_GB2312"/>
          <w:b/>
          <w:sz w:val="28"/>
          <w:szCs w:val="28"/>
        </w:rPr>
      </w:pPr>
      <w:r>
        <w:rPr>
          <w:rFonts w:hint="eastAsia" w:ascii="仿宋_GB2312" w:hAnsi="宋体" w:eastAsia="仿宋_GB2312"/>
          <w:b/>
          <w:sz w:val="28"/>
          <w:szCs w:val="28"/>
        </w:rPr>
        <w:br w:type="page"/>
      </w:r>
    </w:p>
    <w:p w14:paraId="24953DD9">
      <w:pPr>
        <w:spacing w:line="360" w:lineRule="auto"/>
        <w:rPr>
          <w:rFonts w:hint="eastAsia" w:ascii="仿宋_GB2312" w:hAnsi="宋体" w:eastAsia="仿宋_GB2312"/>
          <w:b/>
          <w:sz w:val="28"/>
          <w:szCs w:val="28"/>
        </w:rPr>
      </w:pPr>
      <w:r>
        <w:rPr>
          <w:rFonts w:hint="eastAsia" w:ascii="仿宋_GB2312" w:hAnsi="宋体" w:eastAsia="仿宋_GB2312"/>
          <w:b/>
          <w:sz w:val="28"/>
          <w:szCs w:val="28"/>
        </w:rPr>
        <w:t>附件4：</w:t>
      </w:r>
    </w:p>
    <w:tbl>
      <w:tblPr>
        <w:tblStyle w:val="18"/>
        <w:tblW w:w="9640" w:type="dxa"/>
        <w:tblInd w:w="0" w:type="dxa"/>
        <w:tblLayout w:type="fixed"/>
        <w:tblCellMar>
          <w:top w:w="0" w:type="dxa"/>
          <w:left w:w="108" w:type="dxa"/>
          <w:bottom w:w="0" w:type="dxa"/>
          <w:right w:w="108" w:type="dxa"/>
        </w:tblCellMar>
      </w:tblPr>
      <w:tblGrid>
        <w:gridCol w:w="564"/>
        <w:gridCol w:w="395"/>
        <w:gridCol w:w="6838"/>
        <w:gridCol w:w="1276"/>
        <w:gridCol w:w="567"/>
      </w:tblGrid>
      <w:tr w14:paraId="7B0EF24F">
        <w:tblPrEx>
          <w:tblCellMar>
            <w:top w:w="0" w:type="dxa"/>
            <w:left w:w="108" w:type="dxa"/>
            <w:bottom w:w="0" w:type="dxa"/>
            <w:right w:w="108" w:type="dxa"/>
          </w:tblCellMar>
        </w:tblPrEx>
        <w:trPr>
          <w:trHeight w:val="499" w:hRule="atLeast"/>
        </w:trPr>
        <w:tc>
          <w:tcPr>
            <w:tcW w:w="9640" w:type="dxa"/>
            <w:gridSpan w:val="5"/>
            <w:tcBorders>
              <w:top w:val="nil"/>
              <w:left w:val="nil"/>
              <w:bottom w:val="single" w:color="auto" w:sz="4" w:space="0"/>
              <w:right w:val="nil"/>
            </w:tcBorders>
            <w:noWrap/>
            <w:vAlign w:val="center"/>
          </w:tcPr>
          <w:p w14:paraId="132F03A4">
            <w:pPr>
              <w:widowControl/>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环卫中心外包业务安全生产考核表</w:t>
            </w:r>
          </w:p>
        </w:tc>
      </w:tr>
      <w:tr w14:paraId="24075B81">
        <w:tblPrEx>
          <w:tblCellMar>
            <w:top w:w="0" w:type="dxa"/>
            <w:left w:w="108" w:type="dxa"/>
            <w:bottom w:w="0" w:type="dxa"/>
            <w:right w:w="108" w:type="dxa"/>
          </w:tblCellMar>
        </w:tblPrEx>
        <w:trPr>
          <w:trHeight w:val="600" w:hRule="atLeast"/>
        </w:trPr>
        <w:tc>
          <w:tcPr>
            <w:tcW w:w="959" w:type="dxa"/>
            <w:gridSpan w:val="2"/>
            <w:tcBorders>
              <w:top w:val="single" w:color="auto" w:sz="4" w:space="0"/>
              <w:left w:val="single" w:color="auto" w:sz="4" w:space="0"/>
              <w:bottom w:val="single" w:color="auto" w:sz="4" w:space="0"/>
              <w:right w:val="single" w:color="auto" w:sz="4" w:space="0"/>
            </w:tcBorders>
            <w:noWrap w:val="0"/>
            <w:vAlign w:val="center"/>
          </w:tcPr>
          <w:p w14:paraId="02A41CD2">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6838" w:type="dxa"/>
            <w:tcBorders>
              <w:top w:val="nil"/>
              <w:left w:val="nil"/>
              <w:bottom w:val="single" w:color="auto" w:sz="4" w:space="0"/>
              <w:right w:val="single" w:color="auto" w:sz="4" w:space="0"/>
            </w:tcBorders>
            <w:noWrap w:val="0"/>
            <w:vAlign w:val="center"/>
          </w:tcPr>
          <w:p w14:paraId="6CA0C1FF">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违反安全管理相关规定</w:t>
            </w:r>
          </w:p>
        </w:tc>
        <w:tc>
          <w:tcPr>
            <w:tcW w:w="1276" w:type="dxa"/>
            <w:tcBorders>
              <w:top w:val="nil"/>
              <w:left w:val="nil"/>
              <w:bottom w:val="single" w:color="auto" w:sz="4" w:space="0"/>
              <w:right w:val="single" w:color="auto" w:sz="4" w:space="0"/>
            </w:tcBorders>
            <w:noWrap w:val="0"/>
            <w:vAlign w:val="center"/>
          </w:tcPr>
          <w:p w14:paraId="2CEBDC20">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处罚标准</w:t>
            </w:r>
          </w:p>
        </w:tc>
        <w:tc>
          <w:tcPr>
            <w:tcW w:w="567" w:type="dxa"/>
            <w:tcBorders>
              <w:top w:val="nil"/>
              <w:left w:val="nil"/>
              <w:bottom w:val="single" w:color="auto" w:sz="4" w:space="0"/>
              <w:right w:val="single" w:color="auto" w:sz="4" w:space="0"/>
            </w:tcBorders>
            <w:noWrap w:val="0"/>
            <w:vAlign w:val="center"/>
          </w:tcPr>
          <w:p w14:paraId="556CA132">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备注</w:t>
            </w:r>
          </w:p>
        </w:tc>
      </w:tr>
      <w:tr w14:paraId="0CA1F651">
        <w:tblPrEx>
          <w:tblCellMar>
            <w:top w:w="0" w:type="dxa"/>
            <w:left w:w="108" w:type="dxa"/>
            <w:bottom w:w="0" w:type="dxa"/>
            <w:right w:w="108" w:type="dxa"/>
          </w:tblCellMar>
        </w:tblPrEx>
        <w:trPr>
          <w:trHeight w:val="702" w:hRule="atLeast"/>
        </w:trPr>
        <w:tc>
          <w:tcPr>
            <w:tcW w:w="564" w:type="dxa"/>
            <w:vMerge w:val="restart"/>
            <w:tcBorders>
              <w:top w:val="nil"/>
              <w:left w:val="single" w:color="auto" w:sz="4" w:space="0"/>
              <w:bottom w:val="nil"/>
              <w:right w:val="single" w:color="auto" w:sz="4" w:space="0"/>
            </w:tcBorders>
            <w:noWrap w:val="0"/>
            <w:vAlign w:val="center"/>
          </w:tcPr>
          <w:p w14:paraId="43D6E99C">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基础资料</w:t>
            </w:r>
          </w:p>
        </w:tc>
        <w:tc>
          <w:tcPr>
            <w:tcW w:w="395" w:type="dxa"/>
            <w:tcBorders>
              <w:top w:val="nil"/>
              <w:left w:val="nil"/>
              <w:bottom w:val="single" w:color="auto" w:sz="4" w:space="0"/>
              <w:right w:val="single" w:color="auto" w:sz="4" w:space="0"/>
            </w:tcBorders>
            <w:noWrap w:val="0"/>
            <w:vAlign w:val="center"/>
          </w:tcPr>
          <w:p w14:paraId="26ECD2FD">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6838" w:type="dxa"/>
            <w:tcBorders>
              <w:top w:val="nil"/>
              <w:left w:val="nil"/>
              <w:bottom w:val="single" w:color="auto" w:sz="4" w:space="0"/>
              <w:right w:val="single" w:color="auto" w:sz="4" w:space="0"/>
            </w:tcBorders>
            <w:noWrap w:val="0"/>
            <w:vAlign w:val="center"/>
          </w:tcPr>
          <w:p w14:paraId="1CB9D26F">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未制定《安全生产管理制度》、《安全生产操作规程》及《安全生产应急预案》</w:t>
            </w:r>
          </w:p>
        </w:tc>
        <w:tc>
          <w:tcPr>
            <w:tcW w:w="1276" w:type="dxa"/>
            <w:tcBorders>
              <w:top w:val="nil"/>
              <w:left w:val="nil"/>
              <w:bottom w:val="single" w:color="auto" w:sz="4" w:space="0"/>
              <w:right w:val="single" w:color="auto" w:sz="4" w:space="0"/>
            </w:tcBorders>
            <w:noWrap/>
            <w:vAlign w:val="center"/>
          </w:tcPr>
          <w:p w14:paraId="67CD9F5D">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3000元</w:t>
            </w:r>
          </w:p>
        </w:tc>
        <w:tc>
          <w:tcPr>
            <w:tcW w:w="567" w:type="dxa"/>
            <w:tcBorders>
              <w:top w:val="nil"/>
              <w:left w:val="nil"/>
              <w:bottom w:val="single" w:color="auto" w:sz="4" w:space="0"/>
              <w:right w:val="single" w:color="auto" w:sz="4" w:space="0"/>
            </w:tcBorders>
            <w:noWrap w:val="0"/>
            <w:vAlign w:val="center"/>
          </w:tcPr>
          <w:p w14:paraId="12C7400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7EF3A4D4">
        <w:tblPrEx>
          <w:tblCellMar>
            <w:top w:w="0" w:type="dxa"/>
            <w:left w:w="108" w:type="dxa"/>
            <w:bottom w:w="0" w:type="dxa"/>
            <w:right w:w="108" w:type="dxa"/>
          </w:tblCellMar>
        </w:tblPrEx>
        <w:trPr>
          <w:trHeight w:val="642" w:hRule="atLeast"/>
        </w:trPr>
        <w:tc>
          <w:tcPr>
            <w:tcW w:w="564" w:type="dxa"/>
            <w:vMerge w:val="continue"/>
            <w:tcBorders>
              <w:top w:val="nil"/>
              <w:left w:val="single" w:color="auto" w:sz="4" w:space="0"/>
              <w:bottom w:val="nil"/>
              <w:right w:val="single" w:color="auto" w:sz="4" w:space="0"/>
            </w:tcBorders>
            <w:noWrap w:val="0"/>
            <w:vAlign w:val="center"/>
          </w:tcPr>
          <w:p w14:paraId="53704239">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41B98EC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6838" w:type="dxa"/>
            <w:tcBorders>
              <w:top w:val="nil"/>
              <w:left w:val="nil"/>
              <w:bottom w:val="single" w:color="auto" w:sz="4" w:space="0"/>
              <w:right w:val="single" w:color="auto" w:sz="4" w:space="0"/>
            </w:tcBorders>
            <w:noWrap w:val="0"/>
            <w:vAlign w:val="center"/>
          </w:tcPr>
          <w:p w14:paraId="19D10EFA">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未按制度规定开展职工安全教育培训，未建立教育培训台账</w:t>
            </w:r>
          </w:p>
        </w:tc>
        <w:tc>
          <w:tcPr>
            <w:tcW w:w="1276" w:type="dxa"/>
            <w:tcBorders>
              <w:top w:val="nil"/>
              <w:left w:val="nil"/>
              <w:bottom w:val="single" w:color="auto" w:sz="4" w:space="0"/>
              <w:right w:val="single" w:color="auto" w:sz="4" w:space="0"/>
            </w:tcBorders>
            <w:noWrap/>
            <w:vAlign w:val="center"/>
          </w:tcPr>
          <w:p w14:paraId="3C671A83">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5297D313">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3845C877">
        <w:tblPrEx>
          <w:tblCellMar>
            <w:top w:w="0" w:type="dxa"/>
            <w:left w:w="108" w:type="dxa"/>
            <w:bottom w:w="0" w:type="dxa"/>
            <w:right w:w="108" w:type="dxa"/>
          </w:tblCellMar>
        </w:tblPrEx>
        <w:trPr>
          <w:trHeight w:val="619" w:hRule="atLeast"/>
        </w:trPr>
        <w:tc>
          <w:tcPr>
            <w:tcW w:w="564" w:type="dxa"/>
            <w:vMerge w:val="continue"/>
            <w:tcBorders>
              <w:top w:val="nil"/>
              <w:left w:val="single" w:color="auto" w:sz="4" w:space="0"/>
              <w:bottom w:val="nil"/>
              <w:right w:val="single" w:color="auto" w:sz="4" w:space="0"/>
            </w:tcBorders>
            <w:noWrap w:val="0"/>
            <w:vAlign w:val="center"/>
          </w:tcPr>
          <w:p w14:paraId="633A03E2">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4AFAC37F">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6838" w:type="dxa"/>
            <w:tcBorders>
              <w:top w:val="nil"/>
              <w:left w:val="nil"/>
              <w:bottom w:val="single" w:color="auto" w:sz="4" w:space="0"/>
              <w:right w:val="single" w:color="auto" w:sz="4" w:space="0"/>
            </w:tcBorders>
            <w:noWrap/>
            <w:vAlign w:val="center"/>
          </w:tcPr>
          <w:p w14:paraId="2FF9A5AF">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未定期开展安全隐患排查工作，未建立风险清单，未建立隐患台账</w:t>
            </w:r>
          </w:p>
        </w:tc>
        <w:tc>
          <w:tcPr>
            <w:tcW w:w="1276" w:type="dxa"/>
            <w:tcBorders>
              <w:top w:val="nil"/>
              <w:left w:val="nil"/>
              <w:bottom w:val="single" w:color="auto" w:sz="4" w:space="0"/>
              <w:right w:val="single" w:color="auto" w:sz="4" w:space="0"/>
            </w:tcBorders>
            <w:noWrap/>
            <w:vAlign w:val="center"/>
          </w:tcPr>
          <w:p w14:paraId="3558CC11">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2D9F4DBB">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3B2E2961">
        <w:tblPrEx>
          <w:tblCellMar>
            <w:top w:w="0" w:type="dxa"/>
            <w:left w:w="108" w:type="dxa"/>
            <w:bottom w:w="0" w:type="dxa"/>
            <w:right w:w="108" w:type="dxa"/>
          </w:tblCellMar>
        </w:tblPrEx>
        <w:trPr>
          <w:trHeight w:val="540" w:hRule="atLeast"/>
        </w:trPr>
        <w:tc>
          <w:tcPr>
            <w:tcW w:w="564" w:type="dxa"/>
            <w:vMerge w:val="restart"/>
            <w:tcBorders>
              <w:top w:val="single" w:color="auto" w:sz="4" w:space="0"/>
              <w:left w:val="single" w:color="auto" w:sz="4" w:space="0"/>
              <w:bottom w:val="nil"/>
              <w:right w:val="single" w:color="auto" w:sz="4" w:space="0"/>
            </w:tcBorders>
            <w:noWrap w:val="0"/>
            <w:vAlign w:val="center"/>
          </w:tcPr>
          <w:p w14:paraId="5803B83B">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消防安全</w:t>
            </w:r>
          </w:p>
        </w:tc>
        <w:tc>
          <w:tcPr>
            <w:tcW w:w="395" w:type="dxa"/>
            <w:tcBorders>
              <w:top w:val="nil"/>
              <w:left w:val="nil"/>
              <w:bottom w:val="single" w:color="auto" w:sz="4" w:space="0"/>
              <w:right w:val="single" w:color="auto" w:sz="4" w:space="0"/>
            </w:tcBorders>
            <w:noWrap w:val="0"/>
            <w:vAlign w:val="center"/>
          </w:tcPr>
          <w:p w14:paraId="7B2041E2">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6838" w:type="dxa"/>
            <w:tcBorders>
              <w:top w:val="nil"/>
              <w:left w:val="nil"/>
              <w:bottom w:val="single" w:color="auto" w:sz="4" w:space="0"/>
              <w:right w:val="single" w:color="auto" w:sz="4" w:space="0"/>
            </w:tcBorders>
            <w:noWrap w:val="0"/>
            <w:vAlign w:val="center"/>
          </w:tcPr>
          <w:p w14:paraId="67962FC6">
            <w:pPr>
              <w:widowControl/>
              <w:rPr>
                <w:rFonts w:hint="eastAsia" w:ascii="宋体" w:hAnsi="宋体" w:eastAsia="宋体" w:cs="宋体"/>
                <w:kern w:val="0"/>
                <w:sz w:val="24"/>
                <w:szCs w:val="24"/>
              </w:rPr>
            </w:pPr>
            <w:r>
              <w:rPr>
                <w:rFonts w:hint="eastAsia" w:ascii="宋体" w:hAnsi="宋体" w:eastAsia="宋体" w:cs="宋体"/>
                <w:kern w:val="0"/>
                <w:sz w:val="24"/>
                <w:szCs w:val="24"/>
              </w:rPr>
              <w:t>电动车（电动汽车、电动自行车、电动三轮车）在环卫场区内充电</w:t>
            </w:r>
          </w:p>
        </w:tc>
        <w:tc>
          <w:tcPr>
            <w:tcW w:w="1276" w:type="dxa"/>
            <w:tcBorders>
              <w:top w:val="nil"/>
              <w:left w:val="nil"/>
              <w:bottom w:val="single" w:color="auto" w:sz="4" w:space="0"/>
              <w:right w:val="single" w:color="auto" w:sz="4" w:space="0"/>
            </w:tcBorders>
            <w:noWrap w:val="0"/>
            <w:vAlign w:val="center"/>
          </w:tcPr>
          <w:p w14:paraId="2BD74222">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135ED53A">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6331E044">
        <w:tblPrEx>
          <w:tblCellMar>
            <w:top w:w="0" w:type="dxa"/>
            <w:left w:w="108" w:type="dxa"/>
            <w:bottom w:w="0" w:type="dxa"/>
            <w:right w:w="108" w:type="dxa"/>
          </w:tblCellMar>
        </w:tblPrEx>
        <w:trPr>
          <w:trHeight w:val="522" w:hRule="atLeast"/>
        </w:trPr>
        <w:tc>
          <w:tcPr>
            <w:tcW w:w="564" w:type="dxa"/>
            <w:vMerge w:val="continue"/>
            <w:tcBorders>
              <w:top w:val="single" w:color="auto" w:sz="4" w:space="0"/>
              <w:left w:val="single" w:color="auto" w:sz="4" w:space="0"/>
              <w:bottom w:val="nil"/>
              <w:right w:val="single" w:color="auto" w:sz="4" w:space="0"/>
            </w:tcBorders>
            <w:noWrap w:val="0"/>
            <w:vAlign w:val="center"/>
          </w:tcPr>
          <w:p w14:paraId="7CC47F0A">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52DCCF4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6838" w:type="dxa"/>
            <w:tcBorders>
              <w:top w:val="nil"/>
              <w:left w:val="nil"/>
              <w:bottom w:val="single" w:color="auto" w:sz="4" w:space="0"/>
              <w:right w:val="single" w:color="auto" w:sz="4" w:space="0"/>
            </w:tcBorders>
            <w:noWrap w:val="0"/>
            <w:vAlign w:val="center"/>
          </w:tcPr>
          <w:p w14:paraId="5A158C8D">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无灭火器日常巡检记录或作业人员不会正确使用灭火器</w:t>
            </w:r>
          </w:p>
        </w:tc>
        <w:tc>
          <w:tcPr>
            <w:tcW w:w="1276" w:type="dxa"/>
            <w:tcBorders>
              <w:top w:val="nil"/>
              <w:left w:val="nil"/>
              <w:bottom w:val="single" w:color="auto" w:sz="4" w:space="0"/>
              <w:right w:val="single" w:color="auto" w:sz="4" w:space="0"/>
            </w:tcBorders>
            <w:noWrap w:val="0"/>
            <w:vAlign w:val="center"/>
          </w:tcPr>
          <w:p w14:paraId="3C40B159">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500/处</w:t>
            </w:r>
          </w:p>
        </w:tc>
        <w:tc>
          <w:tcPr>
            <w:tcW w:w="567" w:type="dxa"/>
            <w:tcBorders>
              <w:top w:val="nil"/>
              <w:left w:val="nil"/>
              <w:bottom w:val="single" w:color="auto" w:sz="4" w:space="0"/>
              <w:right w:val="single" w:color="auto" w:sz="4" w:space="0"/>
            </w:tcBorders>
            <w:noWrap w:val="0"/>
            <w:vAlign w:val="center"/>
          </w:tcPr>
          <w:p w14:paraId="15A94038">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079F5EE9">
        <w:tblPrEx>
          <w:tblCellMar>
            <w:top w:w="0" w:type="dxa"/>
            <w:left w:w="108" w:type="dxa"/>
            <w:bottom w:w="0" w:type="dxa"/>
            <w:right w:w="108" w:type="dxa"/>
          </w:tblCellMar>
        </w:tblPrEx>
        <w:trPr>
          <w:trHeight w:val="780" w:hRule="atLeast"/>
        </w:trPr>
        <w:tc>
          <w:tcPr>
            <w:tcW w:w="564" w:type="dxa"/>
            <w:vMerge w:val="continue"/>
            <w:tcBorders>
              <w:top w:val="single" w:color="auto" w:sz="4" w:space="0"/>
              <w:left w:val="single" w:color="auto" w:sz="4" w:space="0"/>
              <w:bottom w:val="nil"/>
              <w:right w:val="single" w:color="auto" w:sz="4" w:space="0"/>
            </w:tcBorders>
            <w:noWrap w:val="0"/>
            <w:vAlign w:val="center"/>
          </w:tcPr>
          <w:p w14:paraId="534EA0A0">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6C936C91">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6838" w:type="dxa"/>
            <w:tcBorders>
              <w:top w:val="nil"/>
              <w:left w:val="nil"/>
              <w:bottom w:val="single" w:color="auto" w:sz="4" w:space="0"/>
              <w:right w:val="single" w:color="auto" w:sz="4" w:space="0"/>
            </w:tcBorders>
            <w:noWrap w:val="0"/>
            <w:vAlign w:val="center"/>
          </w:tcPr>
          <w:p w14:paraId="716D3CB0">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在环卫设施、场区内，私自拉接电线、使用存在安全隐患的插线板，使用电褥子、小太阳等大功率采暖设施</w:t>
            </w:r>
          </w:p>
        </w:tc>
        <w:tc>
          <w:tcPr>
            <w:tcW w:w="1276" w:type="dxa"/>
            <w:tcBorders>
              <w:top w:val="nil"/>
              <w:left w:val="nil"/>
              <w:bottom w:val="single" w:color="auto" w:sz="4" w:space="0"/>
              <w:right w:val="single" w:color="auto" w:sz="4" w:space="0"/>
            </w:tcBorders>
            <w:noWrap w:val="0"/>
            <w:vAlign w:val="center"/>
          </w:tcPr>
          <w:p w14:paraId="7C535742">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08F9D9E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59755420">
        <w:tblPrEx>
          <w:tblCellMar>
            <w:top w:w="0" w:type="dxa"/>
            <w:left w:w="108" w:type="dxa"/>
            <w:bottom w:w="0" w:type="dxa"/>
            <w:right w:w="108" w:type="dxa"/>
          </w:tblCellMar>
        </w:tblPrEx>
        <w:trPr>
          <w:trHeight w:val="600" w:hRule="atLeast"/>
        </w:trPr>
        <w:tc>
          <w:tcPr>
            <w:tcW w:w="564" w:type="dxa"/>
            <w:vMerge w:val="continue"/>
            <w:tcBorders>
              <w:top w:val="single" w:color="auto" w:sz="4" w:space="0"/>
              <w:left w:val="single" w:color="auto" w:sz="4" w:space="0"/>
              <w:bottom w:val="nil"/>
              <w:right w:val="single" w:color="auto" w:sz="4" w:space="0"/>
            </w:tcBorders>
            <w:noWrap w:val="0"/>
            <w:vAlign w:val="center"/>
          </w:tcPr>
          <w:p w14:paraId="7CDB0153">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5F80EEE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6838" w:type="dxa"/>
            <w:tcBorders>
              <w:top w:val="nil"/>
              <w:left w:val="nil"/>
              <w:bottom w:val="single" w:color="auto" w:sz="4" w:space="0"/>
              <w:right w:val="single" w:color="auto" w:sz="4" w:space="0"/>
            </w:tcBorders>
            <w:noWrap w:val="0"/>
            <w:vAlign w:val="center"/>
          </w:tcPr>
          <w:p w14:paraId="15F020EF">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违反消防规定，堵塞、占用消防、逃生通道</w:t>
            </w:r>
          </w:p>
        </w:tc>
        <w:tc>
          <w:tcPr>
            <w:tcW w:w="1276" w:type="dxa"/>
            <w:tcBorders>
              <w:top w:val="nil"/>
              <w:left w:val="nil"/>
              <w:bottom w:val="single" w:color="auto" w:sz="4" w:space="0"/>
              <w:right w:val="single" w:color="auto" w:sz="4" w:space="0"/>
            </w:tcBorders>
            <w:noWrap w:val="0"/>
            <w:vAlign w:val="center"/>
          </w:tcPr>
          <w:p w14:paraId="571B0226">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6EDD4D18">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421A7BB0">
        <w:tblPrEx>
          <w:tblCellMar>
            <w:top w:w="0" w:type="dxa"/>
            <w:left w:w="108" w:type="dxa"/>
            <w:bottom w:w="0" w:type="dxa"/>
            <w:right w:w="108" w:type="dxa"/>
          </w:tblCellMar>
        </w:tblPrEx>
        <w:trPr>
          <w:trHeight w:val="540" w:hRule="atLeast"/>
        </w:trPr>
        <w:tc>
          <w:tcPr>
            <w:tcW w:w="564" w:type="dxa"/>
            <w:vMerge w:val="continue"/>
            <w:tcBorders>
              <w:top w:val="single" w:color="auto" w:sz="4" w:space="0"/>
              <w:left w:val="single" w:color="auto" w:sz="4" w:space="0"/>
              <w:bottom w:val="nil"/>
              <w:right w:val="single" w:color="auto" w:sz="4" w:space="0"/>
            </w:tcBorders>
            <w:noWrap w:val="0"/>
            <w:vAlign w:val="center"/>
          </w:tcPr>
          <w:p w14:paraId="34507C16">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62E6258A">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6838" w:type="dxa"/>
            <w:tcBorders>
              <w:top w:val="nil"/>
              <w:left w:val="nil"/>
              <w:bottom w:val="single" w:color="auto" w:sz="4" w:space="0"/>
              <w:right w:val="single" w:color="auto" w:sz="4" w:space="0"/>
            </w:tcBorders>
            <w:noWrap w:val="0"/>
            <w:vAlign w:val="center"/>
          </w:tcPr>
          <w:p w14:paraId="67A8E339">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在环卫设施、场区内，使用液化气、存放易燃、易爆等物品</w:t>
            </w:r>
          </w:p>
        </w:tc>
        <w:tc>
          <w:tcPr>
            <w:tcW w:w="1276" w:type="dxa"/>
            <w:tcBorders>
              <w:top w:val="nil"/>
              <w:left w:val="nil"/>
              <w:bottom w:val="single" w:color="auto" w:sz="4" w:space="0"/>
              <w:right w:val="single" w:color="auto" w:sz="4" w:space="0"/>
            </w:tcBorders>
            <w:noWrap w:val="0"/>
            <w:vAlign w:val="center"/>
          </w:tcPr>
          <w:p w14:paraId="7D7DAC4B">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3000元</w:t>
            </w:r>
          </w:p>
        </w:tc>
        <w:tc>
          <w:tcPr>
            <w:tcW w:w="567" w:type="dxa"/>
            <w:tcBorders>
              <w:top w:val="nil"/>
              <w:left w:val="nil"/>
              <w:bottom w:val="single" w:color="auto" w:sz="4" w:space="0"/>
              <w:right w:val="single" w:color="auto" w:sz="4" w:space="0"/>
            </w:tcBorders>
            <w:noWrap w:val="0"/>
            <w:vAlign w:val="center"/>
          </w:tcPr>
          <w:p w14:paraId="09EE1FA8">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79BB93AD">
        <w:tblPrEx>
          <w:tblCellMar>
            <w:top w:w="0" w:type="dxa"/>
            <w:left w:w="108" w:type="dxa"/>
            <w:bottom w:w="0" w:type="dxa"/>
            <w:right w:w="108" w:type="dxa"/>
          </w:tblCellMar>
        </w:tblPrEx>
        <w:trPr>
          <w:trHeight w:val="499" w:hRule="atLeast"/>
        </w:trPr>
        <w:tc>
          <w:tcPr>
            <w:tcW w:w="564" w:type="dxa"/>
            <w:vMerge w:val="continue"/>
            <w:tcBorders>
              <w:top w:val="single" w:color="auto" w:sz="4" w:space="0"/>
              <w:left w:val="single" w:color="auto" w:sz="4" w:space="0"/>
              <w:bottom w:val="nil"/>
              <w:right w:val="single" w:color="auto" w:sz="4" w:space="0"/>
            </w:tcBorders>
            <w:noWrap w:val="0"/>
            <w:vAlign w:val="center"/>
          </w:tcPr>
          <w:p w14:paraId="683450F9">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7A32BCA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6838" w:type="dxa"/>
            <w:tcBorders>
              <w:top w:val="nil"/>
              <w:left w:val="nil"/>
              <w:bottom w:val="single" w:color="auto" w:sz="4" w:space="0"/>
              <w:right w:val="single" w:color="auto" w:sz="4" w:space="0"/>
            </w:tcBorders>
            <w:noWrap w:val="0"/>
            <w:vAlign w:val="center"/>
          </w:tcPr>
          <w:p w14:paraId="223D1407">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在环卫设施、场区内，违规动火作业</w:t>
            </w:r>
          </w:p>
        </w:tc>
        <w:tc>
          <w:tcPr>
            <w:tcW w:w="1276" w:type="dxa"/>
            <w:tcBorders>
              <w:top w:val="nil"/>
              <w:left w:val="nil"/>
              <w:bottom w:val="single" w:color="auto" w:sz="4" w:space="0"/>
              <w:right w:val="single" w:color="auto" w:sz="4" w:space="0"/>
            </w:tcBorders>
            <w:noWrap/>
            <w:vAlign w:val="center"/>
          </w:tcPr>
          <w:p w14:paraId="79901534">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10000元</w:t>
            </w:r>
          </w:p>
        </w:tc>
        <w:tc>
          <w:tcPr>
            <w:tcW w:w="567" w:type="dxa"/>
            <w:tcBorders>
              <w:top w:val="nil"/>
              <w:left w:val="nil"/>
              <w:bottom w:val="single" w:color="auto" w:sz="4" w:space="0"/>
              <w:right w:val="single" w:color="auto" w:sz="4" w:space="0"/>
            </w:tcBorders>
            <w:noWrap w:val="0"/>
            <w:vAlign w:val="center"/>
          </w:tcPr>
          <w:p w14:paraId="3DCA82D4">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5777F13C">
        <w:tblPrEx>
          <w:tblCellMar>
            <w:top w:w="0" w:type="dxa"/>
            <w:left w:w="108" w:type="dxa"/>
            <w:bottom w:w="0" w:type="dxa"/>
            <w:right w:w="108" w:type="dxa"/>
          </w:tblCellMar>
        </w:tblPrEx>
        <w:trPr>
          <w:trHeight w:val="600" w:hRule="atLeast"/>
        </w:trPr>
        <w:tc>
          <w:tcPr>
            <w:tcW w:w="564" w:type="dxa"/>
            <w:vMerge w:val="restart"/>
            <w:tcBorders>
              <w:top w:val="single" w:color="auto" w:sz="4" w:space="0"/>
              <w:left w:val="single" w:color="auto" w:sz="4" w:space="0"/>
              <w:bottom w:val="single" w:color="auto" w:sz="4" w:space="0"/>
              <w:right w:val="single" w:color="auto" w:sz="4" w:space="0"/>
            </w:tcBorders>
            <w:noWrap w:val="0"/>
            <w:vAlign w:val="center"/>
          </w:tcPr>
          <w:p w14:paraId="1C0446FB">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有限空间及危化品</w:t>
            </w:r>
          </w:p>
        </w:tc>
        <w:tc>
          <w:tcPr>
            <w:tcW w:w="395" w:type="dxa"/>
            <w:tcBorders>
              <w:top w:val="nil"/>
              <w:left w:val="nil"/>
              <w:bottom w:val="single" w:color="auto" w:sz="4" w:space="0"/>
              <w:right w:val="single" w:color="auto" w:sz="4" w:space="0"/>
            </w:tcBorders>
            <w:noWrap w:val="0"/>
            <w:vAlign w:val="center"/>
          </w:tcPr>
          <w:p w14:paraId="55AD291B">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6838" w:type="dxa"/>
            <w:tcBorders>
              <w:top w:val="nil"/>
              <w:left w:val="nil"/>
              <w:bottom w:val="single" w:color="auto" w:sz="4" w:space="0"/>
              <w:right w:val="single" w:color="auto" w:sz="4" w:space="0"/>
            </w:tcBorders>
            <w:noWrap/>
            <w:vAlign w:val="center"/>
          </w:tcPr>
          <w:p w14:paraId="696CA7EB">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对承包业务中涉及有限空间、危化品管理，未建立清单台账的</w:t>
            </w:r>
          </w:p>
        </w:tc>
        <w:tc>
          <w:tcPr>
            <w:tcW w:w="1276" w:type="dxa"/>
            <w:tcBorders>
              <w:top w:val="nil"/>
              <w:left w:val="nil"/>
              <w:bottom w:val="single" w:color="auto" w:sz="4" w:space="0"/>
              <w:right w:val="single" w:color="auto" w:sz="4" w:space="0"/>
            </w:tcBorders>
            <w:noWrap w:val="0"/>
            <w:vAlign w:val="center"/>
          </w:tcPr>
          <w:p w14:paraId="3E36E78A">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1FDCC4DB">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75B87D44">
        <w:tblPrEx>
          <w:tblCellMar>
            <w:top w:w="0" w:type="dxa"/>
            <w:left w:w="108" w:type="dxa"/>
            <w:bottom w:w="0" w:type="dxa"/>
            <w:right w:w="108" w:type="dxa"/>
          </w:tblCellMar>
        </w:tblPrEx>
        <w:trPr>
          <w:trHeight w:val="600" w:hRule="atLeast"/>
        </w:trPr>
        <w:tc>
          <w:tcPr>
            <w:tcW w:w="564" w:type="dxa"/>
            <w:vMerge w:val="continue"/>
            <w:tcBorders>
              <w:top w:val="single" w:color="auto" w:sz="4" w:space="0"/>
              <w:left w:val="single" w:color="auto" w:sz="4" w:space="0"/>
              <w:bottom w:val="single" w:color="auto" w:sz="4" w:space="0"/>
              <w:right w:val="single" w:color="auto" w:sz="4" w:space="0"/>
            </w:tcBorders>
            <w:noWrap w:val="0"/>
            <w:vAlign w:val="center"/>
          </w:tcPr>
          <w:p w14:paraId="56141B3E">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0647A308">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6838" w:type="dxa"/>
            <w:tcBorders>
              <w:top w:val="nil"/>
              <w:left w:val="nil"/>
              <w:bottom w:val="single" w:color="auto" w:sz="4" w:space="0"/>
              <w:right w:val="single" w:color="auto" w:sz="4" w:space="0"/>
            </w:tcBorders>
            <w:noWrap/>
            <w:vAlign w:val="center"/>
          </w:tcPr>
          <w:p w14:paraId="47B660A0">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未配备合格的检测设备、防护救援设备</w:t>
            </w:r>
          </w:p>
        </w:tc>
        <w:tc>
          <w:tcPr>
            <w:tcW w:w="1276" w:type="dxa"/>
            <w:tcBorders>
              <w:top w:val="nil"/>
              <w:left w:val="nil"/>
              <w:bottom w:val="single" w:color="auto" w:sz="4" w:space="0"/>
              <w:right w:val="single" w:color="auto" w:sz="4" w:space="0"/>
            </w:tcBorders>
            <w:noWrap/>
            <w:vAlign w:val="center"/>
          </w:tcPr>
          <w:p w14:paraId="46661400">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3000元</w:t>
            </w:r>
          </w:p>
        </w:tc>
        <w:tc>
          <w:tcPr>
            <w:tcW w:w="567" w:type="dxa"/>
            <w:tcBorders>
              <w:top w:val="nil"/>
              <w:left w:val="nil"/>
              <w:bottom w:val="single" w:color="auto" w:sz="4" w:space="0"/>
              <w:right w:val="single" w:color="auto" w:sz="4" w:space="0"/>
            </w:tcBorders>
            <w:noWrap w:val="0"/>
            <w:vAlign w:val="center"/>
          </w:tcPr>
          <w:p w14:paraId="15762628">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009862E5">
        <w:tblPrEx>
          <w:tblCellMar>
            <w:top w:w="0" w:type="dxa"/>
            <w:left w:w="108" w:type="dxa"/>
            <w:bottom w:w="0" w:type="dxa"/>
            <w:right w:w="108" w:type="dxa"/>
          </w:tblCellMar>
        </w:tblPrEx>
        <w:trPr>
          <w:trHeight w:val="600" w:hRule="atLeast"/>
        </w:trPr>
        <w:tc>
          <w:tcPr>
            <w:tcW w:w="564" w:type="dxa"/>
            <w:vMerge w:val="continue"/>
            <w:tcBorders>
              <w:top w:val="single" w:color="auto" w:sz="4" w:space="0"/>
              <w:left w:val="single" w:color="auto" w:sz="4" w:space="0"/>
              <w:bottom w:val="single" w:color="auto" w:sz="4" w:space="0"/>
              <w:right w:val="single" w:color="auto" w:sz="4" w:space="0"/>
            </w:tcBorders>
            <w:noWrap w:val="0"/>
            <w:vAlign w:val="center"/>
          </w:tcPr>
          <w:p w14:paraId="479DBF48">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2DE8869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6838" w:type="dxa"/>
            <w:tcBorders>
              <w:top w:val="nil"/>
              <w:left w:val="nil"/>
              <w:bottom w:val="single" w:color="auto" w:sz="4" w:space="0"/>
              <w:right w:val="single" w:color="auto" w:sz="4" w:space="0"/>
            </w:tcBorders>
            <w:noWrap/>
            <w:vAlign w:val="center"/>
          </w:tcPr>
          <w:p w14:paraId="4F82CF6B">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在环卫设施、场区内，违规有限空间作业</w:t>
            </w:r>
          </w:p>
        </w:tc>
        <w:tc>
          <w:tcPr>
            <w:tcW w:w="1276" w:type="dxa"/>
            <w:tcBorders>
              <w:top w:val="nil"/>
              <w:left w:val="nil"/>
              <w:bottom w:val="single" w:color="auto" w:sz="4" w:space="0"/>
              <w:right w:val="single" w:color="auto" w:sz="4" w:space="0"/>
            </w:tcBorders>
            <w:noWrap/>
            <w:vAlign w:val="center"/>
          </w:tcPr>
          <w:p w14:paraId="7DE23DE6">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50000元</w:t>
            </w:r>
          </w:p>
        </w:tc>
        <w:tc>
          <w:tcPr>
            <w:tcW w:w="567" w:type="dxa"/>
            <w:tcBorders>
              <w:top w:val="nil"/>
              <w:left w:val="nil"/>
              <w:bottom w:val="single" w:color="auto" w:sz="4" w:space="0"/>
              <w:right w:val="single" w:color="auto" w:sz="4" w:space="0"/>
            </w:tcBorders>
            <w:noWrap w:val="0"/>
            <w:vAlign w:val="center"/>
          </w:tcPr>
          <w:p w14:paraId="4A97AC2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2180DEC5">
        <w:tblPrEx>
          <w:tblCellMar>
            <w:top w:w="0" w:type="dxa"/>
            <w:left w:w="108" w:type="dxa"/>
            <w:bottom w:w="0" w:type="dxa"/>
            <w:right w:w="108" w:type="dxa"/>
          </w:tblCellMar>
        </w:tblPrEx>
        <w:trPr>
          <w:trHeight w:val="600" w:hRule="atLeast"/>
        </w:trPr>
        <w:tc>
          <w:tcPr>
            <w:tcW w:w="564" w:type="dxa"/>
            <w:vMerge w:val="continue"/>
            <w:tcBorders>
              <w:top w:val="single" w:color="auto" w:sz="4" w:space="0"/>
              <w:left w:val="single" w:color="auto" w:sz="4" w:space="0"/>
              <w:bottom w:val="single" w:color="auto" w:sz="4" w:space="0"/>
              <w:right w:val="single" w:color="auto" w:sz="4" w:space="0"/>
            </w:tcBorders>
            <w:noWrap w:val="0"/>
            <w:vAlign w:val="center"/>
          </w:tcPr>
          <w:p w14:paraId="70C76BCF">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34A9522B">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6838" w:type="dxa"/>
            <w:tcBorders>
              <w:top w:val="nil"/>
              <w:left w:val="nil"/>
              <w:bottom w:val="single" w:color="auto" w:sz="4" w:space="0"/>
              <w:right w:val="single" w:color="auto" w:sz="4" w:space="0"/>
            </w:tcBorders>
            <w:noWrap/>
            <w:vAlign w:val="center"/>
          </w:tcPr>
          <w:p w14:paraId="287C8914">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危化品储藏、存放不符合危化品管理规定的</w:t>
            </w:r>
          </w:p>
        </w:tc>
        <w:tc>
          <w:tcPr>
            <w:tcW w:w="1276" w:type="dxa"/>
            <w:tcBorders>
              <w:top w:val="nil"/>
              <w:left w:val="nil"/>
              <w:bottom w:val="single" w:color="auto" w:sz="4" w:space="0"/>
              <w:right w:val="single" w:color="auto" w:sz="4" w:space="0"/>
            </w:tcBorders>
            <w:noWrap w:val="0"/>
            <w:vAlign w:val="center"/>
          </w:tcPr>
          <w:p w14:paraId="64CDA3A6">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3000元</w:t>
            </w:r>
          </w:p>
        </w:tc>
        <w:tc>
          <w:tcPr>
            <w:tcW w:w="567" w:type="dxa"/>
            <w:tcBorders>
              <w:top w:val="nil"/>
              <w:left w:val="nil"/>
              <w:bottom w:val="single" w:color="auto" w:sz="4" w:space="0"/>
              <w:right w:val="single" w:color="auto" w:sz="4" w:space="0"/>
            </w:tcBorders>
            <w:noWrap w:val="0"/>
            <w:vAlign w:val="center"/>
          </w:tcPr>
          <w:p w14:paraId="253D9A02">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677D97BD">
        <w:tblPrEx>
          <w:tblCellMar>
            <w:top w:w="0" w:type="dxa"/>
            <w:left w:w="108" w:type="dxa"/>
            <w:bottom w:w="0" w:type="dxa"/>
            <w:right w:w="108" w:type="dxa"/>
          </w:tblCellMar>
        </w:tblPrEx>
        <w:trPr>
          <w:trHeight w:val="600" w:hRule="atLeast"/>
        </w:trPr>
        <w:tc>
          <w:tcPr>
            <w:tcW w:w="564" w:type="dxa"/>
            <w:vMerge w:val="restart"/>
            <w:tcBorders>
              <w:top w:val="nil"/>
              <w:left w:val="single" w:color="auto" w:sz="4" w:space="0"/>
              <w:bottom w:val="single" w:color="auto" w:sz="4" w:space="0"/>
              <w:right w:val="single" w:color="auto" w:sz="4" w:space="0"/>
            </w:tcBorders>
            <w:noWrap w:val="0"/>
            <w:vAlign w:val="center"/>
          </w:tcPr>
          <w:p w14:paraId="027EDCB6">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防汛安全</w:t>
            </w:r>
          </w:p>
        </w:tc>
        <w:tc>
          <w:tcPr>
            <w:tcW w:w="395" w:type="dxa"/>
            <w:tcBorders>
              <w:top w:val="nil"/>
              <w:left w:val="nil"/>
              <w:bottom w:val="single" w:color="auto" w:sz="4" w:space="0"/>
              <w:right w:val="single" w:color="auto" w:sz="4" w:space="0"/>
            </w:tcBorders>
            <w:noWrap w:val="0"/>
            <w:vAlign w:val="center"/>
          </w:tcPr>
          <w:p w14:paraId="6690824D">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6838" w:type="dxa"/>
            <w:tcBorders>
              <w:top w:val="nil"/>
              <w:left w:val="nil"/>
              <w:bottom w:val="single" w:color="auto" w:sz="4" w:space="0"/>
              <w:right w:val="single" w:color="auto" w:sz="4" w:space="0"/>
            </w:tcBorders>
            <w:noWrap/>
            <w:vAlign w:val="center"/>
          </w:tcPr>
          <w:p w14:paraId="0261D32C">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对承包管理的环卫设施未配备相应的防汛物资</w:t>
            </w:r>
          </w:p>
        </w:tc>
        <w:tc>
          <w:tcPr>
            <w:tcW w:w="1276" w:type="dxa"/>
            <w:tcBorders>
              <w:top w:val="nil"/>
              <w:left w:val="nil"/>
              <w:bottom w:val="single" w:color="auto" w:sz="4" w:space="0"/>
              <w:right w:val="single" w:color="auto" w:sz="4" w:space="0"/>
            </w:tcBorders>
            <w:noWrap w:val="0"/>
            <w:vAlign w:val="center"/>
          </w:tcPr>
          <w:p w14:paraId="536EBC0C">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13A41604">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1D7A2831">
        <w:tblPrEx>
          <w:tblCellMar>
            <w:top w:w="0" w:type="dxa"/>
            <w:left w:w="108" w:type="dxa"/>
            <w:bottom w:w="0" w:type="dxa"/>
            <w:right w:w="108" w:type="dxa"/>
          </w:tblCellMar>
        </w:tblPrEx>
        <w:trPr>
          <w:trHeight w:val="780" w:hRule="atLeast"/>
        </w:trPr>
        <w:tc>
          <w:tcPr>
            <w:tcW w:w="564" w:type="dxa"/>
            <w:vMerge w:val="continue"/>
            <w:tcBorders>
              <w:top w:val="nil"/>
              <w:left w:val="single" w:color="auto" w:sz="4" w:space="0"/>
              <w:bottom w:val="single" w:color="auto" w:sz="4" w:space="0"/>
              <w:right w:val="single" w:color="auto" w:sz="4" w:space="0"/>
            </w:tcBorders>
            <w:noWrap w:val="0"/>
            <w:vAlign w:val="center"/>
          </w:tcPr>
          <w:p w14:paraId="35009553">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1BEC50FE">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6838" w:type="dxa"/>
            <w:tcBorders>
              <w:top w:val="nil"/>
              <w:left w:val="nil"/>
              <w:bottom w:val="single" w:color="auto" w:sz="4" w:space="0"/>
              <w:right w:val="single" w:color="auto" w:sz="4" w:space="0"/>
            </w:tcBorders>
            <w:noWrap/>
            <w:vAlign w:val="center"/>
          </w:tcPr>
          <w:p w14:paraId="16CC4ED8">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未按照门头沟区防汛办及环卫中心工作要求及时疏散、转移环卫设施内工作人员</w:t>
            </w:r>
          </w:p>
        </w:tc>
        <w:tc>
          <w:tcPr>
            <w:tcW w:w="1276" w:type="dxa"/>
            <w:tcBorders>
              <w:top w:val="nil"/>
              <w:left w:val="nil"/>
              <w:bottom w:val="single" w:color="auto" w:sz="4" w:space="0"/>
              <w:right w:val="single" w:color="auto" w:sz="4" w:space="0"/>
            </w:tcBorders>
            <w:noWrap/>
            <w:vAlign w:val="center"/>
          </w:tcPr>
          <w:p w14:paraId="33406065">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1000元/次</w:t>
            </w:r>
          </w:p>
        </w:tc>
        <w:tc>
          <w:tcPr>
            <w:tcW w:w="567" w:type="dxa"/>
            <w:tcBorders>
              <w:top w:val="nil"/>
              <w:left w:val="nil"/>
              <w:bottom w:val="single" w:color="auto" w:sz="4" w:space="0"/>
              <w:right w:val="single" w:color="auto" w:sz="4" w:space="0"/>
            </w:tcBorders>
            <w:noWrap w:val="0"/>
            <w:vAlign w:val="center"/>
          </w:tcPr>
          <w:p w14:paraId="6FED5EC9">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2A17937C">
        <w:tblPrEx>
          <w:tblCellMar>
            <w:top w:w="0" w:type="dxa"/>
            <w:left w:w="108" w:type="dxa"/>
            <w:bottom w:w="0" w:type="dxa"/>
            <w:right w:w="108" w:type="dxa"/>
          </w:tblCellMar>
        </w:tblPrEx>
        <w:trPr>
          <w:trHeight w:val="762" w:hRule="atLeast"/>
        </w:trPr>
        <w:tc>
          <w:tcPr>
            <w:tcW w:w="564" w:type="dxa"/>
            <w:vMerge w:val="continue"/>
            <w:tcBorders>
              <w:top w:val="nil"/>
              <w:left w:val="single" w:color="auto" w:sz="4" w:space="0"/>
              <w:bottom w:val="single" w:color="auto" w:sz="4" w:space="0"/>
              <w:right w:val="single" w:color="auto" w:sz="4" w:space="0"/>
            </w:tcBorders>
            <w:noWrap w:val="0"/>
            <w:vAlign w:val="center"/>
          </w:tcPr>
          <w:p w14:paraId="4FE7ADD2">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022D89D1">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6838" w:type="dxa"/>
            <w:tcBorders>
              <w:top w:val="nil"/>
              <w:left w:val="nil"/>
              <w:bottom w:val="single" w:color="auto" w:sz="4" w:space="0"/>
              <w:right w:val="single" w:color="auto" w:sz="4" w:space="0"/>
            </w:tcBorders>
            <w:noWrap/>
            <w:vAlign w:val="center"/>
          </w:tcPr>
          <w:p w14:paraId="1B070DFD">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汛期强降雨期间，公厕粪井、设施化粪池未采取安全措施，造成井盖丢失冲跑，出现安全隐患</w:t>
            </w:r>
          </w:p>
        </w:tc>
        <w:tc>
          <w:tcPr>
            <w:tcW w:w="1276" w:type="dxa"/>
            <w:tcBorders>
              <w:top w:val="nil"/>
              <w:left w:val="nil"/>
              <w:bottom w:val="single" w:color="auto" w:sz="4" w:space="0"/>
              <w:right w:val="single" w:color="auto" w:sz="4" w:space="0"/>
            </w:tcBorders>
            <w:noWrap w:val="0"/>
            <w:vAlign w:val="center"/>
          </w:tcPr>
          <w:p w14:paraId="19BF4B73">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086E573C">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2DEA1AEF">
        <w:tblPrEx>
          <w:tblCellMar>
            <w:top w:w="0" w:type="dxa"/>
            <w:left w:w="108" w:type="dxa"/>
            <w:bottom w:w="0" w:type="dxa"/>
            <w:right w:w="108" w:type="dxa"/>
          </w:tblCellMar>
        </w:tblPrEx>
        <w:trPr>
          <w:trHeight w:val="1425" w:hRule="atLeast"/>
        </w:trPr>
        <w:tc>
          <w:tcPr>
            <w:tcW w:w="564" w:type="dxa"/>
            <w:vMerge w:val="restart"/>
            <w:tcBorders>
              <w:top w:val="nil"/>
              <w:left w:val="single" w:color="auto" w:sz="4" w:space="0"/>
              <w:bottom w:val="single" w:color="auto" w:sz="4" w:space="0"/>
              <w:right w:val="single" w:color="auto" w:sz="4" w:space="0"/>
            </w:tcBorders>
            <w:noWrap w:val="0"/>
            <w:vAlign w:val="center"/>
          </w:tcPr>
          <w:p w14:paraId="56C9AA33">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综治维稳</w:t>
            </w:r>
          </w:p>
        </w:tc>
        <w:tc>
          <w:tcPr>
            <w:tcW w:w="395" w:type="dxa"/>
            <w:tcBorders>
              <w:top w:val="nil"/>
              <w:left w:val="nil"/>
              <w:bottom w:val="single" w:color="auto" w:sz="4" w:space="0"/>
              <w:right w:val="single" w:color="auto" w:sz="4" w:space="0"/>
            </w:tcBorders>
            <w:noWrap w:val="0"/>
            <w:vAlign w:val="center"/>
          </w:tcPr>
          <w:p w14:paraId="4F128CFE">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6838" w:type="dxa"/>
            <w:tcBorders>
              <w:top w:val="nil"/>
              <w:left w:val="nil"/>
              <w:bottom w:val="single" w:color="auto" w:sz="4" w:space="0"/>
              <w:right w:val="single" w:color="auto" w:sz="4" w:space="0"/>
            </w:tcBorders>
            <w:noWrap/>
            <w:vAlign w:val="center"/>
          </w:tcPr>
          <w:p w14:paraId="653E37D2">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由于承包公司管理不到位，其工作人员在环卫设施、场区内从事非法宣传、集资、赌博、吸毒等违法活动；参与任何形式的邪教活动；或利用互联网、微信、微博传播非法政治言论，被司法部门、公安机关查处，证据属实</w:t>
            </w:r>
          </w:p>
        </w:tc>
        <w:tc>
          <w:tcPr>
            <w:tcW w:w="1276" w:type="dxa"/>
            <w:tcBorders>
              <w:top w:val="nil"/>
              <w:left w:val="nil"/>
              <w:bottom w:val="single" w:color="auto" w:sz="4" w:space="0"/>
              <w:right w:val="single" w:color="auto" w:sz="4" w:space="0"/>
            </w:tcBorders>
            <w:noWrap w:val="0"/>
            <w:vAlign w:val="center"/>
          </w:tcPr>
          <w:p w14:paraId="2675676E">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50000元，并解除合同</w:t>
            </w:r>
          </w:p>
        </w:tc>
        <w:tc>
          <w:tcPr>
            <w:tcW w:w="567" w:type="dxa"/>
            <w:tcBorders>
              <w:top w:val="nil"/>
              <w:left w:val="nil"/>
              <w:bottom w:val="single" w:color="auto" w:sz="4" w:space="0"/>
              <w:right w:val="single" w:color="auto" w:sz="4" w:space="0"/>
            </w:tcBorders>
            <w:noWrap w:val="0"/>
            <w:vAlign w:val="center"/>
          </w:tcPr>
          <w:p w14:paraId="66B2B28F">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476B4FCB">
        <w:tblPrEx>
          <w:tblCellMar>
            <w:top w:w="0" w:type="dxa"/>
            <w:left w:w="108" w:type="dxa"/>
            <w:bottom w:w="0" w:type="dxa"/>
            <w:right w:w="108" w:type="dxa"/>
          </w:tblCellMar>
        </w:tblPrEx>
        <w:trPr>
          <w:trHeight w:val="739" w:hRule="atLeast"/>
        </w:trPr>
        <w:tc>
          <w:tcPr>
            <w:tcW w:w="564" w:type="dxa"/>
            <w:vMerge w:val="continue"/>
            <w:tcBorders>
              <w:top w:val="nil"/>
              <w:left w:val="single" w:color="auto" w:sz="4" w:space="0"/>
              <w:bottom w:val="single" w:color="auto" w:sz="4" w:space="0"/>
              <w:right w:val="single" w:color="auto" w:sz="4" w:space="0"/>
            </w:tcBorders>
            <w:noWrap w:val="0"/>
            <w:vAlign w:val="center"/>
          </w:tcPr>
          <w:p w14:paraId="60D15E10">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321302E1">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6838" w:type="dxa"/>
            <w:tcBorders>
              <w:top w:val="nil"/>
              <w:left w:val="nil"/>
              <w:bottom w:val="single" w:color="auto" w:sz="4" w:space="0"/>
              <w:right w:val="single" w:color="auto" w:sz="4" w:space="0"/>
            </w:tcBorders>
            <w:noWrap/>
            <w:vAlign w:val="center"/>
          </w:tcPr>
          <w:p w14:paraId="4832AE94">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在环卫设施内留宿本公司工作人员之外的外来人员（公司记录在册人员之外的）</w:t>
            </w:r>
          </w:p>
        </w:tc>
        <w:tc>
          <w:tcPr>
            <w:tcW w:w="1276" w:type="dxa"/>
            <w:tcBorders>
              <w:top w:val="nil"/>
              <w:left w:val="nil"/>
              <w:bottom w:val="single" w:color="auto" w:sz="4" w:space="0"/>
              <w:right w:val="single" w:color="auto" w:sz="4" w:space="0"/>
            </w:tcBorders>
            <w:noWrap w:val="0"/>
            <w:vAlign w:val="center"/>
          </w:tcPr>
          <w:p w14:paraId="09B78747">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0A0A99DD">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0C3507B4">
        <w:tblPrEx>
          <w:tblCellMar>
            <w:top w:w="0" w:type="dxa"/>
            <w:left w:w="108" w:type="dxa"/>
            <w:bottom w:w="0" w:type="dxa"/>
            <w:right w:w="108" w:type="dxa"/>
          </w:tblCellMar>
        </w:tblPrEx>
        <w:trPr>
          <w:trHeight w:val="600" w:hRule="atLeast"/>
        </w:trPr>
        <w:tc>
          <w:tcPr>
            <w:tcW w:w="564" w:type="dxa"/>
            <w:vMerge w:val="continue"/>
            <w:tcBorders>
              <w:top w:val="nil"/>
              <w:left w:val="single" w:color="auto" w:sz="4" w:space="0"/>
              <w:bottom w:val="single" w:color="auto" w:sz="4" w:space="0"/>
              <w:right w:val="single" w:color="auto" w:sz="4" w:space="0"/>
            </w:tcBorders>
            <w:noWrap w:val="0"/>
            <w:vAlign w:val="center"/>
          </w:tcPr>
          <w:p w14:paraId="2FFC2E19">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5010D8D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6838" w:type="dxa"/>
            <w:tcBorders>
              <w:top w:val="nil"/>
              <w:left w:val="nil"/>
              <w:bottom w:val="single" w:color="auto" w:sz="4" w:space="0"/>
              <w:right w:val="single" w:color="auto" w:sz="4" w:space="0"/>
            </w:tcBorders>
            <w:noWrap/>
            <w:vAlign w:val="center"/>
          </w:tcPr>
          <w:p w14:paraId="5903A322">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在环卫场区、设施内组织聚会饮酒的</w:t>
            </w:r>
          </w:p>
        </w:tc>
        <w:tc>
          <w:tcPr>
            <w:tcW w:w="1276" w:type="dxa"/>
            <w:tcBorders>
              <w:top w:val="nil"/>
              <w:left w:val="nil"/>
              <w:bottom w:val="single" w:color="auto" w:sz="4" w:space="0"/>
              <w:right w:val="single" w:color="auto" w:sz="4" w:space="0"/>
            </w:tcBorders>
            <w:noWrap w:val="0"/>
            <w:vAlign w:val="center"/>
          </w:tcPr>
          <w:p w14:paraId="4460E2DD">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6203A8F5">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0C7F388A">
        <w:tblPrEx>
          <w:tblCellMar>
            <w:top w:w="0" w:type="dxa"/>
            <w:left w:w="108" w:type="dxa"/>
            <w:bottom w:w="0" w:type="dxa"/>
            <w:right w:w="108" w:type="dxa"/>
          </w:tblCellMar>
        </w:tblPrEx>
        <w:trPr>
          <w:trHeight w:val="840" w:hRule="atLeast"/>
        </w:trPr>
        <w:tc>
          <w:tcPr>
            <w:tcW w:w="564" w:type="dxa"/>
            <w:vMerge w:val="restart"/>
            <w:tcBorders>
              <w:top w:val="nil"/>
              <w:left w:val="single" w:color="auto" w:sz="4" w:space="0"/>
              <w:bottom w:val="single" w:color="auto" w:sz="4" w:space="0"/>
              <w:right w:val="single" w:color="auto" w:sz="4" w:space="0"/>
            </w:tcBorders>
            <w:noWrap w:val="0"/>
            <w:vAlign w:val="center"/>
          </w:tcPr>
          <w:p w14:paraId="29318895">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其他安全事项</w:t>
            </w:r>
          </w:p>
        </w:tc>
        <w:tc>
          <w:tcPr>
            <w:tcW w:w="395" w:type="dxa"/>
            <w:tcBorders>
              <w:top w:val="nil"/>
              <w:left w:val="nil"/>
              <w:bottom w:val="single" w:color="auto" w:sz="4" w:space="0"/>
              <w:right w:val="single" w:color="auto" w:sz="4" w:space="0"/>
            </w:tcBorders>
            <w:noWrap w:val="0"/>
            <w:vAlign w:val="center"/>
          </w:tcPr>
          <w:p w14:paraId="466670B3">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6838" w:type="dxa"/>
            <w:tcBorders>
              <w:top w:val="nil"/>
              <w:left w:val="nil"/>
              <w:bottom w:val="single" w:color="auto" w:sz="4" w:space="0"/>
              <w:right w:val="single" w:color="auto" w:sz="4" w:space="0"/>
            </w:tcBorders>
            <w:noWrap w:val="0"/>
            <w:vAlign w:val="center"/>
          </w:tcPr>
          <w:p w14:paraId="2A94D2FF">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未按规章制度开展安全隐患排查工作，未建立隐患台账及隐患无整改措施</w:t>
            </w:r>
          </w:p>
        </w:tc>
        <w:tc>
          <w:tcPr>
            <w:tcW w:w="1276" w:type="dxa"/>
            <w:tcBorders>
              <w:top w:val="nil"/>
              <w:left w:val="nil"/>
              <w:bottom w:val="single" w:color="auto" w:sz="4" w:space="0"/>
              <w:right w:val="single" w:color="auto" w:sz="4" w:space="0"/>
            </w:tcBorders>
            <w:noWrap w:val="0"/>
            <w:vAlign w:val="center"/>
          </w:tcPr>
          <w:p w14:paraId="4A1FB513">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3000元</w:t>
            </w:r>
          </w:p>
        </w:tc>
        <w:tc>
          <w:tcPr>
            <w:tcW w:w="567" w:type="dxa"/>
            <w:tcBorders>
              <w:top w:val="nil"/>
              <w:left w:val="nil"/>
              <w:bottom w:val="single" w:color="auto" w:sz="4" w:space="0"/>
              <w:right w:val="single" w:color="auto" w:sz="4" w:space="0"/>
            </w:tcBorders>
            <w:noWrap w:val="0"/>
            <w:vAlign w:val="center"/>
          </w:tcPr>
          <w:p w14:paraId="74768D7E">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2CBC6345">
        <w:tblPrEx>
          <w:tblCellMar>
            <w:top w:w="0" w:type="dxa"/>
            <w:left w:w="108" w:type="dxa"/>
            <w:bottom w:w="0" w:type="dxa"/>
            <w:right w:w="108" w:type="dxa"/>
          </w:tblCellMar>
        </w:tblPrEx>
        <w:trPr>
          <w:trHeight w:val="660" w:hRule="atLeast"/>
        </w:trPr>
        <w:tc>
          <w:tcPr>
            <w:tcW w:w="564" w:type="dxa"/>
            <w:vMerge w:val="continue"/>
            <w:tcBorders>
              <w:top w:val="nil"/>
              <w:left w:val="single" w:color="auto" w:sz="4" w:space="0"/>
              <w:bottom w:val="single" w:color="auto" w:sz="4" w:space="0"/>
              <w:right w:val="single" w:color="auto" w:sz="4" w:space="0"/>
            </w:tcBorders>
            <w:noWrap w:val="0"/>
            <w:vAlign w:val="center"/>
          </w:tcPr>
          <w:p w14:paraId="5EFED990">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3460FDBD">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6838" w:type="dxa"/>
            <w:tcBorders>
              <w:top w:val="nil"/>
              <w:left w:val="nil"/>
              <w:bottom w:val="single" w:color="auto" w:sz="4" w:space="0"/>
              <w:right w:val="single" w:color="auto" w:sz="4" w:space="0"/>
            </w:tcBorders>
            <w:noWrap w:val="0"/>
            <w:vAlign w:val="center"/>
          </w:tcPr>
          <w:p w14:paraId="015F4ACB">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安全隐患未按时整改，隐患整改不到位，安全问题重复发生</w:t>
            </w:r>
          </w:p>
        </w:tc>
        <w:tc>
          <w:tcPr>
            <w:tcW w:w="1276" w:type="dxa"/>
            <w:tcBorders>
              <w:top w:val="nil"/>
              <w:left w:val="nil"/>
              <w:bottom w:val="single" w:color="auto" w:sz="4" w:space="0"/>
              <w:right w:val="single" w:color="auto" w:sz="4" w:space="0"/>
            </w:tcBorders>
            <w:noWrap w:val="0"/>
            <w:vAlign w:val="center"/>
          </w:tcPr>
          <w:p w14:paraId="4D151A21">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3000元</w:t>
            </w:r>
          </w:p>
        </w:tc>
        <w:tc>
          <w:tcPr>
            <w:tcW w:w="567" w:type="dxa"/>
            <w:tcBorders>
              <w:top w:val="nil"/>
              <w:left w:val="nil"/>
              <w:bottom w:val="single" w:color="auto" w:sz="4" w:space="0"/>
              <w:right w:val="single" w:color="auto" w:sz="4" w:space="0"/>
            </w:tcBorders>
            <w:noWrap w:val="0"/>
            <w:vAlign w:val="center"/>
          </w:tcPr>
          <w:p w14:paraId="0C37BDDC">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41000A97">
        <w:tblPrEx>
          <w:tblCellMar>
            <w:top w:w="0" w:type="dxa"/>
            <w:left w:w="108" w:type="dxa"/>
            <w:bottom w:w="0" w:type="dxa"/>
            <w:right w:w="108" w:type="dxa"/>
          </w:tblCellMar>
        </w:tblPrEx>
        <w:trPr>
          <w:trHeight w:val="600" w:hRule="atLeast"/>
        </w:trPr>
        <w:tc>
          <w:tcPr>
            <w:tcW w:w="564" w:type="dxa"/>
            <w:vMerge w:val="continue"/>
            <w:tcBorders>
              <w:top w:val="nil"/>
              <w:left w:val="single" w:color="auto" w:sz="4" w:space="0"/>
              <w:bottom w:val="single" w:color="auto" w:sz="4" w:space="0"/>
              <w:right w:val="single" w:color="auto" w:sz="4" w:space="0"/>
            </w:tcBorders>
            <w:noWrap w:val="0"/>
            <w:vAlign w:val="center"/>
          </w:tcPr>
          <w:p w14:paraId="6D37FE0C">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446CDC98">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6838" w:type="dxa"/>
            <w:tcBorders>
              <w:top w:val="nil"/>
              <w:left w:val="nil"/>
              <w:bottom w:val="single" w:color="auto" w:sz="4" w:space="0"/>
              <w:right w:val="single" w:color="auto" w:sz="4" w:space="0"/>
            </w:tcBorders>
            <w:noWrap w:val="0"/>
            <w:vAlign w:val="center"/>
          </w:tcPr>
          <w:p w14:paraId="5C2FA535">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无故不参加环卫中心安全生产相关会议、学习培训</w:t>
            </w:r>
          </w:p>
        </w:tc>
        <w:tc>
          <w:tcPr>
            <w:tcW w:w="1276" w:type="dxa"/>
            <w:tcBorders>
              <w:top w:val="nil"/>
              <w:left w:val="nil"/>
              <w:bottom w:val="single" w:color="auto" w:sz="4" w:space="0"/>
              <w:right w:val="single" w:color="auto" w:sz="4" w:space="0"/>
            </w:tcBorders>
            <w:noWrap w:val="0"/>
            <w:vAlign w:val="center"/>
          </w:tcPr>
          <w:p w14:paraId="0FB152C3">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1000元</w:t>
            </w:r>
          </w:p>
        </w:tc>
        <w:tc>
          <w:tcPr>
            <w:tcW w:w="567" w:type="dxa"/>
            <w:tcBorders>
              <w:top w:val="nil"/>
              <w:left w:val="nil"/>
              <w:bottom w:val="single" w:color="auto" w:sz="4" w:space="0"/>
              <w:right w:val="single" w:color="auto" w:sz="4" w:space="0"/>
            </w:tcBorders>
            <w:noWrap w:val="0"/>
            <w:vAlign w:val="center"/>
          </w:tcPr>
          <w:p w14:paraId="380E8375">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0711C5E3">
        <w:tblPrEx>
          <w:tblCellMar>
            <w:top w:w="0" w:type="dxa"/>
            <w:left w:w="108" w:type="dxa"/>
            <w:bottom w:w="0" w:type="dxa"/>
            <w:right w:w="108" w:type="dxa"/>
          </w:tblCellMar>
        </w:tblPrEx>
        <w:trPr>
          <w:trHeight w:val="840" w:hRule="atLeast"/>
        </w:trPr>
        <w:tc>
          <w:tcPr>
            <w:tcW w:w="564" w:type="dxa"/>
            <w:vMerge w:val="continue"/>
            <w:tcBorders>
              <w:top w:val="nil"/>
              <w:left w:val="single" w:color="auto" w:sz="4" w:space="0"/>
              <w:bottom w:val="single" w:color="auto" w:sz="4" w:space="0"/>
              <w:right w:val="single" w:color="auto" w:sz="4" w:space="0"/>
            </w:tcBorders>
            <w:noWrap w:val="0"/>
            <w:vAlign w:val="center"/>
          </w:tcPr>
          <w:p w14:paraId="6002EB52">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668C363D">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6838" w:type="dxa"/>
            <w:tcBorders>
              <w:top w:val="nil"/>
              <w:left w:val="nil"/>
              <w:bottom w:val="single" w:color="auto" w:sz="4" w:space="0"/>
              <w:right w:val="single" w:color="auto" w:sz="4" w:space="0"/>
            </w:tcBorders>
            <w:noWrap w:val="0"/>
            <w:vAlign w:val="center"/>
          </w:tcPr>
          <w:p w14:paraId="00A50263">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道路清扫保洁作业时，发生主责亡人交通事故，对社会造成不良影响</w:t>
            </w:r>
          </w:p>
        </w:tc>
        <w:tc>
          <w:tcPr>
            <w:tcW w:w="1276" w:type="dxa"/>
            <w:tcBorders>
              <w:top w:val="nil"/>
              <w:left w:val="nil"/>
              <w:bottom w:val="single" w:color="auto" w:sz="4" w:space="0"/>
              <w:right w:val="single" w:color="auto" w:sz="4" w:space="0"/>
            </w:tcBorders>
            <w:noWrap/>
            <w:vAlign w:val="center"/>
          </w:tcPr>
          <w:p w14:paraId="2DEFE703">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20000元</w:t>
            </w:r>
          </w:p>
        </w:tc>
        <w:tc>
          <w:tcPr>
            <w:tcW w:w="567" w:type="dxa"/>
            <w:tcBorders>
              <w:top w:val="nil"/>
              <w:left w:val="nil"/>
              <w:bottom w:val="single" w:color="auto" w:sz="4" w:space="0"/>
              <w:right w:val="single" w:color="auto" w:sz="4" w:space="0"/>
            </w:tcBorders>
            <w:noWrap w:val="0"/>
            <w:vAlign w:val="center"/>
          </w:tcPr>
          <w:p w14:paraId="4315AA3C">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7824594A">
        <w:tblPrEx>
          <w:tblCellMar>
            <w:top w:w="0" w:type="dxa"/>
            <w:left w:w="108" w:type="dxa"/>
            <w:bottom w:w="0" w:type="dxa"/>
            <w:right w:w="108" w:type="dxa"/>
          </w:tblCellMar>
        </w:tblPrEx>
        <w:trPr>
          <w:trHeight w:val="840" w:hRule="atLeast"/>
        </w:trPr>
        <w:tc>
          <w:tcPr>
            <w:tcW w:w="564" w:type="dxa"/>
            <w:vMerge w:val="continue"/>
            <w:tcBorders>
              <w:top w:val="nil"/>
              <w:left w:val="single" w:color="auto" w:sz="4" w:space="0"/>
              <w:bottom w:val="single" w:color="auto" w:sz="4" w:space="0"/>
              <w:right w:val="single" w:color="auto" w:sz="4" w:space="0"/>
            </w:tcBorders>
            <w:noWrap w:val="0"/>
            <w:vAlign w:val="center"/>
          </w:tcPr>
          <w:p w14:paraId="3CC1178D">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14810756">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6838" w:type="dxa"/>
            <w:tcBorders>
              <w:top w:val="nil"/>
              <w:left w:val="nil"/>
              <w:bottom w:val="single" w:color="auto" w:sz="4" w:space="0"/>
              <w:right w:val="single" w:color="auto" w:sz="4" w:space="0"/>
            </w:tcBorders>
            <w:noWrap w:val="0"/>
            <w:vAlign w:val="center"/>
          </w:tcPr>
          <w:p w14:paraId="58A1C582">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安全生产管理、职责履行不到位，发生安全生产事故，未造成人员伤亡，造成的财产损在5万元以下</w:t>
            </w:r>
          </w:p>
        </w:tc>
        <w:tc>
          <w:tcPr>
            <w:tcW w:w="1276" w:type="dxa"/>
            <w:tcBorders>
              <w:top w:val="nil"/>
              <w:left w:val="nil"/>
              <w:bottom w:val="single" w:color="auto" w:sz="4" w:space="0"/>
              <w:right w:val="single" w:color="auto" w:sz="4" w:space="0"/>
            </w:tcBorders>
            <w:noWrap w:val="0"/>
            <w:vAlign w:val="center"/>
          </w:tcPr>
          <w:p w14:paraId="77776591">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50000元</w:t>
            </w:r>
          </w:p>
        </w:tc>
        <w:tc>
          <w:tcPr>
            <w:tcW w:w="567" w:type="dxa"/>
            <w:tcBorders>
              <w:top w:val="nil"/>
              <w:left w:val="nil"/>
              <w:bottom w:val="single" w:color="auto" w:sz="4" w:space="0"/>
              <w:right w:val="single" w:color="auto" w:sz="4" w:space="0"/>
            </w:tcBorders>
            <w:noWrap w:val="0"/>
            <w:vAlign w:val="center"/>
          </w:tcPr>
          <w:p w14:paraId="50ACD57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0004F35A">
        <w:tblPrEx>
          <w:tblCellMar>
            <w:top w:w="0" w:type="dxa"/>
            <w:left w:w="108" w:type="dxa"/>
            <w:bottom w:w="0" w:type="dxa"/>
            <w:right w:w="108" w:type="dxa"/>
          </w:tblCellMar>
        </w:tblPrEx>
        <w:trPr>
          <w:trHeight w:val="859" w:hRule="atLeast"/>
        </w:trPr>
        <w:tc>
          <w:tcPr>
            <w:tcW w:w="564" w:type="dxa"/>
            <w:vMerge w:val="continue"/>
            <w:tcBorders>
              <w:top w:val="nil"/>
              <w:left w:val="single" w:color="auto" w:sz="4" w:space="0"/>
              <w:bottom w:val="single" w:color="auto" w:sz="4" w:space="0"/>
              <w:right w:val="single" w:color="auto" w:sz="4" w:space="0"/>
            </w:tcBorders>
            <w:noWrap w:val="0"/>
            <w:vAlign w:val="center"/>
          </w:tcPr>
          <w:p w14:paraId="3A2D8798">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63D225DE">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6838" w:type="dxa"/>
            <w:tcBorders>
              <w:top w:val="nil"/>
              <w:left w:val="nil"/>
              <w:bottom w:val="single" w:color="auto" w:sz="4" w:space="0"/>
              <w:right w:val="single" w:color="auto" w:sz="4" w:space="0"/>
            </w:tcBorders>
            <w:noWrap w:val="0"/>
            <w:vAlign w:val="center"/>
          </w:tcPr>
          <w:p w14:paraId="2BA50712">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安全生产管理、职责履行不到位，发生安全生产事故，未造成人员伤亡，造成的财产损失达5万元的</w:t>
            </w:r>
          </w:p>
        </w:tc>
        <w:tc>
          <w:tcPr>
            <w:tcW w:w="1276" w:type="dxa"/>
            <w:tcBorders>
              <w:top w:val="nil"/>
              <w:left w:val="nil"/>
              <w:bottom w:val="single" w:color="auto" w:sz="4" w:space="0"/>
              <w:right w:val="single" w:color="auto" w:sz="4" w:space="0"/>
            </w:tcBorders>
            <w:noWrap w:val="0"/>
            <w:vAlign w:val="center"/>
          </w:tcPr>
          <w:p w14:paraId="1CA81DED">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按财产损失值处罚</w:t>
            </w:r>
          </w:p>
        </w:tc>
        <w:tc>
          <w:tcPr>
            <w:tcW w:w="567" w:type="dxa"/>
            <w:tcBorders>
              <w:top w:val="nil"/>
              <w:left w:val="nil"/>
              <w:bottom w:val="single" w:color="auto" w:sz="4" w:space="0"/>
              <w:right w:val="single" w:color="auto" w:sz="4" w:space="0"/>
            </w:tcBorders>
            <w:noWrap w:val="0"/>
            <w:vAlign w:val="center"/>
          </w:tcPr>
          <w:p w14:paraId="5B6E995E">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14:paraId="4A30CCE6">
        <w:tblPrEx>
          <w:tblCellMar>
            <w:top w:w="0" w:type="dxa"/>
            <w:left w:w="108" w:type="dxa"/>
            <w:bottom w:w="0" w:type="dxa"/>
            <w:right w:w="108" w:type="dxa"/>
          </w:tblCellMar>
        </w:tblPrEx>
        <w:trPr>
          <w:trHeight w:val="919" w:hRule="atLeast"/>
        </w:trPr>
        <w:tc>
          <w:tcPr>
            <w:tcW w:w="564" w:type="dxa"/>
            <w:vMerge w:val="continue"/>
            <w:tcBorders>
              <w:top w:val="nil"/>
              <w:left w:val="single" w:color="auto" w:sz="4" w:space="0"/>
              <w:bottom w:val="single" w:color="auto" w:sz="4" w:space="0"/>
              <w:right w:val="single" w:color="auto" w:sz="4" w:space="0"/>
            </w:tcBorders>
            <w:noWrap w:val="0"/>
            <w:vAlign w:val="center"/>
          </w:tcPr>
          <w:p w14:paraId="208E6570">
            <w:pPr>
              <w:widowControl/>
              <w:jc w:val="left"/>
              <w:rPr>
                <w:rFonts w:hint="eastAsia" w:ascii="宋体" w:hAnsi="宋体" w:eastAsia="宋体" w:cs="宋体"/>
                <w:color w:val="000000"/>
                <w:kern w:val="0"/>
                <w:sz w:val="24"/>
                <w:szCs w:val="24"/>
              </w:rPr>
            </w:pPr>
          </w:p>
        </w:tc>
        <w:tc>
          <w:tcPr>
            <w:tcW w:w="395" w:type="dxa"/>
            <w:tcBorders>
              <w:top w:val="nil"/>
              <w:left w:val="nil"/>
              <w:bottom w:val="single" w:color="auto" w:sz="4" w:space="0"/>
              <w:right w:val="single" w:color="auto" w:sz="4" w:space="0"/>
            </w:tcBorders>
            <w:noWrap w:val="0"/>
            <w:vAlign w:val="center"/>
          </w:tcPr>
          <w:p w14:paraId="3BFF6CCD">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6838" w:type="dxa"/>
            <w:tcBorders>
              <w:top w:val="nil"/>
              <w:left w:val="nil"/>
              <w:bottom w:val="single" w:color="auto" w:sz="4" w:space="0"/>
              <w:right w:val="single" w:color="auto" w:sz="4" w:space="0"/>
            </w:tcBorders>
            <w:noWrap w:val="0"/>
            <w:vAlign w:val="center"/>
          </w:tcPr>
          <w:p w14:paraId="1636D5CD">
            <w:pPr>
              <w:widowControl/>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安全生产管理、职责履行不到位，发生安全生产事故，事故等级达到安全生产一般事故标准</w:t>
            </w:r>
          </w:p>
        </w:tc>
        <w:tc>
          <w:tcPr>
            <w:tcW w:w="1276" w:type="dxa"/>
            <w:tcBorders>
              <w:top w:val="nil"/>
              <w:left w:val="nil"/>
              <w:bottom w:val="single" w:color="auto" w:sz="4" w:space="0"/>
              <w:right w:val="single" w:color="auto" w:sz="4" w:space="0"/>
            </w:tcBorders>
            <w:noWrap w:val="0"/>
            <w:vAlign w:val="center"/>
          </w:tcPr>
          <w:p w14:paraId="01570FCF">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50000元，并解除合同</w:t>
            </w:r>
          </w:p>
        </w:tc>
        <w:tc>
          <w:tcPr>
            <w:tcW w:w="567" w:type="dxa"/>
            <w:tcBorders>
              <w:top w:val="nil"/>
              <w:left w:val="nil"/>
              <w:bottom w:val="single" w:color="auto" w:sz="4" w:space="0"/>
              <w:right w:val="single" w:color="auto" w:sz="4" w:space="0"/>
            </w:tcBorders>
            <w:noWrap w:val="0"/>
            <w:vAlign w:val="center"/>
          </w:tcPr>
          <w:p w14:paraId="1C7C4B94">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bl>
    <w:p w14:paraId="1FA32F05">
      <w:pPr>
        <w:spacing w:line="360" w:lineRule="auto"/>
        <w:rPr>
          <w:rFonts w:hint="eastAsia" w:ascii="仿宋_GB2312" w:hAnsi="宋体" w:eastAsia="仿宋_GB2312"/>
          <w:b/>
          <w:sz w:val="28"/>
          <w:szCs w:val="28"/>
        </w:rPr>
      </w:pPr>
    </w:p>
    <w:p w14:paraId="32AD6BD7">
      <w:pPr>
        <w:spacing w:line="360" w:lineRule="auto"/>
        <w:ind w:firstLine="280" w:firstLineChars="100"/>
        <w:rPr>
          <w:rFonts w:hint="eastAsia" w:ascii="宋体" w:hAnsi="宋体" w:eastAsia="宋体" w:cs="宋体"/>
          <w:kern w:val="2"/>
          <w:sz w:val="28"/>
          <w:szCs w:val="28"/>
        </w:rPr>
      </w:pPr>
    </w:p>
    <w:bookmarkEnd w:id="93"/>
    <w:p w14:paraId="7E2BE5C9"/>
    <w:bookmarkEnd w:id="94"/>
    <w:bookmarkEnd w:id="95"/>
    <w:bookmarkEnd w:id="96"/>
    <w:p w14:paraId="76C708B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5C63CF70">
      <w:pPr>
        <w:pStyle w:val="7"/>
        <w:keepNext w:val="0"/>
        <w:keepLines w:val="0"/>
        <w:pageBreakBefore w:val="0"/>
        <w:widowControl/>
        <w:kinsoku/>
        <w:wordWrap/>
        <w:overflowPunct/>
        <w:topLinePunct w:val="0"/>
        <w:autoSpaceDE/>
        <w:autoSpaceDN/>
        <w:bidi w:val="0"/>
        <w:adjustRightInd w:val="0"/>
        <w:snapToGrid w:val="0"/>
        <w:spacing w:before="353" w:line="219" w:lineRule="auto"/>
        <w:ind w:left="2654"/>
        <w:textAlignment w:val="baseline"/>
        <w:outlineLvl w:val="0"/>
        <w:rPr>
          <w:rFonts w:hint="eastAsia" w:ascii="宋体" w:hAnsi="宋体" w:eastAsia="宋体" w:cs="宋体"/>
          <w:spacing w:val="0"/>
          <w:w w:val="100"/>
          <w:position w:val="0"/>
          <w:sz w:val="36"/>
          <w:szCs w:val="36"/>
        </w:rPr>
      </w:pPr>
      <w:bookmarkStart w:id="97" w:name="_Toc2416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投标文件格式</w:t>
      </w:r>
      <w:bookmarkEnd w:id="97"/>
    </w:p>
    <w:p w14:paraId="24E8C433">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14:paraId="2DB8B9D2">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14:paraId="18520E41">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投标人编制文件须知</w:t>
      </w:r>
    </w:p>
    <w:p w14:paraId="635746E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1、投标人按照本部分的顺序编制投标文件（资格证明文件）、投标文件（商务技术文件），编制中涉及格式资料的，应按照本部分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供的内容和格式（所有表格的格式可扩展）填写</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w:t>
      </w:r>
    </w:p>
    <w:p w14:paraId="6964C0F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。未标记“实质性格式”的文件和招标文件未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供格式的内容，可由投标人自行编写。</w:t>
      </w:r>
    </w:p>
    <w:p w14:paraId="5E66F78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3、全部声明和问题的回答及所附材料必须是真实的、准确的和完整的。</w:t>
      </w:r>
    </w:p>
    <w:p w14:paraId="564CBD8C">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61E93726">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2FFD4C80">
      <w:pPr>
        <w:pStyle w:val="7"/>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98" w:name="_Toc1466"/>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一、资格证明文件格式</w:t>
      </w:r>
      <w:bookmarkEnd w:id="98"/>
    </w:p>
    <w:p w14:paraId="6D84394D">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14:paraId="7B5FF61F">
      <w:pPr>
        <w:pStyle w:val="7"/>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投标文件（资格证明</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文件）封面（非实质性格式）</w:t>
      </w:r>
    </w:p>
    <w:p w14:paraId="14408B12">
      <w:pPr>
        <w:pStyle w:val="7"/>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99" w:name="_Toc7775"/>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99"/>
    </w:p>
    <w:p w14:paraId="1B3948C3">
      <w:pPr>
        <w:pStyle w:val="7"/>
        <w:keepNext w:val="0"/>
        <w:keepLines w:val="0"/>
        <w:pageBreakBefore w:val="0"/>
        <w:widowControl/>
        <w:kinsoku/>
        <w:wordWrap/>
        <w:overflowPunct/>
        <w:topLinePunct w:val="0"/>
        <w:autoSpaceDE/>
        <w:autoSpaceDN/>
        <w:bidi w:val="0"/>
        <w:adjustRightInd w:val="0"/>
        <w:snapToGrid w:val="0"/>
        <w:spacing w:before="0" w:beforeLines="245" w:line="221" w:lineRule="auto"/>
        <w:ind w:left="0" w:leftChars="0" w:firstLine="0" w:firstLineChars="0"/>
        <w:jc w:val="center"/>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（资</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格</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证</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明</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14:paraId="045F2C24">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632798CF">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3C8198ED">
      <w:pPr>
        <w:pStyle w:val="7"/>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14:paraId="20FD9F53">
      <w:pPr>
        <w:pStyle w:val="7"/>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r>
        <w:rPr>
          <w:rFonts w:hint="eastAsia" w:ascii="宋体" w:hAnsi="宋体" w:eastAsia="宋体" w:cs="宋体"/>
          <w:b/>
          <w:bCs/>
          <w:spacing w:val="0"/>
          <w:w w:val="100"/>
          <w:position w:val="0"/>
        </w:rPr>
        <w:t>/</w:t>
      </w: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包号：</w:t>
      </w:r>
    </w:p>
    <w:p w14:paraId="5DC9A68C">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4A9775BD">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03E5EBE9">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1722D685">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6AA39B12">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6A093667">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6A6BB8B">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1A65DF8A">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5C4235B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7A2338E6">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2C26B7D7">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701E6EAB">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2809069">
      <w:pPr>
        <w:pStyle w:val="7"/>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14:paraId="4E5889CF">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4FE81E99">
      <w:pPr>
        <w:pStyle w:val="7"/>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100" w:name="_Toc17839"/>
      <w:r>
        <w:rPr>
          <w:rFonts w:hint="eastAsia" w:ascii="宋体" w:hAnsi="宋体" w:eastAsia="宋体" w:cs="宋体"/>
          <w:spacing w:val="0"/>
          <w:w w:val="100"/>
          <w:position w:val="0"/>
          <w:sz w:val="24"/>
          <w:szCs w:val="24"/>
        </w:rPr>
        <w:t>1   满足《中华人民共和国政府采购法》第二十二条规定</w:t>
      </w:r>
      <w:bookmarkEnd w:id="100"/>
    </w:p>
    <w:p w14:paraId="07B7E372">
      <w:pPr>
        <w:pStyle w:val="7"/>
        <w:keepNext w:val="0"/>
        <w:keepLines w:val="0"/>
        <w:pageBreakBefore w:val="0"/>
        <w:widowControl/>
        <w:kinsoku/>
        <w:wordWrap/>
        <w:overflowPunct/>
        <w:topLinePunct w:val="0"/>
        <w:autoSpaceDE/>
        <w:autoSpaceDN/>
        <w:bidi w:val="0"/>
        <w:adjustRightInd w:val="0"/>
        <w:snapToGrid w:val="0"/>
        <w:spacing w:before="180" w:line="220" w:lineRule="auto"/>
        <w:ind w:left="26"/>
        <w:textAlignment w:val="baseline"/>
        <w:outlineLvl w:val="2"/>
        <w:rPr>
          <w:rFonts w:hint="eastAsia" w:ascii="宋体" w:hAnsi="宋体" w:eastAsia="宋体" w:cs="宋体"/>
          <w:spacing w:val="0"/>
          <w:w w:val="100"/>
          <w:position w:val="0"/>
          <w:sz w:val="24"/>
          <w:szCs w:val="24"/>
        </w:rPr>
      </w:pPr>
      <w:bookmarkStart w:id="101" w:name="_Toc25714"/>
      <w:r>
        <w:rPr>
          <w:rFonts w:hint="eastAsia" w:ascii="宋体" w:hAnsi="宋体" w:eastAsia="宋体" w:cs="宋体"/>
          <w:spacing w:val="0"/>
          <w:w w:val="100"/>
          <w:position w:val="0"/>
          <w:sz w:val="24"/>
          <w:szCs w:val="24"/>
        </w:rPr>
        <w:t>1-1  营业执照等证明文件</w:t>
      </w:r>
      <w:bookmarkEnd w:id="101"/>
    </w:p>
    <w:p w14:paraId="372508FD">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1FB858E8">
      <w:pPr>
        <w:pStyle w:val="7"/>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投标人资格声明书</w:t>
      </w:r>
    </w:p>
    <w:p w14:paraId="3F976882">
      <w:pPr>
        <w:pStyle w:val="7"/>
        <w:keepNext w:val="0"/>
        <w:keepLines w:val="0"/>
        <w:pageBreakBefore w:val="0"/>
        <w:widowControl/>
        <w:kinsoku/>
        <w:wordWrap/>
        <w:overflowPunct/>
        <w:topLinePunct w:val="0"/>
        <w:autoSpaceDE/>
        <w:autoSpaceDN/>
        <w:bidi w:val="0"/>
        <w:adjustRightInd w:val="0"/>
        <w:snapToGrid w:val="0"/>
        <w:spacing w:before="164" w:line="219" w:lineRule="auto"/>
        <w:ind w:left="3110"/>
        <w:textAlignment w:val="baseline"/>
        <w:outlineLvl w:val="2"/>
        <w:rPr>
          <w:rFonts w:hint="eastAsia" w:ascii="宋体" w:hAnsi="宋体" w:eastAsia="宋体" w:cs="宋体"/>
          <w:spacing w:val="0"/>
          <w:w w:val="100"/>
          <w:position w:val="0"/>
          <w:sz w:val="36"/>
          <w:szCs w:val="36"/>
        </w:rPr>
      </w:pPr>
      <w:bookmarkStart w:id="102" w:name="_Toc20676"/>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投标人资格声明书</w:t>
      </w:r>
      <w:bookmarkEnd w:id="102"/>
    </w:p>
    <w:p w14:paraId="087F4B3F">
      <w:pPr>
        <w:keepNext w:val="0"/>
        <w:keepLines w:val="0"/>
        <w:pageBreakBefore w:val="0"/>
        <w:widowControl/>
        <w:kinsoku/>
        <w:wordWrap/>
        <w:overflowPunct/>
        <w:topLinePunct w:val="0"/>
        <w:autoSpaceDE/>
        <w:autoSpaceDN/>
        <w:bidi w:val="0"/>
        <w:adjustRightInd w:val="0"/>
        <w:snapToGrid w:val="0"/>
        <w:spacing w:line="361" w:lineRule="auto"/>
        <w:textAlignment w:val="baseline"/>
        <w:rPr>
          <w:rFonts w:hint="eastAsia" w:ascii="宋体" w:hAnsi="宋体" w:eastAsia="宋体" w:cs="宋体"/>
          <w:spacing w:val="0"/>
          <w:w w:val="100"/>
          <w:position w:val="0"/>
          <w:sz w:val="21"/>
        </w:rPr>
      </w:pPr>
    </w:p>
    <w:p w14:paraId="3F8B1193">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23CE2B4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在参与本次项目投标中，我单位承诺：</w:t>
      </w:r>
    </w:p>
    <w:p w14:paraId="3264E1A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（一）具有良好的商业信誉和健全的财务会计制度；</w:t>
      </w:r>
    </w:p>
    <w:p w14:paraId="05F2BB6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（二）具有履行合同所必需的设备和专业技术能力；</w:t>
      </w:r>
    </w:p>
    <w:p w14:paraId="4895DE2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（三）有依法缴纳税收和社会保障资金的良好记录；</w:t>
      </w:r>
    </w:p>
    <w:p w14:paraId="7F3A4261">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339115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（五）我单位不属于政府采购法律、行政法规规定的公益一类事业单位、或使用事业编制且由财政拨款保障的群团组织（仅适用于政府购买服务项目）；</w:t>
      </w:r>
    </w:p>
    <w:p w14:paraId="402A750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（六）我单位不存在为采购项目</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供整体设计、规范编制或者项目管理、监理、检测等服务后，再参加该采购项目的其他采购活动的情形（单一来源采购项目除外）；</w:t>
      </w:r>
    </w:p>
    <w:p w14:paraId="5342E74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（七）与我单位存在“单位负责人为同一人或者存在直接控股、管理关系”的其他法人单位信息如下（如有，不论其是否参加同一合同项下的政府采购活动均须填写）：</w:t>
      </w:r>
    </w:p>
    <w:p w14:paraId="16F2CAF1">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5"/>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23750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14:paraId="1362D34D">
            <w:pPr>
              <w:pStyle w:val="26"/>
              <w:keepNext w:val="0"/>
              <w:keepLines w:val="0"/>
              <w:pageBreakBefore w:val="0"/>
              <w:widowControl/>
              <w:kinsoku/>
              <w:wordWrap/>
              <w:overflowPunct/>
              <w:topLinePunct w:val="0"/>
              <w:autoSpaceDE/>
              <w:autoSpaceDN/>
              <w:bidi w:val="0"/>
              <w:adjustRightInd w:val="0"/>
              <w:snapToGrid w:val="0"/>
              <w:spacing w:before="100" w:line="222" w:lineRule="auto"/>
              <w:ind w:left="24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4571" w:type="dxa"/>
            <w:vAlign w:val="top"/>
          </w:tcPr>
          <w:p w14:paraId="2B28898D">
            <w:pPr>
              <w:pStyle w:val="26"/>
              <w:keepNext w:val="0"/>
              <w:keepLines w:val="0"/>
              <w:pageBreakBefore w:val="0"/>
              <w:widowControl/>
              <w:kinsoku/>
              <w:wordWrap/>
              <w:overflowPunct/>
              <w:topLinePunct w:val="0"/>
              <w:autoSpaceDE/>
              <w:autoSpaceDN/>
              <w:bidi w:val="0"/>
              <w:adjustRightInd w:val="0"/>
              <w:snapToGrid w:val="0"/>
              <w:spacing w:before="101" w:line="221" w:lineRule="auto"/>
              <w:ind w:left="1814"/>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单位名称</w:t>
            </w:r>
          </w:p>
        </w:tc>
        <w:tc>
          <w:tcPr>
            <w:tcW w:w="2979" w:type="dxa"/>
            <w:vAlign w:val="top"/>
          </w:tcPr>
          <w:p w14:paraId="2942A9DC">
            <w:pPr>
              <w:pStyle w:val="26"/>
              <w:keepNext w:val="0"/>
              <w:keepLines w:val="0"/>
              <w:pageBreakBefore w:val="0"/>
              <w:widowControl/>
              <w:kinsoku/>
              <w:wordWrap/>
              <w:overflowPunct/>
              <w:topLinePunct w:val="0"/>
              <w:autoSpaceDE/>
              <w:autoSpaceDN/>
              <w:bidi w:val="0"/>
              <w:adjustRightInd w:val="0"/>
              <w:snapToGrid w:val="0"/>
              <w:spacing w:before="101" w:line="221" w:lineRule="auto"/>
              <w:ind w:left="1017"/>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相互关系</w:t>
            </w:r>
          </w:p>
        </w:tc>
      </w:tr>
      <w:tr w14:paraId="5AF1B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687334C7">
            <w:pPr>
              <w:keepNext w:val="0"/>
              <w:keepLines w:val="0"/>
              <w:pageBreakBefore w:val="0"/>
              <w:widowControl/>
              <w:kinsoku/>
              <w:wordWrap/>
              <w:overflowPunct/>
              <w:topLinePunct w:val="0"/>
              <w:autoSpaceDE/>
              <w:autoSpaceDN/>
              <w:bidi w:val="0"/>
              <w:adjustRightInd w:val="0"/>
              <w:snapToGrid w:val="0"/>
              <w:spacing w:before="119" w:line="199" w:lineRule="auto"/>
              <w:ind w:left="42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4571" w:type="dxa"/>
            <w:vAlign w:val="top"/>
          </w:tcPr>
          <w:p w14:paraId="0EE48DB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6241FE2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55CB6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vAlign w:val="top"/>
          </w:tcPr>
          <w:p w14:paraId="70B7995B">
            <w:pPr>
              <w:keepNext w:val="0"/>
              <w:keepLines w:val="0"/>
              <w:pageBreakBefore w:val="0"/>
              <w:widowControl/>
              <w:kinsoku/>
              <w:wordWrap/>
              <w:overflowPunct/>
              <w:topLinePunct w:val="0"/>
              <w:autoSpaceDE/>
              <w:autoSpaceDN/>
              <w:bidi w:val="0"/>
              <w:adjustRightInd w:val="0"/>
              <w:snapToGrid w:val="0"/>
              <w:spacing w:before="120" w:line="201" w:lineRule="auto"/>
              <w:ind w:left="41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4571" w:type="dxa"/>
            <w:vAlign w:val="top"/>
          </w:tcPr>
          <w:p w14:paraId="30C8363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286E2FC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64A21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07107CB1">
            <w:pPr>
              <w:keepNext w:val="0"/>
              <w:keepLines w:val="0"/>
              <w:pageBreakBefore w:val="0"/>
              <w:widowControl/>
              <w:kinsoku/>
              <w:wordWrap/>
              <w:overflowPunct/>
              <w:topLinePunct w:val="0"/>
              <w:autoSpaceDE/>
              <w:autoSpaceDN/>
              <w:bidi w:val="0"/>
              <w:adjustRightInd w:val="0"/>
              <w:snapToGrid w:val="0"/>
              <w:spacing w:before="271" w:line="81" w:lineRule="exact"/>
              <w:ind w:left="38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4571" w:type="dxa"/>
            <w:vAlign w:val="top"/>
          </w:tcPr>
          <w:p w14:paraId="13B08A6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08FAEF0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7BAC3969">
      <w:pPr>
        <w:pStyle w:val="7"/>
        <w:keepNext w:val="0"/>
        <w:keepLines w:val="0"/>
        <w:pageBreakBefore w:val="0"/>
        <w:widowControl/>
        <w:kinsoku/>
        <w:wordWrap/>
        <w:overflowPunct/>
        <w:topLinePunct w:val="0"/>
        <w:autoSpaceDE/>
        <w:autoSpaceDN/>
        <w:bidi w:val="0"/>
        <w:adjustRightInd w:val="0"/>
        <w:snapToGrid w:val="0"/>
        <w:spacing w:before="281" w:line="220" w:lineRule="auto"/>
        <w:ind w:left="49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上述声明真实有效，否则我方负全部责任。</w:t>
      </w:r>
    </w:p>
    <w:p w14:paraId="6B845BF0">
      <w:pPr>
        <w:keepNext w:val="0"/>
        <w:keepLines w:val="0"/>
        <w:pageBreakBefore w:val="0"/>
        <w:widowControl/>
        <w:kinsoku/>
        <w:wordWrap/>
        <w:overflowPunct/>
        <w:topLinePunct w:val="0"/>
        <w:autoSpaceDE/>
        <w:autoSpaceDN/>
        <w:bidi w:val="0"/>
        <w:adjustRightInd w:val="0"/>
        <w:snapToGrid w:val="0"/>
        <w:spacing w:line="389" w:lineRule="auto"/>
        <w:textAlignment w:val="baseline"/>
        <w:rPr>
          <w:rFonts w:hint="eastAsia" w:ascii="宋体" w:hAnsi="宋体" w:eastAsia="宋体" w:cs="宋体"/>
          <w:spacing w:val="0"/>
          <w:w w:val="100"/>
          <w:position w:val="0"/>
          <w:sz w:val="21"/>
        </w:rPr>
      </w:pPr>
    </w:p>
    <w:p w14:paraId="7D8BC09E">
      <w:pPr>
        <w:pStyle w:val="7"/>
        <w:keepNext w:val="0"/>
        <w:keepLines w:val="0"/>
        <w:pageBreakBefore w:val="0"/>
        <w:widowControl/>
        <w:kinsoku/>
        <w:wordWrap/>
        <w:overflowPunct/>
        <w:topLinePunct w:val="0"/>
        <w:autoSpaceDE/>
        <w:autoSpaceDN/>
        <w:bidi w:val="0"/>
        <w:adjustRightInd w:val="0"/>
        <w:snapToGrid w:val="0"/>
        <w:spacing w:before="79" w:line="219" w:lineRule="auto"/>
        <w:ind w:left="440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u w:val="single" w:color="auto"/>
        </w:rPr>
        <w:t xml:space="preserve">     </w:t>
      </w:r>
    </w:p>
    <w:p w14:paraId="4DD1281B">
      <w:pPr>
        <w:pStyle w:val="7"/>
        <w:keepNext w:val="0"/>
        <w:keepLines w:val="0"/>
        <w:pageBreakBefore w:val="0"/>
        <w:widowControl/>
        <w:kinsoku/>
        <w:wordWrap/>
        <w:overflowPunct/>
        <w:topLinePunct w:val="0"/>
        <w:autoSpaceDE/>
        <w:autoSpaceDN/>
        <w:bidi w:val="0"/>
        <w:adjustRightInd w:val="0"/>
        <w:snapToGrid w:val="0"/>
        <w:spacing w:before="207" w:line="359" w:lineRule="auto"/>
        <w:ind w:right="34"/>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64A90BF1">
      <w:pPr>
        <w:pStyle w:val="7"/>
        <w:keepNext w:val="0"/>
        <w:keepLines w:val="0"/>
        <w:pageBreakBefore w:val="0"/>
        <w:widowControl/>
        <w:kinsoku/>
        <w:wordWrap/>
        <w:overflowPunct/>
        <w:topLinePunct w:val="0"/>
        <w:autoSpaceDE/>
        <w:autoSpaceDN/>
        <w:bidi w:val="0"/>
        <w:adjustRightInd w:val="0"/>
        <w:snapToGrid w:val="0"/>
        <w:spacing w:before="207" w:line="359" w:lineRule="auto"/>
        <w:ind w:right="3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说明：供应商承诺不实的，依据《政府采购法》第七十七条“</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供虚假材料谋取中标、成交的”有关规定予以处理。</w:t>
      </w:r>
    </w:p>
    <w:p w14:paraId="37DB3A09">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121AB7B4">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3" w:name="_Toc24046"/>
      <w:r>
        <w:rPr>
          <w:rFonts w:hint="eastAsia" w:ascii="宋体" w:hAnsi="宋体" w:eastAsia="宋体" w:cs="宋体"/>
          <w:spacing w:val="0"/>
          <w:w w:val="100"/>
          <w:position w:val="0"/>
          <w:sz w:val="24"/>
          <w:szCs w:val="24"/>
        </w:rPr>
        <w:t>2   落实政府采购政策需满足的资格要求（如有）</w:t>
      </w:r>
      <w:bookmarkEnd w:id="103"/>
    </w:p>
    <w:p w14:paraId="47AFB33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4" w:name="_Toc31806"/>
      <w:r>
        <w:rPr>
          <w:rFonts w:hint="eastAsia" w:ascii="宋体" w:hAnsi="宋体" w:eastAsia="宋体" w:cs="宋体"/>
          <w:spacing w:val="0"/>
          <w:w w:val="100"/>
          <w:position w:val="0"/>
          <w:sz w:val="24"/>
          <w:szCs w:val="24"/>
        </w:rPr>
        <w:t>2-1  中小企业证明文件</w:t>
      </w:r>
      <w:bookmarkEnd w:id="104"/>
    </w:p>
    <w:p w14:paraId="1EC36FC0">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22DF4DA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（1）如本项目（包）不专门面向中小企业预留采购份额，资格证明文件部分无需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17D578E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（2）如本项目（包）专门面向中小企业采购，投标文件中须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5A2401E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（3）如本项目（包）预留部分采购项目预算专门面向中小企业采购，且要求获得采购合同的供应商将采购项目中的一定比例分包给一家或者多家中小企业的，投标文件中除须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供《拟分包情况说明》及《分包意向协议》，且建议在资格证明文件部分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638A8DF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（4）如本项目（包）预留部分采购项目预算专门面向中小企业采购，且要求供应商以联合体形式参加采购活动，投标文件中除须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 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供《联合协议》；上述文件建议在资格证明文件部分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54ED174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（5）中小企业声明函填写注意事项</w:t>
      </w:r>
    </w:p>
    <w:p w14:paraId="7DE96D0F">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1）《中小企业声明函》由参加政府采购活动的投标人出具。联合体投标的，《中小企业声明函》可由牵头人出具。</w:t>
      </w:r>
    </w:p>
    <w:p w14:paraId="4CC1F04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14:paraId="0443C8D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14:paraId="6AFFA18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14:paraId="1B4FB02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w:t>
      </w:r>
    </w:p>
    <w:p w14:paraId="3713628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0BF0C657">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6C48B5F7">
      <w:pPr>
        <w:pStyle w:val="7"/>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2"/>
        <w:rPr>
          <w:rFonts w:hint="eastAsia" w:ascii="宋体" w:hAnsi="宋体" w:eastAsia="宋体" w:cs="宋体"/>
          <w:spacing w:val="0"/>
          <w:w w:val="100"/>
          <w:position w:val="0"/>
          <w:sz w:val="24"/>
          <w:szCs w:val="24"/>
        </w:rPr>
      </w:pPr>
      <w:bookmarkStart w:id="105" w:name="_Toc23386"/>
      <w:r>
        <w:rPr>
          <w:rFonts w:hint="eastAsia" w:ascii="宋体" w:hAnsi="宋体" w:eastAsia="宋体" w:cs="宋体"/>
          <w:spacing w:val="0"/>
          <w:w w:val="100"/>
          <w:position w:val="0"/>
          <w:sz w:val="24"/>
          <w:szCs w:val="24"/>
        </w:rPr>
        <w:t>2-1-1  中小企业声明函及残疾人福利性单位声明函格式</w:t>
      </w:r>
      <w:bookmarkEnd w:id="105"/>
    </w:p>
    <w:p w14:paraId="534F9F8C">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p>
    <w:p w14:paraId="4C4F51DD">
      <w:pPr>
        <w:keepNext w:val="0"/>
        <w:keepLines w:val="0"/>
        <w:widowControl/>
        <w:suppressLineNumbers w:val="0"/>
        <w:jc w:val="center"/>
        <w:rPr>
          <w:rFonts w:hint="default"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highlight w:val="none"/>
          <w:lang w:val="en-US" w:eastAsia="zh-CN" w:bidi="ar"/>
        </w:rPr>
        <w:t>中小企业声明函（服务）格式</w:t>
      </w:r>
    </w:p>
    <w:p w14:paraId="701BFF1D">
      <w:pPr>
        <w:pStyle w:val="16"/>
      </w:pPr>
    </w:p>
    <w:p w14:paraId="7153F5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本公司（联合体）郑重声明，根据《政府采购促进中小 企业发展管理办法》（财库﹝2020﹞46 号）的规定，本公司 （联合体）参加（单位名称）的（项目名称）采购活动，工 程的施工单位全部为符合政策要求的中小企业（或者：服务 全部由符合政策要求的中小企业承接）。相关企业（含联合 体中的中小企业、签订分包意向协议的中小企业）的具体情 况如下： </w:t>
      </w:r>
    </w:p>
    <w:p w14:paraId="3AF98EA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标的名称</w:t>
      </w:r>
      <w:r>
        <w:rPr>
          <w:rFonts w:hint="eastAsia" w:ascii="宋体" w:hAnsi="宋体" w:eastAsia="宋体" w:cs="宋体"/>
          <w:i/>
          <w:iC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，属于</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采购文件中明确的所属行业</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行业</w:t>
      </w:r>
      <w:r>
        <w:rPr>
          <w:rFonts w:hint="eastAsia" w:ascii="宋体" w:hAnsi="宋体" w:eastAsia="宋体" w:cs="宋体"/>
          <w:color w:val="000000"/>
          <w:kern w:val="0"/>
          <w:sz w:val="24"/>
          <w:szCs w:val="24"/>
          <w:lang w:val="en-US" w:eastAsia="zh-CN" w:bidi="ar"/>
        </w:rPr>
        <w:t>；承建（承接）企业为</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企业名称</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，从业人员</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人，营业收入为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万元，资产总额为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万元¹，属于</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中型企业、小型企业、微型企业</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 </w:t>
      </w:r>
    </w:p>
    <w:p w14:paraId="2972A58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2. </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标的名称</w:t>
      </w:r>
      <w:r>
        <w:rPr>
          <w:rFonts w:hint="eastAsia" w:ascii="宋体" w:hAnsi="宋体" w:eastAsia="宋体" w:cs="宋体"/>
          <w:i/>
          <w:iC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，属于</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采购文件中明确的所属行业</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行业</w:t>
      </w:r>
      <w:r>
        <w:rPr>
          <w:rFonts w:hint="eastAsia" w:ascii="宋体" w:hAnsi="宋体" w:eastAsia="宋体" w:cs="宋体"/>
          <w:color w:val="000000"/>
          <w:kern w:val="0"/>
          <w:sz w:val="24"/>
          <w:szCs w:val="24"/>
          <w:lang w:val="en-US" w:eastAsia="zh-CN" w:bidi="ar"/>
        </w:rPr>
        <w:t>；承建（承接）企业为</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企业名称</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，从业人员</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人，营业收入为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万元，资产总额为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万元，属于</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中型企业、小型企业、微型企业</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w:t>
      </w:r>
    </w:p>
    <w:p w14:paraId="31C523A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w:t>
      </w:r>
    </w:p>
    <w:p w14:paraId="26A03C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以上企业，不属于大企业的分支机构，不存在控股股东为大企业的情形，也不存在与大企业的负责人为同一人的情形。</w:t>
      </w:r>
    </w:p>
    <w:p w14:paraId="0DE829D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本企业对上述声明内容的真实性负责。如有虚假，将依法承担相应责任。 </w:t>
      </w:r>
    </w:p>
    <w:p w14:paraId="14D2FCD9">
      <w:pPr>
        <w:keepNext w:val="0"/>
        <w:keepLines w:val="0"/>
        <w:pageBreakBefore w:val="0"/>
        <w:widowControl/>
        <w:suppressLineNumbers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000000"/>
          <w:kern w:val="0"/>
          <w:sz w:val="24"/>
          <w:szCs w:val="24"/>
          <w:lang w:val="en-US" w:eastAsia="zh-CN" w:bidi="ar"/>
        </w:rPr>
      </w:pPr>
    </w:p>
    <w:p w14:paraId="65E637FE">
      <w:pPr>
        <w:keepNext w:val="0"/>
        <w:keepLines w:val="0"/>
        <w:pageBreakBefore w:val="0"/>
        <w:widowControl/>
        <w:suppressLineNumbers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000000"/>
          <w:kern w:val="0"/>
          <w:sz w:val="24"/>
          <w:szCs w:val="24"/>
          <w:lang w:val="en-US" w:eastAsia="zh-CN" w:bidi="ar"/>
        </w:rPr>
      </w:pPr>
    </w:p>
    <w:p w14:paraId="04D7693B">
      <w:pPr>
        <w:keepNext w:val="0"/>
        <w:keepLines w:val="0"/>
        <w:pageBreakBefore w:val="0"/>
        <w:widowControl/>
        <w:suppressLineNumbers w:val="0"/>
        <w:kinsoku/>
        <w:wordWrap w:val="0"/>
        <w:overflowPunct/>
        <w:topLinePunct w:val="0"/>
        <w:autoSpaceDE/>
        <w:autoSpaceDN/>
        <w:bidi w:val="0"/>
        <w:adjustRightInd/>
        <w:snapToGrid/>
        <w:spacing w:line="360" w:lineRule="auto"/>
        <w:jc w:val="right"/>
        <w:textAlignment w:val="auto"/>
        <w:rPr>
          <w:rFonts w:hint="default"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 xml:space="preserve">企业名称（盖章）：       </w:t>
      </w:r>
    </w:p>
    <w:p w14:paraId="050ACDF9">
      <w:pPr>
        <w:keepNext w:val="0"/>
        <w:keepLines w:val="0"/>
        <w:pageBreakBefore w:val="0"/>
        <w:widowControl/>
        <w:suppressLineNumbers w:val="0"/>
        <w:kinsoku/>
        <w:wordWrap w:val="0"/>
        <w:overflowPunct/>
        <w:topLinePunct w:val="0"/>
        <w:autoSpaceDE/>
        <w:autoSpaceDN/>
        <w:bidi w:val="0"/>
        <w:adjustRightInd/>
        <w:snapToGrid/>
        <w:spacing w:line="360" w:lineRule="auto"/>
        <w:jc w:val="right"/>
        <w:textAlignment w:val="auto"/>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日 期：       </w:t>
      </w:r>
    </w:p>
    <w:p w14:paraId="071140F1">
      <w:pPr>
        <w:pStyle w:val="16"/>
        <w:rPr>
          <w:rFonts w:hint="eastAsia"/>
          <w:lang w:val="en-US" w:eastAsia="zh-CN"/>
        </w:rPr>
      </w:pPr>
    </w:p>
    <w:p w14:paraId="7848B3EB">
      <w:pPr>
        <w:pStyle w:val="7"/>
        <w:keepNext w:val="0"/>
        <w:keepLines w:val="0"/>
        <w:pageBreakBefore w:val="0"/>
        <w:widowControl/>
        <w:kinsoku/>
        <w:wordWrap/>
        <w:overflowPunct/>
        <w:topLinePunct w:val="0"/>
        <w:autoSpaceDE/>
        <w:autoSpaceDN/>
        <w:bidi w:val="0"/>
        <w:adjustRightInd w:val="0"/>
        <w:snapToGrid w:val="0"/>
        <w:spacing w:before="65" w:line="228" w:lineRule="auto"/>
        <w:ind w:left="124"/>
        <w:textAlignment w:val="baseline"/>
        <w:rPr>
          <w:rFonts w:hint="eastAsia" w:ascii="宋体" w:hAnsi="宋体" w:eastAsia="宋体" w:cs="宋体"/>
          <w:spacing w:val="0"/>
          <w:w w:val="100"/>
          <w:position w:val="0"/>
          <w:sz w:val="20"/>
          <w:szCs w:val="20"/>
        </w:rPr>
      </w:pPr>
      <w:r>
        <w:rPr>
          <w:rFonts w:hint="eastAsia" w:ascii="微软雅黑" w:hAnsi="微软雅黑" w:eastAsia="微软雅黑" w:cs="微软雅黑"/>
          <w:b w:val="0"/>
          <w:bCs w:val="0"/>
          <w:color w:val="000000"/>
          <w:kern w:val="0"/>
          <w:sz w:val="28"/>
          <w:szCs w:val="28"/>
          <w:lang w:val="en-US" w:eastAsia="zh-CN" w:bidi="ar"/>
        </w:rPr>
        <w:t>¹</w:t>
      </w:r>
      <w:r>
        <w:rPr>
          <w:rFonts w:hint="eastAsia" w:ascii="宋体" w:hAnsi="宋体"/>
          <w:b w:val="0"/>
          <w:bCs w:val="0"/>
          <w:kern w:val="0"/>
          <w:sz w:val="24"/>
          <w:szCs w:val="24"/>
        </w:rPr>
        <w:t>从业人员、营业收入、资产总额填报上一年度数据，无上一年度数据的新成立企业可不填报。</w:t>
      </w:r>
    </w:p>
    <w:p w14:paraId="5C6A8C88">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6C21B025">
      <w:pPr>
        <w:pStyle w:val="7"/>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p>
    <w:p w14:paraId="2DE2EF8A">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24D6F4DD">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15FC088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本单位郑重声明，根据《财政部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民政部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中国残疾人联合会关于促进残疾人就业政府采购政策的通知》（财库〔2017〕141号）的规定，本单位</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14:paraId="7853FF1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14:paraId="6BF7CD1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且本单位参加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rPr>
        <w:t>单位的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项目采购活动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0F7F6DD8">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14:paraId="5A80C363">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4BBE3198">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3E6DCCDB">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42E92CED">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561F010A">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0F18E793">
      <w:pPr>
        <w:pStyle w:val="7"/>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14:paraId="2335A575">
      <w:pPr>
        <w:pStyle w:val="7"/>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14:paraId="0BEBDEC5">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35B8A9C0">
      <w:pPr>
        <w:keepNext w:val="0"/>
        <w:keepLines w:val="0"/>
        <w:pageBreakBefore w:val="0"/>
        <w:widowControl/>
        <w:kinsoku/>
        <w:wordWrap/>
        <w:overflowPunct/>
        <w:topLinePunct w:val="0"/>
        <w:autoSpaceDE/>
        <w:autoSpaceDN/>
        <w:bidi w:val="0"/>
        <w:adjustRightInd w:val="0"/>
        <w:snapToGrid w:val="0"/>
        <w:spacing w:line="295" w:lineRule="auto"/>
        <w:textAlignment w:val="baseline"/>
        <w:rPr>
          <w:rFonts w:hint="eastAsia" w:ascii="宋体" w:hAnsi="宋体" w:eastAsia="宋体" w:cs="宋体"/>
          <w:spacing w:val="0"/>
          <w:w w:val="100"/>
          <w:position w:val="0"/>
          <w:sz w:val="21"/>
        </w:rPr>
      </w:pPr>
    </w:p>
    <w:p w14:paraId="2EA9B291">
      <w:pPr>
        <w:pStyle w:val="7"/>
        <w:keepNext w:val="0"/>
        <w:keepLines w:val="0"/>
        <w:pageBreakBefore w:val="0"/>
        <w:widowControl/>
        <w:kinsoku/>
        <w:wordWrap/>
        <w:overflowPunct/>
        <w:topLinePunct w:val="0"/>
        <w:autoSpaceDE/>
        <w:autoSpaceDN/>
        <w:bidi w:val="0"/>
        <w:adjustRightInd w:val="0"/>
        <w:snapToGrid w:val="0"/>
        <w:spacing w:before="103" w:line="190" w:lineRule="auto"/>
        <w:ind w:left="18"/>
        <w:textAlignment w:val="baseline"/>
        <w:outlineLvl w:val="3"/>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 拟分包情况说明及分包意向协议</w:t>
      </w:r>
    </w:p>
    <w:p w14:paraId="4816FCF9">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445CC41B">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23D80BBF">
      <w:pPr>
        <w:pStyle w:val="7"/>
        <w:keepNext w:val="0"/>
        <w:keepLines w:val="0"/>
        <w:pageBreakBefore w:val="0"/>
        <w:widowControl/>
        <w:kinsoku/>
        <w:wordWrap/>
        <w:overflowPunct/>
        <w:topLinePunct w:val="0"/>
        <w:autoSpaceDE/>
        <w:autoSpaceDN/>
        <w:bidi w:val="0"/>
        <w:adjustRightInd w:val="0"/>
        <w:snapToGrid w:val="0"/>
        <w:spacing w:before="117" w:line="219" w:lineRule="auto"/>
        <w:ind w:left="3285"/>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14:paraId="5DEFEE88">
      <w:pPr>
        <w:pStyle w:val="7"/>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0FEACE53">
      <w:pPr>
        <w:pStyle w:val="7"/>
        <w:keepNext w:val="0"/>
        <w:keepLines w:val="0"/>
        <w:pageBreakBefore w:val="0"/>
        <w:widowControl/>
        <w:kinsoku/>
        <w:wordWrap/>
        <w:overflowPunct/>
        <w:topLinePunct w:val="0"/>
        <w:autoSpaceDE/>
        <w:autoSpaceDN/>
        <w:bidi w:val="0"/>
        <w:adjustRightInd w:val="0"/>
        <w:snapToGrid w:val="0"/>
        <w:spacing w:before="181" w:line="359" w:lineRule="auto"/>
        <w:ind w:left="9" w:right="54"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14:paraId="72998468">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5"/>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1584D2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14:paraId="65058AED">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286" w:type="dxa"/>
            <w:vAlign w:val="center"/>
          </w:tcPr>
          <w:p w14:paraId="0D9BB959">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分包承担主体名称</w:t>
            </w:r>
          </w:p>
        </w:tc>
        <w:tc>
          <w:tcPr>
            <w:tcW w:w="1512" w:type="dxa"/>
            <w:vAlign w:val="center"/>
          </w:tcPr>
          <w:p w14:paraId="69E0BB48">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分包承担主体类型（选择）</w:t>
            </w:r>
          </w:p>
        </w:tc>
        <w:tc>
          <w:tcPr>
            <w:tcW w:w="1124" w:type="dxa"/>
            <w:vAlign w:val="center"/>
          </w:tcPr>
          <w:p w14:paraId="6131E0ED">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资质等级</w:t>
            </w:r>
          </w:p>
        </w:tc>
        <w:tc>
          <w:tcPr>
            <w:tcW w:w="1560" w:type="dxa"/>
            <w:vAlign w:val="center"/>
          </w:tcPr>
          <w:p w14:paraId="7E45B04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119"/>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拟分包合同内容</w:t>
            </w:r>
          </w:p>
        </w:tc>
        <w:tc>
          <w:tcPr>
            <w:tcW w:w="1497" w:type="dxa"/>
            <w:vAlign w:val="center"/>
          </w:tcPr>
          <w:p w14:paraId="24ED9A60">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拟分包合同金额（人民币元）</w:t>
            </w:r>
          </w:p>
        </w:tc>
        <w:tc>
          <w:tcPr>
            <w:tcW w:w="1569" w:type="dxa"/>
            <w:vAlign w:val="center"/>
          </w:tcPr>
          <w:p w14:paraId="7A674861">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占</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合同金额的</w:t>
            </w:r>
            <w:r>
              <w:rPr>
                <w:rFonts w:hint="eastAsia" w:ascii="宋体" w:hAnsi="宋体" w:eastAsia="宋体" w:cs="宋体"/>
                <w:spacing w:val="0"/>
                <w:w w:val="100"/>
                <w:position w:val="0"/>
              </w:rPr>
              <w:t>比例（%）</w:t>
            </w:r>
          </w:p>
        </w:tc>
      </w:tr>
      <w:tr w14:paraId="2EDA0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14:paraId="42351585">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14:paraId="6E081B35">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1D90EB18">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14:paraId="6D093A39">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14:paraId="309E384F">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14:paraId="0C92664D">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14AFE050">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66448DC5">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22DE7425">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1F1BD9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2333034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14:paraId="12707D14">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505B744C">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14:paraId="10A35E3A">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14:paraId="57D1B2C2">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14:paraId="1599F4D3">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5FF5C49B">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524A439A">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31DD0D5F">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0EA75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7BDDDD05">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14:paraId="647FB283">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13B9B65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124" w:type="dxa"/>
            <w:vAlign w:val="center"/>
          </w:tcPr>
          <w:p w14:paraId="06F37E34">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2AAFE0E2">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1337FCF3">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4542067D">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5579F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4BD4A1C9">
            <w:pPr>
              <w:pStyle w:val="26"/>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合计：</w:t>
            </w:r>
          </w:p>
        </w:tc>
        <w:tc>
          <w:tcPr>
            <w:tcW w:w="1497" w:type="dxa"/>
            <w:vAlign w:val="center"/>
          </w:tcPr>
          <w:p w14:paraId="09871AA3">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288435F2">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bl>
    <w:p w14:paraId="4978AA40">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14:paraId="01A24961">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14:paraId="4136EE5A">
      <w:pPr>
        <w:keepNext w:val="0"/>
        <w:keepLines w:val="0"/>
        <w:pageBreakBefore w:val="0"/>
        <w:widowControl/>
        <w:kinsoku/>
        <w:wordWrap/>
        <w:overflowPunct/>
        <w:topLinePunct w:val="0"/>
        <w:autoSpaceDE/>
        <w:autoSpaceDN/>
        <w:bidi w:val="0"/>
        <w:adjustRightInd w:val="0"/>
        <w:snapToGrid w:val="0"/>
        <w:spacing w:line="273" w:lineRule="auto"/>
        <w:textAlignment w:val="baseline"/>
        <w:rPr>
          <w:rFonts w:hint="eastAsia" w:ascii="宋体" w:hAnsi="宋体" w:eastAsia="宋体" w:cs="宋体"/>
          <w:spacing w:val="0"/>
          <w:w w:val="100"/>
          <w:position w:val="0"/>
          <w:sz w:val="21"/>
        </w:rPr>
      </w:pPr>
    </w:p>
    <w:p w14:paraId="471DAA29">
      <w:pPr>
        <w:pStyle w:val="7"/>
        <w:keepNext w:val="0"/>
        <w:keepLines w:val="0"/>
        <w:pageBreakBefore w:val="0"/>
        <w:widowControl/>
        <w:kinsoku/>
        <w:wordWrap/>
        <w:overflowPunct/>
        <w:topLinePunct w:val="0"/>
        <w:autoSpaceDE/>
        <w:autoSpaceDN/>
        <w:bidi w:val="0"/>
        <w:adjustRightInd w:val="0"/>
        <w:snapToGrid w:val="0"/>
        <w:spacing w:before="78" w:line="189" w:lineRule="auto"/>
        <w:ind w:left="48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14:paraId="57C5B8DE">
      <w:pPr>
        <w:keepNext w:val="0"/>
        <w:keepLines w:val="0"/>
        <w:pageBreakBefore w:val="0"/>
        <w:widowControl/>
        <w:kinsoku/>
        <w:wordWrap/>
        <w:overflowPunct/>
        <w:topLinePunct w:val="0"/>
        <w:autoSpaceDE/>
        <w:autoSpaceDN/>
        <w:bidi w:val="0"/>
        <w:adjustRightInd w:val="0"/>
        <w:snapToGrid w:val="0"/>
        <w:spacing w:line="66" w:lineRule="exact"/>
        <w:ind w:left="763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_____________</w:t>
      </w:r>
    </w:p>
    <w:p w14:paraId="5CC4976F">
      <w:pPr>
        <w:pStyle w:val="7"/>
        <w:keepNext w:val="0"/>
        <w:keepLines w:val="0"/>
        <w:pageBreakBefore w:val="0"/>
        <w:widowControl/>
        <w:kinsoku/>
        <w:wordWrap/>
        <w:overflowPunct/>
        <w:topLinePunct w:val="0"/>
        <w:autoSpaceDE/>
        <w:autoSpaceDN/>
        <w:bidi w:val="0"/>
        <w:adjustRightInd w:val="0"/>
        <w:snapToGrid w:val="0"/>
        <w:spacing w:before="180" w:line="36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5981264A">
      <w:pPr>
        <w:pStyle w:val="7"/>
        <w:keepNext w:val="0"/>
        <w:keepLines w:val="0"/>
        <w:pageBreakBefore w:val="0"/>
        <w:widowControl/>
        <w:kinsoku/>
        <w:wordWrap/>
        <w:overflowPunct/>
        <w:topLinePunct w:val="0"/>
        <w:autoSpaceDE/>
        <w:autoSpaceDN/>
        <w:bidi w:val="0"/>
        <w:adjustRightInd w:val="0"/>
        <w:snapToGrid w:val="0"/>
        <w:spacing w:before="1"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468EA91E">
      <w:pPr>
        <w:pStyle w:val="7"/>
        <w:keepNext w:val="0"/>
        <w:keepLines w:val="0"/>
        <w:pageBreakBefore w:val="0"/>
        <w:widowControl/>
        <w:kinsoku/>
        <w:wordWrap/>
        <w:overflowPunct/>
        <w:topLinePunct w:val="0"/>
        <w:autoSpaceDE/>
        <w:autoSpaceDN/>
        <w:bidi w:val="0"/>
        <w:adjustRightInd w:val="0"/>
        <w:snapToGrid w:val="0"/>
        <w:spacing w:before="174" w:line="359" w:lineRule="auto"/>
        <w:ind w:left="13" w:right="5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59FF0A68">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4A43A5E5">
      <w:pPr>
        <w:pStyle w:val="7"/>
        <w:keepNext w:val="0"/>
        <w:keepLines w:val="0"/>
        <w:pageBreakBefore w:val="0"/>
        <w:widowControl/>
        <w:kinsoku/>
        <w:wordWrap/>
        <w:overflowPunct/>
        <w:topLinePunct w:val="0"/>
        <w:autoSpaceDE/>
        <w:autoSpaceDN/>
        <w:bidi w:val="0"/>
        <w:adjustRightInd w:val="0"/>
        <w:snapToGrid w:val="0"/>
        <w:spacing w:before="0" w:beforeLines="100"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分包意向协议（实质性格式）</w:t>
      </w:r>
    </w:p>
    <w:p w14:paraId="3A0FB89A">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甲方（投标人）：</w:t>
      </w:r>
      <w:r>
        <w:rPr>
          <w:rFonts w:hint="eastAsia" w:ascii="宋体" w:hAnsi="宋体" w:eastAsia="宋体" w:cs="宋体"/>
          <w:spacing w:val="0"/>
          <w:w w:val="100"/>
          <w:position w:val="0"/>
          <w:sz w:val="24"/>
          <w:szCs w:val="24"/>
          <w:u w:val="single" w:color="auto"/>
        </w:rPr>
        <w:t xml:space="preserve">         </w:t>
      </w:r>
    </w:p>
    <w:p w14:paraId="6DAB7FED">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乙方（拟分包单位）：</w:t>
      </w:r>
      <w:r>
        <w:rPr>
          <w:rFonts w:hint="eastAsia" w:ascii="宋体" w:hAnsi="宋体" w:eastAsia="宋体" w:cs="宋体"/>
          <w:spacing w:val="0"/>
          <w:w w:val="100"/>
          <w:position w:val="0"/>
          <w:sz w:val="24"/>
          <w:szCs w:val="24"/>
          <w:u w:val="single" w:color="auto"/>
        </w:rPr>
        <w:t xml:space="preserve">         </w:t>
      </w:r>
    </w:p>
    <w:p w14:paraId="609A1536">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甲方承诺，一旦在</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（采购项目名称）（项目编号/包号为：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）招标采购项目中获得采购合同，将按照下述约定将合同项下部分内容分包给乙方：</w:t>
      </w:r>
    </w:p>
    <w:p w14:paraId="6C653FAE">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06" w:name="_Toc11666"/>
      <w:r>
        <w:rPr>
          <w:rFonts w:hint="eastAsia" w:ascii="宋体" w:hAnsi="宋体" w:eastAsia="宋体" w:cs="宋体"/>
          <w:spacing w:val="0"/>
          <w:w w:val="100"/>
          <w:position w:val="0"/>
          <w:sz w:val="24"/>
          <w:szCs w:val="24"/>
        </w:rPr>
        <w:t>1.分包内容：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6"/>
    </w:p>
    <w:p w14:paraId="286DCA03">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2.分包金额：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，该金额占该采购包合同金额的比例为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62CF2130">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乙方承诺将在上述情况下与甲方签订分包合同。</w:t>
      </w:r>
    </w:p>
    <w:p w14:paraId="65411334">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本协议自各方盖章之日起生效， 如甲方未在该项目（采购包） 中标， 本协议自动终止。</w:t>
      </w:r>
    </w:p>
    <w:p w14:paraId="4D7652B6">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308A3EA3">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2AB7F46D">
      <w:pPr>
        <w:pStyle w:val="7"/>
        <w:keepNext w:val="0"/>
        <w:keepLines w:val="0"/>
        <w:pageBreakBefore w:val="0"/>
        <w:widowControl/>
        <w:kinsoku/>
        <w:wordWrap/>
        <w:overflowPunct/>
        <w:topLinePunct w:val="0"/>
        <w:autoSpaceDE/>
        <w:autoSpaceDN/>
        <w:bidi w:val="0"/>
        <w:adjustRightInd w:val="0"/>
        <w:snapToGrid w:val="0"/>
        <w:spacing w:before="79" w:line="185" w:lineRule="auto"/>
        <w:ind w:left="51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甲方（盖章）：</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乙方（盖章）：</w:t>
      </w:r>
    </w:p>
    <w:p w14:paraId="48BC7E3C">
      <w:pPr>
        <w:keepNext w:val="0"/>
        <w:keepLines w:val="0"/>
        <w:pageBreakBefore w:val="0"/>
        <w:widowControl/>
        <w:kinsoku/>
        <w:wordWrap/>
        <w:overflowPunct/>
        <w:topLinePunct w:val="0"/>
        <w:autoSpaceDE/>
        <w:autoSpaceDN/>
        <w:bidi w:val="0"/>
        <w:adjustRightInd w:val="0"/>
        <w:snapToGrid w:val="0"/>
        <w:spacing w:before="6" w:line="19" w:lineRule="exact"/>
        <w:ind w:left="670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w:t>
      </w:r>
    </w:p>
    <w:p w14:paraId="682D9415">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58E5EFA7">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6A83BAB5">
      <w:pPr>
        <w:pStyle w:val="7"/>
        <w:keepNext w:val="0"/>
        <w:keepLines w:val="0"/>
        <w:pageBreakBefore w:val="0"/>
        <w:widowControl/>
        <w:kinsoku/>
        <w:wordWrap/>
        <w:overflowPunct/>
        <w:topLinePunct w:val="0"/>
        <w:autoSpaceDE/>
        <w:autoSpaceDN/>
        <w:bidi w:val="0"/>
        <w:adjustRightInd w:val="0"/>
        <w:snapToGrid w:val="0"/>
        <w:spacing w:before="79" w:line="220" w:lineRule="auto"/>
        <w:ind w:left="528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5BC1B678">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54EE76D9">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5352E1EB">
      <w:pPr>
        <w:pStyle w:val="7"/>
        <w:keepNext w:val="0"/>
        <w:keepLines w:val="0"/>
        <w:pageBreakBefore w:val="0"/>
        <w:widowControl/>
        <w:kinsoku/>
        <w:wordWrap/>
        <w:overflowPunct/>
        <w:topLinePunct w:val="0"/>
        <w:autoSpaceDE/>
        <w:autoSpaceDN/>
        <w:bidi w:val="0"/>
        <w:adjustRightInd w:val="0"/>
        <w:snapToGrid w:val="0"/>
        <w:spacing w:before="78"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52E7BA3F">
      <w:pPr>
        <w:pStyle w:val="7"/>
        <w:keepNext w:val="0"/>
        <w:keepLines w:val="0"/>
        <w:pageBreakBefore w:val="0"/>
        <w:widowControl/>
        <w:kinsoku/>
        <w:wordWrap/>
        <w:overflowPunct/>
        <w:topLinePunct w:val="0"/>
        <w:autoSpaceDE/>
        <w:autoSpaceDN/>
        <w:bidi w:val="0"/>
        <w:adjustRightInd w:val="0"/>
        <w:snapToGrid w:val="0"/>
        <w:spacing w:before="174" w:line="359" w:lineRule="auto"/>
        <w:ind w:left="9"/>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本协议仅在投标人“为落实政府采购政策”而向中小企业分包时必须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 且投标人须与所有拟分包单位分别签订《分包意向协议》，每单位签订一份，并在投标文件中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交全部协议原件的电子件，否则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2E777224">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0EAEB3F">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12E6BC78">
      <w:pPr>
        <w:pStyle w:val="7"/>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7" w:name="_Toc20274"/>
      <w:r>
        <w:rPr>
          <w:rFonts w:hint="eastAsia" w:ascii="宋体" w:hAnsi="宋体" w:eastAsia="宋体" w:cs="宋体"/>
          <w:spacing w:val="0"/>
          <w:w w:val="100"/>
          <w:position w:val="0"/>
          <w:sz w:val="24"/>
          <w:szCs w:val="24"/>
        </w:rPr>
        <w:t>2-2 其它落实政府采购政策的资格要求（如有）</w:t>
      </w:r>
      <w:bookmarkEnd w:id="107"/>
    </w:p>
    <w:p w14:paraId="636F5BA4">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453D28B4">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63F5B177">
      <w:pPr>
        <w:pStyle w:val="7"/>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8" w:name="_Toc11432"/>
      <w:r>
        <w:rPr>
          <w:rFonts w:hint="eastAsia" w:ascii="宋体" w:hAnsi="宋体" w:eastAsia="宋体" w:cs="宋体"/>
          <w:spacing w:val="0"/>
          <w:w w:val="100"/>
          <w:position w:val="0"/>
          <w:sz w:val="24"/>
          <w:szCs w:val="24"/>
        </w:rPr>
        <w:t>3   本项目的特定资格要求（如有）</w:t>
      </w:r>
      <w:bookmarkEnd w:id="108"/>
    </w:p>
    <w:p w14:paraId="190E347A">
      <w:pPr>
        <w:pStyle w:val="7"/>
        <w:keepNext w:val="0"/>
        <w:keepLines w:val="0"/>
        <w:pageBreakBefore w:val="0"/>
        <w:widowControl/>
        <w:kinsoku/>
        <w:wordWrap/>
        <w:overflowPunct/>
        <w:topLinePunct w:val="0"/>
        <w:autoSpaceDE/>
        <w:autoSpaceDN/>
        <w:bidi w:val="0"/>
        <w:adjustRightInd w:val="0"/>
        <w:snapToGrid w:val="0"/>
        <w:spacing w:before="180" w:line="221" w:lineRule="auto"/>
        <w:ind w:left="18"/>
        <w:textAlignment w:val="baseline"/>
        <w:outlineLvl w:val="1"/>
        <w:rPr>
          <w:rFonts w:hint="eastAsia" w:ascii="宋体" w:hAnsi="宋体" w:eastAsia="宋体" w:cs="宋体"/>
          <w:spacing w:val="0"/>
          <w:w w:val="100"/>
          <w:position w:val="0"/>
          <w:sz w:val="24"/>
          <w:szCs w:val="24"/>
        </w:rPr>
      </w:pPr>
      <w:bookmarkStart w:id="109" w:name="_Toc27574"/>
      <w:r>
        <w:rPr>
          <w:rFonts w:hint="eastAsia" w:ascii="宋体" w:hAnsi="宋体" w:eastAsia="宋体" w:cs="宋体"/>
          <w:spacing w:val="0"/>
          <w:w w:val="100"/>
          <w:position w:val="0"/>
          <w:sz w:val="24"/>
          <w:szCs w:val="24"/>
        </w:rPr>
        <w:t>3-1 联合协议（如有）</w:t>
      </w:r>
      <w:bookmarkEnd w:id="109"/>
    </w:p>
    <w:p w14:paraId="6517DC35">
      <w:pPr>
        <w:pStyle w:val="7"/>
        <w:keepNext w:val="0"/>
        <w:keepLines w:val="0"/>
        <w:pageBreakBefore w:val="0"/>
        <w:widowControl/>
        <w:kinsoku/>
        <w:wordWrap/>
        <w:overflowPunct/>
        <w:topLinePunct w:val="0"/>
        <w:autoSpaceDE/>
        <w:autoSpaceDN/>
        <w:bidi w:val="0"/>
        <w:adjustRightInd w:val="0"/>
        <w:snapToGrid w:val="0"/>
        <w:spacing w:before="197" w:line="221" w:lineRule="auto"/>
        <w:ind w:left="3829"/>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联合协议</w:t>
      </w:r>
    </w:p>
    <w:p w14:paraId="48BB939A">
      <w:pPr>
        <w:pStyle w:val="7"/>
        <w:keepNext w:val="0"/>
        <w:keepLines w:val="0"/>
        <w:pageBreakBefore w:val="0"/>
        <w:widowControl/>
        <w:tabs>
          <w:tab w:val="left" w:pos="1548"/>
        </w:tabs>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及</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包招标项目的投标事宜，经各方充分协商一致，达成如下协议：</w:t>
      </w:r>
    </w:p>
    <w:p w14:paraId="76CCBD80">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牵头，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参加，组成联合体共同进行招标项目的投标工作。</w:t>
      </w:r>
    </w:p>
    <w:p w14:paraId="36983B1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二、联合体中标后，联合体各方共同与采购人签订合同，就采购合同约定的事项对采购人承担连带责任。</w:t>
      </w:r>
    </w:p>
    <w:p w14:paraId="58CF338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三、联合体各方均同意由牵头人代表其他联合体成员单位按招标文件要求出具《授权委托书》。</w:t>
      </w:r>
    </w:p>
    <w:p w14:paraId="299A55A0">
      <w:pPr>
        <w:pStyle w:val="7"/>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outlineLvl w:val="1"/>
        <w:rPr>
          <w:rFonts w:hint="eastAsia" w:ascii="宋体" w:hAnsi="宋体" w:eastAsia="宋体" w:cs="宋体"/>
          <w:spacing w:val="0"/>
          <w:w w:val="100"/>
          <w:position w:val="0"/>
          <w:sz w:val="24"/>
          <w:szCs w:val="24"/>
        </w:rPr>
      </w:pPr>
      <w:bookmarkStart w:id="110" w:name="_Toc3304"/>
      <w:r>
        <w:rPr>
          <w:rFonts w:hint="eastAsia" w:ascii="宋体" w:hAnsi="宋体" w:eastAsia="宋体" w:cs="宋体"/>
          <w:spacing w:val="0"/>
          <w:w w:val="100"/>
          <w:position w:val="0"/>
          <w:sz w:val="24"/>
          <w:szCs w:val="24"/>
        </w:rPr>
        <w:t>四、牵头人为项目的总负责单位；组织各参加方进行项目实施工作。</w:t>
      </w:r>
      <w:bookmarkEnd w:id="110"/>
    </w:p>
    <w:p w14:paraId="43CD477E">
      <w:pPr>
        <w:pStyle w:val="7"/>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14:paraId="7D81EC8D">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14:paraId="6CA59BD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（如有），具体工作范围、内容以投标文件及合同为准。</w:t>
      </w:r>
    </w:p>
    <w:p w14:paraId="749FAD6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八、本项目联合协议合同总额为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元，联合体各成员按照如下比例分摊（按联合体成员分别列明）：</w:t>
      </w:r>
    </w:p>
    <w:p w14:paraId="7E3AD11E">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34D21ED6">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 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3110CE28">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150E5B17">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九、以联合体形式参加政府采购活动的，联合体各方不得再单独参加或者与其他供应商另外组成联合体参加同一合同项下的政府采购活动。</w:t>
      </w:r>
    </w:p>
    <w:p w14:paraId="4ABA88D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1"/>
        <w:rPr>
          <w:rFonts w:hint="eastAsia" w:ascii="宋体" w:hAnsi="宋体" w:eastAsia="宋体" w:cs="宋体"/>
          <w:spacing w:val="0"/>
          <w:w w:val="100"/>
          <w:position w:val="0"/>
          <w:sz w:val="24"/>
          <w:szCs w:val="24"/>
        </w:rPr>
      </w:pPr>
      <w:bookmarkStart w:id="111" w:name="_Toc8240"/>
      <w:r>
        <w:rPr>
          <w:rFonts w:hint="eastAsia" w:ascii="宋体" w:hAnsi="宋体" w:eastAsia="宋体" w:cs="宋体"/>
          <w:spacing w:val="0"/>
          <w:w w:val="100"/>
          <w:position w:val="0"/>
          <w:sz w:val="24"/>
          <w:szCs w:val="24"/>
        </w:rPr>
        <w:t>十、其他约定（如有）：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11"/>
    </w:p>
    <w:p w14:paraId="4070E952">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本协议自各方盖章后生效，采购合同履行完毕后自动失效。如未中标，本协议自动终止。</w:t>
      </w:r>
    </w:p>
    <w:p w14:paraId="388E3CA6">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487027B5">
      <w:pPr>
        <w:pStyle w:val="7"/>
        <w:keepNext w:val="0"/>
        <w:keepLines w:val="0"/>
        <w:pageBreakBefore w:val="0"/>
        <w:widowControl/>
        <w:kinsoku/>
        <w:wordWrap/>
        <w:overflowPunct/>
        <w:topLinePunct w:val="0"/>
        <w:autoSpaceDE/>
        <w:autoSpaceDN/>
        <w:bidi w:val="0"/>
        <w:adjustRightInd w:val="0"/>
        <w:snapToGrid w:val="0"/>
        <w:spacing w:before="78" w:line="185"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联合体牵头人名称：                      联合体成员名称： </w:t>
      </w:r>
      <w:r>
        <w:rPr>
          <w:rFonts w:hint="eastAsia" w:ascii="宋体" w:hAnsi="宋体" w:eastAsia="宋体" w:cs="宋体"/>
          <w:spacing w:val="0"/>
          <w:w w:val="100"/>
          <w:position w:val="0"/>
          <w:sz w:val="24"/>
          <w:szCs w:val="24"/>
          <w:u w:val="single" w:color="auto"/>
        </w:rPr>
        <w:t xml:space="preserve">       </w:t>
      </w:r>
    </w:p>
    <w:p w14:paraId="19C9E400">
      <w:pPr>
        <w:keepNext w:val="0"/>
        <w:keepLines w:val="0"/>
        <w:pageBreakBefore w:val="0"/>
        <w:widowControl/>
        <w:kinsoku/>
        <w:wordWrap/>
        <w:overflowPunct/>
        <w:topLinePunct w:val="0"/>
        <w:autoSpaceDE/>
        <w:autoSpaceDN/>
        <w:bidi w:val="0"/>
        <w:adjustRightInd w:val="0"/>
        <w:snapToGrid w:val="0"/>
        <w:spacing w:before="5" w:line="19" w:lineRule="exact"/>
        <w:ind w:left="262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5D965477">
      <w:pPr>
        <w:pStyle w:val="7"/>
        <w:keepNext w:val="0"/>
        <w:keepLines w:val="0"/>
        <w:pageBreakBefore w:val="0"/>
        <w:widowControl/>
        <w:kinsoku/>
        <w:wordWrap/>
        <w:overflowPunct/>
        <w:topLinePunct w:val="0"/>
        <w:autoSpaceDE/>
        <w:autoSpaceDN/>
        <w:bidi w:val="0"/>
        <w:adjustRightInd w:val="0"/>
        <w:snapToGrid w:val="0"/>
        <w:spacing w:before="200"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盖章： </w:t>
      </w:r>
      <w:r>
        <w:rPr>
          <w:rFonts w:hint="eastAsia" w:ascii="宋体" w:hAnsi="宋体" w:eastAsia="宋体" w:cs="宋体"/>
          <w:spacing w:val="0"/>
          <w:w w:val="100"/>
          <w:position w:val="0"/>
          <w:sz w:val="24"/>
          <w:szCs w:val="24"/>
          <w:u w:val="single" w:color="auto"/>
        </w:rPr>
        <w:t xml:space="preserve">       </w:t>
      </w:r>
    </w:p>
    <w:p w14:paraId="0DB10A47">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14:paraId="67841EF2">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14:paraId="62FE7984">
      <w:pPr>
        <w:keepNext w:val="0"/>
        <w:keepLines w:val="0"/>
        <w:pageBreakBefore w:val="0"/>
        <w:widowControl/>
        <w:kinsoku/>
        <w:wordWrap/>
        <w:overflowPunct/>
        <w:topLinePunct w:val="0"/>
        <w:autoSpaceDE/>
        <w:autoSpaceDN/>
        <w:bidi w:val="0"/>
        <w:adjustRightInd w:val="0"/>
        <w:snapToGrid w:val="0"/>
        <w:spacing w:line="313" w:lineRule="auto"/>
        <w:textAlignment w:val="baseline"/>
        <w:rPr>
          <w:rFonts w:hint="eastAsia" w:ascii="宋体" w:hAnsi="宋体" w:eastAsia="宋体" w:cs="宋体"/>
          <w:spacing w:val="0"/>
          <w:w w:val="100"/>
          <w:position w:val="0"/>
          <w:sz w:val="21"/>
        </w:rPr>
      </w:pPr>
    </w:p>
    <w:p w14:paraId="1F7BC09F">
      <w:pPr>
        <w:pStyle w:val="7"/>
        <w:keepNext w:val="0"/>
        <w:keepLines w:val="0"/>
        <w:pageBreakBefore w:val="0"/>
        <w:widowControl/>
        <w:kinsoku/>
        <w:wordWrap/>
        <w:overflowPunct/>
        <w:topLinePunct w:val="0"/>
        <w:autoSpaceDE/>
        <w:autoSpaceDN/>
        <w:bidi w:val="0"/>
        <w:adjustRightInd w:val="0"/>
        <w:snapToGrid w:val="0"/>
        <w:spacing w:before="78" w:line="18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联合体成员名称：</w:t>
      </w:r>
    </w:p>
    <w:p w14:paraId="5034C685">
      <w:pPr>
        <w:keepNext w:val="0"/>
        <w:keepLines w:val="0"/>
        <w:pageBreakBefore w:val="0"/>
        <w:widowControl/>
        <w:kinsoku/>
        <w:wordWrap/>
        <w:overflowPunct/>
        <w:topLinePunct w:val="0"/>
        <w:autoSpaceDE/>
        <w:autoSpaceDN/>
        <w:bidi w:val="0"/>
        <w:adjustRightInd w:val="0"/>
        <w:snapToGrid w:val="0"/>
        <w:spacing w:line="19" w:lineRule="exact"/>
        <w:ind w:left="23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77746F87">
      <w:pPr>
        <w:pStyle w:val="7"/>
        <w:keepNext w:val="0"/>
        <w:keepLines w:val="0"/>
        <w:pageBreakBefore w:val="0"/>
        <w:widowControl/>
        <w:kinsoku/>
        <w:wordWrap/>
        <w:overflowPunct/>
        <w:topLinePunct w:val="0"/>
        <w:autoSpaceDE/>
        <w:autoSpaceDN/>
        <w:bidi w:val="0"/>
        <w:adjustRightInd w:val="0"/>
        <w:snapToGrid w:val="0"/>
        <w:spacing w:before="203"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p>
    <w:p w14:paraId="7F0E62AA">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7541FC5D">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6EE516DB">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2489F038">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5B4CB650">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14:paraId="2A5B3A81">
      <w:pPr>
        <w:pStyle w:val="7"/>
        <w:keepNext w:val="0"/>
        <w:keepLines w:val="0"/>
        <w:pageBreakBefore w:val="0"/>
        <w:widowControl/>
        <w:kinsoku/>
        <w:wordWrap/>
        <w:overflowPunct/>
        <w:topLinePunct w:val="0"/>
        <w:autoSpaceDE/>
        <w:autoSpaceDN/>
        <w:bidi w:val="0"/>
        <w:adjustRightInd w:val="0"/>
        <w:snapToGrid w:val="0"/>
        <w:spacing w:before="79" w:line="22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01D20260">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75DC7C27">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37C6E92F">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5C541F82">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5C7F4BBC">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14:paraId="05D27524">
      <w:pPr>
        <w:pStyle w:val="7"/>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62B0CB62">
      <w:pPr>
        <w:pStyle w:val="7"/>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1.如本项目（包）接受供应商以联合体形式参加采购活动，且供应商以联合体形式参与时，须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53B49E76">
      <w:pPr>
        <w:pStyle w:val="7"/>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12" w:name="_Toc3057"/>
      <w:r>
        <w:rPr>
          <w:rFonts w:hint="eastAsia" w:ascii="宋体" w:hAnsi="宋体" w:eastAsia="宋体" w:cs="宋体"/>
          <w:spacing w:val="0"/>
          <w:w w:val="100"/>
          <w:position w:val="0"/>
          <w:sz w:val="24"/>
          <w:szCs w:val="24"/>
        </w:rPr>
        <w:t>2.联合体各方成员需在本协议上共同盖章。</w:t>
      </w:r>
      <w:bookmarkEnd w:id="112"/>
    </w:p>
    <w:p w14:paraId="6DE1E6CF">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21D7540E">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0485700F">
      <w:pPr>
        <w:pStyle w:val="7"/>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13" w:name="_Toc31056"/>
      <w:r>
        <w:rPr>
          <w:rFonts w:hint="eastAsia" w:ascii="宋体" w:hAnsi="宋体" w:eastAsia="宋体" w:cs="宋体"/>
          <w:spacing w:val="0"/>
          <w:w w:val="100"/>
          <w:position w:val="0"/>
          <w:sz w:val="24"/>
          <w:szCs w:val="24"/>
        </w:rPr>
        <w:t>3-2 其他特定资格要求</w:t>
      </w:r>
      <w:bookmarkEnd w:id="113"/>
    </w:p>
    <w:p w14:paraId="60AD682C">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DA53F0B">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23AECD46">
      <w:pPr>
        <w:pStyle w:val="7"/>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outlineLvl w:val="2"/>
        <w:rPr>
          <w:rFonts w:hint="eastAsia" w:ascii="宋体" w:hAnsi="宋体" w:eastAsia="宋体" w:cs="宋体"/>
          <w:spacing w:val="0"/>
          <w:w w:val="100"/>
          <w:position w:val="0"/>
          <w:sz w:val="24"/>
          <w:szCs w:val="24"/>
        </w:rPr>
      </w:pPr>
      <w:bookmarkStart w:id="114" w:name="_Toc31483"/>
      <w:r>
        <w:rPr>
          <w:rFonts w:hint="eastAsia" w:ascii="宋体" w:hAnsi="宋体" w:eastAsia="宋体" w:cs="宋体"/>
          <w:spacing w:val="0"/>
          <w:w w:val="100"/>
          <w:position w:val="0"/>
          <w:sz w:val="24"/>
          <w:szCs w:val="24"/>
        </w:rPr>
        <w:t>4  投标保证金凭证/交款单据电子件</w:t>
      </w:r>
      <w:bookmarkEnd w:id="114"/>
    </w:p>
    <w:p w14:paraId="03E54892">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354A2AA0">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38D223EB">
      <w:pPr>
        <w:pStyle w:val="7"/>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115" w:name="_Toc1781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二、商务技术文件格式</w:t>
      </w:r>
      <w:bookmarkEnd w:id="115"/>
    </w:p>
    <w:p w14:paraId="627B9407">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14:paraId="5A7ADE0C">
      <w:pPr>
        <w:pStyle w:val="7"/>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投标文件（商务技术文件）封面（非实质性格式）</w:t>
      </w:r>
    </w:p>
    <w:p w14:paraId="5DC68D9F">
      <w:pPr>
        <w:pStyle w:val="7"/>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116" w:name="_Toc12320"/>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116"/>
    </w:p>
    <w:p w14:paraId="0BB92BA2">
      <w:pPr>
        <w:pStyle w:val="7"/>
        <w:keepNext w:val="0"/>
        <w:keepLines w:val="0"/>
        <w:pageBreakBefore w:val="0"/>
        <w:widowControl/>
        <w:kinsoku/>
        <w:wordWrap/>
        <w:overflowPunct/>
        <w:topLinePunct w:val="0"/>
        <w:autoSpaceDE/>
        <w:autoSpaceDN/>
        <w:bidi w:val="0"/>
        <w:adjustRightInd w:val="0"/>
        <w:snapToGrid w:val="0"/>
        <w:spacing w:before="0" w:beforeLines="245" w:line="221" w:lineRule="auto"/>
        <w:ind w:left="2001"/>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（商</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务</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技</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术</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14:paraId="477D4FAD">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3DCE8B74">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528648CE">
      <w:pPr>
        <w:pStyle w:val="7"/>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14:paraId="05235CC1">
      <w:pPr>
        <w:pStyle w:val="7"/>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r>
        <w:rPr>
          <w:rFonts w:hint="eastAsia" w:ascii="宋体" w:hAnsi="宋体" w:eastAsia="宋体" w:cs="宋体"/>
          <w:b/>
          <w:bCs/>
          <w:spacing w:val="0"/>
          <w:w w:val="100"/>
          <w:position w:val="0"/>
        </w:rPr>
        <w:t>/</w:t>
      </w: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包号：</w:t>
      </w:r>
    </w:p>
    <w:p w14:paraId="2F6D4FDB">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1E7569A6">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1184AE98">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29859E8D">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2152E09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521F76E7">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26E46D9B">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2B3E398">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747DBF2D">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4950D518">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1222FE2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78961D61">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314F036B">
      <w:pPr>
        <w:pStyle w:val="7"/>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14:paraId="79A13D85">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1B253DE1">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1DF71C13">
      <w:pPr>
        <w:pStyle w:val="7"/>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117" w:name="_Toc9698"/>
      <w:r>
        <w:rPr>
          <w:rFonts w:hint="eastAsia" w:ascii="宋体" w:hAnsi="宋体" w:eastAsia="宋体" w:cs="宋体"/>
          <w:spacing w:val="0"/>
          <w:w w:val="100"/>
          <w:position w:val="0"/>
          <w:sz w:val="24"/>
          <w:szCs w:val="24"/>
        </w:rPr>
        <w:t>1   投标书（实质性格式）</w:t>
      </w:r>
      <w:bookmarkEnd w:id="117"/>
    </w:p>
    <w:p w14:paraId="49AF5C35">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14:paraId="3BE97E46">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12C808E0">
      <w:pPr>
        <w:pStyle w:val="7"/>
        <w:keepNext w:val="0"/>
        <w:keepLines w:val="0"/>
        <w:pageBreakBefore w:val="0"/>
        <w:widowControl/>
        <w:kinsoku/>
        <w:wordWrap/>
        <w:overflowPunct/>
        <w:topLinePunct w:val="0"/>
        <w:autoSpaceDE/>
        <w:autoSpaceDN/>
        <w:bidi w:val="0"/>
        <w:adjustRightInd w:val="0"/>
        <w:snapToGrid w:val="0"/>
        <w:spacing w:before="117" w:line="219" w:lineRule="auto"/>
        <w:ind w:left="4012"/>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投标书</w:t>
      </w:r>
    </w:p>
    <w:p w14:paraId="4C3EDA18">
      <w:pPr>
        <w:pStyle w:val="7"/>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 xml:space="preserve">（采购人或采购代理机构）  </w:t>
      </w:r>
    </w:p>
    <w:p w14:paraId="40D61486">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14:paraId="592071C1">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4E44C5B9">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我方参加你方就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（项目名称，项目编号/包号）组织的招标活动，并对此项目进行投标。</w:t>
      </w:r>
    </w:p>
    <w:p w14:paraId="22A1B145">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8" w:name="_Toc10024"/>
      <w:r>
        <w:rPr>
          <w:rFonts w:hint="eastAsia" w:ascii="宋体" w:hAnsi="宋体" w:eastAsia="宋体" w:cs="宋体"/>
          <w:spacing w:val="0"/>
          <w:w w:val="100"/>
          <w:position w:val="0"/>
          <w:sz w:val="24"/>
          <w:szCs w:val="24"/>
        </w:rPr>
        <w:t>1.我方已详细审查全部招标文件，自愿参与投标并承诺如下：</w:t>
      </w:r>
      <w:bookmarkEnd w:id="118"/>
    </w:p>
    <w:p w14:paraId="216AD28D">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（1）本投标有效期为自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 xml:space="preserve">交投标文件的截止之日起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个日历日。</w:t>
      </w:r>
    </w:p>
    <w:p w14:paraId="3DC8D96F">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（2）除合同条款及采购需求偏离表列出的偏离外，我方响应招标文件的全部要求。</w:t>
      </w:r>
    </w:p>
    <w:p w14:paraId="18B473E8">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（3）我方已</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供的全部文件资料是真实、准确的，并对此承担一切法律后果。</w:t>
      </w:r>
    </w:p>
    <w:p w14:paraId="5BD9DF4C">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（4）如我方中标，我方将在法律规定的期限内与你方签订合同，按照招标文件要求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交履约保证金，并在合同约定的期限内完成合同规定的全部义务。</w:t>
      </w:r>
    </w:p>
    <w:p w14:paraId="2A784421">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9" w:name="_Toc13215"/>
      <w:r>
        <w:rPr>
          <w:rFonts w:hint="eastAsia" w:ascii="宋体" w:hAnsi="宋体" w:eastAsia="宋体" w:cs="宋体"/>
          <w:spacing w:val="0"/>
          <w:w w:val="100"/>
          <w:position w:val="0"/>
          <w:sz w:val="24"/>
          <w:szCs w:val="24"/>
        </w:rPr>
        <w:t>2.其他补充条款（如有）：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19"/>
    </w:p>
    <w:p w14:paraId="69A6E046">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与本投标有关的一切正式往来信函请寄：</w:t>
      </w:r>
    </w:p>
    <w:p w14:paraId="0644376B">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14:paraId="30F88C50">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3EEE8A39">
      <w:pPr>
        <w:pStyle w:val="7"/>
        <w:keepNext w:val="0"/>
        <w:keepLines w:val="0"/>
        <w:pageBreakBefore w:val="0"/>
        <w:widowControl/>
        <w:kinsoku/>
        <w:wordWrap/>
        <w:overflowPunct/>
        <w:topLinePunct w:val="0"/>
        <w:autoSpaceDE/>
        <w:autoSpaceDN/>
        <w:bidi w:val="0"/>
        <w:adjustRightInd w:val="0"/>
        <w:snapToGrid w:val="0"/>
        <w:spacing w:before="79" w:line="219" w:lineRule="auto"/>
        <w:ind w:left="42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地址</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传真</w:t>
      </w:r>
      <w:r>
        <w:rPr>
          <w:rFonts w:hint="eastAsia" w:ascii="宋体" w:hAnsi="宋体" w:eastAsia="宋体" w:cs="宋体"/>
          <w:spacing w:val="0"/>
          <w:w w:val="100"/>
          <w:position w:val="0"/>
          <w:sz w:val="24"/>
          <w:szCs w:val="24"/>
          <w:u w:val="single" w:color="auto"/>
        </w:rPr>
        <w:t xml:space="preserve">                             </w:t>
      </w:r>
    </w:p>
    <w:p w14:paraId="6A90DFFC">
      <w:pPr>
        <w:pStyle w:val="7"/>
        <w:keepNext w:val="0"/>
        <w:keepLines w:val="0"/>
        <w:pageBreakBefore w:val="0"/>
        <w:widowControl/>
        <w:kinsoku/>
        <w:wordWrap/>
        <w:overflowPunct/>
        <w:topLinePunct w:val="0"/>
        <w:autoSpaceDE/>
        <w:autoSpaceDN/>
        <w:bidi w:val="0"/>
        <w:adjustRightInd w:val="0"/>
        <w:snapToGrid w:val="0"/>
        <w:spacing w:before="181" w:line="220" w:lineRule="auto"/>
        <w:ind w:left="45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电子函件</w:t>
      </w:r>
      <w:r>
        <w:rPr>
          <w:rFonts w:hint="eastAsia" w:ascii="宋体" w:hAnsi="宋体" w:eastAsia="宋体" w:cs="宋体"/>
          <w:spacing w:val="0"/>
          <w:w w:val="100"/>
          <w:position w:val="0"/>
          <w:sz w:val="24"/>
          <w:szCs w:val="24"/>
          <w:u w:val="single" w:color="auto"/>
        </w:rPr>
        <w:t xml:space="preserve">                         </w:t>
      </w:r>
    </w:p>
    <w:p w14:paraId="4918B481">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3E38BF1D">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4EAF832A">
      <w:pPr>
        <w:pStyle w:val="7"/>
        <w:keepNext w:val="0"/>
        <w:keepLines w:val="0"/>
        <w:pageBreakBefore w:val="0"/>
        <w:widowControl/>
        <w:kinsoku/>
        <w:wordWrap/>
        <w:overflowPunct/>
        <w:topLinePunct w:val="0"/>
        <w:autoSpaceDE/>
        <w:autoSpaceDN/>
        <w:bidi w:val="0"/>
        <w:adjustRightInd w:val="0"/>
        <w:snapToGrid w:val="0"/>
        <w:spacing w:before="78" w:line="188" w:lineRule="auto"/>
        <w:ind w:left="43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14:paraId="4F08FBB6">
      <w:pPr>
        <w:keepNext w:val="0"/>
        <w:keepLines w:val="0"/>
        <w:pageBreakBefore w:val="0"/>
        <w:widowControl/>
        <w:kinsoku/>
        <w:wordWrap/>
        <w:overflowPunct/>
        <w:topLinePunct w:val="0"/>
        <w:autoSpaceDE/>
        <w:autoSpaceDN/>
        <w:bidi w:val="0"/>
        <w:adjustRightInd w:val="0"/>
        <w:snapToGrid w:val="0"/>
        <w:spacing w:line="19" w:lineRule="exact"/>
        <w:ind w:left="317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14:paraId="05A8EB87">
      <w:pPr>
        <w:pStyle w:val="7"/>
        <w:keepNext w:val="0"/>
        <w:keepLines w:val="0"/>
        <w:pageBreakBefore w:val="0"/>
        <w:widowControl/>
        <w:kinsoku/>
        <w:wordWrap/>
        <w:overflowPunct/>
        <w:topLinePunct w:val="0"/>
        <w:autoSpaceDE/>
        <w:autoSpaceDN/>
        <w:bidi w:val="0"/>
        <w:adjustRightInd w:val="0"/>
        <w:snapToGrid w:val="0"/>
        <w:spacing w:before="203" w:line="220" w:lineRule="auto"/>
        <w:ind w:left="47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4A6DFFA2">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49FC9258">
      <w:pPr>
        <w:pStyle w:val="7"/>
        <w:keepNext w:val="0"/>
        <w:keepLines w:val="0"/>
        <w:pageBreakBefore w:val="0"/>
        <w:widowControl/>
        <w:kinsoku/>
        <w:wordWrap/>
        <w:overflowPunct/>
        <w:topLinePunct w:val="0"/>
        <w:autoSpaceDE/>
        <w:autoSpaceDN/>
        <w:bidi w:val="0"/>
        <w:adjustRightInd w:val="0"/>
        <w:snapToGrid w:val="0"/>
        <w:spacing w:before="78" w:line="219" w:lineRule="auto"/>
        <w:ind w:left="130"/>
        <w:textAlignment w:val="baseline"/>
        <w:outlineLvl w:val="2"/>
        <w:rPr>
          <w:rFonts w:hint="eastAsia" w:ascii="宋体" w:hAnsi="宋体" w:eastAsia="宋体" w:cs="宋体"/>
          <w:spacing w:val="0"/>
          <w:w w:val="100"/>
          <w:position w:val="0"/>
          <w:sz w:val="24"/>
          <w:szCs w:val="24"/>
        </w:rPr>
      </w:pPr>
      <w:bookmarkStart w:id="120" w:name="_Toc30099"/>
      <w:r>
        <w:rPr>
          <w:rFonts w:hint="eastAsia" w:ascii="宋体" w:hAnsi="宋体" w:eastAsia="宋体" w:cs="宋体"/>
          <w:spacing w:val="0"/>
          <w:w w:val="100"/>
          <w:position w:val="0"/>
          <w:sz w:val="24"/>
          <w:szCs w:val="24"/>
        </w:rPr>
        <w:t>2   授权委托书（实质性格式）</w:t>
      </w:r>
      <w:bookmarkEnd w:id="120"/>
    </w:p>
    <w:p w14:paraId="7FB35C79">
      <w:pPr>
        <w:pStyle w:val="7"/>
        <w:keepNext w:val="0"/>
        <w:keepLines w:val="0"/>
        <w:pageBreakBefore w:val="0"/>
        <w:widowControl/>
        <w:kinsoku/>
        <w:wordWrap/>
        <w:overflowPunct/>
        <w:topLinePunct w:val="0"/>
        <w:autoSpaceDE/>
        <w:autoSpaceDN/>
        <w:bidi w:val="0"/>
        <w:adjustRightInd w:val="0"/>
        <w:snapToGrid w:val="0"/>
        <w:spacing w:before="126" w:line="219" w:lineRule="auto"/>
        <w:ind w:left="3757"/>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授权委托书</w:t>
      </w:r>
    </w:p>
    <w:p w14:paraId="55500D81">
      <w:pPr>
        <w:keepNext w:val="0"/>
        <w:keepLines w:val="0"/>
        <w:pageBreakBefore w:val="0"/>
        <w:widowControl/>
        <w:kinsoku/>
        <w:wordWrap/>
        <w:overflowPunct/>
        <w:topLinePunct w:val="0"/>
        <w:autoSpaceDE/>
        <w:autoSpaceDN/>
        <w:bidi w:val="0"/>
        <w:adjustRightInd w:val="0"/>
        <w:snapToGrid w:val="0"/>
        <w:spacing w:line="328" w:lineRule="auto"/>
        <w:textAlignment w:val="baseline"/>
        <w:rPr>
          <w:rFonts w:hint="eastAsia" w:ascii="宋体" w:hAnsi="宋体" w:eastAsia="宋体" w:cs="宋体"/>
          <w:spacing w:val="0"/>
          <w:w w:val="100"/>
          <w:position w:val="0"/>
          <w:sz w:val="21"/>
        </w:rPr>
      </w:pPr>
    </w:p>
    <w:p w14:paraId="0C07BC0C">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（投标人名称）的法定代表人（单位负责人），现委托</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（姓名）为我方代理人。代理人根据授权，以我方名义签署、澄清确认、</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交、撤回、修改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（项目名称）投标文件和处理有关事宜，其法律后果由我方承担。</w:t>
      </w:r>
    </w:p>
    <w:p w14:paraId="201F726F">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委托期限：自本授权委托书签署之日起至投标有效期届满之日止。</w:t>
      </w:r>
    </w:p>
    <w:p w14:paraId="49F33841">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代理人无转委托权。</w:t>
      </w:r>
    </w:p>
    <w:p w14:paraId="4C730DEF">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14:paraId="78E1A3E5">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385F61EE">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r>
        <w:rPr>
          <w:rFonts w:hint="eastAsia" w:ascii="宋体" w:hAnsi="宋体" w:eastAsia="宋体" w:cs="宋体"/>
          <w:spacing w:val="0"/>
          <w:w w:val="100"/>
          <w:position w:val="0"/>
          <w:sz w:val="24"/>
          <w:szCs w:val="24"/>
          <w:u w:val="single" w:color="auto"/>
        </w:rPr>
        <w:t xml:space="preserve">                 </w:t>
      </w:r>
    </w:p>
    <w:p w14:paraId="6320B171">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委托代理人（签字或签章）：</w:t>
      </w:r>
      <w:r>
        <w:rPr>
          <w:rFonts w:hint="eastAsia" w:ascii="宋体" w:hAnsi="宋体" w:eastAsia="宋体" w:cs="宋体"/>
          <w:spacing w:val="0"/>
          <w:w w:val="100"/>
          <w:position w:val="0"/>
          <w:sz w:val="24"/>
          <w:szCs w:val="24"/>
          <w:u w:val="single" w:color="auto"/>
        </w:rPr>
        <w:t xml:space="preserve">                 </w:t>
      </w:r>
    </w:p>
    <w:p w14:paraId="0813CB1E">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0B13A1D1">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14:paraId="2C0598F9">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附：法定代表人及委托代理人身份证明文件电子件：</w:t>
      </w:r>
    </w:p>
    <w:p w14:paraId="45E9BA19">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5"/>
                    <a:stretch>
                      <a:fillRect/>
                    </a:stretch>
                  </pic:blipFill>
                  <pic:spPr>
                    <a:xfrm>
                      <a:off x="0" y="0"/>
                      <a:ext cx="5274302" cy="1372591"/>
                    </a:xfrm>
                    <a:prstGeom prst="rect">
                      <a:avLst/>
                    </a:prstGeom>
                  </pic:spPr>
                </pic:pic>
              </a:graphicData>
            </a:graphic>
          </wp:inline>
        </w:drawing>
      </w:r>
    </w:p>
    <w:p w14:paraId="56CC7821">
      <w:pPr>
        <w:pStyle w:val="7"/>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355AF1FA">
      <w:pPr>
        <w:pStyle w:val="7"/>
        <w:keepNext w:val="0"/>
        <w:keepLines w:val="0"/>
        <w:pageBreakBefore w:val="0"/>
        <w:widowControl/>
        <w:kinsoku/>
        <w:wordWrap/>
        <w:overflowPunct/>
        <w:topLinePunct w:val="0"/>
        <w:autoSpaceDE/>
        <w:autoSpaceDN/>
        <w:bidi w:val="0"/>
        <w:adjustRightInd w:val="0"/>
        <w:snapToGrid w:val="0"/>
        <w:spacing w:line="360" w:lineRule="auto"/>
        <w:ind w:lef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1.若供应商为事业单位或其他组织或分支机构， 则法定代表人（单位负责人）处的签署人可为单位负责人。</w:t>
      </w:r>
    </w:p>
    <w:p w14:paraId="1F694469">
      <w:pPr>
        <w:pStyle w:val="7"/>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2.若投标文件中签字之处均为法定代表人（单位负责人）本人签署，则可不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供本《授权委托书》，但须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供《法定代表人（单位负责人）身份证明》；否则，不需要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w:t>
      </w:r>
    </w:p>
    <w:p w14:paraId="28697E78">
      <w:pPr>
        <w:pStyle w:val="7"/>
        <w:keepNext w:val="0"/>
        <w:keepLines w:val="0"/>
        <w:pageBreakBefore w:val="0"/>
        <w:widowControl/>
        <w:kinsoku/>
        <w:wordWrap/>
        <w:overflowPunct/>
        <w:topLinePunct w:val="0"/>
        <w:autoSpaceDE/>
        <w:autoSpaceDN/>
        <w:bidi w:val="0"/>
        <w:adjustRightInd w:val="0"/>
        <w:snapToGrid w:val="0"/>
        <w:spacing w:line="360" w:lineRule="auto"/>
        <w:ind w:left="0" w:firstLine="0"/>
        <w:textAlignment w:val="baseline"/>
        <w:outlineLvl w:val="2"/>
        <w:rPr>
          <w:rFonts w:hint="eastAsia" w:ascii="宋体" w:hAnsi="宋体" w:eastAsia="宋体" w:cs="宋体"/>
          <w:spacing w:val="0"/>
          <w:w w:val="100"/>
          <w:position w:val="0"/>
          <w:sz w:val="24"/>
          <w:szCs w:val="24"/>
        </w:rPr>
      </w:pPr>
      <w:bookmarkStart w:id="121" w:name="_Toc28961"/>
      <w:r>
        <w:rPr>
          <w:rFonts w:hint="eastAsia" w:ascii="宋体" w:hAnsi="宋体" w:eastAsia="宋体" w:cs="宋体"/>
          <w:spacing w:val="0"/>
          <w:w w:val="100"/>
          <w:position w:val="0"/>
          <w:sz w:val="24"/>
          <w:szCs w:val="24"/>
        </w:rPr>
        <w:t>3.供应商为自然人的情形，可不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w:t>
      </w:r>
      <w:bookmarkEnd w:id="121"/>
    </w:p>
    <w:p w14:paraId="7FBC03F5">
      <w:pPr>
        <w:pStyle w:val="7"/>
        <w:keepNext w:val="0"/>
        <w:keepLines w:val="0"/>
        <w:pageBreakBefore w:val="0"/>
        <w:widowControl w:val="0"/>
        <w:kinsoku/>
        <w:wordWrap/>
        <w:overflowPunct/>
        <w:topLinePunct w:val="0"/>
        <w:autoSpaceDE/>
        <w:autoSpaceDN/>
        <w:bidi w:val="0"/>
        <w:adjustRightInd w:val="0"/>
        <w:snapToGrid w:val="0"/>
        <w:spacing w:line="360" w:lineRule="auto"/>
        <w:ind w:lef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4.供应商应随本《授权委托书》同时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供法定代表人（单位负责人）及委托代理人的有 效的身份证、护照等身份证明文件电子件。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供身份证的，应同时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双面</w:t>
      </w:r>
      <w:r>
        <w:rPr>
          <w:rFonts w:hint="eastAsia" w:ascii="宋体" w:hAnsi="宋体" w:eastAsia="宋体" w:cs="宋体"/>
          <w:spacing w:val="0"/>
          <w:w w:val="100"/>
          <w:position w:val="0"/>
          <w:sz w:val="24"/>
          <w:szCs w:val="24"/>
        </w:rPr>
        <w:t>电子件。</w:t>
      </w:r>
    </w:p>
    <w:p w14:paraId="52BA3AB2">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3C7391AC">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法定代表人（单位负责人）身份证明</w:t>
      </w:r>
    </w:p>
    <w:p w14:paraId="4F64744B">
      <w:pPr>
        <w:pStyle w:val="7"/>
        <w:keepNext w:val="0"/>
        <w:keepLines w:val="0"/>
        <w:pageBreakBefore w:val="0"/>
        <w:widowControl/>
        <w:kinsoku/>
        <w:wordWrap/>
        <w:overflowPunct/>
        <w:topLinePunct w:val="0"/>
        <w:autoSpaceDE/>
        <w:autoSpaceDN/>
        <w:bidi w:val="0"/>
        <w:adjustRightInd w:val="0"/>
        <w:snapToGrid w:val="0"/>
        <w:spacing w:before="0" w:beforeLines="100"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686DEAF3">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716BD9FE">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兹证明，</w:t>
      </w:r>
    </w:p>
    <w:p w14:paraId="505AD888">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姓名：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性别：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职务：____</w:t>
      </w:r>
    </w:p>
    <w:p w14:paraId="3DEAEEFA">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455830C8">
      <w:pPr>
        <w:pStyle w:val="7"/>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（投标人名称）的法定代表人（单位负责人）。</w:t>
      </w:r>
    </w:p>
    <w:p w14:paraId="4050FB7A">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2F46F718">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64C98BE8">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附：法定代表人（单位负责人）身份证、护照等身份证明文件电子件：</w:t>
      </w:r>
    </w:p>
    <w:p w14:paraId="775A3133">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74C4D74D">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6"/>
                    <a:stretch>
                      <a:fillRect/>
                    </a:stretch>
                  </pic:blipFill>
                  <pic:spPr>
                    <a:xfrm>
                      <a:off x="0" y="0"/>
                      <a:ext cx="5760736" cy="1451968"/>
                    </a:xfrm>
                    <a:prstGeom prst="rect">
                      <a:avLst/>
                    </a:prstGeom>
                  </pic:spPr>
                </pic:pic>
              </a:graphicData>
            </a:graphic>
          </wp:inline>
        </w:drawing>
      </w:r>
    </w:p>
    <w:p w14:paraId="27D63D2C">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6BDB5665">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7EFABDCF">
      <w:pPr>
        <w:keepNext w:val="0"/>
        <w:keepLines w:val="0"/>
        <w:pageBreakBefore w:val="0"/>
        <w:widowControl/>
        <w:kinsoku/>
        <w:wordWrap/>
        <w:overflowPunct/>
        <w:topLinePunct w:val="0"/>
        <w:autoSpaceDE/>
        <w:autoSpaceDN/>
        <w:bidi w:val="0"/>
        <w:adjustRightInd w:val="0"/>
        <w:snapToGrid w:val="0"/>
        <w:spacing w:line="251" w:lineRule="auto"/>
        <w:textAlignment w:val="baseline"/>
        <w:rPr>
          <w:rFonts w:hint="eastAsia" w:ascii="宋体" w:hAnsi="宋体" w:eastAsia="宋体" w:cs="宋体"/>
          <w:spacing w:val="0"/>
          <w:w w:val="100"/>
          <w:position w:val="0"/>
          <w:sz w:val="21"/>
        </w:rPr>
      </w:pPr>
    </w:p>
    <w:p w14:paraId="07F88CA0">
      <w:pPr>
        <w:pStyle w:val="7"/>
        <w:keepNext w:val="0"/>
        <w:keepLines w:val="0"/>
        <w:pageBreakBefore w:val="0"/>
        <w:widowControl/>
        <w:kinsoku/>
        <w:wordWrap/>
        <w:overflowPunct/>
        <w:topLinePunct w:val="0"/>
        <w:autoSpaceDE/>
        <w:autoSpaceDN/>
        <w:bidi w:val="0"/>
        <w:adjustRightInd w:val="0"/>
        <w:snapToGrid w:val="0"/>
        <w:spacing w:before="79" w:line="219" w:lineRule="auto"/>
        <w:ind w:left="12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25C95A37">
      <w:pPr>
        <w:pStyle w:val="7"/>
        <w:keepNext w:val="0"/>
        <w:keepLines w:val="0"/>
        <w:pageBreakBefore w:val="0"/>
        <w:widowControl/>
        <w:kinsoku/>
        <w:wordWrap/>
        <w:overflowPunct/>
        <w:topLinePunct w:val="0"/>
        <w:autoSpaceDE/>
        <w:autoSpaceDN/>
        <w:bidi w:val="0"/>
        <w:adjustRightInd w:val="0"/>
        <w:snapToGrid w:val="0"/>
        <w:spacing w:before="303" w:line="189" w:lineRule="auto"/>
        <w:ind w:left="12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p>
    <w:p w14:paraId="2265006D">
      <w:pPr>
        <w:keepNext w:val="0"/>
        <w:keepLines w:val="0"/>
        <w:pageBreakBefore w:val="0"/>
        <w:widowControl/>
        <w:kinsoku/>
        <w:wordWrap/>
        <w:overflowPunct/>
        <w:topLinePunct w:val="0"/>
        <w:autoSpaceDE/>
        <w:autoSpaceDN/>
        <w:bidi w:val="0"/>
        <w:adjustRightInd w:val="0"/>
        <w:snapToGrid w:val="0"/>
        <w:spacing w:line="20" w:lineRule="exact"/>
        <w:ind w:left="458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1D9AB2C5">
      <w:pPr>
        <w:keepNext w:val="0"/>
        <w:keepLines w:val="0"/>
        <w:pageBreakBefore w:val="0"/>
        <w:widowControl/>
        <w:kinsoku/>
        <w:wordWrap/>
        <w:overflowPunct/>
        <w:topLinePunct w:val="0"/>
        <w:autoSpaceDE/>
        <w:autoSpaceDN/>
        <w:bidi w:val="0"/>
        <w:adjustRightInd w:val="0"/>
        <w:snapToGrid w:val="0"/>
        <w:spacing w:line="275" w:lineRule="auto"/>
        <w:textAlignment w:val="baseline"/>
        <w:rPr>
          <w:rFonts w:hint="eastAsia" w:ascii="宋体" w:hAnsi="宋体" w:eastAsia="宋体" w:cs="宋体"/>
          <w:spacing w:val="0"/>
          <w:w w:val="100"/>
          <w:position w:val="0"/>
          <w:sz w:val="21"/>
        </w:rPr>
      </w:pPr>
    </w:p>
    <w:p w14:paraId="66E5CECC">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14:paraId="57D6945A">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14:paraId="708CCA2C">
      <w:pPr>
        <w:pStyle w:val="7"/>
        <w:keepNext w:val="0"/>
        <w:keepLines w:val="0"/>
        <w:pageBreakBefore w:val="0"/>
        <w:widowControl/>
        <w:kinsoku/>
        <w:wordWrap/>
        <w:overflowPunct/>
        <w:topLinePunct w:val="0"/>
        <w:autoSpaceDE/>
        <w:autoSpaceDN/>
        <w:bidi w:val="0"/>
        <w:adjustRightInd w:val="0"/>
        <w:snapToGrid w:val="0"/>
        <w:spacing w:before="78" w:line="220" w:lineRule="auto"/>
        <w:ind w:left="16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78A876A3">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1FEC16ED">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63463641">
      <w:pPr>
        <w:pStyle w:val="7"/>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22" w:name="_Toc5094"/>
      <w:r>
        <w:rPr>
          <w:rFonts w:hint="eastAsia" w:ascii="宋体" w:hAnsi="宋体" w:eastAsia="宋体" w:cs="宋体"/>
          <w:spacing w:val="0"/>
          <w:w w:val="100"/>
          <w:position w:val="0"/>
          <w:sz w:val="24"/>
          <w:szCs w:val="24"/>
        </w:rPr>
        <w:t>3   开标一览表（实质性格式）</w:t>
      </w:r>
      <w:bookmarkEnd w:id="122"/>
    </w:p>
    <w:p w14:paraId="4D9E9E24">
      <w:pPr>
        <w:pStyle w:val="7"/>
        <w:keepNext w:val="0"/>
        <w:keepLines w:val="0"/>
        <w:pageBreakBefore w:val="0"/>
        <w:widowControl/>
        <w:kinsoku/>
        <w:wordWrap/>
        <w:overflowPunct/>
        <w:topLinePunct w:val="0"/>
        <w:autoSpaceDE/>
        <w:autoSpaceDN/>
        <w:bidi w:val="0"/>
        <w:adjustRightInd w:val="0"/>
        <w:snapToGrid w:val="0"/>
        <w:spacing w:before="124" w:line="221" w:lineRule="auto"/>
        <w:ind w:left="3647"/>
        <w:textAlignment w:val="baseline"/>
        <w:outlineLvl w:val="1"/>
        <w:rPr>
          <w:rFonts w:hint="eastAsia" w:ascii="宋体" w:hAnsi="宋体" w:eastAsia="宋体" w:cs="宋体"/>
          <w:spacing w:val="0"/>
          <w:w w:val="100"/>
          <w:position w:val="0"/>
          <w:sz w:val="36"/>
          <w:szCs w:val="36"/>
        </w:rPr>
      </w:pPr>
      <w:bookmarkStart w:id="123" w:name="_Toc773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开标一览表</w:t>
      </w:r>
      <w:bookmarkEnd w:id="123"/>
    </w:p>
    <w:p w14:paraId="183261F8">
      <w:pPr>
        <w:keepNext w:val="0"/>
        <w:keepLines w:val="0"/>
        <w:pageBreakBefore w:val="0"/>
        <w:widowControl/>
        <w:kinsoku/>
        <w:wordWrap/>
        <w:overflowPunct/>
        <w:topLinePunct w:val="0"/>
        <w:autoSpaceDE/>
        <w:autoSpaceDN/>
        <w:bidi w:val="0"/>
        <w:adjustRightInd w:val="0"/>
        <w:snapToGrid w:val="0"/>
        <w:spacing w:line="321" w:lineRule="auto"/>
        <w:textAlignment w:val="baseline"/>
        <w:rPr>
          <w:rFonts w:hint="eastAsia" w:ascii="宋体" w:hAnsi="宋体" w:eastAsia="宋体" w:cs="宋体"/>
          <w:spacing w:val="0"/>
          <w:w w:val="100"/>
          <w:position w:val="0"/>
          <w:sz w:val="21"/>
        </w:rPr>
      </w:pPr>
    </w:p>
    <w:p w14:paraId="062C495A">
      <w:pPr>
        <w:pStyle w:val="7"/>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p>
    <w:p w14:paraId="0D128436">
      <w:pPr>
        <w:pStyle w:val="7"/>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p w14:paraId="5F5BFDB1">
      <w:pPr>
        <w:keepNext w:val="0"/>
        <w:keepLines w:val="0"/>
        <w:pageBreakBefore w:val="0"/>
        <w:widowControl/>
        <w:kinsoku/>
        <w:wordWrap/>
        <w:overflowPunct/>
        <w:topLinePunct w:val="0"/>
        <w:autoSpaceDE/>
        <w:autoSpaceDN/>
        <w:bidi w:val="0"/>
        <w:adjustRightInd w:val="0"/>
        <w:snapToGrid w:val="0"/>
        <w:spacing w:line="143" w:lineRule="exact"/>
        <w:textAlignment w:val="baseline"/>
        <w:rPr>
          <w:rFonts w:hint="eastAsia" w:ascii="宋体" w:hAnsi="宋体" w:eastAsia="宋体" w:cs="宋体"/>
          <w:spacing w:val="0"/>
          <w:w w:val="100"/>
          <w:position w:val="0"/>
        </w:rPr>
      </w:pPr>
    </w:p>
    <w:tbl>
      <w:tblPr>
        <w:tblStyle w:val="25"/>
        <w:tblW w:w="8376"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tblGrid>
      <w:tr w14:paraId="2AE15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vAlign w:val="top"/>
          </w:tcPr>
          <w:p w14:paraId="3C0D08FA">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spacing w:val="0"/>
                <w:w w:val="100"/>
                <w:position w:val="0"/>
                <w:sz w:val="21"/>
              </w:rPr>
            </w:pPr>
          </w:p>
          <w:p w14:paraId="5AFF418F">
            <w:pPr>
              <w:pStyle w:val="26"/>
              <w:keepNext w:val="0"/>
              <w:keepLines w:val="0"/>
              <w:pageBreakBefore w:val="0"/>
              <w:widowControl/>
              <w:kinsoku/>
              <w:wordWrap/>
              <w:overflowPunct/>
              <w:topLinePunct w:val="0"/>
              <w:autoSpaceDE/>
              <w:autoSpaceDN/>
              <w:bidi w:val="0"/>
              <w:adjustRightInd w:val="0"/>
              <w:snapToGrid w:val="0"/>
              <w:spacing w:before="78" w:line="222" w:lineRule="auto"/>
              <w:ind w:left="11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包号</w:t>
            </w:r>
          </w:p>
        </w:tc>
        <w:tc>
          <w:tcPr>
            <w:tcW w:w="3706" w:type="dxa"/>
            <w:vMerge w:val="restart"/>
            <w:tcBorders>
              <w:bottom w:val="nil"/>
            </w:tcBorders>
            <w:vAlign w:val="top"/>
          </w:tcPr>
          <w:p w14:paraId="24D30307">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spacing w:val="0"/>
                <w:w w:val="100"/>
                <w:position w:val="0"/>
                <w:sz w:val="21"/>
              </w:rPr>
            </w:pPr>
          </w:p>
          <w:p w14:paraId="240EE622">
            <w:pPr>
              <w:pStyle w:val="26"/>
              <w:keepNext w:val="0"/>
              <w:keepLines w:val="0"/>
              <w:pageBreakBefore w:val="0"/>
              <w:widowControl/>
              <w:kinsoku/>
              <w:wordWrap/>
              <w:overflowPunct/>
              <w:topLinePunct w:val="0"/>
              <w:autoSpaceDE/>
              <w:autoSpaceDN/>
              <w:bidi w:val="0"/>
              <w:adjustRightInd w:val="0"/>
              <w:snapToGrid w:val="0"/>
              <w:spacing w:before="78" w:line="221" w:lineRule="auto"/>
              <w:ind w:left="126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投标人名称</w:t>
            </w:r>
          </w:p>
        </w:tc>
        <w:tc>
          <w:tcPr>
            <w:tcW w:w="3976" w:type="dxa"/>
            <w:gridSpan w:val="2"/>
            <w:vAlign w:val="top"/>
          </w:tcPr>
          <w:p w14:paraId="33CE1A79">
            <w:pPr>
              <w:pStyle w:val="26"/>
              <w:keepNext w:val="0"/>
              <w:keepLines w:val="0"/>
              <w:pageBreakBefore w:val="0"/>
              <w:widowControl/>
              <w:kinsoku/>
              <w:wordWrap/>
              <w:overflowPunct/>
              <w:topLinePunct w:val="0"/>
              <w:autoSpaceDE/>
              <w:autoSpaceDN/>
              <w:bidi w:val="0"/>
              <w:adjustRightInd w:val="0"/>
              <w:snapToGrid w:val="0"/>
              <w:spacing w:before="150" w:line="219" w:lineRule="auto"/>
              <w:ind w:left="151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投标报价</w:t>
            </w:r>
          </w:p>
        </w:tc>
      </w:tr>
      <w:tr w14:paraId="280EB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vAlign w:val="top"/>
          </w:tcPr>
          <w:p w14:paraId="0E88EFA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3706" w:type="dxa"/>
            <w:vMerge w:val="continue"/>
            <w:tcBorders>
              <w:top w:val="nil"/>
            </w:tcBorders>
            <w:vAlign w:val="top"/>
          </w:tcPr>
          <w:p w14:paraId="12F033F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988" w:type="dxa"/>
            <w:vAlign w:val="top"/>
          </w:tcPr>
          <w:p w14:paraId="643BFDE1">
            <w:pPr>
              <w:pStyle w:val="26"/>
              <w:keepNext w:val="0"/>
              <w:keepLines w:val="0"/>
              <w:pageBreakBefore w:val="0"/>
              <w:widowControl/>
              <w:kinsoku/>
              <w:wordWrap/>
              <w:overflowPunct/>
              <w:topLinePunct w:val="0"/>
              <w:autoSpaceDE/>
              <w:autoSpaceDN/>
              <w:bidi w:val="0"/>
              <w:adjustRightInd w:val="0"/>
              <w:snapToGrid w:val="0"/>
              <w:spacing w:before="217" w:line="221" w:lineRule="auto"/>
              <w:ind w:left="765"/>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大写</w:t>
            </w:r>
          </w:p>
        </w:tc>
        <w:tc>
          <w:tcPr>
            <w:tcW w:w="1988" w:type="dxa"/>
            <w:vAlign w:val="top"/>
          </w:tcPr>
          <w:p w14:paraId="0ED8FD36">
            <w:pPr>
              <w:pStyle w:val="26"/>
              <w:keepNext w:val="0"/>
              <w:keepLines w:val="0"/>
              <w:pageBreakBefore w:val="0"/>
              <w:widowControl/>
              <w:kinsoku/>
              <w:wordWrap/>
              <w:overflowPunct/>
              <w:topLinePunct w:val="0"/>
              <w:autoSpaceDE/>
              <w:autoSpaceDN/>
              <w:bidi w:val="0"/>
              <w:adjustRightInd w:val="0"/>
              <w:snapToGrid w:val="0"/>
              <w:spacing w:before="217" w:line="222" w:lineRule="auto"/>
              <w:ind w:left="76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小写</w:t>
            </w:r>
          </w:p>
        </w:tc>
      </w:tr>
      <w:tr w14:paraId="54CAB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vAlign w:val="top"/>
          </w:tcPr>
          <w:p w14:paraId="1FAD1DD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3706" w:type="dxa"/>
            <w:vAlign w:val="top"/>
          </w:tcPr>
          <w:p w14:paraId="6E4564F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988" w:type="dxa"/>
            <w:vAlign w:val="top"/>
          </w:tcPr>
          <w:p w14:paraId="18BB400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988" w:type="dxa"/>
            <w:vAlign w:val="top"/>
          </w:tcPr>
          <w:p w14:paraId="609CC61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09AE37DF">
      <w:pPr>
        <w:pStyle w:val="7"/>
        <w:keepNext w:val="0"/>
        <w:keepLines w:val="0"/>
        <w:pageBreakBefore w:val="0"/>
        <w:widowControl/>
        <w:kinsoku/>
        <w:wordWrap/>
        <w:overflowPunct/>
        <w:topLinePunct w:val="0"/>
        <w:autoSpaceDE/>
        <w:autoSpaceDN/>
        <w:bidi w:val="0"/>
        <w:adjustRightInd w:val="0"/>
        <w:snapToGrid w:val="0"/>
        <w:spacing w:before="315" w:line="230" w:lineRule="auto"/>
        <w:ind w:left="497" w:right="1197" w:hanging="4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 1.此表中，每包的投标报价应和《投标分项报价表》中的总价相一致。 2.本表必须按包分别填写。</w:t>
      </w:r>
    </w:p>
    <w:p w14:paraId="3E7C30CF">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14:paraId="690A0BA0">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14:paraId="7E6798CB">
      <w:pPr>
        <w:keepNext w:val="0"/>
        <w:keepLines w:val="0"/>
        <w:pageBreakBefore w:val="0"/>
        <w:widowControl/>
        <w:kinsoku/>
        <w:wordWrap/>
        <w:overflowPunct/>
        <w:topLinePunct w:val="0"/>
        <w:autoSpaceDE/>
        <w:autoSpaceDN/>
        <w:bidi w:val="0"/>
        <w:adjustRightInd w:val="0"/>
        <w:snapToGrid w:val="0"/>
        <w:spacing w:line="286" w:lineRule="auto"/>
        <w:textAlignment w:val="baseline"/>
        <w:rPr>
          <w:rFonts w:hint="eastAsia" w:ascii="宋体" w:hAnsi="宋体" w:eastAsia="宋体" w:cs="宋体"/>
          <w:spacing w:val="0"/>
          <w:w w:val="100"/>
          <w:position w:val="0"/>
          <w:sz w:val="21"/>
        </w:rPr>
      </w:pPr>
    </w:p>
    <w:p w14:paraId="569127BA">
      <w:pPr>
        <w:pStyle w:val="7"/>
        <w:keepNext w:val="0"/>
        <w:keepLines w:val="0"/>
        <w:pageBreakBefore w:val="0"/>
        <w:widowControl/>
        <w:kinsoku/>
        <w:wordWrap/>
        <w:overflowPunct/>
        <w:topLinePunct w:val="0"/>
        <w:autoSpaceDE/>
        <w:autoSpaceDN/>
        <w:bidi w:val="0"/>
        <w:adjustRightInd w:val="0"/>
        <w:snapToGrid w:val="0"/>
        <w:spacing w:before="78" w:line="378"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306DCE3C">
      <w:pPr>
        <w:pStyle w:val="7"/>
        <w:keepNext w:val="0"/>
        <w:keepLines w:val="0"/>
        <w:pageBreakBefore w:val="0"/>
        <w:widowControl/>
        <w:kinsoku/>
        <w:wordWrap/>
        <w:overflowPunct/>
        <w:topLinePunct w:val="0"/>
        <w:autoSpaceDE/>
        <w:autoSpaceDN/>
        <w:bidi w:val="0"/>
        <w:adjustRightInd w:val="0"/>
        <w:snapToGrid w:val="0"/>
        <w:spacing w:line="220" w:lineRule="auto"/>
        <w:ind w:left="5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3FF6BEE5">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headerReference r:id="rId8" w:type="default"/>
          <w:footerReference r:id="rId9" w:type="default"/>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14:paraId="3B832268">
      <w:pPr>
        <w:keepNext w:val="0"/>
        <w:keepLines w:val="0"/>
        <w:pageBreakBefore w:val="0"/>
        <w:widowControl/>
        <w:kinsoku/>
        <w:wordWrap/>
        <w:overflowPunct/>
        <w:topLinePunct w:val="0"/>
        <w:autoSpaceDE/>
        <w:autoSpaceDN/>
        <w:bidi w:val="0"/>
        <w:adjustRightInd w:val="0"/>
        <w:snapToGrid w:val="0"/>
        <w:spacing w:line="268" w:lineRule="auto"/>
        <w:textAlignment w:val="baseline"/>
        <w:rPr>
          <w:rFonts w:hint="eastAsia" w:ascii="宋体" w:hAnsi="宋体" w:eastAsia="宋体" w:cs="宋体"/>
          <w:spacing w:val="0"/>
          <w:w w:val="100"/>
          <w:position w:val="0"/>
          <w:sz w:val="21"/>
        </w:rPr>
      </w:pPr>
    </w:p>
    <w:p w14:paraId="086B1352">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7322BA99">
      <w:pPr>
        <w:pStyle w:val="7"/>
        <w:keepNext w:val="0"/>
        <w:keepLines w:val="0"/>
        <w:pageBreakBefore w:val="0"/>
        <w:widowControl/>
        <w:kinsoku/>
        <w:wordWrap/>
        <w:overflowPunct/>
        <w:topLinePunct w:val="0"/>
        <w:autoSpaceDE/>
        <w:autoSpaceDN/>
        <w:bidi w:val="0"/>
        <w:adjustRightInd w:val="0"/>
        <w:snapToGrid w:val="0"/>
        <w:spacing w:before="78" w:line="219" w:lineRule="auto"/>
        <w:ind w:left="124"/>
        <w:textAlignment w:val="baseline"/>
        <w:outlineLvl w:val="2"/>
        <w:rPr>
          <w:rFonts w:hint="eastAsia" w:ascii="宋体" w:hAnsi="宋体" w:eastAsia="宋体" w:cs="宋体"/>
          <w:spacing w:val="0"/>
          <w:w w:val="100"/>
          <w:position w:val="0"/>
          <w:sz w:val="24"/>
          <w:szCs w:val="24"/>
        </w:rPr>
      </w:pPr>
      <w:bookmarkStart w:id="124" w:name="_Toc20117"/>
      <w:r>
        <w:rPr>
          <w:rFonts w:hint="eastAsia" w:ascii="宋体" w:hAnsi="宋体" w:eastAsia="宋体" w:cs="宋体"/>
          <w:spacing w:val="0"/>
          <w:w w:val="100"/>
          <w:position w:val="0"/>
          <w:sz w:val="24"/>
          <w:szCs w:val="24"/>
        </w:rPr>
        <w:t>4   投标分项报价表（实质性格式）</w:t>
      </w:r>
    </w:p>
    <w:p w14:paraId="57B75D22">
      <w:pPr>
        <w:keepNext w:val="0"/>
        <w:keepLines w:val="0"/>
        <w:pageBreakBefore w:val="0"/>
        <w:widowControl/>
        <w:kinsoku/>
        <w:wordWrap/>
        <w:overflowPunct/>
        <w:topLinePunct w:val="0"/>
        <w:autoSpaceDE/>
        <w:autoSpaceDN/>
        <w:bidi w:val="0"/>
        <w:adjustRightInd w:val="0"/>
        <w:snapToGrid w:val="0"/>
        <w:spacing w:line="363" w:lineRule="auto"/>
        <w:textAlignment w:val="baseline"/>
        <w:rPr>
          <w:rFonts w:hint="eastAsia" w:ascii="宋体" w:hAnsi="宋体" w:eastAsia="宋体" w:cs="宋体"/>
          <w:spacing w:val="0"/>
          <w:w w:val="100"/>
          <w:position w:val="0"/>
          <w:sz w:val="21"/>
        </w:rPr>
      </w:pPr>
    </w:p>
    <w:p w14:paraId="0081B4F9">
      <w:pPr>
        <w:pStyle w:val="14"/>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color w:val="000000"/>
          <w:sz w:val="24"/>
          <w:szCs w:val="24"/>
        </w:rPr>
        <w:t>项目编号/包号：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项目名称：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报价单位：人民币元</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2415"/>
        <w:gridCol w:w="1658"/>
        <w:gridCol w:w="1658"/>
        <w:gridCol w:w="1658"/>
        <w:gridCol w:w="1658"/>
      </w:tblGrid>
      <w:tr w14:paraId="3A62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00" w:type="dxa"/>
            <w:vAlign w:val="center"/>
          </w:tcPr>
          <w:p w14:paraId="4B63F88B">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jc w:val="center"/>
              <w:textAlignment w:val="baseline"/>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2415" w:type="dxa"/>
            <w:vAlign w:val="center"/>
          </w:tcPr>
          <w:p w14:paraId="6A83E864">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jc w:val="center"/>
              <w:textAlignment w:val="baseline"/>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分项名称</w:t>
            </w:r>
          </w:p>
        </w:tc>
        <w:tc>
          <w:tcPr>
            <w:tcW w:w="1658" w:type="dxa"/>
            <w:vAlign w:val="center"/>
          </w:tcPr>
          <w:p w14:paraId="1DD77D62">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jc w:val="center"/>
              <w:textAlignment w:val="baseline"/>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单价（元）</w:t>
            </w:r>
          </w:p>
        </w:tc>
        <w:tc>
          <w:tcPr>
            <w:tcW w:w="1658" w:type="dxa"/>
            <w:vAlign w:val="center"/>
          </w:tcPr>
          <w:p w14:paraId="45D42877">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jc w:val="center"/>
              <w:textAlignment w:val="baseline"/>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1658" w:type="dxa"/>
            <w:vAlign w:val="center"/>
          </w:tcPr>
          <w:p w14:paraId="209F4B55">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jc w:val="center"/>
              <w:textAlignment w:val="baseline"/>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合价（元）</w:t>
            </w:r>
          </w:p>
        </w:tc>
        <w:tc>
          <w:tcPr>
            <w:tcW w:w="1658" w:type="dxa"/>
            <w:vAlign w:val="center"/>
          </w:tcPr>
          <w:p w14:paraId="4C4D0514">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jc w:val="center"/>
              <w:textAlignment w:val="baseline"/>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备注/说明</w:t>
            </w:r>
          </w:p>
        </w:tc>
      </w:tr>
      <w:tr w14:paraId="2CB5C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00" w:type="dxa"/>
            <w:vAlign w:val="center"/>
          </w:tcPr>
          <w:p w14:paraId="2DC1528A">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jc w:val="center"/>
              <w:textAlignment w:val="baseline"/>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2415" w:type="dxa"/>
            <w:vAlign w:val="center"/>
          </w:tcPr>
          <w:p w14:paraId="1056DEFB">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5CB229F7">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4EF171C3">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26EDC6CE">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6E05B57C">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r>
      <w:tr w14:paraId="538F0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00" w:type="dxa"/>
            <w:vAlign w:val="center"/>
          </w:tcPr>
          <w:p w14:paraId="1D7FA66F">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jc w:val="center"/>
              <w:textAlignment w:val="baseline"/>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2415" w:type="dxa"/>
            <w:vAlign w:val="center"/>
          </w:tcPr>
          <w:p w14:paraId="38D14605">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3FB9FB87">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06411300">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1C9AB72B">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10610F05">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r>
      <w:tr w14:paraId="622A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00" w:type="dxa"/>
            <w:vAlign w:val="center"/>
          </w:tcPr>
          <w:p w14:paraId="28B6CAEF">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jc w:val="center"/>
              <w:textAlignment w:val="baseline"/>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2415" w:type="dxa"/>
            <w:vAlign w:val="center"/>
          </w:tcPr>
          <w:p w14:paraId="1C0E08A0">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t>
            </w:r>
          </w:p>
        </w:tc>
        <w:tc>
          <w:tcPr>
            <w:tcW w:w="1658" w:type="dxa"/>
            <w:vAlign w:val="center"/>
          </w:tcPr>
          <w:p w14:paraId="224475D6">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4B0F1EB9">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1784D0DC">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18496070">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r>
      <w:tr w14:paraId="25EF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631" w:type="dxa"/>
            <w:gridSpan w:val="4"/>
            <w:vAlign w:val="center"/>
          </w:tcPr>
          <w:p w14:paraId="4747C6A5">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jc w:val="right"/>
              <w:textAlignment w:val="baseline"/>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总价（元）</w:t>
            </w:r>
          </w:p>
        </w:tc>
        <w:tc>
          <w:tcPr>
            <w:tcW w:w="1658" w:type="dxa"/>
            <w:vAlign w:val="center"/>
          </w:tcPr>
          <w:p w14:paraId="546F5677">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c>
          <w:tcPr>
            <w:tcW w:w="1658" w:type="dxa"/>
            <w:vAlign w:val="center"/>
          </w:tcPr>
          <w:p w14:paraId="31CE620C">
            <w:pPr>
              <w:pStyle w:val="16"/>
              <w:keepNext w:val="0"/>
              <w:keepLines w:val="0"/>
              <w:pageBreakBefore w:val="0"/>
              <w:widowControl/>
              <w:kinsoku w:val="0"/>
              <w:wordWrap/>
              <w:overflowPunct/>
              <w:topLinePunct w:val="0"/>
              <w:autoSpaceDE w:val="0"/>
              <w:autoSpaceDN w:val="0"/>
              <w:bidi w:val="0"/>
              <w:adjustRightInd w:val="0"/>
              <w:snapToGrid w:val="0"/>
              <w:spacing w:after="0"/>
              <w:ind w:firstLine="0" w:firstLineChars="0"/>
              <w:textAlignment w:val="baseline"/>
              <w:rPr>
                <w:rFonts w:hint="eastAsia" w:ascii="宋体" w:hAnsi="宋体" w:eastAsia="宋体" w:cs="宋体"/>
                <w:sz w:val="24"/>
                <w:szCs w:val="24"/>
                <w:vertAlign w:val="baseline"/>
              </w:rPr>
            </w:pPr>
          </w:p>
        </w:tc>
      </w:tr>
    </w:tbl>
    <w:p w14:paraId="394C4B02">
      <w:pPr>
        <w:pStyle w:val="16"/>
        <w:rPr>
          <w:rFonts w:hint="eastAsia"/>
        </w:rPr>
      </w:pPr>
    </w:p>
    <w:p w14:paraId="5BCC6C3C">
      <w:pPr>
        <w:rPr>
          <w:rFonts w:hint="eastAsia"/>
        </w:rPr>
      </w:pPr>
    </w:p>
    <w:p w14:paraId="1475F1D6">
      <w:pPr>
        <w:pStyle w:val="16"/>
        <w:rPr>
          <w:rFonts w:hint="eastAsia"/>
        </w:rPr>
      </w:pPr>
    </w:p>
    <w:p w14:paraId="70296BB3">
      <w:pPr>
        <w:pStyle w:val="14"/>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color w:val="000000"/>
          <w:sz w:val="24"/>
          <w:szCs w:val="24"/>
        </w:rPr>
        <w:t>注：1.本表应按包分别填写。</w:t>
      </w:r>
    </w:p>
    <w:p w14:paraId="2EE2BC69">
      <w:pPr>
        <w:pStyle w:val="14"/>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left="0" w:firstLine="640"/>
        <w:textAlignment w:val="baseline"/>
        <w:rPr>
          <w:rFonts w:hint="eastAsia" w:ascii="宋体" w:hAnsi="宋体" w:eastAsia="宋体" w:cs="宋体"/>
        </w:rPr>
      </w:pPr>
      <w:r>
        <w:rPr>
          <w:rFonts w:hint="eastAsia" w:ascii="宋体" w:hAnsi="宋体" w:eastAsia="宋体" w:cs="宋体"/>
          <w:color w:val="000000"/>
          <w:sz w:val="24"/>
          <w:szCs w:val="24"/>
        </w:rPr>
        <w:t>2.如果不提供分项报价将视为没有实质性响应招标文件。</w:t>
      </w:r>
    </w:p>
    <w:p w14:paraId="44A399EF">
      <w:pPr>
        <w:pStyle w:val="14"/>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left="0" w:firstLine="640"/>
        <w:textAlignment w:val="baseline"/>
        <w:rPr>
          <w:rFonts w:hint="eastAsia" w:ascii="宋体" w:hAnsi="宋体" w:eastAsia="宋体" w:cs="宋体"/>
        </w:rPr>
      </w:pPr>
      <w:r>
        <w:rPr>
          <w:rFonts w:hint="eastAsia" w:ascii="宋体" w:hAnsi="宋体" w:eastAsia="宋体" w:cs="宋体"/>
          <w:color w:val="000000"/>
          <w:sz w:val="24"/>
          <w:szCs w:val="24"/>
        </w:rPr>
        <w:t>3.上述各项的详细规格（如有），可另页描述。</w:t>
      </w:r>
    </w:p>
    <w:p w14:paraId="3B74F0A0">
      <w:pPr>
        <w:pStyle w:val="14"/>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ind w:left="0" w:firstLine="640"/>
        <w:textAlignment w:val="baseline"/>
        <w:rPr>
          <w:rFonts w:hint="eastAsia" w:ascii="宋体" w:hAnsi="宋体" w:eastAsia="宋体" w:cs="宋体"/>
        </w:rPr>
      </w:pPr>
      <w:r>
        <w:rPr>
          <w:rFonts w:hint="eastAsia" w:ascii="宋体" w:hAnsi="宋体" w:eastAsia="宋体" w:cs="宋体"/>
          <w:color w:val="000000"/>
          <w:sz w:val="24"/>
          <w:szCs w:val="24"/>
        </w:rPr>
        <w:t>4.制造商规模列应填写“中型”、“小型”、“微型”或“其他”，且不应与《中小企业声明函》或《拟分包情况说明》中内容矛盾。</w:t>
      </w:r>
    </w:p>
    <w:p w14:paraId="1ADEB8B3">
      <w:pPr>
        <w:pStyle w:val="17"/>
        <w:ind w:left="0" w:leftChars="0" w:firstLine="0" w:firstLineChars="0"/>
        <w:rPr>
          <w:rFonts w:hint="eastAsia"/>
        </w:rPr>
      </w:pPr>
    </w:p>
    <w:p w14:paraId="671EDEB5">
      <w:pPr>
        <w:rPr>
          <w:rFonts w:hint="eastAsia"/>
        </w:rPr>
      </w:pPr>
    </w:p>
    <w:p w14:paraId="14AFFAC6">
      <w:pPr>
        <w:pStyle w:val="16"/>
        <w:rPr>
          <w:rFonts w:hint="eastAsia"/>
        </w:rPr>
      </w:pPr>
    </w:p>
    <w:p w14:paraId="6F9AC781">
      <w:pPr>
        <w:pStyle w:val="14"/>
        <w:keepNext w:val="0"/>
        <w:keepLines w:val="0"/>
        <w:pageBreakBefore w:val="0"/>
        <w:widowControl/>
        <w:suppressLineNumbers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color w:val="000000"/>
          <w:sz w:val="24"/>
          <w:szCs w:val="24"/>
        </w:rPr>
        <w:t>投标人名称（加盖公章）：____________</w:t>
      </w:r>
    </w:p>
    <w:p w14:paraId="5063E5B6">
      <w:pPr>
        <w:pStyle w:val="7"/>
        <w:keepNext w:val="0"/>
        <w:keepLines w:val="0"/>
        <w:pageBreakBefore w:val="0"/>
        <w:widowControl/>
        <w:kinsoku/>
        <w:wordWrap/>
        <w:overflowPunct/>
        <w:topLinePunct w:val="0"/>
        <w:autoSpaceDE/>
        <w:autoSpaceDN/>
        <w:bidi w:val="0"/>
        <w:adjustRightInd w:val="0"/>
        <w:snapToGrid w:val="0"/>
        <w:spacing w:before="275" w:line="212" w:lineRule="auto"/>
        <w:ind w:left="114"/>
        <w:textAlignment w:val="baseline"/>
        <w:rPr>
          <w:rFonts w:hint="eastAsia" w:ascii="宋体" w:hAnsi="宋体" w:eastAsia="宋体" w:cs="宋体"/>
          <w:spacing w:val="0"/>
          <w:w w:val="100"/>
          <w:position w:val="0"/>
          <w:sz w:val="25"/>
          <w:szCs w:val="25"/>
        </w:rPr>
      </w:pPr>
      <w:r>
        <w:rPr>
          <w:rFonts w:hint="eastAsia" w:ascii="宋体" w:hAnsi="宋体" w:eastAsia="宋体" w:cs="宋体"/>
          <w:color w:val="000000"/>
          <w:sz w:val="24"/>
          <w:szCs w:val="24"/>
        </w:rPr>
        <w:t>日期：_____年______月______日</w:t>
      </w:r>
      <w:bookmarkEnd w:id="124"/>
    </w:p>
    <w:p w14:paraId="1D29D88D">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sectPr>
          <w:headerReference r:id="rId10" w:type="default"/>
          <w:footerReference r:id="rId11" w:type="default"/>
          <w:pgSz w:w="11907" w:h="16841"/>
          <w:pgMar w:top="1304" w:right="1059" w:bottom="1305" w:left="1117" w:header="878" w:footer="885" w:gutter="0"/>
          <w:pgBorders>
            <w:top w:val="none" w:sz="0" w:space="0"/>
            <w:left w:val="none" w:sz="0" w:space="0"/>
            <w:bottom w:val="none" w:sz="0" w:space="0"/>
            <w:right w:val="none" w:sz="0" w:space="0"/>
          </w:pgBorders>
          <w:pgNumType w:fmt="decimal"/>
          <w:cols w:space="720" w:num="1"/>
        </w:sectPr>
      </w:pPr>
    </w:p>
    <w:p w14:paraId="0A47F2D8">
      <w:pPr>
        <w:keepNext w:val="0"/>
        <w:keepLines w:val="0"/>
        <w:pageBreakBefore w:val="0"/>
        <w:widowControl/>
        <w:kinsoku/>
        <w:wordWrap/>
        <w:overflowPunct/>
        <w:topLinePunct w:val="0"/>
        <w:autoSpaceDE/>
        <w:autoSpaceDN/>
        <w:bidi w:val="0"/>
        <w:adjustRightInd w:val="0"/>
        <w:snapToGrid w:val="0"/>
        <w:spacing w:line="253" w:lineRule="auto"/>
        <w:textAlignment w:val="baseline"/>
        <w:rPr>
          <w:rFonts w:hint="eastAsia" w:ascii="宋体" w:hAnsi="宋体" w:eastAsia="宋体" w:cs="宋体"/>
          <w:spacing w:val="0"/>
          <w:w w:val="100"/>
          <w:position w:val="0"/>
          <w:sz w:val="21"/>
        </w:rPr>
      </w:pPr>
    </w:p>
    <w:p w14:paraId="1C056FD7">
      <w:pPr>
        <w:pStyle w:val="7"/>
        <w:keepNext w:val="0"/>
        <w:keepLines w:val="0"/>
        <w:pageBreakBefore w:val="0"/>
        <w:widowControl/>
        <w:kinsoku/>
        <w:wordWrap/>
        <w:overflowPunct/>
        <w:topLinePunct w:val="0"/>
        <w:autoSpaceDE/>
        <w:autoSpaceDN/>
        <w:bidi w:val="0"/>
        <w:adjustRightInd w:val="0"/>
        <w:snapToGrid w:val="0"/>
        <w:spacing w:before="78" w:line="220" w:lineRule="auto"/>
        <w:textAlignment w:val="baseline"/>
        <w:outlineLvl w:val="2"/>
        <w:rPr>
          <w:rFonts w:hint="eastAsia" w:ascii="宋体" w:hAnsi="宋体" w:eastAsia="宋体" w:cs="宋体"/>
          <w:spacing w:val="0"/>
          <w:w w:val="100"/>
          <w:position w:val="0"/>
          <w:sz w:val="21"/>
        </w:rPr>
      </w:pPr>
      <w:bookmarkStart w:id="125" w:name="_Toc6650"/>
      <w:r>
        <w:rPr>
          <w:rFonts w:hint="eastAsia" w:ascii="宋体" w:hAnsi="宋体" w:eastAsia="宋体" w:cs="宋体"/>
          <w:spacing w:val="0"/>
          <w:w w:val="100"/>
          <w:position w:val="0"/>
          <w:sz w:val="24"/>
          <w:szCs w:val="24"/>
        </w:rPr>
        <w:t>5   合同条款偏离表（实质性格式）</w:t>
      </w:r>
      <w:bookmarkEnd w:id="125"/>
    </w:p>
    <w:p w14:paraId="18E92319">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14:paraId="0946F99C">
      <w:pPr>
        <w:pStyle w:val="7"/>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1"/>
          <w:lang w:val="en-US" w:eastAsia="zh-CN"/>
        </w:rPr>
      </w:pPr>
      <w:bookmarkStart w:id="126" w:name="_Toc762"/>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合同条款偏离表</w:t>
      </w:r>
      <w:bookmarkEnd w:id="126"/>
    </w:p>
    <w:p w14:paraId="3B3C49CB">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 xml:space="preserve">项目编号/包号：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7DBDA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158" w:type="dxa"/>
            <w:vAlign w:val="center"/>
          </w:tcPr>
          <w:p w14:paraId="58673C4B">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771" w:type="dxa"/>
            <w:vAlign w:val="center"/>
          </w:tcPr>
          <w:p w14:paraId="03C9C97A">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招标文件条目号（页码）</w:t>
            </w:r>
          </w:p>
        </w:tc>
        <w:tc>
          <w:tcPr>
            <w:tcW w:w="1675" w:type="dxa"/>
            <w:vAlign w:val="center"/>
          </w:tcPr>
          <w:p w14:paraId="36E253F0">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1675" w:type="dxa"/>
            <w:vAlign w:val="center"/>
          </w:tcPr>
          <w:p w14:paraId="0B366412">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投标文件内容</w:t>
            </w:r>
          </w:p>
        </w:tc>
        <w:tc>
          <w:tcPr>
            <w:tcW w:w="1876" w:type="dxa"/>
            <w:vAlign w:val="center"/>
          </w:tcPr>
          <w:p w14:paraId="00CA916B">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138" w:type="dxa"/>
            <w:vAlign w:val="center"/>
          </w:tcPr>
          <w:p w14:paraId="04F6122D">
            <w:pPr>
              <w:pStyle w:val="26"/>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14:paraId="2E70B0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vAlign w:val="top"/>
          </w:tcPr>
          <w:p w14:paraId="2AED6E70">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对本项目合同条款的偏离情况</w:t>
            </w:r>
            <w:r>
              <w:rPr>
                <w:rFonts w:hint="eastAsia" w:ascii="宋体" w:hAnsi="宋体" w:eastAsia="宋体" w:cs="宋体"/>
                <w:spacing w:val="0"/>
                <w:w w:val="100"/>
                <w:position w:val="0"/>
              </w:rPr>
              <w:t>（应进行选择，未选择</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14:paraId="0425DD8F">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无偏离</w:t>
            </w:r>
            <w:r>
              <w:rPr>
                <w:rFonts w:hint="eastAsia" w:ascii="宋体" w:hAnsi="宋体" w:eastAsia="宋体" w:cs="宋体"/>
                <w:spacing w:val="0"/>
                <w:w w:val="100"/>
                <w:position w:val="0"/>
              </w:rPr>
              <w:t>（如无偏离，仅选择无偏离即可；无偏离即为对合同条款中的所有要求，均视作供应商已对之理解和响应。）</w:t>
            </w:r>
          </w:p>
          <w:p w14:paraId="6875380E">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有偏离</w:t>
            </w:r>
            <w:r>
              <w:rPr>
                <w:rFonts w:hint="eastAsia" w:ascii="宋体" w:hAnsi="宋体" w:eastAsia="宋体" w:cs="宋体"/>
                <w:spacing w:val="0"/>
                <w:w w:val="100"/>
                <w:position w:val="0"/>
              </w:rPr>
              <w:t>（如有偏离，则应在本表中对偏离项逐一列明，否则</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；对合同条款中的所有要求，除本表列明的偏离外，均视作供应商已对之理解和响应。）</w:t>
            </w:r>
          </w:p>
        </w:tc>
      </w:tr>
      <w:tr w14:paraId="0BCFB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32800A0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1925795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38A84A9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630FC40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3159939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4F8E136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45ABD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4BBD532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57D5070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5D010F1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6066DC5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514A003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6CD495A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51798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6744B60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4747C2E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466A8AC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16A917D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5E5782C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00D2CC3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5EC46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top"/>
          </w:tcPr>
          <w:p w14:paraId="5DC2265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60A2235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32384C7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110890D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45E465C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32983BE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25BA8EC8">
      <w:pPr>
        <w:pStyle w:val="7"/>
        <w:keepNext w:val="0"/>
        <w:keepLines w:val="0"/>
        <w:pageBreakBefore w:val="0"/>
        <w:widowControl/>
        <w:kinsoku/>
        <w:wordWrap/>
        <w:overflowPunct/>
        <w:topLinePunct w:val="0"/>
        <w:autoSpaceDE/>
        <w:autoSpaceDN/>
        <w:bidi w:val="0"/>
        <w:adjustRightInd w:val="0"/>
        <w:snapToGrid w:val="0"/>
        <w:spacing w:before="314" w:line="220" w:lineRule="auto"/>
        <w:ind w:left="12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注：“偏离情况”列应据实填写“正偏离”或“负偏离”。</w:t>
      </w:r>
    </w:p>
    <w:p w14:paraId="745F38A1">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71049456">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1A28E7F2">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201B20D2">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14:paraId="3640A7E3">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19DB03B3">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2D0C375A">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70E7F66E">
      <w:pPr>
        <w:pStyle w:val="7"/>
        <w:keepNext w:val="0"/>
        <w:keepLines w:val="0"/>
        <w:pageBreakBefore w:val="0"/>
        <w:widowControl/>
        <w:kinsoku/>
        <w:wordWrap/>
        <w:overflowPunct/>
        <w:topLinePunct w:val="0"/>
        <w:autoSpaceDE/>
        <w:autoSpaceDN/>
        <w:bidi w:val="0"/>
        <w:adjustRightInd w:val="0"/>
        <w:snapToGrid w:val="0"/>
        <w:spacing w:before="78" w:line="219" w:lineRule="auto"/>
        <w:ind w:left="312"/>
        <w:textAlignment w:val="baseline"/>
        <w:outlineLvl w:val="2"/>
        <w:rPr>
          <w:rFonts w:hint="eastAsia" w:ascii="宋体" w:hAnsi="宋体" w:eastAsia="宋体" w:cs="宋体"/>
          <w:spacing w:val="0"/>
          <w:w w:val="100"/>
          <w:position w:val="0"/>
          <w:sz w:val="24"/>
          <w:szCs w:val="24"/>
        </w:rPr>
      </w:pPr>
      <w:bookmarkStart w:id="127" w:name="_Toc1120"/>
      <w:r>
        <w:rPr>
          <w:rFonts w:hint="eastAsia" w:ascii="宋体" w:hAnsi="宋体" w:eastAsia="宋体" w:cs="宋体"/>
          <w:spacing w:val="0"/>
          <w:w w:val="100"/>
          <w:position w:val="0"/>
          <w:sz w:val="24"/>
          <w:szCs w:val="24"/>
        </w:rPr>
        <w:t>6   采购需求偏离表（实质性格式）</w:t>
      </w:r>
      <w:bookmarkEnd w:id="127"/>
    </w:p>
    <w:p w14:paraId="44B0D915">
      <w:pPr>
        <w:pStyle w:val="7"/>
        <w:keepNext w:val="0"/>
        <w:keepLines w:val="0"/>
        <w:pageBreakBefore w:val="0"/>
        <w:widowControl/>
        <w:kinsoku/>
        <w:wordWrap/>
        <w:overflowPunct/>
        <w:topLinePunct w:val="0"/>
        <w:autoSpaceDE/>
        <w:autoSpaceDN/>
        <w:bidi w:val="0"/>
        <w:adjustRightInd w:val="0"/>
        <w:snapToGrid w:val="0"/>
        <w:spacing w:before="198" w:line="360" w:lineRule="auto"/>
        <w:ind w:left="0"/>
        <w:jc w:val="center"/>
        <w:textAlignment w:val="baseline"/>
        <w:outlineLvl w:val="1"/>
        <w:rPr>
          <w:rFonts w:hint="eastAsia" w:ascii="宋体" w:hAnsi="宋体" w:eastAsia="宋体" w:cs="宋体"/>
          <w:spacing w:val="0"/>
          <w:w w:val="100"/>
          <w:position w:val="0"/>
          <w:sz w:val="36"/>
          <w:szCs w:val="36"/>
        </w:rPr>
      </w:pPr>
      <w:bookmarkStart w:id="128" w:name="_Toc125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采购需求偏离表</w:t>
      </w:r>
      <w:bookmarkEnd w:id="128"/>
    </w:p>
    <w:p w14:paraId="72B02A88">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项目编号/包号：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5"/>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47F4A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trPr>
        <w:tc>
          <w:tcPr>
            <w:tcW w:w="779" w:type="dxa"/>
            <w:vAlign w:val="center"/>
          </w:tcPr>
          <w:p w14:paraId="2241A403">
            <w:pPr>
              <w:pStyle w:val="26"/>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481" w:type="dxa"/>
            <w:vAlign w:val="center"/>
          </w:tcPr>
          <w:p w14:paraId="2D7D93B8">
            <w:pPr>
              <w:pStyle w:val="26"/>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招标文件条目号(页码)</w:t>
            </w:r>
          </w:p>
        </w:tc>
        <w:tc>
          <w:tcPr>
            <w:tcW w:w="2383" w:type="dxa"/>
            <w:vAlign w:val="center"/>
          </w:tcPr>
          <w:p w14:paraId="4CEA3504">
            <w:pPr>
              <w:pStyle w:val="26"/>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2125" w:type="dxa"/>
            <w:vAlign w:val="center"/>
          </w:tcPr>
          <w:p w14:paraId="270770C8">
            <w:pPr>
              <w:pStyle w:val="26"/>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投标响应内容</w:t>
            </w:r>
          </w:p>
        </w:tc>
        <w:tc>
          <w:tcPr>
            <w:tcW w:w="1874" w:type="dxa"/>
            <w:vAlign w:val="center"/>
          </w:tcPr>
          <w:p w14:paraId="40EA7983">
            <w:pPr>
              <w:pStyle w:val="26"/>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014" w:type="dxa"/>
            <w:vAlign w:val="center"/>
          </w:tcPr>
          <w:p w14:paraId="79C5A5D1">
            <w:pPr>
              <w:pStyle w:val="26"/>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14:paraId="2657C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32C6A8D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57BFCA0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6341ED3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2FDACD0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32A7EB3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56E2BCE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7955D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66FDDC2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3DAEE06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4EA26AE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6724590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3DD0E66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0B8DF96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357E2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6CF5F42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3F02807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2B2FC9D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5D15522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7F0F7D5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20CD06E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02BFE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69C8D1E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0821F2D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4A00041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6D3B1D0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38D20E6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1413D15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20F03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513242F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256F861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686E83F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09387CC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5DBBD8D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03B867A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52970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14:paraId="5525163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7613EC4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640528C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1DE940C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41EB90C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36E10A5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7C553E0E">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2A020147">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07180AED">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5789C941">
      <w:pPr>
        <w:pStyle w:val="7"/>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5998CCF5">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1.对招标文件中的所有商务、技术要求，除本表所列明的所有偏离外，均视作供应商已对之理解和响应。此表中若无任何文字说明，内容为空白的，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p>
    <w:p w14:paraId="43AECBC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2.“偏离情况”列应据实填写“无偏离”、“正偏离”或“负偏离”。</w:t>
      </w:r>
    </w:p>
    <w:p w14:paraId="3CE8C350">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3A89CC28">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3F76962F">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5CBB83E6">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44E5E1F6">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671BBC85">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14:paraId="31751572">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742C8E2D">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1052EE3A">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6DD73E18">
      <w:pPr>
        <w:pStyle w:val="7"/>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29" w:name="_Toc9500"/>
      <w:r>
        <w:rPr>
          <w:rFonts w:hint="eastAsia" w:ascii="宋体" w:hAnsi="宋体" w:eastAsia="宋体" w:cs="宋体"/>
          <w:spacing w:val="0"/>
          <w:w w:val="100"/>
          <w:position w:val="0"/>
          <w:sz w:val="24"/>
          <w:szCs w:val="24"/>
        </w:rPr>
        <w:t>7   中小企业证明文件</w:t>
      </w:r>
      <w:bookmarkEnd w:id="129"/>
    </w:p>
    <w:p w14:paraId="7DEFDF96">
      <w:pPr>
        <w:pStyle w:val="7"/>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7EF8BCCE">
      <w:pPr>
        <w:pStyle w:val="7"/>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2FEEE48">
      <w:pPr>
        <w:pStyle w:val="7"/>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977452A">
      <w:pPr>
        <w:pStyle w:val="7"/>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14:paraId="24CECB0D">
      <w:pPr>
        <w:pStyle w:val="7"/>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14:paraId="1CE17988">
      <w:pPr>
        <w:pStyle w:val="7"/>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3DE77A2A">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0C4367FA">
      <w:pPr>
        <w:keepNext w:val="0"/>
        <w:keepLines w:val="0"/>
        <w:widowControl/>
        <w:suppressLineNumbers w:val="0"/>
        <w:jc w:val="center"/>
        <w:rPr>
          <w:rFonts w:hint="default"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highlight w:val="none"/>
          <w:lang w:val="en-US" w:eastAsia="zh-CN" w:bidi="ar"/>
        </w:rPr>
        <w:t>中小企业声明函（服务）格式</w:t>
      </w:r>
    </w:p>
    <w:p w14:paraId="56E821F5">
      <w:pPr>
        <w:pStyle w:val="16"/>
      </w:pPr>
    </w:p>
    <w:p w14:paraId="7E5A872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本公司（联合体）郑重声明，根据《政府采购促进中小 企业发展管理办法》（财库﹝2020﹞46 号）的规定，本公司 （联合体）参加（单位名称）的（项目名称）采购活动，工 程的施工单位全部为符合政策要求的中小企业（或者：服务 全部由符合政策要求的中小企业承接）。相关企业（含联合 体中的中小企业、签订分包意向协议的中小企业）的具体情 况如下： </w:t>
      </w:r>
    </w:p>
    <w:p w14:paraId="578B95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 </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标的名称</w:t>
      </w:r>
      <w:r>
        <w:rPr>
          <w:rFonts w:hint="eastAsia" w:ascii="宋体" w:hAnsi="宋体" w:eastAsia="宋体" w:cs="宋体"/>
          <w:i/>
          <w:iC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，属于</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采购文件中明确的所属行业</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行业</w:t>
      </w:r>
      <w:r>
        <w:rPr>
          <w:rFonts w:hint="eastAsia" w:ascii="宋体" w:hAnsi="宋体" w:eastAsia="宋体" w:cs="宋体"/>
          <w:color w:val="000000"/>
          <w:kern w:val="0"/>
          <w:sz w:val="24"/>
          <w:szCs w:val="24"/>
          <w:lang w:val="en-US" w:eastAsia="zh-CN" w:bidi="ar"/>
        </w:rPr>
        <w:t>；承建（承接）企业为</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企业名称</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，从业人员</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人，营业收入为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万元，资产总额为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万元¹，属于</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中型企业、小型企业、微型企业</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 </w:t>
      </w:r>
    </w:p>
    <w:p w14:paraId="4BFDD7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2. </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标的名称</w:t>
      </w:r>
      <w:r>
        <w:rPr>
          <w:rFonts w:hint="eastAsia" w:ascii="宋体" w:hAnsi="宋体" w:eastAsia="宋体" w:cs="宋体"/>
          <w:i/>
          <w:iC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，属于</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采购文件中明确的所属行业</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行业</w:t>
      </w:r>
      <w:r>
        <w:rPr>
          <w:rFonts w:hint="eastAsia" w:ascii="宋体" w:hAnsi="宋体" w:eastAsia="宋体" w:cs="宋体"/>
          <w:color w:val="000000"/>
          <w:kern w:val="0"/>
          <w:sz w:val="24"/>
          <w:szCs w:val="24"/>
          <w:lang w:val="en-US" w:eastAsia="zh-CN" w:bidi="ar"/>
        </w:rPr>
        <w:t>；承建（承接）企业为</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企业名称</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，从业人员</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人，营业收入为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万元，资产总额为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万元，属于</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i/>
          <w:iCs/>
          <w:color w:val="000000"/>
          <w:kern w:val="0"/>
          <w:sz w:val="24"/>
          <w:szCs w:val="24"/>
          <w:u w:val="single"/>
          <w:lang w:val="en-US" w:eastAsia="zh-CN" w:bidi="ar"/>
        </w:rPr>
        <w:t>中型企业、小型企业、微型企业</w:t>
      </w:r>
      <w:r>
        <w:rPr>
          <w:rFonts w:hint="eastAsia" w:ascii="宋体" w:hAnsi="宋体" w:eastAsia="宋体" w:cs="宋体"/>
          <w:i/>
          <w:iCs/>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w:t>
      </w:r>
    </w:p>
    <w:p w14:paraId="5578819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w:t>
      </w:r>
    </w:p>
    <w:p w14:paraId="6EC0097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以上企业，不属于大企业的分支机构，不存在控股股东为大企业的情形，也不存在与大企业的负责人为同一人的情形。</w:t>
      </w:r>
    </w:p>
    <w:p w14:paraId="0F39035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本企业对上述声明内容的真实性负责。如有虚假，将依法承担相应责任。 </w:t>
      </w:r>
    </w:p>
    <w:p w14:paraId="67E9684A">
      <w:pPr>
        <w:keepNext w:val="0"/>
        <w:keepLines w:val="0"/>
        <w:pageBreakBefore w:val="0"/>
        <w:widowControl/>
        <w:suppressLineNumbers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000000"/>
          <w:kern w:val="0"/>
          <w:sz w:val="24"/>
          <w:szCs w:val="24"/>
          <w:lang w:val="en-US" w:eastAsia="zh-CN" w:bidi="ar"/>
        </w:rPr>
      </w:pPr>
    </w:p>
    <w:p w14:paraId="2E96DD15">
      <w:pPr>
        <w:keepNext w:val="0"/>
        <w:keepLines w:val="0"/>
        <w:pageBreakBefore w:val="0"/>
        <w:widowControl/>
        <w:suppressLineNumbers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000000"/>
          <w:kern w:val="0"/>
          <w:sz w:val="24"/>
          <w:szCs w:val="24"/>
          <w:lang w:val="en-US" w:eastAsia="zh-CN" w:bidi="ar"/>
        </w:rPr>
      </w:pPr>
    </w:p>
    <w:p w14:paraId="51F99106">
      <w:pPr>
        <w:keepNext w:val="0"/>
        <w:keepLines w:val="0"/>
        <w:pageBreakBefore w:val="0"/>
        <w:widowControl/>
        <w:suppressLineNumbers w:val="0"/>
        <w:kinsoku/>
        <w:wordWrap w:val="0"/>
        <w:overflowPunct/>
        <w:topLinePunct w:val="0"/>
        <w:autoSpaceDE/>
        <w:autoSpaceDN/>
        <w:bidi w:val="0"/>
        <w:adjustRightInd/>
        <w:snapToGrid/>
        <w:spacing w:line="360" w:lineRule="auto"/>
        <w:jc w:val="right"/>
        <w:textAlignment w:val="auto"/>
        <w:rPr>
          <w:rFonts w:hint="default"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 xml:space="preserve">企业名称（盖章）：       </w:t>
      </w:r>
    </w:p>
    <w:p w14:paraId="7124AF4D">
      <w:pPr>
        <w:keepNext w:val="0"/>
        <w:keepLines w:val="0"/>
        <w:pageBreakBefore w:val="0"/>
        <w:widowControl/>
        <w:suppressLineNumbers w:val="0"/>
        <w:kinsoku/>
        <w:wordWrap w:val="0"/>
        <w:overflowPunct/>
        <w:topLinePunct w:val="0"/>
        <w:autoSpaceDE/>
        <w:autoSpaceDN/>
        <w:bidi w:val="0"/>
        <w:adjustRightInd/>
        <w:snapToGrid/>
        <w:spacing w:line="360" w:lineRule="auto"/>
        <w:jc w:val="right"/>
        <w:textAlignment w:val="auto"/>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日 期：       </w:t>
      </w:r>
    </w:p>
    <w:p w14:paraId="1F255999">
      <w:pPr>
        <w:pStyle w:val="16"/>
        <w:rPr>
          <w:rFonts w:hint="eastAsia"/>
          <w:lang w:val="en-US" w:eastAsia="zh-CN"/>
        </w:rPr>
      </w:pPr>
    </w:p>
    <w:p w14:paraId="5C3DB0EB">
      <w:pPr>
        <w:pStyle w:val="7"/>
        <w:keepNext w:val="0"/>
        <w:keepLines w:val="0"/>
        <w:pageBreakBefore w:val="0"/>
        <w:widowControl/>
        <w:kinsoku/>
        <w:wordWrap/>
        <w:overflowPunct/>
        <w:topLinePunct w:val="0"/>
        <w:autoSpaceDE/>
        <w:autoSpaceDN/>
        <w:bidi w:val="0"/>
        <w:adjustRightInd w:val="0"/>
        <w:snapToGrid w:val="0"/>
        <w:spacing w:before="66" w:line="228" w:lineRule="auto"/>
        <w:ind w:left="124"/>
        <w:textAlignment w:val="baseline"/>
        <w:rPr>
          <w:rFonts w:hint="eastAsia" w:ascii="宋体" w:hAnsi="宋体" w:eastAsia="宋体" w:cs="宋体"/>
          <w:spacing w:val="0"/>
          <w:w w:val="100"/>
          <w:position w:val="0"/>
          <w:sz w:val="20"/>
          <w:szCs w:val="20"/>
        </w:rPr>
      </w:pPr>
      <w:r>
        <w:rPr>
          <w:rFonts w:hint="eastAsia" w:ascii="微软雅黑" w:hAnsi="微软雅黑" w:eastAsia="微软雅黑" w:cs="微软雅黑"/>
          <w:b w:val="0"/>
          <w:bCs w:val="0"/>
          <w:color w:val="000000"/>
          <w:kern w:val="0"/>
          <w:sz w:val="28"/>
          <w:szCs w:val="28"/>
          <w:lang w:val="en-US" w:eastAsia="zh-CN" w:bidi="ar"/>
        </w:rPr>
        <w:t>¹</w:t>
      </w:r>
      <w:r>
        <w:rPr>
          <w:rFonts w:hint="eastAsia" w:ascii="宋体" w:hAnsi="宋体"/>
          <w:b w:val="0"/>
          <w:bCs w:val="0"/>
          <w:kern w:val="0"/>
          <w:sz w:val="24"/>
          <w:szCs w:val="24"/>
        </w:rPr>
        <w:t>从业人员、营业收入、资产总额填报上一年度数据，无上一年度数据的新成立企业可不填报。</w:t>
      </w:r>
    </w:p>
    <w:p w14:paraId="241E4196">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0497838F">
      <w:pPr>
        <w:pStyle w:val="7"/>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rPr>
      </w:pPr>
      <w:bookmarkStart w:id="130" w:name="_Toc29162"/>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bookmarkEnd w:id="130"/>
    </w:p>
    <w:p w14:paraId="6826060E">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2E6E8BC9">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7DC5A5EE">
      <w:pPr>
        <w:pStyle w:val="7"/>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本单位郑重声明，根据《财政部 民政部 中国残疾人联合会关于促进残疾人就业政府采购政策的通知》（财库〔2017〕141 号） 的规定，本单位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14:paraId="63D5F3B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14:paraId="202A593B">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 xml:space="preserve">且本单位参加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单位的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 采购活动</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供服务）， 或者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6086A6D3">
      <w:pPr>
        <w:pStyle w:val="7"/>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14:paraId="66367460">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339DF51E">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72D40500">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46AEB13D">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740009DE">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319DD7BC">
      <w:pPr>
        <w:pStyle w:val="7"/>
        <w:keepNext w:val="0"/>
        <w:keepLines w:val="0"/>
        <w:pageBreakBefore w:val="0"/>
        <w:widowControl/>
        <w:kinsoku/>
        <w:wordWrap/>
        <w:overflowPunct/>
        <w:topLinePunct w:val="0"/>
        <w:autoSpaceDE/>
        <w:autoSpaceDN/>
        <w:bidi w:val="0"/>
        <w:adjustRightInd w:val="0"/>
        <w:snapToGrid w:val="0"/>
        <w:spacing w:line="360" w:lineRule="auto"/>
        <w:ind w:firstLine="5280" w:firstLineChars="2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14:paraId="54F19C7E">
      <w:pPr>
        <w:pStyle w:val="7"/>
        <w:keepNext w:val="0"/>
        <w:keepLines w:val="0"/>
        <w:pageBreakBefore w:val="0"/>
        <w:widowControl/>
        <w:kinsoku/>
        <w:wordWrap/>
        <w:overflowPunct/>
        <w:topLinePunct w:val="0"/>
        <w:autoSpaceDE/>
        <w:autoSpaceDN/>
        <w:bidi w:val="0"/>
        <w:adjustRightInd w:val="0"/>
        <w:snapToGrid w:val="0"/>
        <w:spacing w:line="360" w:lineRule="auto"/>
        <w:ind w:left="0" w:firstLine="5760" w:firstLineChars="2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14:paraId="3EEE6E31">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6DC838A1">
      <w:pPr>
        <w:pStyle w:val="7"/>
        <w:keepNext w:val="0"/>
        <w:keepLines w:val="0"/>
        <w:pageBreakBefore w:val="0"/>
        <w:widowControl/>
        <w:kinsoku/>
        <w:wordWrap/>
        <w:overflowPunct/>
        <w:topLinePunct w:val="0"/>
        <w:autoSpaceDE/>
        <w:autoSpaceDN/>
        <w:bidi w:val="0"/>
        <w:adjustRightInd w:val="0"/>
        <w:snapToGrid w:val="0"/>
        <w:spacing w:before="335" w:line="360" w:lineRule="auto"/>
        <w:ind w:left="17"/>
        <w:textAlignment w:val="baseline"/>
        <w:outlineLvl w:val="2"/>
        <w:rPr>
          <w:rFonts w:hint="eastAsia" w:ascii="宋体" w:hAnsi="宋体" w:eastAsia="宋体" w:cs="宋体"/>
          <w:spacing w:val="0"/>
          <w:w w:val="100"/>
          <w:position w:val="0"/>
          <w:sz w:val="24"/>
          <w:szCs w:val="24"/>
        </w:rPr>
      </w:pPr>
      <w:bookmarkStart w:id="131" w:name="_Toc2772"/>
      <w:r>
        <w:rPr>
          <w:rFonts w:hint="eastAsia" w:ascii="宋体" w:hAnsi="宋体" w:eastAsia="宋体" w:cs="宋体"/>
          <w:spacing w:val="0"/>
          <w:w w:val="100"/>
          <w:position w:val="0"/>
          <w:sz w:val="24"/>
          <w:szCs w:val="24"/>
        </w:rPr>
        <w:t>8   拟分包情况说明</w:t>
      </w:r>
      <w:bookmarkEnd w:id="131"/>
    </w:p>
    <w:p w14:paraId="769D7363">
      <w:pPr>
        <w:pStyle w:val="7"/>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14:paraId="511F9E16">
      <w:pPr>
        <w:pStyle w:val="7"/>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0F1DD5A8">
      <w:pPr>
        <w:pStyle w:val="7"/>
        <w:keepNext w:val="0"/>
        <w:keepLines w:val="0"/>
        <w:pageBreakBefore w:val="0"/>
        <w:widowControl/>
        <w:kinsoku/>
        <w:wordWrap/>
        <w:overflowPunct/>
        <w:topLinePunct w:val="0"/>
        <w:autoSpaceDE/>
        <w:autoSpaceDN/>
        <w:bidi w:val="0"/>
        <w:adjustRightInd w:val="0"/>
        <w:snapToGrid w:val="0"/>
        <w:spacing w:before="181" w:line="359" w:lineRule="auto"/>
        <w:ind w:left="9" w:right="68"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14:paraId="32D9016D">
      <w:pPr>
        <w:keepNext w:val="0"/>
        <w:keepLines w:val="0"/>
        <w:pageBreakBefore w:val="0"/>
        <w:widowControl/>
        <w:kinsoku/>
        <w:wordWrap/>
        <w:overflowPunct/>
        <w:topLinePunct w:val="0"/>
        <w:autoSpaceDE/>
        <w:autoSpaceDN/>
        <w:bidi w:val="0"/>
        <w:adjustRightInd w:val="0"/>
        <w:snapToGrid w:val="0"/>
        <w:spacing w:line="146" w:lineRule="exact"/>
        <w:textAlignment w:val="baseline"/>
        <w:rPr>
          <w:rFonts w:hint="eastAsia" w:ascii="宋体" w:hAnsi="宋体" w:eastAsia="宋体" w:cs="宋体"/>
          <w:spacing w:val="0"/>
          <w:w w:val="100"/>
          <w:position w:val="0"/>
        </w:rPr>
      </w:pPr>
    </w:p>
    <w:tbl>
      <w:tblPr>
        <w:tblStyle w:val="25"/>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06194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14:paraId="54995CA0">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outlineLvl w:val="1"/>
              <w:rPr>
                <w:rFonts w:hint="eastAsia" w:ascii="宋体" w:hAnsi="宋体" w:eastAsia="宋体" w:cs="宋体"/>
                <w:spacing w:val="0"/>
                <w:w w:val="100"/>
                <w:position w:val="0"/>
                <w:sz w:val="24"/>
                <w:szCs w:val="24"/>
              </w:rPr>
            </w:pPr>
            <w:bookmarkStart w:id="132" w:name="_Toc5963"/>
            <w:r>
              <w:rPr>
                <w:rFonts w:hint="eastAsia" w:ascii="宋体" w:hAnsi="宋体" w:eastAsia="宋体" w:cs="宋体"/>
                <w:spacing w:val="0"/>
                <w:w w:val="100"/>
                <w:position w:val="0"/>
                <w:sz w:val="24"/>
                <w:szCs w:val="24"/>
              </w:rPr>
              <w:t>序号</w:t>
            </w:r>
            <w:bookmarkEnd w:id="132"/>
          </w:p>
        </w:tc>
        <w:tc>
          <w:tcPr>
            <w:tcW w:w="1286" w:type="dxa"/>
            <w:vAlign w:val="center"/>
          </w:tcPr>
          <w:p w14:paraId="0BCCD641">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分包承担主体名称</w:t>
            </w:r>
          </w:p>
        </w:tc>
        <w:tc>
          <w:tcPr>
            <w:tcW w:w="1512" w:type="dxa"/>
            <w:vAlign w:val="center"/>
          </w:tcPr>
          <w:p w14:paraId="4CF6BE1F">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分包承担主体类型（选择）</w:t>
            </w:r>
          </w:p>
        </w:tc>
        <w:tc>
          <w:tcPr>
            <w:tcW w:w="1124" w:type="dxa"/>
            <w:vAlign w:val="center"/>
          </w:tcPr>
          <w:p w14:paraId="33CE43A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资质等级</w:t>
            </w:r>
          </w:p>
        </w:tc>
        <w:tc>
          <w:tcPr>
            <w:tcW w:w="1560" w:type="dxa"/>
            <w:vAlign w:val="center"/>
          </w:tcPr>
          <w:p w14:paraId="7BE86060">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拟分包合同内容</w:t>
            </w:r>
          </w:p>
        </w:tc>
        <w:tc>
          <w:tcPr>
            <w:tcW w:w="1497" w:type="dxa"/>
            <w:vAlign w:val="center"/>
          </w:tcPr>
          <w:p w14:paraId="1716B04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拟分包合同金额（人民币元）</w:t>
            </w:r>
          </w:p>
        </w:tc>
        <w:tc>
          <w:tcPr>
            <w:tcW w:w="1569" w:type="dxa"/>
            <w:vAlign w:val="center"/>
          </w:tcPr>
          <w:p w14:paraId="05B18784">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占合同金额</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的比例（</w:t>
            </w:r>
            <w:r>
              <w:rPr>
                <w:rFonts w:hint="eastAsia" w:ascii="宋体" w:hAnsi="宋体" w:eastAsia="宋体" w:cs="宋体"/>
                <w:b/>
                <w:bCs/>
                <w:spacing w:val="0"/>
                <w:w w:val="100"/>
                <w:position w:val="0"/>
                <w:sz w:val="24"/>
                <w:szCs w:val="24"/>
              </w:rPr>
              <w:t>*</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w:t>
            </w:r>
          </w:p>
        </w:tc>
      </w:tr>
      <w:tr w14:paraId="5E85A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2278DCF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14:paraId="5FC2335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2B4A7D4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14:paraId="14376AAA">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14:paraId="16C60CDD">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14:paraId="221B84B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5263FF7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02E58B0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6AAFF2B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42D64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246640A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14:paraId="64A43C3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1704BAF4">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14:paraId="095588F7">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14:paraId="751DB1E2">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14:paraId="35A73E2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4FEB66A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324BED5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0079BCA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11CFE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697DF38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14:paraId="2139194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3E58888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124" w:type="dxa"/>
            <w:vAlign w:val="center"/>
          </w:tcPr>
          <w:p w14:paraId="131DF13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22F2CAC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312562B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1291086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68785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4E6B5AF9">
            <w:pPr>
              <w:pStyle w:val="26"/>
              <w:keepNext w:val="0"/>
              <w:keepLines w:val="0"/>
              <w:pageBreakBefore w:val="0"/>
              <w:widowControl/>
              <w:kinsoku/>
              <w:wordWrap/>
              <w:overflowPunct/>
              <w:topLinePunct w:val="0"/>
              <w:autoSpaceDE/>
              <w:autoSpaceDN/>
              <w:bidi w:val="0"/>
              <w:adjustRightInd w:val="0"/>
              <w:snapToGrid w:val="0"/>
              <w:spacing w:line="240" w:lineRule="auto"/>
              <w:ind w:left="0" w:right="0" w:firstLine="0"/>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合计：</w:t>
            </w:r>
          </w:p>
        </w:tc>
        <w:tc>
          <w:tcPr>
            <w:tcW w:w="1497" w:type="dxa"/>
            <w:vAlign w:val="center"/>
          </w:tcPr>
          <w:p w14:paraId="762CEDE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4492194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bl>
    <w:p w14:paraId="61781FC3">
      <w:pPr>
        <w:keepNext w:val="0"/>
        <w:keepLines w:val="0"/>
        <w:pageBreakBefore w:val="0"/>
        <w:widowControl/>
        <w:kinsoku/>
        <w:wordWrap/>
        <w:overflowPunct/>
        <w:topLinePunct w:val="0"/>
        <w:autoSpaceDE/>
        <w:autoSpaceDN/>
        <w:bidi w:val="0"/>
        <w:adjustRightInd w:val="0"/>
        <w:snapToGrid w:val="0"/>
        <w:spacing w:line="374" w:lineRule="auto"/>
        <w:textAlignment w:val="baseline"/>
        <w:rPr>
          <w:rFonts w:hint="eastAsia" w:ascii="宋体" w:hAnsi="宋体" w:eastAsia="宋体" w:cs="宋体"/>
          <w:spacing w:val="0"/>
          <w:w w:val="100"/>
          <w:position w:val="0"/>
          <w:sz w:val="21"/>
        </w:rPr>
      </w:pPr>
    </w:p>
    <w:p w14:paraId="1F87865F">
      <w:pPr>
        <w:pStyle w:val="7"/>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6E2913EE">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1.如本项目（包）允许分包，且投标人拟进行分包时，必须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供；如未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供了但未填写分包承担主体名称、拟分包合同内容、拟分包合同金额，</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5A8EBB79">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75ED9412">
      <w:pPr>
        <w:pStyle w:val="7"/>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1"/>
        </w:rPr>
      </w:pPr>
      <w:r>
        <w:rPr>
          <w:rFonts w:hint="eastAsia" w:ascii="宋体" w:hAnsi="宋体" w:eastAsia="宋体" w:cs="宋体"/>
          <w:spacing w:val="0"/>
          <w:w w:val="100"/>
          <w:position w:val="0"/>
          <w:sz w:val="24"/>
          <w:szCs w:val="24"/>
        </w:rPr>
        <w:t>3.投标人“为落实政府采购政策”而向中小企业分包时请仔细阅读资格证明文件格式2-1中说明，并建议按要求在资格证明文件中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供相关全部文件；投标人非“为落实政府采购政策”而向中小企业分包时，建议在本册</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3E810C37">
      <w:pPr>
        <w:pStyle w:val="7"/>
        <w:keepNext w:val="0"/>
        <w:keepLines w:val="0"/>
        <w:pageBreakBefore w:val="0"/>
        <w:widowControl/>
        <w:kinsoku/>
        <w:wordWrap/>
        <w:overflowPunct/>
        <w:topLinePunct w:val="0"/>
        <w:autoSpaceDE/>
        <w:autoSpaceDN/>
        <w:bidi w:val="0"/>
        <w:adjustRightInd w:val="0"/>
        <w:snapToGrid w:val="0"/>
        <w:spacing w:before="78" w:line="188" w:lineRule="auto"/>
        <w:ind w:left="60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投标人名称（盖章）：</w:t>
      </w:r>
    </w:p>
    <w:p w14:paraId="00D0034E">
      <w:pPr>
        <w:keepNext w:val="0"/>
        <w:keepLines w:val="0"/>
        <w:pageBreakBefore w:val="0"/>
        <w:widowControl/>
        <w:kinsoku/>
        <w:wordWrap/>
        <w:overflowPunct/>
        <w:topLinePunct w:val="0"/>
        <w:autoSpaceDE/>
        <w:autoSpaceDN/>
        <w:bidi w:val="0"/>
        <w:adjustRightInd w:val="0"/>
        <w:snapToGrid w:val="0"/>
        <w:spacing w:line="65" w:lineRule="exact"/>
        <w:ind w:left="83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w:t>
      </w:r>
    </w:p>
    <w:p w14:paraId="3294FBBF">
      <w:pPr>
        <w:pStyle w:val="7"/>
        <w:keepNext w:val="0"/>
        <w:keepLines w:val="0"/>
        <w:pageBreakBefore w:val="0"/>
        <w:widowControl/>
        <w:kinsoku/>
        <w:wordWrap/>
        <w:overflowPunct/>
        <w:topLinePunct w:val="0"/>
        <w:autoSpaceDE/>
        <w:autoSpaceDN/>
        <w:bidi w:val="0"/>
        <w:adjustRightInd w:val="0"/>
        <w:snapToGrid w:val="0"/>
        <w:spacing w:before="157" w:line="220" w:lineRule="auto"/>
        <w:ind w:right="18"/>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17EA4C10">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headerReference r:id="rId12" w:type="default"/>
          <w:footerReference r:id="rId13" w:type="default"/>
          <w:pgSz w:w="11907" w:h="16841"/>
          <w:pgMar w:top="1117" w:right="1064" w:bottom="1060" w:left="1700" w:header="878" w:footer="841" w:gutter="0"/>
          <w:pgBorders>
            <w:top w:val="none" w:sz="0" w:space="0"/>
            <w:left w:val="none" w:sz="0" w:space="0"/>
            <w:bottom w:val="none" w:sz="0" w:space="0"/>
            <w:right w:val="none" w:sz="0" w:space="0"/>
          </w:pgBorders>
          <w:pgNumType w:fmt="decimal"/>
          <w:cols w:space="720" w:num="1"/>
        </w:sectPr>
      </w:pPr>
    </w:p>
    <w:p w14:paraId="149ED50E">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028D53B0">
      <w:pPr>
        <w:pStyle w:val="7"/>
        <w:keepNext w:val="0"/>
        <w:keepLines w:val="0"/>
        <w:pageBreakBefore w:val="0"/>
        <w:widowControl/>
        <w:kinsoku/>
        <w:wordWrap/>
        <w:overflowPunct/>
        <w:topLinePunct w:val="0"/>
        <w:autoSpaceDE/>
        <w:autoSpaceDN/>
        <w:bidi w:val="0"/>
        <w:adjustRightInd w:val="0"/>
        <w:snapToGrid w:val="0"/>
        <w:spacing w:before="78" w:line="219" w:lineRule="auto"/>
        <w:ind w:left="15"/>
        <w:textAlignment w:val="baseline"/>
        <w:outlineLvl w:val="2"/>
        <w:rPr>
          <w:rFonts w:hint="eastAsia" w:ascii="宋体" w:hAnsi="宋体" w:eastAsia="宋体" w:cs="宋体"/>
          <w:spacing w:val="0"/>
          <w:w w:val="100"/>
          <w:position w:val="0"/>
          <w:sz w:val="24"/>
          <w:szCs w:val="24"/>
        </w:rPr>
      </w:pPr>
      <w:bookmarkStart w:id="133" w:name="_Toc11446"/>
      <w:r>
        <w:rPr>
          <w:rFonts w:hint="eastAsia" w:ascii="宋体" w:hAnsi="宋体" w:eastAsia="宋体" w:cs="宋体"/>
          <w:spacing w:val="0"/>
          <w:w w:val="100"/>
          <w:position w:val="0"/>
          <w:sz w:val="24"/>
          <w:szCs w:val="24"/>
        </w:rPr>
        <w:t>9   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供或投标人认为应附的其他材料</w:t>
      </w:r>
      <w:bookmarkEnd w:id="133"/>
    </w:p>
    <w:p w14:paraId="5A76BFD7">
      <w:pPr>
        <w:keepNext w:val="0"/>
        <w:keepLines w:val="0"/>
        <w:pageBreakBefore w:val="0"/>
        <w:widowControl/>
        <w:kinsoku/>
        <w:wordWrap/>
        <w:overflowPunct/>
        <w:topLinePunct w:val="0"/>
        <w:autoSpaceDE/>
        <w:autoSpaceDN/>
        <w:bidi w:val="0"/>
        <w:adjustRightInd w:val="0"/>
        <w:snapToGrid w:val="0"/>
        <w:jc w:val="left"/>
        <w:textAlignment w:val="baseline"/>
        <w:rPr>
          <w:rFonts w:hint="eastAsia" w:ascii="宋体" w:hAnsi="宋体" w:eastAsia="宋体" w:cs="宋体"/>
          <w:spacing w:val="0"/>
          <w:w w:val="100"/>
          <w:position w:val="0"/>
        </w:rPr>
      </w:pPr>
    </w:p>
    <w:p w14:paraId="6EEF0EDE">
      <w:pPr>
        <w:bidi w:val="0"/>
        <w:rPr>
          <w:rFonts w:hint="eastAsia" w:ascii="Arial" w:hAnsi="Arial" w:eastAsia="Arial" w:cs="Arial"/>
          <w:snapToGrid w:val="0"/>
          <w:color w:val="000000"/>
          <w:kern w:val="0"/>
          <w:sz w:val="21"/>
          <w:szCs w:val="21"/>
          <w:lang w:val="en-US" w:eastAsia="en-US" w:bidi="ar-SA"/>
        </w:rPr>
      </w:pPr>
    </w:p>
    <w:p w14:paraId="6F396D29">
      <w:pPr>
        <w:bidi w:val="0"/>
        <w:rPr>
          <w:rFonts w:hint="eastAsia"/>
          <w:lang w:val="en-US" w:eastAsia="en-US"/>
        </w:rPr>
      </w:pPr>
    </w:p>
    <w:p w14:paraId="614C8A23">
      <w:pPr>
        <w:bidi w:val="0"/>
        <w:rPr>
          <w:rFonts w:hint="eastAsia"/>
          <w:lang w:val="en-US" w:eastAsia="en-US"/>
        </w:rPr>
      </w:pPr>
    </w:p>
    <w:p w14:paraId="1BCE574C">
      <w:pPr>
        <w:bidi w:val="0"/>
        <w:rPr>
          <w:rFonts w:hint="eastAsia"/>
          <w:lang w:val="en-US" w:eastAsia="en-US"/>
        </w:rPr>
      </w:pPr>
    </w:p>
    <w:p w14:paraId="77AA7725">
      <w:pPr>
        <w:bidi w:val="0"/>
        <w:rPr>
          <w:rFonts w:hint="eastAsia"/>
          <w:lang w:val="en-US" w:eastAsia="en-US"/>
        </w:rPr>
      </w:pPr>
    </w:p>
    <w:p w14:paraId="2DF359F3">
      <w:pPr>
        <w:bidi w:val="0"/>
        <w:rPr>
          <w:rFonts w:hint="eastAsia"/>
          <w:lang w:val="en-US" w:eastAsia="en-US"/>
        </w:rPr>
      </w:pPr>
    </w:p>
    <w:p w14:paraId="61090EBC">
      <w:pPr>
        <w:pStyle w:val="17"/>
        <w:ind w:left="0" w:leftChars="0" w:firstLine="0" w:firstLineChars="0"/>
        <w:rPr>
          <w:rFonts w:hint="eastAsia"/>
          <w:lang w:val="en-US" w:eastAsia="en-US"/>
        </w:rPr>
      </w:pPr>
    </w:p>
    <w:sectPr>
      <w:pgSz w:w="11906" w:h="16839"/>
      <w:pgMar w:top="1117" w:right="1066" w:bottom="1060" w:left="1701" w:header="0" w:footer="0"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A881F">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1385E7">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C1385E7">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1C857">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CC2E17">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2CC2E17">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DDE15">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7B2C15">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37B2C15">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AF24C">
    <w:pPr>
      <w:spacing w:line="189" w:lineRule="auto"/>
      <w:ind w:left="7012"/>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040308">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7040308">
                    <w:pPr>
                      <w:pStyle w:val="11"/>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w:hAnsi="Arial" w:eastAsia="Arial" w:cs="Arial"/>
        <w:spacing w:val="6"/>
        <w:sz w:val="18"/>
        <w:szCs w:val="18"/>
      </w:rPr>
      <w:t>56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B7065">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A6A821">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5A6A821">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3B2B1">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7611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17CDF">
    <w:pPr>
      <w:pStyle w:val="1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FD0EC">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9D1A2D"/>
    <w:multiLevelType w:val="singleLevel"/>
    <w:tmpl w:val="B89D1A2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trackRevisions w:val="1"/>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zRkMTE3YTFhOTllODkyNmNjYThiZTFjNTViMzY5NGEifQ=="/>
  </w:docVars>
  <w:rsids>
    <w:rsidRoot w:val="00000000"/>
    <w:rsid w:val="000E5D71"/>
    <w:rsid w:val="00593490"/>
    <w:rsid w:val="00BD6647"/>
    <w:rsid w:val="00E43B33"/>
    <w:rsid w:val="01E04DEF"/>
    <w:rsid w:val="028C33A8"/>
    <w:rsid w:val="03483348"/>
    <w:rsid w:val="045E325C"/>
    <w:rsid w:val="0764271A"/>
    <w:rsid w:val="080812F8"/>
    <w:rsid w:val="086F6439"/>
    <w:rsid w:val="08C81055"/>
    <w:rsid w:val="08E12275"/>
    <w:rsid w:val="0BBA4FFF"/>
    <w:rsid w:val="0BF027CF"/>
    <w:rsid w:val="0C8522F2"/>
    <w:rsid w:val="10F073AA"/>
    <w:rsid w:val="10F66925"/>
    <w:rsid w:val="10F93ED3"/>
    <w:rsid w:val="11241FB0"/>
    <w:rsid w:val="12DB00BB"/>
    <w:rsid w:val="14BF31B0"/>
    <w:rsid w:val="15FB21F4"/>
    <w:rsid w:val="175C2390"/>
    <w:rsid w:val="189477E1"/>
    <w:rsid w:val="196A1E12"/>
    <w:rsid w:val="19DE0449"/>
    <w:rsid w:val="1A6846DF"/>
    <w:rsid w:val="1B765E86"/>
    <w:rsid w:val="1C4855E3"/>
    <w:rsid w:val="1C5D0DBB"/>
    <w:rsid w:val="1CA53019"/>
    <w:rsid w:val="1E07215A"/>
    <w:rsid w:val="203921B4"/>
    <w:rsid w:val="254559CF"/>
    <w:rsid w:val="27AC6324"/>
    <w:rsid w:val="2B1B2F6C"/>
    <w:rsid w:val="2BF35C97"/>
    <w:rsid w:val="2CC66F08"/>
    <w:rsid w:val="2DE92D2F"/>
    <w:rsid w:val="2E1A575D"/>
    <w:rsid w:val="2EE765A1"/>
    <w:rsid w:val="2F364819"/>
    <w:rsid w:val="30A822F8"/>
    <w:rsid w:val="32810552"/>
    <w:rsid w:val="35471E80"/>
    <w:rsid w:val="358026BA"/>
    <w:rsid w:val="367649E7"/>
    <w:rsid w:val="3958538C"/>
    <w:rsid w:val="3B6E0B86"/>
    <w:rsid w:val="3ED61844"/>
    <w:rsid w:val="3FEF4DFB"/>
    <w:rsid w:val="41D83E0A"/>
    <w:rsid w:val="44AD0C81"/>
    <w:rsid w:val="458E04C0"/>
    <w:rsid w:val="467F24BD"/>
    <w:rsid w:val="4A72504B"/>
    <w:rsid w:val="4AA41400"/>
    <w:rsid w:val="4AAF4901"/>
    <w:rsid w:val="4B991F60"/>
    <w:rsid w:val="4C101AF6"/>
    <w:rsid w:val="4D0A0B2C"/>
    <w:rsid w:val="4D477799"/>
    <w:rsid w:val="4D913C92"/>
    <w:rsid w:val="4DB82445"/>
    <w:rsid w:val="4E1B3100"/>
    <w:rsid w:val="4EA86EAD"/>
    <w:rsid w:val="4F0B1DF1"/>
    <w:rsid w:val="5397761B"/>
    <w:rsid w:val="54081636"/>
    <w:rsid w:val="540C1994"/>
    <w:rsid w:val="55B77D28"/>
    <w:rsid w:val="57610631"/>
    <w:rsid w:val="58443253"/>
    <w:rsid w:val="595654BE"/>
    <w:rsid w:val="597E4543"/>
    <w:rsid w:val="5A7B2D9D"/>
    <w:rsid w:val="5ACF0996"/>
    <w:rsid w:val="5D7C5736"/>
    <w:rsid w:val="5DA27F5C"/>
    <w:rsid w:val="5E196F30"/>
    <w:rsid w:val="5E226CDD"/>
    <w:rsid w:val="5E495699"/>
    <w:rsid w:val="5F16641C"/>
    <w:rsid w:val="5F2E2567"/>
    <w:rsid w:val="5FD753BA"/>
    <w:rsid w:val="620852F1"/>
    <w:rsid w:val="62596B7E"/>
    <w:rsid w:val="63B339EB"/>
    <w:rsid w:val="63D01F52"/>
    <w:rsid w:val="66582DD6"/>
    <w:rsid w:val="66C066E0"/>
    <w:rsid w:val="67414C7F"/>
    <w:rsid w:val="689C61CC"/>
    <w:rsid w:val="69FA63DE"/>
    <w:rsid w:val="6A8F3AC8"/>
    <w:rsid w:val="6B3466C4"/>
    <w:rsid w:val="6B79100E"/>
    <w:rsid w:val="6D610679"/>
    <w:rsid w:val="6FE849AC"/>
    <w:rsid w:val="70C92F8D"/>
    <w:rsid w:val="72094BE7"/>
    <w:rsid w:val="733B7FDD"/>
    <w:rsid w:val="73F676A0"/>
    <w:rsid w:val="759C23F1"/>
    <w:rsid w:val="76C13278"/>
    <w:rsid w:val="772C579E"/>
    <w:rsid w:val="7798602E"/>
    <w:rsid w:val="79D26F59"/>
    <w:rsid w:val="7A477491"/>
    <w:rsid w:val="7AEA5B4D"/>
    <w:rsid w:val="7B5965FC"/>
    <w:rsid w:val="7CC111F2"/>
    <w:rsid w:val="7CFC39DC"/>
    <w:rsid w:val="7D142945"/>
    <w:rsid w:val="7E8678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paragraph" w:styleId="3">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4">
    <w:name w:val="toc 7"/>
    <w:basedOn w:val="1"/>
    <w:next w:val="1"/>
    <w:semiHidden/>
    <w:qFormat/>
    <w:uiPriority w:val="0"/>
    <w:pPr>
      <w:jc w:val="left"/>
    </w:pPr>
    <w:rPr>
      <w:sz w:val="22"/>
      <w:szCs w:val="22"/>
    </w:rPr>
  </w:style>
  <w:style w:type="paragraph" w:styleId="5">
    <w:name w:val="Normal Indent"/>
    <w:basedOn w:val="1"/>
    <w:qFormat/>
    <w:uiPriority w:val="99"/>
    <w:pPr>
      <w:autoSpaceDE w:val="0"/>
      <w:autoSpaceDN w:val="0"/>
      <w:adjustRightInd w:val="0"/>
      <w:ind w:firstLine="420"/>
      <w:jc w:val="left"/>
    </w:pPr>
    <w:rPr>
      <w:rFonts w:ascii="宋体"/>
      <w:kern w:val="0"/>
      <w:sz w:val="24"/>
      <w:szCs w:val="20"/>
    </w:rPr>
  </w:style>
  <w:style w:type="paragraph" w:styleId="6">
    <w:name w:val="annotation text"/>
    <w:basedOn w:val="1"/>
    <w:qFormat/>
    <w:uiPriority w:val="0"/>
    <w:pPr>
      <w:jc w:val="left"/>
    </w:pPr>
  </w:style>
  <w:style w:type="paragraph" w:styleId="7">
    <w:name w:val="Body Text"/>
    <w:basedOn w:val="1"/>
    <w:semiHidden/>
    <w:qFormat/>
    <w:uiPriority w:val="0"/>
    <w:rPr>
      <w:rFonts w:ascii="宋体" w:hAnsi="宋体" w:eastAsia="宋体" w:cs="宋体"/>
      <w:sz w:val="31"/>
      <w:szCs w:val="31"/>
      <w:lang w:val="en-US" w:eastAsia="en-US" w:bidi="ar-SA"/>
    </w:rPr>
  </w:style>
  <w:style w:type="paragraph" w:styleId="8">
    <w:name w:val="Body Text Indent"/>
    <w:basedOn w:val="1"/>
    <w:next w:val="9"/>
    <w:qFormat/>
    <w:uiPriority w:val="0"/>
    <w:pPr>
      <w:spacing w:line="360" w:lineRule="auto"/>
      <w:ind w:firstLine="570"/>
    </w:pPr>
    <w:rPr>
      <w:sz w:val="24"/>
    </w:rPr>
  </w:style>
  <w:style w:type="paragraph" w:styleId="9">
    <w:name w:val="envelope return"/>
    <w:basedOn w:val="1"/>
    <w:qFormat/>
    <w:uiPriority w:val="0"/>
    <w:pPr>
      <w:snapToGrid w:val="0"/>
    </w:pPr>
    <w:rPr>
      <w:rFonts w:ascii="Arial" w:hAnsi="Arial"/>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Body Text 2"/>
    <w:basedOn w:val="1"/>
    <w:qFormat/>
    <w:uiPriority w:val="0"/>
    <w:pPr>
      <w:jc w:val="center"/>
    </w:pPr>
    <w:rPr>
      <w:b/>
      <w:bCs/>
      <w:sz w:val="72"/>
    </w:rPr>
  </w:style>
  <w:style w:type="paragraph" w:styleId="1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5">
    <w:name w:val="Normal (Web)"/>
    <w:basedOn w:val="1"/>
    <w:qFormat/>
    <w:uiPriority w:val="0"/>
    <w:pPr>
      <w:widowControl/>
      <w:spacing w:before="100" w:beforeAutospacing="1" w:after="100" w:afterAutospacing="1"/>
      <w:jc w:val="left"/>
    </w:pPr>
    <w:rPr>
      <w:rFonts w:ascii="ˎ̥" w:hAnsi="ˎ̥" w:eastAsia="宋体" w:cs="宋体"/>
      <w:kern w:val="0"/>
      <w:sz w:val="24"/>
      <w:szCs w:val="24"/>
    </w:rPr>
  </w:style>
  <w:style w:type="paragraph" w:styleId="16">
    <w:name w:val="Body Text First Indent"/>
    <w:basedOn w:val="7"/>
    <w:next w:val="17"/>
    <w:qFormat/>
    <w:uiPriority w:val="0"/>
    <w:pPr>
      <w:tabs>
        <w:tab w:val="left" w:pos="567"/>
      </w:tabs>
      <w:spacing w:before="0" w:after="120" w:line="240" w:lineRule="auto"/>
      <w:ind w:firstLine="420" w:firstLineChars="100"/>
    </w:pPr>
    <w:rPr>
      <w:rFonts w:ascii="Times New Roman" w:hAnsi="Times New Roman"/>
      <w:sz w:val="21"/>
    </w:rPr>
  </w:style>
  <w:style w:type="paragraph" w:styleId="17">
    <w:name w:val="Body Text First Indent 2"/>
    <w:basedOn w:val="8"/>
    <w:next w:val="1"/>
    <w:qFormat/>
    <w:uiPriority w:val="0"/>
    <w:pPr>
      <w:spacing w:after="120" w:line="240" w:lineRule="auto"/>
      <w:ind w:left="420" w:leftChars="200" w:firstLine="420" w:firstLineChars="200"/>
    </w:pPr>
    <w:rPr>
      <w:sz w:val="21"/>
    </w:rPr>
  </w:style>
  <w:style w:type="table" w:styleId="19">
    <w:name w:val="Table Grid"/>
    <w:basedOn w:val="1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
    <w:name w:val="page number"/>
    <w:basedOn w:val="20"/>
    <w:qFormat/>
    <w:uiPriority w:val="0"/>
  </w:style>
  <w:style w:type="character" w:styleId="22">
    <w:name w:val="Hyperlink"/>
    <w:qFormat/>
    <w:uiPriority w:val="99"/>
    <w:rPr>
      <w:color w:val="444444"/>
      <w:u w:val="none"/>
    </w:rPr>
  </w:style>
  <w:style w:type="paragraph" w:customStyle="1" w:styleId="23">
    <w:name w:val="目录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2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Table Text"/>
    <w:basedOn w:val="1"/>
    <w:semiHidden/>
    <w:qFormat/>
    <w:uiPriority w:val="0"/>
    <w:rPr>
      <w:rFonts w:ascii="宋体" w:hAnsi="宋体" w:eastAsia="宋体" w:cs="宋体"/>
      <w:sz w:val="24"/>
      <w:szCs w:val="24"/>
      <w:lang w:val="en-US" w:eastAsia="en-US" w:bidi="ar-SA"/>
    </w:rPr>
  </w:style>
  <w:style w:type="paragraph" w:customStyle="1" w:styleId="27">
    <w:name w:val="列出段落1"/>
    <w:basedOn w:val="1"/>
    <w:qFormat/>
    <w:uiPriority w:val="0"/>
    <w:pPr>
      <w:ind w:firstLine="420" w:firstLineChars="200"/>
    </w:pPr>
    <w:rPr>
      <w:rFonts w:ascii="Calibri" w:hAnsi="Calibri"/>
      <w:szCs w:val="22"/>
    </w:rPr>
  </w:style>
  <w:style w:type="paragraph" w:customStyle="1" w:styleId="28">
    <w:name w:val="WPSOffice手动目录 1"/>
    <w:qFormat/>
    <w:uiPriority w:val="0"/>
    <w:pPr>
      <w:ind w:leftChars="0"/>
    </w:pPr>
    <w:rPr>
      <w:rFonts w:ascii="Times New Roman" w:hAnsi="Times New Roman" w:eastAsia="宋体" w:cs="Times New Roman"/>
      <w:sz w:val="20"/>
      <w:szCs w:val="20"/>
    </w:rPr>
  </w:style>
  <w:style w:type="paragraph" w:customStyle="1" w:styleId="29">
    <w:name w:val="WPSOffice手动目录 2"/>
    <w:qFormat/>
    <w:uiPriority w:val="0"/>
    <w:pPr>
      <w:ind w:leftChars="200"/>
    </w:pPr>
    <w:rPr>
      <w:rFonts w:ascii="Times New Roman" w:hAnsi="Times New Roman" w:eastAsia="宋体" w:cs="Times New Roman"/>
      <w:sz w:val="20"/>
      <w:szCs w:val="20"/>
    </w:rPr>
  </w:style>
  <w:style w:type="paragraph" w:customStyle="1" w:styleId="30">
    <w:name w:val="WPSOffice手动目录 3"/>
    <w:qFormat/>
    <w:uiPriority w:val="0"/>
    <w:pPr>
      <w:ind w:leftChars="400"/>
    </w:pPr>
    <w:rPr>
      <w:rFonts w:ascii="Times New Roman" w:hAnsi="Times New Roman" w:eastAsia="宋体" w:cs="Times New Roman"/>
      <w:sz w:val="20"/>
      <w:szCs w:val="20"/>
    </w:rPr>
  </w:style>
  <w:style w:type="paragraph" w:customStyle="1" w:styleId="31">
    <w:name w:val="正文文本缩进 31"/>
    <w:basedOn w:val="1"/>
    <w:qFormat/>
    <w:uiPriority w:val="0"/>
    <w:pPr>
      <w:autoSpaceDE w:val="0"/>
      <w:autoSpaceDN w:val="0"/>
      <w:adjustRightInd w:val="0"/>
      <w:spacing w:before="120" w:line="22" w:lineRule="atLeast"/>
      <w:ind w:left="720" w:firstLine="480"/>
      <w:jc w:val="left"/>
    </w:pPr>
    <w:rPr>
      <w:sz w:val="16"/>
      <w:szCs w:val="16"/>
    </w:rPr>
  </w:style>
  <w:style w:type="paragraph" w:customStyle="1" w:styleId="32">
    <w:name w:val="正文缩进1"/>
    <w:basedOn w:val="1"/>
    <w:qFormat/>
    <w:uiPriority w:val="0"/>
    <w:pPr>
      <w:autoSpaceDE w:val="0"/>
      <w:autoSpaceDN w:val="0"/>
      <w:adjustRightInd w:val="0"/>
      <w:ind w:firstLine="420"/>
      <w:jc w:val="left"/>
    </w:pPr>
    <w:rPr>
      <w:rFonts w:ascii="宋体"/>
      <w:kern w:val="0"/>
      <w:sz w:val="24"/>
      <w:szCs w:val="20"/>
    </w:rPr>
  </w:style>
  <w:style w:type="character" w:customStyle="1" w:styleId="33">
    <w:name w:val="font51"/>
    <w:basedOn w:val="20"/>
    <w:qFormat/>
    <w:uiPriority w:val="0"/>
    <w:rPr>
      <w:rFonts w:hint="eastAsia" w:ascii="仿宋" w:hAnsi="仿宋" w:eastAsia="仿宋" w:cs="仿宋"/>
      <w:color w:val="000000"/>
      <w:sz w:val="22"/>
      <w:szCs w:val="22"/>
      <w:u w:val="none"/>
    </w:rPr>
  </w:style>
  <w:style w:type="character" w:customStyle="1" w:styleId="34">
    <w:name w:val="font91"/>
    <w:basedOn w:val="20"/>
    <w:qFormat/>
    <w:uiPriority w:val="0"/>
    <w:rPr>
      <w:rFonts w:hint="eastAsia" w:ascii="宋体" w:hAnsi="宋体" w:eastAsia="宋体" w:cs="宋体"/>
      <w:color w:val="000000"/>
      <w:sz w:val="22"/>
      <w:szCs w:val="22"/>
      <w:u w:val="none"/>
    </w:rPr>
  </w:style>
  <w:style w:type="character" w:customStyle="1" w:styleId="35">
    <w:name w:val="font81"/>
    <w:basedOn w:val="20"/>
    <w:qFormat/>
    <w:uiPriority w:val="0"/>
    <w:rPr>
      <w:rFonts w:hint="eastAsia" w:ascii="仿宋" w:hAnsi="仿宋" w:eastAsia="仿宋" w:cs="仿宋"/>
      <w:b/>
      <w:bCs/>
      <w:color w:val="000000"/>
      <w:sz w:val="20"/>
      <w:szCs w:val="20"/>
      <w:u w:val="none"/>
    </w:rPr>
  </w:style>
  <w:style w:type="character" w:customStyle="1" w:styleId="36">
    <w:name w:val="font61"/>
    <w:basedOn w:val="20"/>
    <w:qFormat/>
    <w:uiPriority w:val="0"/>
    <w:rPr>
      <w:rFonts w:hint="eastAsia" w:ascii="仿宋" w:hAnsi="仿宋" w:eastAsia="仿宋" w:cs="仿宋"/>
      <w:color w:val="000000"/>
      <w:sz w:val="20"/>
      <w:szCs w:val="20"/>
      <w:u w:val="none"/>
    </w:rPr>
  </w:style>
  <w:style w:type="character" w:customStyle="1" w:styleId="37">
    <w:name w:val="font101"/>
    <w:basedOn w:val="20"/>
    <w:qFormat/>
    <w:uiPriority w:val="0"/>
    <w:rPr>
      <w:rFonts w:hint="eastAsia" w:ascii="宋体" w:hAnsi="宋体" w:eastAsia="宋体" w:cs="宋体"/>
      <w:color w:val="000000"/>
      <w:sz w:val="20"/>
      <w:szCs w:val="20"/>
      <w:u w:val="none"/>
    </w:rPr>
  </w:style>
  <w:style w:type="character" w:customStyle="1" w:styleId="38">
    <w:name w:val="font112"/>
    <w:basedOn w:val="20"/>
    <w:qFormat/>
    <w:uiPriority w:val="0"/>
    <w:rPr>
      <w:rFonts w:hint="eastAsia" w:ascii="仿宋" w:hAnsi="仿宋" w:eastAsia="仿宋" w:cs="仿宋"/>
      <w:b/>
      <w:bCs/>
      <w:color w:val="000000"/>
      <w:sz w:val="20"/>
      <w:szCs w:val="20"/>
      <w:u w:val="none"/>
    </w:rPr>
  </w:style>
  <w:style w:type="character" w:customStyle="1" w:styleId="39">
    <w:name w:val="font121"/>
    <w:basedOn w:val="20"/>
    <w:qFormat/>
    <w:uiPriority w:val="0"/>
    <w:rPr>
      <w:rFonts w:hint="eastAsia" w:ascii="宋体" w:hAnsi="宋体" w:eastAsia="宋体" w:cs="宋体"/>
      <w:b/>
      <w:bCs/>
      <w:color w:val="000000"/>
      <w:sz w:val="20"/>
      <w:szCs w:val="20"/>
      <w:u w:val="none"/>
    </w:rPr>
  </w:style>
  <w:style w:type="character" w:customStyle="1" w:styleId="40">
    <w:name w:val="font131"/>
    <w:basedOn w:val="20"/>
    <w:qFormat/>
    <w:uiPriority w:val="0"/>
    <w:rPr>
      <w:rFonts w:hint="eastAsia" w:ascii="仿宋" w:hAnsi="仿宋" w:eastAsia="仿宋" w:cs="仿宋"/>
      <w:color w:val="000000"/>
      <w:sz w:val="20"/>
      <w:szCs w:val="20"/>
      <w:u w:val="none"/>
      <w:vertAlign w:val="superscript"/>
    </w:rPr>
  </w:style>
  <w:style w:type="character" w:customStyle="1" w:styleId="41">
    <w:name w:val="font71"/>
    <w:basedOn w:val="20"/>
    <w:qFormat/>
    <w:uiPriority w:val="0"/>
    <w:rPr>
      <w:rFonts w:hint="eastAsia" w:ascii="仿宋" w:hAnsi="仿宋" w:eastAsia="仿宋" w:cs="仿宋"/>
      <w:color w:val="000000"/>
      <w:sz w:val="20"/>
      <w:szCs w:val="20"/>
      <w:u w:val="none"/>
    </w:rPr>
  </w:style>
  <w:style w:type="character" w:customStyle="1" w:styleId="42">
    <w:name w:val="font141"/>
    <w:basedOn w:val="20"/>
    <w:qFormat/>
    <w:uiPriority w:val="0"/>
    <w:rPr>
      <w:rFonts w:hint="eastAsia" w:ascii="仿宋" w:hAnsi="仿宋" w:eastAsia="仿宋" w:cs="仿宋"/>
      <w:b/>
      <w:bCs/>
      <w:color w:val="000000"/>
      <w:sz w:val="20"/>
      <w:szCs w:val="20"/>
      <w:u w:val="none"/>
    </w:rPr>
  </w:style>
  <w:style w:type="character" w:customStyle="1" w:styleId="43">
    <w:name w:val="font31"/>
    <w:basedOn w:val="20"/>
    <w:qFormat/>
    <w:uiPriority w:val="0"/>
    <w:rPr>
      <w:rFonts w:hint="eastAsia" w:ascii="宋体" w:hAnsi="宋体" w:eastAsia="宋体" w:cs="宋体"/>
      <w:b/>
      <w:bCs/>
      <w:color w:val="000000"/>
      <w:sz w:val="20"/>
      <w:szCs w:val="20"/>
      <w:u w:val="none"/>
    </w:rPr>
  </w:style>
  <w:style w:type="character" w:customStyle="1" w:styleId="44">
    <w:name w:val="font21"/>
    <w:basedOn w:val="20"/>
    <w:qFormat/>
    <w:uiPriority w:val="0"/>
    <w:rPr>
      <w:rFonts w:hint="default" w:ascii="Calibri" w:hAnsi="Calibri" w:cs="Calibri"/>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84</Pages>
  <Words>22661</Words>
  <Characters>24298</Characters>
  <TotalTime>1</TotalTime>
  <ScaleCrop>false</ScaleCrop>
  <LinksUpToDate>false</LinksUpToDate>
  <CharactersWithSpaces>24925</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2023-10-23T09:13:00Z</dcterms:created>
  <dc:creator>尹皓</dc:creator>
  <cp:lastModifiedBy>招标代理</cp:lastModifiedBy>
  <dcterms:modified xsi:type="dcterms:W3CDTF">2025-01-02T01:42:09Z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2052-12.1.0.19302</vt:lpwstr>
  </property>
  <property fmtid="{D5CDD505-2E9C-101B-9397-08002B2CF9AE}" pid="5" name="ICV">
    <vt:lpwstr>D10872CCD1A5428E894D7594CDB42A7C_12</vt:lpwstr>
  </property>
  <property fmtid="{D5CDD505-2E9C-101B-9397-08002B2CF9AE}" pid="6" name="KSOTemplateDocerSaveRecord">
    <vt:lpwstr>eyJoZGlkIjoiNzRkMTE3YTFhOTllODkyNmNjYThiZTFjNTViMzY5NGEiLCJ1c2VySWQiOiI0MTg0NjEyODIifQ==</vt:lpwstr>
  </property>
</Properties>
</file>