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>人才培养质量建设——一流课程建设（第</w:t>
      </w:r>
      <w:r>
        <w:rPr>
          <w:rFonts w:hint="eastAsia" w:ascii="华文中宋" w:hAnsi="华文中宋" w:eastAsia="华文中宋"/>
          <w:sz w:val="28"/>
          <w:szCs w:val="28"/>
          <w:lang w:val="en-US" w:eastAsia="zh-CN"/>
        </w:rPr>
        <w:t>二</w:t>
      </w:r>
      <w:r>
        <w:rPr>
          <w:rFonts w:hint="eastAsia" w:ascii="华文中宋" w:hAnsi="华文中宋" w:eastAsia="华文中宋"/>
          <w:sz w:val="28"/>
          <w:szCs w:val="28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11000024210200079257-XM002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项目名称：人才培养质量建设——一流课程建设（第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二</w:t>
      </w:r>
      <w:r>
        <w:rPr>
          <w:rFonts w:hint="eastAsia" w:ascii="黑体" w:hAnsi="黑体" w:eastAsia="黑体"/>
          <w:sz w:val="28"/>
          <w:szCs w:val="28"/>
        </w:rPr>
        <w:t>包）</w:t>
      </w:r>
      <w:r>
        <w:rPr>
          <w:rFonts w:hint="eastAsia" w:ascii="华文中宋" w:hAnsi="华文中宋" w:eastAsia="华文中宋"/>
          <w:sz w:val="28"/>
          <w:szCs w:val="28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供应商名称：辽宁向日葵数字技术股份有限公司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供应商地址：辽宁省沈阳市浑南区上深沟村868-3号(101、201)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统一社会信用代码：912101125599561340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中标（成交）金额：68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64万元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名称：人才培养质量建设——一流课程建设（第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包）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采购需求：满足MOOC视频拍摄制作技术标准（详见技术需求）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合同履行期限：按照采购方要求完成项目。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翟秀荣、邹冰洋、黄薇、李树声、赵莹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参照《招标代理服务收费管理暂行办法》计价格[2002]1980号文和发改价格[2011]534号按（□货物类■服务类□工程类）收取，按中标金额差额定率累进法计算，</w:t>
      </w:r>
      <w:r>
        <w:rPr>
          <w:rFonts w:hint="eastAsia" w:ascii="仿宋" w:hAnsi="仿宋" w:eastAsia="仿宋"/>
          <w:sz w:val="28"/>
          <w:szCs w:val="28"/>
        </w:rPr>
        <w:t>收取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1.0296</w:t>
      </w:r>
      <w:bookmarkStart w:id="6" w:name="_GoBack"/>
      <w:bookmarkEnd w:id="6"/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名称：中国音乐学院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</w:rPr>
        <w:fldChar w:fldCharType="begin"/>
      </w:r>
      <w:r>
        <w:rPr>
          <w:rFonts w:hint="eastAsia" w:ascii="仿宋" w:hAnsi="仿宋" w:eastAsia="仿宋"/>
          <w:sz w:val="28"/>
          <w:szCs w:val="28"/>
        </w:rPr>
        <w:instrText xml:space="preserve"> HYPERLINK "https://ditu.so.com/?pid=8cf2207e78963450&amp;new=1&amp;src=onebox_yuanxiao" \t "_blank" </w:instrText>
      </w:r>
      <w:r>
        <w:rPr>
          <w:rFonts w:hint="eastAsia" w:ascii="仿宋" w:hAnsi="仿宋" w:eastAsia="仿宋"/>
          <w:sz w:val="28"/>
          <w:szCs w:val="28"/>
        </w:rPr>
        <w:fldChar w:fldCharType="separate"/>
      </w:r>
      <w:r>
        <w:rPr>
          <w:rFonts w:hint="eastAsia" w:ascii="仿宋" w:hAnsi="仿宋" w:eastAsia="仿宋"/>
          <w:sz w:val="28"/>
          <w:szCs w:val="28"/>
        </w:rPr>
        <w:t>北京市朝阳区安翔路1号</w:t>
      </w:r>
      <w:r>
        <w:rPr>
          <w:rFonts w:hint="eastAsia" w:ascii="仿宋" w:hAnsi="仿宋" w:eastAsia="仿宋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联系方式：胡老师 010-64887161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项目联系人：吕鑫鹏、张梦琦、姚瑶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B5E62B6"/>
    <w:rsid w:val="0F3C0453"/>
    <w:rsid w:val="100833B8"/>
    <w:rsid w:val="12596C61"/>
    <w:rsid w:val="127B4B11"/>
    <w:rsid w:val="12A66FA1"/>
    <w:rsid w:val="13AA65BB"/>
    <w:rsid w:val="17236C46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7920803"/>
    <w:rsid w:val="3B4B7D75"/>
    <w:rsid w:val="3CCC59CF"/>
    <w:rsid w:val="3E19483C"/>
    <w:rsid w:val="46A65D8D"/>
    <w:rsid w:val="527F5493"/>
    <w:rsid w:val="56D40DC2"/>
    <w:rsid w:val="5C636775"/>
    <w:rsid w:val="5FD62BE7"/>
    <w:rsid w:val="628F3A3F"/>
    <w:rsid w:val="62BD79F0"/>
    <w:rsid w:val="62D875A1"/>
    <w:rsid w:val="65816FA4"/>
    <w:rsid w:val="69506833"/>
    <w:rsid w:val="69D72841"/>
    <w:rsid w:val="6CD57DF6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  <w:style w:type="paragraph" w:customStyle="1" w:styleId="24">
    <w:name w:val="Style1"/>
    <w:autoRedefine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511</Words>
  <Characters>632</Characters>
  <Lines>10</Lines>
  <Paragraphs>2</Paragraphs>
  <TotalTime>1</TotalTime>
  <ScaleCrop>false</ScaleCrop>
  <LinksUpToDate>false</LinksUpToDate>
  <CharactersWithSpaces>659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2024-05-15T07:35:00Z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598A12A3C2C74A41A51961872EEC6EB1_13</vt:lpwstr>
  </property>
</Properties>
</file>