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黑体" w:hAnsi="黑体" w:eastAsia="黑体"/>
          <w:sz w:val="24"/>
          <w:szCs w:val="24"/>
        </w:rPr>
      </w:pPr>
      <w:r>
        <w:rPr>
          <w:rFonts w:hint="eastAsia" w:ascii="黑体" w:hAnsi="黑体" w:eastAsia="黑体"/>
          <w:sz w:val="24"/>
          <w:szCs w:val="24"/>
        </w:rPr>
        <w:t>代理服务收费标准及金额：</w:t>
      </w:r>
    </w:p>
    <w:tbl>
      <w:tblPr>
        <w:tblStyle w:val="5"/>
        <w:tblW w:w="869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74"/>
        <w:gridCol w:w="1533"/>
        <w:gridCol w:w="1634"/>
        <w:gridCol w:w="21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2" w:hRule="atLeast"/>
        </w:trPr>
        <w:tc>
          <w:tcPr>
            <w:tcW w:w="337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152400</wp:posOffset>
                      </wp:positionV>
                      <wp:extent cx="2135505" cy="896620"/>
                      <wp:effectExtent l="3175" t="7620" r="7620" b="10160"/>
                      <wp:wrapNone/>
                      <wp:docPr id="1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35505" cy="896620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5.1pt;margin-top:12pt;height:70.6pt;width:168.15pt;z-index:251659264;mso-width-relative:page;mso-height-relative:page;" filled="f" stroked="t" coordsize="21600,21600" o:gfxdata="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DqFxOD1AAAAAoBAAAPAAAAAAAAAAEAIAAAACIAAABkcnMvZG93&#10;bnJldi54bWxQSwECFAAUAAAACACHTuJAFqS6EgQCAAD4AwAADgAAAAAAAAABACAAAAAjAQAAZHJz&#10;L2Uyb0RvYy54bWxQSwUGAAAAAAYABgBZAQAAmQUAAAAA&#10;">
                      <v:fill on="f" focussize="0,0"/>
                      <v:stroke weight="1.25pt" color="#739CC3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474980</wp:posOffset>
                      </wp:positionH>
                      <wp:positionV relativeFrom="paragraph">
                        <wp:posOffset>5080</wp:posOffset>
                      </wp:positionV>
                      <wp:extent cx="1603375" cy="1028065"/>
                      <wp:effectExtent l="4445" t="6985" r="5080" b="6350"/>
                      <wp:wrapNone/>
                      <wp:docPr id="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603375" cy="1028065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 y;margin-left:37.4pt;margin-top:0.4pt;height:80.95pt;width:126.25pt;z-index:251660288;mso-width-relative:page;mso-height-relative:page;" filled="f" stroked="t" coordsize="21600,21600" o:gfxdata="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DLdQcJ1wAAAAcBAAAPAAAAAAAAAAEAIAAA&#10;ACIAAABkcnMvZG93bnJldi54bWxQSwECFAAUAAAACACHTuJAxMr65g0CAAANBAAADgAAAAAAAAAB&#10;ACAAAAAmAQAAZHJzL2Uyb0RvYy54bWxQSwUGAAAAAAYABgBZAQAApQUAAAAA&#10;">
                      <v:fill on="f" focussize="0,0"/>
                      <v:stroke weight="1.25pt" color="#739CC3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 xml:space="preserve">费率   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服务类型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 xml:space="preserve">中标金额（万元）  </w:t>
            </w:r>
          </w:p>
        </w:tc>
        <w:tc>
          <w:tcPr>
            <w:tcW w:w="15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货物</w:t>
            </w:r>
          </w:p>
        </w:tc>
        <w:tc>
          <w:tcPr>
            <w:tcW w:w="163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服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务</w:t>
            </w:r>
          </w:p>
        </w:tc>
        <w:tc>
          <w:tcPr>
            <w:tcW w:w="21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工程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337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100以下</w:t>
            </w:r>
          </w:p>
        </w:tc>
        <w:tc>
          <w:tcPr>
            <w:tcW w:w="15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1.50%</w:t>
            </w:r>
          </w:p>
        </w:tc>
        <w:tc>
          <w:tcPr>
            <w:tcW w:w="163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1.50%</w:t>
            </w:r>
          </w:p>
        </w:tc>
        <w:tc>
          <w:tcPr>
            <w:tcW w:w="21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1.00%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7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100-500</w:t>
            </w:r>
          </w:p>
        </w:tc>
        <w:tc>
          <w:tcPr>
            <w:tcW w:w="15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1.10%</w:t>
            </w:r>
          </w:p>
        </w:tc>
        <w:tc>
          <w:tcPr>
            <w:tcW w:w="163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0.80%</w:t>
            </w:r>
          </w:p>
        </w:tc>
        <w:tc>
          <w:tcPr>
            <w:tcW w:w="21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0.70%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7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500-1000</w:t>
            </w:r>
          </w:p>
        </w:tc>
        <w:tc>
          <w:tcPr>
            <w:tcW w:w="15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0.80%</w:t>
            </w:r>
          </w:p>
        </w:tc>
        <w:tc>
          <w:tcPr>
            <w:tcW w:w="163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0.45%</w:t>
            </w:r>
          </w:p>
        </w:tc>
        <w:tc>
          <w:tcPr>
            <w:tcW w:w="21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0.55%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7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1000-5000</w:t>
            </w:r>
          </w:p>
        </w:tc>
        <w:tc>
          <w:tcPr>
            <w:tcW w:w="15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0.50%</w:t>
            </w:r>
          </w:p>
        </w:tc>
        <w:tc>
          <w:tcPr>
            <w:tcW w:w="163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0.25%</w:t>
            </w:r>
          </w:p>
        </w:tc>
        <w:tc>
          <w:tcPr>
            <w:tcW w:w="21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0.35%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7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5000-10000</w:t>
            </w:r>
          </w:p>
        </w:tc>
        <w:tc>
          <w:tcPr>
            <w:tcW w:w="15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0.25%</w:t>
            </w:r>
          </w:p>
        </w:tc>
        <w:tc>
          <w:tcPr>
            <w:tcW w:w="163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0.10%</w:t>
            </w:r>
          </w:p>
        </w:tc>
        <w:tc>
          <w:tcPr>
            <w:tcW w:w="21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0.20%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7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10000-100000</w:t>
            </w:r>
          </w:p>
        </w:tc>
        <w:tc>
          <w:tcPr>
            <w:tcW w:w="15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0.05%</w:t>
            </w:r>
          </w:p>
        </w:tc>
        <w:tc>
          <w:tcPr>
            <w:tcW w:w="163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0.05%</w:t>
            </w:r>
          </w:p>
        </w:tc>
        <w:tc>
          <w:tcPr>
            <w:tcW w:w="21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0.05%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7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100000以上</w:t>
            </w:r>
          </w:p>
        </w:tc>
        <w:tc>
          <w:tcPr>
            <w:tcW w:w="15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0.01%</w:t>
            </w:r>
          </w:p>
        </w:tc>
        <w:tc>
          <w:tcPr>
            <w:tcW w:w="163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0.01%</w:t>
            </w:r>
          </w:p>
        </w:tc>
        <w:tc>
          <w:tcPr>
            <w:tcW w:w="21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0.01%</w:t>
            </w:r>
          </w:p>
        </w:tc>
      </w:tr>
    </w:tbl>
    <w:p>
      <w:pPr>
        <w:pStyle w:val="4"/>
        <w:jc w:val="left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注：上述代理服务收费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以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中标金额为基准，按照差额定率累进法计算。</w:t>
      </w:r>
    </w:p>
    <w:p>
      <w:pPr>
        <w:pStyle w:val="4"/>
        <w:jc w:val="left"/>
        <w:rPr>
          <w:rFonts w:hint="default" w:ascii="仿宋" w:hAnsi="仿宋" w:eastAsia="仿宋" w:cs="宋体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金额：100*1.5%+</w:t>
      </w:r>
      <w:r>
        <w:rPr>
          <w:rFonts w:hint="eastAsia" w:ascii="仿宋" w:hAnsi="仿宋" w:eastAsia="仿宋" w:cs="宋体"/>
          <w:kern w:val="0"/>
          <w:sz w:val="24"/>
          <w:szCs w:val="24"/>
          <w:highlight w:val="none"/>
          <w:lang w:val="en-US" w:eastAsia="zh-CN" w:bidi="ar-SA"/>
        </w:rPr>
        <w:t>46.88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*0.8%</w:t>
      </w:r>
      <w:r>
        <w:rPr>
          <w:rFonts w:hint="eastAsia" w:ascii="仿宋" w:hAnsi="仿宋" w:eastAsia="仿宋" w:cs="宋体"/>
          <w:kern w:val="0"/>
          <w:sz w:val="24"/>
          <w:szCs w:val="24"/>
          <w:highlight w:val="none"/>
          <w:lang w:val="en-US" w:eastAsia="zh-CN" w:bidi="ar-SA"/>
        </w:rPr>
        <w:t>=1.87504（万元）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EwZGE1MDQxZjI0MTBlMTY3ZGU0MzI3NzJmNmRmOTQifQ=="/>
  </w:docVars>
  <w:rsids>
    <w:rsidRoot w:val="00000000"/>
    <w:rsid w:val="73641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tabs>
        <w:tab w:val="left" w:pos="567"/>
      </w:tabs>
      <w:ind w:firstLine="420" w:firstLineChars="100"/>
    </w:pPr>
  </w:style>
  <w:style w:type="paragraph" w:styleId="3">
    <w:name w:val="Body Text"/>
    <w:basedOn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4">
    <w:name w:val="toc 2"/>
    <w:basedOn w:val="1"/>
    <w:next w:val="1"/>
    <w:qFormat/>
    <w:uiPriority w:val="0"/>
    <w:pPr>
      <w:tabs>
        <w:tab w:val="right" w:leader="dot" w:pos="8630"/>
      </w:tabs>
      <w:ind w:left="420" w:leftChars="200"/>
      <w:jc w:val="center"/>
    </w:pPr>
    <w:rPr>
      <w:rFonts w:ascii="仿宋_GB2312" w:eastAsia="仿宋_GB2312"/>
      <w:b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2024-05-21T08:50:33Z</dcterms:created>
  <dc:creator>zxhd</dc:creator>
  <cp:lastModifiedBy>WYJ</cp:lastModifiedBy>
  <dcterms:modified xsi:type="dcterms:W3CDTF">2024-05-21T08:52:10Z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7C0497BB2A0F450EA578353F007EA31B_12</vt:lpwstr>
  </property>
</Properties>
</file>