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8"/>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38"/>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lang w:val="en-US" w:eastAsia="zh-CN"/>
        </w:rPr>
        <w:t>11011524210200018210-XM001</w:t>
      </w:r>
    </w:p>
    <w:p>
      <w:pPr>
        <w:adjustRightInd w:val="0"/>
        <w:spacing w:line="360" w:lineRule="atLeast"/>
        <w:ind w:left="2560" w:hanging="2560" w:hangingChars="800"/>
        <w:jc w:val="left"/>
        <w:textAlignment w:val="baseline"/>
        <w:rPr>
          <w:rFonts w:hint="eastAsia" w:ascii="宋体" w:hAnsi="宋体" w:eastAsia="宋体"/>
          <w:color w:val="auto"/>
          <w:kern w:val="0"/>
          <w:sz w:val="32"/>
          <w:szCs w:val="32"/>
          <w:u w:val="single"/>
          <w:lang w:eastAsia="zh-CN"/>
        </w:rPr>
      </w:pPr>
      <w:r>
        <w:rPr>
          <w:rFonts w:hint="eastAsia" w:ascii="宋体" w:hAnsi="宋体"/>
          <w:color w:val="auto"/>
          <w:kern w:val="0"/>
          <w:sz w:val="32"/>
          <w:szCs w:val="32"/>
        </w:rPr>
        <w:t xml:space="preserve">      项目名称：</w:t>
      </w:r>
      <w:r>
        <w:rPr>
          <w:rFonts w:hint="eastAsia" w:ascii="宋体" w:hAnsi="宋体"/>
          <w:color w:val="auto"/>
          <w:kern w:val="0"/>
          <w:sz w:val="32"/>
          <w:szCs w:val="32"/>
          <w:lang w:eastAsia="zh-CN"/>
        </w:rPr>
        <w:t>2024年镇政府办公区域物业服务物业管理服务采购项目</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8" w:type="first"/>
          <w:headerReference r:id="rId4" w:type="default"/>
          <w:footerReference r:id="rId6" w:type="default"/>
          <w:footerReference r:id="rId7"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四</w:t>
      </w:r>
      <w:r>
        <w:rPr>
          <w:rFonts w:hint="eastAsia" w:ascii="宋体" w:hAnsi="宋体"/>
          <w:color w:val="auto"/>
          <w:kern w:val="0"/>
          <w:sz w:val="32"/>
          <w:szCs w:val="32"/>
        </w:rPr>
        <w:t>年</w:t>
      </w:r>
      <w:r>
        <w:rPr>
          <w:rFonts w:hint="eastAsia" w:ascii="宋体" w:hAnsi="宋体"/>
          <w:color w:val="auto"/>
          <w:kern w:val="0"/>
          <w:sz w:val="32"/>
          <w:szCs w:val="32"/>
          <w:lang w:eastAsia="zh-CN"/>
        </w:rPr>
        <w:t>六</w:t>
      </w:r>
      <w:r>
        <w:rPr>
          <w:rFonts w:hint="eastAsia" w:ascii="宋体" w:hAnsi="宋体"/>
          <w:color w:val="auto"/>
          <w:kern w:val="0"/>
          <w:sz w:val="32"/>
          <w:szCs w:val="32"/>
        </w:rPr>
        <w:t>月</w:t>
      </w:r>
    </w:p>
    <w:p>
      <w:pPr>
        <w:pStyle w:val="38"/>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38"/>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lang w:eastAsia="zh-CN"/>
        </w:rPr>
      </w:pPr>
      <w:r>
        <w:rPr>
          <w:rFonts w:hint="eastAsia" w:ascii="仿宋_GB2312" w:hAnsi="QWCHIJ+»ªÎÄÏ¸ºÚ" w:eastAsia="仿宋_GB2312" w:cs="QWCHIJ+»ªÎÄÏ¸ºÚ"/>
          <w:b/>
          <w:color w:val="auto"/>
          <w:sz w:val="28"/>
          <w:szCs w:val="28"/>
          <w:lang w:eastAsia="zh-CN"/>
        </w:rPr>
        <w:t>目  录</w:t>
      </w:r>
    </w:p>
    <w:p>
      <w:pPr>
        <w:pStyle w:val="38"/>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3</w:t>
      </w:r>
    </w:p>
    <w:p>
      <w:pPr>
        <w:pStyle w:val="38"/>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7</w:t>
      </w:r>
    </w:p>
    <w:p>
      <w:pPr>
        <w:pStyle w:val="38"/>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eastAsia="仿宋_GB2312"/>
          <w:color w:val="auto"/>
          <w:sz w:val="24"/>
          <w:szCs w:val="24"/>
          <w:lang w:val="en-US" w:eastAsia="zh-CN"/>
        </w:rPr>
        <w:t>.9</w:t>
      </w:r>
    </w:p>
    <w:p>
      <w:pPr>
        <w:pStyle w:val="38"/>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24</w:t>
      </w:r>
    </w:p>
    <w:p>
      <w:pPr>
        <w:pStyle w:val="38"/>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31</w:t>
      </w:r>
    </w:p>
    <w:p>
      <w:pPr>
        <w:pStyle w:val="38"/>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37</w:t>
      </w:r>
    </w:p>
    <w:p>
      <w:pPr>
        <w:pStyle w:val="38"/>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38</w:t>
      </w:r>
    </w:p>
    <w:p>
      <w:pPr>
        <w:pStyle w:val="38"/>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43</w:t>
      </w:r>
    </w:p>
    <w:p>
      <w:pPr>
        <w:pStyle w:val="38"/>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50</w:t>
      </w:r>
    </w:p>
    <w:p>
      <w:pPr>
        <w:pStyle w:val="38"/>
        <w:widowControl w:val="0"/>
        <w:autoSpaceDE w:val="0"/>
        <w:autoSpaceDN w:val="0"/>
        <w:adjustRightInd w:val="0"/>
        <w:spacing w:before="0" w:after="0"/>
        <w:rPr>
          <w:rFonts w:ascii="仿宋_GB2312" w:eastAsia="仿宋_GB2312"/>
          <w:color w:val="auto"/>
          <w:sz w:val="24"/>
          <w:szCs w:val="24"/>
          <w:lang w:eastAsia="zh-CN"/>
        </w:rPr>
      </w:pPr>
    </w:p>
    <w:p>
      <w:pPr>
        <w:pStyle w:val="38"/>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3" w:type="first"/>
          <w:headerReference r:id="rId9" w:type="default"/>
          <w:footerReference r:id="rId11" w:type="default"/>
          <w:headerReference r:id="rId10" w:type="even"/>
          <w:footerReference r:id="rId12" w:type="even"/>
          <w:pgSz w:w="11906" w:h="16838"/>
          <w:pgMar w:top="1418" w:right="1418" w:bottom="1134" w:left="1418" w:header="851" w:footer="851" w:gutter="0"/>
          <w:pgNumType w:fmt="decimal"/>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2"/>
        <w:keepNext w:val="0"/>
        <w:keepLines w:val="0"/>
        <w:widowControl/>
        <w:numPr>
          <w:ilvl w:val="0"/>
          <w:numId w:val="0"/>
        </w:numPr>
        <w:suppressLineNumbers w:val="0"/>
        <w:spacing w:before="0" w:beforeAutospacing="0" w:after="240" w:afterAutospacing="0"/>
        <w:ind w:leftChars="0" w:firstLine="480" w:firstLineChars="200"/>
        <w:rPr>
          <w:rFonts w:ascii="仿宋_GB2312" w:eastAsia="仿宋_GB2312"/>
          <w:b/>
          <w:bCs/>
          <w:color w:val="auto"/>
          <w:sz w:val="24"/>
          <w:szCs w:val="24"/>
          <w:lang w:eastAsia="zh-CN"/>
        </w:rPr>
      </w:pPr>
      <w:r>
        <w:rPr>
          <w:rFonts w:hint="eastAsia" w:ascii="仿宋_GB2312" w:eastAsia="仿宋_GB2312"/>
          <w:b w:val="0"/>
          <w:bCs w:val="0"/>
          <w:color w:val="auto"/>
          <w:sz w:val="24"/>
          <w:szCs w:val="24"/>
          <w:lang w:eastAsia="zh-CN"/>
        </w:rPr>
        <w:t>北京市大兴区政府采购中心(以下简称采购中心)受</w:t>
      </w:r>
      <w:r>
        <w:rPr>
          <w:rFonts w:hint="eastAsia" w:ascii="仿宋_GB2312" w:eastAsia="仿宋_GB2312"/>
          <w:b w:val="0"/>
          <w:bCs w:val="0"/>
          <w:color w:val="auto"/>
          <w:sz w:val="24"/>
          <w:szCs w:val="24"/>
          <w:u w:val="single"/>
          <w:lang w:val="en-US" w:eastAsia="zh-CN"/>
        </w:rPr>
        <w:t xml:space="preserve">北京市大兴区庞各庄镇人民政府 </w:t>
      </w:r>
      <w:r>
        <w:rPr>
          <w:rFonts w:hint="eastAsia" w:ascii="仿宋_GB2312" w:eastAsia="仿宋_GB2312"/>
          <w:b w:val="0"/>
          <w:bCs w:val="0"/>
          <w:color w:val="auto"/>
          <w:sz w:val="24"/>
          <w:szCs w:val="24"/>
          <w:lang w:eastAsia="zh-CN"/>
        </w:rPr>
        <w:t>的委托，对</w:t>
      </w:r>
      <w:r>
        <w:rPr>
          <w:rFonts w:hint="eastAsia" w:ascii="仿宋_GB2312" w:eastAsia="仿宋_GB2312"/>
          <w:b w:val="0"/>
          <w:bCs w:val="0"/>
          <w:color w:val="auto"/>
          <w:sz w:val="24"/>
          <w:szCs w:val="24"/>
          <w:u w:val="single"/>
          <w:lang w:val="en-US" w:eastAsia="zh-CN"/>
        </w:rPr>
        <w:t>2024年镇政府办公区域物业服务物业管理服务采购项目</w:t>
      </w:r>
      <w:r>
        <w:rPr>
          <w:rFonts w:hint="eastAsia" w:ascii="仿宋_GB2312" w:eastAsia="仿宋_GB2312"/>
          <w:b w:val="0"/>
          <w:bCs w:val="0"/>
          <w:color w:val="auto"/>
          <w:sz w:val="24"/>
          <w:szCs w:val="24"/>
          <w:lang w:eastAsia="zh-CN"/>
        </w:rPr>
        <w:t>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本项目为全流程电子化项目。</w:t>
      </w:r>
    </w:p>
    <w:p>
      <w:pPr>
        <w:pStyle w:val="38"/>
        <w:widowControl w:val="0"/>
        <w:numPr>
          <w:ilvl w:val="0"/>
          <w:numId w:val="5"/>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项目名称：2024年镇政府办公区域物业服务物业管理服务采购项目 </w:t>
      </w:r>
    </w:p>
    <w:p>
      <w:pPr>
        <w:pStyle w:val="38"/>
        <w:widowControl w:val="0"/>
        <w:numPr>
          <w:ilvl w:val="0"/>
          <w:numId w:val="5"/>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val="en-US" w:eastAsia="zh-CN"/>
        </w:rPr>
        <w:t>11011524210200018210-XM001</w:t>
      </w:r>
    </w:p>
    <w:p>
      <w:pPr>
        <w:pStyle w:val="38"/>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38"/>
        <w:widowControl w:val="0"/>
        <w:wordWrap/>
        <w:autoSpaceDE w:val="0"/>
        <w:autoSpaceDN w:val="0"/>
        <w:adjustRightInd w:val="0"/>
        <w:snapToGrid/>
        <w:spacing w:before="0" w:after="0" w:line="360" w:lineRule="auto"/>
        <w:textAlignment w:val="auto"/>
        <w:rPr>
          <w:rFonts w:hint="default" w:ascii="仿宋_GB2312" w:eastAsia="仿宋_GB2312"/>
          <w:color w:val="FF0000"/>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eastAsia" w:ascii="仿宋_GB2312" w:eastAsia="仿宋_GB2312"/>
          <w:color w:val="auto"/>
          <w:sz w:val="24"/>
          <w:szCs w:val="24"/>
          <w:lang w:val="en-US" w:eastAsia="zh-CN"/>
        </w:rPr>
        <w:t>281.8万元</w:t>
      </w:r>
      <w:r>
        <w:rPr>
          <w:rFonts w:hint="eastAsia" w:ascii="仿宋_GB2312" w:eastAsia="仿宋_GB2312"/>
          <w:color w:val="auto"/>
          <w:sz w:val="24"/>
          <w:szCs w:val="24"/>
          <w:lang w:eastAsia="zh-CN"/>
        </w:rPr>
        <w:t>，本项目服务期限为</w:t>
      </w:r>
      <w:r>
        <w:rPr>
          <w:rFonts w:hint="eastAsia" w:ascii="仿宋_GB2312" w:eastAsia="仿宋_GB2312"/>
          <w:color w:val="auto"/>
          <w:sz w:val="24"/>
          <w:szCs w:val="24"/>
          <w:lang w:val="en-US" w:eastAsia="zh-CN"/>
        </w:rPr>
        <w:t>1年</w:t>
      </w:r>
    </w:p>
    <w:p>
      <w:pPr>
        <w:pStyle w:val="38"/>
        <w:widowControl w:val="0"/>
        <w:wordWrap/>
        <w:autoSpaceDE w:val="0"/>
        <w:autoSpaceDN w:val="0"/>
        <w:adjustRightInd w:val="0"/>
        <w:snapToGrid/>
        <w:spacing w:before="0" w:after="0" w:line="360" w:lineRule="auto"/>
        <w:textAlignment w:val="auto"/>
        <w:rPr>
          <w:rFonts w:ascii="仿宋" w:hAnsi="仿宋" w:eastAsia="仿宋"/>
          <w:b/>
          <w:bCs/>
          <w:color w:val="auto"/>
          <w:sz w:val="24"/>
          <w:szCs w:val="24"/>
          <w:lang w:eastAsia="zh-CN"/>
        </w:rPr>
      </w:pPr>
      <w:r>
        <w:rPr>
          <w:rFonts w:hint="eastAsia" w:ascii="仿宋_GB2312" w:eastAsia="仿宋_GB2312"/>
          <w:b/>
          <w:bCs/>
          <w:color w:val="auto"/>
          <w:sz w:val="24"/>
          <w:szCs w:val="24"/>
          <w:lang w:val="en-US" w:eastAsia="zh-CN"/>
        </w:rPr>
        <w:t>5</w:t>
      </w:r>
      <w:r>
        <w:rPr>
          <w:rFonts w:hint="eastAsia" w:ascii="仿宋_GB2312" w:eastAsia="仿宋_GB2312"/>
          <w:b/>
          <w:bCs/>
          <w:color w:val="auto"/>
          <w:sz w:val="24"/>
          <w:szCs w:val="24"/>
          <w:lang w:eastAsia="zh-CN"/>
        </w:rPr>
        <w:t xml:space="preserve">.  </w:t>
      </w:r>
      <w:r>
        <w:rPr>
          <w:rFonts w:ascii="仿宋_GB2312" w:eastAsia="仿宋_GB2312"/>
          <w:b/>
          <w:bCs/>
          <w:color w:val="auto"/>
          <w:sz w:val="24"/>
          <w:szCs w:val="24"/>
          <w:lang w:eastAsia="zh-CN"/>
        </w:rPr>
        <w:t>面向企业类型：</w:t>
      </w:r>
      <w:r>
        <w:rPr>
          <w:rFonts w:hint="eastAsia" w:ascii="仿宋_GB2312" w:eastAsia="仿宋_GB2312"/>
          <w:b/>
          <w:bCs/>
          <w:color w:val="auto"/>
          <w:sz w:val="24"/>
          <w:szCs w:val="24"/>
          <w:lang w:eastAsia="zh-CN"/>
        </w:rPr>
        <w:t>本项目专门面向小微企业</w:t>
      </w:r>
    </w:p>
    <w:p>
      <w:pPr>
        <w:pStyle w:val="38"/>
        <w:widowControl w:val="0"/>
        <w:wordWrap/>
        <w:autoSpaceDE w:val="0"/>
        <w:autoSpaceDN w:val="0"/>
        <w:adjustRightInd w:val="0"/>
        <w:snapToGrid/>
        <w:spacing w:before="0" w:after="0" w:line="360" w:lineRule="auto"/>
        <w:textAlignment w:val="auto"/>
        <w:rPr>
          <w:rFonts w:ascii="仿宋_GB2312" w:hAnsi="Calibri" w:eastAsia="仿宋_GB2312" w:cs="Times New Roman"/>
          <w:color w:val="auto"/>
          <w:kern w:val="0"/>
          <w:sz w:val="24"/>
          <w:szCs w:val="24"/>
          <w:lang w:eastAsia="zh-CN" w:bidi="ar-SA"/>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23"/>
        <w:tblW w:w="8910" w:type="dxa"/>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0"/>
        <w:gridCol w:w="2240"/>
        <w:gridCol w:w="3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910" w:type="dxa"/>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名称</w:t>
            </w:r>
          </w:p>
        </w:tc>
        <w:tc>
          <w:tcPr>
            <w:tcW w:w="2240" w:type="dxa"/>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包控制金额(元)</w:t>
            </w:r>
          </w:p>
        </w:tc>
        <w:tc>
          <w:tcPr>
            <w:tcW w:w="3760" w:type="dxa"/>
            <w:vAlign w:val="center"/>
          </w:tcPr>
          <w:p>
            <w:pPr>
              <w:widowControl/>
              <w:jc w:val="center"/>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trPr>
        <w:tc>
          <w:tcPr>
            <w:tcW w:w="2910" w:type="dxa"/>
            <w:shd w:val="clear" w:color="auto" w:fill="auto"/>
            <w:vAlign w:val="center"/>
          </w:tcPr>
          <w:p>
            <w:pPr>
              <w:widowControl/>
              <w:jc w:val="left"/>
              <w:rPr>
                <w:rFonts w:hint="eastAsia" w:ascii="仿宋_GB2312" w:hAnsi="仿宋_GB2312" w:eastAsia="仿宋_GB2312" w:cs="仿宋_GB2312"/>
                <w:color w:val="FF0000"/>
                <w:kern w:val="0"/>
                <w:sz w:val="24"/>
                <w:szCs w:val="24"/>
                <w:lang w:val="en-US"/>
              </w:rPr>
            </w:pPr>
            <w:r>
              <w:rPr>
                <w:rFonts w:hint="eastAsia" w:ascii="仿宋_GB2312" w:hAnsi="Calibri" w:eastAsia="仿宋_GB2312" w:cs="Times New Roman"/>
                <w:color w:val="auto"/>
                <w:kern w:val="0"/>
                <w:sz w:val="24"/>
                <w:szCs w:val="24"/>
                <w:lang w:val="en-US" w:eastAsia="zh-CN" w:bidi="ar-SA"/>
              </w:rPr>
              <w:t>2024年镇政府办公区域物业服务物业管理服务采购项目</w:t>
            </w:r>
          </w:p>
        </w:tc>
        <w:tc>
          <w:tcPr>
            <w:tcW w:w="2240" w:type="dxa"/>
            <w:shd w:val="clear" w:color="auto" w:fill="FFFFFF"/>
            <w:vAlign w:val="center"/>
          </w:tcPr>
          <w:p>
            <w:pPr>
              <w:widowControl/>
              <w:jc w:val="center"/>
              <w:rPr>
                <w:rFonts w:hint="default" w:ascii="仿宋_GB2312" w:hAnsi="Calibri" w:eastAsia="仿宋_GB2312" w:cs="Times New Roman"/>
                <w:color w:val="auto"/>
                <w:kern w:val="0"/>
                <w:sz w:val="24"/>
                <w:szCs w:val="24"/>
                <w:lang w:val="en-US" w:eastAsia="zh-CN" w:bidi="ar-SA"/>
              </w:rPr>
            </w:pPr>
            <w:r>
              <w:rPr>
                <w:rFonts w:hint="eastAsia" w:ascii="仿宋_GB2312" w:hAnsi="Calibri" w:eastAsia="仿宋_GB2312" w:cs="Times New Roman"/>
                <w:color w:val="auto"/>
                <w:kern w:val="0"/>
                <w:sz w:val="24"/>
                <w:szCs w:val="24"/>
                <w:lang w:val="en-US" w:eastAsia="zh-CN" w:bidi="ar-SA"/>
              </w:rPr>
              <w:t>2818000</w:t>
            </w:r>
          </w:p>
        </w:tc>
        <w:tc>
          <w:tcPr>
            <w:tcW w:w="3760" w:type="dxa"/>
            <w:shd w:val="clear" w:color="auto" w:fill="FFFFFF"/>
            <w:vAlign w:val="center"/>
          </w:tcPr>
          <w:p>
            <w:pPr>
              <w:widowControl/>
              <w:jc w:val="left"/>
              <w:rPr>
                <w:rFonts w:hint="eastAsia" w:ascii="仿宋_GB2312" w:hAnsi="Calibri" w:eastAsia="仿宋_GB2312" w:cs="Times New Roman"/>
                <w:color w:val="auto"/>
                <w:kern w:val="0"/>
                <w:sz w:val="24"/>
                <w:szCs w:val="24"/>
                <w:lang w:val="en-US" w:eastAsia="zh-CN" w:bidi="ar-SA"/>
              </w:rPr>
            </w:pPr>
            <w:r>
              <w:rPr>
                <w:rFonts w:hint="eastAsia" w:ascii="仿宋_GB2312" w:hAnsi="Calibri" w:eastAsia="仿宋_GB2312" w:cs="Times New Roman"/>
                <w:color w:val="auto"/>
                <w:kern w:val="0"/>
                <w:sz w:val="24"/>
                <w:szCs w:val="24"/>
                <w:lang w:val="en-US" w:eastAsia="zh-CN" w:bidi="ar-SA"/>
              </w:rPr>
              <w:t>12个服务点位的房屋、屋面防水的日常检查门窗、家具日常维修</w:t>
            </w:r>
          </w:p>
        </w:tc>
      </w:tr>
    </w:tbl>
    <w:p>
      <w:pPr>
        <w:widowControl/>
        <w:tabs>
          <w:tab w:val="left" w:pos="995"/>
          <w:tab w:val="left" w:pos="3472"/>
          <w:tab w:val="left" w:pos="6071"/>
        </w:tabs>
        <w:jc w:val="left"/>
        <w:rPr>
          <w:rFonts w:ascii="仿宋_GB2312" w:eastAsia="仿宋_GB2312"/>
          <w:color w:val="auto"/>
          <w:sz w:val="24"/>
          <w:szCs w:val="24"/>
        </w:rPr>
      </w:pPr>
      <w:r>
        <w:rPr>
          <w:rFonts w:ascii="Arial" w:hAnsi="Arial" w:cs="Arial"/>
          <w:color w:val="auto"/>
          <w:kern w:val="0"/>
          <w:sz w:val="20"/>
        </w:rPr>
        <w:tab/>
      </w:r>
      <w:r>
        <w:rPr>
          <w:rFonts w:ascii="Arial" w:hAnsi="Arial" w:cs="Arial"/>
          <w:color w:val="auto"/>
          <w:kern w:val="0"/>
          <w:sz w:val="20"/>
        </w:rPr>
        <w:tab/>
      </w:r>
      <w:r>
        <w:rPr>
          <w:rFonts w:ascii="Arial" w:hAnsi="Arial" w:cs="Arial"/>
          <w:color w:val="auto"/>
          <w:kern w:val="0"/>
          <w:sz w:val="20"/>
        </w:rPr>
        <w:tab/>
      </w:r>
    </w:p>
    <w:p>
      <w:pPr>
        <w:pStyle w:val="38"/>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7</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38"/>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numPr>
          <w:ilvl w:val="0"/>
          <w:numId w:val="0"/>
        </w:numPr>
        <w:spacing w:line="360" w:lineRule="auto"/>
        <w:ind w:firstLine="480" w:firstLineChars="200"/>
        <w:rPr>
          <w:rFonts w:hint="eastAsia"/>
          <w:lang w:val="en-US" w:eastAsia="zh-CN"/>
        </w:rPr>
      </w:pPr>
      <w:r>
        <w:rPr>
          <w:rFonts w:hint="eastAsia" w:ascii="仿宋_GB2312" w:eastAsia="仿宋_GB2312"/>
          <w:color w:val="auto"/>
          <w:sz w:val="24"/>
          <w:szCs w:val="24"/>
          <w:lang w:val="en-US" w:eastAsia="zh-CN"/>
        </w:rPr>
        <w:t>（4）本项目专门面向小微企业。</w:t>
      </w:r>
    </w:p>
    <w:p>
      <w:pPr>
        <w:numPr>
          <w:ilvl w:val="0"/>
          <w:numId w:val="6"/>
        </w:numPr>
        <w:spacing w:line="360" w:lineRule="auto"/>
        <w:rPr>
          <w:rFonts w:hint="default" w:ascii="仿宋_GB2312" w:eastAsia="仿宋_GB2312"/>
          <w:color w:val="auto"/>
          <w:sz w:val="24"/>
          <w:szCs w:val="24"/>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w:t>
      </w:r>
      <w:r>
        <w:rPr>
          <w:rFonts w:hint="eastAsia" w:ascii="仿宋_GB2312" w:eastAsia="仿宋_GB2312"/>
          <w:color w:val="auto"/>
          <w:sz w:val="24"/>
          <w:szCs w:val="24"/>
          <w:lang w:val="en-US" w:eastAsia="zh-CN"/>
        </w:rPr>
        <w:t>载时间：2024年6月28日上午9:30至7月4日下午17:00</w:t>
      </w:r>
    </w:p>
    <w:p>
      <w:pPr>
        <w:numPr>
          <w:ilvl w:val="0"/>
          <w:numId w:val="0"/>
        </w:numPr>
        <w:spacing w:line="360" w:lineRule="auto"/>
        <w:ind w:firstLine="482" w:firstLineChars="200"/>
        <w:rPr>
          <w:rFonts w:hint="default"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因</w:t>
      </w:r>
      <w:r>
        <w:rPr>
          <w:rFonts w:hint="eastAsia" w:ascii="仿宋_GB2312" w:eastAsia="仿宋_GB2312"/>
          <w:b/>
          <w:bCs/>
          <w:color w:val="auto"/>
          <w:sz w:val="24"/>
          <w:szCs w:val="24"/>
          <w:u w:val="single"/>
          <w:lang w:val="en-US" w:eastAsia="zh-CN"/>
        </w:rPr>
        <w:t>本项目为全流程电子化项目</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19"/>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color w:val="auto"/>
          <w:sz w:val="24"/>
          <w:szCs w:val="24"/>
        </w:rPr>
      </w:pPr>
    </w:p>
    <w:p>
      <w:pPr>
        <w:pStyle w:val="19"/>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注册登录后，选择参与本项目并下载电子招标文件。供应商需在此平台上传电子投标文件。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1）办理数字证书：办理流程详见北京市政府采购电子交易平台（http://zbcg-bjzc.zhongcy.com/bjczj-portal-site/index.html#/home)中的数字证书办理平台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2）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38"/>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投标时间：20</w:t>
      </w:r>
      <w:r>
        <w:rPr>
          <w:rFonts w:hint="eastAsia" w:ascii="仿宋_GB2312" w:eastAsia="仿宋_GB2312"/>
          <w:color w:val="auto"/>
          <w:sz w:val="24"/>
          <w:szCs w:val="24"/>
          <w:lang w:val="en-US" w:eastAsia="zh-CN"/>
        </w:rPr>
        <w:t>24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7月23日</w:t>
      </w:r>
      <w:r>
        <w:rPr>
          <w:rFonts w:hint="eastAsia" w:ascii="仿宋_GB2312" w:eastAsia="仿宋_GB2312"/>
          <w:color w:val="auto"/>
          <w:sz w:val="24"/>
          <w:szCs w:val="24"/>
          <w:lang w:eastAsia="zh-CN"/>
        </w:rPr>
        <w:t>上午9:00至9:30（北京时间）</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投标地点：北京市大兴区公共资源交易分中心三层。</w:t>
      </w:r>
    </w:p>
    <w:p>
      <w:pPr>
        <w:pStyle w:val="38"/>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投标截止时间：</w:t>
      </w:r>
      <w:r>
        <w:rPr>
          <w:rFonts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7月23日</w:t>
      </w:r>
      <w:r>
        <w:rPr>
          <w:rFonts w:hint="eastAsia" w:ascii="仿宋_GB2312" w:eastAsia="仿宋_GB2312"/>
          <w:color w:val="auto"/>
          <w:sz w:val="24"/>
          <w:szCs w:val="24"/>
          <w:lang w:eastAsia="zh-CN"/>
        </w:rPr>
        <w:t>上午9:30（北京时间）。逾期送达或不符合规定的投标文件恕不接受。</w:t>
      </w:r>
    </w:p>
    <w:p>
      <w:pPr>
        <w:pStyle w:val="38"/>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方式：</w:t>
      </w:r>
    </w:p>
    <w:p>
      <w:pPr>
        <w:pStyle w:val="38"/>
        <w:widowControl w:val="0"/>
        <w:autoSpaceDE w:val="0"/>
        <w:autoSpaceDN w:val="0"/>
        <w:adjustRightInd w:val="0"/>
        <w:spacing w:before="0" w:after="0" w:line="360" w:lineRule="auto"/>
        <w:ind w:firstLine="482" w:firstLineChars="200"/>
        <w:rPr>
          <w:rFonts w:hint="eastAsia" w:ascii="仿宋_GB2312" w:eastAsia="仿宋_GB2312"/>
          <w:color w:val="auto"/>
          <w:sz w:val="24"/>
          <w:szCs w:val="24"/>
          <w:lang w:val="en-US" w:eastAsia="zh-CN"/>
        </w:rPr>
      </w:pPr>
      <w:r>
        <w:rPr>
          <w:rFonts w:hint="eastAsia" w:ascii="仿宋_GB2312" w:eastAsia="仿宋_GB2312"/>
          <w:b/>
          <w:bCs/>
          <w:color w:val="auto"/>
          <w:sz w:val="24"/>
          <w:szCs w:val="24"/>
          <w:lang w:val="en-US" w:eastAsia="zh-CN"/>
        </w:rPr>
        <w:t>（1）线上递交</w:t>
      </w:r>
    </w:p>
    <w:p>
      <w:pPr>
        <w:pStyle w:val="38"/>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投标人应在开标之日</w:t>
      </w:r>
      <w:r>
        <w:rPr>
          <w:rFonts w:hint="eastAsia"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7月23日上午</w:t>
      </w:r>
      <w:r>
        <w:rPr>
          <w:rFonts w:hint="eastAsia" w:ascii="仿宋_GB2312" w:eastAsia="仿宋_GB2312"/>
          <w:color w:val="auto"/>
          <w:sz w:val="24"/>
          <w:szCs w:val="24"/>
          <w:lang w:eastAsia="zh-CN"/>
        </w:rPr>
        <w:t>9点30分（北京时间）前，在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(http://zbcg-bjzc.zhongcy.com/bjczj-portal-site/index.html#/home)登陆，在线上传电子版投标文件，文件格式为</w:t>
      </w:r>
      <w:r>
        <w:rPr>
          <w:rFonts w:hint="eastAsia" w:ascii="仿宋_GB2312" w:eastAsia="仿宋_GB2312"/>
          <w:color w:val="auto"/>
          <w:sz w:val="24"/>
          <w:szCs w:val="24"/>
          <w:lang w:val="en-US" w:eastAsia="zh-CN"/>
        </w:rPr>
        <w:t>TBJ格式的加密文件。未在线上上传电子版《投标文件》的，将视为投标无效。</w:t>
      </w:r>
    </w:p>
    <w:p>
      <w:pPr>
        <w:pStyle w:val="38"/>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lang w:val="en-US" w:eastAsia="zh-CN"/>
        </w:rPr>
      </w:pPr>
      <w:r>
        <w:rPr>
          <w:rFonts w:hint="eastAsia" w:ascii="仿宋_GB2312" w:eastAsia="仿宋_GB2312"/>
          <w:b/>
          <w:bCs/>
          <w:color w:val="auto"/>
          <w:sz w:val="24"/>
          <w:szCs w:val="24"/>
          <w:lang w:val="en-US" w:eastAsia="zh-CN"/>
        </w:rPr>
        <w:t>（2）投标现场需提供的资料</w:t>
      </w:r>
    </w:p>
    <w:p>
      <w:pPr>
        <w:pStyle w:val="38"/>
        <w:widowControl w:val="0"/>
        <w:autoSpaceDE w:val="0"/>
        <w:autoSpaceDN w:val="0"/>
        <w:adjustRightInd w:val="0"/>
        <w:spacing w:before="0" w:after="0" w:line="360" w:lineRule="auto"/>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eastAsia="zh-CN"/>
        </w:rPr>
        <w:t>投标人需在202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 xml:space="preserve"> 7月23日 </w:t>
      </w:r>
      <w:r>
        <w:rPr>
          <w:rFonts w:hint="eastAsia" w:ascii="仿宋_GB2312" w:eastAsia="仿宋_GB2312"/>
          <w:color w:val="auto"/>
          <w:sz w:val="24"/>
          <w:szCs w:val="24"/>
          <w:lang w:eastAsia="zh-CN"/>
        </w:rPr>
        <w:t>上午9点30分（北京时间）</w:t>
      </w:r>
      <w:r>
        <w:rPr>
          <w:rFonts w:hint="eastAsia" w:ascii="仿宋_GB2312" w:eastAsia="仿宋_GB2312"/>
          <w:color w:val="auto"/>
          <w:sz w:val="24"/>
          <w:szCs w:val="24"/>
          <w:lang w:val="en-US" w:eastAsia="zh-CN"/>
        </w:rPr>
        <w:t>开标当日，由投标单位法人或授权人参加</w:t>
      </w:r>
      <w:r>
        <w:rPr>
          <w:rFonts w:hint="eastAsia" w:ascii="仿宋_GB2312" w:eastAsia="仿宋_GB2312"/>
          <w:color w:val="auto"/>
          <w:sz w:val="24"/>
          <w:szCs w:val="24"/>
          <w:lang w:eastAsia="zh-CN"/>
        </w:rPr>
        <w:t>开标会（地点：北京市大兴区公共资源交易分中心三层）。届时应提供以下资料：</w:t>
      </w:r>
      <w:r>
        <w:rPr>
          <w:rFonts w:hint="eastAsia" w:ascii="仿宋_GB2312" w:eastAsia="仿宋_GB2312"/>
          <w:color w:val="auto"/>
          <w:sz w:val="24"/>
          <w:szCs w:val="24"/>
          <w:lang w:val="en-US" w:eastAsia="zh-CN"/>
        </w:rPr>
        <w:t>①</w:t>
      </w:r>
      <w:r>
        <w:rPr>
          <w:rFonts w:hint="eastAsia" w:ascii="仿宋_GB2312" w:eastAsia="仿宋_GB2312"/>
          <w:color w:val="auto"/>
          <w:sz w:val="24"/>
          <w:szCs w:val="24"/>
          <w:lang w:eastAsia="zh-CN"/>
        </w:rPr>
        <w:t>《投标文件》纸质版正本</w:t>
      </w:r>
      <w:r>
        <w:rPr>
          <w:rFonts w:hint="eastAsia" w:ascii="仿宋_GB2312" w:eastAsia="仿宋_GB2312"/>
          <w:color w:val="auto"/>
          <w:sz w:val="24"/>
          <w:szCs w:val="24"/>
          <w:lang w:val="en-US" w:eastAsia="zh-CN"/>
        </w:rPr>
        <w:t>1份，副本1份；②《开标一览表》纸质版1份（备用）。③投标U盘或光盘一份，U盘或光盘内容包括：加密《投标文件》TBJ格式1份，WORD或WPS格式《投标文件》1份、PDF格式《投标文件》1份。④携带制作电子版《投标文件》的CA证书（钥匙）。⑤法人代表授权书1份。以上资料需开标当日现场递交，大兴区政府采购中心</w:t>
      </w:r>
      <w:r>
        <w:rPr>
          <w:rFonts w:hint="eastAsia" w:ascii="仿宋_GB2312" w:eastAsia="仿宋_GB2312"/>
          <w:color w:val="auto"/>
          <w:sz w:val="24"/>
          <w:szCs w:val="24"/>
          <w:lang w:eastAsia="zh-CN"/>
        </w:rPr>
        <w:t>不接受现场递交以外的投递形式，投标人采取其他投递形式致使投标无效，</w:t>
      </w:r>
      <w:r>
        <w:rPr>
          <w:rFonts w:hint="eastAsia" w:ascii="仿宋_GB2312" w:eastAsia="仿宋_GB2312"/>
          <w:color w:val="auto"/>
          <w:sz w:val="24"/>
          <w:szCs w:val="24"/>
          <w:lang w:val="en-US" w:eastAsia="zh-CN"/>
        </w:rPr>
        <w:t>大兴区政府</w:t>
      </w:r>
      <w:r>
        <w:rPr>
          <w:rFonts w:hint="eastAsia" w:ascii="仿宋_GB2312" w:eastAsia="仿宋_GB2312"/>
          <w:color w:val="auto"/>
          <w:sz w:val="24"/>
          <w:szCs w:val="24"/>
          <w:lang w:eastAsia="zh-CN"/>
        </w:rPr>
        <w:t>采购中心不承担任何责任。（现场递交系指投标人将投标文件</w:t>
      </w:r>
      <w:r>
        <w:rPr>
          <w:rFonts w:hint="eastAsia" w:ascii="仿宋_GB2312" w:eastAsia="仿宋_GB2312"/>
          <w:color w:val="auto"/>
          <w:sz w:val="24"/>
          <w:szCs w:val="24"/>
          <w:lang w:val="en-US" w:eastAsia="zh-CN"/>
        </w:rPr>
        <w:t>相关</w:t>
      </w:r>
      <w:r>
        <w:rPr>
          <w:rFonts w:hint="eastAsia" w:ascii="仿宋_GB2312" w:eastAsia="仿宋_GB2312"/>
          <w:color w:val="auto"/>
          <w:sz w:val="24"/>
          <w:szCs w:val="24"/>
          <w:lang w:eastAsia="zh-CN"/>
        </w:rPr>
        <w:t>资料直接递交给采购中心联系人，并签字确认）。</w:t>
      </w:r>
    </w:p>
    <w:p>
      <w:pPr>
        <w:pStyle w:val="38"/>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 开标：</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开标时间：</w:t>
      </w:r>
      <w:r>
        <w:rPr>
          <w:rFonts w:ascii="仿宋_GB2312" w:eastAsia="仿宋_GB2312"/>
          <w:color w:val="auto"/>
          <w:sz w:val="24"/>
          <w:szCs w:val="24"/>
          <w:lang w:eastAsia="zh-CN"/>
        </w:rPr>
        <w:t>202</w:t>
      </w: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年</w:t>
      </w:r>
      <w:r>
        <w:rPr>
          <w:rFonts w:hint="eastAsia" w:ascii="仿宋_GB2312" w:eastAsia="仿宋_GB2312"/>
          <w:color w:val="auto"/>
          <w:sz w:val="24"/>
          <w:szCs w:val="24"/>
          <w:lang w:val="en-US" w:eastAsia="zh-CN"/>
        </w:rPr>
        <w:t xml:space="preserve">7月23日 </w:t>
      </w:r>
      <w:r>
        <w:rPr>
          <w:rFonts w:hint="eastAsia" w:ascii="仿宋_GB2312" w:eastAsia="仿宋_GB2312"/>
          <w:color w:val="auto"/>
          <w:sz w:val="24"/>
          <w:szCs w:val="24"/>
          <w:lang w:eastAsia="zh-CN"/>
        </w:rPr>
        <w:t>上午9:30（北京时间）</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38"/>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38"/>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38"/>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联系人：王老师</w:t>
      </w:r>
    </w:p>
    <w:p>
      <w:pPr>
        <w:pStyle w:val="38"/>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eastAsia="仿宋_GB2312"/>
          <w:color w:val="auto"/>
          <w:sz w:val="24"/>
          <w:szCs w:val="24"/>
          <w:lang w:eastAsia="zh-CN"/>
        </w:rPr>
        <w:t>010</w:t>
      </w:r>
      <w:r>
        <w:rPr>
          <w:rFonts w:hint="eastAsia" w:ascii="仿宋_GB2312" w:eastAsia="仿宋_GB2312"/>
          <w:color w:val="auto"/>
          <w:sz w:val="24"/>
          <w:szCs w:val="24"/>
          <w:lang w:val="en-US" w:eastAsia="zh-CN"/>
        </w:rPr>
        <w:t>-</w:t>
      </w:r>
      <w:r>
        <w:rPr>
          <w:rFonts w:hint="eastAsia" w:ascii="仿宋_GB2312" w:eastAsia="仿宋_GB2312"/>
          <w:color w:val="auto"/>
          <w:sz w:val="24"/>
          <w:szCs w:val="24"/>
          <w:lang w:eastAsia="zh-CN"/>
        </w:rPr>
        <w:t>6923133</w:t>
      </w:r>
      <w:bookmarkEnd w:id="2"/>
      <w:r>
        <w:rPr>
          <w:rFonts w:hint="eastAsia" w:ascii="仿宋_GB2312" w:eastAsia="仿宋_GB2312"/>
          <w:color w:val="auto"/>
          <w:sz w:val="24"/>
          <w:szCs w:val="24"/>
          <w:lang w:val="en-US" w:eastAsia="zh-CN"/>
        </w:rPr>
        <w:t>3转202</w:t>
      </w:r>
    </w:p>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38"/>
        <w:widowControl w:val="0"/>
        <w:autoSpaceDE w:val="0"/>
        <w:autoSpaceDN w:val="0"/>
        <w:adjustRightInd w:val="0"/>
        <w:spacing w:before="0" w:after="0" w:line="360" w:lineRule="auto"/>
        <w:ind w:firstLine="480" w:firstLineChars="200"/>
        <w:rPr>
          <w:rFonts w:hint="eastAsia" w:ascii="仿宋" w:hAnsi="仿宋" w:eastAsia="仿宋"/>
          <w:color w:val="auto"/>
          <w:sz w:val="24"/>
          <w:szCs w:val="28"/>
          <w:u w:val="none"/>
          <w:lang w:val="zh-CN" w:eastAsia="zh-CN"/>
        </w:rPr>
      </w:pPr>
      <w:r>
        <w:rPr>
          <w:rFonts w:hint="eastAsia" w:ascii="仿宋_GB2312" w:eastAsia="仿宋_GB2312"/>
          <w:color w:val="auto"/>
          <w:sz w:val="24"/>
          <w:szCs w:val="24"/>
          <w:lang w:eastAsia="zh-CN"/>
        </w:rPr>
        <w:t>采购人名称：</w:t>
      </w:r>
      <w:r>
        <w:rPr>
          <w:rFonts w:hint="eastAsia" w:ascii="仿宋_GB2312" w:eastAsia="仿宋_GB2312"/>
          <w:color w:val="auto"/>
          <w:sz w:val="24"/>
          <w:szCs w:val="24"/>
          <w:lang w:val="en-US" w:eastAsia="zh-CN"/>
        </w:rPr>
        <w:t xml:space="preserve">北京市大兴区庞各庄镇人民政府 </w:t>
      </w:r>
    </w:p>
    <w:p>
      <w:pPr>
        <w:pStyle w:val="38"/>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联系人：张老师</w:t>
      </w:r>
    </w:p>
    <w:p>
      <w:pPr>
        <w:pStyle w:val="38"/>
        <w:widowControl w:val="0"/>
        <w:autoSpaceDE w:val="0"/>
        <w:autoSpaceDN w:val="0"/>
        <w:adjustRightInd w:val="0"/>
        <w:spacing w:before="0" w:after="0" w:line="360" w:lineRule="auto"/>
        <w:ind w:firstLine="480" w:firstLineChars="200"/>
        <w:rPr>
          <w:rFonts w:hint="eastAsia" w:ascii="仿宋" w:hAnsi="仿宋" w:eastAsia="仿宋" w:cs="Times New Roman"/>
          <w:color w:val="auto"/>
          <w:kern w:val="2"/>
          <w:sz w:val="24"/>
          <w:szCs w:val="28"/>
          <w:highlight w:val="none"/>
          <w:lang w:val="en-US" w:eastAsia="zh-CN" w:bidi="ar-SA"/>
        </w:rPr>
      </w:pPr>
      <w:r>
        <w:rPr>
          <w:rFonts w:hint="eastAsia" w:ascii="仿宋_GB2312" w:eastAsia="仿宋_GB2312"/>
          <w:color w:val="auto"/>
          <w:sz w:val="24"/>
          <w:szCs w:val="24"/>
          <w:highlight w:val="none"/>
          <w:lang w:eastAsia="zh-CN"/>
        </w:rPr>
        <w:t>联系方式：</w:t>
      </w:r>
      <w:r>
        <w:rPr>
          <w:rFonts w:hint="eastAsia" w:ascii="仿宋" w:hAnsi="仿宋" w:eastAsia="仿宋" w:cs="Times New Roman"/>
          <w:color w:val="auto"/>
          <w:kern w:val="2"/>
          <w:sz w:val="24"/>
          <w:szCs w:val="28"/>
          <w:highlight w:val="none"/>
          <w:lang w:val="en-US" w:eastAsia="zh-CN" w:bidi="ar-SA"/>
        </w:rPr>
        <w:t>010-89288105</w:t>
      </w:r>
    </w:p>
    <w:p>
      <w:pPr>
        <w:pStyle w:val="38"/>
        <w:widowControl w:val="0"/>
        <w:autoSpaceDE w:val="0"/>
        <w:autoSpaceDN w:val="0"/>
        <w:adjustRightInd w:val="0"/>
        <w:spacing w:before="0" w:after="0" w:line="360" w:lineRule="auto"/>
        <w:ind w:firstLine="480" w:firstLineChars="200"/>
        <w:rPr>
          <w:rFonts w:hint="default" w:ascii="仿宋_GB2312" w:eastAsia="仿宋_GB2312"/>
          <w:color w:val="auto"/>
          <w:sz w:val="24"/>
          <w:szCs w:val="24"/>
          <w:highlight w:val="yellow"/>
          <w:lang w:val="en-US" w:eastAsia="zh-CN"/>
        </w:rPr>
      </w:pPr>
      <w:r>
        <w:rPr>
          <w:rFonts w:hint="eastAsia" w:ascii="仿宋_GB2312" w:eastAsia="仿宋_GB2312"/>
          <w:color w:val="auto"/>
          <w:sz w:val="24"/>
          <w:szCs w:val="24"/>
          <w:highlight w:val="none"/>
          <w:lang w:eastAsia="zh-CN"/>
        </w:rPr>
        <w:t>地址：</w:t>
      </w:r>
      <w:bookmarkStart w:id="3" w:name="_Hlk44403296"/>
      <w:r>
        <w:rPr>
          <w:rFonts w:hint="eastAsia" w:ascii="仿宋_GB2312" w:eastAsia="仿宋_GB2312"/>
          <w:color w:val="auto"/>
          <w:sz w:val="24"/>
          <w:szCs w:val="24"/>
          <w:lang w:val="en-US" w:eastAsia="zh-CN"/>
        </w:rPr>
        <w:t>北京市大兴区庞各庄镇幸福路</w:t>
      </w:r>
    </w:p>
    <w:bookmarkEnd w:id="3"/>
    <w:p>
      <w:pPr>
        <w:pStyle w:val="38"/>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p>
    <w:p>
      <w:pPr>
        <w:pStyle w:val="38"/>
        <w:widowControl w:val="0"/>
        <w:autoSpaceDE w:val="0"/>
        <w:autoSpaceDN w:val="0"/>
        <w:adjustRightInd w:val="0"/>
        <w:spacing w:before="0" w:after="0" w:line="360" w:lineRule="auto"/>
        <w:ind w:firstLine="480" w:firstLineChars="200"/>
        <w:rPr>
          <w:rFonts w:ascii="仿宋_GB2312" w:hAnsi="宋体" w:eastAsia="仿宋_GB2312"/>
          <w:color w:val="auto"/>
          <w:sz w:val="24"/>
          <w:szCs w:val="24"/>
          <w:lang w:eastAsia="zh-CN"/>
        </w:rPr>
      </w:pPr>
      <w:r>
        <w:rPr>
          <w:rFonts w:ascii="仿宋_GB2312" w:eastAsia="仿宋_GB2312"/>
          <w:color w:val="auto"/>
          <w:sz w:val="24"/>
          <w:szCs w:val="24"/>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本项目为全流程电子化项目。</w:t>
      </w:r>
    </w:p>
    <w:tbl>
      <w:tblPr>
        <w:tblStyle w:val="2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38"/>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lang w:val="en-US" w:eastAsia="zh-CN"/>
              </w:rPr>
              <w:t xml:space="preserve">北京市大兴区庞各庄镇人民政府 </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eastAsia" w:ascii="仿宋_GB2312" w:eastAsia="仿宋_GB2312"/>
                <w:color w:val="auto"/>
                <w:sz w:val="24"/>
                <w:szCs w:val="24"/>
                <w:u w:val="single"/>
                <w:lang w:val="en-US" w:eastAsia="zh-CN"/>
              </w:rPr>
              <w:t>281.8</w:t>
            </w:r>
            <w:r>
              <w:rPr>
                <w:rFonts w:ascii="仿宋_GB2312" w:hAnsi="宋体" w:eastAsia="仿宋_GB2312"/>
                <w:color w:val="auto"/>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本项目为全流程电子化项目，投标人应在规定的时间内，在北京市政府采购电子交易平台上传电子版投标文件，文件格式为TBJ格式的加密文件。未在线上上传电子版《投标文件》的，将视为投标无效。</w:t>
            </w:r>
            <w:r>
              <w:rPr>
                <w:rFonts w:ascii="仿宋_GB2312" w:hAnsi="宋体" w:eastAsia="仿宋_GB2312"/>
                <w:color w:val="auto"/>
                <w:sz w:val="24"/>
                <w:szCs w:val="24"/>
              </w:rPr>
              <w:t>投标文件份数及递交要求：投标人资格册（正本一份、副本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份）、商务技术册（正本一份、副本</w:t>
            </w:r>
            <w:r>
              <w:rPr>
                <w:rFonts w:hint="eastAsia" w:ascii="仿宋_GB2312" w:hAnsi="宋体" w:eastAsia="仿宋_GB2312"/>
                <w:color w:val="auto"/>
                <w:sz w:val="24"/>
                <w:szCs w:val="24"/>
                <w:lang w:val="en-US" w:eastAsia="zh-CN"/>
              </w:rPr>
              <w:t>一</w:t>
            </w:r>
            <w:r>
              <w:rPr>
                <w:rFonts w:ascii="仿宋_GB2312" w:hAnsi="宋体" w:eastAsia="仿宋_GB2312"/>
                <w:color w:val="auto"/>
                <w:sz w:val="24"/>
                <w:szCs w:val="24"/>
              </w:rPr>
              <w:t>份）、</w:t>
            </w:r>
            <w:r>
              <w:rPr>
                <w:rFonts w:hint="eastAsia" w:ascii="仿宋_GB2312" w:hAnsi="宋体" w:eastAsia="仿宋_GB2312"/>
                <w:b/>
                <w:bCs/>
                <w:color w:val="auto"/>
                <w:sz w:val="24"/>
                <w:szCs w:val="24"/>
                <w:lang w:val="en-US" w:eastAsia="zh-CN"/>
              </w:rPr>
              <w:t>投标U盘或光盘一份（不退还）</w:t>
            </w:r>
            <w:r>
              <w:rPr>
                <w:rFonts w:ascii="仿宋_GB2312" w:hAnsi="宋体" w:eastAsia="仿宋_GB2312"/>
                <w:b/>
                <w:color w:val="auto"/>
                <w:sz w:val="24"/>
                <w:szCs w:val="24"/>
              </w:rPr>
              <w:t>分别密封提交</w:t>
            </w:r>
            <w:r>
              <w:rPr>
                <w:rFonts w:ascii="仿宋_GB2312" w:hAnsi="宋体" w:eastAsia="仿宋_GB2312"/>
                <w:color w:val="auto"/>
                <w:sz w:val="24"/>
                <w:szCs w:val="24"/>
              </w:rPr>
              <w:t>。</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纸质版投标一览表一份备用，也需单独密封</w:t>
            </w:r>
            <w:r>
              <w:rPr>
                <w:rFonts w:hint="eastAsia" w:ascii="仿宋_GB2312" w:hAnsi="宋体" w:eastAsia="仿宋_GB2312"/>
                <w:color w:val="auto"/>
                <w:sz w:val="24"/>
                <w:szCs w:val="24"/>
                <w:lang w:eastAsia="zh-CN"/>
              </w:rPr>
              <w:t>）</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投标截止时间：</w:t>
            </w:r>
            <w:bookmarkStart w:id="5" w:name="_Hlk44403615"/>
            <w:r>
              <w:rPr>
                <w:rFonts w:ascii="仿宋_GB2312" w:hAnsi="仿宋_GB2312" w:eastAsia="仿宋_GB2312"/>
                <w:color w:val="auto"/>
                <w:sz w:val="24"/>
                <w:szCs w:val="24"/>
                <w:u w:val="single"/>
              </w:rPr>
              <w:t>202</w:t>
            </w:r>
            <w:r>
              <w:rPr>
                <w:rFonts w:hint="eastAsia" w:ascii="仿宋_GB2312" w:hAnsi="仿宋_GB2312" w:eastAsia="仿宋_GB2312"/>
                <w:color w:val="auto"/>
                <w:sz w:val="24"/>
                <w:szCs w:val="24"/>
                <w:u w:val="single"/>
                <w:lang w:val="en-US" w:eastAsia="zh-CN"/>
              </w:rPr>
              <w:t>4</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u w:val="single"/>
                <w:lang w:val="en-US" w:eastAsia="zh-CN"/>
              </w:rPr>
              <w:t xml:space="preserve">7月23日 </w:t>
            </w:r>
            <w:r>
              <w:rPr>
                <w:rFonts w:hint="eastAsia" w:ascii="仿宋_GB2312" w:hAnsi="宋体" w:eastAsia="仿宋_GB2312"/>
                <w:color w:val="auto"/>
                <w:sz w:val="24"/>
                <w:szCs w:val="24"/>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rPr>
            </w:pPr>
            <w:r>
              <w:rPr>
                <w:rFonts w:hint="eastAsia" w:ascii="仿宋_GB2312" w:hAnsi="宋体" w:eastAsia="仿宋_GB2312"/>
                <w:color w:val="auto"/>
                <w:sz w:val="24"/>
                <w:szCs w:val="24"/>
              </w:rPr>
              <w:t>开标时间：</w:t>
            </w:r>
            <w:r>
              <w:rPr>
                <w:rFonts w:ascii="仿宋_GB2312" w:hAnsi="仿宋_GB2312" w:eastAsia="仿宋_GB2312"/>
                <w:color w:val="auto"/>
                <w:sz w:val="24"/>
                <w:szCs w:val="24"/>
                <w:u w:val="single"/>
              </w:rPr>
              <w:t>202</w:t>
            </w:r>
            <w:r>
              <w:rPr>
                <w:rFonts w:hint="eastAsia" w:ascii="仿宋_GB2312" w:hAnsi="仿宋_GB2312" w:eastAsia="仿宋_GB2312"/>
                <w:color w:val="auto"/>
                <w:sz w:val="24"/>
                <w:szCs w:val="24"/>
                <w:u w:val="single"/>
                <w:lang w:val="en-US" w:eastAsia="zh-CN"/>
              </w:rPr>
              <w:t>4</w:t>
            </w:r>
            <w:r>
              <w:rPr>
                <w:rFonts w:hint="eastAsia" w:ascii="仿宋_GB2312" w:hAnsi="仿宋_GB2312" w:eastAsia="仿宋_GB2312"/>
                <w:color w:val="auto"/>
                <w:sz w:val="24"/>
                <w:szCs w:val="24"/>
              </w:rPr>
              <w:t>年</w:t>
            </w:r>
            <w:r>
              <w:rPr>
                <w:rFonts w:hint="eastAsia" w:ascii="仿宋_GB2312" w:hAnsi="仿宋_GB2312" w:eastAsia="仿宋_GB2312"/>
                <w:color w:val="auto"/>
                <w:sz w:val="24"/>
                <w:szCs w:val="24"/>
                <w:u w:val="single"/>
                <w:lang w:val="en-US" w:eastAsia="zh-CN"/>
              </w:rPr>
              <w:t xml:space="preserve">7月23日 </w:t>
            </w:r>
            <w:r>
              <w:rPr>
                <w:rFonts w:hint="eastAsia" w:ascii="仿宋_GB2312" w:hAnsi="宋体" w:eastAsia="仿宋_GB2312"/>
                <w:color w:val="auto"/>
                <w:sz w:val="24"/>
                <w:szCs w:val="24"/>
              </w:rPr>
              <w:t>上午9:30（北京时间）</w:t>
            </w:r>
          </w:p>
          <w:p>
            <w:pPr>
              <w:spacing w:line="360" w:lineRule="auto"/>
              <w:jc w:val="left"/>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开标地点：北京市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本项目专门面向</w:t>
            </w:r>
            <w:r>
              <w:rPr>
                <w:rFonts w:hint="eastAsia" w:ascii="仿宋_GB2312" w:hAnsi="宋体" w:eastAsia="仿宋_GB2312"/>
                <w:color w:val="auto"/>
                <w:sz w:val="24"/>
                <w:szCs w:val="24"/>
                <w:lang w:eastAsia="zh-CN"/>
              </w:rPr>
              <w:t>小微企业</w:t>
            </w:r>
            <w:r>
              <w:rPr>
                <w:rFonts w:hint="eastAsia" w:ascii="仿宋_GB2312" w:hAnsi="宋体" w:eastAsia="仿宋_GB2312"/>
                <w:color w:val="auto"/>
                <w:sz w:val="24"/>
                <w:szCs w:val="24"/>
              </w:rPr>
              <w:t>。</w:t>
            </w:r>
          </w:p>
        </w:tc>
      </w:tr>
    </w:tbl>
    <w:p>
      <w:pPr>
        <w:spacing w:line="360" w:lineRule="auto"/>
        <w:rPr>
          <w:rFonts w:ascii="仿宋_GB2312" w:hAnsi="宋体" w:eastAsia="仿宋_GB2312"/>
          <w:color w:val="auto"/>
          <w:sz w:val="24"/>
          <w:szCs w:val="24"/>
        </w:rPr>
      </w:pPr>
    </w:p>
    <w:p>
      <w:pPr>
        <w:spacing w:line="36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38"/>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 xml:space="preserve">北京市大兴区庞各庄镇人民政府 </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方式在此</w:t>
      </w:r>
      <w:r>
        <w:rPr>
          <w:rFonts w:hint="eastAsia" w:ascii="仿宋_GB2312" w:hAnsi="宋体" w:eastAsia="仿宋_GB2312"/>
          <w:color w:val="auto"/>
          <w:sz w:val="24"/>
          <w:szCs w:val="24"/>
        </w:rPr>
        <w:t>平台（北京市政府采购电子交易平台）获取招标文件的，其投标无效。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FF0000"/>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投标人应在北京市政府采购电子交易平台选择参与本项目并下载招标文件，</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lang w:val="en-US" w:eastAsia="zh-CN"/>
        </w:rPr>
        <w:t>投标</w:t>
      </w:r>
      <w:r>
        <w:rPr>
          <w:rFonts w:hint="eastAsia" w:ascii="仿宋_GB2312" w:hAnsi="宋体" w:eastAsia="仿宋_GB2312"/>
          <w:b/>
          <w:bCs/>
          <w:color w:val="auto"/>
          <w:sz w:val="24"/>
          <w:szCs w:val="24"/>
          <w:lang w:val="en-US" w:eastAsia="zh-CN"/>
        </w:rPr>
        <w:t>U盘或光盘</w:t>
      </w:r>
      <w:r>
        <w:rPr>
          <w:rFonts w:ascii="仿宋_GB2312" w:hAnsi="宋体" w:eastAsia="仿宋_GB2312"/>
          <w:b/>
          <w:color w:val="auto"/>
          <w:sz w:val="24"/>
          <w:szCs w:val="24"/>
        </w:rPr>
        <w:t>分别密封提交</w:t>
      </w:r>
      <w:r>
        <w:rPr>
          <w:rFonts w:ascii="仿宋_GB2312" w:hAnsi="宋体" w:eastAsia="仿宋_GB2312"/>
          <w:color w:val="auto"/>
          <w:sz w:val="24"/>
          <w:szCs w:val="24"/>
        </w:rPr>
        <w:t>。投标人单独密封的“投标一览表”应为原件</w:t>
      </w:r>
      <w:r>
        <w:rPr>
          <w:rFonts w:hint="eastAsia" w:ascii="仿宋_GB2312" w:hAnsi="宋体" w:eastAsia="仿宋_GB2312"/>
          <w:color w:val="auto"/>
          <w:sz w:val="24"/>
          <w:szCs w:val="24"/>
          <w:lang w:val="en-US" w:eastAsia="zh-CN"/>
        </w:rPr>
        <w:t>现场备查</w:t>
      </w:r>
      <w:r>
        <w:rPr>
          <w:rFonts w:ascii="仿宋_GB2312" w:hAnsi="宋体" w:eastAsia="仿宋_GB2312"/>
          <w:color w:val="auto"/>
          <w:sz w:val="24"/>
          <w:szCs w:val="24"/>
        </w:rPr>
        <w:t>，同时，投标文件正本中也应附有此表原件。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hint="eastAsia" w:ascii="仿宋_GB2312" w:hAnsi="宋体" w:eastAsia="仿宋_GB2312" w:cs="Times New Roman"/>
          <w:color w:val="auto"/>
          <w:sz w:val="24"/>
          <w:szCs w:val="24"/>
          <w:lang w:eastAsia="zh-CN"/>
        </w:rPr>
      </w:pPr>
      <w:r>
        <w:rPr>
          <w:rFonts w:hint="eastAsia" w:ascii="仿宋_GB2312" w:hAnsi="宋体" w:eastAsia="仿宋_GB2312"/>
          <w:color w:val="auto"/>
          <w:sz w:val="24"/>
          <w:szCs w:val="24"/>
        </w:rPr>
        <w:t>13.3</w:t>
      </w:r>
      <w:r>
        <w:rPr>
          <w:rFonts w:hint="eastAsia" w:ascii="仿宋_GB2312" w:hAnsi="宋体" w:eastAsia="仿宋_GB2312" w:cs="Times New Roman"/>
          <w:color w:val="auto"/>
          <w:sz w:val="24"/>
          <w:szCs w:val="24"/>
          <w:lang w:eastAsia="zh-CN"/>
        </w:rPr>
        <w:t>投标人应在开标之日前，</w:t>
      </w:r>
      <w:r>
        <w:rPr>
          <w:rFonts w:hint="eastAsia" w:ascii="仿宋_GB2312" w:eastAsia="仿宋_GB2312"/>
          <w:color w:val="auto"/>
          <w:sz w:val="24"/>
          <w:szCs w:val="24"/>
          <w:lang w:eastAsia="zh-CN"/>
        </w:rPr>
        <w:t>在</w:t>
      </w:r>
      <w:r>
        <w:rPr>
          <w:rFonts w:hint="eastAsia" w:ascii="仿宋_GB2312" w:hAnsi="仿宋_GB2312" w:eastAsia="仿宋_GB2312" w:cs="仿宋_GB2312"/>
          <w:color w:val="auto"/>
          <w:kern w:val="0"/>
          <w:sz w:val="24"/>
          <w:szCs w:val="24"/>
        </w:rPr>
        <w:t>北京市政府采购电子交易平台</w:t>
      </w:r>
      <w:r>
        <w:rPr>
          <w:rFonts w:hint="eastAsia" w:ascii="仿宋_GB2312" w:eastAsia="仿宋_GB2312"/>
          <w:color w:val="auto"/>
          <w:sz w:val="24"/>
          <w:szCs w:val="24"/>
          <w:lang w:eastAsia="zh-CN"/>
        </w:rPr>
        <w:t>(http://zbcg-bjzc.zhongcy.com/bjczj-portal-site/index.html#/home)</w:t>
      </w:r>
      <w:r>
        <w:rPr>
          <w:rFonts w:hint="eastAsia" w:ascii="仿宋_GB2312" w:hAnsi="宋体" w:eastAsia="仿宋_GB2312" w:cs="Times New Roman"/>
          <w:color w:val="auto"/>
          <w:sz w:val="24"/>
          <w:szCs w:val="24"/>
          <w:lang w:eastAsia="zh-CN"/>
        </w:rPr>
        <w:t>在线递交电子版投标文件，文件格式为</w:t>
      </w:r>
      <w:r>
        <w:rPr>
          <w:rFonts w:hint="eastAsia" w:ascii="仿宋_GB2312" w:hAnsi="宋体" w:eastAsia="仿宋_GB2312" w:cs="Times New Roman"/>
          <w:color w:val="auto"/>
          <w:sz w:val="24"/>
          <w:szCs w:val="24"/>
          <w:lang w:val="en-US" w:eastAsia="zh-CN"/>
        </w:rPr>
        <w:t>TBJ</w:t>
      </w:r>
      <w:r>
        <w:rPr>
          <w:rFonts w:hint="eastAsia" w:ascii="仿宋_GB2312" w:hAnsi="宋体" w:eastAsia="仿宋_GB2312" w:cs="Times New Roman"/>
          <w:color w:val="auto"/>
          <w:sz w:val="24"/>
          <w:szCs w:val="24"/>
          <w:lang w:eastAsia="zh-CN"/>
        </w:rPr>
        <w:t>格式的加密文件。未在线上递交电子版《投标文件》的投标无效。由于投标人未携带制作电子版《投标文件》的CA证书（用于开标现场下载并解密《投标文件》电子版），导致无法解密，投标无效。由于技术原因导致解密失败的，可以投标人提供的电子版光盘中的文件代替其投标文件。</w:t>
      </w:r>
    </w:p>
    <w:p>
      <w:pPr>
        <w:spacing w:line="360" w:lineRule="auto"/>
        <w:ind w:left="480" w:hanging="480" w:hangingChars="200"/>
        <w:rPr>
          <w:rFonts w:hint="eastAsia" w:ascii="仿宋_GB2312" w:hAnsi="宋体" w:eastAsia="仿宋_GB2312" w:cs="Times New Roman"/>
          <w:color w:val="auto"/>
          <w:sz w:val="24"/>
          <w:szCs w:val="24"/>
          <w:lang w:eastAsia="zh-CN"/>
        </w:rPr>
      </w:pPr>
      <w:r>
        <w:rPr>
          <w:rFonts w:hint="eastAsia" w:ascii="仿宋_GB2312" w:hAnsi="宋体" w:eastAsia="仿宋_GB2312" w:cs="Times New Roman"/>
          <w:color w:val="auto"/>
          <w:sz w:val="24"/>
          <w:szCs w:val="24"/>
        </w:rPr>
        <w:t>13.</w:t>
      </w:r>
      <w:r>
        <w:rPr>
          <w:rFonts w:hint="eastAsia" w:ascii="仿宋_GB2312" w:hAnsi="宋体" w:eastAsia="仿宋_GB2312" w:cs="Times New Roman"/>
          <w:color w:val="auto"/>
          <w:sz w:val="24"/>
          <w:szCs w:val="24"/>
          <w:lang w:val="en-US" w:eastAsia="zh-CN"/>
        </w:rPr>
        <w:t>4</w:t>
      </w:r>
      <w:r>
        <w:rPr>
          <w:rFonts w:hint="eastAsia" w:ascii="仿宋_GB2312" w:hAnsi="宋体" w:eastAsia="仿宋_GB2312" w:cs="Times New Roman"/>
          <w:color w:val="auto"/>
          <w:sz w:val="24"/>
          <w:szCs w:val="24"/>
        </w:rPr>
        <w:t xml:space="preserve"> </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b/>
          <w:bCs/>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16.3 开标时，</w:t>
      </w:r>
      <w:r>
        <w:rPr>
          <w:rFonts w:hint="eastAsia" w:ascii="仿宋_GB2312" w:hAnsi="宋体" w:eastAsia="仿宋_GB2312" w:cs="Times New Roman"/>
          <w:color w:val="auto"/>
          <w:sz w:val="24"/>
          <w:szCs w:val="24"/>
          <w:lang w:eastAsia="zh-CN"/>
        </w:rPr>
        <w:t>由于投标人未携带制作电子版《投标文件》的CA证书（用于开标现场下载并解密《投标文件》电子版），导致无法解密，投标无效。由于技术原因导致解密失败的，可以投标人提供的电子版光盘中的文件代替其投标文件。</w:t>
      </w:r>
      <w:r>
        <w:rPr>
          <w:rFonts w:hint="eastAsia" w:ascii="仿宋_GB2312" w:hAnsi="宋体" w:eastAsia="仿宋_GB2312"/>
          <w:color w:val="auto"/>
          <w:sz w:val="24"/>
          <w:szCs w:val="24"/>
        </w:rPr>
        <w:t>未提供单独密封的投标一览表或单独密封提供的投标一览表中存在未加盖投标人公章、未注明投标报价、复印件等情况，作无效投标处理。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16.4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21.1 </w:t>
      </w:r>
      <w:r>
        <w:rPr>
          <w:rFonts w:ascii="仿宋_GB2312" w:hAnsi="宋体" w:eastAsia="仿宋_GB2312"/>
          <w:color w:val="auto"/>
          <w:sz w:val="24"/>
          <w:szCs w:val="24"/>
        </w:rPr>
        <w:t>投标人</w:t>
      </w:r>
      <w:r>
        <w:rPr>
          <w:rFonts w:hint="eastAsia" w:ascii="仿宋_GB2312" w:hAnsi="宋体" w:eastAsia="仿宋_GB2312"/>
          <w:color w:val="auto"/>
          <w:sz w:val="24"/>
          <w:szCs w:val="24"/>
        </w:rPr>
        <w:t>(投标文件)</w:t>
      </w:r>
      <w:r>
        <w:rPr>
          <w:rFonts w:ascii="仿宋_GB2312" w:hAnsi="宋体" w:eastAsia="仿宋_GB2312"/>
          <w:color w:val="auto"/>
          <w:sz w:val="24"/>
          <w:szCs w:val="24"/>
        </w:rPr>
        <w:t>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7" w:name="_Toc435828258"/>
      <w:bookmarkStart w:id="8" w:name="_Toc356478669"/>
      <w:bookmarkStart w:id="9" w:name="_Toc435830560"/>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spacing w:line="360" w:lineRule="auto"/>
        <w:ind w:left="480" w:hanging="480" w:hangingChars="200"/>
        <w:rPr>
          <w:rFonts w:ascii="仿宋_GB2312" w:hAnsi="宋体" w:eastAsia="仿宋_GB2312"/>
          <w:color w:val="auto"/>
          <w:sz w:val="24"/>
          <w:szCs w:val="24"/>
        </w:rPr>
      </w:pPr>
      <w:bookmarkStart w:id="10" w:name="_Toc356478670"/>
      <w:bookmarkStart w:id="11" w:name="_Toc435830561"/>
      <w:bookmarkStart w:id="12" w:name="_Toc435828259"/>
      <w:r>
        <w:rPr>
          <w:rFonts w:hint="eastAsia" w:ascii="仿宋_GB2312" w:hAnsi="宋体" w:eastAsia="仿宋_GB2312"/>
          <w:color w:val="auto"/>
          <w:sz w:val="24"/>
          <w:szCs w:val="24"/>
        </w:rPr>
        <w:t>31.10 不符合上述31.2-31.9条规定的质疑函不予受理。</w:t>
      </w:r>
      <w:bookmarkEnd w:id="10"/>
      <w:bookmarkEnd w:id="11"/>
      <w:bookmarkEnd w:id="12"/>
    </w:p>
    <w:p>
      <w:pPr>
        <w:spacing w:line="360" w:lineRule="auto"/>
        <w:ind w:left="720" w:hanging="720" w:hangingChars="300"/>
        <w:rPr>
          <w:rFonts w:ascii="仿宋_GB2312" w:hAnsi="宋体" w:eastAsia="仿宋_GB2312"/>
          <w:color w:val="auto"/>
          <w:sz w:val="24"/>
          <w:szCs w:val="24"/>
        </w:rPr>
      </w:pPr>
      <w:bookmarkStart w:id="13" w:name="_Toc356478671"/>
      <w:bookmarkStart w:id="14" w:name="_Toc435830562"/>
      <w:bookmarkStart w:id="15" w:name="_Toc435828260"/>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rPr>
          <w:rFonts w:ascii="仿宋_GB2312" w:hAnsi="宋体" w:eastAsia="仿宋_GB2312"/>
          <w:color w:val="auto"/>
          <w:sz w:val="24"/>
          <w:szCs w:val="24"/>
        </w:rPr>
      </w:pPr>
    </w:p>
    <w:p>
      <w:pPr>
        <w:pStyle w:val="19"/>
        <w:rPr>
          <w:rFonts w:ascii="仿宋_GB2312" w:hAnsi="宋体" w:eastAsia="仿宋_GB2312"/>
          <w:color w:val="auto"/>
          <w:sz w:val="24"/>
          <w:szCs w:val="24"/>
        </w:rPr>
      </w:pPr>
    </w:p>
    <w:p>
      <w:pPr>
        <w:rPr>
          <w:rStyle w:val="62"/>
          <w:rFonts w:hint="eastAsia" w:ascii="仿宋_GB2312" w:hAnsi="宋体" w:eastAsia="仿宋_GB2312"/>
          <w:b w:val="0"/>
          <w:bCs w:val="0"/>
          <w:color w:val="auto"/>
          <w:sz w:val="24"/>
          <w:szCs w:val="24"/>
        </w:rPr>
      </w:pPr>
    </w:p>
    <w:p>
      <w:pPr>
        <w:rPr>
          <w:rStyle w:val="62"/>
          <w:rFonts w:ascii="仿宋_GB2312" w:hAnsi="宋体" w:eastAsia="仿宋_GB2312"/>
          <w:b w:val="0"/>
          <w:bCs w:val="0"/>
          <w:color w:val="auto"/>
          <w:sz w:val="24"/>
          <w:szCs w:val="24"/>
        </w:rPr>
      </w:pPr>
      <w:r>
        <w:rPr>
          <w:rStyle w:val="62"/>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spacing w:line="360" w:lineRule="auto"/>
        <w:jc w:val="center"/>
        <w:rPr>
          <w:rFonts w:hint="eastAsia" w:ascii="仿宋_GB2312" w:hAnsi="宋体" w:eastAsia="仿宋_GB2312" w:cstheme="minorBidi"/>
          <w:b/>
          <w:color w:val="auto"/>
          <w:kern w:val="2"/>
          <w:sz w:val="32"/>
          <w:szCs w:val="32"/>
          <w:lang w:val="en-US" w:eastAsia="zh-CN" w:bidi="ar-SA"/>
        </w:rPr>
      </w:pPr>
      <w:r>
        <w:rPr>
          <w:rFonts w:hint="eastAsia" w:ascii="仿宋_GB2312" w:eastAsia="仿宋_GB2312"/>
          <w:b/>
          <w:color w:val="auto"/>
          <w:sz w:val="28"/>
          <w:szCs w:val="28"/>
        </w:rPr>
        <w:t>第四章  采购需求</w:t>
      </w:r>
    </w:p>
    <w:p>
      <w:pPr>
        <w:keepNext w:val="0"/>
        <w:keepLines w:val="0"/>
        <w:pageBreakBefore w:val="0"/>
        <w:kinsoku/>
        <w:wordWrap/>
        <w:overflowPunct/>
        <w:topLinePunct w:val="0"/>
        <w:autoSpaceDE/>
        <w:autoSpaceDN/>
        <w:bidi w:val="0"/>
        <w:spacing w:line="560" w:lineRule="exact"/>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采购需求</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eastAsia="zh-CN"/>
        </w:rPr>
      </w:pPr>
      <w:r>
        <w:rPr>
          <w:rFonts w:hint="eastAsia" w:ascii="黑体" w:hAnsi="黑体" w:eastAsia="黑体" w:cs="黑体"/>
          <w:b w:val="0"/>
          <w:bCs/>
          <w:sz w:val="32"/>
          <w:szCs w:val="32"/>
          <w:lang w:val="en-US" w:eastAsia="zh-CN"/>
        </w:rPr>
        <w:t>一、</w:t>
      </w:r>
      <w:r>
        <w:rPr>
          <w:rFonts w:hint="eastAsia" w:ascii="黑体" w:hAnsi="黑体" w:eastAsia="黑体" w:cs="黑体"/>
          <w:b w:val="0"/>
          <w:bCs/>
          <w:sz w:val="32"/>
          <w:szCs w:val="32"/>
        </w:rPr>
        <w:t>采购清单</w:t>
      </w:r>
      <w:r>
        <w:rPr>
          <w:rFonts w:hint="eastAsia" w:ascii="黑体" w:hAnsi="黑体" w:eastAsia="黑体" w:cs="黑体"/>
          <w:b w:val="0"/>
          <w:bCs/>
          <w:sz w:val="32"/>
          <w:szCs w:val="32"/>
          <w:lang w:eastAsia="zh-CN"/>
        </w:rPr>
        <w:t>（</w:t>
      </w:r>
      <w:r>
        <w:rPr>
          <w:rFonts w:hint="eastAsia" w:ascii="黑体" w:hAnsi="黑体" w:eastAsia="黑体" w:cs="黑体"/>
          <w:b w:val="0"/>
          <w:bCs/>
          <w:sz w:val="32"/>
          <w:szCs w:val="32"/>
          <w:lang w:val="en-US" w:eastAsia="zh-CN"/>
        </w:rPr>
        <w:t>预算金额：281.8万元，服务期限：一年</w:t>
      </w:r>
      <w:r>
        <w:rPr>
          <w:rFonts w:hint="eastAsia" w:ascii="黑体" w:hAnsi="黑体" w:eastAsia="黑体" w:cs="黑体"/>
          <w:b w:val="0"/>
          <w:bCs/>
          <w:sz w:val="32"/>
          <w:szCs w:val="32"/>
          <w:lang w:eastAsia="zh-CN"/>
        </w:rPr>
        <w:t>）</w:t>
      </w:r>
    </w:p>
    <w:tbl>
      <w:tblPr>
        <w:tblStyle w:val="24"/>
        <w:tblW w:w="8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3491"/>
        <w:gridCol w:w="1065"/>
        <w:gridCol w:w="1095"/>
        <w:gridCol w:w="1170"/>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序号</w:t>
            </w:r>
          </w:p>
        </w:tc>
        <w:tc>
          <w:tcPr>
            <w:tcW w:w="3491"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货物或服务名称</w:t>
            </w:r>
          </w:p>
        </w:tc>
        <w:tc>
          <w:tcPr>
            <w:tcW w:w="1065"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数量</w:t>
            </w:r>
          </w:p>
        </w:tc>
        <w:tc>
          <w:tcPr>
            <w:tcW w:w="1095"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单位</w:t>
            </w:r>
          </w:p>
        </w:tc>
        <w:tc>
          <w:tcPr>
            <w:tcW w:w="1170"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备注</w:t>
            </w:r>
          </w:p>
        </w:tc>
        <w:tc>
          <w:tcPr>
            <w:tcW w:w="1395" w:type="dxa"/>
            <w:vAlign w:val="top"/>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8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349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12个服务点位的房屋、屋面防水的日常检查门窗、家具日常维修</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43517</w:t>
            </w:r>
          </w:p>
        </w:tc>
        <w:tc>
          <w:tcPr>
            <w:tcW w:w="10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平方米</w:t>
            </w:r>
          </w:p>
        </w:tc>
        <w:tc>
          <w:tcPr>
            <w:tcW w:w="117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c>
          <w:tcPr>
            <w:tcW w:w="13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349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办公场所内的配电室及电器设备的维修、保养、检测</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w:t>
            </w:r>
          </w:p>
        </w:tc>
        <w:tc>
          <w:tcPr>
            <w:tcW w:w="10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处</w:t>
            </w:r>
          </w:p>
        </w:tc>
        <w:tc>
          <w:tcPr>
            <w:tcW w:w="117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c>
          <w:tcPr>
            <w:tcW w:w="13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349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消防中控和范围内所涉及的消防设施维修、保养；</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办公场所上下水的日常维护、下水管道疏通</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w:t>
            </w:r>
          </w:p>
        </w:tc>
        <w:tc>
          <w:tcPr>
            <w:tcW w:w="10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处</w:t>
            </w:r>
          </w:p>
        </w:tc>
        <w:tc>
          <w:tcPr>
            <w:tcW w:w="117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c>
          <w:tcPr>
            <w:tcW w:w="13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w:t>
            </w:r>
          </w:p>
        </w:tc>
        <w:tc>
          <w:tcPr>
            <w:tcW w:w="349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农服中心的供暖（2024-2025供暖季）</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2910</w:t>
            </w:r>
          </w:p>
        </w:tc>
        <w:tc>
          <w:tcPr>
            <w:tcW w:w="10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平方米</w:t>
            </w:r>
          </w:p>
        </w:tc>
        <w:tc>
          <w:tcPr>
            <w:tcW w:w="117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需要2名工人</w:t>
            </w:r>
          </w:p>
        </w:tc>
        <w:tc>
          <w:tcPr>
            <w:tcW w:w="13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p>
        </w:tc>
        <w:tc>
          <w:tcPr>
            <w:tcW w:w="3491"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管理人员服务</w:t>
            </w:r>
          </w:p>
        </w:tc>
        <w:tc>
          <w:tcPr>
            <w:tcW w:w="106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p>
        </w:tc>
        <w:tc>
          <w:tcPr>
            <w:tcW w:w="10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名</w:t>
            </w:r>
          </w:p>
        </w:tc>
        <w:tc>
          <w:tcPr>
            <w:tcW w:w="1170"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c>
          <w:tcPr>
            <w:tcW w:w="1395" w:type="dxa"/>
            <w:vAlign w:val="center"/>
          </w:tcPr>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sz w:val="32"/>
                <w:szCs w:val="32"/>
                <w:lang w:val="en-US" w:eastAsia="zh-CN"/>
              </w:rPr>
            </w:pPr>
          </w:p>
        </w:tc>
      </w:tr>
    </w:tbl>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二、项目背景或简况</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名    称：2024年镇政府办公区域物业服务物业管理服务采购项目</w:t>
      </w:r>
    </w:p>
    <w:p>
      <w:pPr>
        <w:keepNext w:val="0"/>
        <w:keepLines w:val="0"/>
        <w:pageBreakBefore w:val="0"/>
        <w:kinsoku/>
        <w:wordWrap/>
        <w:overflowPunct/>
        <w:topLinePunct w:val="0"/>
        <w:autoSpaceDE/>
        <w:autoSpaceDN/>
        <w:bidi w:val="0"/>
        <w:spacing w:line="560" w:lineRule="exact"/>
        <w:ind w:firstLine="640" w:firstLineChars="20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坐落位置：北京市大兴区庞各庄镇幸福路</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建筑面积：</w:t>
      </w:r>
      <w:r>
        <w:rPr>
          <w:rFonts w:hint="eastAsia" w:ascii="Times New Roman" w:hAnsi="Times New Roman" w:eastAsia="仿宋_GB2312" w:cs="Times New Roman"/>
          <w:sz w:val="32"/>
          <w:szCs w:val="32"/>
          <w:lang w:val="zh-CN" w:eastAsia="zh-CN"/>
        </w:rPr>
        <w:t>总建筑面积约</w:t>
      </w:r>
      <w:r>
        <w:rPr>
          <w:rFonts w:hint="eastAsia" w:ascii="Times New Roman" w:hAnsi="Times New Roman" w:eastAsia="仿宋_GB2312" w:cs="Times New Roman"/>
          <w:sz w:val="32"/>
          <w:szCs w:val="32"/>
          <w:lang w:val="en-US" w:eastAsia="zh-CN"/>
        </w:rPr>
        <w:t>43517</w:t>
      </w:r>
      <w:r>
        <w:rPr>
          <w:rFonts w:hint="eastAsia" w:ascii="Times New Roman" w:hAnsi="Times New Roman" w:eastAsia="仿宋_GB2312" w:cs="Times New Roman"/>
          <w:sz w:val="32"/>
          <w:szCs w:val="32"/>
          <w:lang w:val="zh-CN" w:eastAsia="zh-CN"/>
        </w:rPr>
        <w:t>平方米</w:t>
      </w:r>
      <w:r>
        <w:rPr>
          <w:rFonts w:hint="eastAsia" w:ascii="Times New Roman" w:hAnsi="Times New Roman" w:eastAsia="仿宋_GB2312" w:cs="Times New Roman"/>
          <w:sz w:val="32"/>
          <w:szCs w:val="32"/>
          <w:lang w:val="en-US" w:eastAsia="zh-CN"/>
        </w:rPr>
        <w:t>。</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服务期限为</w:t>
      </w:r>
      <w:r>
        <w:rPr>
          <w:rFonts w:hint="eastAsia" w:eastAsia="仿宋_GB2312" w:cs="Times New Roman"/>
          <w:sz w:val="32"/>
          <w:szCs w:val="32"/>
          <w:lang w:val="en-US" w:eastAsia="zh-CN"/>
        </w:rPr>
        <w:t>：一年，</w:t>
      </w:r>
      <w:r>
        <w:rPr>
          <w:rFonts w:hint="eastAsia" w:ascii="Times New Roman" w:hAnsi="Times New Roman" w:eastAsia="仿宋_GB2312" w:cs="Times New Roman"/>
          <w:sz w:val="32"/>
          <w:szCs w:val="32"/>
          <w:lang w:val="en-US" w:eastAsia="zh-CN"/>
        </w:rPr>
        <w:t>2024年09月22日至2025年09月21日</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预算金额：281.8万元</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三、技术参数要求（技术指标包括性能、规格、材质等，但不能指定品牌）、服务要求</w:t>
      </w:r>
    </w:p>
    <w:p>
      <w:pPr>
        <w:keepNext w:val="0"/>
        <w:keepLines w:val="0"/>
        <w:pageBreakBefore w:val="0"/>
        <w:kinsoku/>
        <w:wordWrap/>
        <w:overflowPunct/>
        <w:topLinePunct w:val="0"/>
        <w:autoSpaceDE/>
        <w:autoSpaceDN/>
        <w:bidi w:val="0"/>
        <w:spacing w:line="560" w:lineRule="exact"/>
        <w:ind w:firstLine="63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 12个服务点位</w:t>
      </w:r>
      <w:r>
        <w:rPr>
          <w:rFonts w:hint="eastAsia" w:ascii="仿宋_GB2312" w:hAnsi="仿宋_GB2312" w:eastAsia="仿宋_GB2312" w:cs="仿宋_GB2312"/>
          <w:sz w:val="32"/>
          <w:szCs w:val="32"/>
          <w:lang w:val="en-US" w:eastAsia="zh-CN"/>
        </w:rPr>
        <w:t>12个服务点位的房屋、屋面防水的日常检查门窗、家具日常维修</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1、服务项目（内容）</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包括镇政府院（包括西瓜博物馆、食堂）、行政服务中心、老政府办公楼、镇农服中心、镇城管办公楼、镇水务站、镇综治维稳办公楼、御园A区公建、御园B区公建、御园C区公建、消防站、佳佳梨园等处的房屋、屋面防水的日常检查，门窗、家具日常维修，（包括各服务点位的829间办公室、17间会议室、81个卫生间及公共区域的门窗、家具等的日常修复工作，共计建筑面积43517平方米。</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2、服务标准</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（1）配备维修人员26人，项目经理1人，锅炉工2人；</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（2）定期进行门窗、家具等的安全检查，建立定期巡查制度，对于损坏问题及时发现及时解决；</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（3）24小时接电话报修，及时完成各项零星维修任务，合格率100％，一般维修任务不得超过24小时；</w:t>
      </w:r>
    </w:p>
    <w:p>
      <w:pPr>
        <w:keepNext w:val="0"/>
        <w:keepLines w:val="0"/>
        <w:pageBreakBefore w:val="0"/>
        <w:numPr>
          <w:ilvl w:val="0"/>
          <w:numId w:val="0"/>
        </w:numPr>
        <w:kinsoku/>
        <w:wordWrap/>
        <w:overflowPunct/>
        <w:topLinePunct w:val="0"/>
        <w:autoSpaceDE/>
        <w:autoSpaceDN/>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（4）接报后维修人员应在5-20分钟内到达现场，设备维修合格率达到100%，一般性维修不过夜；</w:t>
      </w:r>
    </w:p>
    <w:p>
      <w:pPr>
        <w:keepNext w:val="0"/>
        <w:keepLines w:val="0"/>
        <w:pageBreakBefore w:val="0"/>
        <w:numPr>
          <w:ilvl w:val="0"/>
          <w:numId w:val="0"/>
        </w:numPr>
        <w:kinsoku/>
        <w:wordWrap/>
        <w:overflowPunct/>
        <w:topLinePunct w:val="0"/>
        <w:autoSpaceDE/>
        <w:autoSpaceDN/>
        <w:bidi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（5）每年春秋两季对屋面、外墙巡检一次；</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（6）做好节水、节电工作。</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（7）定期巡查共用部位的门、窗、玻璃、楼梯、通风道等；</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（8）定期检查共用部位的室内地面、墙面、天棚和室外屋面等；</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（9）定期巡查大门、围墙、道路、场地、管井、沟渠、景观等；</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（10）做好上述巡视维修记录。</w:t>
      </w:r>
    </w:p>
    <w:p>
      <w:pPr>
        <w:keepNext w:val="0"/>
        <w:keepLines w:val="0"/>
        <w:pageBreakBefore w:val="0"/>
        <w:kinsoku/>
        <w:wordWrap/>
        <w:overflowPunct/>
        <w:topLinePunct w:val="0"/>
        <w:autoSpaceDE/>
        <w:autoSpaceDN/>
        <w:bidi w:val="0"/>
        <w:spacing w:line="560" w:lineRule="exact"/>
        <w:ind w:firstLine="63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（二）办公场所内的配电室及电器设备的维修、保养、检测</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1、服务项目（内容）</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配电室及办公场所内的电器设备的维修、保养、检测（包括12个点位的变压器7台，配电箱330个，配电室6个，政府院内景观灯，各服务点位空调机组及各种灯具、电器开关、热水器、饮水机等）。</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（1）对办公楼（区）供电系统高、低压电器设备、电线电缆、电气照明装置等设备正常使用、运行进行日常管理和养护维修；</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（2）建立各项设备巡查记录档案；</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（3）建立电器24小时运行维修制度；</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（4）及时排除故障，保证供电设施完好；</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（5）管理和维护好避雷设施；</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（6）建立节电措施；</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（7）制定特殊情况停电预案。</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2、服务标准</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（1）统筹规划，做到合理、节约用电；</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（2）供电运行和维修人员必须持证上岗；</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加强日常维护检修，公共使用的照明、指示灯具线路、开关要保护完好，确保正常使用，定期巡视维护供电范围内的电气设备，加强对低压配电柜、配电箱、控制柜及线路的重点检测，确保公共照明、指示灯具线路、开关保持完好和安全使用；</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（4）设备出现故障时，维修人员应在5分钟内到达现场，设备维修合格率达到100%，一般性维修不过夜；</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（5）严格执行用电安全规范，确保用电安全；</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（6）保证避雷设施完好、有效、安全；</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（7）保证应急灯系统正常运行；</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（8）定期演练和完善预案，确保预案的有效性和符合性；</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（9）做好上述巡视维修的记录。</w:t>
      </w:r>
    </w:p>
    <w:p>
      <w:pPr>
        <w:keepNext w:val="0"/>
        <w:keepLines w:val="0"/>
        <w:pageBreakBefore w:val="0"/>
        <w:kinsoku/>
        <w:wordWrap/>
        <w:overflowPunct/>
        <w:topLinePunct w:val="0"/>
        <w:autoSpaceDE/>
        <w:autoSpaceDN/>
        <w:bidi w:val="0"/>
        <w:spacing w:line="560" w:lineRule="exact"/>
        <w:ind w:firstLine="63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（三）消防中控和范围内所涉及的消防设施维修、保养；办公场所上下水的日常维护、下水管道疏通</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1、服务项目（内容）</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消防中控和范围内所涉及的消防设施维修、保养；办公场所上下水的日常维护、下水管道疏通；</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体包括服务点位内的消防联动控制柜（箱）6个，水泵46台（包括消防泵、深水泵、循环泵、自来水加压泵污水泵、补水泵），上水管道2526米，雨水管道2703米，污水管道1748米，及各处的自来水龙头、节阀、热水器、淋浴设备等）</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（1）加强值班，坚守岗位，密切注视消防、上下水系统运行情况，做好巡查记录；</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（2）对办公楼（区）室内上水系统的设备、设施，如水泵、消火栓、管道、管件、阀门、水嘴、卫生洁具、热水器、排水管、室外排水管及其附属构筑物等进行日常养护；</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（3）加强巡视检查，及时对消防、上下水系统各种设备出现的故障进行维修；</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（4）按照市区节水有关标准，建立并落实节水措施；</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（5）制定停水、跑水的特殊情况处置预案。</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2、服务标准</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（1）加强日常检查巡视，保证消防、上下水系统正常运行使用；</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（2）加强巡视检查，防止跑、冒、滴、漏，保证设备设施完好；</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（3）保持室内外排水系统通畅；</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（4）设备出现故障时，维修人员应在5分钟内到达现场，维修合格率达到100%，一般性故障排除不过夜；</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（5）做好节约用水工作；</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（6）定期演练和完善预案，确保预案的有效性和符合性；</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（7）做好上述巡视维修的记录。</w:t>
      </w:r>
    </w:p>
    <w:p>
      <w:pPr>
        <w:keepNext w:val="0"/>
        <w:keepLines w:val="0"/>
        <w:pageBreakBefore w:val="0"/>
        <w:kinsoku/>
        <w:wordWrap/>
        <w:overflowPunct/>
        <w:topLinePunct w:val="0"/>
        <w:autoSpaceDE/>
        <w:autoSpaceDN/>
        <w:bidi w:val="0"/>
        <w:spacing w:line="560" w:lineRule="exact"/>
        <w:ind w:firstLine="63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（四）农服中心的供暖（2024-2025供暖季）</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1、服务项目（内容）</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（1）农服中心2024-2025供暖季的供暖服务（三台电锅炉、一套供暖系统）；</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（2）季节工2人。</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2、服务标准</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（1）确保供暖锅炉正常运转，发生故障及时联系维保单位排除；</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（2）做好每年市政供暖期调试；</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（3）在售后维保期内，应及时联系厂家或售后维保人员进行维保；</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（4）做好上述巡视维修记录。</w:t>
      </w:r>
    </w:p>
    <w:p>
      <w:pPr>
        <w:keepNext w:val="0"/>
        <w:keepLines w:val="0"/>
        <w:pageBreakBefore w:val="0"/>
        <w:kinsoku/>
        <w:wordWrap/>
        <w:overflowPunct/>
        <w:topLinePunct w:val="0"/>
        <w:autoSpaceDE/>
        <w:autoSpaceDN/>
        <w:bidi w:val="0"/>
        <w:spacing w:line="560" w:lineRule="exact"/>
        <w:ind w:firstLine="630"/>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（五）配备项目经理</w:t>
      </w:r>
    </w:p>
    <w:p>
      <w:pPr>
        <w:keepNext w:val="0"/>
        <w:keepLines w:val="0"/>
        <w:pageBreakBefore w:val="0"/>
        <w:kinsoku/>
        <w:wordWrap/>
        <w:overflowPunct/>
        <w:topLinePunct w:val="0"/>
        <w:autoSpaceDE/>
        <w:autoSpaceDN/>
        <w:bidi w:val="0"/>
        <w:spacing w:line="560" w:lineRule="exact"/>
        <w:ind w:firstLine="630"/>
        <w:rPr>
          <w:b/>
          <w:sz w:val="24"/>
        </w:rPr>
      </w:pPr>
      <w:r>
        <w:rPr>
          <w:rFonts w:hint="eastAsia" w:ascii="仿宋_GB2312" w:hAnsi="仿宋_GB2312" w:eastAsia="仿宋_GB2312" w:cs="仿宋_GB2312"/>
          <w:sz w:val="32"/>
          <w:szCs w:val="32"/>
          <w:lang w:val="en-US" w:eastAsia="zh-CN"/>
        </w:rPr>
        <w:t>需配备1名沟通能力强的项目经理，对上述物业服务能够做到每日督促检查，对待物业管理工作认真负责、头脑灵活，对甲方提出的问题、意见和建议能做到及时解决并举一反三，业务能力强具有3年以上相关工作经验。</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四、售后服务及培训要求</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32"/>
          <w:szCs w:val="32"/>
          <w:lang w:val="en-US" w:eastAsia="zh-CN"/>
        </w:rPr>
      </w:pPr>
      <w:r>
        <w:rPr>
          <w:rFonts w:hint="eastAsia" w:ascii="Times New Roman" w:hAnsi="Times New Roman" w:eastAsia="仿宋_GB2312" w:cs="Times New Roman"/>
          <w:sz w:val="32"/>
          <w:szCs w:val="32"/>
          <w:lang w:val="en-US" w:eastAsia="zh-CN"/>
        </w:rPr>
        <w:t>做好服务方案、人员管理培训方案及各项应急预案。</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五、交货时间及地点</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地点：北京市大兴区庞各庄镇幸福路</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时间：2024年09月22日至2025年09月21日</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六、验收服务要求</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（1）办公楼零修、急修及时率         100%</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（2）维修工程质量合格率/返修率      98%/2%</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（3）维修工程回访率                 90%</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（4）违章发生率和处理               0起/100%</w:t>
      </w:r>
    </w:p>
    <w:p>
      <w:pPr>
        <w:keepNext w:val="0"/>
        <w:keepLines w:val="0"/>
        <w:pageBreakBefore w:val="0"/>
        <w:kinsoku/>
        <w:wordWrap/>
        <w:overflowPunct/>
        <w:topLinePunct w:val="0"/>
        <w:autoSpaceDE/>
        <w:autoSpaceDN/>
        <w:bidi w:val="0"/>
        <w:spacing w:line="560" w:lineRule="exact"/>
        <w:ind w:firstLine="63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（5）巡查记录、资料保存完好        100%</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28"/>
          <w:szCs w:val="28"/>
          <w:lang w:val="en-US" w:eastAsia="zh-CN"/>
        </w:rPr>
      </w:pPr>
      <w:r>
        <w:rPr>
          <w:rFonts w:hint="eastAsia" w:ascii="仿宋_GB2312" w:hAnsi="仿宋_GB2312" w:eastAsia="仿宋_GB2312" w:cs="仿宋_GB2312"/>
          <w:sz w:val="32"/>
          <w:szCs w:val="32"/>
          <w:lang w:val="en-US" w:eastAsia="zh-CN"/>
        </w:rPr>
        <w:t>合同内未规定的内容以国家相关规定的要求为准。</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七、付款方式</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32"/>
          <w:szCs w:val="32"/>
          <w:lang w:val="en-US" w:eastAsia="zh-CN"/>
        </w:rPr>
        <w:t>合同期内物业管理费按季度支付。</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八、其他相关要求</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本项目专门面向小微企业。即提供的货物全部由符合政策要求的小微企业制造、服务全部由符合政策要求的小微企业承接。</w:t>
      </w:r>
    </w:p>
    <w:p>
      <w:pPr>
        <w:keepNext w:val="0"/>
        <w:keepLines w:val="0"/>
        <w:pageBreakBefore w:val="0"/>
        <w:numPr>
          <w:ilvl w:val="0"/>
          <w:numId w:val="0"/>
        </w:numPr>
        <w:kinsoku/>
        <w:wordWrap/>
        <w:overflowPunct/>
        <w:topLinePunct w:val="0"/>
        <w:autoSpaceDE/>
        <w:autoSpaceDN/>
        <w:bidi w:val="0"/>
        <w:adjustRightInd w:val="0"/>
        <w:spacing w:line="560" w:lineRule="exact"/>
        <w:ind w:leftChars="0"/>
        <w:jc w:val="left"/>
        <w:textAlignment w:val="baseline"/>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九、特殊资质条款</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28"/>
          <w:szCs w:val="28"/>
          <w:lang w:val="en-US" w:eastAsia="zh-CN"/>
        </w:rPr>
      </w:pPr>
      <w:r>
        <w:rPr>
          <w:rFonts w:hint="eastAsia" w:ascii="Times New Roman" w:hAnsi="Times New Roman" w:eastAsia="仿宋_GB2312" w:cs="Times New Roman"/>
          <w:sz w:val="28"/>
          <w:szCs w:val="28"/>
          <w:lang w:val="en-US" w:eastAsia="zh-CN"/>
        </w:rPr>
        <w:t>无</w:t>
      </w:r>
    </w:p>
    <w:p>
      <w:pPr>
        <w:keepNext w:val="0"/>
        <w:keepLines w:val="0"/>
        <w:pageBreakBefore w:val="0"/>
        <w:kinsoku/>
        <w:wordWrap/>
        <w:overflowPunct/>
        <w:topLinePunct w:val="0"/>
        <w:autoSpaceDE/>
        <w:autoSpaceDN/>
        <w:bidi w:val="0"/>
        <w:spacing w:line="560" w:lineRule="exact"/>
        <w:ind w:firstLine="630"/>
        <w:rPr>
          <w:rFonts w:hint="eastAsia" w:ascii="Times New Roman" w:hAnsi="Times New Roman" w:eastAsia="仿宋_GB2312" w:cs="Times New Roman"/>
          <w:sz w:val="28"/>
          <w:szCs w:val="28"/>
          <w:lang w:val="en-US" w:eastAsia="zh-CN"/>
        </w:rPr>
      </w:pPr>
    </w:p>
    <w:p>
      <w:pPr>
        <w:ind w:firstLine="562" w:firstLineChars="200"/>
        <w:rPr>
          <w:rFonts w:hint="eastAsia" w:ascii="仿宋_GB2312" w:eastAsia="仿宋_GB2312"/>
          <w:b/>
          <w:color w:val="auto"/>
          <w:sz w:val="28"/>
          <w:szCs w:val="28"/>
        </w:rPr>
      </w:pPr>
      <w:r>
        <w:rPr>
          <w:rFonts w:hint="eastAsia" w:ascii="仿宋_GB2312" w:eastAsia="仿宋_GB2312"/>
          <w:b/>
          <w:color w:val="auto"/>
          <w:sz w:val="28"/>
          <w:szCs w:val="28"/>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第五章  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2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2023</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highlight w:val="none"/>
                <w:lang w:val="en-US" w:eastAsia="zh-CN"/>
              </w:rPr>
            </w:pPr>
            <w:r>
              <w:rPr>
                <w:rFonts w:hint="eastAsia" w:ascii="仿宋_GB2312" w:hAnsi="宋体" w:eastAsia="仿宋_GB2312"/>
                <w:color w:val="auto"/>
                <w:sz w:val="24"/>
                <w:szCs w:val="24"/>
                <w:highlight w:val="none"/>
                <w:lang w:val="en-US" w:eastAsia="zh-CN"/>
              </w:rPr>
              <w:t>8</w:t>
            </w:r>
          </w:p>
        </w:tc>
        <w:tc>
          <w:tcPr>
            <w:tcW w:w="7796" w:type="dxa"/>
            <w:vAlign w:val="center"/>
          </w:tcPr>
          <w:p>
            <w:pPr>
              <w:spacing w:line="360" w:lineRule="auto"/>
              <w:rPr>
                <w:rFonts w:hint="eastAsia" w:ascii="仿宋_GB2312" w:eastAsia="仿宋_GB2312"/>
                <w:color w:val="auto"/>
                <w:sz w:val="24"/>
                <w:szCs w:val="24"/>
                <w:highlight w:val="none"/>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w:t>
            </w:r>
            <w:r>
              <w:rPr>
                <w:rFonts w:hint="eastAsia" w:ascii="仿宋_GB2312" w:eastAsia="仿宋_GB2312"/>
                <w:color w:val="auto"/>
                <w:sz w:val="24"/>
                <w:szCs w:val="24"/>
                <w:highlight w:val="none"/>
                <w:lang w:eastAsia="zh-CN"/>
              </w:rPr>
              <w:t>小微企业</w:t>
            </w:r>
            <w:r>
              <w:rPr>
                <w:rFonts w:hint="eastAsia" w:ascii="仿宋_GB2312" w:eastAsia="仿宋_GB2312"/>
                <w:color w:val="auto"/>
                <w:sz w:val="24"/>
                <w:szCs w:val="24"/>
                <w:highlight w:val="none"/>
              </w:rPr>
              <w:t>。即提供的货物全部由符合政策要求的</w:t>
            </w:r>
            <w:r>
              <w:rPr>
                <w:rFonts w:hint="eastAsia" w:ascii="仿宋_GB2312" w:eastAsia="仿宋_GB2312"/>
                <w:color w:val="auto"/>
                <w:sz w:val="24"/>
                <w:szCs w:val="24"/>
                <w:highlight w:val="none"/>
                <w:lang w:eastAsia="zh-CN"/>
              </w:rPr>
              <w:t>小微企业</w:t>
            </w:r>
            <w:r>
              <w:rPr>
                <w:rFonts w:hint="eastAsia" w:ascii="仿宋_GB2312" w:eastAsia="仿宋_GB2312"/>
                <w:color w:val="auto"/>
                <w:sz w:val="24"/>
                <w:szCs w:val="24"/>
                <w:highlight w:val="none"/>
              </w:rPr>
              <w:t>制造、服务全部由符合政策要求的</w:t>
            </w:r>
            <w:r>
              <w:rPr>
                <w:rFonts w:hint="eastAsia" w:ascii="仿宋_GB2312" w:eastAsia="仿宋_GB2312"/>
                <w:color w:val="auto"/>
                <w:sz w:val="24"/>
                <w:szCs w:val="24"/>
                <w:highlight w:val="none"/>
                <w:lang w:eastAsia="zh-CN"/>
              </w:rPr>
              <w:t>小微企业</w:t>
            </w:r>
            <w:r>
              <w:rPr>
                <w:rFonts w:hint="eastAsia" w:ascii="仿宋_GB2312" w:eastAsia="仿宋_GB2312"/>
                <w:color w:val="auto"/>
                <w:sz w:val="24"/>
                <w:szCs w:val="24"/>
                <w:highlight w:val="none"/>
              </w:rPr>
              <w:t>承接。（加盖单位公章）</w:t>
            </w:r>
          </w:p>
        </w:tc>
      </w:tr>
    </w:tbl>
    <w:p>
      <w:pPr>
        <w:pStyle w:val="38"/>
        <w:widowControl w:val="0"/>
        <w:autoSpaceDE w:val="0"/>
        <w:autoSpaceDN w:val="0"/>
        <w:adjustRightInd w:val="0"/>
        <w:spacing w:before="0" w:after="0" w:line="360" w:lineRule="auto"/>
        <w:rPr>
          <w:rFonts w:ascii="仿宋_GB2312" w:hAnsi="宋体" w:eastAsia="仿宋_GB2312"/>
          <w:color w:val="auto"/>
          <w:kern w:val="2"/>
          <w:sz w:val="24"/>
          <w:szCs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2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w:t>
      </w:r>
      <w:r>
        <w:rPr>
          <w:rFonts w:hint="eastAsia" w:ascii="仿宋_GB2312" w:hAnsi="GTDRBE+»ªÎÄÏ¸ºÚ" w:eastAsia="仿宋_GB2312" w:cs="GTDRBE+»ªÎÄÏ¸ºÚ"/>
          <w:color w:val="auto"/>
          <w:sz w:val="24"/>
          <w:lang w:val="en-US" w:eastAsia="zh-CN"/>
        </w:rPr>
        <w:t>=</w:t>
      </w:r>
      <w:r>
        <w:rPr>
          <w:rFonts w:hint="eastAsia" w:ascii="仿宋_GB2312" w:hAnsi="GTDRBE+»ªÎÄÏ¸ºÚ" w:eastAsia="仿宋_GB2312" w:cs="GTDRBE+»ªÎÄÏ¸ºÚ"/>
          <w:color w:val="auto"/>
          <w:sz w:val="24"/>
        </w:rPr>
        <w:t>（评标基准价/投标报价）×价格权值×100。</w:t>
      </w:r>
    </w:p>
    <w:p>
      <w:pPr>
        <w:numPr>
          <w:ilvl w:val="0"/>
          <w:numId w:val="7"/>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4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4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jc w:val="center"/>
        <w:rPr>
          <w:rFonts w:hint="eastAsia" w:ascii="仿宋_GB2312" w:hAnsi="仿宋_GB2312" w:eastAsia="仿宋_GB2312" w:cs="仿宋_GB2312"/>
          <w:b/>
          <w:color w:val="auto"/>
          <w:sz w:val="28"/>
          <w:szCs w:val="28"/>
          <w:shd w:val="clear" w:color="auto" w:fill="auto"/>
        </w:rPr>
      </w:pPr>
    </w:p>
    <w:p>
      <w:pPr>
        <w:jc w:val="center"/>
        <w:rPr>
          <w:rFonts w:hint="eastAsia" w:ascii="仿宋_GB2312" w:hAnsi="仿宋_GB2312" w:eastAsia="仿宋_GB2312" w:cs="仿宋_GB2312"/>
          <w:b/>
          <w:color w:val="auto"/>
          <w:sz w:val="28"/>
          <w:szCs w:val="28"/>
          <w:shd w:val="clear" w:color="auto" w:fill="auto"/>
        </w:rPr>
      </w:pPr>
    </w:p>
    <w:p>
      <w:pPr>
        <w:jc w:val="center"/>
        <w:rPr>
          <w:rFonts w:hint="eastAsia" w:ascii="仿宋_GB2312" w:hAnsi="仿宋_GB2312" w:eastAsia="仿宋_GB2312" w:cs="仿宋_GB2312"/>
          <w:b/>
          <w:color w:val="auto"/>
          <w:sz w:val="28"/>
          <w:szCs w:val="28"/>
          <w:shd w:val="clear" w:color="auto" w:fill="auto"/>
        </w:rPr>
      </w:pPr>
    </w:p>
    <w:p>
      <w:pPr>
        <w:jc w:val="center"/>
        <w:rPr>
          <w:rFonts w:ascii="仿宋" w:hAnsi="仿宋" w:eastAsia="仿宋" w:cs="WBJDSQ+»ªÎÄÏ¸ºÚ"/>
          <w:b/>
          <w:szCs w:val="21"/>
        </w:rPr>
      </w:pPr>
      <w:r>
        <w:rPr>
          <w:rFonts w:hint="eastAsia" w:ascii="仿宋_GB2312" w:hAnsi="仿宋_GB2312" w:eastAsia="仿宋_GB2312" w:cs="仿宋_GB2312"/>
          <w:b/>
          <w:color w:val="auto"/>
          <w:sz w:val="28"/>
          <w:szCs w:val="28"/>
          <w:shd w:val="clear" w:color="auto" w:fill="auto"/>
        </w:rPr>
        <w:t>评</w:t>
      </w:r>
      <w:r>
        <w:rPr>
          <w:rFonts w:hint="eastAsia" w:ascii="仿宋_GB2312" w:hAnsi="仿宋_GB2312" w:eastAsia="仿宋_GB2312" w:cs="仿宋_GB2312"/>
          <w:b/>
          <w:color w:val="auto"/>
          <w:sz w:val="28"/>
          <w:szCs w:val="28"/>
          <w:shd w:val="clear" w:color="auto" w:fill="auto"/>
          <w:lang w:eastAsia="zh-CN"/>
        </w:rPr>
        <w:t>分标准细则</w:t>
      </w:r>
    </w:p>
    <w:p>
      <w:pPr>
        <w:framePr w:wrap="around" w:vAnchor="margin" w:hAnchor="text" w:y="1"/>
        <w:spacing w:line="560" w:lineRule="exact"/>
        <w:rPr>
          <w:rFonts w:ascii="仿宋" w:hAnsi="仿宋" w:eastAsia="仿宋" w:cs="Times New Roman"/>
          <w:b/>
          <w:szCs w:val="21"/>
        </w:rPr>
      </w:pPr>
    </w:p>
    <w:p>
      <w:pPr>
        <w:keepNext w:val="0"/>
        <w:keepLines w:val="0"/>
        <w:pageBreakBefore w:val="0"/>
        <w:kinsoku/>
        <w:overflowPunct/>
        <w:topLinePunct w:val="0"/>
        <w:autoSpaceDE/>
        <w:autoSpaceDN/>
        <w:bidi w:val="0"/>
        <w:spacing w:line="560" w:lineRule="exact"/>
        <w:jc w:val="both"/>
        <w:rPr>
          <w:rFonts w:hint="eastAsia"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w:t>
      </w:r>
      <w:r>
        <w:rPr>
          <w:rFonts w:hint="eastAsia" w:ascii="黑体" w:hAnsi="黑体" w:eastAsia="黑体" w:cs="黑体"/>
          <w:color w:val="000000" w:themeColor="text1"/>
          <w:sz w:val="32"/>
          <w:szCs w:val="32"/>
          <w:lang w:val="en-US" w:eastAsia="zh-CN"/>
          <w14:textFill>
            <w14:solidFill>
              <w14:schemeClr w14:val="tx1"/>
            </w14:solidFill>
          </w14:textFill>
        </w:rPr>
        <w:t>一</w:t>
      </w:r>
      <w:r>
        <w:rPr>
          <w:rFonts w:hint="eastAsia" w:ascii="黑体" w:hAnsi="黑体" w:eastAsia="黑体" w:cs="黑体"/>
          <w:color w:val="000000" w:themeColor="text1"/>
          <w:sz w:val="32"/>
          <w:szCs w:val="32"/>
          <w:lang w:eastAsia="zh-CN"/>
          <w14:textFill>
            <w14:solidFill>
              <w14:schemeClr w14:val="tx1"/>
            </w14:solidFill>
          </w14:textFill>
        </w:rPr>
        <w:t>）价格分（客观分）</w:t>
      </w:r>
    </w:p>
    <w:tbl>
      <w:tblPr>
        <w:tblStyle w:val="85"/>
        <w:tblW w:w="9356" w:type="dxa"/>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zh-TW" w:eastAsia="zh-TW"/>
                <w14:textFill>
                  <w14:solidFill>
                    <w14:schemeClr w14:val="tx1"/>
                  </w14:solidFill>
                </w14:textFill>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zh-TW"/>
                <w14:textFill>
                  <w14:solidFill>
                    <w14:schemeClr w14:val="tx1"/>
                  </w14:solidFill>
                </w14:textFill>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zh-TW" w:eastAsia="zh-TW"/>
                <w14:textFill>
                  <w14:solidFill>
                    <w14:schemeClr w14:val="tx1"/>
                  </w14:solidFill>
                </w14:textFill>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zh-TW" w:eastAsia="zh-TW"/>
                <w14:textFill>
                  <w14:solidFill>
                    <w14:schemeClr w14:val="tx1"/>
                  </w14:solidFill>
                </w14:textFill>
              </w:rPr>
              <w:t>评审</w:t>
            </w:r>
            <w:r>
              <w:rPr>
                <w:rFonts w:hint="eastAsia" w:ascii="仿宋_GB2312" w:hAnsi="仿宋_GB2312" w:eastAsia="仿宋_GB2312" w:cs="仿宋_GB2312"/>
                <w:b/>
                <w:bCs/>
                <w:color w:val="000000" w:themeColor="text1"/>
                <w:kern w:val="0"/>
                <w:sz w:val="32"/>
                <w:szCs w:val="32"/>
                <w:lang w:val="zh-TW"/>
                <w14:textFill>
                  <w14:solidFill>
                    <w14:schemeClr w14:val="tx1"/>
                  </w14:solidFill>
                </w14:textFill>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14:textFill>
                  <w14:solidFill>
                    <w14:schemeClr w14:val="tx1"/>
                  </w14:solidFill>
                </w14:textFill>
              </w:rPr>
            </w:pPr>
            <w:r>
              <w:rPr>
                <w:rFonts w:hint="eastAsia" w:ascii="仿宋_GB2312" w:hAnsi="仿宋_GB2312" w:eastAsia="仿宋_GB2312" w:cs="仿宋_GB2312"/>
                <w:b/>
                <w:bCs/>
                <w:color w:val="000000" w:themeColor="text1"/>
                <w:kern w:val="0"/>
                <w:sz w:val="32"/>
                <w:szCs w:val="32"/>
                <w:lang w:val="zh-TW" w:eastAsia="zh-TW"/>
                <w14:textFill>
                  <w14:solidFill>
                    <w14:schemeClr w14:val="tx1"/>
                  </w14:solidFill>
                </w14:textFill>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lang w:val="zh-TW"/>
                <w14:textFill>
                  <w14:solidFill>
                    <w14:schemeClr w14:val="tx1"/>
                  </w14:solidFill>
                </w14:textFill>
              </w:rPr>
            </w:pPr>
            <w:r>
              <w:rPr>
                <w:rFonts w:hint="eastAsia" w:ascii="仿宋_GB2312" w:hAnsi="仿宋_GB2312" w:eastAsia="仿宋_GB2312" w:cs="仿宋_GB2312"/>
                <w:color w:val="000000" w:themeColor="text1"/>
                <w:kern w:val="0"/>
                <w:sz w:val="32"/>
                <w:szCs w:val="32"/>
                <w:lang w:val="zh-TW"/>
                <w14:textFill>
                  <w14:solidFill>
                    <w14:schemeClr w14:val="tx1"/>
                  </w14:solidFill>
                </w14:textFill>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lang w:val="zh-TW"/>
                <w14:textFill>
                  <w14:solidFill>
                    <w14:schemeClr w14:val="tx1"/>
                  </w14:solidFill>
                </w14:textFill>
              </w:rPr>
            </w:pPr>
            <w:r>
              <w:rPr>
                <w:rFonts w:hint="eastAsia" w:ascii="仿宋_GB2312" w:hAnsi="仿宋_GB2312" w:eastAsia="仿宋_GB2312" w:cs="仿宋_GB2312"/>
                <w:color w:val="000000" w:themeColor="text1"/>
                <w:kern w:val="0"/>
                <w:sz w:val="32"/>
                <w:szCs w:val="32"/>
                <w:lang w:val="zh-TW"/>
                <w14:textFill>
                  <w14:solidFill>
                    <w14:schemeClr w14:val="tx1"/>
                  </w14:solidFill>
                </w14:textFill>
              </w:rPr>
              <w:t>价格</w:t>
            </w:r>
          </w:p>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lang w:val="zh-TW"/>
                <w14:textFill>
                  <w14:solidFill>
                    <w14:schemeClr w14:val="tx1"/>
                  </w14:solidFill>
                </w14:textFill>
              </w:rPr>
            </w:pPr>
            <w:r>
              <w:rPr>
                <w:rFonts w:hint="eastAsia" w:ascii="仿宋_GB2312" w:hAnsi="仿宋_GB2312" w:eastAsia="仿宋_GB2312" w:cs="仿宋_GB2312"/>
                <w:color w:val="000000" w:themeColor="text1"/>
                <w:kern w:val="0"/>
                <w:sz w:val="32"/>
                <w:szCs w:val="32"/>
                <w:lang w:val="zh-TW"/>
                <w14:textFill>
                  <w14:solidFill>
                    <w14:schemeClr w14:val="tx1"/>
                  </w14:solidFill>
                </w14:textFill>
              </w:rPr>
              <w:t>(</w:t>
            </w:r>
            <w:r>
              <w:rPr>
                <w:rFonts w:hint="eastAsia" w:ascii="仿宋_GB2312" w:hAnsi="仿宋_GB2312" w:eastAsia="仿宋_GB2312" w:cs="仿宋_GB2312"/>
                <w:color w:val="000000" w:themeColor="text1"/>
                <w:kern w:val="0"/>
                <w:sz w:val="32"/>
                <w:szCs w:val="32"/>
                <w:lang w:val="zh-TW" w:eastAsia="zh-TW"/>
                <w14:textFill>
                  <w14:solidFill>
                    <w14:schemeClr w14:val="tx1"/>
                  </w14:solidFill>
                </w14:textFill>
              </w:rPr>
              <w:t>10</w:t>
            </w:r>
            <w:r>
              <w:rPr>
                <w:rFonts w:hint="eastAsia" w:ascii="仿宋_GB2312" w:hAnsi="仿宋_GB2312" w:eastAsia="仿宋_GB2312" w:cs="仿宋_GB2312"/>
                <w:color w:val="000000" w:themeColor="text1"/>
                <w:kern w:val="0"/>
                <w:sz w:val="32"/>
                <w:szCs w:val="32"/>
                <w:lang w:val="zh-TW"/>
                <w14:textFill>
                  <w14:solidFill>
                    <w14:schemeClr w14:val="tx1"/>
                  </w14:solidFill>
                </w14:textFill>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lang w:val="zh-TW"/>
                <w14:textFill>
                  <w14:solidFill>
                    <w14:schemeClr w14:val="tx1"/>
                  </w14:solidFill>
                </w14:textFill>
              </w:rPr>
            </w:pPr>
            <w:r>
              <w:rPr>
                <w:rFonts w:hint="eastAsia" w:ascii="仿宋_GB2312" w:hAnsi="仿宋_GB2312" w:eastAsia="仿宋_GB2312" w:cs="仿宋_GB2312"/>
                <w:color w:val="000000" w:themeColor="text1"/>
                <w:kern w:val="0"/>
                <w:sz w:val="32"/>
                <w:szCs w:val="32"/>
                <w:lang w:val="zh-TW"/>
                <w14:textFill>
                  <w14:solidFill>
                    <w14:schemeClr w14:val="tx1"/>
                  </w14:solidFill>
                </w14:textFill>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left"/>
              <w:rPr>
                <w:rFonts w:hint="eastAsia" w:ascii="仿宋_GB2312" w:hAnsi="仿宋_GB2312" w:eastAsia="仿宋_GB2312" w:cs="仿宋_GB2312"/>
                <w:color w:val="000000" w:themeColor="text1"/>
                <w:sz w:val="32"/>
                <w:szCs w:val="32"/>
                <w:lang w:val="zh-TW"/>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报价得分＝10×（评标基准价/投标报价）。评标基准价：满足招标文件要求且投标价格最低的投标报价。</w:t>
            </w:r>
          </w:p>
        </w:tc>
        <w:tc>
          <w:tcPr>
            <w:tcW w:w="850" w:type="dxa"/>
            <w:tcBorders>
              <w:top w:val="single" w:color="000000" w:sz="6" w:space="0"/>
              <w:left w:val="single" w:color="auto" w:sz="4" w:space="0"/>
              <w:bottom w:val="single" w:color="000000" w:sz="6" w:space="0"/>
              <w:right w:val="single" w:color="000000" w:sz="6" w:space="0"/>
            </w:tcBorders>
            <w:shd w:val="clear" w:color="auto" w:fill="auto"/>
            <w:vAlign w:val="center"/>
          </w:tcPr>
          <w:p>
            <w:pPr>
              <w:keepNext w:val="0"/>
              <w:keepLines w:val="0"/>
              <w:pageBreakBefore w:val="0"/>
              <w:widowControl/>
              <w:kinsoku/>
              <w:overflowPunct/>
              <w:topLinePunct w:val="0"/>
              <w:autoSpaceDE/>
              <w:autoSpaceDN/>
              <w:bidi w:val="0"/>
              <w:spacing w:line="560" w:lineRule="exact"/>
              <w:jc w:val="center"/>
              <w:rPr>
                <w:rFonts w:hint="eastAsia" w:ascii="仿宋_GB2312" w:hAnsi="仿宋_GB2312" w:eastAsia="仿宋_GB2312" w:cs="仿宋_GB2312"/>
                <w:color w:val="000000" w:themeColor="text1"/>
                <w:kern w:val="0"/>
                <w:sz w:val="32"/>
                <w:szCs w:val="32"/>
                <w:lang w:val="zh-TW"/>
                <w14:textFill>
                  <w14:solidFill>
                    <w14:schemeClr w14:val="tx1"/>
                  </w14:solidFill>
                </w14:textFill>
              </w:rPr>
            </w:pPr>
            <w:r>
              <w:rPr>
                <w:rFonts w:hint="eastAsia" w:ascii="仿宋_GB2312" w:hAnsi="仿宋_GB2312" w:eastAsia="仿宋_GB2312" w:cs="仿宋_GB2312"/>
                <w:color w:val="000000" w:themeColor="text1"/>
                <w:kern w:val="0"/>
                <w:sz w:val="32"/>
                <w:szCs w:val="32"/>
                <w:lang w:val="zh-TW" w:eastAsia="zh-TW"/>
                <w14:textFill>
                  <w14:solidFill>
                    <w14:schemeClr w14:val="tx1"/>
                  </w14:solidFill>
                </w14:textFill>
              </w:rPr>
              <w:t>10</w:t>
            </w:r>
          </w:p>
        </w:tc>
      </w:tr>
    </w:tbl>
    <w:p>
      <w:pPr>
        <w:keepNext w:val="0"/>
        <w:keepLines w:val="0"/>
        <w:pageBreakBefore w:val="0"/>
        <w:kinsoku/>
        <w:overflowPunct/>
        <w:topLinePunct w:val="0"/>
        <w:autoSpaceDE/>
        <w:autoSpaceDN/>
        <w:bidi w:val="0"/>
        <w:spacing w:line="560" w:lineRule="exact"/>
        <w:rPr>
          <w:rFonts w:hint="eastAsia" w:ascii="仿宋" w:hAnsi="仿宋" w:eastAsia="仿宋" w:cs="仿宋"/>
          <w:color w:val="000000" w:themeColor="text1"/>
          <w:sz w:val="24"/>
          <w14:textFill>
            <w14:solidFill>
              <w14:schemeClr w14:val="tx1"/>
            </w14:solidFill>
          </w14:textFill>
        </w:rPr>
      </w:pPr>
    </w:p>
    <w:p>
      <w:pPr>
        <w:keepNext w:val="0"/>
        <w:keepLines w:val="0"/>
        <w:pageBreakBefore w:val="0"/>
        <w:kinsoku/>
        <w:overflowPunct/>
        <w:topLinePunct w:val="0"/>
        <w:autoSpaceDE/>
        <w:autoSpaceDN/>
        <w:bidi w:val="0"/>
        <w:spacing w:line="560" w:lineRule="exact"/>
        <w:jc w:val="both"/>
        <w:rPr>
          <w:rFonts w:hint="eastAsia"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w:t>
      </w:r>
      <w:r>
        <w:rPr>
          <w:rFonts w:hint="eastAsia" w:ascii="黑体" w:hAnsi="黑体" w:eastAsia="黑体" w:cs="黑体"/>
          <w:color w:val="000000" w:themeColor="text1"/>
          <w:sz w:val="32"/>
          <w:szCs w:val="32"/>
          <w:lang w:val="en-US" w:eastAsia="zh-CN"/>
          <w14:textFill>
            <w14:solidFill>
              <w14:schemeClr w14:val="tx1"/>
            </w14:solidFill>
          </w14:textFill>
        </w:rPr>
        <w:t>二</w:t>
      </w:r>
      <w:r>
        <w:rPr>
          <w:rFonts w:hint="eastAsia" w:ascii="黑体" w:hAnsi="黑体" w:eastAsia="黑体" w:cs="黑体"/>
          <w:color w:val="000000" w:themeColor="text1"/>
          <w:sz w:val="32"/>
          <w:szCs w:val="32"/>
          <w:lang w:eastAsia="zh-CN"/>
          <w14:textFill>
            <w14:solidFill>
              <w14:schemeClr w14:val="tx1"/>
            </w14:solidFill>
          </w14:textFill>
        </w:rPr>
        <w:t>）服务分（主观分）</w:t>
      </w:r>
    </w:p>
    <w:tbl>
      <w:tblPr>
        <w:tblStyle w:val="85"/>
        <w:tblW w:w="9356" w:type="dxa"/>
        <w:tblInd w:w="-204" w:type="dxa"/>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50" w:hRule="atLeast"/>
        </w:trPr>
        <w:tc>
          <w:tcPr>
            <w:tcW w:w="710" w:type="dxa"/>
            <w:tcBorders>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序号</w:t>
            </w:r>
          </w:p>
        </w:tc>
        <w:tc>
          <w:tcPr>
            <w:tcW w:w="1134" w:type="dxa"/>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rPr>
              <w:t>项目</w:t>
            </w:r>
          </w:p>
        </w:tc>
        <w:tc>
          <w:tcPr>
            <w:tcW w:w="1417" w:type="dxa"/>
            <w:tcBorders>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评审项</w:t>
            </w:r>
          </w:p>
        </w:tc>
        <w:tc>
          <w:tcPr>
            <w:tcW w:w="5245" w:type="dxa"/>
            <w:tcBorders>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评审</w:t>
            </w:r>
            <w:r>
              <w:rPr>
                <w:rFonts w:hint="eastAsia" w:ascii="仿宋_GB2312" w:hAnsi="仿宋_GB2312" w:eastAsia="仿宋_GB2312" w:cs="仿宋_GB2312"/>
                <w:b/>
                <w:bCs/>
                <w:kern w:val="0"/>
                <w:sz w:val="32"/>
                <w:szCs w:val="32"/>
                <w:lang w:val="zh-TW"/>
              </w:rPr>
              <w:t>因素</w:t>
            </w:r>
          </w:p>
        </w:tc>
        <w:tc>
          <w:tcPr>
            <w:tcW w:w="850" w:type="dxa"/>
            <w:tcBorders>
              <w:left w:val="single" w:color="auto" w:sz="4" w:space="0"/>
              <w:bottom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分值</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945" w:hRule="atLeast"/>
        </w:trPr>
        <w:tc>
          <w:tcPr>
            <w:tcW w:w="710" w:type="dxa"/>
            <w:vMerge w:val="restart"/>
            <w:tcBorders>
              <w:top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r>
              <w:rPr>
                <w:rFonts w:hint="eastAsia" w:ascii="仿宋_GB2312" w:hAnsi="仿宋_GB2312" w:eastAsia="仿宋_GB2312" w:cs="仿宋_GB2312"/>
                <w:kern w:val="0"/>
                <w:sz w:val="32"/>
                <w:szCs w:val="32"/>
                <w:lang w:val="zh-TW"/>
              </w:rPr>
              <w:t>2</w:t>
            </w:r>
          </w:p>
        </w:tc>
        <w:tc>
          <w:tcPr>
            <w:tcW w:w="1134" w:type="dxa"/>
            <w:vMerge w:val="restart"/>
            <w:tcBorders>
              <w:top w:val="single" w:color="000000" w:sz="6" w:space="0"/>
              <w:left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服务</w:t>
            </w:r>
          </w:p>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r>
              <w:rPr>
                <w:rFonts w:hint="eastAsia" w:ascii="仿宋_GB2312" w:hAnsi="仿宋_GB2312" w:eastAsia="仿宋_GB2312" w:cs="仿宋_GB2312"/>
                <w:kern w:val="0"/>
                <w:sz w:val="32"/>
                <w:szCs w:val="32"/>
                <w:lang w:val="zh-TW"/>
              </w:rPr>
              <w:t>(</w:t>
            </w:r>
            <w:r>
              <w:rPr>
                <w:rFonts w:hint="eastAsia" w:ascii="仿宋_GB2312" w:hAnsi="仿宋_GB2312" w:eastAsia="仿宋_GB2312" w:cs="仿宋_GB2312"/>
                <w:kern w:val="0"/>
                <w:sz w:val="32"/>
                <w:szCs w:val="32"/>
                <w:lang w:val="en-US" w:eastAsia="zh-CN"/>
              </w:rPr>
              <w:t>72</w:t>
            </w:r>
            <w:r>
              <w:rPr>
                <w:rFonts w:hint="eastAsia" w:ascii="仿宋_GB2312" w:hAnsi="仿宋_GB2312" w:eastAsia="仿宋_GB2312" w:cs="仿宋_GB2312"/>
                <w:kern w:val="0"/>
                <w:sz w:val="32"/>
                <w:szCs w:val="32"/>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项目理解</w:t>
            </w:r>
          </w:p>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分析</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keepNext w:val="0"/>
              <w:keepLines w:val="0"/>
              <w:pageBreakBefore w:val="0"/>
              <w:kinsoku/>
              <w:overflowPunct/>
              <w:topLinePunct w:val="0"/>
              <w:autoSpaceDE/>
              <w:autoSpaceDN/>
              <w:bidi w:val="0"/>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根据本项目的特点和要求，制定对工作内容及项目背景的理解分析，至少包括①开展本项工作的目的和计划②重点把握③难点分析④合理化建议。每项内容进行了阐述且满足采购实际需求得3分；每项内容虽阐述但未贴合实际情况进行论述得2分，每项内容阐述不清或者不贴合本项目采购需求得1分。未提供得0分。</w:t>
            </w:r>
          </w:p>
        </w:tc>
        <w:tc>
          <w:tcPr>
            <w:tcW w:w="850" w:type="dxa"/>
            <w:tcBorders>
              <w:top w:val="single" w:color="000000" w:sz="6" w:space="0"/>
              <w:left w:val="single" w:color="auto" w:sz="4" w:space="0"/>
              <w:bottom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12</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90" w:hRule="atLeast"/>
        </w:trPr>
        <w:tc>
          <w:tcPr>
            <w:tcW w:w="710" w:type="dxa"/>
            <w:vMerge w:val="continue"/>
            <w:tcBorders>
              <w:right w:val="single" w:color="000000" w:sz="6" w:space="0"/>
            </w:tcBorders>
            <w:shd w:val="clear" w:color="auto" w:fill="auto"/>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134" w:type="dxa"/>
            <w:vMerge w:val="continue"/>
            <w:tcBorders>
              <w:left w:val="single" w:color="000000" w:sz="6" w:space="0"/>
              <w:right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sz w:val="32"/>
                <w:szCs w:val="32"/>
              </w:rPr>
              <w:t>拟派项目团队人员</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left"/>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sz w:val="32"/>
                <w:szCs w:val="32"/>
              </w:rPr>
              <w:t>根据投标人拟投入项目人员（包括项目负责人）包括但不限于①组织架构②人员</w:t>
            </w:r>
            <w:r>
              <w:rPr>
                <w:rFonts w:hint="eastAsia" w:ascii="仿宋_GB2312" w:hAnsi="仿宋_GB2312" w:eastAsia="仿宋_GB2312" w:cs="仿宋_GB2312"/>
                <w:color w:val="000000"/>
                <w:sz w:val="32"/>
                <w:szCs w:val="32"/>
                <w:lang w:val="en-US" w:eastAsia="zh-CN"/>
              </w:rPr>
              <w:t>配置</w:t>
            </w:r>
            <w:r>
              <w:rPr>
                <w:rFonts w:hint="eastAsia" w:ascii="仿宋_GB2312" w:hAnsi="仿宋_GB2312" w:eastAsia="仿宋_GB2312" w:cs="仿宋_GB2312"/>
                <w:color w:val="000000"/>
                <w:sz w:val="32"/>
                <w:szCs w:val="32"/>
              </w:rPr>
              <w:t>③职能分工④</w:t>
            </w:r>
            <w:r>
              <w:rPr>
                <w:rFonts w:hint="eastAsia" w:ascii="仿宋_GB2312" w:hAnsi="仿宋_GB2312" w:eastAsia="仿宋_GB2312" w:cs="仿宋_GB2312"/>
                <w:color w:val="000000"/>
                <w:sz w:val="32"/>
                <w:szCs w:val="32"/>
                <w:lang w:val="en-US" w:eastAsia="zh-CN"/>
              </w:rPr>
              <w:t>培训方案</w:t>
            </w:r>
            <w:r>
              <w:rPr>
                <w:rFonts w:hint="eastAsia" w:ascii="仿宋_GB2312" w:hAnsi="仿宋_GB2312" w:eastAsia="仿宋_GB2312" w:cs="仿宋_GB2312"/>
                <w:color w:val="000000"/>
                <w:sz w:val="32"/>
                <w:szCs w:val="32"/>
              </w:rPr>
              <w:t>⑤日常管理与</w:t>
            </w:r>
            <w:r>
              <w:rPr>
                <w:rFonts w:hint="eastAsia" w:ascii="仿宋_GB2312" w:hAnsi="仿宋_GB2312" w:eastAsia="仿宋_GB2312" w:cs="仿宋_GB2312"/>
                <w:color w:val="000000"/>
                <w:sz w:val="32"/>
                <w:szCs w:val="32"/>
                <w:lang w:val="en-US" w:eastAsia="zh-CN"/>
              </w:rPr>
              <w:t>考核机制</w:t>
            </w:r>
            <w:r>
              <w:rPr>
                <w:rFonts w:hint="eastAsia" w:ascii="仿宋_GB2312" w:hAnsi="仿宋_GB2312" w:eastAsia="仿宋_GB2312" w:cs="仿宋_GB2312"/>
                <w:color w:val="000000"/>
                <w:sz w:val="32"/>
                <w:szCs w:val="32"/>
              </w:rPr>
              <w:t>。</w:t>
            </w:r>
            <w:r>
              <w:rPr>
                <w:rFonts w:hint="eastAsia" w:ascii="仿宋_GB2312" w:eastAsia="仿宋_GB2312"/>
                <w:color w:val="000000"/>
                <w:sz w:val="32"/>
                <w:szCs w:val="32"/>
              </w:rPr>
              <w:t>每项内容进行了阐述且满足采购实际需求得</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分；每项内容虽阐述但未贴合实际情况进行论述得</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分，每项内容阐述不清或者不贴合本项目采购需求得</w:t>
            </w:r>
            <w:r>
              <w:rPr>
                <w:rFonts w:hint="eastAsia" w:ascii="仿宋_GB2312" w:eastAsia="仿宋_GB2312"/>
                <w:color w:val="000000"/>
                <w:sz w:val="32"/>
                <w:szCs w:val="32"/>
                <w:lang w:val="en-US" w:eastAsia="zh-CN"/>
              </w:rPr>
              <w:t>1</w:t>
            </w:r>
            <w:r>
              <w:rPr>
                <w:rFonts w:hint="eastAsia" w:ascii="仿宋_GB2312" w:eastAsia="仿宋_GB2312"/>
                <w:color w:val="000000"/>
                <w:sz w:val="32"/>
                <w:szCs w:val="32"/>
              </w:rPr>
              <w:t>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default"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sz w:val="32"/>
                <w:szCs w:val="32"/>
                <w:lang w:val="en-US" w:eastAsia="zh-CN"/>
              </w:rPr>
              <w:t>20</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1253" w:hRule="atLeast"/>
        </w:trPr>
        <w:tc>
          <w:tcPr>
            <w:tcW w:w="710" w:type="dxa"/>
            <w:vMerge w:val="continue"/>
            <w:tcBorders>
              <w:right w:val="single" w:color="000000" w:sz="6" w:space="0"/>
            </w:tcBorders>
            <w:shd w:val="clear" w:color="auto" w:fill="auto"/>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134" w:type="dxa"/>
            <w:vMerge w:val="continue"/>
            <w:tcBorders>
              <w:left w:val="single" w:color="000000" w:sz="6" w:space="0"/>
              <w:right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实施方案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keepNext w:val="0"/>
              <w:keepLines w:val="0"/>
              <w:pageBreakBefore w:val="0"/>
              <w:kinsoku/>
              <w:overflowPunct/>
              <w:topLinePunct w:val="0"/>
              <w:autoSpaceDE/>
              <w:autoSpaceDN/>
              <w:bidi w:val="0"/>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针对采购需求提供实施方案，内容包括但不限于①整体思路②工作流程及工作方案③文明作业及方案④物业维修养护及计划⑤质量保证措施⑥安全保证措施。每项内容进行了阐述且满足采购实际需求得</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分；每项内容虽阐述但未贴合实际情况进行论述，或内容未包括具体实施细节及措施得</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分，每项内容阐述不清或者不贴合本项目采购需求得 1 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24</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344" w:hRule="atLeast"/>
        </w:trPr>
        <w:tc>
          <w:tcPr>
            <w:tcW w:w="710" w:type="dxa"/>
            <w:vMerge w:val="continue"/>
            <w:tcBorders>
              <w:right w:val="single" w:color="000000" w:sz="6" w:space="0"/>
            </w:tcBorders>
            <w:shd w:val="clear" w:color="auto" w:fill="CCE8CF" w:themeFill="background1"/>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134" w:type="dxa"/>
            <w:vMerge w:val="continue"/>
            <w:tcBorders>
              <w:left w:val="single" w:color="000000" w:sz="6" w:space="0"/>
              <w:right w:val="single" w:color="000000" w:sz="6" w:space="0"/>
            </w:tcBorders>
            <w:shd w:val="clear" w:color="auto" w:fill="CCE8CF" w:themeFill="background1"/>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应急预案</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left"/>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提供应急预案，包括但不限于①应急组织架构，②应急服务流程，③应急措施，</w:t>
            </w:r>
            <w:r>
              <w:rPr>
                <w:rFonts w:hint="eastAsia" w:ascii="仿宋_GB2312" w:eastAsia="仿宋_GB2312"/>
                <w:color w:val="000000"/>
                <w:sz w:val="32"/>
                <w:szCs w:val="32"/>
              </w:rPr>
              <w:t>每项内容进行了阐述且</w:t>
            </w:r>
            <w:r>
              <w:rPr>
                <w:rFonts w:hint="eastAsia" w:ascii="仿宋_GB2312" w:eastAsia="仿宋_GB2312"/>
                <w:color w:val="000000"/>
                <w:sz w:val="32"/>
                <w:szCs w:val="32"/>
                <w:lang w:val="en-US" w:eastAsia="zh-CN"/>
              </w:rPr>
              <w:t>贴合实际</w:t>
            </w:r>
            <w:r>
              <w:rPr>
                <w:rFonts w:hint="eastAsia" w:ascii="仿宋_GB2312" w:eastAsia="仿宋_GB2312"/>
                <w:color w:val="000000"/>
                <w:sz w:val="32"/>
                <w:szCs w:val="32"/>
              </w:rPr>
              <w:t>得</w:t>
            </w:r>
            <w:r>
              <w:rPr>
                <w:rFonts w:hint="eastAsia" w:ascii="仿宋_GB2312" w:eastAsia="仿宋_GB2312"/>
                <w:color w:val="000000"/>
                <w:sz w:val="32"/>
                <w:szCs w:val="32"/>
                <w:lang w:val="en-US" w:eastAsia="zh-CN"/>
              </w:rPr>
              <w:t>4</w:t>
            </w:r>
            <w:r>
              <w:rPr>
                <w:rFonts w:hint="eastAsia" w:ascii="仿宋_GB2312" w:eastAsia="仿宋_GB2312"/>
                <w:color w:val="000000"/>
                <w:sz w:val="32"/>
                <w:szCs w:val="32"/>
              </w:rPr>
              <w:t>分；每项内容虽阐述但未贴合实际情况进行论述，或内容未包括具体实施细节及措施得</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分，每项内容阐述不清</w:t>
            </w:r>
            <w:r>
              <w:rPr>
                <w:rFonts w:hint="eastAsia" w:ascii="仿宋_GB2312" w:eastAsia="仿宋_GB2312"/>
                <w:color w:val="000000"/>
                <w:sz w:val="32"/>
                <w:szCs w:val="32"/>
                <w:lang w:val="en-US" w:eastAsia="zh-CN"/>
              </w:rPr>
              <w:t>且</w:t>
            </w:r>
            <w:r>
              <w:rPr>
                <w:rFonts w:hint="eastAsia" w:ascii="仿宋_GB2312" w:eastAsia="仿宋_GB2312"/>
                <w:color w:val="000000"/>
                <w:sz w:val="32"/>
                <w:szCs w:val="32"/>
              </w:rPr>
              <w:t>不贴合</w:t>
            </w:r>
            <w:r>
              <w:rPr>
                <w:rFonts w:hint="eastAsia" w:ascii="仿宋_GB2312" w:eastAsia="仿宋_GB2312"/>
                <w:color w:val="000000"/>
                <w:sz w:val="32"/>
                <w:szCs w:val="32"/>
                <w:lang w:val="en-US" w:eastAsia="zh-CN"/>
              </w:rPr>
              <w:t>实际</w:t>
            </w:r>
            <w:r>
              <w:rPr>
                <w:rFonts w:hint="eastAsia" w:ascii="仿宋_GB2312" w:eastAsia="仿宋_GB2312"/>
                <w:color w:val="000000"/>
                <w:sz w:val="32"/>
                <w:szCs w:val="32"/>
              </w:rPr>
              <w:t>得1分。未提供不得分。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12</w:t>
            </w:r>
          </w:p>
        </w:tc>
      </w:tr>
      <w:tr>
        <w:tblPrEx>
          <w:tblBorders>
            <w:top w:val="single" w:color="auto" w:sz="4" w:space="0"/>
            <w:left w:val="single" w:color="auto" w:sz="4" w:space="0"/>
            <w:bottom w:val="single" w:color="auto" w:sz="4" w:space="0"/>
            <w:right w:val="single" w:color="auto" w:sz="4" w:space="0"/>
            <w:insideH w:val="single" w:color="FFFFFF" w:sz="8" w:space="0"/>
            <w:insideV w:val="single" w:color="FFFFFF" w:sz="8" w:space="0"/>
          </w:tblBorders>
          <w:tblCellMar>
            <w:top w:w="0" w:type="dxa"/>
            <w:left w:w="0" w:type="dxa"/>
            <w:bottom w:w="0" w:type="dxa"/>
            <w:right w:w="0" w:type="dxa"/>
          </w:tblCellMar>
        </w:tblPrEx>
        <w:trPr>
          <w:trHeight w:val="1372" w:hRule="atLeast"/>
        </w:trPr>
        <w:tc>
          <w:tcPr>
            <w:tcW w:w="710" w:type="dxa"/>
            <w:vMerge w:val="continue"/>
            <w:tcBorders>
              <w:right w:val="single" w:color="000000" w:sz="6" w:space="0"/>
            </w:tcBorders>
            <w:shd w:val="clear" w:color="auto" w:fill="CCE8CF" w:themeFill="background1"/>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134" w:type="dxa"/>
            <w:vMerge w:val="continue"/>
            <w:tcBorders>
              <w:left w:val="single" w:color="000000" w:sz="6" w:space="0"/>
              <w:right w:val="single" w:color="000000" w:sz="6" w:space="0"/>
            </w:tcBorders>
            <w:shd w:val="clear" w:color="auto" w:fill="CCE8CF" w:themeFill="background1"/>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zh-TW"/>
              </w:rPr>
            </w:pPr>
          </w:p>
        </w:tc>
        <w:tc>
          <w:tcPr>
            <w:tcW w:w="1417" w:type="dxa"/>
            <w:tcBorders>
              <w:top w:val="single" w:color="000000" w:sz="6" w:space="0"/>
              <w:left w:val="single" w:color="000000" w:sz="6" w:space="0"/>
              <w:bottom w:val="single" w:color="000000" w:sz="6" w:space="0"/>
              <w:right w:val="single" w:color="000000" w:sz="6" w:space="0"/>
            </w:tcBorders>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服务承诺及措施</w:t>
            </w:r>
          </w:p>
        </w:tc>
        <w:tc>
          <w:tcPr>
            <w:tcW w:w="5245" w:type="dxa"/>
            <w:tcBorders>
              <w:top w:val="single" w:color="000000" w:sz="6" w:space="0"/>
              <w:left w:val="single" w:color="000000" w:sz="6" w:space="0"/>
              <w:bottom w:val="single" w:color="000000" w:sz="6" w:space="0"/>
              <w:right w:val="single" w:color="auto" w:sz="4" w:space="0"/>
            </w:tcBorders>
            <w:shd w:val="clear" w:color="auto" w:fill="auto"/>
            <w:tcMar>
              <w:top w:w="80" w:type="dxa"/>
              <w:left w:w="80" w:type="dxa"/>
              <w:bottom w:w="80" w:type="dxa"/>
              <w:right w:w="80" w:type="dxa"/>
            </w:tcMar>
          </w:tcPr>
          <w:p>
            <w:pPr>
              <w:keepNext w:val="0"/>
              <w:keepLines w:val="0"/>
              <w:pageBreakBefore w:val="0"/>
              <w:kinsoku/>
              <w:overflowPunct/>
              <w:topLinePunct w:val="0"/>
              <w:autoSpaceDE/>
              <w:autoSpaceDN/>
              <w:bidi w:val="0"/>
              <w:spacing w:line="560" w:lineRule="exact"/>
              <w:jc w:val="lef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针对采购需求提供服务承诺，内容进行了阐述且满足采购实际需求得</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分；内容虽阐述但未贴合实际情况进行论述得</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rPr>
              <w:t>分，内容阐述不清或者不贴合本项目采购需求得1分。未提供不得分。</w:t>
            </w:r>
          </w:p>
        </w:tc>
        <w:tc>
          <w:tcPr>
            <w:tcW w:w="850" w:type="dxa"/>
            <w:tcBorders>
              <w:top w:val="single" w:color="000000" w:sz="6" w:space="0"/>
              <w:left w:val="single" w:color="auto" w:sz="4" w:space="0"/>
              <w:bottom w:val="single" w:color="000000" w:sz="6" w:space="0"/>
            </w:tcBorders>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4</w:t>
            </w:r>
          </w:p>
        </w:tc>
      </w:tr>
    </w:tbl>
    <w:p>
      <w:pPr>
        <w:pStyle w:val="51"/>
        <w:keepNext w:val="0"/>
        <w:keepLines w:val="0"/>
        <w:pageBreakBefore w:val="0"/>
        <w:kinsoku/>
        <w:overflowPunct/>
        <w:topLinePunct w:val="0"/>
        <w:autoSpaceDE/>
        <w:autoSpaceDN/>
        <w:bidi w:val="0"/>
        <w:spacing w:line="560" w:lineRule="exact"/>
        <w:ind w:left="840" w:firstLine="0" w:firstLineChars="0"/>
        <w:rPr>
          <w:rFonts w:hint="eastAsia" w:ascii="仿宋" w:hAnsi="仿宋" w:eastAsia="仿宋" w:cs="仿宋"/>
          <w:color w:val="000000" w:themeColor="text1"/>
          <w:sz w:val="24"/>
          <w14:textFill>
            <w14:solidFill>
              <w14:schemeClr w14:val="tx1"/>
            </w14:solidFill>
          </w14:textFill>
        </w:rPr>
      </w:pPr>
    </w:p>
    <w:p>
      <w:pPr>
        <w:keepNext w:val="0"/>
        <w:keepLines w:val="0"/>
        <w:pageBreakBefore w:val="0"/>
        <w:kinsoku/>
        <w:overflowPunct/>
        <w:topLinePunct w:val="0"/>
        <w:autoSpaceDE/>
        <w:autoSpaceDN/>
        <w:bidi w:val="0"/>
        <w:spacing w:line="560" w:lineRule="exact"/>
        <w:jc w:val="both"/>
        <w:rPr>
          <w:rFonts w:hint="eastAsia"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w:t>
      </w:r>
      <w:r>
        <w:rPr>
          <w:rFonts w:hint="eastAsia" w:ascii="黑体" w:hAnsi="黑体" w:eastAsia="黑体" w:cs="黑体"/>
          <w:color w:val="000000" w:themeColor="text1"/>
          <w:sz w:val="32"/>
          <w:szCs w:val="32"/>
          <w:lang w:val="en-US" w:eastAsia="zh-CN"/>
          <w14:textFill>
            <w14:solidFill>
              <w14:schemeClr w14:val="tx1"/>
            </w14:solidFill>
          </w14:textFill>
        </w:rPr>
        <w:t>三</w:t>
      </w:r>
      <w:r>
        <w:rPr>
          <w:rFonts w:hint="eastAsia" w:ascii="黑体" w:hAnsi="黑体" w:eastAsia="黑体" w:cs="黑体"/>
          <w:color w:val="000000" w:themeColor="text1"/>
          <w:sz w:val="32"/>
          <w:szCs w:val="32"/>
          <w:lang w:eastAsia="zh-CN"/>
          <w14:textFill>
            <w14:solidFill>
              <w14:schemeClr w14:val="tx1"/>
            </w14:solidFill>
          </w14:textFill>
        </w:rPr>
        <w:t>）商务评分（客观分）</w:t>
      </w:r>
    </w:p>
    <w:tbl>
      <w:tblPr>
        <w:tblStyle w:val="85"/>
        <w:tblW w:w="9356"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472" w:hRule="atLeast"/>
        </w:trPr>
        <w:tc>
          <w:tcPr>
            <w:tcW w:w="710"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序号</w:t>
            </w:r>
          </w:p>
        </w:tc>
        <w:tc>
          <w:tcPr>
            <w:tcW w:w="1134"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rPr>
              <w:t>项目</w:t>
            </w:r>
          </w:p>
        </w:tc>
        <w:tc>
          <w:tcPr>
            <w:tcW w:w="1417"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评审项</w:t>
            </w:r>
          </w:p>
        </w:tc>
        <w:tc>
          <w:tcPr>
            <w:tcW w:w="5245"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评审</w:t>
            </w:r>
            <w:r>
              <w:rPr>
                <w:rFonts w:hint="eastAsia" w:ascii="仿宋_GB2312" w:hAnsi="仿宋_GB2312" w:eastAsia="仿宋_GB2312" w:cs="仿宋_GB2312"/>
                <w:b/>
                <w:bCs/>
                <w:kern w:val="0"/>
                <w:sz w:val="32"/>
                <w:szCs w:val="32"/>
                <w:lang w:val="zh-TW"/>
              </w:rPr>
              <w:t>因素</w:t>
            </w:r>
          </w:p>
        </w:tc>
        <w:tc>
          <w:tcPr>
            <w:tcW w:w="850" w:type="dxa"/>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40" w:hRule="atLeast"/>
        </w:trPr>
        <w:tc>
          <w:tcPr>
            <w:tcW w:w="710" w:type="dxa"/>
            <w:vMerge w:val="restart"/>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3</w:t>
            </w:r>
          </w:p>
        </w:tc>
        <w:tc>
          <w:tcPr>
            <w:tcW w:w="1134" w:type="dxa"/>
            <w:vMerge w:val="restart"/>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kern w:val="0"/>
                <w:sz w:val="32"/>
                <w:szCs w:val="32"/>
                <w:lang w:val="zh-TW"/>
              </w:rPr>
            </w:pPr>
            <w:r>
              <w:rPr>
                <w:rFonts w:hint="eastAsia" w:ascii="仿宋_GB2312" w:hAnsi="仿宋_GB2312" w:eastAsia="仿宋_GB2312" w:cs="仿宋_GB2312"/>
                <w:kern w:val="0"/>
                <w:sz w:val="32"/>
                <w:szCs w:val="32"/>
                <w:lang w:val="zh-TW"/>
              </w:rPr>
              <w:t>商务部分</w:t>
            </w:r>
          </w:p>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kern w:val="0"/>
                <w:sz w:val="32"/>
                <w:szCs w:val="32"/>
                <w:lang w:val="zh-TW"/>
              </w:rPr>
            </w:pPr>
            <w:r>
              <w:rPr>
                <w:rFonts w:hint="eastAsia" w:ascii="仿宋_GB2312" w:hAnsi="仿宋_GB2312" w:eastAsia="仿宋_GB2312" w:cs="仿宋_GB2312"/>
                <w:kern w:val="0"/>
                <w:sz w:val="32"/>
                <w:szCs w:val="32"/>
                <w:lang w:val="zh-TW"/>
              </w:rPr>
              <w:t>（</w:t>
            </w:r>
            <w:r>
              <w:rPr>
                <w:rFonts w:hint="eastAsia" w:ascii="仿宋_GB2312" w:hAnsi="仿宋_GB2312" w:eastAsia="仿宋_GB2312" w:cs="仿宋_GB2312"/>
                <w:kern w:val="0"/>
                <w:sz w:val="32"/>
                <w:szCs w:val="32"/>
                <w:lang w:val="en-US" w:eastAsia="zh-CN"/>
              </w:rPr>
              <w:t>18</w:t>
            </w:r>
            <w:r>
              <w:rPr>
                <w:rFonts w:hint="eastAsia" w:ascii="仿宋_GB2312" w:hAnsi="仿宋_GB2312" w:eastAsia="仿宋_GB2312" w:cs="仿宋_GB2312"/>
                <w:kern w:val="0"/>
                <w:sz w:val="32"/>
                <w:szCs w:val="32"/>
                <w:lang w:val="zh-TW"/>
              </w:rPr>
              <w:t>分）</w:t>
            </w:r>
          </w:p>
        </w:tc>
        <w:tc>
          <w:tcPr>
            <w:tcW w:w="1417"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项目业绩</w:t>
            </w:r>
          </w:p>
        </w:tc>
        <w:tc>
          <w:tcPr>
            <w:tcW w:w="5245"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投标人202</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rPr>
              <w:t>年1月1日至今承担的同类服务项目业绩证明（附与用户签订的合同首页、服务周期页、服务内容所在页及签署页、服务内容不全的合同将不计分），每提供一个业绩得</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分，满分</w:t>
            </w:r>
            <w:r>
              <w:rPr>
                <w:rFonts w:hint="eastAsia" w:ascii="仿宋_GB2312" w:hAnsi="仿宋_GB2312" w:eastAsia="仿宋_GB2312" w:cs="仿宋_GB2312"/>
                <w:color w:val="000000"/>
                <w:sz w:val="32"/>
                <w:szCs w:val="32"/>
                <w:lang w:val="en-US" w:eastAsia="zh-CN"/>
              </w:rPr>
              <w:t>12</w:t>
            </w:r>
            <w:r>
              <w:rPr>
                <w:rFonts w:hint="eastAsia" w:ascii="仿宋_GB2312" w:hAnsi="仿宋_GB2312" w:eastAsia="仿宋_GB2312" w:cs="仿宋_GB2312"/>
                <w:color w:val="000000"/>
                <w:sz w:val="32"/>
                <w:szCs w:val="32"/>
              </w:rPr>
              <w:t>分。</w:t>
            </w:r>
          </w:p>
        </w:tc>
        <w:tc>
          <w:tcPr>
            <w:tcW w:w="850" w:type="dxa"/>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0" w:hRule="atLeast"/>
        </w:trPr>
        <w:tc>
          <w:tcPr>
            <w:tcW w:w="710" w:type="dxa"/>
            <w:vMerge w:val="continue"/>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0"/>
                <w:sz w:val="32"/>
                <w:szCs w:val="32"/>
                <w:lang w:val="en-US" w:eastAsia="zh-CN"/>
              </w:rPr>
            </w:pPr>
          </w:p>
        </w:tc>
        <w:tc>
          <w:tcPr>
            <w:tcW w:w="1134" w:type="dxa"/>
            <w:vMerge w:val="continue"/>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kern w:val="0"/>
                <w:sz w:val="32"/>
                <w:szCs w:val="32"/>
                <w:lang w:val="zh-TW" w:eastAsia="zh-CN"/>
              </w:rPr>
            </w:pPr>
          </w:p>
        </w:tc>
        <w:tc>
          <w:tcPr>
            <w:tcW w:w="1417"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rPr>
              <w:t>专业岗位操作人员证书要求</w:t>
            </w:r>
          </w:p>
        </w:tc>
        <w:tc>
          <w:tcPr>
            <w:tcW w:w="5245" w:type="dxa"/>
            <w:shd w:val="clear" w:color="auto" w:fill="auto"/>
            <w:tcMar>
              <w:top w:w="80" w:type="dxa"/>
              <w:left w:w="80" w:type="dxa"/>
              <w:bottom w:w="80" w:type="dxa"/>
              <w:right w:w="80" w:type="dxa"/>
            </w:tcMar>
            <w:vAlign w:val="center"/>
          </w:tcPr>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专业岗位操作人员按规定持有专业证书，包括：</w:t>
            </w:r>
          </w:p>
          <w:p>
            <w:pPr>
              <w:keepNext w:val="0"/>
              <w:keepLines w:val="0"/>
              <w:pageBreakBefore w:val="0"/>
              <w:numPr>
                <w:ilvl w:val="0"/>
                <w:numId w:val="8"/>
              </w:numPr>
              <w:kinsoku/>
              <w:overflowPunct/>
              <w:topLinePunct w:val="0"/>
              <w:autoSpaceDE/>
              <w:autoSpaceDN/>
              <w:bidi w:val="0"/>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消防中控员</w:t>
            </w:r>
          </w:p>
          <w:p>
            <w:pPr>
              <w:keepNext w:val="0"/>
              <w:keepLines w:val="0"/>
              <w:pageBreakBefore w:val="0"/>
              <w:numPr>
                <w:ilvl w:val="0"/>
                <w:numId w:val="8"/>
              </w:numPr>
              <w:kinsoku/>
              <w:overflowPunct/>
              <w:topLinePunct w:val="0"/>
              <w:autoSpaceDE/>
              <w:autoSpaceDN/>
              <w:bidi w:val="0"/>
              <w:spacing w:line="560" w:lineRule="exact"/>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高低压电工</w:t>
            </w:r>
          </w:p>
          <w:p>
            <w:pPr>
              <w:keepNext w:val="0"/>
              <w:keepLines w:val="0"/>
              <w:pageBreakBefore w:val="0"/>
              <w:kinsoku/>
              <w:overflowPunct/>
              <w:topLinePunct w:val="0"/>
              <w:autoSpaceDE/>
              <w:autoSpaceDN/>
              <w:bidi w:val="0"/>
              <w:spacing w:line="560" w:lineRule="exact"/>
              <w:rPr>
                <w:rFonts w:hint="eastAsia"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color w:val="auto"/>
                <w:sz w:val="32"/>
                <w:szCs w:val="32"/>
              </w:rPr>
              <w:t>以上证书全部满足得</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分；只满足其中1项要求得</w:t>
            </w:r>
            <w:r>
              <w:rPr>
                <w:rFonts w:hint="eastAsia" w:ascii="仿宋_GB2312" w:hAnsi="仿宋_GB2312" w:eastAsia="仿宋_GB2312" w:cs="仿宋_GB2312"/>
                <w:color w:val="auto"/>
                <w:sz w:val="32"/>
                <w:szCs w:val="32"/>
                <w:lang w:val="en-US" w:eastAsia="zh-CN"/>
              </w:rPr>
              <w:t>3</w:t>
            </w:r>
            <w:r>
              <w:rPr>
                <w:rFonts w:hint="eastAsia" w:ascii="仿宋_GB2312" w:hAnsi="仿宋_GB2312" w:eastAsia="仿宋_GB2312" w:cs="仿宋_GB2312"/>
                <w:color w:val="auto"/>
                <w:sz w:val="32"/>
                <w:szCs w:val="32"/>
              </w:rPr>
              <w:t>分。</w:t>
            </w:r>
          </w:p>
        </w:tc>
        <w:tc>
          <w:tcPr>
            <w:tcW w:w="850" w:type="dxa"/>
            <w:shd w:val="clear" w:color="auto" w:fill="auto"/>
            <w:vAlign w:val="center"/>
          </w:tcPr>
          <w:p>
            <w:pPr>
              <w:keepNext w:val="0"/>
              <w:keepLines w:val="0"/>
              <w:pageBreakBefore w:val="0"/>
              <w:kinsoku/>
              <w:overflowPunct/>
              <w:topLinePunct w:val="0"/>
              <w:autoSpaceDE/>
              <w:autoSpaceDN/>
              <w:bidi w:val="0"/>
              <w:spacing w:line="560" w:lineRule="exact"/>
              <w:jc w:val="center"/>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sz w:val="32"/>
                <w:szCs w:val="32"/>
                <w:lang w:val="en-US" w:eastAsia="zh-CN"/>
              </w:rPr>
              <w:t>6</w:t>
            </w:r>
          </w:p>
        </w:tc>
      </w:tr>
    </w:tbl>
    <w:p>
      <w:pPr>
        <w:spacing w:line="360" w:lineRule="auto"/>
        <w:rPr>
          <w:rFonts w:ascii="仿宋_GB2312" w:hAnsi="仿宋" w:eastAsia="仿宋_GB2312"/>
          <w:color w:val="000000"/>
          <w:sz w:val="24"/>
          <w:szCs w:val="24"/>
        </w:rPr>
      </w:pPr>
    </w:p>
    <w:p>
      <w:pPr>
        <w:rPr>
          <w:color w:val="auto"/>
          <w:shd w:val="clear" w:color="auto" w:fill="auto"/>
        </w:rPr>
      </w:pPr>
    </w:p>
    <w:p>
      <w:pPr>
        <w:rPr>
          <w:rFonts w:hint="eastAsia" w:ascii="黑体" w:hAnsi="黑体" w:eastAsia="黑体" w:cs="黑体"/>
          <w:color w:val="auto"/>
          <w:sz w:val="28"/>
          <w:szCs w:val="28"/>
        </w:rPr>
      </w:pPr>
      <w:r>
        <w:rPr>
          <w:rFonts w:hint="eastAsia" w:ascii="黑体" w:hAnsi="黑体" w:eastAsia="黑体" w:cs="黑体"/>
          <w:color w:val="auto"/>
          <w:sz w:val="28"/>
          <w:szCs w:val="28"/>
        </w:rPr>
        <w:t>注：中标供应商需提供与评审有关资料原件备查。如发现虚假资料，将按相关规定对供应商进行处理。</w:t>
      </w:r>
    </w:p>
    <w:p>
      <w:pPr>
        <w:pStyle w:val="19"/>
        <w:rPr>
          <w:rFonts w:hint="eastAsia"/>
          <w:color w:val="auto"/>
        </w:rPr>
      </w:pPr>
    </w:p>
    <w:p>
      <w:pPr>
        <w:numPr>
          <w:ilvl w:val="0"/>
          <w:numId w:val="0"/>
        </w:numPr>
        <w:spacing w:line="360" w:lineRule="auto"/>
        <w:jc w:val="both"/>
        <w:rPr>
          <w:rFonts w:hint="eastAsia" w:ascii="仿宋_GB2312" w:hAnsi="Times New Roman" w:eastAsia="仿宋_GB2312" w:cs="Times New Roman"/>
          <w:b/>
          <w:color w:val="auto"/>
          <w:sz w:val="28"/>
          <w:szCs w:val="28"/>
        </w:rPr>
      </w:pPr>
      <w:r>
        <w:rPr>
          <w:rFonts w:hint="eastAsia" w:ascii="仿宋_GB2312" w:eastAsia="仿宋_GB2312"/>
          <w:b/>
          <w:color w:val="auto"/>
          <w:sz w:val="28"/>
          <w:szCs w:val="28"/>
          <w:lang w:val="en-US" w:eastAsia="zh-CN"/>
        </w:rPr>
        <w:t xml:space="preserve">                                                                            </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9"/>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 xml:space="preserve"> 合同特殊条款</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lang w:eastAsia="zh-CN"/>
        </w:rPr>
        <w:t>一、</w:t>
      </w:r>
      <w:r>
        <w:rPr>
          <w:rFonts w:hint="eastAsia" w:ascii="楷体_GB2312" w:hAnsi="楷体_GB2312" w:eastAsia="楷体_GB2312" w:cs="楷体_GB2312"/>
          <w:b w:val="0"/>
          <w:bCs/>
          <w:color w:val="000000"/>
          <w:sz w:val="32"/>
          <w:szCs w:val="32"/>
        </w:rPr>
        <w:t>物业管理费标准、支付方式</w:t>
      </w:r>
    </w:p>
    <w:p>
      <w:pPr>
        <w:keepNext w:val="0"/>
        <w:keepLines w:val="0"/>
        <w:pageBreakBefore w:val="0"/>
        <w:kinsoku/>
        <w:wordWrap/>
        <w:overflowPunct/>
        <w:topLinePunct w:val="0"/>
        <w:autoSpaceDE/>
        <w:autoSpaceDN/>
        <w:bidi w:val="0"/>
        <w:spacing w:beforeLines="0" w:afterLines="0" w:line="560"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合同期内物业管理费（含税）:</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元，即人民币:</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（中标方提供费用明细附件）。</w:t>
      </w:r>
    </w:p>
    <w:p>
      <w:pPr>
        <w:keepNext w:val="0"/>
        <w:keepLines w:val="0"/>
        <w:pageBreakBefore w:val="0"/>
        <w:kinsoku/>
        <w:wordWrap/>
        <w:overflowPunct/>
        <w:topLinePunct w:val="0"/>
        <w:autoSpaceDE/>
        <w:autoSpaceDN/>
        <w:bidi w:val="0"/>
        <w:spacing w:beforeLines="0" w:afterLines="0"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费用支付方式:按季支付。支付日期为下一季度初支付上一季度物业费。支付金额每季度为:</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元，即人民币:</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甲方</w:t>
      </w:r>
      <w:r>
        <w:rPr>
          <w:rFonts w:hint="eastAsia" w:ascii="仿宋_GB2312" w:hAnsi="仿宋_GB2312" w:eastAsia="仿宋_GB2312" w:cs="仿宋_GB2312"/>
          <w:sz w:val="32"/>
          <w:szCs w:val="32"/>
        </w:rPr>
        <w:t>付款前，</w:t>
      </w: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需先行提供相应结算金额合法的发票，但</w:t>
      </w:r>
      <w:r>
        <w:rPr>
          <w:rFonts w:hint="eastAsia" w:ascii="仿宋_GB2312" w:hAnsi="仿宋_GB2312" w:eastAsia="仿宋_GB2312" w:cs="仿宋_GB2312"/>
          <w:sz w:val="32"/>
          <w:szCs w:val="32"/>
          <w:lang w:eastAsia="zh-CN"/>
        </w:rPr>
        <w:t>甲方</w:t>
      </w:r>
      <w:r>
        <w:rPr>
          <w:rFonts w:hint="eastAsia" w:ascii="仿宋_GB2312" w:hAnsi="仿宋_GB2312" w:eastAsia="仿宋_GB2312" w:cs="仿宋_GB2312"/>
          <w:sz w:val="32"/>
          <w:szCs w:val="32"/>
        </w:rPr>
        <w:t>收取</w:t>
      </w: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发票，并不视为对</w:t>
      </w: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提供服务验收合格的确认。</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lang w:eastAsia="zh-CN"/>
        </w:rPr>
      </w:pPr>
      <w:r>
        <w:rPr>
          <w:rFonts w:hint="eastAsia" w:ascii="楷体_GB2312" w:hAnsi="楷体_GB2312" w:eastAsia="楷体_GB2312" w:cs="楷体_GB2312"/>
          <w:b w:val="0"/>
          <w:bCs/>
          <w:color w:val="000000"/>
          <w:sz w:val="32"/>
          <w:szCs w:val="32"/>
          <w:lang w:eastAsia="zh-CN"/>
        </w:rPr>
        <w:t>二、违约责任</w:t>
      </w:r>
    </w:p>
    <w:p>
      <w:pPr>
        <w:keepNext w:val="0"/>
        <w:keepLines w:val="0"/>
        <w:pageBreakBefore w:val="0"/>
        <w:kinsoku/>
        <w:wordWrap/>
        <w:overflowPunct/>
        <w:topLinePunct w:val="0"/>
        <w:autoSpaceDE/>
        <w:autoSpaceDN/>
        <w:bidi w:val="0"/>
        <w:spacing w:beforeLines="0" w:afterLines="0"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乙方违反本合同约定，未能达到约定的管理目标，甲方有权要求乙方7 日内解决。逾期未解决的，甲方有权解除合同，并要求乙方对给甲方造成的经济损失给予赔偿。</w:t>
      </w:r>
    </w:p>
    <w:p>
      <w:pPr>
        <w:keepNext w:val="0"/>
        <w:keepLines w:val="0"/>
        <w:pageBreakBefore w:val="0"/>
        <w:kinsoku/>
        <w:wordWrap/>
        <w:overflowPunct/>
        <w:topLinePunct w:val="0"/>
        <w:autoSpaceDE/>
        <w:autoSpaceDN/>
        <w:bidi w:val="0"/>
        <w:spacing w:beforeLines="0" w:afterLines="0" w:line="560" w:lineRule="exact"/>
        <w:ind w:firstLine="640" w:firstLineChars="200"/>
        <w:jc w:val="left"/>
        <w:rPr>
          <w:rFonts w:ascii="仿宋" w:hAnsi="仿宋" w:eastAsia="仿宋"/>
          <w:color w:val="000000"/>
          <w:sz w:val="28"/>
          <w:szCs w:val="28"/>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lang w:val="en-US" w:eastAsia="zh-CN"/>
        </w:rPr>
        <w:t>甲方有权单方</w:t>
      </w:r>
      <w:r>
        <w:rPr>
          <w:rFonts w:hint="eastAsia" w:ascii="仿宋_GB2312" w:hAnsi="仿宋_GB2312" w:eastAsia="仿宋_GB2312" w:cs="仿宋_GB2312"/>
          <w:sz w:val="32"/>
          <w:szCs w:val="32"/>
        </w:rPr>
        <w:t>解除合同，</w:t>
      </w:r>
      <w:r>
        <w:rPr>
          <w:rFonts w:hint="eastAsia" w:ascii="仿宋_GB2312" w:hAnsi="仿宋_GB2312" w:eastAsia="仿宋_GB2312" w:cs="仿宋_GB2312"/>
          <w:sz w:val="32"/>
          <w:szCs w:val="32"/>
          <w:lang w:val="en-US" w:eastAsia="zh-CN"/>
        </w:rPr>
        <w:t>但</w:t>
      </w:r>
      <w:r>
        <w:rPr>
          <w:rFonts w:hint="eastAsia" w:ascii="仿宋_GB2312" w:hAnsi="仿宋_GB2312" w:eastAsia="仿宋_GB2312" w:cs="仿宋_GB2312"/>
          <w:sz w:val="32"/>
          <w:szCs w:val="32"/>
        </w:rPr>
        <w:t>应提前一个月通知</w:t>
      </w:r>
      <w:r>
        <w:rPr>
          <w:rFonts w:hint="eastAsia" w:ascii="仿宋_GB2312" w:hAnsi="仿宋_GB2312" w:eastAsia="仿宋_GB2312" w:cs="仿宋_GB2312"/>
          <w:sz w:val="32"/>
          <w:szCs w:val="32"/>
          <w:lang w:val="en-US" w:eastAsia="zh-CN"/>
        </w:rPr>
        <w:t>乙方，乙方接到通知后应按时撤场</w:t>
      </w:r>
      <w:r>
        <w:rPr>
          <w:rFonts w:hint="eastAsia" w:ascii="仿宋_GB2312" w:hAnsi="仿宋_GB2312" w:eastAsia="仿宋_GB2312" w:cs="仿宋_GB2312"/>
          <w:sz w:val="32"/>
          <w:szCs w:val="32"/>
        </w:rPr>
        <w:t>并办理交接手续。</w:t>
      </w:r>
    </w:p>
    <w:p>
      <w:pPr>
        <w:pageBreakBefore w:val="0"/>
        <w:tabs>
          <w:tab w:val="left" w:pos="8100"/>
        </w:tabs>
        <w:kinsoku/>
        <w:wordWrap/>
        <w:overflowPunct/>
        <w:topLinePunct w:val="0"/>
        <w:bidi w:val="0"/>
        <w:spacing w:line="560" w:lineRule="exact"/>
        <w:ind w:right="0" w:rightChars="0"/>
        <w:rPr>
          <w:rFonts w:hint="eastAsia" w:ascii="仿宋_GB2312" w:hAnsi="仿宋_GB2312" w:eastAsia="仿宋_GB2312" w:cs="仿宋_GB2312"/>
          <w:b/>
          <w:bCs/>
          <w:sz w:val="32"/>
          <w:szCs w:val="32"/>
        </w:rPr>
      </w:pPr>
    </w:p>
    <w:p>
      <w:pPr>
        <w:pStyle w:val="1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仿宋_GB2312" w:hAnsi="仿宋_GB2312" w:eastAsia="仿宋_GB2312" w:cs="仿宋_GB2312"/>
          <w:sz w:val="24"/>
          <w:szCs w:val="24"/>
          <w:highlight w:val="none"/>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b w:val="0"/>
          <w:bCs w:val="0"/>
          <w:sz w:val="24"/>
          <w:highlight w:val="none"/>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仿宋_GB2312" w:hAnsi="Times New Roman" w:eastAsia="仿宋_GB2312" w:cs="Times New Roman"/>
          <w:b/>
          <w:color w:val="auto"/>
          <w:sz w:val="28"/>
          <w:szCs w:val="28"/>
        </w:rPr>
      </w:pPr>
      <w:r>
        <w:rPr>
          <w:rFonts w:hint="eastAsia" w:ascii="宋体" w:hAnsi="宋体" w:eastAsia="宋体" w:cs="宋体"/>
          <w:b w:val="0"/>
          <w:bCs/>
          <w:color w:val="auto"/>
          <w:sz w:val="24"/>
          <w:szCs w:val="24"/>
          <w:highlight w:val="none"/>
        </w:rPr>
        <w:br w:type="page"/>
      </w:r>
    </w:p>
    <w:p>
      <w:pPr>
        <w:spacing w:line="360" w:lineRule="auto"/>
        <w:jc w:val="center"/>
        <w:rPr>
          <w:rFonts w:hint="default" w:ascii="仿宋_GB2312" w:hAnsi="Times New Roman" w:eastAsia="仿宋_GB2312" w:cs="Times New Roman"/>
          <w:b/>
          <w:color w:val="auto"/>
          <w:sz w:val="28"/>
          <w:szCs w:val="28"/>
          <w:lang w:val="en-US" w:eastAsia="zh-CN"/>
        </w:rPr>
      </w:pPr>
      <w:r>
        <w:rPr>
          <w:rFonts w:hint="eastAsia" w:ascii="仿宋_GB2312" w:hAnsi="Times New Roman" w:eastAsia="仿宋_GB2312" w:cs="Times New Roman"/>
          <w:b/>
          <w:color w:val="auto"/>
          <w:sz w:val="28"/>
          <w:szCs w:val="28"/>
        </w:rPr>
        <w:t>第七章  合同一般条款</w:t>
      </w:r>
    </w:p>
    <w:p>
      <w:pPr>
        <w:pStyle w:val="106"/>
        <w:framePr w:wrap="auto" w:vAnchor="margin" w:hAnchor="text" w:yAlign="inline"/>
        <w:spacing w:line="360" w:lineRule="auto"/>
        <w:ind w:firstLine="2760"/>
        <w:rPr>
          <w:rFonts w:hint="eastAsia" w:ascii="仿宋_GB2312" w:hAnsi="仿宋_GB2312" w:eastAsia="仿宋_GB2312" w:cs="仿宋_GB2312"/>
          <w:b/>
          <w:bCs/>
          <w:color w:val="auto"/>
          <w:sz w:val="24"/>
          <w:szCs w:val="24"/>
          <w:highlight w:val="none"/>
          <w:lang w:val="zh-TW" w:eastAsia="zh-TW"/>
        </w:rPr>
      </w:pPr>
    </w:p>
    <w:p>
      <w:pPr>
        <w:keepNext w:val="0"/>
        <w:keepLines w:val="0"/>
        <w:pageBreakBefore w:val="0"/>
        <w:tabs>
          <w:tab w:val="left" w:pos="720"/>
        </w:tabs>
        <w:kinsoku/>
        <w:wordWrap/>
        <w:overflowPunct/>
        <w:topLinePunct w:val="0"/>
        <w:autoSpaceDE/>
        <w:autoSpaceDN/>
        <w:bidi w:val="0"/>
        <w:spacing w:line="560" w:lineRule="exact"/>
        <w:ind w:firstLine="0" w:firstLineChars="0"/>
        <w:jc w:val="center"/>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eastAsia="zh-CN"/>
        </w:rPr>
        <w:t>第一章</w:t>
      </w:r>
      <w:r>
        <w:rPr>
          <w:rFonts w:hint="eastAsia" w:ascii="黑体" w:hAnsi="黑体" w:eastAsia="黑体" w:cs="黑体"/>
          <w:b w:val="0"/>
          <w:bCs/>
          <w:color w:val="000000"/>
          <w:sz w:val="32"/>
          <w:szCs w:val="32"/>
          <w:lang w:val="en-US" w:eastAsia="zh-CN"/>
        </w:rPr>
        <w:t xml:space="preserve"> 一般条款</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一、服务地点</w:t>
      </w:r>
    </w:p>
    <w:p>
      <w:pPr>
        <w:keepNext w:val="0"/>
        <w:keepLines w:val="0"/>
        <w:pageBreakBefore w:val="0"/>
        <w:tabs>
          <w:tab w:val="left" w:pos="525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32"/>
          <w:szCs w:val="32"/>
        </w:rPr>
        <w:t>庞各庄镇政府办公楼所在区域（含西瓜博物馆、食堂及公共区域）、行政服务中心、原镇政府、农服中心、城管楼、水务站、</w:t>
      </w:r>
      <w:r>
        <w:rPr>
          <w:rFonts w:hint="eastAsia" w:ascii="仿宋_GB2312" w:hAnsi="仿宋_GB2312" w:eastAsia="仿宋_GB2312" w:cs="仿宋_GB2312"/>
          <w:color w:val="000000"/>
          <w:sz w:val="32"/>
          <w:szCs w:val="32"/>
          <w:lang w:eastAsia="zh-CN"/>
        </w:rPr>
        <w:t>镇综治维稳办公楼、</w:t>
      </w:r>
      <w:r>
        <w:rPr>
          <w:rFonts w:hint="eastAsia" w:ascii="仿宋_GB2312" w:hAnsi="仿宋_GB2312" w:eastAsia="仿宋_GB2312" w:cs="仿宋_GB2312"/>
          <w:color w:val="000000"/>
          <w:sz w:val="32"/>
          <w:szCs w:val="32"/>
        </w:rPr>
        <w:t>御园社区A区公建、御园社区B区公建、御园社区C区公建（含社区党群服务中心）、消防中队、佳佳梨园等12点位。</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二、服务内容及要求</w:t>
      </w:r>
    </w:p>
    <w:p>
      <w:pPr>
        <w:keepNext w:val="0"/>
        <w:keepLines w:val="0"/>
        <w:pageBreakBefore w:val="0"/>
        <w:tabs>
          <w:tab w:val="left" w:pos="525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服务内容：本项目乙方提供的物业服务内容为配电室及办公场所内所有电器设施的维修、保养、检测；消防中控和范围内所涉及的消防设施维修、保养；门窗、家具日常维修；办公场所上下水的日常维护，含下水管道的疏通；房屋、屋面防水的日常检查；农服中心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至202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供暖季供暖管理；按照各设备设施的使用维护规范，做好其它设备设施的日常维护、保养和维修。</w:t>
      </w:r>
    </w:p>
    <w:p>
      <w:pPr>
        <w:keepNext w:val="0"/>
        <w:keepLines w:val="0"/>
        <w:pageBreakBefore w:val="0"/>
        <w:tabs>
          <w:tab w:val="left" w:pos="525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32"/>
          <w:szCs w:val="32"/>
        </w:rPr>
        <w:t>服务要求：物业工作人员在维修或更换照明设备时，首选光效高、寿命长、安全稳定、节能环保的照明电器，节约用电减少污染。2.物业工作人员要在日常工作、生活中要不断提高节能、节水意识，注意随手关灯等细节。积极践行“光盘行动、垃圾分类”，培养低碳环保，绿色出行的生活理念。</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三、服务费用及付款方式</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1、经双方协商约定维修服务费用为每</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元</w:t>
      </w:r>
      <w:r>
        <w:rPr>
          <w:rFonts w:hint="eastAsia" w:ascii="仿宋_GB2312" w:hAnsi="仿宋_GB2312" w:eastAsia="仿宋_GB2312" w:cs="仿宋_GB2312"/>
          <w:color w:val="000000"/>
          <w:sz w:val="32"/>
          <w:szCs w:val="32"/>
        </w:rPr>
        <w:t>整，每年合计</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元整，大写：</w:t>
      </w:r>
      <w:r>
        <w:rPr>
          <w:rFonts w:hint="eastAsia" w:ascii="仿宋_GB2312" w:hAnsi="仿宋_GB2312" w:eastAsia="仿宋_GB2312" w:cs="仿宋_GB2312"/>
          <w:color w:val="000000"/>
          <w:sz w:val="32"/>
          <w:szCs w:val="32"/>
          <w:u w:val="single"/>
          <w:lang w:eastAsia="zh-CN"/>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2、付款方式为：每季度结束后7个工作日内，甲方根据乙方工作情况及整改落实情况发放考核结果，待乙方确认并提供同等金额合法有效的正式发票后，甲方于5个工作日内支付上季度服务费。</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四、双方的权利义务</w:t>
      </w:r>
    </w:p>
    <w:p>
      <w:pPr>
        <w:keepNext w:val="0"/>
        <w:keepLines w:val="0"/>
        <w:pageBreakBefore w:val="0"/>
        <w:tabs>
          <w:tab w:val="left" w:pos="0"/>
        </w:tabs>
        <w:kinsoku/>
        <w:wordWrap/>
        <w:overflowPunct/>
        <w:topLinePunct w:val="0"/>
        <w:autoSpaceDE/>
        <w:autoSpaceDN/>
        <w:bidi w:val="0"/>
        <w:spacing w:line="560" w:lineRule="exact"/>
        <w:ind w:firstLine="643"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（一）甲方的权利义务</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1、检查、监督、评估、考核乙方服务工作的实施情况，甲方有权对乙方工作记录进行查阅和指导，并有权对乙方未按合同约定提供服务的情况责令改正，依据评估考核结果扣减不符合合同要求部分的服务费用。</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2、提供乙方所需的相关资料，包括图纸复印件等，并做好交接记录（原件存放在甲方档案室备查）。</w:t>
      </w:r>
    </w:p>
    <w:p>
      <w:pPr>
        <w:keepNext w:val="0"/>
        <w:keepLines w:val="0"/>
        <w:pageBreakBefore w:val="0"/>
        <w:tabs>
          <w:tab w:val="left" w:pos="0"/>
          <w:tab w:val="left" w:pos="567"/>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3、提供办公用房交乙方使用，具体位置为配电室、消防控制室。</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4、协助乙方从事物业管理区域内的设备维护维修工作。</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5、提供维修所需用零配件及相关资料。</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6、因乙方原因不能在合理期限内将设备维护维修至正常使用状态的，甲方有权另行委托第三方维护维修，另行委托的费用由乙方支付，甲方有权在当月服务费用中扣除。</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7、甲方为乙方派驻甲方的工作人员提供早中晚三餐。</w:t>
      </w:r>
    </w:p>
    <w:p>
      <w:pPr>
        <w:keepNext w:val="0"/>
        <w:keepLines w:val="0"/>
        <w:pageBreakBefore w:val="0"/>
        <w:tabs>
          <w:tab w:val="left" w:pos="0"/>
        </w:tabs>
        <w:kinsoku/>
        <w:wordWrap/>
        <w:overflowPunct/>
        <w:topLinePunct w:val="0"/>
        <w:autoSpaceDE/>
        <w:autoSpaceDN/>
        <w:bidi w:val="0"/>
        <w:spacing w:line="560" w:lineRule="exact"/>
        <w:ind w:firstLine="643"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（二）乙方的权利义务</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1、根据协商约定的服务内容，在本合同</w:t>
      </w:r>
      <w:r>
        <w:rPr>
          <w:rFonts w:hint="eastAsia" w:ascii="仿宋_GB2312" w:hAnsi="仿宋_GB2312" w:eastAsia="仿宋_GB2312" w:cs="仿宋_GB2312"/>
          <w:color w:val="000000"/>
          <w:sz w:val="32"/>
          <w:szCs w:val="32"/>
          <w:lang w:val="en-US" w:eastAsia="zh-CN"/>
        </w:rPr>
        <w:t>生效</w:t>
      </w:r>
      <w:r>
        <w:rPr>
          <w:rFonts w:hint="eastAsia" w:ascii="仿宋_GB2312" w:hAnsi="仿宋_GB2312" w:eastAsia="仿宋_GB2312" w:cs="仿宋_GB2312"/>
          <w:color w:val="000000"/>
          <w:sz w:val="32"/>
          <w:szCs w:val="32"/>
        </w:rPr>
        <w:t>后3个工作日内向甲方提供服务实施方案，经甲方修改确认后，方可开展服务工作。乙方在服务区域范围内提供设备设施、电器、屋面、门窗等的维护、维修、检测、保养等服务，并根据甲方的要求改进服务质量。</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保证从事本物业管理项目的人员具备相应的职业资格和应有的素质要求，并向甲方提供乙方服务人员报备清单。如需调整管理人员及技术骨干应事先通报甲方，对甲方提出认为不适合的在岗人员，乙方应在3日内作出相应的调整。</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3、按照本合同的约定费用和支付方式，向甲方收取服务费。</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4、保证24小时有专人值班，对设施设备进行日常巡查，定期检测保养、并做好日常记录。按月向甲方提供维护维修实施情况，经甲方书面确认。</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5、特殊情况和重大活动时，服从甲方统一安排。</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6、在不影响机关正常办公的前提下，提供及时准确的服务。</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7、动用特种设备时需经甲方书面同意后方可启用。</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8、本合同终止时，应当将物业管理用房和物业管理相关资料等属于甲方所有的财产及时如数地移交给甲方。不得向任何第三方透露在履行合同过程中获悉有关的任何资料。</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9、乙方保证维修服务质量符合国家、北京市、行业相应标准。乙方承担服务过程中的安全作业责任。因乙方原因导致双方或任意第三方人身或财产损失的，由乙方承担全部法律责任。</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10、乙方不得将本合同义务转让给其它第三人。</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11、质保期：经乙方维修后的设备设施1年内，如发生质量问题，乙方负责免费维修；如乙方未按甲方要求时间及标准维修，则甲方有权委托第三方维修，发生的相关费用由乙方承担。</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32"/>
          <w:szCs w:val="32"/>
        </w:rPr>
        <w:t>12、乙方负责对在岗人员</w:t>
      </w:r>
      <w:r>
        <w:rPr>
          <w:rFonts w:hint="eastAsia" w:ascii="仿宋_GB2312" w:hAnsi="仿宋_GB2312" w:eastAsia="仿宋_GB2312" w:cs="仿宋_GB2312"/>
          <w:color w:val="000000"/>
          <w:sz w:val="32"/>
          <w:szCs w:val="32"/>
          <w:lang w:val="en-US" w:eastAsia="zh-CN"/>
        </w:rPr>
        <w:t>的劳动关系管理，</w:t>
      </w:r>
      <w:r>
        <w:rPr>
          <w:rFonts w:hint="eastAsia" w:ascii="仿宋_GB2312" w:hAnsi="仿宋_GB2312" w:eastAsia="仿宋_GB2312" w:cs="仿宋_GB2312"/>
          <w:color w:val="000000"/>
          <w:sz w:val="32"/>
          <w:szCs w:val="32"/>
        </w:rPr>
        <w:t>缴纳保险、进行安全培训，对于在合同履行期间发生的安全事故，由乙方承担全部责任。</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五、服务期限</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本合同服务期限为壹年，自</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日</w:t>
      </w:r>
    </w:p>
    <w:p>
      <w:pPr>
        <w:keepNext w:val="0"/>
        <w:keepLines w:val="0"/>
        <w:pageBreakBefore w:val="0"/>
        <w:tabs>
          <w:tab w:val="left" w:pos="0"/>
        </w:tabs>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至</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日止。</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六、合同的解除和终止</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（一）合同规定的服务期满，本合同自然终止。双方如续订合同，应在合同届满前一个月进行协商。</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（二）本合同履行期间，甲方决定不委托乙方时，乙方决定不再接受委托时，应提前一个月通知对方。经双方协商可解除本合同。</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（三）合同终止或解除后，乙方应将甲方所有设备、资料、场地、属于甲方所有的财产及时交回甲方。</w:t>
      </w:r>
      <w:r>
        <w:rPr>
          <w:rFonts w:hint="eastAsia" w:ascii="仿宋_GB2312" w:hAnsi="仿宋_GB2312" w:eastAsia="仿宋_GB2312" w:cs="仿宋_GB2312"/>
          <w:color w:val="000000"/>
          <w:sz w:val="32"/>
          <w:szCs w:val="32"/>
          <w:lang w:val="en-US" w:eastAsia="zh-CN"/>
        </w:rPr>
        <w:t>乙方应对其物品进行清理腾退，乙方未及时清量的，甲方有权自行清理，因此产生的相关费用由乙方承担。</w:t>
      </w:r>
      <w:r>
        <w:rPr>
          <w:rFonts w:hint="eastAsia" w:ascii="仿宋_GB2312" w:hAnsi="仿宋_GB2312" w:eastAsia="仿宋_GB2312" w:cs="仿宋_GB2312"/>
          <w:color w:val="000000"/>
          <w:sz w:val="32"/>
          <w:szCs w:val="32"/>
        </w:rPr>
        <w:t>双方应在</w:t>
      </w:r>
      <w:r>
        <w:rPr>
          <w:rFonts w:hint="eastAsia" w:ascii="仿宋_GB2312" w:hAnsi="仿宋_GB2312" w:eastAsia="仿宋_GB2312" w:cs="仿宋_GB2312"/>
          <w:color w:val="000000"/>
          <w:sz w:val="32"/>
          <w:szCs w:val="32"/>
          <w:lang w:val="en-US" w:eastAsia="zh-CN"/>
        </w:rPr>
        <w:t>合同期满后</w:t>
      </w:r>
      <w:r>
        <w:rPr>
          <w:rFonts w:hint="eastAsia" w:ascii="仿宋_GB2312" w:hAnsi="仿宋_GB2312" w:eastAsia="仿宋_GB2312" w:cs="仿宋_GB2312"/>
          <w:color w:val="000000"/>
          <w:sz w:val="32"/>
          <w:szCs w:val="32"/>
        </w:rPr>
        <w:t>十日内办理完毕交接手续。</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七、违约责任</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乙方出现下列情形时，视为违约：</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未按照甲方要求或本合同约定提供维护、维修、检测、保养等服务；</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乙方提供的服务人员</w:t>
      </w:r>
      <w:r>
        <w:rPr>
          <w:rFonts w:hint="eastAsia" w:ascii="仿宋_GB2312" w:hAnsi="仿宋_GB2312" w:eastAsia="仿宋_GB2312" w:cs="仿宋_GB2312"/>
          <w:color w:val="000000"/>
          <w:sz w:val="32"/>
          <w:szCs w:val="32"/>
          <w:lang w:val="en-US" w:eastAsia="zh-CN"/>
        </w:rPr>
        <w:t>不</w:t>
      </w:r>
      <w:r>
        <w:rPr>
          <w:rFonts w:hint="eastAsia" w:ascii="仿宋_GB2312" w:hAnsi="仿宋_GB2312" w:eastAsia="仿宋_GB2312" w:cs="仿宋_GB2312"/>
          <w:color w:val="000000"/>
          <w:sz w:val="32"/>
          <w:szCs w:val="32"/>
        </w:rPr>
        <w:t>符合岗位要求，</w:t>
      </w:r>
      <w:r>
        <w:rPr>
          <w:rFonts w:hint="eastAsia" w:ascii="仿宋_GB2312" w:hAnsi="仿宋_GB2312" w:eastAsia="仿宋_GB2312" w:cs="仿宋_GB2312"/>
          <w:color w:val="000000"/>
          <w:sz w:val="32"/>
          <w:szCs w:val="32"/>
          <w:lang w:val="en-US" w:eastAsia="zh-CN"/>
        </w:rPr>
        <w:t>三日内未更换的</w:t>
      </w:r>
      <w:r>
        <w:rPr>
          <w:rFonts w:hint="eastAsia" w:ascii="仿宋_GB2312" w:hAnsi="仿宋_GB2312" w:eastAsia="仿宋_GB2312" w:cs="仿宋_GB2312"/>
          <w:color w:val="000000"/>
          <w:sz w:val="32"/>
          <w:szCs w:val="32"/>
        </w:rPr>
        <w:t>；</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未经甲方书面同意动用特种设备；</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合同终止时，未将物业管理用房和物业管理相关资料等属于甲方所有的财产及时如数地移交给甲方；</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维修服务不符合国家、北京市、行业相应标准；</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其他未按照甲方要求或本合同约定履行的行为；</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甲方有权要求乙方支付本合同服务费总额10%的作为违约金，并赔偿由此给甲方造成的全部损失。除此之外，甲方有权单方解除本合同。</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八、其它</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（一）本合同未尽事宜，双方友好协商解决，并签订补充协议，补充协议与本合同具有同等法律效力。</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（二）本合同一式肆份，甲乙双方各执两份，具有同等法律效力。本合同自双方签字盖章之日起生效。</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（三）双方约定自本合同生效之日起十日内，根据甲方委托管理事项，办理交接手续。</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（四）本合同在履行过程中如发生争议，双方应协商解决，协商不成的，任何一方可依法向北京市大兴区人民法院起诉。</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（五）甲乙双方主动配合接受结果查究。</w:t>
      </w:r>
    </w:p>
    <w:p>
      <w:pPr>
        <w:pStyle w:val="10"/>
        <w:rPr>
          <w:rFonts w:hint="eastAsia"/>
          <w:color w:val="auto"/>
          <w:lang w:val="en-US" w:eastAsia="zh-CN"/>
        </w:rPr>
      </w:pPr>
    </w:p>
    <w:p>
      <w:pPr>
        <w:rPr>
          <w:rFonts w:hint="eastAsia"/>
          <w:color w:val="auto"/>
          <w:lang w:val="en-US" w:eastAsia="zh-CN"/>
        </w:rPr>
      </w:pPr>
    </w:p>
    <w:p>
      <w:pPr>
        <w:rPr>
          <w:rFonts w:hint="eastAsia"/>
          <w:color w:val="auto"/>
          <w:lang w:val="en-US" w:eastAsia="zh-CN"/>
        </w:rPr>
      </w:pPr>
    </w:p>
    <w:p>
      <w:pPr>
        <w:pStyle w:val="10"/>
        <w:rPr>
          <w:rFonts w:hint="eastAsia"/>
          <w:lang w:val="en-US" w:eastAsia="zh-CN"/>
        </w:rPr>
      </w:pPr>
    </w:p>
    <w:p>
      <w:pPr>
        <w:pStyle w:val="19"/>
        <w:rPr>
          <w:rFonts w:hint="eastAsia"/>
          <w:color w:val="auto"/>
          <w:lang w:val="en-US" w:eastAsia="zh-CN"/>
        </w:rPr>
      </w:pPr>
    </w:p>
    <w:p>
      <w:pPr>
        <w:rPr>
          <w:rFonts w:hint="eastAsia"/>
          <w:color w:val="auto"/>
          <w:lang w:val="en-US" w:eastAsia="zh-CN"/>
        </w:rPr>
      </w:pPr>
    </w:p>
    <w:p>
      <w:pPr>
        <w:numPr>
          <w:ilvl w:val="0"/>
          <w:numId w:val="10"/>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 xml:space="preserve"> 合同书</w:t>
      </w:r>
    </w:p>
    <w:p>
      <w:pPr>
        <w:keepNext w:val="0"/>
        <w:keepLines w:val="0"/>
        <w:pageBreakBefore w:val="0"/>
        <w:kinsoku/>
        <w:wordWrap/>
        <w:overflowPunct/>
        <w:topLinePunct w:val="0"/>
        <w:autoSpaceDE/>
        <w:autoSpaceDN/>
        <w:bidi w:val="0"/>
        <w:spacing w:line="560" w:lineRule="exact"/>
        <w:ind w:firstLine="0" w:firstLineChars="0"/>
        <w:jc w:val="center"/>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lang w:eastAsia="zh-CN"/>
        </w:rPr>
        <w:t>物业</w:t>
      </w:r>
      <w:r>
        <w:rPr>
          <w:rFonts w:hint="eastAsia" w:ascii="方正小标宋简体" w:hAnsi="方正小标宋简体" w:eastAsia="方正小标宋简体" w:cs="方正小标宋简体"/>
          <w:color w:val="000000"/>
          <w:sz w:val="44"/>
          <w:szCs w:val="44"/>
        </w:rPr>
        <w:t>服务合同</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b/>
          <w:color w:val="000000"/>
          <w:sz w:val="32"/>
          <w:szCs w:val="32"/>
        </w:rPr>
      </w:pPr>
      <w:r>
        <w:rPr>
          <w:rFonts w:hint="eastAsia" w:ascii="仿宋_GB2312" w:hAnsi="仿宋_GB2312" w:eastAsia="仿宋_GB2312" w:cs="仿宋_GB2312"/>
          <w:b/>
          <w:color w:val="000000"/>
          <w:sz w:val="32"/>
          <w:szCs w:val="32"/>
        </w:rPr>
        <w:t>甲方：北京市大兴区庞各庄镇人民政府</w:t>
      </w:r>
    </w:p>
    <w:p>
      <w:pPr>
        <w:keepNext w:val="0"/>
        <w:keepLines w:val="0"/>
        <w:pageBreakBefore w:val="0"/>
        <w:kinsoku/>
        <w:wordWrap/>
        <w:overflowPunct/>
        <w:topLinePunct w:val="0"/>
        <w:autoSpaceDE/>
        <w:autoSpaceDN/>
        <w:bidi w:val="0"/>
        <w:spacing w:line="560" w:lineRule="exact"/>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 xml:space="preserve">      地址：</w:t>
      </w:r>
      <w:r>
        <w:rPr>
          <w:rFonts w:hint="eastAsia" w:ascii="仿宋_GB2312" w:hAnsi="仿宋_GB2312" w:eastAsia="仿宋_GB2312" w:cs="仿宋_GB2312"/>
          <w:color w:val="000000"/>
          <w:sz w:val="32"/>
          <w:szCs w:val="32"/>
          <w:lang w:val="en-US" w:eastAsia="zh-CN"/>
        </w:rPr>
        <w:t>北京市大兴区庞各庄镇幸福路</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法定代表人：</w:t>
      </w:r>
      <w:r>
        <w:rPr>
          <w:rFonts w:hint="eastAsia" w:ascii="仿宋_GB2312" w:hAnsi="仿宋_GB2312" w:eastAsia="仿宋_GB2312" w:cs="仿宋_GB2312"/>
          <w:color w:val="000000"/>
          <w:sz w:val="32"/>
          <w:szCs w:val="32"/>
          <w:lang w:val="en-US" w:eastAsia="zh-CN"/>
        </w:rPr>
        <w:t>马兵</w:t>
      </w: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职务：</w:t>
      </w:r>
      <w:r>
        <w:rPr>
          <w:rFonts w:hint="eastAsia" w:ascii="仿宋_GB2312" w:hAnsi="仿宋_GB2312" w:eastAsia="仿宋_GB2312" w:cs="仿宋_GB2312"/>
          <w:color w:val="000000"/>
          <w:sz w:val="32"/>
          <w:szCs w:val="32"/>
          <w:lang w:val="en-US" w:eastAsia="zh-CN"/>
        </w:rPr>
        <w:t xml:space="preserve">镇长 </w:t>
      </w:r>
      <w:r>
        <w:rPr>
          <w:rFonts w:hint="eastAsia" w:ascii="仿宋_GB2312" w:hAnsi="仿宋_GB2312" w:eastAsia="仿宋_GB2312" w:cs="仿宋_GB2312"/>
          <w:color w:val="000000"/>
          <w:sz w:val="32"/>
          <w:szCs w:val="32"/>
        </w:rPr>
        <w:t xml:space="preserve">     </w:t>
      </w:r>
    </w:p>
    <w:p>
      <w:pPr>
        <w:keepNext w:val="0"/>
        <w:keepLines w:val="0"/>
        <w:pageBreakBefore w:val="0"/>
        <w:kinsoku/>
        <w:wordWrap/>
        <w:overflowPunct/>
        <w:topLinePunct w:val="0"/>
        <w:autoSpaceDE/>
        <w:autoSpaceDN/>
        <w:bidi w:val="0"/>
        <w:spacing w:line="560" w:lineRule="exact"/>
        <w:ind w:firstLine="960" w:firstLineChars="300"/>
        <w:rPr>
          <w:rFonts w:hint="default"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rPr>
        <w:t>联系电话：</w:t>
      </w:r>
      <w:r>
        <w:rPr>
          <w:rFonts w:hint="eastAsia" w:ascii="仿宋_GB2312" w:hAnsi="仿宋_GB2312" w:eastAsia="仿宋_GB2312" w:cs="仿宋_GB2312"/>
          <w:color w:val="000000"/>
          <w:sz w:val="32"/>
          <w:szCs w:val="32"/>
          <w:lang w:val="en-US" w:eastAsia="zh-CN"/>
        </w:rPr>
        <w:t>010-89288105</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b/>
          <w:color w:val="000000"/>
          <w:sz w:val="32"/>
          <w:szCs w:val="32"/>
        </w:rPr>
        <w:t>乙方：</w:t>
      </w:r>
      <w:r>
        <w:rPr>
          <w:rFonts w:hint="eastAsia" w:ascii="仿宋_GB2312" w:hAnsi="仿宋_GB2312" w:eastAsia="仿宋_GB2312" w:cs="仿宋_GB2312"/>
          <w:color w:val="000000"/>
          <w:sz w:val="32"/>
          <w:szCs w:val="32"/>
        </w:rPr>
        <w:t xml:space="preserve">     </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地址：</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      法定代表人：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 xml:space="preserve">  </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职务：</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rPr>
        <w:t xml:space="preserve">     </w:t>
      </w:r>
    </w:p>
    <w:p>
      <w:pPr>
        <w:keepNext w:val="0"/>
        <w:keepLines w:val="0"/>
        <w:pageBreakBefore w:val="0"/>
        <w:kinsoku/>
        <w:wordWrap/>
        <w:overflowPunct/>
        <w:topLinePunct w:val="0"/>
        <w:autoSpaceDE/>
        <w:autoSpaceDN/>
        <w:bidi w:val="0"/>
        <w:spacing w:line="560" w:lineRule="exact"/>
        <w:ind w:firstLine="960" w:firstLineChars="3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联系电话：</w:t>
      </w:r>
    </w:p>
    <w:p>
      <w:pPr>
        <w:keepNext w:val="0"/>
        <w:keepLines w:val="0"/>
        <w:pageBreakBefore w:val="0"/>
        <w:kinsoku/>
        <w:wordWrap/>
        <w:overflowPunct/>
        <w:topLinePunct w:val="0"/>
        <w:autoSpaceDE/>
        <w:autoSpaceDN/>
        <w:bidi w:val="0"/>
        <w:spacing w:line="560" w:lineRule="exact"/>
        <w:ind w:firstLine="57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根据有关法律、法规的规定，在自愿、平等、协商一致的基础上，就甲方委托乙方负责镇政府相关办公地点的</w:t>
      </w:r>
      <w:r>
        <w:rPr>
          <w:rFonts w:hint="eastAsia" w:ascii="仿宋_GB2312" w:hAnsi="仿宋_GB2312" w:eastAsia="仿宋_GB2312" w:cs="仿宋_GB2312"/>
          <w:color w:val="000000"/>
          <w:sz w:val="32"/>
          <w:szCs w:val="32"/>
          <w:lang w:val="en-US" w:eastAsia="zh-CN"/>
        </w:rPr>
        <w:t>物业管理服务，</w:t>
      </w:r>
      <w:r>
        <w:rPr>
          <w:rFonts w:hint="eastAsia" w:ascii="仿宋_GB2312" w:hAnsi="仿宋_GB2312" w:eastAsia="仿宋_GB2312" w:cs="仿宋_GB2312"/>
          <w:color w:val="000000"/>
          <w:sz w:val="32"/>
          <w:szCs w:val="32"/>
        </w:rPr>
        <w:t>包括但不限于水电暖维修保养检测等服务工作，为明确双方权利义务特制定本合同。</w:t>
      </w:r>
    </w:p>
    <w:p>
      <w:pPr>
        <w:keepNext w:val="0"/>
        <w:keepLines w:val="0"/>
        <w:pageBreakBefore w:val="0"/>
        <w:tabs>
          <w:tab w:val="left" w:pos="720"/>
        </w:tabs>
        <w:kinsoku/>
        <w:wordWrap/>
        <w:overflowPunct/>
        <w:topLinePunct w:val="0"/>
        <w:autoSpaceDE/>
        <w:autoSpaceDN/>
        <w:bidi w:val="0"/>
        <w:spacing w:line="560" w:lineRule="exact"/>
        <w:ind w:firstLine="0" w:firstLineChars="0"/>
        <w:jc w:val="center"/>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eastAsia="zh-CN"/>
        </w:rPr>
        <w:t>第一章</w:t>
      </w:r>
      <w:r>
        <w:rPr>
          <w:rFonts w:hint="eastAsia" w:ascii="黑体" w:hAnsi="黑体" w:eastAsia="黑体" w:cs="黑体"/>
          <w:b w:val="0"/>
          <w:bCs/>
          <w:color w:val="000000"/>
          <w:sz w:val="32"/>
          <w:szCs w:val="32"/>
          <w:lang w:val="en-US" w:eastAsia="zh-CN"/>
        </w:rPr>
        <w:t xml:space="preserve"> 一般条款</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一、服务地点</w:t>
      </w:r>
    </w:p>
    <w:p>
      <w:pPr>
        <w:keepNext w:val="0"/>
        <w:keepLines w:val="0"/>
        <w:pageBreakBefore w:val="0"/>
        <w:tabs>
          <w:tab w:val="left" w:pos="525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32"/>
          <w:szCs w:val="32"/>
        </w:rPr>
        <w:t>庞各庄镇政府办公楼所在区域（含西瓜博物馆、食堂及公共区域）、行政服务中心、原镇政府、农服中心、城管楼、水务站、</w:t>
      </w:r>
      <w:r>
        <w:rPr>
          <w:rFonts w:hint="eastAsia" w:ascii="仿宋_GB2312" w:hAnsi="仿宋_GB2312" w:eastAsia="仿宋_GB2312" w:cs="仿宋_GB2312"/>
          <w:color w:val="000000"/>
          <w:sz w:val="32"/>
          <w:szCs w:val="32"/>
          <w:lang w:eastAsia="zh-CN"/>
        </w:rPr>
        <w:t>镇综治维稳办公楼、</w:t>
      </w:r>
      <w:r>
        <w:rPr>
          <w:rFonts w:hint="eastAsia" w:ascii="仿宋_GB2312" w:hAnsi="仿宋_GB2312" w:eastAsia="仿宋_GB2312" w:cs="仿宋_GB2312"/>
          <w:color w:val="000000"/>
          <w:sz w:val="32"/>
          <w:szCs w:val="32"/>
        </w:rPr>
        <w:t>御园社区A区公建、御园社区B区公建、御园社区C区公建（含社区党群服务中心）、消防中队、佳佳梨园等12点位。</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二、服务内容及要求</w:t>
      </w:r>
    </w:p>
    <w:p>
      <w:pPr>
        <w:keepNext w:val="0"/>
        <w:keepLines w:val="0"/>
        <w:pageBreakBefore w:val="0"/>
        <w:tabs>
          <w:tab w:val="left" w:pos="525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服务内容：本项目乙方提供的物业服务内容为配电室及办公场所内所有电器设施的维修、保养、检测；消防中控和范围内所涉及的消防设施维修、保养；门窗、家具日常维修；办公场所上下水的日常维护，含下水管道的疏通；房屋、屋面防水的日常检查；农服中心202</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rPr>
        <w:t>至202</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rPr>
        <w:t>供暖季供暖管理；按照各设备设施的使用维护规范，做好其它设备设施的日常维护、保养和维修。</w:t>
      </w:r>
    </w:p>
    <w:p>
      <w:pPr>
        <w:keepNext w:val="0"/>
        <w:keepLines w:val="0"/>
        <w:pageBreakBefore w:val="0"/>
        <w:tabs>
          <w:tab w:val="left" w:pos="525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32"/>
          <w:szCs w:val="32"/>
        </w:rPr>
        <w:t>服务要求：物业工作人员在维修或更换照明设备时，首选光效高、寿命长、安全稳定、节能环保的照明电器，节约用电减少污染。2.物业工作人员要在日常工作、生活中要不断提高节能、节水意识，注意随手关灯等细节。积极践行“光盘行动、垃圾分类”，培养低碳环保，绿色出行的生活理念。</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三、服务费用及付款方式</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1、经双方协商约定维修服务费用为每</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rPr>
        <w:t>元</w:t>
      </w:r>
      <w:r>
        <w:rPr>
          <w:rFonts w:hint="eastAsia" w:ascii="仿宋_GB2312" w:hAnsi="仿宋_GB2312" w:eastAsia="仿宋_GB2312" w:cs="仿宋_GB2312"/>
          <w:color w:val="000000"/>
          <w:sz w:val="32"/>
          <w:szCs w:val="32"/>
        </w:rPr>
        <w:t>整，每年合计</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元整，大写：</w:t>
      </w:r>
      <w:r>
        <w:rPr>
          <w:rFonts w:hint="eastAsia" w:ascii="仿宋_GB2312" w:hAnsi="仿宋_GB2312" w:eastAsia="仿宋_GB2312" w:cs="仿宋_GB2312"/>
          <w:color w:val="000000"/>
          <w:sz w:val="32"/>
          <w:szCs w:val="32"/>
          <w:u w:val="single"/>
          <w:lang w:eastAsia="zh-CN"/>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2、付款方式为：每季度结束后7个工作日内，甲方根据乙方工作情况及整改落实情况发放考核结果，待乙方确认并提供同等金额合法有效的正式发票后，甲方于5个工作日内支付上季度服务费。</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四、双方的权利义务</w:t>
      </w:r>
    </w:p>
    <w:p>
      <w:pPr>
        <w:keepNext w:val="0"/>
        <w:keepLines w:val="0"/>
        <w:pageBreakBefore w:val="0"/>
        <w:tabs>
          <w:tab w:val="left" w:pos="0"/>
        </w:tabs>
        <w:kinsoku/>
        <w:wordWrap/>
        <w:overflowPunct/>
        <w:topLinePunct w:val="0"/>
        <w:autoSpaceDE/>
        <w:autoSpaceDN/>
        <w:bidi w:val="0"/>
        <w:spacing w:line="560" w:lineRule="exact"/>
        <w:ind w:firstLine="643"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（一）甲方的权利义务</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1、检查、监督、评估、考核乙方服务工作的实施情况，甲方有权对乙方工作记录进行查阅和指导，并有权对乙方未按合同约定提供服务的情况责令改正，依据评估考核结果扣减不符合合同要求部分的服务费用。</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2、提供乙方所需的相关资料，包括图纸复印件等，并做好交接记录（原件存放在甲方档案室备查）。</w:t>
      </w:r>
    </w:p>
    <w:p>
      <w:pPr>
        <w:keepNext w:val="0"/>
        <w:keepLines w:val="0"/>
        <w:pageBreakBefore w:val="0"/>
        <w:tabs>
          <w:tab w:val="left" w:pos="0"/>
          <w:tab w:val="left" w:pos="567"/>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3、提供办公用房交乙方使用，具体位置为配电室、消防控制室。</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4、协助乙方从事物业管理区域内的设备维护维修工作。</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5、提供维修所需用零配件及相关资料。</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6、因乙方原因不能在合理期限内将设备维护维修至正常使用状态的，甲方有权另行委托第三方维护维修，另行委托的费用由乙方支付，甲方有权在当月服务费用中扣除。</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7、甲方为乙方派驻甲方的工作人员提供早中晚三餐。</w:t>
      </w:r>
    </w:p>
    <w:p>
      <w:pPr>
        <w:keepNext w:val="0"/>
        <w:keepLines w:val="0"/>
        <w:pageBreakBefore w:val="0"/>
        <w:tabs>
          <w:tab w:val="left" w:pos="0"/>
        </w:tabs>
        <w:kinsoku/>
        <w:wordWrap/>
        <w:overflowPunct/>
        <w:topLinePunct w:val="0"/>
        <w:autoSpaceDE/>
        <w:autoSpaceDN/>
        <w:bidi w:val="0"/>
        <w:spacing w:line="560" w:lineRule="exact"/>
        <w:ind w:firstLine="643" w:firstLineChars="200"/>
        <w:rPr>
          <w:rFonts w:hint="eastAsia" w:ascii="仿宋_GB2312" w:hAnsi="仿宋_GB2312" w:eastAsia="仿宋_GB2312" w:cs="仿宋_GB2312"/>
          <w:b/>
          <w:bCs/>
          <w:color w:val="000000"/>
          <w:sz w:val="32"/>
          <w:szCs w:val="32"/>
        </w:rPr>
      </w:pPr>
      <w:r>
        <w:rPr>
          <w:rFonts w:hint="eastAsia" w:ascii="仿宋_GB2312" w:hAnsi="仿宋_GB2312" w:eastAsia="仿宋_GB2312" w:cs="仿宋_GB2312"/>
          <w:b/>
          <w:bCs/>
          <w:color w:val="000000"/>
          <w:sz w:val="32"/>
          <w:szCs w:val="32"/>
        </w:rPr>
        <w:t>（二）乙方的权利义务</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1、根据协商约定的服务内容，在本合同</w:t>
      </w:r>
      <w:r>
        <w:rPr>
          <w:rFonts w:hint="eastAsia" w:ascii="仿宋_GB2312" w:hAnsi="仿宋_GB2312" w:eastAsia="仿宋_GB2312" w:cs="仿宋_GB2312"/>
          <w:color w:val="000000"/>
          <w:sz w:val="32"/>
          <w:szCs w:val="32"/>
          <w:lang w:val="en-US" w:eastAsia="zh-CN"/>
        </w:rPr>
        <w:t>生效</w:t>
      </w:r>
      <w:r>
        <w:rPr>
          <w:rFonts w:hint="eastAsia" w:ascii="仿宋_GB2312" w:hAnsi="仿宋_GB2312" w:eastAsia="仿宋_GB2312" w:cs="仿宋_GB2312"/>
          <w:color w:val="000000"/>
          <w:sz w:val="32"/>
          <w:szCs w:val="32"/>
        </w:rPr>
        <w:t>后3个工作日内向甲方提供服务实施方案，经甲方修改确认后，方可开展服务工作。乙方在服务区域范围内提供设备设施、电器、屋面、门窗等的维护、维修、检测、保养等服务，并根据甲方的要求改进服务质量。</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保证从事本物业管理项目的人员具备相应的职业资格和应有的素质要求，并向甲方提供乙方服务人员报备清单。如需调整管理人员及技术骨干应事先通报甲方，对甲方提出认为不适合的在岗人员，乙方应在3日内作出相应的调整。</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3、按照本合同的约定费用和支付方式，向甲方收取服务费。</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4、保证24小时有专人值班，对设施设备进行日常巡查，定期检测保养、并做好日常记录。按月向甲方提供维护维修实施情况，经甲方书面确认。</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5、特殊情况和重大活动时，服从甲方统一安排。</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6、在不影响机关正常办公的前提下，提供及时准确的服务。</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7、动用特种设备时需经甲方书面同意后方可启用。</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8、本合同终止时，应当将物业管理用房和物业管理相关资料等属于甲方所有的财产及时如数地移交给甲方。不得向任何第三方透露在履行合同过程中获悉有关的任何资料。</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9、乙方保证维修服务质量符合国家、北京市、行业相应标准。乙方承担服务过程中的安全作业责任。因乙方原因导致双方或任意第三方人身或财产损失的，由乙方承担全部法律责任。</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10、乙方不得将本合同义务转让给其它第三人。</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11、质保期：经乙方维修后的设备设施1年内，如发生质量问题，乙方负责免费维修；如乙方未按甲方要求时间及标准维修，则甲方有权委托第三方维修，发生的相关费用由乙方承担。</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32"/>
          <w:szCs w:val="32"/>
        </w:rPr>
        <w:t>12、乙方负责对在岗人员</w:t>
      </w:r>
      <w:r>
        <w:rPr>
          <w:rFonts w:hint="eastAsia" w:ascii="仿宋_GB2312" w:hAnsi="仿宋_GB2312" w:eastAsia="仿宋_GB2312" w:cs="仿宋_GB2312"/>
          <w:color w:val="000000"/>
          <w:sz w:val="32"/>
          <w:szCs w:val="32"/>
          <w:lang w:val="en-US" w:eastAsia="zh-CN"/>
        </w:rPr>
        <w:t>的劳动关系管理，</w:t>
      </w:r>
      <w:r>
        <w:rPr>
          <w:rFonts w:hint="eastAsia" w:ascii="仿宋_GB2312" w:hAnsi="仿宋_GB2312" w:eastAsia="仿宋_GB2312" w:cs="仿宋_GB2312"/>
          <w:color w:val="000000"/>
          <w:sz w:val="32"/>
          <w:szCs w:val="32"/>
        </w:rPr>
        <w:t>缴纳保险、进行安全培训，对于在合同履行期间发生的安全事故，由乙方承担全部责任。</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五、服务期限</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本合同服务期限为壹年，自</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日</w:t>
      </w:r>
    </w:p>
    <w:p>
      <w:pPr>
        <w:keepNext w:val="0"/>
        <w:keepLines w:val="0"/>
        <w:pageBreakBefore w:val="0"/>
        <w:tabs>
          <w:tab w:val="left" w:pos="0"/>
        </w:tabs>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至</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年</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月</w:t>
      </w: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u w:val="single"/>
          <w:lang w:val="en-US" w:eastAsia="zh-CN"/>
        </w:rPr>
        <w:t xml:space="preserve">      </w:t>
      </w:r>
      <w:r>
        <w:rPr>
          <w:rFonts w:hint="eastAsia" w:ascii="仿宋_GB2312" w:hAnsi="仿宋_GB2312" w:eastAsia="仿宋_GB2312" w:cs="仿宋_GB2312"/>
          <w:color w:val="000000"/>
          <w:sz w:val="32"/>
          <w:szCs w:val="32"/>
        </w:rPr>
        <w:t>日止。</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六、合同的解除和终止</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（一）合同规定的服务期满，本合同自然终止。双方如续订合同，应在合同届满前一个月进行协商。</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（二）本合同履行期间，甲方决定不委托乙方时，乙方决定不再接受委托时，应提前一个月通知对方。经双方协商可解除本合同。</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（三）合同终止或解除后，乙方应将甲方所有设备、资料、场地、属于甲方所有的财产及时交回甲方。</w:t>
      </w:r>
      <w:r>
        <w:rPr>
          <w:rFonts w:hint="eastAsia" w:ascii="仿宋_GB2312" w:hAnsi="仿宋_GB2312" w:eastAsia="仿宋_GB2312" w:cs="仿宋_GB2312"/>
          <w:color w:val="000000"/>
          <w:sz w:val="32"/>
          <w:szCs w:val="32"/>
          <w:lang w:val="en-US" w:eastAsia="zh-CN"/>
        </w:rPr>
        <w:t>乙方应对其物品进行清理腾退，乙方未及时清量的，甲方有权自行清理，因此产生的相关费用由乙方承担。</w:t>
      </w:r>
      <w:r>
        <w:rPr>
          <w:rFonts w:hint="eastAsia" w:ascii="仿宋_GB2312" w:hAnsi="仿宋_GB2312" w:eastAsia="仿宋_GB2312" w:cs="仿宋_GB2312"/>
          <w:color w:val="000000"/>
          <w:sz w:val="32"/>
          <w:szCs w:val="32"/>
        </w:rPr>
        <w:t>双方应在</w:t>
      </w:r>
      <w:r>
        <w:rPr>
          <w:rFonts w:hint="eastAsia" w:ascii="仿宋_GB2312" w:hAnsi="仿宋_GB2312" w:eastAsia="仿宋_GB2312" w:cs="仿宋_GB2312"/>
          <w:color w:val="000000"/>
          <w:sz w:val="32"/>
          <w:szCs w:val="32"/>
          <w:lang w:val="en-US" w:eastAsia="zh-CN"/>
        </w:rPr>
        <w:t>合同期满后</w:t>
      </w:r>
      <w:r>
        <w:rPr>
          <w:rFonts w:hint="eastAsia" w:ascii="仿宋_GB2312" w:hAnsi="仿宋_GB2312" w:eastAsia="仿宋_GB2312" w:cs="仿宋_GB2312"/>
          <w:color w:val="000000"/>
          <w:sz w:val="32"/>
          <w:szCs w:val="32"/>
        </w:rPr>
        <w:t>十日内办理完毕交接手续。</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七、违约责任</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乙方出现下列情形时，视为违约：</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1</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未按照甲方要求或本合同约定提供维护、维修、检测、保养等服务；</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2</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乙方提供的服务人员</w:t>
      </w:r>
      <w:r>
        <w:rPr>
          <w:rFonts w:hint="eastAsia" w:ascii="仿宋_GB2312" w:hAnsi="仿宋_GB2312" w:eastAsia="仿宋_GB2312" w:cs="仿宋_GB2312"/>
          <w:color w:val="000000"/>
          <w:sz w:val="32"/>
          <w:szCs w:val="32"/>
          <w:lang w:val="en-US" w:eastAsia="zh-CN"/>
        </w:rPr>
        <w:t>不</w:t>
      </w:r>
      <w:r>
        <w:rPr>
          <w:rFonts w:hint="eastAsia" w:ascii="仿宋_GB2312" w:hAnsi="仿宋_GB2312" w:eastAsia="仿宋_GB2312" w:cs="仿宋_GB2312"/>
          <w:color w:val="000000"/>
          <w:sz w:val="32"/>
          <w:szCs w:val="32"/>
        </w:rPr>
        <w:t>符合岗位要求，</w:t>
      </w:r>
      <w:r>
        <w:rPr>
          <w:rFonts w:hint="eastAsia" w:ascii="仿宋_GB2312" w:hAnsi="仿宋_GB2312" w:eastAsia="仿宋_GB2312" w:cs="仿宋_GB2312"/>
          <w:color w:val="000000"/>
          <w:sz w:val="32"/>
          <w:szCs w:val="32"/>
          <w:lang w:val="en-US" w:eastAsia="zh-CN"/>
        </w:rPr>
        <w:t>三日内未更换的</w:t>
      </w:r>
      <w:r>
        <w:rPr>
          <w:rFonts w:hint="eastAsia" w:ascii="仿宋_GB2312" w:hAnsi="仿宋_GB2312" w:eastAsia="仿宋_GB2312" w:cs="仿宋_GB2312"/>
          <w:color w:val="000000"/>
          <w:sz w:val="32"/>
          <w:szCs w:val="32"/>
        </w:rPr>
        <w:t>；</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3</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未经甲方书面同意动用特种设备；</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4</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合同终止时，未将物业管理用房和物业管理相关资料等属于甲方所有的财产及时如数地移交给甲方；</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5</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维修服务不符合国家、北京市、行业相应标准；</w:t>
      </w:r>
    </w:p>
    <w:p>
      <w:pPr>
        <w:keepNext w:val="0"/>
        <w:keepLines w:val="0"/>
        <w:pageBreakBefore w:val="0"/>
        <w:numPr>
          <w:ilvl w:val="0"/>
          <w:numId w:val="0"/>
        </w:numPr>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6</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rPr>
        <w:t>其他未按照甲方要求或本合同约定履行的行为；</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甲方有权要求乙方支付本合同服务费总额10%的作为违约金，并赔偿由此给甲方造成的全部损失。除此之外，甲方有权单方解除本合同。</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rPr>
        <w:t>八、其它</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（一）本合同未尽事宜，双方友好协商解决，并签订补充协议，补充协议与本合同具有同等法律效力。</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（二）本合同一式肆份，甲乙双方各执两份，具有同等法律效力。本合同自双方签字盖章之日起生效。</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（三）双方约定自本合同生效之日起十日内，根据甲方委托管理事项，办理交接手续。</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（四）本合同在履行过程中如发生争议，双方应协商解决，协商不成的，任何一方可依法向北京市大兴区人民法院起诉。</w:t>
      </w:r>
    </w:p>
    <w:p>
      <w:pPr>
        <w:keepNext w:val="0"/>
        <w:keepLines w:val="0"/>
        <w:pageBreakBefore w:val="0"/>
        <w:tabs>
          <w:tab w:val="left" w:pos="0"/>
        </w:tabs>
        <w:kinsoku/>
        <w:wordWrap/>
        <w:overflowPunct/>
        <w:topLinePunct w:val="0"/>
        <w:autoSpaceDE/>
        <w:autoSpaceDN/>
        <w:bidi w:val="0"/>
        <w:spacing w:line="56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（五）甲乙双方主动配合接受结果查究。</w:t>
      </w:r>
    </w:p>
    <w:p>
      <w:pPr>
        <w:keepNext w:val="0"/>
        <w:keepLines w:val="0"/>
        <w:pageBreakBefore w:val="0"/>
        <w:tabs>
          <w:tab w:val="left" w:pos="720"/>
        </w:tabs>
        <w:kinsoku/>
        <w:wordWrap/>
        <w:overflowPunct/>
        <w:topLinePunct w:val="0"/>
        <w:autoSpaceDE/>
        <w:autoSpaceDN/>
        <w:bidi w:val="0"/>
        <w:spacing w:line="560" w:lineRule="exact"/>
        <w:ind w:firstLine="0" w:firstLineChars="0"/>
        <w:jc w:val="center"/>
        <w:rPr>
          <w:rFonts w:hint="eastAsia" w:ascii="黑体" w:hAnsi="黑体" w:eastAsia="黑体" w:cs="黑体"/>
          <w:b w:val="0"/>
          <w:bCs/>
          <w:color w:val="000000"/>
          <w:sz w:val="32"/>
          <w:szCs w:val="32"/>
          <w:lang w:val="en-US" w:eastAsia="zh-CN"/>
        </w:rPr>
      </w:pPr>
      <w:r>
        <w:rPr>
          <w:rFonts w:hint="eastAsia" w:ascii="黑体" w:hAnsi="黑体" w:eastAsia="黑体" w:cs="黑体"/>
          <w:b w:val="0"/>
          <w:bCs/>
          <w:color w:val="000000"/>
          <w:sz w:val="32"/>
          <w:szCs w:val="32"/>
          <w:lang w:eastAsia="zh-CN"/>
        </w:rPr>
        <w:t>第二章</w:t>
      </w:r>
      <w:r>
        <w:rPr>
          <w:rFonts w:hint="eastAsia" w:ascii="黑体" w:hAnsi="黑体" w:eastAsia="黑体" w:cs="黑体"/>
          <w:b w:val="0"/>
          <w:bCs/>
          <w:color w:val="000000"/>
          <w:sz w:val="32"/>
          <w:szCs w:val="32"/>
          <w:lang w:val="en-US" w:eastAsia="zh-CN"/>
        </w:rPr>
        <w:t xml:space="preserve"> 特殊条款</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rPr>
      </w:pPr>
      <w:r>
        <w:rPr>
          <w:rFonts w:hint="eastAsia" w:ascii="楷体_GB2312" w:hAnsi="楷体_GB2312" w:eastAsia="楷体_GB2312" w:cs="楷体_GB2312"/>
          <w:b w:val="0"/>
          <w:bCs/>
          <w:color w:val="000000"/>
          <w:sz w:val="32"/>
          <w:szCs w:val="32"/>
          <w:lang w:eastAsia="zh-CN"/>
        </w:rPr>
        <w:t>一、</w:t>
      </w:r>
      <w:r>
        <w:rPr>
          <w:rFonts w:hint="eastAsia" w:ascii="楷体_GB2312" w:hAnsi="楷体_GB2312" w:eastAsia="楷体_GB2312" w:cs="楷体_GB2312"/>
          <w:b w:val="0"/>
          <w:bCs/>
          <w:color w:val="000000"/>
          <w:sz w:val="32"/>
          <w:szCs w:val="32"/>
        </w:rPr>
        <w:t>物业管理费标准、支付方式</w:t>
      </w:r>
    </w:p>
    <w:p>
      <w:pPr>
        <w:keepNext w:val="0"/>
        <w:keepLines w:val="0"/>
        <w:pageBreakBefore w:val="0"/>
        <w:kinsoku/>
        <w:wordWrap/>
        <w:overflowPunct/>
        <w:topLinePunct w:val="0"/>
        <w:autoSpaceDE/>
        <w:autoSpaceDN/>
        <w:bidi w:val="0"/>
        <w:spacing w:beforeLines="0" w:afterLines="0" w:line="560"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合同期内物业管理费（含税）:</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元，即人民币:</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（中标方提供费用明细附件）。</w:t>
      </w:r>
    </w:p>
    <w:p>
      <w:pPr>
        <w:keepNext w:val="0"/>
        <w:keepLines w:val="0"/>
        <w:pageBreakBefore w:val="0"/>
        <w:kinsoku/>
        <w:wordWrap/>
        <w:overflowPunct/>
        <w:topLinePunct w:val="0"/>
        <w:autoSpaceDE/>
        <w:autoSpaceDN/>
        <w:bidi w:val="0"/>
        <w:spacing w:beforeLines="0" w:afterLines="0"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费用支付方式:按季支付。支付日期为下一季度初支付上一季度物业费。支付金额每季度为:</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元，即人民币:</w:t>
      </w:r>
      <w:r>
        <w:rPr>
          <w:rFonts w:hint="eastAsia" w:ascii="仿宋_GB2312" w:hAnsi="仿宋_GB2312" w:eastAsia="仿宋_GB2312" w:cs="仿宋_GB2312"/>
          <w:sz w:val="32"/>
          <w:szCs w:val="32"/>
          <w:u w:val="single"/>
          <w:lang w:eastAsia="zh-CN"/>
        </w:rPr>
        <w:t xml:space="preserve"> </w:t>
      </w: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甲方</w:t>
      </w:r>
      <w:r>
        <w:rPr>
          <w:rFonts w:hint="eastAsia" w:ascii="仿宋_GB2312" w:hAnsi="仿宋_GB2312" w:eastAsia="仿宋_GB2312" w:cs="仿宋_GB2312"/>
          <w:sz w:val="32"/>
          <w:szCs w:val="32"/>
        </w:rPr>
        <w:t>付款前，</w:t>
      </w: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需先行提供相应结算金额合法的发票，但</w:t>
      </w:r>
      <w:r>
        <w:rPr>
          <w:rFonts w:hint="eastAsia" w:ascii="仿宋_GB2312" w:hAnsi="仿宋_GB2312" w:eastAsia="仿宋_GB2312" w:cs="仿宋_GB2312"/>
          <w:sz w:val="32"/>
          <w:szCs w:val="32"/>
          <w:lang w:eastAsia="zh-CN"/>
        </w:rPr>
        <w:t>甲方</w:t>
      </w:r>
      <w:r>
        <w:rPr>
          <w:rFonts w:hint="eastAsia" w:ascii="仿宋_GB2312" w:hAnsi="仿宋_GB2312" w:eastAsia="仿宋_GB2312" w:cs="仿宋_GB2312"/>
          <w:sz w:val="32"/>
          <w:szCs w:val="32"/>
        </w:rPr>
        <w:t>收取</w:t>
      </w: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发票，并不视为对</w:t>
      </w:r>
      <w:r>
        <w:rPr>
          <w:rFonts w:hint="eastAsia" w:ascii="仿宋_GB2312" w:hAnsi="仿宋_GB2312" w:eastAsia="仿宋_GB2312" w:cs="仿宋_GB2312"/>
          <w:sz w:val="32"/>
          <w:szCs w:val="32"/>
          <w:lang w:eastAsia="zh-CN"/>
        </w:rPr>
        <w:t>乙方</w:t>
      </w:r>
      <w:r>
        <w:rPr>
          <w:rFonts w:hint="eastAsia" w:ascii="仿宋_GB2312" w:hAnsi="仿宋_GB2312" w:eastAsia="仿宋_GB2312" w:cs="仿宋_GB2312"/>
          <w:sz w:val="32"/>
          <w:szCs w:val="32"/>
        </w:rPr>
        <w:t>提供服务验收合格的确认。</w:t>
      </w:r>
    </w:p>
    <w:p>
      <w:pPr>
        <w:keepNext w:val="0"/>
        <w:keepLines w:val="0"/>
        <w:pageBreakBefore w:val="0"/>
        <w:tabs>
          <w:tab w:val="left" w:pos="720"/>
        </w:tabs>
        <w:kinsoku/>
        <w:wordWrap/>
        <w:overflowPunct/>
        <w:topLinePunct w:val="0"/>
        <w:autoSpaceDE/>
        <w:autoSpaceDN/>
        <w:bidi w:val="0"/>
        <w:spacing w:line="560" w:lineRule="exact"/>
        <w:rPr>
          <w:rFonts w:hint="eastAsia" w:ascii="楷体_GB2312" w:hAnsi="楷体_GB2312" w:eastAsia="楷体_GB2312" w:cs="楷体_GB2312"/>
          <w:b w:val="0"/>
          <w:bCs/>
          <w:color w:val="000000"/>
          <w:sz w:val="32"/>
          <w:szCs w:val="32"/>
          <w:lang w:eastAsia="zh-CN"/>
        </w:rPr>
      </w:pPr>
      <w:r>
        <w:rPr>
          <w:rFonts w:hint="eastAsia" w:ascii="楷体_GB2312" w:hAnsi="楷体_GB2312" w:eastAsia="楷体_GB2312" w:cs="楷体_GB2312"/>
          <w:b w:val="0"/>
          <w:bCs/>
          <w:color w:val="000000"/>
          <w:sz w:val="32"/>
          <w:szCs w:val="32"/>
          <w:lang w:eastAsia="zh-CN"/>
        </w:rPr>
        <w:t>二、违约责任</w:t>
      </w:r>
    </w:p>
    <w:p>
      <w:pPr>
        <w:keepNext w:val="0"/>
        <w:keepLines w:val="0"/>
        <w:pageBreakBefore w:val="0"/>
        <w:kinsoku/>
        <w:wordWrap/>
        <w:overflowPunct/>
        <w:topLinePunct w:val="0"/>
        <w:autoSpaceDE/>
        <w:autoSpaceDN/>
        <w:bidi w:val="0"/>
        <w:spacing w:beforeLines="0" w:afterLines="0"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rPr>
        <w:t>乙方违反本合同约定，未能达到约定的管理目标，甲方有权要求乙方7 日内解决。逾期未解决的，甲方有权解除合同，并要求乙方对给甲方造成的经济损失给予赔偿。</w:t>
      </w:r>
    </w:p>
    <w:p>
      <w:pPr>
        <w:keepNext w:val="0"/>
        <w:keepLines w:val="0"/>
        <w:pageBreakBefore w:val="0"/>
        <w:kinsoku/>
        <w:wordWrap/>
        <w:overflowPunct/>
        <w:topLinePunct w:val="0"/>
        <w:autoSpaceDE/>
        <w:autoSpaceDN/>
        <w:bidi w:val="0"/>
        <w:spacing w:beforeLines="0" w:afterLines="0" w:line="560" w:lineRule="exact"/>
        <w:ind w:firstLine="640" w:firstLineChars="200"/>
        <w:jc w:val="left"/>
        <w:rPr>
          <w:rFonts w:ascii="仿宋" w:hAnsi="仿宋" w:eastAsia="仿宋"/>
          <w:color w:val="000000"/>
          <w:sz w:val="28"/>
          <w:szCs w:val="28"/>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lang w:val="en-US" w:eastAsia="zh-CN"/>
        </w:rPr>
        <w:t>甲方有权单方</w:t>
      </w:r>
      <w:r>
        <w:rPr>
          <w:rFonts w:hint="eastAsia" w:ascii="仿宋_GB2312" w:hAnsi="仿宋_GB2312" w:eastAsia="仿宋_GB2312" w:cs="仿宋_GB2312"/>
          <w:sz w:val="32"/>
          <w:szCs w:val="32"/>
        </w:rPr>
        <w:t>解除合同，</w:t>
      </w:r>
      <w:r>
        <w:rPr>
          <w:rFonts w:hint="eastAsia" w:ascii="仿宋_GB2312" w:hAnsi="仿宋_GB2312" w:eastAsia="仿宋_GB2312" w:cs="仿宋_GB2312"/>
          <w:sz w:val="32"/>
          <w:szCs w:val="32"/>
          <w:lang w:val="en-US" w:eastAsia="zh-CN"/>
        </w:rPr>
        <w:t>但</w:t>
      </w:r>
      <w:r>
        <w:rPr>
          <w:rFonts w:hint="eastAsia" w:ascii="仿宋_GB2312" w:hAnsi="仿宋_GB2312" w:eastAsia="仿宋_GB2312" w:cs="仿宋_GB2312"/>
          <w:sz w:val="32"/>
          <w:szCs w:val="32"/>
        </w:rPr>
        <w:t>应提前一个月通知</w:t>
      </w:r>
      <w:r>
        <w:rPr>
          <w:rFonts w:hint="eastAsia" w:ascii="仿宋_GB2312" w:hAnsi="仿宋_GB2312" w:eastAsia="仿宋_GB2312" w:cs="仿宋_GB2312"/>
          <w:sz w:val="32"/>
          <w:szCs w:val="32"/>
          <w:lang w:val="en-US" w:eastAsia="zh-CN"/>
        </w:rPr>
        <w:t>乙方，乙方接到通知后应按时撤场</w:t>
      </w:r>
      <w:r>
        <w:rPr>
          <w:rFonts w:hint="eastAsia" w:ascii="仿宋_GB2312" w:hAnsi="仿宋_GB2312" w:eastAsia="仿宋_GB2312" w:cs="仿宋_GB2312"/>
          <w:sz w:val="32"/>
          <w:szCs w:val="32"/>
        </w:rPr>
        <w:t>并办理交接手续。</w:t>
      </w: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甲方盖章：                       乙方盖章：</w:t>
      </w:r>
    </w:p>
    <w:p>
      <w:pPr>
        <w:keepNext w:val="0"/>
        <w:keepLines w:val="0"/>
        <w:pageBreakBefore w:val="0"/>
        <w:kinsoku/>
        <w:wordWrap/>
        <w:overflowPunct/>
        <w:topLinePunct w:val="0"/>
        <w:autoSpaceDE/>
        <w:autoSpaceDN/>
        <w:bidi w:val="0"/>
        <w:spacing w:line="560" w:lineRule="exact"/>
        <w:ind w:left="570"/>
        <w:rPr>
          <w:rFonts w:hint="eastAsia" w:ascii="仿宋_GB2312" w:hAnsi="仿宋_GB2312" w:eastAsia="仿宋_GB2312" w:cs="仿宋_GB2312"/>
          <w:color w:val="000000"/>
          <w:sz w:val="32"/>
          <w:szCs w:val="32"/>
        </w:rPr>
      </w:pPr>
    </w:p>
    <w:p>
      <w:pPr>
        <w:keepNext w:val="0"/>
        <w:keepLines w:val="0"/>
        <w:pageBreakBefore w:val="0"/>
        <w:kinsoku/>
        <w:wordWrap/>
        <w:overflowPunct/>
        <w:topLinePunct w:val="0"/>
        <w:autoSpaceDE/>
        <w:autoSpaceDN/>
        <w:bidi w:val="0"/>
        <w:spacing w:line="560" w:lineRule="exact"/>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代表人签字：                    代表人签字：</w:t>
      </w:r>
    </w:p>
    <w:p>
      <w:pPr>
        <w:keepNext w:val="0"/>
        <w:keepLines w:val="0"/>
        <w:pageBreakBefore w:val="0"/>
        <w:kinsoku/>
        <w:wordWrap/>
        <w:overflowPunct/>
        <w:topLinePunct w:val="0"/>
        <w:autoSpaceDE/>
        <w:autoSpaceDN/>
        <w:bidi w:val="0"/>
        <w:spacing w:line="560" w:lineRule="exact"/>
        <w:ind w:left="570" w:firstLine="570"/>
        <w:rPr>
          <w:rFonts w:hint="eastAsia" w:ascii="仿宋_GB2312" w:hAnsi="仿宋_GB2312" w:eastAsia="仿宋_GB2312" w:cs="仿宋_GB2312"/>
          <w:color w:val="000000"/>
          <w:sz w:val="32"/>
          <w:szCs w:val="32"/>
        </w:rPr>
      </w:pPr>
    </w:p>
    <w:p>
      <w:pPr>
        <w:numPr>
          <w:ilvl w:val="0"/>
          <w:numId w:val="0"/>
        </w:numPr>
        <w:spacing w:line="360" w:lineRule="auto"/>
        <w:jc w:val="both"/>
        <w:rPr>
          <w:rFonts w:hint="eastAsia" w:ascii="仿宋_GB2312" w:eastAsia="仿宋_GB2312"/>
          <w:b/>
          <w:color w:val="auto"/>
          <w:sz w:val="28"/>
          <w:szCs w:val="28"/>
          <w:lang w:val="en-US" w:eastAsia="zh-CN"/>
        </w:rPr>
      </w:pP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 xml:space="preserve">日      </w:t>
      </w:r>
      <w:r>
        <w:rPr>
          <w:rFonts w:hint="eastAsia" w:ascii="仿宋_GB2312" w:hAnsi="仿宋_GB2312" w:eastAsia="仿宋_GB2312" w:cs="仿宋_GB2312"/>
          <w:color w:val="auto"/>
          <w:sz w:val="32"/>
          <w:szCs w:val="32"/>
          <w:lang w:val="en-US" w:eastAsia="zh-CN"/>
        </w:rPr>
        <w:t xml:space="preserve"> </w:t>
      </w:r>
      <w:r>
        <w:rPr>
          <w:rFonts w:hint="eastAsia" w:ascii="仿宋_GB2312" w:hAnsi="仿宋_GB2312" w:eastAsia="仿宋_GB2312" w:cs="仿宋_GB2312"/>
          <w:color w:val="auto"/>
          <w:sz w:val="32"/>
          <w:szCs w:val="32"/>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年</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月</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u w:val="single"/>
          <w:lang w:val="en-US" w:eastAsia="zh-CN"/>
        </w:rPr>
        <w:t xml:space="preserve"> </w:t>
      </w:r>
      <w:r>
        <w:rPr>
          <w:rFonts w:hint="eastAsia" w:ascii="仿宋_GB2312" w:hAnsi="仿宋_GB2312" w:eastAsia="仿宋_GB2312" w:cs="仿宋_GB2312"/>
          <w:color w:val="auto"/>
          <w:sz w:val="32"/>
          <w:szCs w:val="32"/>
          <w:u w:val="single"/>
        </w:rPr>
        <w:t xml:space="preserve"> </w:t>
      </w:r>
      <w:r>
        <w:rPr>
          <w:rFonts w:hint="eastAsia" w:ascii="仿宋_GB2312" w:hAnsi="仿宋_GB2312" w:eastAsia="仿宋_GB2312" w:cs="仿宋_GB2312"/>
          <w:color w:val="auto"/>
          <w:sz w:val="32"/>
          <w:szCs w:val="32"/>
        </w:rPr>
        <w:t>日</w:t>
      </w: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hint="eastAsia" w:ascii="仿宋_GB2312" w:eastAsia="仿宋_GB2312"/>
          <w:b/>
          <w:color w:val="auto"/>
          <w:sz w:val="28"/>
          <w:szCs w:val="28"/>
        </w:rPr>
      </w:pPr>
    </w:p>
    <w:p>
      <w:pPr>
        <w:ind w:firstLine="3373" w:firstLineChars="1200"/>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38"/>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24"/>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2023年度财务审计报告</w:t>
            </w:r>
            <w:r>
              <w:rPr>
                <w:rFonts w:hint="eastAsia" w:ascii="仿宋_GB2312" w:hAnsi="宋体" w:eastAsia="仿宋_GB2312" w:cs="微软雅黑"/>
                <w:color w:val="auto"/>
                <w:sz w:val="21"/>
                <w:szCs w:val="21"/>
                <w:lang w:eastAsia="zh-CN"/>
              </w:rPr>
              <w:t>或银行出具的资信证明或政府采购投标担保函</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38"/>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38"/>
              <w:widowControl w:val="0"/>
              <w:autoSpaceDE w:val="0"/>
              <w:autoSpaceDN w:val="0"/>
              <w:adjustRightInd w:val="0"/>
              <w:spacing w:before="0" w:after="0" w:line="360" w:lineRule="auto"/>
              <w:jc w:val="center"/>
              <w:rPr>
                <w:rFonts w:hint="default" w:ascii="仿宋_GB2312" w:hAnsi="PWJGTK+»ªÎÄÏ¸ºÚ" w:eastAsia="仿宋_GB2312" w:cs="PWJGTK+»ªÎÄÏ¸ºÚ"/>
                <w:color w:val="auto"/>
                <w:sz w:val="21"/>
                <w:szCs w:val="21"/>
                <w:lang w:val="en-US" w:eastAsia="zh-CN"/>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38"/>
              <w:widowControl w:val="0"/>
              <w:autoSpaceDE w:val="0"/>
              <w:autoSpaceDN w:val="0"/>
              <w:adjustRightInd w:val="0"/>
              <w:spacing w:before="0" w:after="0" w:line="360" w:lineRule="auto"/>
              <w:jc w:val="left"/>
              <w:rPr>
                <w:rFonts w:hint="eastAsia" w:ascii="仿宋_GB2312" w:eastAsia="仿宋_GB2312"/>
                <w:color w:val="auto"/>
                <w:sz w:val="21"/>
                <w:szCs w:val="21"/>
                <w:lang w:eastAsia="zh-CN"/>
              </w:rPr>
            </w:pPr>
            <w:r>
              <w:rPr>
                <w:rFonts w:hint="eastAsia" w:ascii="仿宋_GB2312" w:eastAsia="仿宋_GB2312"/>
                <w:color w:val="auto"/>
                <w:sz w:val="21"/>
                <w:szCs w:val="21"/>
                <w:lang w:eastAsia="zh-CN"/>
              </w:rPr>
              <w:t>中小企业声明</w:t>
            </w:r>
          </w:p>
        </w:tc>
        <w:tc>
          <w:tcPr>
            <w:tcW w:w="1353" w:type="dxa"/>
            <w:vAlign w:val="center"/>
          </w:tcPr>
          <w:p>
            <w:pPr>
              <w:pStyle w:val="38"/>
              <w:widowControl w:val="0"/>
              <w:autoSpaceDE w:val="0"/>
              <w:autoSpaceDN w:val="0"/>
              <w:adjustRightInd w:val="0"/>
              <w:spacing w:before="0" w:after="0" w:line="360" w:lineRule="auto"/>
              <w:jc w:val="center"/>
              <w:rPr>
                <w:rFonts w:hint="eastAsia"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38"/>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38"/>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38"/>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38"/>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50"/>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11"/>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11"/>
        <w:kinsoku w:val="0"/>
        <w:overflowPunct w:val="0"/>
        <w:autoSpaceDE w:val="0"/>
        <w:autoSpaceDN w:val="0"/>
        <w:spacing w:line="320" w:lineRule="exact"/>
        <w:rPr>
          <w:rFonts w:ascii="仿宋_GB2312" w:hAnsi="宋体" w:eastAsia="仿宋_GB2312"/>
          <w:b/>
          <w:color w:val="auto"/>
          <w:kern w:val="0"/>
          <w:sz w:val="24"/>
          <w:szCs w:val="24"/>
        </w:rPr>
      </w:pPr>
    </w:p>
    <w:p>
      <w:pPr>
        <w:pStyle w:val="11"/>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11"/>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11"/>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11"/>
        <w:spacing w:before="268" w:beforeLines="86" w:line="300" w:lineRule="auto"/>
        <w:ind w:firstLine="480" w:firstLineChars="200"/>
        <w:rPr>
          <w:rFonts w:ascii="仿宋_GB2312" w:hAnsi="宋体" w:eastAsia="仿宋_GB2312"/>
          <w:color w:val="auto"/>
          <w:sz w:val="24"/>
          <w:szCs w:val="24"/>
        </w:rPr>
      </w:pPr>
    </w:p>
    <w:p>
      <w:pPr>
        <w:pStyle w:val="11"/>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1"/>
        <w:tabs>
          <w:tab w:val="left" w:pos="5580"/>
        </w:tabs>
        <w:spacing w:line="300" w:lineRule="auto"/>
        <w:rPr>
          <w:rFonts w:ascii="仿宋_GB2312" w:hAnsi="宋体" w:eastAsia="仿宋_GB2312"/>
          <w:color w:val="auto"/>
          <w:sz w:val="24"/>
          <w:szCs w:val="24"/>
        </w:rPr>
      </w:pPr>
    </w:p>
    <w:p>
      <w:pPr>
        <w:pStyle w:val="11"/>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11"/>
        <w:spacing w:before="268" w:beforeLines="86" w:line="300" w:lineRule="auto"/>
        <w:rPr>
          <w:rFonts w:ascii="仿宋_GB2312" w:hAnsi="宋体" w:eastAsia="仿宋_GB2312"/>
          <w:color w:val="auto"/>
          <w:sz w:val="24"/>
          <w:szCs w:val="24"/>
        </w:rPr>
      </w:pPr>
    </w:p>
    <w:p>
      <w:pPr>
        <w:pStyle w:val="11"/>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11"/>
        <w:spacing w:before="268" w:beforeLines="86" w:line="300" w:lineRule="auto"/>
        <w:rPr>
          <w:rFonts w:ascii="仿宋_GB2312" w:hAnsi="宋体" w:eastAsia="仿宋_GB2312"/>
          <w:color w:val="auto"/>
          <w:sz w:val="24"/>
          <w:szCs w:val="24"/>
        </w:rPr>
      </w:pPr>
    </w:p>
    <w:p>
      <w:pPr>
        <w:pStyle w:val="50"/>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11"/>
        <w:spacing w:before="268" w:beforeLines="86" w:line="300" w:lineRule="auto"/>
        <w:ind w:firstLine="480" w:firstLineChars="200"/>
        <w:rPr>
          <w:rFonts w:ascii="仿宋_GB2312" w:hAnsi="宋体" w:eastAsia="仿宋_GB2312"/>
          <w:color w:val="auto"/>
          <w:sz w:val="24"/>
          <w:szCs w:val="24"/>
        </w:rPr>
      </w:pPr>
    </w:p>
    <w:p>
      <w:pPr>
        <w:pStyle w:val="50"/>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11"/>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11"/>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11"/>
        <w:spacing w:before="187" w:beforeLines="60" w:line="300" w:lineRule="auto"/>
        <w:rPr>
          <w:rFonts w:ascii="仿宋_GB2312" w:hAnsi="宋体" w:eastAsia="仿宋_GB2312"/>
          <w:color w:val="auto"/>
          <w:sz w:val="24"/>
          <w:szCs w:val="24"/>
        </w:rPr>
      </w:pPr>
    </w:p>
    <w:p>
      <w:pPr>
        <w:pStyle w:val="11"/>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11"/>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38"/>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11"/>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11"/>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11"/>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38"/>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2023年度财务审计报告</w:t>
      </w:r>
      <w:r>
        <w:rPr>
          <w:rFonts w:hint="eastAsia" w:ascii="仿宋_GB2312" w:eastAsia="仿宋_GB2312"/>
          <w:b/>
          <w:color w:val="auto"/>
          <w:sz w:val="24"/>
          <w:szCs w:val="24"/>
          <w:lang w:eastAsia="zh-CN"/>
        </w:rPr>
        <w:t>（加盖单位公章的复印件）</w:t>
      </w:r>
    </w:p>
    <w:p>
      <w:pPr>
        <w:pStyle w:val="38"/>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38"/>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38"/>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38"/>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38"/>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23</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w:t>
      </w:r>
      <w:r>
        <w:rPr>
          <w:rFonts w:hint="eastAsia" w:ascii="仿宋_GB2312" w:hAnsi="宋体" w:eastAsia="仿宋_GB2312" w:cs="微软雅黑"/>
          <w:bCs/>
          <w:color w:val="auto"/>
          <w:sz w:val="24"/>
          <w:szCs w:val="24"/>
          <w:lang w:eastAsia="zh-CN"/>
        </w:rPr>
        <w:t>2023年度财务审计报告</w:t>
      </w:r>
      <w:r>
        <w:rPr>
          <w:rFonts w:hint="eastAsia" w:ascii="仿宋_GB2312" w:hAnsi="宋体" w:eastAsia="仿宋_GB2312" w:cs="微软雅黑"/>
          <w:bCs/>
          <w:color w:val="auto"/>
          <w:sz w:val="24"/>
          <w:szCs w:val="24"/>
        </w:rPr>
        <w:t>，则须提供银行出具的资信证明或担保机构出具的政府采购投标担保函。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38"/>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w:t>
      </w:r>
      <w:r>
        <w:rPr>
          <w:rFonts w:hint="eastAsia" w:ascii="仿宋_GB2312" w:hAnsi="宋体" w:eastAsia="仿宋_GB2312" w:cs="宋体"/>
          <w:bCs/>
          <w:color w:val="auto"/>
          <w:sz w:val="24"/>
          <w:szCs w:val="24"/>
          <w:lang w:eastAsia="zh-CN"/>
        </w:rPr>
        <w:t>281.8</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rPr>
          <w:rFonts w:hint="eastAsia" w:ascii="仿宋_GB2312" w:hAnsi="宋体" w:eastAsia="仿宋_GB2312"/>
          <w:b/>
          <w:color w:val="auto"/>
          <w:sz w:val="24"/>
          <w:szCs w:val="24"/>
        </w:rPr>
      </w:pP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4" w:type="default"/>
          <w:footerReference r:id="rId15"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38"/>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38"/>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38"/>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31"/>
          <w:rFonts w:hint="eastAsia" w:ascii="仿宋_GB2312" w:hAnsi="宋体" w:eastAsia="仿宋_GB2312" w:cs="微软雅黑"/>
          <w:bCs/>
          <w:color w:val="auto"/>
          <w:sz w:val="24"/>
          <w:szCs w:val="24"/>
        </w:rPr>
        <w:t>www.creditchina.gov.cn</w:t>
      </w:r>
      <w:r>
        <w:rPr>
          <w:rStyle w:val="31"/>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31"/>
          <w:rFonts w:hint="eastAsia" w:ascii="仿宋_GB2312" w:hAnsi="宋体" w:eastAsia="仿宋_GB2312" w:cs="微软雅黑"/>
          <w:bCs/>
          <w:color w:val="auto"/>
          <w:sz w:val="24"/>
          <w:szCs w:val="24"/>
        </w:rPr>
        <w:t>www.ccgp.gov.cn</w:t>
      </w:r>
      <w:r>
        <w:rPr>
          <w:rStyle w:val="31"/>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ascii="仿宋_GB2312" w:hAnsi="宋体" w:eastAsia="仿宋_GB2312"/>
          <w:color w:val="auto"/>
          <w:sz w:val="24"/>
        </w:rPr>
        <w:sectPr>
          <w:pgSz w:w="11906" w:h="16838"/>
          <w:pgMar w:top="1440" w:right="1797" w:bottom="1440" w:left="1797" w:header="851" w:footer="992" w:gutter="0"/>
          <w:pgNumType w:fmt="decimal"/>
          <w:cols w:space="720" w:num="1"/>
          <w:docGrid w:type="lines" w:linePitch="312" w:charSpace="0"/>
        </w:sect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keepNext w:val="0"/>
        <w:keepLines w:val="0"/>
        <w:pageBreakBefore w:val="0"/>
        <w:widowControl w:val="0"/>
        <w:tabs>
          <w:tab w:val="left" w:pos="900"/>
          <w:tab w:val="left" w:pos="5580"/>
        </w:tabs>
        <w:kinsoku/>
        <w:wordWrap/>
        <w:overflowPunct/>
        <w:topLinePunct w:val="0"/>
        <w:autoSpaceDE/>
        <w:autoSpaceDN/>
        <w:bidi w:val="0"/>
        <w:adjustRightInd/>
        <w:snapToGrid/>
        <w:spacing w:before="156" w:beforeLines="50" w:after="312" w:afterLines="100" w:line="240" w:lineRule="auto"/>
        <w:jc w:val="both"/>
        <w:textAlignment w:val="auto"/>
        <w:rPr>
          <w:rFonts w:hint="eastAsia" w:ascii="仿宋_GB2312" w:hAnsi="宋体" w:eastAsia="仿宋_GB2312"/>
          <w:b/>
          <w:color w:val="auto"/>
          <w:sz w:val="24"/>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11"/>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35"/>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11"/>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jc w:val="right"/>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r>
        <w:rPr>
          <w:rFonts w:ascii="仿宋_GB2312" w:hAnsi="宋体" w:eastAsia="仿宋_GB2312"/>
          <w:color w:val="auto"/>
          <w:sz w:val="24"/>
          <w:szCs w:val="24"/>
          <w:highlight w:val="none"/>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pBdr>
          <w:top w:val="none" w:color="auto" w:sz="0" w:space="0"/>
          <w:left w:val="none" w:color="auto" w:sz="0" w:space="0"/>
          <w:bottom w:val="none" w:color="auto" w:sz="0" w:space="0"/>
          <w:right w:val="none" w:color="auto" w:sz="0" w:space="0"/>
        </w:pBdr>
        <w:tabs>
          <w:tab w:val="left" w:pos="900"/>
          <w:tab w:val="left" w:pos="5580"/>
        </w:tabs>
        <w:spacing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（残疾人福利性单位参加的）</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rPr>
          <w:rFonts w:ascii="仿宋_GB2312" w:hAnsi="ARMQCW+»ªÎÄÏ¸ºÚ" w:eastAsia="仿宋_GB2312" w:cs="ARMQCW+»ªÎÄÏ¸ºÚ"/>
          <w:color w:val="auto"/>
          <w:sz w:val="24"/>
        </w:rPr>
      </w:pP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pBdr>
          <w:top w:val="none" w:color="auto" w:sz="0" w:space="0"/>
          <w:left w:val="none" w:color="auto" w:sz="0" w:space="0"/>
          <w:bottom w:val="none" w:color="auto" w:sz="0" w:space="0"/>
          <w:right w:val="none" w:color="auto" w:sz="0" w:space="0"/>
        </w:pBdr>
        <w:tabs>
          <w:tab w:val="left" w:pos="5580"/>
        </w:tabs>
        <w:spacing w:beforeLines="50" w:afterLines="50" w:line="360" w:lineRule="auto"/>
        <w:ind w:firstLine="4560" w:firstLineChars="1900"/>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rPr>
        <w:t>日期</w:t>
      </w:r>
    </w:p>
    <w:p>
      <w:pPr>
        <w:pStyle w:val="11"/>
        <w:numPr>
          <w:ilvl w:val="0"/>
          <w:numId w:val="0"/>
        </w:numPr>
        <w:spacing w:before="156" w:beforeLines="50" w:line="360" w:lineRule="auto"/>
        <w:ind w:leftChars="0"/>
        <w:rPr>
          <w:rFonts w:hint="eastAsia" w:ascii="仿宋_GB2312" w:hAnsi="BUQOQW+»ªÎÄÏ¸ºÚ" w:eastAsia="仿宋_GB2312" w:cs="BUQOQW+»ªÎÄÏ¸ºÚ"/>
          <w:b/>
          <w:color w:val="auto"/>
          <w:sz w:val="24"/>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11"/>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2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11"/>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11"/>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11"/>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11"/>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11"/>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ascii="仿宋_GB2312" w:hAnsi="PWJGTK+»ªÎÄÏ¸ºÚ" w:eastAsia="仿宋_GB2312" w:cs="PWJGTK+»ªÎÄÏ¸ºÚ"/>
                <w:color w:val="auto"/>
              </w:rPr>
            </w:pPr>
          </w:p>
        </w:tc>
        <w:tc>
          <w:tcPr>
            <w:tcW w:w="1468" w:type="dxa"/>
            <w:vAlign w:val="center"/>
          </w:tcPr>
          <w:p>
            <w:pPr>
              <w:pStyle w:val="11"/>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eastAsia" w:ascii="仿宋_GB2312" w:hAnsi="PWJGTK+»ªÎÄÏ¸ºÚ" w:eastAsia="仿宋_GB2312" w:cs="PWJGTK+»ªÎÄÏ¸ºÚ"/>
                <w:color w:val="auto"/>
                <w:lang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投标一览表</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投标分项报价表</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keepNext w:val="0"/>
              <w:keepLines w:val="0"/>
              <w:pageBreakBefore w:val="0"/>
              <w:kinsoku/>
              <w:overflowPunct/>
              <w:topLinePunct w:val="0"/>
              <w:autoSpaceDE/>
              <w:autoSpaceDN/>
              <w:bidi w:val="0"/>
              <w:spacing w:line="560" w:lineRule="exact"/>
              <w:ind w:firstLine="1050" w:firstLineChars="500"/>
              <w:jc w:val="both"/>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kern w:val="2"/>
                <w:sz w:val="21"/>
                <w:szCs w:val="21"/>
                <w:lang w:val="en-US" w:eastAsia="zh-CN" w:bidi="ar-SA"/>
              </w:rPr>
              <w:t>项目理解分析</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hint="eastAsia"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拟派项目团队人员</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实施方案</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应急预案</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服务承诺及措施</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项目业绩</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专业岗位操作人员证书要求</w:t>
            </w:r>
          </w:p>
        </w:tc>
        <w:tc>
          <w:tcPr>
            <w:tcW w:w="1417" w:type="dxa"/>
            <w:vAlign w:val="center"/>
          </w:tcPr>
          <w:p>
            <w:pPr>
              <w:pStyle w:val="11"/>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c>
          <w:tcPr>
            <w:tcW w:w="1468" w:type="dxa"/>
            <w:vAlign w:val="center"/>
          </w:tcPr>
          <w:p>
            <w:pPr>
              <w:pStyle w:val="11"/>
              <w:spacing w:line="360" w:lineRule="auto"/>
              <w:jc w:val="center"/>
              <w:rPr>
                <w:rFonts w:hint="eastAsia" w:ascii="仿宋_GB2312" w:hAnsi="PWJGTK+»ªÎÄÏ¸ºÚ" w:eastAsia="仿宋_GB2312" w:cs="PWJGTK+»ªÎÄÏ¸ºÚ"/>
                <w:color w:val="auto"/>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其他相关资质及证书</w:t>
            </w:r>
          </w:p>
        </w:tc>
        <w:tc>
          <w:tcPr>
            <w:tcW w:w="1417" w:type="dxa"/>
            <w:vAlign w:val="center"/>
          </w:tcPr>
          <w:p>
            <w:pPr>
              <w:pStyle w:val="11"/>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hint="eastAsia"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11"/>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pStyle w:val="11"/>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11"/>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11"/>
              <w:spacing w:line="360" w:lineRule="auto"/>
              <w:jc w:val="center"/>
              <w:rPr>
                <w:rFonts w:hint="eastAsia" w:ascii="仿宋_GB2312" w:hAnsi="PWJGTK+»ªÎÄÏ¸ºÚ" w:eastAsia="仿宋_GB2312" w:cs="PWJGTK+»ªÎÄÏ¸ºÚ"/>
                <w:color w:val="auto"/>
              </w:rPr>
            </w:pPr>
          </w:p>
        </w:tc>
        <w:tc>
          <w:tcPr>
            <w:tcW w:w="1468" w:type="dxa"/>
            <w:vAlign w:val="center"/>
          </w:tcPr>
          <w:p>
            <w:pPr>
              <w:pStyle w:val="11"/>
              <w:spacing w:line="360" w:lineRule="auto"/>
              <w:jc w:val="center"/>
              <w:rPr>
                <w:rFonts w:hint="eastAsia" w:ascii="仿宋_GB2312" w:hAnsi="PWJGTK+»ªÎÄÏ¸ºÚ" w:eastAsia="仿宋_GB2312" w:cs="PWJGTK+»ªÎÄÏ¸ºÚ"/>
                <w:color w:val="auto"/>
              </w:rPr>
            </w:pPr>
          </w:p>
        </w:tc>
      </w:tr>
    </w:tbl>
    <w:p>
      <w:pPr>
        <w:rPr>
          <w:rFonts w:hint="eastAsia" w:ascii="仿宋_GB2312" w:eastAsia="仿宋_GB2312"/>
          <w:b/>
          <w:color w:val="auto"/>
          <w:sz w:val="24"/>
          <w:szCs w:val="24"/>
        </w:rPr>
      </w:pPr>
    </w:p>
    <w:p>
      <w:pPr>
        <w:pStyle w:val="19"/>
        <w:rPr>
          <w:rFonts w:hint="eastAsia"/>
          <w:color w:val="auto"/>
        </w:rPr>
      </w:pPr>
    </w:p>
    <w:p>
      <w:pPr>
        <w:widowControl/>
        <w:jc w:val="left"/>
        <w:rPr>
          <w:rFonts w:hint="eastAsia" w:ascii="仿宋_GB2312" w:eastAsia="仿宋_GB2312"/>
          <w:b/>
          <w:color w:val="auto"/>
          <w:sz w:val="24"/>
          <w:szCs w:val="24"/>
        </w:rPr>
      </w:pPr>
    </w:p>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11"/>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eastAsia="zh-CN"/>
        </w:rPr>
        <w:t>2024年镇政府办公区域物业服务物业管理服务采购项目</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11011524210200018210-XM001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color w:val="auto"/>
          <w:sz w:val="24"/>
          <w:szCs w:val="24"/>
          <w:lang w:val="en-US" w:eastAsia="zh-CN"/>
        </w:rPr>
        <w:t>投标U盘</w:t>
      </w:r>
      <w:r>
        <w:rPr>
          <w:rFonts w:hint="eastAsia" w:ascii="仿宋_GB2312" w:hAnsi="宋体" w:eastAsia="仿宋_GB2312"/>
          <w:b/>
          <w:color w:val="auto"/>
          <w:sz w:val="24"/>
          <w:szCs w:val="24"/>
        </w:rPr>
        <w:t>且分别单独密封。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11"/>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11"/>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11"/>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11"/>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11"/>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pStyle w:val="11"/>
        <w:spacing w:line="360" w:lineRule="auto"/>
        <w:rPr>
          <w:rFonts w:ascii="仿宋_GB2312" w:eastAsia="仿宋_GB2312"/>
          <w:b/>
          <w:color w:val="auto"/>
          <w:sz w:val="24"/>
          <w:szCs w:val="24"/>
        </w:rPr>
      </w:pPr>
    </w:p>
    <w:p>
      <w:pPr>
        <w:pStyle w:val="11"/>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38"/>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24"/>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23</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38"/>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38"/>
        <w:widowControl w:val="0"/>
        <w:autoSpaceDE w:val="0"/>
        <w:autoSpaceDN w:val="0"/>
        <w:adjustRightInd w:val="0"/>
        <w:spacing w:before="0" w:after="0" w:line="360" w:lineRule="auto"/>
        <w:rPr>
          <w:rFonts w:ascii="仿宋_GB2312" w:hAnsi="宋体" w:eastAsia="仿宋_GB2312"/>
          <w:color w:val="auto"/>
          <w:kern w:val="0"/>
          <w:sz w:val="24"/>
          <w:szCs w:val="22"/>
        </w:r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pStyle w:val="38"/>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1"/>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38"/>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pStyle w:val="38"/>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widowControl/>
        <w:jc w:val="left"/>
        <w:rPr>
          <w:rFonts w:ascii="仿宋_GB2312" w:hAnsi="FRDTOV+»ªÎÄÏ¸ºÚ" w:eastAsia="仿宋_GB2312" w:cs="FRDTOV+»ªÎÄÏ¸ºÚ"/>
          <w:color w:val="auto"/>
          <w:sz w:val="24"/>
        </w:rPr>
      </w:pPr>
    </w:p>
    <w:p>
      <w:pPr>
        <w:pStyle w:val="38"/>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11"/>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38"/>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ascii="仿宋_GB2312" w:hAnsi="FRDTOV+»ªÎÄÏ¸ºÚ" w:eastAsia="仿宋_GB2312" w:cs="FRDTOV+»ªÎÄÏ¸ºÚ"/>
          <w:color w:val="auto"/>
          <w:kern w:val="0"/>
          <w:sz w:val="24"/>
          <w:szCs w:val="22"/>
        </w:rPr>
      </w:pPr>
      <w:r>
        <w:rPr>
          <w:rFonts w:ascii="仿宋_GB2312" w:hAnsi="FRDTOV+»ªÎÄÏ¸ºÚ" w:eastAsia="仿宋_GB2312" w:cs="FRDTOV+»ªÎÄÏ¸ºÚ"/>
          <w:color w:val="auto"/>
          <w:sz w:val="24"/>
          <w:u w:val="single"/>
          <w:lang w:eastAsia="zh-CN"/>
        </w:rPr>
        <w:br w:type="page"/>
      </w:r>
    </w:p>
    <w:p>
      <w:pPr>
        <w:pStyle w:val="38"/>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pacing w:before="156" w:beforeLines="50" w:after="156" w:afterLines="50" w:line="360" w:lineRule="auto"/>
        <w:jc w:val="center"/>
        <w:rPr>
          <w:rFonts w:ascii="仿宋_GB2312" w:hAnsi="宋体" w:eastAsia="仿宋_GB2312"/>
          <w:color w:val="auto"/>
          <w:sz w:val="24"/>
          <w:szCs w:val="24"/>
          <w:u w:val="single"/>
        </w:rPr>
      </w:pPr>
      <w:r>
        <w:rPr>
          <w:rFonts w:hint="eastAsia" w:ascii="仿宋_GB2312" w:eastAsia="仿宋_GB2312"/>
          <w:b/>
          <w:color w:val="auto"/>
          <w:sz w:val="24"/>
          <w:szCs w:val="24"/>
        </w:rPr>
        <w:t>投标一览表</w:t>
      </w:r>
    </w:p>
    <w:p>
      <w:pP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11011524210200018210-XM001</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2024年镇政府办公区域物业服务物业管理服务采购项目</w:t>
      </w:r>
    </w:p>
    <w:tbl>
      <w:tblPr>
        <w:tblStyle w:val="23"/>
        <w:tblW w:w="8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04"/>
        <w:gridCol w:w="3013"/>
        <w:gridCol w:w="190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1" w:hRule="atLeast"/>
        </w:trPr>
        <w:tc>
          <w:tcPr>
            <w:tcW w:w="1604"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013"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lang w:eastAsia="zh-CN"/>
              </w:rPr>
              <w:t>投标报价：</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lang w:eastAsia="zh-CN"/>
              </w:rPr>
              <w:t>服务期限</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31" w:hRule="atLeast"/>
        </w:trPr>
        <w:tc>
          <w:tcPr>
            <w:tcW w:w="1604" w:type="dxa"/>
            <w:tcBorders>
              <w:top w:val="single" w:color="auto" w:sz="4" w:space="0"/>
              <w:left w:val="single" w:color="auto" w:sz="4" w:space="0"/>
              <w:bottom w:val="single" w:color="auto" w:sz="4" w:space="0"/>
              <w:right w:val="single" w:color="auto" w:sz="4" w:space="0"/>
            </w:tcBorders>
            <w:vAlign w:val="center"/>
          </w:tcPr>
          <w:p>
            <w:pPr>
              <w:tabs>
                <w:tab w:val="left" w:pos="5580"/>
              </w:tabs>
              <w:jc w:val="left"/>
              <w:rPr>
                <w:rFonts w:hint="eastAsia" w:ascii="仿宋_GB2312" w:hAnsi="Batang" w:eastAsia="仿宋_GB2312"/>
                <w:color w:val="auto"/>
                <w:sz w:val="24"/>
                <w:szCs w:val="24"/>
                <w:lang w:eastAsia="zh-CN"/>
              </w:rPr>
            </w:pPr>
            <w:r>
              <w:rPr>
                <w:rFonts w:hint="eastAsia" w:ascii="仿宋_GB2312" w:hAnsi="Batang" w:eastAsia="仿宋_GB2312"/>
                <w:color w:val="auto"/>
                <w:sz w:val="24"/>
                <w:szCs w:val="24"/>
                <w:lang w:eastAsia="zh-CN"/>
              </w:rPr>
              <w:t>2024年镇政府办公区域物业服务物业管理服务采购项目</w:t>
            </w:r>
          </w:p>
        </w:tc>
        <w:tc>
          <w:tcPr>
            <w:tcW w:w="3013" w:type="dxa"/>
            <w:tcBorders>
              <w:top w:val="single" w:color="auto" w:sz="4" w:space="0"/>
              <w:left w:val="single" w:color="auto" w:sz="4" w:space="0"/>
              <w:bottom w:val="single" w:color="auto" w:sz="4" w:space="0"/>
              <w:right w:val="single" w:color="auto" w:sz="4" w:space="0"/>
            </w:tcBorders>
            <w:vAlign w:val="center"/>
          </w:tcPr>
          <w:p>
            <w:pPr>
              <w:tabs>
                <w:tab w:val="left" w:pos="5580"/>
              </w:tabs>
              <w:ind w:firstLine="120" w:firstLineChars="50"/>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总价</w:t>
            </w:r>
            <w:r>
              <w:rPr>
                <w:rFonts w:hint="eastAsia" w:ascii="仿宋_GB2312" w:hAnsi="宋体" w:eastAsia="仿宋_GB2312"/>
                <w:color w:val="auto"/>
                <w:sz w:val="24"/>
                <w:szCs w:val="24"/>
              </w:rPr>
              <w:t>（元</w:t>
            </w: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312"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lang w:eastAsia="zh-CN"/>
              </w:rPr>
              <w:t>大</w:t>
            </w:r>
            <w:r>
              <w:rPr>
                <w:rFonts w:hint="eastAsia" w:ascii="仿宋_GB2312" w:hAnsi="宋体" w:eastAsia="仿宋_GB2312"/>
                <w:color w:val="auto"/>
                <w:sz w:val="24"/>
                <w:szCs w:val="24"/>
              </w:rPr>
              <w:t>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spacing w:before="312" w:beforeLines="100"/>
              <w:ind w:firstLine="120" w:firstLineChars="50"/>
              <w:rPr>
                <w:rFonts w:hint="eastAsia" w:ascii="仿宋_GB2312" w:hAnsi="宋体" w:eastAsia="仿宋_GB2312"/>
                <w:color w:val="auto"/>
                <w:sz w:val="24"/>
                <w:szCs w:val="24"/>
                <w:lang w:eastAsia="zh-CN"/>
              </w:rPr>
            </w:pPr>
          </w:p>
        </w:tc>
        <w:tc>
          <w:tcPr>
            <w:tcW w:w="1900" w:type="dxa"/>
            <w:tcBorders>
              <w:top w:val="single" w:color="auto" w:sz="4" w:space="0"/>
              <w:left w:val="single" w:color="auto" w:sz="4" w:space="0"/>
              <w:bottom w:val="single" w:color="auto" w:sz="4" w:space="0"/>
              <w:right w:val="single" w:color="auto" w:sz="4" w:space="0"/>
            </w:tcBorders>
            <w:vAlign w:val="center"/>
          </w:tcPr>
          <w:p>
            <w:pPr>
              <w:tabs>
                <w:tab w:val="left" w:pos="5580"/>
              </w:tabs>
              <w:jc w:val="both"/>
              <w:rPr>
                <w:rFonts w:hint="default" w:ascii="仿宋_GB2312" w:hAnsi="宋体" w:eastAsia="仿宋_GB2312"/>
                <w:color w:val="auto"/>
                <w:sz w:val="24"/>
                <w:szCs w:val="24"/>
                <w:u w:val="single"/>
                <w:lang w:val="en-US" w:eastAsia="zh-CN"/>
              </w:rPr>
            </w:pPr>
          </w:p>
        </w:tc>
      </w:tr>
    </w:tbl>
    <w:p>
      <w:pPr>
        <w:spacing w:line="360" w:lineRule="auto"/>
        <w:rPr>
          <w:rFonts w:ascii="仿宋_GB2312" w:hAnsi="宋体" w:eastAsia="仿宋_GB2312"/>
          <w:color w:val="auto"/>
          <w:sz w:val="24"/>
          <w:szCs w:val="24"/>
          <w:u w:val="single"/>
        </w:rPr>
      </w:pPr>
    </w:p>
    <w:p>
      <w:pPr>
        <w:pStyle w:val="11"/>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11"/>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spacing w:line="360" w:lineRule="auto"/>
        <w:rPr>
          <w:rFonts w:hint="eastAsia" w:ascii="仿宋_GB2312" w:eastAsia="仿宋_GB2312"/>
          <w:color w:val="auto"/>
          <w:sz w:val="24"/>
        </w:rPr>
      </w:pPr>
    </w:p>
    <w:p>
      <w:pPr>
        <w:pStyle w:val="19"/>
        <w:rPr>
          <w:color w:val="auto"/>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tabs>
          <w:tab w:val="left" w:pos="5580"/>
        </w:tabs>
        <w:spacing w:after="156" w:afterLines="50" w:line="360" w:lineRule="auto"/>
        <w:rPr>
          <w:rFonts w:hint="eastAsia" w:ascii="仿宋_GB2312" w:eastAsia="仿宋_GB2312"/>
          <w:b/>
          <w:color w:val="auto"/>
          <w:sz w:val="24"/>
          <w:szCs w:val="24"/>
        </w:rPr>
      </w:pPr>
    </w:p>
    <w:p>
      <w:pPr>
        <w:pStyle w:val="38"/>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6</w:t>
      </w:r>
    </w:p>
    <w:p>
      <w:pPr>
        <w:tabs>
          <w:tab w:val="left" w:pos="5580"/>
        </w:tabs>
        <w:spacing w:before="156" w:after="156" w:line="360" w:lineRule="auto"/>
        <w:jc w:val="center"/>
        <w:rPr>
          <w:rFonts w:ascii="宋体" w:hAnsi="宋体" w:cs="宋体"/>
          <w:color w:val="auto"/>
          <w:sz w:val="32"/>
          <w:szCs w:val="32"/>
        </w:rPr>
      </w:pPr>
      <w:r>
        <w:rPr>
          <w:rFonts w:hint="eastAsia" w:ascii="仿宋_GB2312" w:eastAsia="仿宋_GB2312"/>
          <w:b/>
          <w:color w:val="auto"/>
          <w:sz w:val="24"/>
        </w:rPr>
        <w:t xml:space="preserve">投标分项报价表  </w:t>
      </w:r>
      <w:r>
        <w:rPr>
          <w:rFonts w:hint="eastAsia" w:ascii="仿宋_GB2312" w:eastAsia="仿宋_GB2312"/>
          <w:b/>
          <w:color w:val="auto"/>
          <w:sz w:val="24"/>
          <w:lang w:eastAsia="zh-CN"/>
        </w:rPr>
        <w:t>（供应商自拟）</w:t>
      </w:r>
    </w:p>
    <w:tbl>
      <w:tblPr>
        <w:tblStyle w:val="23"/>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3751"/>
        <w:gridCol w:w="2531"/>
        <w:gridCol w:w="2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gridSpan w:val="3"/>
            <w:tcBorders>
              <w:top w:val="nil"/>
              <w:left w:val="nil"/>
              <w:bottom w:val="nil"/>
              <w:right w:val="nil"/>
            </w:tcBorders>
            <w:tcMar>
              <w:top w:w="15" w:type="dxa"/>
              <w:left w:w="15" w:type="dxa"/>
              <w:right w:w="15" w:type="dxa"/>
            </w:tcMar>
            <w:vAlign w:val="center"/>
          </w:tcPr>
          <w:tbl>
            <w:tblPr>
              <w:tblStyle w:val="23"/>
              <w:tblW w:w="836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3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5" w:hRule="atLeast"/>
                <w:jc w:val="center"/>
              </w:trPr>
              <w:tc>
                <w:tcPr>
                  <w:tcW w:w="8364" w:type="dxa"/>
                  <w:tcBorders>
                    <w:top w:val="nil"/>
                    <w:left w:val="nil"/>
                    <w:bottom w:val="nil"/>
                    <w:right w:val="nil"/>
                  </w:tcBorders>
                  <w:tcMar>
                    <w:top w:w="15" w:type="dxa"/>
                    <w:left w:w="15" w:type="dxa"/>
                    <w:right w:w="15" w:type="dxa"/>
                  </w:tcMar>
                  <w:vAlign w:val="center"/>
                </w:tcPr>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lang w:eastAsia="zh-CN"/>
                    </w:rPr>
                    <w:t>11011524210200018210-XM001</w:t>
                  </w:r>
                </w:p>
                <w:p>
                  <w:pPr>
                    <w:ind w:left="1200" w:hanging="1200" w:hangingChars="500"/>
                    <w:rPr>
                      <w:rFonts w:hint="eastAsia" w:ascii="宋体" w:hAnsi="宋体" w:eastAsia="仿宋_GB2312" w:cs="宋体"/>
                      <w:color w:val="auto"/>
                      <w:sz w:val="24"/>
                      <w:highlight w:val="none"/>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lang w:eastAsia="zh-CN"/>
                    </w:rPr>
                    <w:t>2024年镇政府办公区域物业服务物业管理服务采购项目</w:t>
                  </w:r>
                </w:p>
              </w:tc>
            </w:tr>
          </w:tbl>
          <w:p>
            <w:pPr>
              <w:jc w:val="center"/>
              <w:rPr>
                <w:rFonts w:ascii="宋体" w:hAnsi="宋体" w:cs="宋体"/>
                <w:color w:val="auto"/>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费用类别</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金额（元）</w:t>
            </w: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kern w:val="0"/>
                <w:szCs w:val="21"/>
              </w:rPr>
              <w:t>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仿宋_GB2312" w:hAnsi="仿宋_GB2312" w:eastAsia="仿宋_GB2312" w:cs="仿宋_GB2312"/>
                <w:kern w:val="2"/>
                <w:sz w:val="24"/>
                <w:szCs w:val="24"/>
                <w:lang w:val="zh-CN" w:eastAsia="zh-CN" w:bidi="ar-SA"/>
              </w:rPr>
            </w:pPr>
            <w:r>
              <w:rPr>
                <w:rFonts w:hint="eastAsia" w:ascii="仿宋_GB2312" w:hAnsi="仿宋_GB2312" w:eastAsia="仿宋_GB2312" w:cs="仿宋_GB2312"/>
                <w:kern w:val="2"/>
                <w:sz w:val="24"/>
                <w:szCs w:val="24"/>
                <w:lang w:val="en-US" w:eastAsia="zh-CN" w:bidi="ar-SA"/>
              </w:rPr>
              <w:t>12个服务点位12个服务点位的房屋、屋面防水的日常检查门窗、家具日常维修</w:t>
            </w:r>
            <w:r>
              <w:rPr>
                <w:rFonts w:hint="eastAsia" w:ascii="仿宋_GB2312" w:hAnsi="仿宋_GB2312" w:eastAsia="仿宋_GB2312" w:cs="仿宋_GB2312"/>
                <w:kern w:val="2"/>
                <w:sz w:val="24"/>
                <w:szCs w:val="24"/>
                <w:lang w:val="zh-CN" w:eastAsia="zh-CN" w:bidi="ar-SA"/>
              </w:rPr>
              <w:t>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仿宋_GB2312" w:hAnsi="仿宋_GB2312" w:eastAsia="仿宋_GB2312" w:cs="仿宋_GB2312"/>
                <w:kern w:val="2"/>
                <w:sz w:val="24"/>
                <w:szCs w:val="24"/>
                <w:lang w:val="en-US" w:eastAsia="zh-CN" w:bidi="ar-SA"/>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left"/>
              <w:rPr>
                <w:rFonts w:hint="eastAsia" w:ascii="仿宋_GB2312" w:hAnsi="仿宋_GB2312" w:eastAsia="仿宋_GB2312" w:cs="仿宋_GB2312"/>
                <w:kern w:val="2"/>
                <w:sz w:val="24"/>
                <w:szCs w:val="24"/>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80"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jc w:val="left"/>
              <w:rPr>
                <w:rFonts w:hint="eastAsia" w:ascii="仿宋_GB2312" w:hAnsi="仿宋_GB2312" w:eastAsia="仿宋_GB2312" w:cs="仿宋_GB2312"/>
                <w:kern w:val="2"/>
                <w:sz w:val="24"/>
                <w:szCs w:val="24"/>
                <w:lang w:val="zh-CN" w:eastAsia="zh-CN" w:bidi="ar-SA"/>
              </w:rPr>
            </w:pPr>
            <w:r>
              <w:rPr>
                <w:rFonts w:hint="eastAsia" w:ascii="仿宋_GB2312" w:hAnsi="仿宋_GB2312" w:eastAsia="仿宋_GB2312" w:cs="仿宋_GB2312"/>
                <w:kern w:val="2"/>
                <w:sz w:val="24"/>
                <w:szCs w:val="24"/>
                <w:lang w:val="en-US" w:eastAsia="zh-CN" w:bidi="ar-SA"/>
              </w:rPr>
              <w:t>办公场所内的配电室及电器设备的维修、保养、检测</w:t>
            </w:r>
            <w:r>
              <w:rPr>
                <w:rFonts w:hint="eastAsia" w:ascii="仿宋_GB2312" w:hAnsi="仿宋_GB2312" w:eastAsia="仿宋_GB2312" w:cs="仿宋_GB2312"/>
                <w:kern w:val="2"/>
                <w:sz w:val="24"/>
                <w:szCs w:val="24"/>
                <w:lang w:val="zh-CN" w:eastAsia="zh-CN" w:bidi="ar-SA"/>
              </w:rPr>
              <w:t>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5" w:hRule="atLeast"/>
          <w:jc w:val="center"/>
        </w:trPr>
        <w:tc>
          <w:tcPr>
            <w:tcW w:w="375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top"/>
          </w:tcPr>
          <w:p>
            <w:pPr>
              <w:jc w:val="left"/>
              <w:rPr>
                <w:rFonts w:hint="eastAsia" w:ascii="仿宋_GB2312" w:hAnsi="仿宋_GB2312" w:eastAsia="仿宋_GB2312" w:cs="仿宋_GB2312"/>
                <w:kern w:val="2"/>
                <w:sz w:val="24"/>
                <w:szCs w:val="24"/>
                <w:lang w:val="zh-CN" w:eastAsia="zh-CN" w:bidi="ar-SA"/>
              </w:rPr>
            </w:pPr>
            <w:r>
              <w:rPr>
                <w:rFonts w:hint="eastAsia" w:ascii="仿宋_GB2312" w:hAnsi="仿宋_GB2312" w:eastAsia="仿宋_GB2312" w:cs="仿宋_GB2312"/>
                <w:kern w:val="2"/>
                <w:sz w:val="24"/>
                <w:szCs w:val="24"/>
                <w:lang w:val="en-US" w:eastAsia="zh-CN" w:bidi="ar-SA"/>
              </w:rPr>
              <w:t>消防中控和范围内所涉及的消防设施维修、保养；办公场所上下水的日常维护、下水管道疏通</w:t>
            </w:r>
            <w:r>
              <w:rPr>
                <w:rFonts w:hint="eastAsia" w:ascii="仿宋_GB2312" w:hAnsi="仿宋_GB2312" w:eastAsia="仿宋_GB2312" w:cs="仿宋_GB2312"/>
                <w:kern w:val="2"/>
                <w:sz w:val="24"/>
                <w:szCs w:val="24"/>
                <w:lang w:val="zh-CN" w:eastAsia="zh-CN" w:bidi="ar-SA"/>
              </w:rPr>
              <w:t>费用</w:t>
            </w:r>
          </w:p>
        </w:tc>
        <w:tc>
          <w:tcPr>
            <w:tcW w:w="2531"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c>
          <w:tcPr>
            <w:tcW w:w="2082"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r>
              <w:rPr>
                <w:rFonts w:hint="eastAsia" w:ascii="仿宋_GB2312" w:hAnsi="仿宋_GB2312" w:eastAsia="仿宋_GB2312" w:cs="仿宋_GB2312"/>
                <w:kern w:val="2"/>
                <w:sz w:val="24"/>
                <w:szCs w:val="24"/>
                <w:lang w:val="en-US" w:eastAsia="zh-CN" w:bidi="ar-SA"/>
              </w:rPr>
              <w:t>农服中心的供暖（2024-2025供暖季）</w:t>
            </w:r>
            <w:r>
              <w:rPr>
                <w:rFonts w:hint="eastAsia" w:ascii="仿宋_GB2312" w:hAnsi="仿宋_GB2312" w:eastAsia="仿宋_GB2312" w:cs="仿宋_GB2312"/>
                <w:kern w:val="2"/>
                <w:sz w:val="24"/>
                <w:szCs w:val="24"/>
                <w:lang w:val="zh-CN" w:eastAsia="zh-CN" w:bidi="ar-SA"/>
              </w:rPr>
              <w:t>费用</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ab/>
            </w:r>
            <w:r>
              <w:rPr>
                <w:rFonts w:hint="eastAsia" w:ascii="仿宋_GB2312" w:hAnsi="仿宋_GB2312" w:eastAsia="仿宋_GB2312" w:cs="仿宋_GB2312"/>
                <w:kern w:val="2"/>
                <w:sz w:val="24"/>
                <w:szCs w:val="24"/>
                <w:lang w:val="en-US" w:eastAsia="zh-CN" w:bidi="ar-SA"/>
              </w:rPr>
              <w:t>管理人员服务费用</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default" w:ascii="仿宋_GB2312" w:hAnsi="仿宋_GB2312" w:eastAsia="仿宋_GB2312" w:cs="仿宋_GB2312"/>
                <w:kern w:val="2"/>
                <w:sz w:val="24"/>
                <w:szCs w:val="24"/>
                <w:lang w:val="en-US" w:eastAsia="zh-CN" w:bidi="ar-SA"/>
              </w:rPr>
            </w:pPr>
            <w:r>
              <w:rPr>
                <w:rFonts w:hint="eastAsia" w:ascii="仿宋_GB2312" w:hAnsi="仿宋_GB2312" w:eastAsia="仿宋_GB2312" w:cs="仿宋_GB2312"/>
                <w:kern w:val="2"/>
                <w:sz w:val="24"/>
                <w:szCs w:val="24"/>
                <w:lang w:val="en-US" w:eastAsia="zh-CN" w:bidi="ar-SA"/>
              </w:rPr>
              <w:t>......</w:t>
            </w:r>
          </w:p>
        </w:tc>
        <w:tc>
          <w:tcPr>
            <w:tcW w:w="2531"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c>
          <w:tcPr>
            <w:tcW w:w="2082" w:type="dxa"/>
            <w:tcBorders>
              <w:top w:val="single" w:color="auto" w:sz="4" w:space="0"/>
              <w:left w:val="single" w:color="000000" w:sz="4" w:space="0"/>
              <w:bottom w:val="single" w:color="auto"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kern w:val="2"/>
                <w:sz w:val="24"/>
                <w:szCs w:val="24"/>
                <w:lang w:val="zh-CN"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00" w:hRule="atLeast"/>
          <w:jc w:val="center"/>
        </w:trPr>
        <w:tc>
          <w:tcPr>
            <w:tcW w:w="375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jc w:val="center"/>
              <w:rPr>
                <w:rFonts w:hint="eastAsia" w:ascii="仿宋_GB2312" w:hAnsi="仿宋_GB2312" w:eastAsia="仿宋_GB2312" w:cs="仿宋_GB2312"/>
                <w:color w:val="auto"/>
                <w:sz w:val="24"/>
                <w:szCs w:val="28"/>
                <w:lang w:val="zh-CN" w:eastAsia="zh-CN"/>
              </w:rPr>
            </w:pPr>
            <w:r>
              <w:rPr>
                <w:rFonts w:hint="eastAsia" w:ascii="仿宋_GB2312" w:hAnsi="仿宋_GB2312" w:eastAsia="仿宋_GB2312" w:cs="仿宋_GB2312"/>
                <w:color w:val="auto"/>
                <w:sz w:val="24"/>
                <w:szCs w:val="28"/>
                <w:lang w:val="zh-CN" w:eastAsia="zh-CN"/>
              </w:rPr>
              <w:t>合计</w:t>
            </w:r>
          </w:p>
        </w:tc>
        <w:tc>
          <w:tcPr>
            <w:tcW w:w="2531"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c>
          <w:tcPr>
            <w:tcW w:w="2082" w:type="dxa"/>
            <w:tcBorders>
              <w:top w:val="single" w:color="auto" w:sz="4" w:space="0"/>
              <w:left w:val="single" w:color="000000" w:sz="4" w:space="0"/>
              <w:bottom w:val="single" w:color="000000" w:sz="4" w:space="0"/>
              <w:right w:val="single" w:color="000000" w:sz="4" w:space="0"/>
            </w:tcBorders>
            <w:tcMar>
              <w:top w:w="15" w:type="dxa"/>
              <w:left w:w="15" w:type="dxa"/>
              <w:right w:w="15" w:type="dxa"/>
            </w:tcMar>
            <w:vAlign w:val="center"/>
          </w:tcPr>
          <w:p>
            <w:pPr>
              <w:widowControl/>
              <w:jc w:val="center"/>
              <w:textAlignment w:val="center"/>
              <w:rPr>
                <w:rFonts w:hint="eastAsia" w:ascii="仿宋_GB2312" w:hAnsi="仿宋_GB2312" w:eastAsia="仿宋_GB2312" w:cs="仿宋_GB2312"/>
                <w:b/>
                <w:bCs/>
                <w:color w:val="auto"/>
                <w:kern w:val="0"/>
                <w:szCs w:val="21"/>
              </w:rPr>
            </w:pPr>
          </w:p>
        </w:tc>
      </w:tr>
    </w:tbl>
    <w:p>
      <w:pPr>
        <w:rPr>
          <w:rFonts w:ascii="宋体" w:hAnsi="宋体" w:cs="宋体"/>
          <w:color w:val="auto"/>
          <w:sz w:val="32"/>
          <w:szCs w:val="32"/>
        </w:rPr>
      </w:pPr>
    </w:p>
    <w:p>
      <w:pP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报价人全称：</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rPr>
        <w:t>（盖章）</w:t>
      </w:r>
    </w:p>
    <w:p>
      <w:pPr>
        <w:rPr>
          <w:rFonts w:hint="eastAsia" w:ascii="仿宋_GB2312" w:hAnsi="仿宋_GB2312" w:eastAsia="仿宋_GB2312" w:cs="仿宋_GB2312"/>
          <w:color w:val="auto"/>
          <w:sz w:val="24"/>
          <w:szCs w:val="24"/>
        </w:rPr>
      </w:pPr>
    </w:p>
    <w:p>
      <w:pPr>
        <w:rPr>
          <w:rFonts w:hint="eastAsia" w:ascii="仿宋_GB2312" w:hAnsi="仿宋_GB2312" w:eastAsia="仿宋_GB2312" w:cs="仿宋_GB2312"/>
          <w:color w:val="auto"/>
          <w:sz w:val="24"/>
          <w:szCs w:val="24"/>
          <w:u w:val="single"/>
          <w:lang w:val="en-US" w:eastAsia="zh-CN"/>
        </w:rPr>
      </w:pPr>
      <w:r>
        <w:rPr>
          <w:rFonts w:hint="eastAsia" w:ascii="仿宋_GB2312" w:hAnsi="仿宋_GB2312" w:eastAsia="仿宋_GB2312" w:cs="仿宋_GB2312"/>
          <w:color w:val="auto"/>
          <w:sz w:val="24"/>
          <w:szCs w:val="24"/>
          <w:lang w:eastAsia="zh-CN"/>
        </w:rPr>
        <w:t>法定代表人或投标人授权代表(签字或签章)：</w:t>
      </w:r>
      <w:r>
        <w:rPr>
          <w:rFonts w:hint="eastAsia" w:ascii="仿宋_GB2312" w:hAnsi="仿宋_GB2312" w:eastAsia="仿宋_GB2312" w:cs="仿宋_GB2312"/>
          <w:color w:val="auto"/>
          <w:sz w:val="24"/>
          <w:szCs w:val="24"/>
          <w:u w:val="single"/>
          <w:lang w:val="en-US" w:eastAsia="zh-CN"/>
        </w:rPr>
        <w:t xml:space="preserve">             </w:t>
      </w:r>
    </w:p>
    <w:p>
      <w:pPr>
        <w:rPr>
          <w:rFonts w:hint="eastAsia" w:ascii="仿宋_GB2312" w:hAnsi="仿宋_GB2312" w:eastAsia="仿宋_GB2312" w:cs="仿宋_GB2312"/>
          <w:color w:val="auto"/>
          <w:sz w:val="24"/>
          <w:szCs w:val="24"/>
          <w:u w:val="single"/>
          <w:lang w:val="en-US" w:eastAsia="zh-CN"/>
        </w:rPr>
      </w:pPr>
    </w:p>
    <w:p>
      <w:pPr>
        <w:spacing w:after="240" w:afterLines="100" w:line="360" w:lineRule="auto"/>
        <w:rPr>
          <w:rFonts w:hint="eastAsia" w:ascii="仿宋_GB2312" w:hAnsi="宋体" w:eastAsia="仿宋_GB2312"/>
          <w:b/>
          <w:color w:val="auto"/>
          <w:sz w:val="24"/>
        </w:rPr>
      </w:pPr>
      <w:r>
        <w:rPr>
          <w:rFonts w:hint="eastAsia" w:ascii="仿宋_GB2312" w:hAnsi="宋体" w:eastAsia="仿宋_GB2312"/>
          <w:b/>
          <w:color w:val="auto"/>
          <w:sz w:val="24"/>
        </w:rPr>
        <w:t>注：</w:t>
      </w:r>
    </w:p>
    <w:p>
      <w:pPr>
        <w:keepNext w:val="0"/>
        <w:keepLines w:val="0"/>
        <w:pageBreakBefore w:val="0"/>
        <w:widowControl w:val="0"/>
        <w:kinsoku/>
        <w:wordWrap/>
        <w:overflowPunct/>
        <w:topLinePunct w:val="0"/>
        <w:autoSpaceDE/>
        <w:autoSpaceDN/>
        <w:bidi w:val="0"/>
        <w:adjustRightInd/>
        <w:snapToGrid/>
        <w:spacing w:after="157" w:afterLines="50" w:line="240" w:lineRule="auto"/>
        <w:ind w:firstLine="0"/>
        <w:jc w:val="left"/>
        <w:textAlignment w:val="auto"/>
        <w:rPr>
          <w:rFonts w:hint="eastAsia" w:ascii="仿宋_GB2312" w:hAnsi="宋体" w:eastAsia="仿宋_GB2312"/>
          <w:b/>
          <w:color w:val="auto"/>
          <w:sz w:val="24"/>
          <w:lang w:eastAsia="zh-CN"/>
        </w:rPr>
      </w:pPr>
      <w:r>
        <w:rPr>
          <w:rFonts w:hint="eastAsia" w:ascii="仿宋_GB2312" w:hAnsi="宋体" w:eastAsia="仿宋_GB2312"/>
          <w:b/>
          <w:color w:val="auto"/>
          <w:sz w:val="24"/>
          <w:lang w:val="en-US" w:eastAsia="zh-CN"/>
        </w:rPr>
        <w:t>1.</w:t>
      </w:r>
      <w:r>
        <w:rPr>
          <w:rFonts w:hint="eastAsia" w:ascii="仿宋_GB2312" w:hAnsi="宋体" w:eastAsia="仿宋_GB2312"/>
          <w:b/>
          <w:color w:val="auto"/>
          <w:sz w:val="24"/>
        </w:rPr>
        <w:t>投标分项报价应尽细</w:t>
      </w:r>
      <w:r>
        <w:rPr>
          <w:rFonts w:hint="eastAsia" w:ascii="仿宋_GB2312" w:hAnsi="宋体" w:eastAsia="仿宋_GB2312"/>
          <w:b/>
          <w:color w:val="auto"/>
          <w:sz w:val="24"/>
          <w:lang w:val="en-US" w:eastAsia="zh-CN"/>
        </w:rPr>
        <w:t>(报价内容包括但不限于以上内容)</w:t>
      </w:r>
      <w:r>
        <w:rPr>
          <w:rFonts w:hint="eastAsia" w:ascii="仿宋_GB2312" w:hAnsi="宋体" w:eastAsia="仿宋_GB2312"/>
          <w:b/>
          <w:color w:val="auto"/>
          <w:sz w:val="24"/>
          <w:lang w:eastAsia="zh-CN"/>
        </w:rPr>
        <w:t>，所报价格为含税价格，采购人不再负担报价以外的费用；</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lang w:val="en-US" w:eastAsia="zh-CN"/>
        </w:rPr>
      </w:pPr>
      <w:r>
        <w:rPr>
          <w:rFonts w:hint="eastAsia" w:ascii="仿宋_GB2312" w:hAnsi="宋体" w:eastAsia="仿宋_GB2312"/>
          <w:b/>
          <w:color w:val="auto"/>
          <w:sz w:val="24"/>
          <w:lang w:val="en-US" w:eastAsia="zh-CN"/>
        </w:rPr>
        <w:t>2.</w:t>
      </w:r>
      <w:r>
        <w:rPr>
          <w:rFonts w:hint="eastAsia" w:ascii="仿宋_GB2312" w:hAnsi="宋体" w:eastAsia="仿宋_GB2312"/>
          <w:b/>
          <w:color w:val="auto"/>
          <w:sz w:val="24"/>
        </w:rPr>
        <w:t>将所有对应项费用全部列出，</w:t>
      </w:r>
      <w:r>
        <w:rPr>
          <w:rFonts w:hint="eastAsia" w:ascii="仿宋_GB2312" w:hAnsi="宋体" w:eastAsia="仿宋_GB2312"/>
          <w:b/>
          <w:color w:val="auto"/>
          <w:sz w:val="24"/>
          <w:lang w:eastAsia="zh-CN"/>
        </w:rPr>
        <w:t>合计</w:t>
      </w:r>
      <w:r>
        <w:rPr>
          <w:rFonts w:hint="eastAsia" w:ascii="仿宋_GB2312" w:hAnsi="宋体" w:eastAsia="仿宋_GB2312"/>
          <w:b/>
          <w:color w:val="auto"/>
          <w:sz w:val="24"/>
        </w:rPr>
        <w:t>应与投标一览表总计一致</w:t>
      </w:r>
      <w:r>
        <w:rPr>
          <w:rFonts w:hint="eastAsia" w:ascii="仿宋_GB2312" w:hAnsi="宋体" w:eastAsia="仿宋_GB2312"/>
          <w:b/>
          <w:color w:val="auto"/>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after="157" w:afterLines="50" w:line="240" w:lineRule="auto"/>
        <w:ind w:leftChars="0"/>
        <w:jc w:val="left"/>
        <w:textAlignment w:val="auto"/>
        <w:rPr>
          <w:rFonts w:hint="eastAsia" w:ascii="仿宋_GB2312" w:hAnsi="宋体" w:eastAsia="仿宋_GB2312"/>
          <w:b/>
          <w:color w:val="auto"/>
          <w:sz w:val="24"/>
        </w:rPr>
      </w:pPr>
      <w:r>
        <w:rPr>
          <w:rFonts w:hint="eastAsia" w:ascii="仿宋_GB2312" w:hAnsi="宋体" w:eastAsia="仿宋_GB2312"/>
          <w:b/>
          <w:color w:val="auto"/>
          <w:sz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pStyle w:val="38"/>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p>
    <w:p>
      <w:pPr>
        <w:rPr>
          <w:rFonts w:hint="eastAsia" w:ascii="仿宋_GB2312" w:eastAsia="仿宋_GB2312"/>
          <w:b/>
          <w:color w:val="auto"/>
          <w:sz w:val="24"/>
          <w:szCs w:val="24"/>
        </w:rPr>
      </w:pPr>
    </w:p>
    <w:p>
      <w:pPr>
        <w:ind w:firstLine="3373" w:firstLineChars="1400"/>
        <w:rPr>
          <w:rFonts w:hint="eastAsia" w:ascii="仿宋_GB2312" w:eastAsia="仿宋_GB2312"/>
          <w:b/>
          <w:color w:val="auto"/>
          <w:sz w:val="24"/>
        </w:rPr>
      </w:pPr>
      <w:r>
        <w:rPr>
          <w:rFonts w:hint="eastAsia" w:ascii="仿宋_GB2312" w:eastAsia="仿宋_GB2312"/>
          <w:b/>
          <w:color w:val="auto"/>
          <w:sz w:val="24"/>
        </w:rPr>
        <w:t xml:space="preserve">商务条款偏离表 </w:t>
      </w:r>
    </w:p>
    <w:p>
      <w:pPr>
        <w:pStyle w:val="6"/>
        <w:ind w:firstLine="0"/>
        <w:rPr>
          <w:rFonts w:hint="eastAsia" w:ascii="仿宋_GB2312" w:eastAsia="仿宋_GB2312"/>
          <w:color w:val="auto"/>
        </w:rPr>
      </w:pPr>
    </w:p>
    <w:p>
      <w:pPr>
        <w:pStyle w:val="6"/>
        <w:ind w:firstLine="0"/>
        <w:rPr>
          <w:rFonts w:hint="eastAsia" w:ascii="仿宋_GB2312" w:eastAsia="仿宋_GB2312"/>
          <w:color w:val="auto"/>
        </w:rPr>
      </w:pPr>
      <w:r>
        <w:rPr>
          <w:rFonts w:hint="eastAsia" w:ascii="仿宋_GB2312" w:eastAsia="仿宋_GB2312"/>
          <w:color w:val="auto"/>
        </w:rPr>
        <w:t>招标编号：               项目名称：</w:t>
      </w:r>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center"/>
          </w:tcPr>
          <w:p>
            <w:pPr>
              <w:pStyle w:val="11"/>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序号</w:t>
            </w:r>
          </w:p>
        </w:tc>
        <w:tc>
          <w:tcPr>
            <w:tcW w:w="2040" w:type="dxa"/>
            <w:vAlign w:val="center"/>
          </w:tcPr>
          <w:p>
            <w:pPr>
              <w:pStyle w:val="11"/>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招标文件条款号</w:t>
            </w:r>
          </w:p>
        </w:tc>
        <w:tc>
          <w:tcPr>
            <w:tcW w:w="2520" w:type="dxa"/>
            <w:vAlign w:val="center"/>
          </w:tcPr>
          <w:p>
            <w:pPr>
              <w:pStyle w:val="11"/>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招标文件的商务条款</w:t>
            </w:r>
          </w:p>
        </w:tc>
        <w:tc>
          <w:tcPr>
            <w:tcW w:w="2520" w:type="dxa"/>
            <w:vAlign w:val="center"/>
          </w:tcPr>
          <w:p>
            <w:pPr>
              <w:pStyle w:val="11"/>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投标文件的商务条款</w:t>
            </w:r>
          </w:p>
        </w:tc>
        <w:tc>
          <w:tcPr>
            <w:tcW w:w="900" w:type="dxa"/>
            <w:vAlign w:val="center"/>
          </w:tcPr>
          <w:p>
            <w:pPr>
              <w:pStyle w:val="11"/>
              <w:spacing w:before="100" w:beforeAutospacing="1" w:after="100" w:afterAutospacing="1" w:line="240" w:lineRule="exact"/>
              <w:jc w:val="center"/>
              <w:rPr>
                <w:rFonts w:hint="eastAsia" w:ascii="仿宋_GB2312" w:eastAsia="仿宋_GB2312"/>
                <w:color w:val="auto"/>
                <w:sz w:val="24"/>
              </w:rPr>
            </w:pPr>
            <w:r>
              <w:rPr>
                <w:rFonts w:hint="eastAsia" w:ascii="仿宋_GB2312" w:eastAsia="仿宋_GB2312"/>
                <w:color w:val="auto"/>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48"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04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2520" w:type="dxa"/>
            <w:vAlign w:val="top"/>
          </w:tcPr>
          <w:p>
            <w:pPr>
              <w:pStyle w:val="11"/>
              <w:spacing w:before="100" w:beforeAutospacing="1" w:after="100" w:afterAutospacing="1" w:line="240" w:lineRule="exact"/>
              <w:rPr>
                <w:rFonts w:hint="eastAsia" w:ascii="仿宋_GB2312" w:eastAsia="仿宋_GB2312"/>
                <w:color w:val="auto"/>
                <w:sz w:val="24"/>
              </w:rPr>
            </w:pPr>
          </w:p>
        </w:tc>
        <w:tc>
          <w:tcPr>
            <w:tcW w:w="900" w:type="dxa"/>
            <w:vAlign w:val="top"/>
          </w:tcPr>
          <w:p>
            <w:pPr>
              <w:pStyle w:val="11"/>
              <w:spacing w:before="100" w:beforeAutospacing="1" w:after="100" w:afterAutospacing="1" w:line="240" w:lineRule="exact"/>
              <w:rPr>
                <w:rFonts w:hint="eastAsia" w:ascii="仿宋_GB2312" w:eastAsia="仿宋_GB2312"/>
                <w:color w:val="auto"/>
                <w:sz w:val="24"/>
              </w:rPr>
            </w:pPr>
          </w:p>
        </w:tc>
      </w:tr>
    </w:tbl>
    <w:p>
      <w:pPr>
        <w:pStyle w:val="11"/>
        <w:spacing w:line="360" w:lineRule="auto"/>
        <w:rPr>
          <w:rFonts w:hint="eastAsia" w:ascii="仿宋_GB2312" w:eastAsia="仿宋_GB2312"/>
          <w:color w:val="auto"/>
          <w:sz w:val="24"/>
        </w:rPr>
      </w:pPr>
    </w:p>
    <w:p>
      <w:pPr>
        <w:pStyle w:val="11"/>
        <w:spacing w:line="360" w:lineRule="auto"/>
        <w:rPr>
          <w:rFonts w:hint="eastAsia" w:ascii="仿宋_GB2312" w:eastAsia="仿宋_GB2312"/>
          <w:color w:val="auto"/>
          <w:sz w:val="24"/>
        </w:rPr>
      </w:pPr>
    </w:p>
    <w:p>
      <w:pPr>
        <w:pStyle w:val="11"/>
        <w:spacing w:line="360" w:lineRule="auto"/>
        <w:rPr>
          <w:rFonts w:hint="eastAsia" w:ascii="仿宋_GB2312" w:eastAsia="仿宋_GB2312"/>
          <w:color w:val="auto"/>
          <w:sz w:val="24"/>
        </w:rPr>
      </w:pPr>
      <w:r>
        <w:rPr>
          <w:rFonts w:hint="eastAsia" w:ascii="仿宋_GB2312" w:eastAsia="仿宋_GB2312"/>
          <w:color w:val="auto"/>
          <w:sz w:val="24"/>
        </w:rPr>
        <w:t>法定代表人或投标人授权代表(签字或签章)：</w:t>
      </w:r>
      <w:r>
        <w:rPr>
          <w:rFonts w:hint="eastAsia" w:ascii="仿宋_GB2312" w:hAnsi="宋体" w:eastAsia="仿宋_GB2312"/>
          <w:color w:val="auto"/>
          <w:sz w:val="24"/>
          <w:u w:val="single"/>
        </w:rPr>
        <w:t xml:space="preserve">                 </w:t>
      </w:r>
    </w:p>
    <w:p>
      <w:pPr>
        <w:tabs>
          <w:tab w:val="left" w:pos="5580"/>
        </w:tabs>
        <w:spacing w:before="156" w:after="156" w:line="360" w:lineRule="auto"/>
        <w:rPr>
          <w:rFonts w:hint="eastAsia" w:ascii="仿宋_GB2312" w:hAnsi="宋体" w:eastAsia="仿宋_GB2312"/>
          <w:color w:val="auto"/>
          <w:sz w:val="24"/>
        </w:rPr>
      </w:pPr>
      <w:r>
        <w:rPr>
          <w:rFonts w:hint="eastAsia" w:ascii="仿宋_GB2312" w:hAnsi="宋体" w:eastAsia="仿宋_GB2312"/>
          <w:color w:val="auto"/>
          <w:sz w:val="24"/>
        </w:rPr>
        <w:t>投标人名称:</w:t>
      </w:r>
      <w:r>
        <w:rPr>
          <w:rFonts w:hint="eastAsia" w:ascii="仿宋_GB2312" w:hAnsi="宋体" w:eastAsia="仿宋_GB2312"/>
          <w:color w:val="auto"/>
          <w:sz w:val="24"/>
          <w:u w:val="single"/>
        </w:rPr>
        <w:t xml:space="preserve">                        </w:t>
      </w:r>
      <w:r>
        <w:rPr>
          <w:rFonts w:hint="eastAsia" w:ascii="仿宋_GB2312" w:hAnsi="宋体" w:eastAsia="仿宋_GB2312"/>
          <w:color w:val="auto"/>
          <w:sz w:val="24"/>
        </w:rPr>
        <w:t>(盖章)</w:t>
      </w:r>
    </w:p>
    <w:p>
      <w:pPr>
        <w:rPr>
          <w:rFonts w:hint="eastAsia"/>
          <w:lang w:eastAsia="zh-CN"/>
        </w:rPr>
        <w:sectPr>
          <w:pgSz w:w="11906" w:h="16838"/>
          <w:pgMar w:top="1440" w:right="1797" w:bottom="1440" w:left="1797" w:header="851" w:footer="992" w:gutter="0"/>
          <w:pgNumType w:fmt="decimal"/>
          <w:cols w:space="720" w:num="1"/>
          <w:docGrid w:type="lines" w:linePitch="312"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rPr>
        <w:t>附件</w:t>
      </w:r>
      <w:r>
        <w:rPr>
          <w:rFonts w:hint="eastAsia" w:ascii="仿宋_GB2312" w:eastAsia="仿宋_GB2312"/>
          <w:b/>
          <w:color w:val="auto"/>
          <w:sz w:val="24"/>
          <w:szCs w:val="24"/>
          <w:lang w:val="en-US" w:eastAsia="zh-CN"/>
        </w:rPr>
        <w:t>7</w:t>
      </w:r>
    </w:p>
    <w:p>
      <w:pPr>
        <w:keepNext w:val="0"/>
        <w:keepLines w:val="0"/>
        <w:pageBreakBefore w:val="0"/>
        <w:kinsoku/>
        <w:overflowPunct/>
        <w:topLinePunct w:val="0"/>
        <w:autoSpaceDE/>
        <w:autoSpaceDN/>
        <w:bidi w:val="0"/>
        <w:spacing w:line="560" w:lineRule="exact"/>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项目理解分析</w:t>
      </w:r>
    </w:p>
    <w:p>
      <w:pPr>
        <w:keepNext w:val="0"/>
        <w:keepLines w:val="0"/>
        <w:pageBreakBefore w:val="0"/>
        <w:kinsoku/>
        <w:overflowPunct/>
        <w:topLinePunct w:val="0"/>
        <w:autoSpaceDE/>
        <w:autoSpaceDN/>
        <w:bidi w:val="0"/>
        <w:spacing w:line="560" w:lineRule="exact"/>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after="156" w:line="360" w:lineRule="auto"/>
        <w:jc w:val="center"/>
        <w:rPr>
          <w:rFonts w:hint="eastAsia" w:ascii="仿宋_GB2312" w:eastAsia="仿宋_GB2312"/>
          <w:b/>
          <w:color w:val="auto"/>
          <w:sz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10"/>
        <w:rPr>
          <w:rFonts w:hint="eastAsia" w:ascii="仿宋_GB2312" w:hAnsi="宋体" w:eastAsia="仿宋_GB2312"/>
          <w:b/>
          <w:color w:val="auto"/>
          <w:sz w:val="24"/>
          <w:szCs w:val="24"/>
          <w:lang w:eastAsia="zh-CN"/>
        </w:rPr>
      </w:pPr>
    </w:p>
    <w:p>
      <w:pPr>
        <w:rPr>
          <w:rFonts w:hint="eastAsia"/>
          <w:color w:val="auto"/>
          <w:lang w:eastAsia="zh-CN"/>
        </w:rPr>
      </w:pPr>
    </w:p>
    <w:p>
      <w:pPr>
        <w:rPr>
          <w:rFonts w:hint="eastAsia" w:ascii="仿宋_GB2312" w:eastAsia="仿宋_GB2312"/>
          <w:b/>
          <w:color w:val="auto"/>
          <w:sz w:val="24"/>
          <w:szCs w:val="24"/>
          <w:lang w:val="en-US" w:eastAsia="zh-CN"/>
        </w:rPr>
      </w:pPr>
    </w:p>
    <w:p>
      <w:pPr>
        <w:rPr>
          <w:rFonts w:hint="eastAsia" w:ascii="仿宋_GB2312"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8</w:t>
      </w:r>
    </w:p>
    <w:p>
      <w:pPr>
        <w:tabs>
          <w:tab w:val="left" w:pos="5580"/>
        </w:tabs>
        <w:spacing w:before="156" w:after="156"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拟派项目团队人员</w:t>
      </w:r>
    </w:p>
    <w:p>
      <w:pPr>
        <w:tabs>
          <w:tab w:val="left" w:pos="5580"/>
        </w:tabs>
        <w:spacing w:before="156" w:after="156"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Style w:val="8"/>
        <w:rPr>
          <w:rFonts w:hint="eastAsia" w:ascii="仿宋_GB2312" w:hAnsi="宋体" w:eastAsia="仿宋_GB2312"/>
          <w:b/>
          <w:color w:val="auto"/>
          <w:sz w:val="24"/>
          <w:szCs w:val="24"/>
          <w:lang w:eastAsia="zh-CN"/>
        </w:rPr>
      </w:pPr>
    </w:p>
    <w:p>
      <w:pPr>
        <w:pStyle w:val="17"/>
        <w:rPr>
          <w:rFonts w:hint="eastAsia" w:ascii="仿宋_GB2312" w:hAnsi="宋体" w:eastAsia="仿宋_GB2312"/>
          <w:b/>
          <w:color w:val="auto"/>
          <w:sz w:val="24"/>
          <w:szCs w:val="24"/>
          <w:lang w:eastAsia="zh-CN"/>
        </w:rPr>
      </w:pPr>
    </w:p>
    <w:p>
      <w:pPr>
        <w:rPr>
          <w:rFonts w:hint="eastAsia"/>
          <w:color w:val="auto"/>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9</w:t>
      </w:r>
    </w:p>
    <w:p>
      <w:pPr>
        <w:tabs>
          <w:tab w:val="left" w:pos="5580"/>
        </w:tabs>
        <w:spacing w:before="156" w:after="156"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实施方案</w:t>
      </w:r>
    </w:p>
    <w:p>
      <w:pPr>
        <w:tabs>
          <w:tab w:val="left" w:pos="5580"/>
        </w:tabs>
        <w:spacing w:before="156" w:after="156"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10</w:t>
      </w:r>
    </w:p>
    <w:p>
      <w:pPr>
        <w:tabs>
          <w:tab w:val="left" w:pos="5580"/>
        </w:tabs>
        <w:spacing w:before="156" w:after="156"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应急预案</w:t>
      </w:r>
    </w:p>
    <w:p>
      <w:pPr>
        <w:tabs>
          <w:tab w:val="left" w:pos="5580"/>
        </w:tabs>
        <w:spacing w:before="156" w:after="156"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br w:type="page"/>
      </w: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11</w:t>
      </w:r>
    </w:p>
    <w:p>
      <w:pPr>
        <w:tabs>
          <w:tab w:val="left" w:pos="5580"/>
        </w:tabs>
        <w:spacing w:before="156" w:after="156"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服务承诺及措施</w:t>
      </w:r>
    </w:p>
    <w:p>
      <w:pPr>
        <w:tabs>
          <w:tab w:val="left" w:pos="5580"/>
        </w:tabs>
        <w:spacing w:before="156" w:after="156"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（供应商视情况自行填写）</w:t>
      </w: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sectPr>
          <w:pgSz w:w="11906" w:h="16838"/>
          <w:pgMar w:top="1440" w:right="1797" w:bottom="1440" w:left="1797" w:header="851" w:footer="992" w:gutter="0"/>
          <w:pgNumType w:fmt="decimal"/>
          <w:cols w:space="720" w:num="1"/>
          <w:rtlGutter w:val="0"/>
          <w:docGrid w:type="lines" w:linePitch="319" w:charSpace="0"/>
        </w:sectPr>
      </w:pPr>
    </w:p>
    <w:p>
      <w:pPr>
        <w:tabs>
          <w:tab w:val="left" w:pos="5580"/>
        </w:tabs>
        <w:spacing w:before="156" w:beforeLines="50" w:after="156" w:afterLines="50" w:line="360" w:lineRule="auto"/>
        <w:rPr>
          <w:rFonts w:hint="eastAsia" w:ascii="仿宋_GB2312" w:hAnsi="宋体" w:eastAsia="仿宋_GB2312"/>
          <w:b/>
          <w:color w:val="auto"/>
          <w:sz w:val="24"/>
          <w:szCs w:val="24"/>
          <w:lang w:eastAsia="zh-CN"/>
        </w:rPr>
      </w:pP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12</w:t>
      </w:r>
    </w:p>
    <w:p>
      <w:pPr>
        <w:tabs>
          <w:tab w:val="left" w:pos="5580"/>
        </w:tabs>
        <w:spacing w:before="156" w:beforeLines="50" w:after="156" w:afterLines="50" w:line="360" w:lineRule="auto"/>
        <w:jc w:val="center"/>
        <w:rPr>
          <w:rFonts w:hint="eastAsia" w:ascii="仿宋_GB2312" w:hAnsi="宋体" w:eastAsia="仿宋_GB2312" w:cs="Times New Roman"/>
          <w:b/>
          <w:color w:val="auto"/>
          <w:sz w:val="24"/>
          <w:szCs w:val="24"/>
        </w:rPr>
      </w:pPr>
      <w:r>
        <w:rPr>
          <w:rFonts w:hint="eastAsia" w:ascii="仿宋_GB2312" w:hAnsi="宋体" w:eastAsia="仿宋_GB2312" w:cs="Times New Roman"/>
          <w:b/>
          <w:color w:val="auto"/>
          <w:sz w:val="24"/>
          <w:szCs w:val="24"/>
        </w:rPr>
        <w:t>投标人202</w:t>
      </w:r>
      <w:r>
        <w:rPr>
          <w:rFonts w:hint="eastAsia" w:ascii="仿宋_GB2312" w:hAnsi="宋体" w:eastAsia="仿宋_GB2312" w:cs="Times New Roman"/>
          <w:b/>
          <w:color w:val="auto"/>
          <w:sz w:val="24"/>
          <w:szCs w:val="24"/>
          <w:lang w:val="en-US" w:eastAsia="zh-CN"/>
        </w:rPr>
        <w:t>1</w:t>
      </w:r>
      <w:r>
        <w:rPr>
          <w:rFonts w:hint="eastAsia" w:ascii="仿宋_GB2312" w:hAnsi="宋体" w:eastAsia="仿宋_GB2312" w:cs="Times New Roman"/>
          <w:b/>
          <w:color w:val="auto"/>
          <w:sz w:val="24"/>
          <w:szCs w:val="24"/>
        </w:rPr>
        <w:t>年1月1日至今承担的同类服务项目业绩证明</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tabs>
          <w:tab w:val="left" w:pos="5580"/>
        </w:tabs>
        <w:spacing w:line="360" w:lineRule="auto"/>
        <w:jc w:val="left"/>
        <w:rPr>
          <w:rFonts w:hint="eastAsia" w:ascii="仿宋_GB2312" w:hAnsi="宋体" w:eastAsia="仿宋_GB2312"/>
          <w:b/>
          <w:bCs w:val="0"/>
          <w:color w:val="auto"/>
          <w:sz w:val="24"/>
        </w:rPr>
      </w:pPr>
      <w:r>
        <w:rPr>
          <w:rFonts w:hint="eastAsia" w:ascii="仿宋_GB2312" w:hAnsi="宋体" w:eastAsia="仿宋_GB2312"/>
          <w:b/>
          <w:color w:val="auto"/>
          <w:sz w:val="24"/>
        </w:rPr>
        <w:t>每个业绩资料应以合同签订日期为准,提供合同关键页</w:t>
      </w:r>
      <w:r>
        <w:rPr>
          <w:rFonts w:hint="eastAsia" w:ascii="仿宋" w:hAnsi="仿宋" w:eastAsia="仿宋" w:cs="仿宋"/>
          <w:bCs/>
          <w:color w:val="000000" w:themeColor="text1"/>
          <w:szCs w:val="21"/>
          <w14:textFill>
            <w14:solidFill>
              <w14:schemeClr w14:val="tx1"/>
            </w14:solidFill>
          </w14:textFill>
        </w:rPr>
        <w:t>（附与用户签订的合同首页、服务周期页、服务内容所在页及签署页、服务内容）</w:t>
      </w:r>
    </w:p>
    <w:tbl>
      <w:tblPr>
        <w:tblStyle w:val="23"/>
        <w:tblW w:w="13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349"/>
        <w:gridCol w:w="900"/>
        <w:gridCol w:w="1260"/>
        <w:gridCol w:w="1338"/>
        <w:gridCol w:w="1362"/>
        <w:gridCol w:w="918"/>
        <w:gridCol w:w="1140"/>
        <w:gridCol w:w="1076"/>
        <w:gridCol w:w="1076"/>
        <w:gridCol w:w="14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序号</w:t>
            </w:r>
          </w:p>
        </w:tc>
        <w:tc>
          <w:tcPr>
            <w:tcW w:w="2349"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项目名称</w:t>
            </w:r>
          </w:p>
        </w:tc>
        <w:tc>
          <w:tcPr>
            <w:tcW w:w="90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地点</w:t>
            </w:r>
          </w:p>
        </w:tc>
        <w:tc>
          <w:tcPr>
            <w:tcW w:w="126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服务内容</w:t>
            </w:r>
          </w:p>
        </w:tc>
        <w:tc>
          <w:tcPr>
            <w:tcW w:w="133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建筑面积（万M</w:t>
            </w:r>
            <w:r>
              <w:rPr>
                <w:rFonts w:hint="eastAsia" w:ascii="仿宋_GB2312" w:hAnsi="宋体" w:eastAsia="仿宋_GB2312"/>
                <w:b/>
                <w:color w:val="auto"/>
                <w:sz w:val="24"/>
                <w:vertAlign w:val="superscript"/>
              </w:rPr>
              <w:t>2</w:t>
            </w:r>
            <w:r>
              <w:rPr>
                <w:rFonts w:hint="eastAsia" w:ascii="仿宋_GB2312" w:hAnsi="宋体" w:eastAsia="仿宋_GB2312"/>
                <w:color w:val="auto"/>
                <w:sz w:val="24"/>
              </w:rPr>
              <w:t>）</w:t>
            </w:r>
          </w:p>
        </w:tc>
        <w:tc>
          <w:tcPr>
            <w:tcW w:w="1362"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合同金额（元）</w:t>
            </w:r>
          </w:p>
        </w:tc>
        <w:tc>
          <w:tcPr>
            <w:tcW w:w="918"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接管日期</w:t>
            </w:r>
          </w:p>
        </w:tc>
        <w:tc>
          <w:tcPr>
            <w:tcW w:w="1140"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目前状态</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获奖情况</w:t>
            </w:r>
          </w:p>
        </w:tc>
        <w:tc>
          <w:tcPr>
            <w:tcW w:w="107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联系人</w:t>
            </w:r>
          </w:p>
        </w:tc>
        <w:tc>
          <w:tcPr>
            <w:tcW w:w="1456" w:type="dxa"/>
            <w:vAlign w:val="center"/>
          </w:tcPr>
          <w:p>
            <w:pPr>
              <w:snapToGrid w:val="0"/>
              <w:spacing w:line="460" w:lineRule="exact"/>
              <w:jc w:val="center"/>
              <w:rPr>
                <w:rFonts w:hint="eastAsia" w:ascii="仿宋_GB2312" w:hAnsi="宋体" w:eastAsia="仿宋_GB2312"/>
                <w:color w:val="auto"/>
                <w:sz w:val="24"/>
              </w:rPr>
            </w:pPr>
            <w:r>
              <w:rPr>
                <w:rFonts w:hint="eastAsia" w:ascii="仿宋_GB2312" w:hAnsi="宋体" w:eastAsia="仿宋_GB2312"/>
                <w:color w:val="auto"/>
                <w:sz w:val="24"/>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73" w:type="dxa"/>
            <w:vAlign w:val="top"/>
          </w:tcPr>
          <w:p>
            <w:pPr>
              <w:snapToGrid w:val="0"/>
              <w:spacing w:line="460" w:lineRule="exact"/>
              <w:rPr>
                <w:rFonts w:ascii="宋体" w:hAnsi="宋体"/>
                <w:color w:val="auto"/>
                <w:sz w:val="24"/>
              </w:rPr>
            </w:pPr>
          </w:p>
        </w:tc>
        <w:tc>
          <w:tcPr>
            <w:tcW w:w="2349" w:type="dxa"/>
            <w:vAlign w:val="top"/>
          </w:tcPr>
          <w:p>
            <w:pPr>
              <w:snapToGrid w:val="0"/>
              <w:spacing w:line="460" w:lineRule="exact"/>
              <w:rPr>
                <w:rFonts w:ascii="宋体" w:hAnsi="宋体"/>
                <w:color w:val="auto"/>
                <w:sz w:val="24"/>
              </w:rPr>
            </w:pPr>
          </w:p>
        </w:tc>
        <w:tc>
          <w:tcPr>
            <w:tcW w:w="900" w:type="dxa"/>
            <w:vAlign w:val="top"/>
          </w:tcPr>
          <w:p>
            <w:pPr>
              <w:snapToGrid w:val="0"/>
              <w:spacing w:line="460" w:lineRule="exact"/>
              <w:rPr>
                <w:rFonts w:ascii="宋体" w:hAnsi="宋体"/>
                <w:color w:val="auto"/>
                <w:sz w:val="24"/>
              </w:rPr>
            </w:pPr>
          </w:p>
        </w:tc>
        <w:tc>
          <w:tcPr>
            <w:tcW w:w="1260" w:type="dxa"/>
            <w:vAlign w:val="top"/>
          </w:tcPr>
          <w:p>
            <w:pPr>
              <w:snapToGrid w:val="0"/>
              <w:spacing w:line="460" w:lineRule="exact"/>
              <w:rPr>
                <w:rFonts w:ascii="宋体" w:hAnsi="宋体"/>
                <w:color w:val="auto"/>
                <w:sz w:val="24"/>
              </w:rPr>
            </w:pPr>
          </w:p>
        </w:tc>
        <w:tc>
          <w:tcPr>
            <w:tcW w:w="1338" w:type="dxa"/>
            <w:vAlign w:val="top"/>
          </w:tcPr>
          <w:p>
            <w:pPr>
              <w:snapToGrid w:val="0"/>
              <w:spacing w:line="460" w:lineRule="exact"/>
              <w:rPr>
                <w:rFonts w:ascii="宋体" w:hAnsi="宋体"/>
                <w:color w:val="auto"/>
                <w:sz w:val="24"/>
              </w:rPr>
            </w:pPr>
          </w:p>
        </w:tc>
        <w:tc>
          <w:tcPr>
            <w:tcW w:w="1362" w:type="dxa"/>
            <w:vAlign w:val="top"/>
          </w:tcPr>
          <w:p>
            <w:pPr>
              <w:snapToGrid w:val="0"/>
              <w:spacing w:line="460" w:lineRule="exact"/>
              <w:rPr>
                <w:rFonts w:ascii="宋体" w:hAnsi="宋体"/>
                <w:color w:val="auto"/>
                <w:sz w:val="24"/>
              </w:rPr>
            </w:pPr>
          </w:p>
        </w:tc>
        <w:tc>
          <w:tcPr>
            <w:tcW w:w="918" w:type="dxa"/>
            <w:vAlign w:val="top"/>
          </w:tcPr>
          <w:p>
            <w:pPr>
              <w:snapToGrid w:val="0"/>
              <w:spacing w:line="460" w:lineRule="exact"/>
              <w:rPr>
                <w:rFonts w:ascii="宋体" w:hAnsi="宋体"/>
                <w:color w:val="auto"/>
                <w:sz w:val="24"/>
              </w:rPr>
            </w:pPr>
          </w:p>
        </w:tc>
        <w:tc>
          <w:tcPr>
            <w:tcW w:w="1140"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076" w:type="dxa"/>
            <w:vAlign w:val="top"/>
          </w:tcPr>
          <w:p>
            <w:pPr>
              <w:snapToGrid w:val="0"/>
              <w:spacing w:line="460" w:lineRule="exact"/>
              <w:rPr>
                <w:rFonts w:ascii="宋体" w:hAnsi="宋体"/>
                <w:color w:val="auto"/>
                <w:sz w:val="24"/>
              </w:rPr>
            </w:pPr>
          </w:p>
        </w:tc>
        <w:tc>
          <w:tcPr>
            <w:tcW w:w="1456" w:type="dxa"/>
            <w:vAlign w:val="top"/>
          </w:tcPr>
          <w:p>
            <w:pPr>
              <w:snapToGrid w:val="0"/>
              <w:spacing w:line="460" w:lineRule="exact"/>
              <w:rPr>
                <w:rFonts w:ascii="宋体" w:hAnsi="宋体"/>
                <w:color w:val="auto"/>
                <w:sz w:val="24"/>
              </w:rPr>
            </w:pPr>
          </w:p>
        </w:tc>
      </w:tr>
    </w:tbl>
    <w:p>
      <w:pPr>
        <w:spacing w:before="156" w:beforeLines="50" w:after="156" w:afterLines="50" w:line="360" w:lineRule="auto"/>
        <w:rPr>
          <w:rFonts w:ascii="仿宋_GB2312" w:hAnsi="Calibri" w:eastAsia="仿宋_GB2312"/>
          <w:color w:val="auto"/>
          <w:sz w:val="24"/>
          <w:szCs w:val="24"/>
        </w:rPr>
      </w:pPr>
      <w:r>
        <w:rPr>
          <w:rFonts w:hint="eastAsia" w:ascii="仿宋_GB2312" w:hAnsi="Calibri" w:eastAsia="仿宋_GB2312"/>
          <w:b/>
          <w:color w:val="auto"/>
          <w:sz w:val="24"/>
        </w:rPr>
        <w:t>注：应附相应的合同，所报资料不清楚、涂改、遮挡或不全的将视为无效。</w:t>
      </w:r>
    </w:p>
    <w:p>
      <w:pPr>
        <w:tabs>
          <w:tab w:val="left" w:pos="5580"/>
        </w:tabs>
        <w:spacing w:before="156" w:beforeLines="50" w:after="156" w:afterLines="50" w:line="360" w:lineRule="auto"/>
        <w:rPr>
          <w:rFonts w:ascii="仿宋_GB2312" w:hAnsi="宋体" w:eastAsia="仿宋_GB2312"/>
          <w:b/>
          <w:color w:val="auto"/>
          <w:sz w:val="24"/>
          <w:szCs w:val="24"/>
        </w:rPr>
      </w:pPr>
      <w:r>
        <w:rPr>
          <w:rFonts w:hint="eastAsia" w:ascii="仿宋_GB2312" w:hAnsi="宋体" w:eastAsia="仿宋_GB2312"/>
          <w:color w:val="auto"/>
          <w:sz w:val="24"/>
          <w:szCs w:val="24"/>
        </w:rPr>
        <w:t>投标人全称</w:t>
      </w:r>
      <w:r>
        <w:rPr>
          <w:rFonts w:hint="eastAsia" w:ascii="仿宋_GB2312" w:hAnsi="Calibri"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Calibri" w:eastAsia="仿宋_GB2312"/>
          <w:b/>
          <w:color w:val="auto"/>
          <w:sz w:val="24"/>
          <w:szCs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szCs w:val="24"/>
        </w:rPr>
        <w:t>)</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eastAsia="仿宋_GB2312"/>
          <w:b/>
          <w:color w:val="auto"/>
          <w:sz w:val="24"/>
          <w:szCs w:val="24"/>
        </w:rPr>
      </w:pPr>
      <w:r>
        <w:rPr>
          <w:rFonts w:hint="eastAsia" w:ascii="仿宋_GB2312" w:hAnsi="Calibri" w:eastAsia="仿宋_GB2312"/>
          <w:color w:val="auto"/>
          <w:sz w:val="24"/>
          <w:szCs w:val="24"/>
          <w:lang w:eastAsia="zh-CN"/>
        </w:rPr>
        <w:t>法定代表人或投标人授权代表(签字或签章)</w:t>
      </w:r>
      <w:r>
        <w:rPr>
          <w:rFonts w:hint="eastAsia" w:ascii="仿宋_GB2312" w:hAnsi="Calibri" w:eastAsia="仿宋_GB2312"/>
          <w:color w:val="auto"/>
          <w:sz w:val="24"/>
          <w:szCs w:val="24"/>
        </w:rPr>
        <w:t>：</w:t>
      </w:r>
      <w:r>
        <w:rPr>
          <w:rFonts w:hint="eastAsia" w:ascii="仿宋_GB2312" w:hAnsi="Calibri" w:eastAsia="仿宋_GB2312"/>
          <w:color w:val="auto"/>
          <w:sz w:val="24"/>
          <w:szCs w:val="24"/>
          <w:u w:val="single"/>
        </w:rPr>
        <w:t xml:space="preserve">                </w:t>
      </w:r>
      <w:bookmarkStart w:id="16" w:name="_GoBack"/>
      <w:bookmarkEnd w:id="16"/>
    </w:p>
    <w:p>
      <w:pPr>
        <w:pStyle w:val="19"/>
        <w:rPr>
          <w:rFonts w:hint="eastAsia" w:ascii="仿宋_GB2312" w:hAnsi="Calibri" w:eastAsia="仿宋_GB2312"/>
          <w:color w:val="auto"/>
          <w:sz w:val="24"/>
          <w:szCs w:val="24"/>
          <w:u w:val="single"/>
        </w:rPr>
      </w:pPr>
    </w:p>
    <w:p>
      <w:pPr>
        <w:rPr>
          <w:rFonts w:hint="eastAsia" w:ascii="仿宋_GB2312" w:hAnsi="Calibri" w:eastAsia="仿宋_GB2312"/>
          <w:color w:val="auto"/>
          <w:sz w:val="24"/>
          <w:szCs w:val="24"/>
          <w:u w:val="single"/>
        </w:rPr>
        <w:sectPr>
          <w:pgSz w:w="16838" w:h="11906" w:orient="landscape"/>
          <w:pgMar w:top="1797" w:right="1440" w:bottom="1797" w:left="1440" w:header="851" w:footer="992" w:gutter="0"/>
          <w:pgNumType w:fmt="decimal"/>
          <w:cols w:space="720" w:num="1"/>
          <w:rtlGutter w:val="0"/>
          <w:docGrid w:type="lines" w:linePitch="319" w:charSpace="0"/>
        </w:sectPr>
      </w:pPr>
    </w:p>
    <w:p>
      <w:pPr>
        <w:tabs>
          <w:tab w:val="left" w:pos="5580"/>
        </w:tabs>
        <w:spacing w:before="156" w:beforeLines="50"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lang w:eastAsia="zh-CN"/>
        </w:rPr>
        <w:t>附件</w:t>
      </w:r>
      <w:r>
        <w:rPr>
          <w:rFonts w:hint="eastAsia" w:ascii="仿宋_GB2312" w:hAnsi="宋体" w:eastAsia="仿宋_GB2312"/>
          <w:b/>
          <w:color w:val="auto"/>
          <w:sz w:val="24"/>
          <w:szCs w:val="24"/>
          <w:lang w:val="en-US" w:eastAsia="zh-CN"/>
        </w:rPr>
        <w:t>13</w:t>
      </w:r>
    </w:p>
    <w:p>
      <w:pPr>
        <w:tabs>
          <w:tab w:val="left" w:pos="5580"/>
        </w:tabs>
        <w:spacing w:before="156" w:beforeLines="50" w:after="156" w:afterLines="50" w:line="360" w:lineRule="auto"/>
        <w:jc w:val="center"/>
        <w:rPr>
          <w:rFonts w:hint="eastAsia" w:ascii="仿宋_GB2312" w:hAnsi="宋体" w:eastAsia="仿宋_GB2312" w:cs="Times New Roman"/>
          <w:b/>
          <w:color w:val="auto"/>
          <w:sz w:val="24"/>
          <w:szCs w:val="24"/>
          <w:lang w:eastAsia="zh-CN"/>
        </w:rPr>
      </w:pPr>
      <w:r>
        <w:rPr>
          <w:rFonts w:hint="eastAsia" w:ascii="仿宋_GB2312" w:hAnsi="宋体" w:eastAsia="仿宋_GB2312" w:cs="Times New Roman"/>
          <w:b/>
          <w:color w:val="auto"/>
          <w:sz w:val="24"/>
          <w:szCs w:val="24"/>
          <w:lang w:eastAsia="zh-CN"/>
        </w:rPr>
        <w:t>专业岗位操作人员证书要求</w:t>
      </w:r>
    </w:p>
    <w:p>
      <w:pPr>
        <w:tabs>
          <w:tab w:val="left" w:pos="5580"/>
        </w:tabs>
        <w:spacing w:before="156" w:beforeLines="50" w:after="156" w:afterLines="50" w:line="360" w:lineRule="auto"/>
        <w:jc w:val="cente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lang w:val="en-US" w:eastAsia="zh-CN"/>
        </w:rPr>
        <w:t>（</w:t>
      </w:r>
      <w:r>
        <w:rPr>
          <w:rFonts w:hint="eastAsia" w:ascii="仿宋_GB2312" w:hAnsi="宋体" w:eastAsia="仿宋_GB2312"/>
          <w:b/>
          <w:color w:val="auto"/>
          <w:sz w:val="24"/>
          <w:szCs w:val="24"/>
          <w:lang w:eastAsia="zh-CN"/>
        </w:rPr>
        <w:t>供应商视情况自行填写</w:t>
      </w:r>
      <w:r>
        <w:rPr>
          <w:rFonts w:hint="eastAsia" w:ascii="仿宋_GB2312" w:hAnsi="宋体" w:eastAsia="仿宋_GB2312"/>
          <w:b/>
          <w:color w:val="auto"/>
          <w:sz w:val="24"/>
          <w:szCs w:val="24"/>
          <w:lang w:val="en-US" w:eastAsia="zh-CN"/>
        </w:rPr>
        <w:t>）</w:t>
      </w: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eastAsia" w:ascii="仿宋_GB2312" w:hAnsi="宋体" w:eastAsia="仿宋_GB2312"/>
          <w:b/>
          <w:color w:val="auto"/>
          <w:sz w:val="24"/>
          <w:szCs w:val="24"/>
        </w:rPr>
      </w:pPr>
    </w:p>
    <w:p>
      <w:pPr>
        <w:tabs>
          <w:tab w:val="left" w:pos="5580"/>
        </w:tabs>
        <w:spacing w:after="156" w:afterLines="50" w:line="360" w:lineRule="auto"/>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14</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pgNumType w:fmt="decimal"/>
          <w:cols w:space="720" w:num="1"/>
          <w:rtlGutter w:val="0"/>
          <w:docGrid w:type="lines" w:linePitch="319"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15</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投标人认为必要的辅助资料（如有）</w:t>
      </w: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rFonts w:ascii="仿宋_GB2312" w:eastAsia="仿宋_GB2312"/>
          <w:b/>
          <w:color w:val="auto"/>
          <w:sz w:val="24"/>
          <w:szCs w:val="24"/>
        </w:rPr>
      </w:pPr>
    </w:p>
    <w:p>
      <w:pPr>
        <w:rPr>
          <w:rFonts w:ascii="仿宋_GB2312" w:eastAsia="仿宋_GB2312"/>
          <w:b/>
          <w:color w:val="auto"/>
          <w:sz w:val="24"/>
          <w:szCs w:val="24"/>
        </w:rPr>
      </w:pPr>
    </w:p>
    <w:p>
      <w:pPr>
        <w:pStyle w:val="10"/>
        <w:rPr>
          <w:color w:val="auto"/>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rPr>
          <w:rFonts w:ascii="仿宋_GB2312" w:eastAsia="仿宋_GB2312"/>
          <w:b/>
          <w:color w:val="auto"/>
          <w:sz w:val="24"/>
          <w:szCs w:val="24"/>
        </w:rPr>
      </w:pPr>
    </w:p>
    <w:p>
      <w:pPr>
        <w:tabs>
          <w:tab w:val="left" w:pos="5580"/>
        </w:tabs>
        <w:spacing w:before="156" w:beforeLines="50" w:after="156" w:afterLines="50" w:line="360" w:lineRule="auto"/>
        <w:jc w:val="center"/>
        <w:rPr>
          <w:rFonts w:ascii="仿宋_GB2312" w:eastAsia="仿宋_GB2312"/>
          <w:b/>
          <w:color w:val="auto"/>
          <w:sz w:val="24"/>
        </w:rPr>
      </w:pPr>
      <w:r>
        <w:rPr>
          <w:rFonts w:hint="eastAsia" w:ascii="仿宋_GB2312" w:eastAsia="仿宋_GB2312"/>
          <w:b/>
          <w:color w:val="auto"/>
          <w:sz w:val="24"/>
        </w:rPr>
        <w:t>. 完  .</w:t>
      </w:r>
    </w:p>
    <w:sectPr>
      <w:pgSz w:w="11906" w:h="16838"/>
      <w:pgMar w:top="1440" w:right="1797" w:bottom="1440" w:left="1797" w:header="851" w:footer="992" w:gutter="0"/>
      <w:pgNumType w:fmt="decimal"/>
      <w:cols w:space="72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onsolas">
    <w:panose1 w:val="020B0609020204030204"/>
    <w:charset w:val="00"/>
    <w:family w:val="auto"/>
    <w:pitch w:val="default"/>
    <w:sig w:usb0="E10002FF" w:usb1="4000FCFF" w:usb2="00000009" w:usb3="00000000" w:csb0="6000019F" w:csb1="DFD70000"/>
  </w:font>
  <w:font w:name="仿宋">
    <w:panose1 w:val="02010609060101010101"/>
    <w:charset w:val="86"/>
    <w:family w:val="auto"/>
    <w:pitch w:val="default"/>
    <w:sig w:usb0="800002BF" w:usb1="38CF7CFA" w:usb2="00000016" w:usb3="00000000" w:csb0="00040001" w:csb1="00000000"/>
  </w:font>
  <w:font w:name="FontAwesome">
    <w:altName w:val="Segoe Print"/>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Helvetica Neue">
    <w:altName w:val="Segoe Print"/>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MFOEFR+»ªÎÄÏ¸ºÚ">
    <w:altName w:val="微软雅黑"/>
    <w:panose1 w:val="00000000000000000000"/>
    <w:charset w:val="01"/>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QWCHIJ+»ªÎÄÏ¸ºÚ">
    <w:altName w:val="微软雅黑"/>
    <w:panose1 w:val="00000000000000000000"/>
    <w:charset w:val="01"/>
    <w:family w:val="auto"/>
    <w:pitch w:val="default"/>
    <w:sig w:usb0="00000000" w:usb1="00000000" w:usb2="00000000" w:usb3="00000000" w:csb0="0004009F" w:csb1="DFD7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panose1 w:val="02030600000101010101"/>
    <w:charset w:val="81"/>
    <w:family w:val="auto"/>
    <w:pitch w:val="default"/>
    <w:sig w:usb0="B00002AF" w:usb1="69D77CFB" w:usb2="00000030" w:usb3="00000000" w:csb0="4008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2"/>
      <w:rPr>
        <w:rStyle w:val="27"/>
      </w:rPr>
    </w:pPr>
    <w:r>
      <w:fldChar w:fldCharType="begin"/>
    </w:r>
    <w:r>
      <w:rPr>
        <w:rStyle w:val="27"/>
      </w:rPr>
      <w:instrText xml:space="preserve">PAGE  </w:instrText>
    </w:r>
    <w:r>
      <w:fldChar w:fldCharType="separate"/>
    </w:r>
    <w:r>
      <w:rPr>
        <w:rStyle w:val="27"/>
      </w:rPr>
      <w:t>1</w:t>
    </w:r>
    <w:r>
      <w:fldChar w:fldCharType="end"/>
    </w:r>
  </w:p>
  <w:p>
    <w:pPr>
      <w:pStyle w:val="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4140" w:firstLineChars="230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6"/>
        <w:snapToGrid w:val="0"/>
        <w:rPr>
          <w:rFonts w:hint="eastAsia" w:ascii="仿宋_GB2312" w:hAnsi="仿宋_GB2312" w:eastAsia="仿宋_GB2312" w:cs="仿宋_GB2312"/>
        </w:rPr>
      </w:pPr>
      <w:r>
        <w:rPr>
          <w:rStyle w:val="35"/>
          <w:rFonts w:hint="eastAsia" w:ascii="仿宋_GB2312" w:hAnsi="仿宋_GB2312" w:eastAsia="仿宋_GB2312" w:cs="仿宋_GB2312"/>
        </w:rPr>
        <w:footnoteRef/>
      </w:r>
      <w:r>
        <w:rPr>
          <w:rFonts w:hint="eastAsia" w:ascii="仿宋_GB2312" w:hAnsi="仿宋_GB2312" w:eastAsia="仿宋_GB2312" w:cs="仿宋_GB2312"/>
        </w:rPr>
        <w:t xml:space="preserve"> 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8BF29"/>
    <w:multiLevelType w:val="singleLevel"/>
    <w:tmpl w:val="B888BF29"/>
    <w:lvl w:ilvl="0" w:tentative="0">
      <w:start w:val="9"/>
      <w:numFmt w:val="decimal"/>
      <w:suff w:val="space"/>
      <w:lvlText w:val="%1."/>
      <w:lvlJc w:val="left"/>
      <w:rPr>
        <w:rFonts w:hint="default"/>
        <w:color w:val="auto"/>
      </w:rPr>
    </w:lvl>
  </w:abstractNum>
  <w:abstractNum w:abstractNumId="1">
    <w:nsid w:val="C790BF22"/>
    <w:multiLevelType w:val="singleLevel"/>
    <w:tmpl w:val="C790BF22"/>
    <w:lvl w:ilvl="0" w:tentative="0">
      <w:start w:val="6"/>
      <w:numFmt w:val="chineseCounting"/>
      <w:suff w:val="space"/>
      <w:lvlText w:val="第%1章"/>
      <w:lvlJc w:val="left"/>
      <w:rPr>
        <w:rFonts w:hint="eastAsia"/>
      </w:rPr>
    </w:lvl>
  </w:abstractNum>
  <w:abstractNum w:abstractNumId="2">
    <w:nsid w:val="FF602FD4"/>
    <w:multiLevelType w:val="singleLevel"/>
    <w:tmpl w:val="FF602FD4"/>
    <w:lvl w:ilvl="0" w:tentative="0">
      <w:start w:val="8"/>
      <w:numFmt w:val="chineseCounting"/>
      <w:suff w:val="space"/>
      <w:lvlText w:val="第%1章"/>
      <w:lvlJc w:val="left"/>
      <w:rPr>
        <w:rFonts w:hint="eastAsia"/>
      </w:rPr>
    </w:lvl>
  </w:abstractNum>
  <w:abstractNum w:abstractNumId="3">
    <w:nsid w:val="00000006"/>
    <w:multiLevelType w:val="multilevel"/>
    <w:tmpl w:val="00000006"/>
    <w:lvl w:ilvl="0" w:tentative="0">
      <w:start w:val="1"/>
      <w:numFmt w:val="chineseCountingThousand"/>
      <w:pStyle w:val="2"/>
      <w:suff w:val="nothing"/>
      <w:lvlText w:val="第%1部分"/>
      <w:lvlJc w:val="center"/>
      <w:pPr>
        <w:ind w:left="-288" w:firstLine="288"/>
      </w:pPr>
      <w:rPr>
        <w:rFonts w:hint="eastAsia"/>
        <w:sz w:val="28"/>
        <w:szCs w:val="28"/>
      </w:rPr>
    </w:lvl>
    <w:lvl w:ilvl="1" w:tentative="0">
      <w:start w:val="1"/>
      <w:numFmt w:val="chineseCountingThousand"/>
      <w:pStyle w:val="3"/>
      <w:suff w:val="nothing"/>
      <w:lvlText w:val="%2、"/>
      <w:lvlJc w:val="left"/>
      <w:pPr>
        <w:ind w:left="25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5"/>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4">
    <w:nsid w:val="00000014"/>
    <w:multiLevelType w:val="multilevel"/>
    <w:tmpl w:val="00000014"/>
    <w:lvl w:ilvl="0" w:tentative="0">
      <w:start w:val="1"/>
      <w:numFmt w:val="decimal"/>
      <w:pStyle w:val="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1128BD38"/>
    <w:multiLevelType w:val="singleLevel"/>
    <w:tmpl w:val="1128BD38"/>
    <w:lvl w:ilvl="0" w:tentative="0">
      <w:start w:val="1"/>
      <w:numFmt w:val="decimal"/>
      <w:suff w:val="nothing"/>
      <w:lvlText w:val="（%1）"/>
      <w:lvlJc w:val="left"/>
    </w:lvl>
  </w:abstractNum>
  <w:abstractNum w:abstractNumId="6">
    <w:nsid w:val="5FBF5A35"/>
    <w:multiLevelType w:val="singleLevel"/>
    <w:tmpl w:val="5FBF5A35"/>
    <w:lvl w:ilvl="0" w:tentative="0">
      <w:start w:val="1"/>
      <w:numFmt w:val="decimal"/>
      <w:suff w:val="space"/>
      <w:lvlText w:val="%1."/>
      <w:lvlJc w:val="left"/>
    </w:lvl>
  </w:abstractNum>
  <w:abstractNum w:abstractNumId="7">
    <w:nsid w:val="63E199E2"/>
    <w:multiLevelType w:val="singleLevel"/>
    <w:tmpl w:val="63E199E2"/>
    <w:lvl w:ilvl="0" w:tentative="0">
      <w:start w:val="3"/>
      <w:numFmt w:val="decimal"/>
      <w:suff w:val="nothing"/>
      <w:lvlText w:val="（%1）"/>
      <w:lvlJc w:val="left"/>
    </w:lvl>
  </w:abstractNum>
  <w:abstractNum w:abstractNumId="8">
    <w:nsid w:val="680542D9"/>
    <w:multiLevelType w:val="multilevel"/>
    <w:tmpl w:val="680542D9"/>
    <w:lvl w:ilvl="0" w:tentative="0">
      <w:start w:val="1"/>
      <w:numFmt w:val="chineseCountingThousand"/>
      <w:pStyle w:val="88"/>
      <w:lvlText w:val="第%1条"/>
      <w:lvlJc w:val="center"/>
      <w:pPr>
        <w:ind w:left="708" w:hanging="420"/>
      </w:pPr>
      <w:rPr>
        <w:rFonts w:hint="eastAsia"/>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9">
    <w:nsid w:val="772358B8"/>
    <w:multiLevelType w:val="multilevel"/>
    <w:tmpl w:val="772358B8"/>
    <w:lvl w:ilvl="0" w:tentative="0">
      <w:start w:val="1"/>
      <w:numFmt w:val="chineseCountingThousand"/>
      <w:pStyle w:val="87"/>
      <w:lvlText w:val="第%1条"/>
      <w:lvlJc w:val="center"/>
      <w:pPr>
        <w:ind w:left="3680" w:hanging="420"/>
      </w:pPr>
      <w:rPr>
        <w:rFonts w:hint="eastAsia"/>
        <w:b/>
        <w:sz w:val="28"/>
        <w:szCs w:val="28"/>
      </w:rPr>
    </w:lvl>
    <w:lvl w:ilvl="1" w:tentative="0">
      <w:start w:val="1"/>
      <w:numFmt w:val="decimal"/>
      <w:isLgl/>
      <w:lvlText w:val="%1.%2"/>
      <w:lvlJc w:val="left"/>
      <w:pPr>
        <w:tabs>
          <w:tab w:val="left" w:pos="567"/>
        </w:tabs>
        <w:ind w:left="567" w:hanging="567"/>
      </w:pPr>
      <w:rPr>
        <w:rFonts w:hint="eastAsia" w:ascii="Times New Roman" w:hAnsi="Times New Roman" w:cs="Times New Roman"/>
        <w:b/>
        <w:bCs w:val="0"/>
        <w:i w:val="0"/>
        <w:iCs w:val="0"/>
        <w:caps w:val="0"/>
        <w:smallCaps w:val="0"/>
        <w:strike w:val="0"/>
        <w:dstrike w:val="0"/>
        <w:vanish w:val="0"/>
        <w:color w:val="000000"/>
        <w:spacing w:val="0"/>
        <w:position w:val="0"/>
        <w:sz w:val="24"/>
        <w:szCs w:val="24"/>
        <w:u w:val="none"/>
        <w:vertAlign w:val="baseline"/>
      </w:rPr>
    </w:lvl>
    <w:lvl w:ilvl="2" w:tentative="0">
      <w:start w:val="1"/>
      <w:numFmt w:val="decimal"/>
      <w:isLgl/>
      <w:lvlText w:val="%1.%2.%3"/>
      <w:lvlJc w:val="left"/>
      <w:pPr>
        <w:tabs>
          <w:tab w:val="left" w:pos="1418"/>
        </w:tabs>
        <w:ind w:left="1418" w:hanging="851"/>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4)"/>
      <w:lvlJc w:val="left"/>
      <w:pPr>
        <w:tabs>
          <w:tab w:val="left" w:pos="1814"/>
        </w:tabs>
        <w:ind w:left="1814" w:hanging="396"/>
      </w:pPr>
      <w:rPr>
        <w:rFonts w:hint="eastAsia" w:ascii="Times New Roman" w:hAnsi="Times New Roman" w:cs="Times New Roman"/>
        <w:b w:val="0"/>
        <w:bCs w:val="0"/>
        <w:i w:val="0"/>
        <w:iCs w:val="0"/>
        <w:caps w:val="0"/>
        <w:smallCaps w:val="0"/>
        <w:strike w:val="0"/>
        <w:dstrike w:val="0"/>
        <w:snapToGrid w:val="0"/>
        <w:vanish w:val="0"/>
        <w:color w:val="000000"/>
        <w:spacing w:val="0"/>
        <w:w w:val="0"/>
        <w:kern w:val="0"/>
        <w:position w:val="0"/>
        <w:szCs w:val="0"/>
        <w:u w:val="none"/>
        <w:vertAlign w:val="baseline"/>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3"/>
  </w:num>
  <w:num w:numId="2">
    <w:abstractNumId w:val="4"/>
  </w:num>
  <w:num w:numId="3">
    <w:abstractNumId w:val="9"/>
  </w:num>
  <w:num w:numId="4">
    <w:abstractNumId w:val="8"/>
  </w:num>
  <w:num w:numId="5">
    <w:abstractNumId w:val="6"/>
  </w:num>
  <w:num w:numId="6">
    <w:abstractNumId w:val="0"/>
  </w:num>
  <w:num w:numId="7">
    <w:abstractNumId w:val="7"/>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3,4"/>
    </o:shapelayout>
  </w:hdrShapeDefaults>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wZDA1NzUwOTI2NDRiODJkZmYxOTk5YzliNTQxZDgifQ=="/>
  </w:docVars>
  <w:rsids>
    <w:rsidRoot w:val="005B5611"/>
    <w:rsid w:val="00010603"/>
    <w:rsid w:val="00013639"/>
    <w:rsid w:val="0002330F"/>
    <w:rsid w:val="000265FB"/>
    <w:rsid w:val="000325D0"/>
    <w:rsid w:val="00040094"/>
    <w:rsid w:val="00047E5F"/>
    <w:rsid w:val="00055D31"/>
    <w:rsid w:val="00060283"/>
    <w:rsid w:val="00065D11"/>
    <w:rsid w:val="00066D35"/>
    <w:rsid w:val="0006750F"/>
    <w:rsid w:val="0006752F"/>
    <w:rsid w:val="0007117A"/>
    <w:rsid w:val="0007273D"/>
    <w:rsid w:val="00073F37"/>
    <w:rsid w:val="00074C07"/>
    <w:rsid w:val="00076906"/>
    <w:rsid w:val="0008484F"/>
    <w:rsid w:val="00084E3D"/>
    <w:rsid w:val="000A18AF"/>
    <w:rsid w:val="000A22B4"/>
    <w:rsid w:val="000B7E10"/>
    <w:rsid w:val="000C6869"/>
    <w:rsid w:val="000D0A76"/>
    <w:rsid w:val="000D75AE"/>
    <w:rsid w:val="000E0A5F"/>
    <w:rsid w:val="000F3A0F"/>
    <w:rsid w:val="000F4B4B"/>
    <w:rsid w:val="00110A7C"/>
    <w:rsid w:val="00120A69"/>
    <w:rsid w:val="0013254D"/>
    <w:rsid w:val="00145F33"/>
    <w:rsid w:val="001462BA"/>
    <w:rsid w:val="001514D0"/>
    <w:rsid w:val="001519CB"/>
    <w:rsid w:val="00161569"/>
    <w:rsid w:val="00173412"/>
    <w:rsid w:val="001833FC"/>
    <w:rsid w:val="00184E2A"/>
    <w:rsid w:val="00191EB1"/>
    <w:rsid w:val="00194B7F"/>
    <w:rsid w:val="001A362F"/>
    <w:rsid w:val="001A36E6"/>
    <w:rsid w:val="001A5805"/>
    <w:rsid w:val="001C2E30"/>
    <w:rsid w:val="001C34AF"/>
    <w:rsid w:val="001D2F98"/>
    <w:rsid w:val="001D5236"/>
    <w:rsid w:val="001D54A7"/>
    <w:rsid w:val="001D5EE1"/>
    <w:rsid w:val="001E08A9"/>
    <w:rsid w:val="001F0CE2"/>
    <w:rsid w:val="001F601D"/>
    <w:rsid w:val="00206CB9"/>
    <w:rsid w:val="0021221E"/>
    <w:rsid w:val="00217395"/>
    <w:rsid w:val="0022134F"/>
    <w:rsid w:val="002268B6"/>
    <w:rsid w:val="002337D7"/>
    <w:rsid w:val="0023463D"/>
    <w:rsid w:val="00241988"/>
    <w:rsid w:val="00241D5A"/>
    <w:rsid w:val="00243296"/>
    <w:rsid w:val="00251478"/>
    <w:rsid w:val="00252787"/>
    <w:rsid w:val="00260ACC"/>
    <w:rsid w:val="00264F6B"/>
    <w:rsid w:val="002665D6"/>
    <w:rsid w:val="00273CB2"/>
    <w:rsid w:val="00275939"/>
    <w:rsid w:val="00277E3D"/>
    <w:rsid w:val="002923BC"/>
    <w:rsid w:val="002B30A6"/>
    <w:rsid w:val="002B3349"/>
    <w:rsid w:val="002C14C7"/>
    <w:rsid w:val="002C3059"/>
    <w:rsid w:val="002C4D70"/>
    <w:rsid w:val="002D1D02"/>
    <w:rsid w:val="002D4126"/>
    <w:rsid w:val="002D4687"/>
    <w:rsid w:val="002D7D7E"/>
    <w:rsid w:val="002F40C8"/>
    <w:rsid w:val="002F5CE7"/>
    <w:rsid w:val="00300034"/>
    <w:rsid w:val="0030009A"/>
    <w:rsid w:val="003013E1"/>
    <w:rsid w:val="00306818"/>
    <w:rsid w:val="00311E48"/>
    <w:rsid w:val="003129D0"/>
    <w:rsid w:val="003163DD"/>
    <w:rsid w:val="00321E97"/>
    <w:rsid w:val="00326A9B"/>
    <w:rsid w:val="00327A53"/>
    <w:rsid w:val="00331BE0"/>
    <w:rsid w:val="003340D5"/>
    <w:rsid w:val="00336AF5"/>
    <w:rsid w:val="00356980"/>
    <w:rsid w:val="00360A76"/>
    <w:rsid w:val="00361CF8"/>
    <w:rsid w:val="00363525"/>
    <w:rsid w:val="003718C1"/>
    <w:rsid w:val="0037252D"/>
    <w:rsid w:val="00376227"/>
    <w:rsid w:val="0038324A"/>
    <w:rsid w:val="003923AE"/>
    <w:rsid w:val="003967E8"/>
    <w:rsid w:val="003A06CA"/>
    <w:rsid w:val="003A0C4C"/>
    <w:rsid w:val="003A259F"/>
    <w:rsid w:val="003B2256"/>
    <w:rsid w:val="003B6C62"/>
    <w:rsid w:val="003C29BC"/>
    <w:rsid w:val="003C2C2A"/>
    <w:rsid w:val="003C40BA"/>
    <w:rsid w:val="003D4142"/>
    <w:rsid w:val="003D58E1"/>
    <w:rsid w:val="003D78F9"/>
    <w:rsid w:val="003E202D"/>
    <w:rsid w:val="0040554C"/>
    <w:rsid w:val="004113EE"/>
    <w:rsid w:val="0041319F"/>
    <w:rsid w:val="00423B00"/>
    <w:rsid w:val="004340B5"/>
    <w:rsid w:val="00443686"/>
    <w:rsid w:val="00446113"/>
    <w:rsid w:val="00447DC8"/>
    <w:rsid w:val="0045115F"/>
    <w:rsid w:val="00455DF8"/>
    <w:rsid w:val="00457745"/>
    <w:rsid w:val="00466904"/>
    <w:rsid w:val="0047212E"/>
    <w:rsid w:val="00474C8F"/>
    <w:rsid w:val="00481463"/>
    <w:rsid w:val="00481B56"/>
    <w:rsid w:val="0048286F"/>
    <w:rsid w:val="004969A9"/>
    <w:rsid w:val="004A0703"/>
    <w:rsid w:val="004A2063"/>
    <w:rsid w:val="004B3CA5"/>
    <w:rsid w:val="004B610E"/>
    <w:rsid w:val="004B62F3"/>
    <w:rsid w:val="004D6C7E"/>
    <w:rsid w:val="004D7EF0"/>
    <w:rsid w:val="004E0390"/>
    <w:rsid w:val="004E37D2"/>
    <w:rsid w:val="004E3E47"/>
    <w:rsid w:val="004F08E9"/>
    <w:rsid w:val="004F5BB8"/>
    <w:rsid w:val="004F5C0D"/>
    <w:rsid w:val="005077A6"/>
    <w:rsid w:val="00512BE0"/>
    <w:rsid w:val="00522879"/>
    <w:rsid w:val="0052381F"/>
    <w:rsid w:val="00526A1B"/>
    <w:rsid w:val="00527B9C"/>
    <w:rsid w:val="00533212"/>
    <w:rsid w:val="005339F9"/>
    <w:rsid w:val="0053593D"/>
    <w:rsid w:val="0054101C"/>
    <w:rsid w:val="0055294E"/>
    <w:rsid w:val="00570CB1"/>
    <w:rsid w:val="00593E57"/>
    <w:rsid w:val="00594D45"/>
    <w:rsid w:val="00595C00"/>
    <w:rsid w:val="00597563"/>
    <w:rsid w:val="005A5CF6"/>
    <w:rsid w:val="005A7E36"/>
    <w:rsid w:val="005B0CE6"/>
    <w:rsid w:val="005B5611"/>
    <w:rsid w:val="005C11E9"/>
    <w:rsid w:val="005C732A"/>
    <w:rsid w:val="005D3275"/>
    <w:rsid w:val="005D3904"/>
    <w:rsid w:val="005D66CE"/>
    <w:rsid w:val="005E0EA3"/>
    <w:rsid w:val="005E2228"/>
    <w:rsid w:val="005F6350"/>
    <w:rsid w:val="0060186B"/>
    <w:rsid w:val="00602B85"/>
    <w:rsid w:val="00606959"/>
    <w:rsid w:val="006137DC"/>
    <w:rsid w:val="00613C2F"/>
    <w:rsid w:val="00614160"/>
    <w:rsid w:val="00614196"/>
    <w:rsid w:val="00614330"/>
    <w:rsid w:val="00617612"/>
    <w:rsid w:val="0062388A"/>
    <w:rsid w:val="00624A05"/>
    <w:rsid w:val="006332EF"/>
    <w:rsid w:val="006332FC"/>
    <w:rsid w:val="006423C5"/>
    <w:rsid w:val="00642CD9"/>
    <w:rsid w:val="0064498C"/>
    <w:rsid w:val="00657312"/>
    <w:rsid w:val="006630EA"/>
    <w:rsid w:val="00664D2E"/>
    <w:rsid w:val="006676D4"/>
    <w:rsid w:val="00674759"/>
    <w:rsid w:val="00674D0F"/>
    <w:rsid w:val="00680D7C"/>
    <w:rsid w:val="00687A59"/>
    <w:rsid w:val="0069410A"/>
    <w:rsid w:val="006A1B62"/>
    <w:rsid w:val="006A6D70"/>
    <w:rsid w:val="006B2F03"/>
    <w:rsid w:val="006B3122"/>
    <w:rsid w:val="006C1330"/>
    <w:rsid w:val="006C4657"/>
    <w:rsid w:val="006D0103"/>
    <w:rsid w:val="006D09C4"/>
    <w:rsid w:val="006D21DF"/>
    <w:rsid w:val="006D49C6"/>
    <w:rsid w:val="006D5704"/>
    <w:rsid w:val="006D5DC9"/>
    <w:rsid w:val="006D7D4D"/>
    <w:rsid w:val="006E0524"/>
    <w:rsid w:val="006E11E2"/>
    <w:rsid w:val="006E1E2E"/>
    <w:rsid w:val="006F4BFE"/>
    <w:rsid w:val="006F65D8"/>
    <w:rsid w:val="006F76E6"/>
    <w:rsid w:val="006F7B55"/>
    <w:rsid w:val="00702BB0"/>
    <w:rsid w:val="007038D0"/>
    <w:rsid w:val="00707C56"/>
    <w:rsid w:val="00712A33"/>
    <w:rsid w:val="007216BA"/>
    <w:rsid w:val="00724D63"/>
    <w:rsid w:val="00726E89"/>
    <w:rsid w:val="00730C5C"/>
    <w:rsid w:val="00736D71"/>
    <w:rsid w:val="00737A86"/>
    <w:rsid w:val="007460BF"/>
    <w:rsid w:val="007540B1"/>
    <w:rsid w:val="00767D2F"/>
    <w:rsid w:val="00767FFD"/>
    <w:rsid w:val="007757FD"/>
    <w:rsid w:val="00784BC0"/>
    <w:rsid w:val="007872EF"/>
    <w:rsid w:val="00791152"/>
    <w:rsid w:val="00796FC3"/>
    <w:rsid w:val="007A3729"/>
    <w:rsid w:val="007A79E5"/>
    <w:rsid w:val="007B4C82"/>
    <w:rsid w:val="007C5957"/>
    <w:rsid w:val="007C69FB"/>
    <w:rsid w:val="007D4B3E"/>
    <w:rsid w:val="007D6932"/>
    <w:rsid w:val="007E602B"/>
    <w:rsid w:val="007E731E"/>
    <w:rsid w:val="007F092B"/>
    <w:rsid w:val="007F2C11"/>
    <w:rsid w:val="007F3458"/>
    <w:rsid w:val="00806798"/>
    <w:rsid w:val="00806A30"/>
    <w:rsid w:val="008160FA"/>
    <w:rsid w:val="008217E5"/>
    <w:rsid w:val="00830A34"/>
    <w:rsid w:val="00843EB2"/>
    <w:rsid w:val="0084438A"/>
    <w:rsid w:val="0084554A"/>
    <w:rsid w:val="00845908"/>
    <w:rsid w:val="00850CED"/>
    <w:rsid w:val="00854E64"/>
    <w:rsid w:val="00857065"/>
    <w:rsid w:val="008575DB"/>
    <w:rsid w:val="00865722"/>
    <w:rsid w:val="00882340"/>
    <w:rsid w:val="00887E87"/>
    <w:rsid w:val="0089175C"/>
    <w:rsid w:val="00897195"/>
    <w:rsid w:val="00897D27"/>
    <w:rsid w:val="008A3FF0"/>
    <w:rsid w:val="008A5185"/>
    <w:rsid w:val="008B3475"/>
    <w:rsid w:val="008C11E5"/>
    <w:rsid w:val="008C7BDA"/>
    <w:rsid w:val="008D4D56"/>
    <w:rsid w:val="008E0226"/>
    <w:rsid w:val="008E7100"/>
    <w:rsid w:val="008F2B9B"/>
    <w:rsid w:val="008F4AFF"/>
    <w:rsid w:val="008F5E82"/>
    <w:rsid w:val="00906A26"/>
    <w:rsid w:val="00906B5F"/>
    <w:rsid w:val="0091172D"/>
    <w:rsid w:val="00911EED"/>
    <w:rsid w:val="0091667D"/>
    <w:rsid w:val="00917FD9"/>
    <w:rsid w:val="00920AE2"/>
    <w:rsid w:val="00921B2E"/>
    <w:rsid w:val="00926B61"/>
    <w:rsid w:val="00927297"/>
    <w:rsid w:val="00934DFF"/>
    <w:rsid w:val="00950B90"/>
    <w:rsid w:val="00954335"/>
    <w:rsid w:val="00954601"/>
    <w:rsid w:val="00967991"/>
    <w:rsid w:val="00973A13"/>
    <w:rsid w:val="00975731"/>
    <w:rsid w:val="00986264"/>
    <w:rsid w:val="0098643A"/>
    <w:rsid w:val="009867CC"/>
    <w:rsid w:val="00987D3B"/>
    <w:rsid w:val="00993EC4"/>
    <w:rsid w:val="00995FD1"/>
    <w:rsid w:val="009B3206"/>
    <w:rsid w:val="009B6FF7"/>
    <w:rsid w:val="009B762B"/>
    <w:rsid w:val="009C0731"/>
    <w:rsid w:val="009C119F"/>
    <w:rsid w:val="009C599A"/>
    <w:rsid w:val="009C5A9E"/>
    <w:rsid w:val="009F06F1"/>
    <w:rsid w:val="009F1215"/>
    <w:rsid w:val="00A127BA"/>
    <w:rsid w:val="00A21E05"/>
    <w:rsid w:val="00A2452E"/>
    <w:rsid w:val="00A27DD4"/>
    <w:rsid w:val="00A523CA"/>
    <w:rsid w:val="00A540E2"/>
    <w:rsid w:val="00A6006E"/>
    <w:rsid w:val="00A611D5"/>
    <w:rsid w:val="00A90FA3"/>
    <w:rsid w:val="00A97460"/>
    <w:rsid w:val="00AA3AC0"/>
    <w:rsid w:val="00AB1713"/>
    <w:rsid w:val="00AC54A9"/>
    <w:rsid w:val="00AC7841"/>
    <w:rsid w:val="00AE1B72"/>
    <w:rsid w:val="00AE6EE4"/>
    <w:rsid w:val="00AF11B5"/>
    <w:rsid w:val="00AF2C43"/>
    <w:rsid w:val="00AF58E9"/>
    <w:rsid w:val="00B07F28"/>
    <w:rsid w:val="00B14E2C"/>
    <w:rsid w:val="00B203EA"/>
    <w:rsid w:val="00B206FE"/>
    <w:rsid w:val="00B33E25"/>
    <w:rsid w:val="00B42CE5"/>
    <w:rsid w:val="00B46A12"/>
    <w:rsid w:val="00B50587"/>
    <w:rsid w:val="00B57FC9"/>
    <w:rsid w:val="00B623D7"/>
    <w:rsid w:val="00B71F65"/>
    <w:rsid w:val="00B76BFF"/>
    <w:rsid w:val="00B81842"/>
    <w:rsid w:val="00B8209B"/>
    <w:rsid w:val="00B83A48"/>
    <w:rsid w:val="00B84C82"/>
    <w:rsid w:val="00B9555E"/>
    <w:rsid w:val="00B95C17"/>
    <w:rsid w:val="00B95EC3"/>
    <w:rsid w:val="00BA0246"/>
    <w:rsid w:val="00BA5966"/>
    <w:rsid w:val="00BB2372"/>
    <w:rsid w:val="00BB48E2"/>
    <w:rsid w:val="00BB749C"/>
    <w:rsid w:val="00BB7DE2"/>
    <w:rsid w:val="00BC2CF8"/>
    <w:rsid w:val="00BC60F4"/>
    <w:rsid w:val="00BD1D7B"/>
    <w:rsid w:val="00BD20FF"/>
    <w:rsid w:val="00BD2973"/>
    <w:rsid w:val="00BD2C1C"/>
    <w:rsid w:val="00BD6211"/>
    <w:rsid w:val="00BE200C"/>
    <w:rsid w:val="00BE30A3"/>
    <w:rsid w:val="00BF1F0A"/>
    <w:rsid w:val="00C03C74"/>
    <w:rsid w:val="00C16645"/>
    <w:rsid w:val="00C214BC"/>
    <w:rsid w:val="00C225F6"/>
    <w:rsid w:val="00C259C1"/>
    <w:rsid w:val="00C27EEE"/>
    <w:rsid w:val="00C36528"/>
    <w:rsid w:val="00C41328"/>
    <w:rsid w:val="00C41EAE"/>
    <w:rsid w:val="00C70B6B"/>
    <w:rsid w:val="00C72024"/>
    <w:rsid w:val="00C7509C"/>
    <w:rsid w:val="00C82842"/>
    <w:rsid w:val="00C917A5"/>
    <w:rsid w:val="00C9490F"/>
    <w:rsid w:val="00C95499"/>
    <w:rsid w:val="00CA1B93"/>
    <w:rsid w:val="00CA215A"/>
    <w:rsid w:val="00CA57E8"/>
    <w:rsid w:val="00CA6AC0"/>
    <w:rsid w:val="00CB34AF"/>
    <w:rsid w:val="00CB6CF9"/>
    <w:rsid w:val="00CC1C44"/>
    <w:rsid w:val="00CD0612"/>
    <w:rsid w:val="00CE09EE"/>
    <w:rsid w:val="00CF1546"/>
    <w:rsid w:val="00CF1D97"/>
    <w:rsid w:val="00D0617E"/>
    <w:rsid w:val="00D07F46"/>
    <w:rsid w:val="00D126DB"/>
    <w:rsid w:val="00D129F9"/>
    <w:rsid w:val="00D12FDF"/>
    <w:rsid w:val="00D15B0C"/>
    <w:rsid w:val="00D22D0E"/>
    <w:rsid w:val="00D26BA4"/>
    <w:rsid w:val="00D368C2"/>
    <w:rsid w:val="00D377EF"/>
    <w:rsid w:val="00D44A37"/>
    <w:rsid w:val="00D53FE6"/>
    <w:rsid w:val="00D610E7"/>
    <w:rsid w:val="00D62159"/>
    <w:rsid w:val="00D6705C"/>
    <w:rsid w:val="00D75ED9"/>
    <w:rsid w:val="00D76775"/>
    <w:rsid w:val="00D900E3"/>
    <w:rsid w:val="00D94537"/>
    <w:rsid w:val="00DA1823"/>
    <w:rsid w:val="00DB54DE"/>
    <w:rsid w:val="00DC0F4A"/>
    <w:rsid w:val="00DD2C67"/>
    <w:rsid w:val="00DD2C9F"/>
    <w:rsid w:val="00E10857"/>
    <w:rsid w:val="00E12126"/>
    <w:rsid w:val="00E14085"/>
    <w:rsid w:val="00E23978"/>
    <w:rsid w:val="00E27BE3"/>
    <w:rsid w:val="00E34F43"/>
    <w:rsid w:val="00E43ABC"/>
    <w:rsid w:val="00E452AD"/>
    <w:rsid w:val="00E56DEA"/>
    <w:rsid w:val="00E57568"/>
    <w:rsid w:val="00E60223"/>
    <w:rsid w:val="00E72188"/>
    <w:rsid w:val="00E76F8C"/>
    <w:rsid w:val="00E81574"/>
    <w:rsid w:val="00E85E05"/>
    <w:rsid w:val="00E87330"/>
    <w:rsid w:val="00E935F8"/>
    <w:rsid w:val="00E95EBB"/>
    <w:rsid w:val="00EA2418"/>
    <w:rsid w:val="00EB0868"/>
    <w:rsid w:val="00EB237D"/>
    <w:rsid w:val="00EC030A"/>
    <w:rsid w:val="00EC41CD"/>
    <w:rsid w:val="00EC5CE3"/>
    <w:rsid w:val="00ED11A5"/>
    <w:rsid w:val="00EE6F01"/>
    <w:rsid w:val="00EF19BF"/>
    <w:rsid w:val="00EF3288"/>
    <w:rsid w:val="00EF3EF2"/>
    <w:rsid w:val="00EF5358"/>
    <w:rsid w:val="00EF604A"/>
    <w:rsid w:val="00EF6988"/>
    <w:rsid w:val="00EF6FED"/>
    <w:rsid w:val="00EF70E1"/>
    <w:rsid w:val="00F0010A"/>
    <w:rsid w:val="00F06841"/>
    <w:rsid w:val="00F0787B"/>
    <w:rsid w:val="00F12032"/>
    <w:rsid w:val="00F13208"/>
    <w:rsid w:val="00F3552B"/>
    <w:rsid w:val="00F4384E"/>
    <w:rsid w:val="00F4525B"/>
    <w:rsid w:val="00F47E5A"/>
    <w:rsid w:val="00F53A24"/>
    <w:rsid w:val="00F56DD5"/>
    <w:rsid w:val="00F64252"/>
    <w:rsid w:val="00F71305"/>
    <w:rsid w:val="00FA3EDA"/>
    <w:rsid w:val="00FB4F3F"/>
    <w:rsid w:val="00FC2334"/>
    <w:rsid w:val="00FC4456"/>
    <w:rsid w:val="00FD0887"/>
    <w:rsid w:val="00FD0FB8"/>
    <w:rsid w:val="00FD4679"/>
    <w:rsid w:val="00FD61E7"/>
    <w:rsid w:val="00FE05D3"/>
    <w:rsid w:val="00FE278D"/>
    <w:rsid w:val="00FE6D4D"/>
    <w:rsid w:val="00FF5392"/>
    <w:rsid w:val="00FF5B5E"/>
    <w:rsid w:val="00FF6956"/>
    <w:rsid w:val="01006333"/>
    <w:rsid w:val="01091734"/>
    <w:rsid w:val="012409CE"/>
    <w:rsid w:val="01442BEE"/>
    <w:rsid w:val="01490937"/>
    <w:rsid w:val="01671B31"/>
    <w:rsid w:val="01B66AC1"/>
    <w:rsid w:val="01BB2E56"/>
    <w:rsid w:val="01D31A8A"/>
    <w:rsid w:val="01FE797E"/>
    <w:rsid w:val="021F595A"/>
    <w:rsid w:val="023C58BC"/>
    <w:rsid w:val="025032CA"/>
    <w:rsid w:val="026143FC"/>
    <w:rsid w:val="02840131"/>
    <w:rsid w:val="02B876E2"/>
    <w:rsid w:val="02C27783"/>
    <w:rsid w:val="02F93FCC"/>
    <w:rsid w:val="031919AC"/>
    <w:rsid w:val="031D38A7"/>
    <w:rsid w:val="03301691"/>
    <w:rsid w:val="03342D85"/>
    <w:rsid w:val="034F0E57"/>
    <w:rsid w:val="0364427F"/>
    <w:rsid w:val="037024D7"/>
    <w:rsid w:val="039552A7"/>
    <w:rsid w:val="03BE0C2D"/>
    <w:rsid w:val="03BE5F1D"/>
    <w:rsid w:val="03D42E2E"/>
    <w:rsid w:val="03F0318C"/>
    <w:rsid w:val="040748C6"/>
    <w:rsid w:val="040C7CA3"/>
    <w:rsid w:val="040E3FC7"/>
    <w:rsid w:val="04386D7B"/>
    <w:rsid w:val="047D2069"/>
    <w:rsid w:val="04846490"/>
    <w:rsid w:val="0491498E"/>
    <w:rsid w:val="0497053B"/>
    <w:rsid w:val="04B7280E"/>
    <w:rsid w:val="04C14D18"/>
    <w:rsid w:val="04D70E27"/>
    <w:rsid w:val="04F51809"/>
    <w:rsid w:val="05121189"/>
    <w:rsid w:val="05141685"/>
    <w:rsid w:val="052464C1"/>
    <w:rsid w:val="052971A9"/>
    <w:rsid w:val="05450480"/>
    <w:rsid w:val="055070FC"/>
    <w:rsid w:val="058D24D1"/>
    <w:rsid w:val="05956F54"/>
    <w:rsid w:val="05D169F4"/>
    <w:rsid w:val="05EE263C"/>
    <w:rsid w:val="0610116A"/>
    <w:rsid w:val="062E56B4"/>
    <w:rsid w:val="06325EB3"/>
    <w:rsid w:val="063628BE"/>
    <w:rsid w:val="06381006"/>
    <w:rsid w:val="06582C75"/>
    <w:rsid w:val="066D2791"/>
    <w:rsid w:val="067B652E"/>
    <w:rsid w:val="06AF2249"/>
    <w:rsid w:val="06D84B5E"/>
    <w:rsid w:val="06DA0759"/>
    <w:rsid w:val="06F7250F"/>
    <w:rsid w:val="06F960DC"/>
    <w:rsid w:val="07060306"/>
    <w:rsid w:val="073359F4"/>
    <w:rsid w:val="07492C62"/>
    <w:rsid w:val="07595E65"/>
    <w:rsid w:val="07B964C4"/>
    <w:rsid w:val="07BE0102"/>
    <w:rsid w:val="0831155A"/>
    <w:rsid w:val="08325DE9"/>
    <w:rsid w:val="0838602F"/>
    <w:rsid w:val="08776A4E"/>
    <w:rsid w:val="087D67E7"/>
    <w:rsid w:val="089220E1"/>
    <w:rsid w:val="08A77982"/>
    <w:rsid w:val="08A8389B"/>
    <w:rsid w:val="08AA69C6"/>
    <w:rsid w:val="08FD2274"/>
    <w:rsid w:val="090143CA"/>
    <w:rsid w:val="091F1204"/>
    <w:rsid w:val="093448C9"/>
    <w:rsid w:val="09456663"/>
    <w:rsid w:val="095944A0"/>
    <w:rsid w:val="09783D7A"/>
    <w:rsid w:val="097B6762"/>
    <w:rsid w:val="098948A8"/>
    <w:rsid w:val="09B358B5"/>
    <w:rsid w:val="09C37BCC"/>
    <w:rsid w:val="09D56187"/>
    <w:rsid w:val="0A102D91"/>
    <w:rsid w:val="0A477D7A"/>
    <w:rsid w:val="0A5D6660"/>
    <w:rsid w:val="0A7E5C22"/>
    <w:rsid w:val="0AB10F36"/>
    <w:rsid w:val="0AE80638"/>
    <w:rsid w:val="0AEE0A7C"/>
    <w:rsid w:val="0B2F5423"/>
    <w:rsid w:val="0B4C1F42"/>
    <w:rsid w:val="0B5F4FB8"/>
    <w:rsid w:val="0B6E02A8"/>
    <w:rsid w:val="0B6F4052"/>
    <w:rsid w:val="0B7213A0"/>
    <w:rsid w:val="0B781C11"/>
    <w:rsid w:val="0BB00C8B"/>
    <w:rsid w:val="0BC0178F"/>
    <w:rsid w:val="0BC07C19"/>
    <w:rsid w:val="0BF30AD4"/>
    <w:rsid w:val="0C2600B3"/>
    <w:rsid w:val="0C4531F2"/>
    <w:rsid w:val="0C5D564D"/>
    <w:rsid w:val="0C641847"/>
    <w:rsid w:val="0CA230B7"/>
    <w:rsid w:val="0CAD210F"/>
    <w:rsid w:val="0CB11F47"/>
    <w:rsid w:val="0CF30FE9"/>
    <w:rsid w:val="0D017BB6"/>
    <w:rsid w:val="0D114216"/>
    <w:rsid w:val="0D1B164D"/>
    <w:rsid w:val="0D2058CF"/>
    <w:rsid w:val="0D214819"/>
    <w:rsid w:val="0D39005C"/>
    <w:rsid w:val="0D4B0BB9"/>
    <w:rsid w:val="0D915E7C"/>
    <w:rsid w:val="0D96164D"/>
    <w:rsid w:val="0DB20906"/>
    <w:rsid w:val="0DBA5B27"/>
    <w:rsid w:val="0DC83A03"/>
    <w:rsid w:val="0E4711F3"/>
    <w:rsid w:val="0E536D2F"/>
    <w:rsid w:val="0E6538B5"/>
    <w:rsid w:val="0E6A4ABA"/>
    <w:rsid w:val="0E6C5D5F"/>
    <w:rsid w:val="0E79744D"/>
    <w:rsid w:val="0E92418E"/>
    <w:rsid w:val="0E982A60"/>
    <w:rsid w:val="0EAE2BD9"/>
    <w:rsid w:val="0EBA0800"/>
    <w:rsid w:val="0EF20BA1"/>
    <w:rsid w:val="0F1609A3"/>
    <w:rsid w:val="0F2A5582"/>
    <w:rsid w:val="0F3E5483"/>
    <w:rsid w:val="0F5202D1"/>
    <w:rsid w:val="0FB807FF"/>
    <w:rsid w:val="0FBE077F"/>
    <w:rsid w:val="0FE90F1B"/>
    <w:rsid w:val="10163A77"/>
    <w:rsid w:val="102D0B0E"/>
    <w:rsid w:val="10351700"/>
    <w:rsid w:val="107C5DD0"/>
    <w:rsid w:val="109276ED"/>
    <w:rsid w:val="10A121C9"/>
    <w:rsid w:val="114220C9"/>
    <w:rsid w:val="11491CFC"/>
    <w:rsid w:val="11522C13"/>
    <w:rsid w:val="118A65AF"/>
    <w:rsid w:val="118C263D"/>
    <w:rsid w:val="11CC3AC9"/>
    <w:rsid w:val="11CD1E7C"/>
    <w:rsid w:val="11CD61A5"/>
    <w:rsid w:val="11E97ACC"/>
    <w:rsid w:val="11F50446"/>
    <w:rsid w:val="125B54BC"/>
    <w:rsid w:val="128E1E81"/>
    <w:rsid w:val="12A81C58"/>
    <w:rsid w:val="12B17010"/>
    <w:rsid w:val="12BF13C2"/>
    <w:rsid w:val="12BF7E4F"/>
    <w:rsid w:val="12C0132C"/>
    <w:rsid w:val="12DD286A"/>
    <w:rsid w:val="12E84200"/>
    <w:rsid w:val="12ED1E9A"/>
    <w:rsid w:val="12EF10F2"/>
    <w:rsid w:val="12EF612A"/>
    <w:rsid w:val="12F725D6"/>
    <w:rsid w:val="12FC105D"/>
    <w:rsid w:val="13113BD5"/>
    <w:rsid w:val="13171FAF"/>
    <w:rsid w:val="132E5438"/>
    <w:rsid w:val="135918E2"/>
    <w:rsid w:val="13641AA8"/>
    <w:rsid w:val="136710B9"/>
    <w:rsid w:val="13724645"/>
    <w:rsid w:val="13733409"/>
    <w:rsid w:val="137C2EE5"/>
    <w:rsid w:val="13973602"/>
    <w:rsid w:val="13A03BD4"/>
    <w:rsid w:val="13CC3094"/>
    <w:rsid w:val="13D40542"/>
    <w:rsid w:val="13E7095B"/>
    <w:rsid w:val="13EC295E"/>
    <w:rsid w:val="14002991"/>
    <w:rsid w:val="14162F0F"/>
    <w:rsid w:val="142E2BB1"/>
    <w:rsid w:val="14446EFB"/>
    <w:rsid w:val="1458501E"/>
    <w:rsid w:val="146215BA"/>
    <w:rsid w:val="14712AB2"/>
    <w:rsid w:val="149862D2"/>
    <w:rsid w:val="149C34F4"/>
    <w:rsid w:val="14AC68C8"/>
    <w:rsid w:val="14D7265A"/>
    <w:rsid w:val="14DB125E"/>
    <w:rsid w:val="14F423C4"/>
    <w:rsid w:val="14F71210"/>
    <w:rsid w:val="15072ECD"/>
    <w:rsid w:val="1520087F"/>
    <w:rsid w:val="15345F60"/>
    <w:rsid w:val="157D6CC7"/>
    <w:rsid w:val="158F6B03"/>
    <w:rsid w:val="1590371E"/>
    <w:rsid w:val="15AE58C2"/>
    <w:rsid w:val="15CE373E"/>
    <w:rsid w:val="15D6456D"/>
    <w:rsid w:val="15DE709F"/>
    <w:rsid w:val="15ED7C1A"/>
    <w:rsid w:val="15EE6C67"/>
    <w:rsid w:val="16080970"/>
    <w:rsid w:val="1618165F"/>
    <w:rsid w:val="161A45D0"/>
    <w:rsid w:val="161B12B2"/>
    <w:rsid w:val="16225650"/>
    <w:rsid w:val="16294CBD"/>
    <w:rsid w:val="164473C2"/>
    <w:rsid w:val="164F5FED"/>
    <w:rsid w:val="16615DEB"/>
    <w:rsid w:val="166938A9"/>
    <w:rsid w:val="16BC3EE5"/>
    <w:rsid w:val="17015280"/>
    <w:rsid w:val="17127FA7"/>
    <w:rsid w:val="1713159E"/>
    <w:rsid w:val="17166AB0"/>
    <w:rsid w:val="171866FA"/>
    <w:rsid w:val="17356522"/>
    <w:rsid w:val="173D1C40"/>
    <w:rsid w:val="174662BC"/>
    <w:rsid w:val="174B0229"/>
    <w:rsid w:val="174F27ED"/>
    <w:rsid w:val="176B0462"/>
    <w:rsid w:val="178463C7"/>
    <w:rsid w:val="1790164D"/>
    <w:rsid w:val="179370FF"/>
    <w:rsid w:val="17A1376B"/>
    <w:rsid w:val="17AB44DB"/>
    <w:rsid w:val="17AB6DFD"/>
    <w:rsid w:val="17AF6D1D"/>
    <w:rsid w:val="17BC74C7"/>
    <w:rsid w:val="17C427D8"/>
    <w:rsid w:val="17E304E6"/>
    <w:rsid w:val="17F33CFA"/>
    <w:rsid w:val="18187335"/>
    <w:rsid w:val="181B0DFD"/>
    <w:rsid w:val="18203A7F"/>
    <w:rsid w:val="18250B2D"/>
    <w:rsid w:val="18360C1B"/>
    <w:rsid w:val="18423551"/>
    <w:rsid w:val="1864657F"/>
    <w:rsid w:val="187B0BD1"/>
    <w:rsid w:val="187C734D"/>
    <w:rsid w:val="187D4555"/>
    <w:rsid w:val="18911326"/>
    <w:rsid w:val="189E16D6"/>
    <w:rsid w:val="18A5017B"/>
    <w:rsid w:val="18AD3447"/>
    <w:rsid w:val="18BA4461"/>
    <w:rsid w:val="18FD1BAB"/>
    <w:rsid w:val="190561B3"/>
    <w:rsid w:val="19381746"/>
    <w:rsid w:val="193E7CFB"/>
    <w:rsid w:val="195661F0"/>
    <w:rsid w:val="1977218D"/>
    <w:rsid w:val="198C749F"/>
    <w:rsid w:val="19DB17F4"/>
    <w:rsid w:val="19DE2C44"/>
    <w:rsid w:val="19E06175"/>
    <w:rsid w:val="19E44A9E"/>
    <w:rsid w:val="1A006FE7"/>
    <w:rsid w:val="1A0B0C9B"/>
    <w:rsid w:val="1A176D48"/>
    <w:rsid w:val="1A206975"/>
    <w:rsid w:val="1A3E0BF9"/>
    <w:rsid w:val="1A5F6819"/>
    <w:rsid w:val="1A614AD2"/>
    <w:rsid w:val="1A6323A2"/>
    <w:rsid w:val="1A7804F4"/>
    <w:rsid w:val="1A7B0191"/>
    <w:rsid w:val="1A87632A"/>
    <w:rsid w:val="1AA70FB9"/>
    <w:rsid w:val="1ABB055E"/>
    <w:rsid w:val="1ABF6285"/>
    <w:rsid w:val="1AC8397F"/>
    <w:rsid w:val="1AFB5389"/>
    <w:rsid w:val="1B3F09CD"/>
    <w:rsid w:val="1B651798"/>
    <w:rsid w:val="1B706C0C"/>
    <w:rsid w:val="1B72016A"/>
    <w:rsid w:val="1B8469DA"/>
    <w:rsid w:val="1B902832"/>
    <w:rsid w:val="1B9D16C3"/>
    <w:rsid w:val="1BE95A99"/>
    <w:rsid w:val="1BF856AC"/>
    <w:rsid w:val="1C743321"/>
    <w:rsid w:val="1C8B3842"/>
    <w:rsid w:val="1CAB080E"/>
    <w:rsid w:val="1CC304DA"/>
    <w:rsid w:val="1D271E5F"/>
    <w:rsid w:val="1D273CC3"/>
    <w:rsid w:val="1D3747F2"/>
    <w:rsid w:val="1D432032"/>
    <w:rsid w:val="1D6F20ED"/>
    <w:rsid w:val="1D7455E4"/>
    <w:rsid w:val="1D9E3044"/>
    <w:rsid w:val="1DB157F3"/>
    <w:rsid w:val="1DBA56D9"/>
    <w:rsid w:val="1DC652E2"/>
    <w:rsid w:val="1DC87483"/>
    <w:rsid w:val="1DCB5887"/>
    <w:rsid w:val="1DFD34C1"/>
    <w:rsid w:val="1E0020E5"/>
    <w:rsid w:val="1E0A2E7D"/>
    <w:rsid w:val="1E1C7453"/>
    <w:rsid w:val="1E345EB9"/>
    <w:rsid w:val="1E7A1678"/>
    <w:rsid w:val="1E7A7614"/>
    <w:rsid w:val="1E977360"/>
    <w:rsid w:val="1E9D08D7"/>
    <w:rsid w:val="1EB3718E"/>
    <w:rsid w:val="1EBF5156"/>
    <w:rsid w:val="1EDD05F5"/>
    <w:rsid w:val="1EF05556"/>
    <w:rsid w:val="1F332492"/>
    <w:rsid w:val="1F356A1F"/>
    <w:rsid w:val="1F375B96"/>
    <w:rsid w:val="1FD1704B"/>
    <w:rsid w:val="1FD94CC0"/>
    <w:rsid w:val="1FDC2950"/>
    <w:rsid w:val="1FFA41DB"/>
    <w:rsid w:val="200453FC"/>
    <w:rsid w:val="20124AB2"/>
    <w:rsid w:val="202A642C"/>
    <w:rsid w:val="20336A96"/>
    <w:rsid w:val="20541472"/>
    <w:rsid w:val="209F6845"/>
    <w:rsid w:val="20AD4C4C"/>
    <w:rsid w:val="20BF510D"/>
    <w:rsid w:val="21280AF3"/>
    <w:rsid w:val="21394DA3"/>
    <w:rsid w:val="21641831"/>
    <w:rsid w:val="217A7D90"/>
    <w:rsid w:val="21814081"/>
    <w:rsid w:val="21A04813"/>
    <w:rsid w:val="21B85F18"/>
    <w:rsid w:val="21FE4769"/>
    <w:rsid w:val="22086869"/>
    <w:rsid w:val="222174A1"/>
    <w:rsid w:val="22217F33"/>
    <w:rsid w:val="22470F36"/>
    <w:rsid w:val="22516626"/>
    <w:rsid w:val="22705B0F"/>
    <w:rsid w:val="227C1A5C"/>
    <w:rsid w:val="22805E07"/>
    <w:rsid w:val="22CD507E"/>
    <w:rsid w:val="22DA5006"/>
    <w:rsid w:val="22E627B6"/>
    <w:rsid w:val="22E72496"/>
    <w:rsid w:val="231132FF"/>
    <w:rsid w:val="23140F5E"/>
    <w:rsid w:val="232D073C"/>
    <w:rsid w:val="233143A1"/>
    <w:rsid w:val="23343087"/>
    <w:rsid w:val="233F78AE"/>
    <w:rsid w:val="239708A9"/>
    <w:rsid w:val="23C31D58"/>
    <w:rsid w:val="23F508C7"/>
    <w:rsid w:val="23FA7D8F"/>
    <w:rsid w:val="242B4EF6"/>
    <w:rsid w:val="243B6789"/>
    <w:rsid w:val="244E28F4"/>
    <w:rsid w:val="245179BE"/>
    <w:rsid w:val="2454526D"/>
    <w:rsid w:val="24681B11"/>
    <w:rsid w:val="247370E0"/>
    <w:rsid w:val="2479115B"/>
    <w:rsid w:val="24912500"/>
    <w:rsid w:val="24A3375C"/>
    <w:rsid w:val="24B6415E"/>
    <w:rsid w:val="24CF3471"/>
    <w:rsid w:val="24EF26FA"/>
    <w:rsid w:val="24FA6BB8"/>
    <w:rsid w:val="25012D45"/>
    <w:rsid w:val="2504674F"/>
    <w:rsid w:val="25353AAE"/>
    <w:rsid w:val="253F339E"/>
    <w:rsid w:val="25431CB6"/>
    <w:rsid w:val="256237B3"/>
    <w:rsid w:val="258D36BB"/>
    <w:rsid w:val="25BC1FB6"/>
    <w:rsid w:val="25C72233"/>
    <w:rsid w:val="25DE5268"/>
    <w:rsid w:val="260D3266"/>
    <w:rsid w:val="261272EB"/>
    <w:rsid w:val="26517359"/>
    <w:rsid w:val="26533E7B"/>
    <w:rsid w:val="268C51F0"/>
    <w:rsid w:val="26C00B9F"/>
    <w:rsid w:val="26F52768"/>
    <w:rsid w:val="270F5C7F"/>
    <w:rsid w:val="270F6A57"/>
    <w:rsid w:val="271848A9"/>
    <w:rsid w:val="272066E7"/>
    <w:rsid w:val="274554FD"/>
    <w:rsid w:val="275350F7"/>
    <w:rsid w:val="275A244F"/>
    <w:rsid w:val="276E1A62"/>
    <w:rsid w:val="27897907"/>
    <w:rsid w:val="278D77BD"/>
    <w:rsid w:val="27AD6BBB"/>
    <w:rsid w:val="27EA394B"/>
    <w:rsid w:val="280F1A88"/>
    <w:rsid w:val="28130CEF"/>
    <w:rsid w:val="28175D94"/>
    <w:rsid w:val="282E6156"/>
    <w:rsid w:val="2835285A"/>
    <w:rsid w:val="284905C6"/>
    <w:rsid w:val="286E3CDD"/>
    <w:rsid w:val="287D6592"/>
    <w:rsid w:val="28963F1D"/>
    <w:rsid w:val="28AA6FC3"/>
    <w:rsid w:val="28BD1C11"/>
    <w:rsid w:val="28D057E1"/>
    <w:rsid w:val="28EA0A4D"/>
    <w:rsid w:val="29047BA0"/>
    <w:rsid w:val="290C7E6B"/>
    <w:rsid w:val="294B5D25"/>
    <w:rsid w:val="29585A5D"/>
    <w:rsid w:val="296758AA"/>
    <w:rsid w:val="29720148"/>
    <w:rsid w:val="29FD292B"/>
    <w:rsid w:val="2A126915"/>
    <w:rsid w:val="2A575ACB"/>
    <w:rsid w:val="2A5F25C1"/>
    <w:rsid w:val="2A6D5DDA"/>
    <w:rsid w:val="2A8137D9"/>
    <w:rsid w:val="2A816AD3"/>
    <w:rsid w:val="2A9C6369"/>
    <w:rsid w:val="2AA56802"/>
    <w:rsid w:val="2B0212B4"/>
    <w:rsid w:val="2B025B77"/>
    <w:rsid w:val="2B1E1B33"/>
    <w:rsid w:val="2B27516B"/>
    <w:rsid w:val="2B3A7DA2"/>
    <w:rsid w:val="2B4D5540"/>
    <w:rsid w:val="2B582A6A"/>
    <w:rsid w:val="2B730908"/>
    <w:rsid w:val="2B9F1E7F"/>
    <w:rsid w:val="2BA06797"/>
    <w:rsid w:val="2BD6105D"/>
    <w:rsid w:val="2BD86683"/>
    <w:rsid w:val="2BE12008"/>
    <w:rsid w:val="2BE940FE"/>
    <w:rsid w:val="2C6B38D5"/>
    <w:rsid w:val="2C935F9E"/>
    <w:rsid w:val="2CB2244D"/>
    <w:rsid w:val="2CBB5F54"/>
    <w:rsid w:val="2CC3532F"/>
    <w:rsid w:val="2CDA1347"/>
    <w:rsid w:val="2CEF2982"/>
    <w:rsid w:val="2D0363AE"/>
    <w:rsid w:val="2D0F5B72"/>
    <w:rsid w:val="2D404630"/>
    <w:rsid w:val="2D4A6C4B"/>
    <w:rsid w:val="2D4F4CE3"/>
    <w:rsid w:val="2D6022C9"/>
    <w:rsid w:val="2D614A83"/>
    <w:rsid w:val="2D8A405C"/>
    <w:rsid w:val="2D9E66A8"/>
    <w:rsid w:val="2DD02B38"/>
    <w:rsid w:val="2DDA3448"/>
    <w:rsid w:val="2DE471B5"/>
    <w:rsid w:val="2DEB7CF0"/>
    <w:rsid w:val="2E0E3BE3"/>
    <w:rsid w:val="2E212749"/>
    <w:rsid w:val="2E2A34C6"/>
    <w:rsid w:val="2E7A27AB"/>
    <w:rsid w:val="2EBF1B03"/>
    <w:rsid w:val="2F096DF4"/>
    <w:rsid w:val="2F191006"/>
    <w:rsid w:val="2F226D33"/>
    <w:rsid w:val="2F504FB3"/>
    <w:rsid w:val="2F835DE9"/>
    <w:rsid w:val="2F97321B"/>
    <w:rsid w:val="2FAD2CD6"/>
    <w:rsid w:val="2FC94FB3"/>
    <w:rsid w:val="2FD2080F"/>
    <w:rsid w:val="2FEF727C"/>
    <w:rsid w:val="30420972"/>
    <w:rsid w:val="306B2FC4"/>
    <w:rsid w:val="30905624"/>
    <w:rsid w:val="30991CAC"/>
    <w:rsid w:val="309B540B"/>
    <w:rsid w:val="30AE2323"/>
    <w:rsid w:val="30BD7F05"/>
    <w:rsid w:val="30C96390"/>
    <w:rsid w:val="30CE6868"/>
    <w:rsid w:val="30CF2172"/>
    <w:rsid w:val="30D36EB2"/>
    <w:rsid w:val="30F236E8"/>
    <w:rsid w:val="31071734"/>
    <w:rsid w:val="31107022"/>
    <w:rsid w:val="31284B0D"/>
    <w:rsid w:val="315B0EB8"/>
    <w:rsid w:val="316A3E9B"/>
    <w:rsid w:val="31706767"/>
    <w:rsid w:val="31897D10"/>
    <w:rsid w:val="31A11554"/>
    <w:rsid w:val="31A534FF"/>
    <w:rsid w:val="31D8475A"/>
    <w:rsid w:val="31E000D3"/>
    <w:rsid w:val="31F40D37"/>
    <w:rsid w:val="31FB2F52"/>
    <w:rsid w:val="31FC1662"/>
    <w:rsid w:val="32055238"/>
    <w:rsid w:val="32127F59"/>
    <w:rsid w:val="32270056"/>
    <w:rsid w:val="32EA4BD9"/>
    <w:rsid w:val="334D17A4"/>
    <w:rsid w:val="3358033F"/>
    <w:rsid w:val="33674307"/>
    <w:rsid w:val="336B086B"/>
    <w:rsid w:val="337212D5"/>
    <w:rsid w:val="338405B1"/>
    <w:rsid w:val="33B67752"/>
    <w:rsid w:val="33B777F5"/>
    <w:rsid w:val="33C456DE"/>
    <w:rsid w:val="33C60F9E"/>
    <w:rsid w:val="33DB78F0"/>
    <w:rsid w:val="33ED6A61"/>
    <w:rsid w:val="348C4B39"/>
    <w:rsid w:val="348C6F30"/>
    <w:rsid w:val="34BA6286"/>
    <w:rsid w:val="34C93FD8"/>
    <w:rsid w:val="34E53B19"/>
    <w:rsid w:val="34E82DE4"/>
    <w:rsid w:val="351975ED"/>
    <w:rsid w:val="35233564"/>
    <w:rsid w:val="352872F5"/>
    <w:rsid w:val="354A10E2"/>
    <w:rsid w:val="354A557E"/>
    <w:rsid w:val="354E3BB3"/>
    <w:rsid w:val="355C79EA"/>
    <w:rsid w:val="357936BF"/>
    <w:rsid w:val="359108D7"/>
    <w:rsid w:val="35981787"/>
    <w:rsid w:val="35B56363"/>
    <w:rsid w:val="35B60319"/>
    <w:rsid w:val="35E66E96"/>
    <w:rsid w:val="35E7633F"/>
    <w:rsid w:val="35FF1847"/>
    <w:rsid w:val="360836B2"/>
    <w:rsid w:val="36406473"/>
    <w:rsid w:val="36661EDE"/>
    <w:rsid w:val="367415CA"/>
    <w:rsid w:val="36BA6964"/>
    <w:rsid w:val="36CC0D14"/>
    <w:rsid w:val="36E36443"/>
    <w:rsid w:val="36F25A45"/>
    <w:rsid w:val="36F6604A"/>
    <w:rsid w:val="370B097F"/>
    <w:rsid w:val="371774E9"/>
    <w:rsid w:val="372B4C9E"/>
    <w:rsid w:val="373271FD"/>
    <w:rsid w:val="379A67D1"/>
    <w:rsid w:val="379D368C"/>
    <w:rsid w:val="379D72D4"/>
    <w:rsid w:val="37B10F44"/>
    <w:rsid w:val="37B1520E"/>
    <w:rsid w:val="37F31F59"/>
    <w:rsid w:val="3808062B"/>
    <w:rsid w:val="382B1748"/>
    <w:rsid w:val="382E0268"/>
    <w:rsid w:val="384858A4"/>
    <w:rsid w:val="386134E9"/>
    <w:rsid w:val="386428B5"/>
    <w:rsid w:val="386F27EC"/>
    <w:rsid w:val="38733B2C"/>
    <w:rsid w:val="388174DC"/>
    <w:rsid w:val="38923E41"/>
    <w:rsid w:val="38BA4683"/>
    <w:rsid w:val="39004A44"/>
    <w:rsid w:val="390300DF"/>
    <w:rsid w:val="391C69ED"/>
    <w:rsid w:val="392870DD"/>
    <w:rsid w:val="39374512"/>
    <w:rsid w:val="393933D3"/>
    <w:rsid w:val="396D6083"/>
    <w:rsid w:val="39C55E9A"/>
    <w:rsid w:val="39C758F8"/>
    <w:rsid w:val="3A4F180B"/>
    <w:rsid w:val="3A893F90"/>
    <w:rsid w:val="3A9B6AA3"/>
    <w:rsid w:val="3ABE667C"/>
    <w:rsid w:val="3AE43025"/>
    <w:rsid w:val="3AF907BE"/>
    <w:rsid w:val="3B0350DF"/>
    <w:rsid w:val="3B110280"/>
    <w:rsid w:val="3B3637C4"/>
    <w:rsid w:val="3B5A2FF6"/>
    <w:rsid w:val="3B6214C5"/>
    <w:rsid w:val="3B6363FD"/>
    <w:rsid w:val="3B76069B"/>
    <w:rsid w:val="3B87513F"/>
    <w:rsid w:val="3B9F0A5D"/>
    <w:rsid w:val="3BA807AC"/>
    <w:rsid w:val="3BCB7C8B"/>
    <w:rsid w:val="3BD2486D"/>
    <w:rsid w:val="3BF21A2D"/>
    <w:rsid w:val="3BF271AD"/>
    <w:rsid w:val="3C01419C"/>
    <w:rsid w:val="3C1258CB"/>
    <w:rsid w:val="3C290DF8"/>
    <w:rsid w:val="3C380267"/>
    <w:rsid w:val="3C6E7BB4"/>
    <w:rsid w:val="3CA25E13"/>
    <w:rsid w:val="3CA334A8"/>
    <w:rsid w:val="3CCD0998"/>
    <w:rsid w:val="3D487517"/>
    <w:rsid w:val="3D582D6B"/>
    <w:rsid w:val="3D5E7801"/>
    <w:rsid w:val="3DAA3A6C"/>
    <w:rsid w:val="3DC93E69"/>
    <w:rsid w:val="3DF45668"/>
    <w:rsid w:val="3E157EA8"/>
    <w:rsid w:val="3E460FF4"/>
    <w:rsid w:val="3E5B7CCA"/>
    <w:rsid w:val="3E5D0046"/>
    <w:rsid w:val="3E80151B"/>
    <w:rsid w:val="3E823D9C"/>
    <w:rsid w:val="3E942047"/>
    <w:rsid w:val="3EB34B03"/>
    <w:rsid w:val="3EC60A6B"/>
    <w:rsid w:val="3ED04AC6"/>
    <w:rsid w:val="3EDA1C47"/>
    <w:rsid w:val="3EE13437"/>
    <w:rsid w:val="3EF60BE9"/>
    <w:rsid w:val="3EF76496"/>
    <w:rsid w:val="3F095677"/>
    <w:rsid w:val="3F2A618F"/>
    <w:rsid w:val="3F3704BC"/>
    <w:rsid w:val="3F415790"/>
    <w:rsid w:val="3F523911"/>
    <w:rsid w:val="3F6C2961"/>
    <w:rsid w:val="3F7136A4"/>
    <w:rsid w:val="3F8A7B33"/>
    <w:rsid w:val="3F9B1600"/>
    <w:rsid w:val="3FDA1D36"/>
    <w:rsid w:val="3FFA5B87"/>
    <w:rsid w:val="40091A09"/>
    <w:rsid w:val="401E74CC"/>
    <w:rsid w:val="40357DE6"/>
    <w:rsid w:val="40603893"/>
    <w:rsid w:val="406E36E7"/>
    <w:rsid w:val="40907423"/>
    <w:rsid w:val="40915F39"/>
    <w:rsid w:val="40920B43"/>
    <w:rsid w:val="40A752AB"/>
    <w:rsid w:val="40AA0BC3"/>
    <w:rsid w:val="40AD0539"/>
    <w:rsid w:val="40B437EF"/>
    <w:rsid w:val="40BA4B7E"/>
    <w:rsid w:val="40E41465"/>
    <w:rsid w:val="40E806F8"/>
    <w:rsid w:val="40EF712C"/>
    <w:rsid w:val="410542AF"/>
    <w:rsid w:val="41117B3B"/>
    <w:rsid w:val="4120194B"/>
    <w:rsid w:val="41780BF5"/>
    <w:rsid w:val="417C4311"/>
    <w:rsid w:val="41831414"/>
    <w:rsid w:val="41887D48"/>
    <w:rsid w:val="41BC71AC"/>
    <w:rsid w:val="41EA2B68"/>
    <w:rsid w:val="41EE7473"/>
    <w:rsid w:val="41F36A44"/>
    <w:rsid w:val="4218309C"/>
    <w:rsid w:val="424B1C46"/>
    <w:rsid w:val="425306FE"/>
    <w:rsid w:val="42773C54"/>
    <w:rsid w:val="427F2968"/>
    <w:rsid w:val="42922170"/>
    <w:rsid w:val="42A17EC7"/>
    <w:rsid w:val="42B9433F"/>
    <w:rsid w:val="42BC318C"/>
    <w:rsid w:val="42D15C25"/>
    <w:rsid w:val="42D504B3"/>
    <w:rsid w:val="42DB1CFE"/>
    <w:rsid w:val="42EC4B7C"/>
    <w:rsid w:val="43222DDF"/>
    <w:rsid w:val="43765BDF"/>
    <w:rsid w:val="43975C6D"/>
    <w:rsid w:val="43C43CC7"/>
    <w:rsid w:val="43D15F43"/>
    <w:rsid w:val="43D57EB3"/>
    <w:rsid w:val="43E40670"/>
    <w:rsid w:val="43E5256D"/>
    <w:rsid w:val="43FA70C2"/>
    <w:rsid w:val="441D3214"/>
    <w:rsid w:val="44330D65"/>
    <w:rsid w:val="444902C2"/>
    <w:rsid w:val="444E0D7D"/>
    <w:rsid w:val="445651C1"/>
    <w:rsid w:val="44673645"/>
    <w:rsid w:val="446F24A0"/>
    <w:rsid w:val="44892185"/>
    <w:rsid w:val="449300D6"/>
    <w:rsid w:val="44935750"/>
    <w:rsid w:val="44B10BC8"/>
    <w:rsid w:val="44C935E1"/>
    <w:rsid w:val="44D26709"/>
    <w:rsid w:val="44E9667B"/>
    <w:rsid w:val="450E203E"/>
    <w:rsid w:val="454276E4"/>
    <w:rsid w:val="4543067C"/>
    <w:rsid w:val="45974D5B"/>
    <w:rsid w:val="4598619A"/>
    <w:rsid w:val="45C145CA"/>
    <w:rsid w:val="45C85CF6"/>
    <w:rsid w:val="45F00C5C"/>
    <w:rsid w:val="45F30BCD"/>
    <w:rsid w:val="45F52476"/>
    <w:rsid w:val="46091E18"/>
    <w:rsid w:val="461B62CD"/>
    <w:rsid w:val="46244289"/>
    <w:rsid w:val="463A1ECC"/>
    <w:rsid w:val="46600E6D"/>
    <w:rsid w:val="46696E8F"/>
    <w:rsid w:val="46976927"/>
    <w:rsid w:val="46B05A72"/>
    <w:rsid w:val="46D5665D"/>
    <w:rsid w:val="46E76F97"/>
    <w:rsid w:val="46EC35B7"/>
    <w:rsid w:val="4722639F"/>
    <w:rsid w:val="47251A46"/>
    <w:rsid w:val="473D3B4B"/>
    <w:rsid w:val="476B2426"/>
    <w:rsid w:val="479F1710"/>
    <w:rsid w:val="47B3460B"/>
    <w:rsid w:val="482D4C4C"/>
    <w:rsid w:val="48746273"/>
    <w:rsid w:val="488F21BB"/>
    <w:rsid w:val="48945CB4"/>
    <w:rsid w:val="48A97644"/>
    <w:rsid w:val="48B057BA"/>
    <w:rsid w:val="48CF19CE"/>
    <w:rsid w:val="491E45F2"/>
    <w:rsid w:val="49396863"/>
    <w:rsid w:val="495C4A24"/>
    <w:rsid w:val="49640EFC"/>
    <w:rsid w:val="49732AFE"/>
    <w:rsid w:val="49773515"/>
    <w:rsid w:val="499373E6"/>
    <w:rsid w:val="499A0527"/>
    <w:rsid w:val="49BD64A4"/>
    <w:rsid w:val="49C22A73"/>
    <w:rsid w:val="49C34807"/>
    <w:rsid w:val="49D80AF2"/>
    <w:rsid w:val="49DA70F1"/>
    <w:rsid w:val="49EE6CD1"/>
    <w:rsid w:val="49EF2E92"/>
    <w:rsid w:val="49F140DD"/>
    <w:rsid w:val="4A1475E1"/>
    <w:rsid w:val="4A193C88"/>
    <w:rsid w:val="4A1E4641"/>
    <w:rsid w:val="4A2D74BA"/>
    <w:rsid w:val="4A314103"/>
    <w:rsid w:val="4A820D8F"/>
    <w:rsid w:val="4A9452D8"/>
    <w:rsid w:val="4B081139"/>
    <w:rsid w:val="4B0C5DE5"/>
    <w:rsid w:val="4B0C5FAB"/>
    <w:rsid w:val="4B114633"/>
    <w:rsid w:val="4B2C6D24"/>
    <w:rsid w:val="4B4C6798"/>
    <w:rsid w:val="4B6747B3"/>
    <w:rsid w:val="4C224DBF"/>
    <w:rsid w:val="4C6F3C2B"/>
    <w:rsid w:val="4C723126"/>
    <w:rsid w:val="4C9362CA"/>
    <w:rsid w:val="4C9E3415"/>
    <w:rsid w:val="4CC50082"/>
    <w:rsid w:val="4CD32BE3"/>
    <w:rsid w:val="4CEF7970"/>
    <w:rsid w:val="4D050426"/>
    <w:rsid w:val="4D050878"/>
    <w:rsid w:val="4D3C70C3"/>
    <w:rsid w:val="4D5920FD"/>
    <w:rsid w:val="4D787F24"/>
    <w:rsid w:val="4DAB6E13"/>
    <w:rsid w:val="4DE95617"/>
    <w:rsid w:val="4DF347CF"/>
    <w:rsid w:val="4DFD2DB6"/>
    <w:rsid w:val="4E070EE1"/>
    <w:rsid w:val="4E1738D6"/>
    <w:rsid w:val="4E29364A"/>
    <w:rsid w:val="4E2E2F0E"/>
    <w:rsid w:val="4E8463F8"/>
    <w:rsid w:val="4EEA4255"/>
    <w:rsid w:val="4F001207"/>
    <w:rsid w:val="4F3E0330"/>
    <w:rsid w:val="4F3E5F51"/>
    <w:rsid w:val="4F4076FA"/>
    <w:rsid w:val="4F43137B"/>
    <w:rsid w:val="4F7F6214"/>
    <w:rsid w:val="4F910A61"/>
    <w:rsid w:val="4F991262"/>
    <w:rsid w:val="4FAF1877"/>
    <w:rsid w:val="4FFE1E48"/>
    <w:rsid w:val="501D0442"/>
    <w:rsid w:val="501D4E3F"/>
    <w:rsid w:val="5022237B"/>
    <w:rsid w:val="504B51D2"/>
    <w:rsid w:val="508818FE"/>
    <w:rsid w:val="508905BC"/>
    <w:rsid w:val="50972C39"/>
    <w:rsid w:val="509C0D4E"/>
    <w:rsid w:val="50B12FCF"/>
    <w:rsid w:val="50CE603E"/>
    <w:rsid w:val="50E072B5"/>
    <w:rsid w:val="5106297C"/>
    <w:rsid w:val="510C475B"/>
    <w:rsid w:val="5129030D"/>
    <w:rsid w:val="514C779E"/>
    <w:rsid w:val="51536EAC"/>
    <w:rsid w:val="51553586"/>
    <w:rsid w:val="515F5935"/>
    <w:rsid w:val="51724046"/>
    <w:rsid w:val="51834356"/>
    <w:rsid w:val="518607FB"/>
    <w:rsid w:val="51910362"/>
    <w:rsid w:val="51974973"/>
    <w:rsid w:val="51EE3B0D"/>
    <w:rsid w:val="52170AB9"/>
    <w:rsid w:val="523A13C9"/>
    <w:rsid w:val="5266236A"/>
    <w:rsid w:val="52EF26A9"/>
    <w:rsid w:val="53013A3B"/>
    <w:rsid w:val="53076B2D"/>
    <w:rsid w:val="532C19D8"/>
    <w:rsid w:val="53342678"/>
    <w:rsid w:val="53415734"/>
    <w:rsid w:val="53662832"/>
    <w:rsid w:val="53723F2B"/>
    <w:rsid w:val="53844763"/>
    <w:rsid w:val="538A150D"/>
    <w:rsid w:val="53B62265"/>
    <w:rsid w:val="53BA7295"/>
    <w:rsid w:val="53BD611F"/>
    <w:rsid w:val="540E525E"/>
    <w:rsid w:val="54122924"/>
    <w:rsid w:val="541953CA"/>
    <w:rsid w:val="54823DCD"/>
    <w:rsid w:val="54C4311C"/>
    <w:rsid w:val="54D7537B"/>
    <w:rsid w:val="54D7593E"/>
    <w:rsid w:val="55413449"/>
    <w:rsid w:val="55565EBA"/>
    <w:rsid w:val="558573DD"/>
    <w:rsid w:val="55DF03A4"/>
    <w:rsid w:val="56445B21"/>
    <w:rsid w:val="56505EE7"/>
    <w:rsid w:val="565B3DCE"/>
    <w:rsid w:val="568E38FF"/>
    <w:rsid w:val="56D95906"/>
    <w:rsid w:val="56E83D74"/>
    <w:rsid w:val="56FD36D2"/>
    <w:rsid w:val="57062473"/>
    <w:rsid w:val="570B2682"/>
    <w:rsid w:val="572E5DD0"/>
    <w:rsid w:val="57443D51"/>
    <w:rsid w:val="57572B0B"/>
    <w:rsid w:val="57656E7C"/>
    <w:rsid w:val="576F057F"/>
    <w:rsid w:val="57975744"/>
    <w:rsid w:val="57B07F97"/>
    <w:rsid w:val="57D724F1"/>
    <w:rsid w:val="580409A4"/>
    <w:rsid w:val="581C1B02"/>
    <w:rsid w:val="5838124C"/>
    <w:rsid w:val="58481FC6"/>
    <w:rsid w:val="58707162"/>
    <w:rsid w:val="587773D2"/>
    <w:rsid w:val="587E5908"/>
    <w:rsid w:val="58901A1A"/>
    <w:rsid w:val="58C94D42"/>
    <w:rsid w:val="58E27E28"/>
    <w:rsid w:val="59407D3F"/>
    <w:rsid w:val="595723D4"/>
    <w:rsid w:val="59625801"/>
    <w:rsid w:val="5967353C"/>
    <w:rsid w:val="597D7497"/>
    <w:rsid w:val="59C07E7E"/>
    <w:rsid w:val="59D2392F"/>
    <w:rsid w:val="59D45CD5"/>
    <w:rsid w:val="59D606C2"/>
    <w:rsid w:val="5A061207"/>
    <w:rsid w:val="5A111F61"/>
    <w:rsid w:val="5A1559A6"/>
    <w:rsid w:val="5A33691E"/>
    <w:rsid w:val="5A355EE1"/>
    <w:rsid w:val="5A3B7586"/>
    <w:rsid w:val="5A633622"/>
    <w:rsid w:val="5A6F64A6"/>
    <w:rsid w:val="5A943918"/>
    <w:rsid w:val="5AB96945"/>
    <w:rsid w:val="5AC31779"/>
    <w:rsid w:val="5AD04C8C"/>
    <w:rsid w:val="5AE7158A"/>
    <w:rsid w:val="5B2B6EE4"/>
    <w:rsid w:val="5B546813"/>
    <w:rsid w:val="5B5B0A9B"/>
    <w:rsid w:val="5B667CD3"/>
    <w:rsid w:val="5B6D16C4"/>
    <w:rsid w:val="5B834DE6"/>
    <w:rsid w:val="5BA00FBA"/>
    <w:rsid w:val="5BBB1F88"/>
    <w:rsid w:val="5BC352F0"/>
    <w:rsid w:val="5C063FC9"/>
    <w:rsid w:val="5C0F2BFF"/>
    <w:rsid w:val="5C354D53"/>
    <w:rsid w:val="5C6532D1"/>
    <w:rsid w:val="5CBC2DDB"/>
    <w:rsid w:val="5CE07B38"/>
    <w:rsid w:val="5D0C58EC"/>
    <w:rsid w:val="5D0D7DF5"/>
    <w:rsid w:val="5D1010D0"/>
    <w:rsid w:val="5D185CE6"/>
    <w:rsid w:val="5D1B43CB"/>
    <w:rsid w:val="5D2673CB"/>
    <w:rsid w:val="5D2F7D58"/>
    <w:rsid w:val="5D433D2D"/>
    <w:rsid w:val="5D72735A"/>
    <w:rsid w:val="5D8044EA"/>
    <w:rsid w:val="5DDB1292"/>
    <w:rsid w:val="5DE43007"/>
    <w:rsid w:val="5E1A5187"/>
    <w:rsid w:val="5E53134F"/>
    <w:rsid w:val="5E5A2D50"/>
    <w:rsid w:val="5E661E41"/>
    <w:rsid w:val="5E770480"/>
    <w:rsid w:val="5E8E6971"/>
    <w:rsid w:val="5EA172A5"/>
    <w:rsid w:val="5EA34A69"/>
    <w:rsid w:val="5EAD0537"/>
    <w:rsid w:val="5EB02126"/>
    <w:rsid w:val="5F030DEA"/>
    <w:rsid w:val="5F252E22"/>
    <w:rsid w:val="5F2B7243"/>
    <w:rsid w:val="5F353888"/>
    <w:rsid w:val="5F6C7E1C"/>
    <w:rsid w:val="5F79792A"/>
    <w:rsid w:val="5F8C487C"/>
    <w:rsid w:val="5F9C66ED"/>
    <w:rsid w:val="5FA559EF"/>
    <w:rsid w:val="5FAD3D00"/>
    <w:rsid w:val="5FDA5F38"/>
    <w:rsid w:val="5FFA30A0"/>
    <w:rsid w:val="5FFC0B2F"/>
    <w:rsid w:val="600564A8"/>
    <w:rsid w:val="600D4E10"/>
    <w:rsid w:val="603154C1"/>
    <w:rsid w:val="603B3DBB"/>
    <w:rsid w:val="604F4E8B"/>
    <w:rsid w:val="60571D4B"/>
    <w:rsid w:val="605A5F10"/>
    <w:rsid w:val="60656CB9"/>
    <w:rsid w:val="608A7F68"/>
    <w:rsid w:val="608B171B"/>
    <w:rsid w:val="60945726"/>
    <w:rsid w:val="60B5262D"/>
    <w:rsid w:val="60B73820"/>
    <w:rsid w:val="60BA3362"/>
    <w:rsid w:val="60DA2579"/>
    <w:rsid w:val="60E67835"/>
    <w:rsid w:val="610B6FE4"/>
    <w:rsid w:val="61142154"/>
    <w:rsid w:val="61235681"/>
    <w:rsid w:val="614E4095"/>
    <w:rsid w:val="617C253B"/>
    <w:rsid w:val="617F29AD"/>
    <w:rsid w:val="618901D9"/>
    <w:rsid w:val="61895529"/>
    <w:rsid w:val="61993A53"/>
    <w:rsid w:val="61A335A9"/>
    <w:rsid w:val="61BD3760"/>
    <w:rsid w:val="61C17470"/>
    <w:rsid w:val="61DB0AC4"/>
    <w:rsid w:val="61E2081A"/>
    <w:rsid w:val="61E575EC"/>
    <w:rsid w:val="61E85617"/>
    <w:rsid w:val="62147EDE"/>
    <w:rsid w:val="621E6E07"/>
    <w:rsid w:val="621F230A"/>
    <w:rsid w:val="622F12B8"/>
    <w:rsid w:val="623D684E"/>
    <w:rsid w:val="627C53CE"/>
    <w:rsid w:val="62815AA0"/>
    <w:rsid w:val="62A13033"/>
    <w:rsid w:val="62A75AEF"/>
    <w:rsid w:val="62AB580E"/>
    <w:rsid w:val="62AE49EA"/>
    <w:rsid w:val="62B974BA"/>
    <w:rsid w:val="62ED7B55"/>
    <w:rsid w:val="630C1C34"/>
    <w:rsid w:val="63715118"/>
    <w:rsid w:val="63BF2892"/>
    <w:rsid w:val="63E144F3"/>
    <w:rsid w:val="640A301D"/>
    <w:rsid w:val="64114861"/>
    <w:rsid w:val="641F376F"/>
    <w:rsid w:val="646A5DED"/>
    <w:rsid w:val="648F22FC"/>
    <w:rsid w:val="64A66366"/>
    <w:rsid w:val="64EA4EEC"/>
    <w:rsid w:val="64F376FB"/>
    <w:rsid w:val="6518137B"/>
    <w:rsid w:val="652C6C46"/>
    <w:rsid w:val="653A3AF4"/>
    <w:rsid w:val="653D3A42"/>
    <w:rsid w:val="653F60CD"/>
    <w:rsid w:val="657F4154"/>
    <w:rsid w:val="65926AEF"/>
    <w:rsid w:val="65C64E34"/>
    <w:rsid w:val="65D976D1"/>
    <w:rsid w:val="6611391E"/>
    <w:rsid w:val="66161F0A"/>
    <w:rsid w:val="66292C50"/>
    <w:rsid w:val="662D0444"/>
    <w:rsid w:val="6646259A"/>
    <w:rsid w:val="665C3773"/>
    <w:rsid w:val="66685856"/>
    <w:rsid w:val="667034A5"/>
    <w:rsid w:val="668429E4"/>
    <w:rsid w:val="668B029F"/>
    <w:rsid w:val="66943122"/>
    <w:rsid w:val="66AE5C29"/>
    <w:rsid w:val="66AE7711"/>
    <w:rsid w:val="66CF5879"/>
    <w:rsid w:val="66D5166F"/>
    <w:rsid w:val="66E55458"/>
    <w:rsid w:val="66FD7245"/>
    <w:rsid w:val="67047B51"/>
    <w:rsid w:val="670C5D7F"/>
    <w:rsid w:val="67203DE6"/>
    <w:rsid w:val="672B633C"/>
    <w:rsid w:val="673A5F96"/>
    <w:rsid w:val="67505EAF"/>
    <w:rsid w:val="67517283"/>
    <w:rsid w:val="67540AA9"/>
    <w:rsid w:val="67585066"/>
    <w:rsid w:val="67626EDB"/>
    <w:rsid w:val="676471B4"/>
    <w:rsid w:val="678B5FC5"/>
    <w:rsid w:val="679B78CD"/>
    <w:rsid w:val="67C27678"/>
    <w:rsid w:val="67E36A56"/>
    <w:rsid w:val="68015E2B"/>
    <w:rsid w:val="68024349"/>
    <w:rsid w:val="6809634F"/>
    <w:rsid w:val="684A6A21"/>
    <w:rsid w:val="68500944"/>
    <w:rsid w:val="686A6124"/>
    <w:rsid w:val="68A83EC1"/>
    <w:rsid w:val="68C95257"/>
    <w:rsid w:val="68EB559D"/>
    <w:rsid w:val="69094F1A"/>
    <w:rsid w:val="690D4BD3"/>
    <w:rsid w:val="69556F20"/>
    <w:rsid w:val="696A0E37"/>
    <w:rsid w:val="697604D9"/>
    <w:rsid w:val="69842EAC"/>
    <w:rsid w:val="698B5AD1"/>
    <w:rsid w:val="69DD2B70"/>
    <w:rsid w:val="69FA09CA"/>
    <w:rsid w:val="6A234EB3"/>
    <w:rsid w:val="6A4F1D80"/>
    <w:rsid w:val="6A914617"/>
    <w:rsid w:val="6AF11099"/>
    <w:rsid w:val="6AF610F7"/>
    <w:rsid w:val="6B1113B9"/>
    <w:rsid w:val="6B1E7298"/>
    <w:rsid w:val="6B4C17C5"/>
    <w:rsid w:val="6B903FBE"/>
    <w:rsid w:val="6BB95C5B"/>
    <w:rsid w:val="6BBB1A55"/>
    <w:rsid w:val="6BCF4A77"/>
    <w:rsid w:val="6BDD1D86"/>
    <w:rsid w:val="6BFF1157"/>
    <w:rsid w:val="6C0079BC"/>
    <w:rsid w:val="6C237805"/>
    <w:rsid w:val="6C62145A"/>
    <w:rsid w:val="6C7954C0"/>
    <w:rsid w:val="6C976C5C"/>
    <w:rsid w:val="6CB2791D"/>
    <w:rsid w:val="6CB82059"/>
    <w:rsid w:val="6CB95B66"/>
    <w:rsid w:val="6D130207"/>
    <w:rsid w:val="6D19438C"/>
    <w:rsid w:val="6D2351EF"/>
    <w:rsid w:val="6D2A1185"/>
    <w:rsid w:val="6D797782"/>
    <w:rsid w:val="6D8C2626"/>
    <w:rsid w:val="6D914DB3"/>
    <w:rsid w:val="6D9D6E67"/>
    <w:rsid w:val="6D9D7236"/>
    <w:rsid w:val="6DDA3E49"/>
    <w:rsid w:val="6DE04EAA"/>
    <w:rsid w:val="6E0B5C7F"/>
    <w:rsid w:val="6E0C33CE"/>
    <w:rsid w:val="6E2E7EF4"/>
    <w:rsid w:val="6E525F7E"/>
    <w:rsid w:val="6E572333"/>
    <w:rsid w:val="6E5F458E"/>
    <w:rsid w:val="6E676327"/>
    <w:rsid w:val="6E7034F3"/>
    <w:rsid w:val="6EB16DA8"/>
    <w:rsid w:val="6EC04469"/>
    <w:rsid w:val="6EC36413"/>
    <w:rsid w:val="6EEA2477"/>
    <w:rsid w:val="6EEC30CD"/>
    <w:rsid w:val="6F0A409C"/>
    <w:rsid w:val="6F525DA2"/>
    <w:rsid w:val="6F8B5D0F"/>
    <w:rsid w:val="6FC1476E"/>
    <w:rsid w:val="6FF84D5F"/>
    <w:rsid w:val="700B24A8"/>
    <w:rsid w:val="700C43B3"/>
    <w:rsid w:val="702F6F0B"/>
    <w:rsid w:val="70483F5F"/>
    <w:rsid w:val="704F7DB9"/>
    <w:rsid w:val="70553275"/>
    <w:rsid w:val="706D72D5"/>
    <w:rsid w:val="709A5AE9"/>
    <w:rsid w:val="70C74180"/>
    <w:rsid w:val="70E83551"/>
    <w:rsid w:val="71265CF7"/>
    <w:rsid w:val="7143481D"/>
    <w:rsid w:val="7163489C"/>
    <w:rsid w:val="71831DC3"/>
    <w:rsid w:val="719821F4"/>
    <w:rsid w:val="72011F28"/>
    <w:rsid w:val="720E08B8"/>
    <w:rsid w:val="721101B2"/>
    <w:rsid w:val="725B146D"/>
    <w:rsid w:val="726365B1"/>
    <w:rsid w:val="726F2B1B"/>
    <w:rsid w:val="72782B4A"/>
    <w:rsid w:val="729C030A"/>
    <w:rsid w:val="72B832BB"/>
    <w:rsid w:val="72CA110C"/>
    <w:rsid w:val="72D01C3A"/>
    <w:rsid w:val="73055EDA"/>
    <w:rsid w:val="7318180E"/>
    <w:rsid w:val="731A4FC2"/>
    <w:rsid w:val="732310BF"/>
    <w:rsid w:val="73384286"/>
    <w:rsid w:val="73524DC0"/>
    <w:rsid w:val="73554CA8"/>
    <w:rsid w:val="7365250B"/>
    <w:rsid w:val="73696096"/>
    <w:rsid w:val="73771BB5"/>
    <w:rsid w:val="73A225C1"/>
    <w:rsid w:val="73A41EEC"/>
    <w:rsid w:val="73A56C26"/>
    <w:rsid w:val="73A7502C"/>
    <w:rsid w:val="73AA26AC"/>
    <w:rsid w:val="73AD6C04"/>
    <w:rsid w:val="73CE4EC3"/>
    <w:rsid w:val="73D940C4"/>
    <w:rsid w:val="73DE4F5C"/>
    <w:rsid w:val="73E042AE"/>
    <w:rsid w:val="73ED4BEA"/>
    <w:rsid w:val="73F11636"/>
    <w:rsid w:val="7402197A"/>
    <w:rsid w:val="740A5055"/>
    <w:rsid w:val="74157F14"/>
    <w:rsid w:val="741E4E2A"/>
    <w:rsid w:val="74495D08"/>
    <w:rsid w:val="744C2A5A"/>
    <w:rsid w:val="74635B80"/>
    <w:rsid w:val="74675642"/>
    <w:rsid w:val="748324E5"/>
    <w:rsid w:val="749B3E5E"/>
    <w:rsid w:val="74A67686"/>
    <w:rsid w:val="74E73832"/>
    <w:rsid w:val="74E85E99"/>
    <w:rsid w:val="74FA4E0C"/>
    <w:rsid w:val="750578A4"/>
    <w:rsid w:val="75297601"/>
    <w:rsid w:val="753B0BFF"/>
    <w:rsid w:val="753E6A6B"/>
    <w:rsid w:val="75406519"/>
    <w:rsid w:val="754624D3"/>
    <w:rsid w:val="754E52B9"/>
    <w:rsid w:val="75731626"/>
    <w:rsid w:val="75997092"/>
    <w:rsid w:val="75B63B70"/>
    <w:rsid w:val="75B9532B"/>
    <w:rsid w:val="75C238C0"/>
    <w:rsid w:val="75DE663D"/>
    <w:rsid w:val="75EE3E49"/>
    <w:rsid w:val="75FA4C31"/>
    <w:rsid w:val="7610192F"/>
    <w:rsid w:val="76181896"/>
    <w:rsid w:val="76370C0F"/>
    <w:rsid w:val="766A48D8"/>
    <w:rsid w:val="76944F4E"/>
    <w:rsid w:val="76C65E3D"/>
    <w:rsid w:val="76D710E0"/>
    <w:rsid w:val="76F04A65"/>
    <w:rsid w:val="772A1F54"/>
    <w:rsid w:val="773C1E51"/>
    <w:rsid w:val="77414ABA"/>
    <w:rsid w:val="77675276"/>
    <w:rsid w:val="77835A31"/>
    <w:rsid w:val="77B47499"/>
    <w:rsid w:val="77B72A76"/>
    <w:rsid w:val="77EE7908"/>
    <w:rsid w:val="77FC24EF"/>
    <w:rsid w:val="77FF66EE"/>
    <w:rsid w:val="780A2C16"/>
    <w:rsid w:val="781C1055"/>
    <w:rsid w:val="781E731D"/>
    <w:rsid w:val="78356412"/>
    <w:rsid w:val="78357862"/>
    <w:rsid w:val="78483201"/>
    <w:rsid w:val="78544777"/>
    <w:rsid w:val="785A3691"/>
    <w:rsid w:val="786A2314"/>
    <w:rsid w:val="78A67FC4"/>
    <w:rsid w:val="78C14194"/>
    <w:rsid w:val="78E22C72"/>
    <w:rsid w:val="795B41E0"/>
    <w:rsid w:val="798740EF"/>
    <w:rsid w:val="798E4E34"/>
    <w:rsid w:val="79937513"/>
    <w:rsid w:val="79BD1659"/>
    <w:rsid w:val="79DE00F9"/>
    <w:rsid w:val="79ED63AD"/>
    <w:rsid w:val="79EF3F83"/>
    <w:rsid w:val="7A0728D1"/>
    <w:rsid w:val="7A106FD0"/>
    <w:rsid w:val="7A243CC6"/>
    <w:rsid w:val="7A376F11"/>
    <w:rsid w:val="7A8821E5"/>
    <w:rsid w:val="7A9103E0"/>
    <w:rsid w:val="7AAE53F6"/>
    <w:rsid w:val="7AD25CBC"/>
    <w:rsid w:val="7ADC5AA8"/>
    <w:rsid w:val="7B10161E"/>
    <w:rsid w:val="7B2A0A25"/>
    <w:rsid w:val="7B52516C"/>
    <w:rsid w:val="7B890984"/>
    <w:rsid w:val="7B9504F4"/>
    <w:rsid w:val="7BC73C5A"/>
    <w:rsid w:val="7BD046E7"/>
    <w:rsid w:val="7BFA36A1"/>
    <w:rsid w:val="7C1C629A"/>
    <w:rsid w:val="7C570E85"/>
    <w:rsid w:val="7C747879"/>
    <w:rsid w:val="7C82228E"/>
    <w:rsid w:val="7C8C4BB8"/>
    <w:rsid w:val="7C8D7818"/>
    <w:rsid w:val="7C8F0691"/>
    <w:rsid w:val="7CA538A7"/>
    <w:rsid w:val="7CB60F70"/>
    <w:rsid w:val="7CD2037D"/>
    <w:rsid w:val="7CE50BFC"/>
    <w:rsid w:val="7CEC759C"/>
    <w:rsid w:val="7CF36E72"/>
    <w:rsid w:val="7CF47EDB"/>
    <w:rsid w:val="7CF65E91"/>
    <w:rsid w:val="7CFD7DCB"/>
    <w:rsid w:val="7D381B92"/>
    <w:rsid w:val="7D3A3FD3"/>
    <w:rsid w:val="7D6407AE"/>
    <w:rsid w:val="7D711B45"/>
    <w:rsid w:val="7D7865AB"/>
    <w:rsid w:val="7D9315E4"/>
    <w:rsid w:val="7DC727A2"/>
    <w:rsid w:val="7DC81D72"/>
    <w:rsid w:val="7DDC1A7B"/>
    <w:rsid w:val="7E05604E"/>
    <w:rsid w:val="7E061A83"/>
    <w:rsid w:val="7E1008DC"/>
    <w:rsid w:val="7E172B88"/>
    <w:rsid w:val="7E6F2545"/>
    <w:rsid w:val="7E821CDA"/>
    <w:rsid w:val="7E8C20D1"/>
    <w:rsid w:val="7E8E3A47"/>
    <w:rsid w:val="7EC14D4E"/>
    <w:rsid w:val="7F157877"/>
    <w:rsid w:val="7F192D10"/>
    <w:rsid w:val="7F2C3E19"/>
    <w:rsid w:val="7F3708C6"/>
    <w:rsid w:val="7F556F5D"/>
    <w:rsid w:val="7F654D11"/>
    <w:rsid w:val="7F7436E8"/>
    <w:rsid w:val="7F87438C"/>
    <w:rsid w:val="7F8D4850"/>
    <w:rsid w:val="7F9A60E4"/>
    <w:rsid w:val="7FD12D6F"/>
    <w:rsid w:val="7FD57DA2"/>
    <w:rsid w:val="7FF44381"/>
    <w:rsid w:val="7FFD1B9A"/>
    <w:rsid w:val="7FFF00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63"/>
    <w:autoRedefine/>
    <w:qFormat/>
    <w:uiPriority w:val="9"/>
    <w:pPr>
      <w:keepNext/>
      <w:keepLines/>
      <w:numPr>
        <w:ilvl w:val="0"/>
        <w:numId w:val="1"/>
      </w:numPr>
      <w:adjustRightInd w:val="0"/>
      <w:spacing w:before="340" w:after="330" w:line="578" w:lineRule="atLeast"/>
      <w:jc w:val="left"/>
      <w:textAlignment w:val="baseline"/>
      <w:outlineLvl w:val="0"/>
    </w:pPr>
    <w:rPr>
      <w:rFonts w:ascii="Calibri" w:hAnsi="Calibri"/>
      <w:b/>
      <w:bCs/>
      <w:kern w:val="44"/>
      <w:sz w:val="44"/>
      <w:szCs w:val="44"/>
    </w:rPr>
  </w:style>
  <w:style w:type="paragraph" w:styleId="3">
    <w:name w:val="heading 2"/>
    <w:basedOn w:val="1"/>
    <w:next w:val="1"/>
    <w:link w:val="64"/>
    <w:autoRedefine/>
    <w:qFormat/>
    <w:uiPriority w:val="0"/>
    <w:pPr>
      <w:keepNext/>
      <w:keepLines/>
      <w:numPr>
        <w:ilvl w:val="1"/>
        <w:numId w:val="1"/>
      </w:numPr>
      <w:adjustRightInd w:val="0"/>
      <w:spacing w:before="260" w:after="260" w:line="416" w:lineRule="atLeast"/>
      <w:jc w:val="left"/>
      <w:textAlignment w:val="baseline"/>
      <w:outlineLvl w:val="1"/>
    </w:pPr>
    <w:rPr>
      <w:rFonts w:ascii="Arial" w:hAnsi="Arial" w:eastAsia="黑体"/>
      <w:b/>
      <w:bCs/>
      <w:kern w:val="0"/>
      <w:sz w:val="32"/>
      <w:szCs w:val="32"/>
    </w:rPr>
  </w:style>
  <w:style w:type="paragraph" w:styleId="4">
    <w:name w:val="heading 3"/>
    <w:basedOn w:val="1"/>
    <w:next w:val="1"/>
    <w:link w:val="61"/>
    <w:autoRedefine/>
    <w:qFormat/>
    <w:uiPriority w:val="0"/>
    <w:pPr>
      <w:keepNext/>
      <w:keepLines/>
      <w:autoSpaceDE w:val="0"/>
      <w:autoSpaceDN w:val="0"/>
      <w:adjustRightInd w:val="0"/>
      <w:spacing w:before="360" w:after="120"/>
      <w:jc w:val="left"/>
      <w:outlineLvl w:val="2"/>
    </w:pPr>
    <w:rPr>
      <w:rFonts w:ascii="宋体"/>
      <w:b/>
      <w:kern w:val="0"/>
      <w:sz w:val="24"/>
      <w:u w:val="single"/>
    </w:rPr>
  </w:style>
  <w:style w:type="paragraph" w:styleId="5">
    <w:name w:val="heading 4"/>
    <w:basedOn w:val="1"/>
    <w:next w:val="1"/>
    <w:link w:val="65"/>
    <w:autoRedefine/>
    <w:qFormat/>
    <w:uiPriority w:val="0"/>
    <w:pPr>
      <w:keepNext/>
      <w:keepLines/>
      <w:numPr>
        <w:ilvl w:val="3"/>
        <w:numId w:val="1"/>
      </w:numPr>
      <w:adjustRightInd w:val="0"/>
      <w:spacing w:before="280" w:after="290" w:line="376" w:lineRule="atLeast"/>
      <w:jc w:val="left"/>
      <w:textAlignment w:val="baseline"/>
      <w:outlineLvl w:val="3"/>
    </w:pPr>
    <w:rPr>
      <w:rFonts w:ascii="Arial" w:hAnsi="Arial" w:eastAsia="黑体"/>
      <w:b/>
      <w:bCs/>
      <w:kern w:val="0"/>
      <w:sz w:val="28"/>
      <w:szCs w:val="28"/>
    </w:rPr>
  </w:style>
  <w:style w:type="character" w:default="1" w:styleId="25">
    <w:name w:val="Default Paragraph Font"/>
    <w:autoRedefine/>
    <w:unhideWhenUsed/>
    <w:qFormat/>
    <w:uiPriority w:val="1"/>
  </w:style>
  <w:style w:type="table" w:default="1" w:styleId="23">
    <w:name w:val="Normal Table"/>
    <w:autoRedefine/>
    <w:unhideWhenUsed/>
    <w:qFormat/>
    <w:uiPriority w:val="99"/>
    <w:tblPr>
      <w:tblCellMar>
        <w:top w:w="0" w:type="dxa"/>
        <w:left w:w="108" w:type="dxa"/>
        <w:bottom w:w="0" w:type="dxa"/>
        <w:right w:w="108" w:type="dxa"/>
      </w:tblCellMar>
    </w:tblPr>
  </w:style>
  <w:style w:type="paragraph" w:styleId="6">
    <w:name w:val="Normal Indent"/>
    <w:basedOn w:val="1"/>
    <w:autoRedefine/>
    <w:unhideWhenUsed/>
    <w:qFormat/>
    <w:uiPriority w:val="99"/>
    <w:pPr>
      <w:ind w:firstLine="420" w:firstLineChars="200"/>
    </w:pPr>
  </w:style>
  <w:style w:type="paragraph" w:styleId="7">
    <w:name w:val="annotation text"/>
    <w:basedOn w:val="1"/>
    <w:link w:val="71"/>
    <w:autoRedefine/>
    <w:unhideWhenUsed/>
    <w:qFormat/>
    <w:uiPriority w:val="99"/>
    <w:pPr>
      <w:jc w:val="left"/>
    </w:pPr>
  </w:style>
  <w:style w:type="paragraph" w:styleId="8">
    <w:name w:val="Body Text"/>
    <w:basedOn w:val="1"/>
    <w:next w:val="1"/>
    <w:link w:val="78"/>
    <w:autoRedefine/>
    <w:unhideWhenUsed/>
    <w:qFormat/>
    <w:uiPriority w:val="99"/>
    <w:pPr>
      <w:spacing w:after="120"/>
    </w:pPr>
    <w:rPr>
      <w:szCs w:val="24"/>
    </w:rPr>
  </w:style>
  <w:style w:type="paragraph" w:styleId="9">
    <w:name w:val="Body Text Indent"/>
    <w:basedOn w:val="1"/>
    <w:next w:val="1"/>
    <w:qFormat/>
    <w:uiPriority w:val="0"/>
    <w:pPr>
      <w:spacing w:line="360" w:lineRule="auto"/>
      <w:ind w:firstLine="570"/>
    </w:pPr>
    <w:rPr>
      <w:sz w:val="24"/>
    </w:rPr>
  </w:style>
  <w:style w:type="paragraph" w:styleId="10">
    <w:name w:val="toc 3"/>
    <w:basedOn w:val="1"/>
    <w:next w:val="1"/>
    <w:autoRedefine/>
    <w:qFormat/>
    <w:uiPriority w:val="0"/>
    <w:pPr>
      <w:ind w:left="840" w:leftChars="400"/>
    </w:pPr>
  </w:style>
  <w:style w:type="paragraph" w:styleId="11">
    <w:name w:val="Plain Text"/>
    <w:basedOn w:val="1"/>
    <w:link w:val="66"/>
    <w:autoRedefine/>
    <w:qFormat/>
    <w:uiPriority w:val="99"/>
    <w:rPr>
      <w:rFonts w:ascii="宋体" w:hAnsi="Courier New"/>
      <w:szCs w:val="21"/>
    </w:rPr>
  </w:style>
  <w:style w:type="paragraph" w:styleId="12">
    <w:name w:val="Date"/>
    <w:basedOn w:val="1"/>
    <w:next w:val="1"/>
    <w:link w:val="58"/>
    <w:autoRedefine/>
    <w:unhideWhenUsed/>
    <w:qFormat/>
    <w:uiPriority w:val="99"/>
    <w:pPr>
      <w:ind w:left="100" w:leftChars="2500"/>
    </w:pPr>
  </w:style>
  <w:style w:type="paragraph" w:styleId="13">
    <w:name w:val="Balloon Text"/>
    <w:basedOn w:val="1"/>
    <w:link w:val="59"/>
    <w:autoRedefine/>
    <w:unhideWhenUsed/>
    <w:qFormat/>
    <w:uiPriority w:val="99"/>
    <w:rPr>
      <w:sz w:val="18"/>
      <w:szCs w:val="18"/>
    </w:rPr>
  </w:style>
  <w:style w:type="paragraph" w:styleId="14">
    <w:name w:val="footer"/>
    <w:basedOn w:val="1"/>
    <w:link w:val="57"/>
    <w:autoRedefine/>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5">
    <w:name w:val="header"/>
    <w:basedOn w:val="1"/>
    <w:link w:val="56"/>
    <w:autoRedefine/>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16">
    <w:name w:val="footnote text"/>
    <w:basedOn w:val="1"/>
    <w:autoRedefine/>
    <w:semiHidden/>
    <w:unhideWhenUsed/>
    <w:qFormat/>
    <w:uiPriority w:val="99"/>
    <w:pPr>
      <w:snapToGrid w:val="0"/>
      <w:jc w:val="left"/>
    </w:pPr>
    <w:rPr>
      <w:sz w:val="18"/>
    </w:rPr>
  </w:style>
  <w:style w:type="paragraph" w:styleId="17">
    <w:name w:val="toc 2"/>
    <w:basedOn w:val="1"/>
    <w:next w:val="1"/>
    <w:autoRedefine/>
    <w:unhideWhenUsed/>
    <w:qFormat/>
    <w:uiPriority w:val="39"/>
    <w:pPr>
      <w:tabs>
        <w:tab w:val="left" w:pos="900"/>
        <w:tab w:val="left" w:pos="1050"/>
        <w:tab w:val="left" w:pos="1080"/>
        <w:tab w:val="right" w:leader="dot" w:pos="8296"/>
      </w:tabs>
      <w:ind w:left="420" w:leftChars="200" w:firstLine="210" w:firstLineChars="100"/>
    </w:pPr>
  </w:style>
  <w:style w:type="paragraph" w:styleId="18">
    <w:name w:val="Normal (Web)"/>
    <w:basedOn w:val="1"/>
    <w:autoRedefine/>
    <w:unhideWhenUsed/>
    <w:qFormat/>
    <w:uiPriority w:val="0"/>
    <w:pPr>
      <w:widowControl/>
      <w:spacing w:before="100" w:beforeAutospacing="1" w:after="100" w:afterAutospacing="1"/>
      <w:jc w:val="left"/>
    </w:pPr>
    <w:rPr>
      <w:rFonts w:ascii="宋体" w:hAnsi="宋体" w:cs="宋体"/>
      <w:kern w:val="0"/>
      <w:sz w:val="24"/>
      <w:szCs w:val="24"/>
    </w:rPr>
  </w:style>
  <w:style w:type="paragraph" w:styleId="19">
    <w:name w:val="index 1"/>
    <w:basedOn w:val="1"/>
    <w:next w:val="1"/>
    <w:autoRedefine/>
    <w:unhideWhenUsed/>
    <w:qFormat/>
    <w:uiPriority w:val="99"/>
    <w:pPr>
      <w:framePr w:wrap="around" w:vAnchor="margin" w:hAnchor="text" w:y="1"/>
    </w:pPr>
    <w:rPr>
      <w:b/>
    </w:rPr>
  </w:style>
  <w:style w:type="paragraph" w:styleId="20">
    <w:name w:val="Title"/>
    <w:basedOn w:val="1"/>
    <w:next w:val="1"/>
    <w:autoRedefine/>
    <w:qFormat/>
    <w:uiPriority w:val="10"/>
    <w:pPr>
      <w:widowControl/>
      <w:spacing w:before="240" w:after="60"/>
      <w:jc w:val="center"/>
      <w:outlineLvl w:val="0"/>
    </w:pPr>
    <w:rPr>
      <w:rFonts w:eastAsia="宋体" w:asciiTheme="majorHAnsi" w:hAnsiTheme="majorHAnsi" w:cstheme="majorBidi"/>
      <w:b/>
      <w:bCs/>
      <w:sz w:val="32"/>
      <w:szCs w:val="32"/>
    </w:rPr>
  </w:style>
  <w:style w:type="paragraph" w:styleId="21">
    <w:name w:val="Body Text First Indent"/>
    <w:basedOn w:val="8"/>
    <w:next w:val="1"/>
    <w:link w:val="75"/>
    <w:autoRedefine/>
    <w:unhideWhenUsed/>
    <w:qFormat/>
    <w:uiPriority w:val="99"/>
    <w:pPr>
      <w:ind w:firstLine="420" w:firstLineChars="100"/>
    </w:pPr>
    <w:rPr>
      <w:sz w:val="24"/>
    </w:rPr>
  </w:style>
  <w:style w:type="paragraph" w:styleId="22">
    <w:name w:val="Body Text First Indent 2"/>
    <w:basedOn w:val="9"/>
    <w:next w:val="21"/>
    <w:qFormat/>
    <w:uiPriority w:val="0"/>
    <w:pPr>
      <w:spacing w:after="120" w:line="480" w:lineRule="exact"/>
      <w:ind w:left="420" w:leftChars="200" w:firstLine="420" w:firstLineChars="200"/>
    </w:pPr>
    <w:rPr>
      <w:szCs w:val="20"/>
    </w:rPr>
  </w:style>
  <w:style w:type="table" w:styleId="24">
    <w:name w:val="Table Grid"/>
    <w:basedOn w:val="23"/>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autoRedefine/>
    <w:qFormat/>
    <w:uiPriority w:val="22"/>
    <w:rPr>
      <w:b/>
      <w:bCs/>
    </w:rPr>
  </w:style>
  <w:style w:type="character" w:styleId="27">
    <w:name w:val="page number"/>
    <w:basedOn w:val="25"/>
    <w:autoRedefine/>
    <w:qFormat/>
    <w:uiPriority w:val="0"/>
  </w:style>
  <w:style w:type="character" w:styleId="28">
    <w:name w:val="FollowedHyperlink"/>
    <w:basedOn w:val="25"/>
    <w:autoRedefine/>
    <w:unhideWhenUsed/>
    <w:qFormat/>
    <w:uiPriority w:val="99"/>
    <w:rPr>
      <w:color w:val="800080"/>
      <w:u w:val="single"/>
    </w:rPr>
  </w:style>
  <w:style w:type="character" w:styleId="29">
    <w:name w:val="Emphasis"/>
    <w:basedOn w:val="25"/>
    <w:qFormat/>
    <w:uiPriority w:val="0"/>
    <w:rPr>
      <w:i/>
      <w:iCs/>
    </w:rPr>
  </w:style>
  <w:style w:type="character" w:styleId="30">
    <w:name w:val="HTML Definition"/>
    <w:basedOn w:val="25"/>
    <w:autoRedefine/>
    <w:semiHidden/>
    <w:unhideWhenUsed/>
    <w:qFormat/>
    <w:uiPriority w:val="99"/>
    <w:rPr>
      <w:i/>
      <w:sz w:val="20"/>
      <w:szCs w:val="20"/>
    </w:rPr>
  </w:style>
  <w:style w:type="character" w:styleId="31">
    <w:name w:val="Hyperlink"/>
    <w:basedOn w:val="25"/>
    <w:autoRedefine/>
    <w:qFormat/>
    <w:uiPriority w:val="99"/>
    <w:rPr>
      <w:color w:val="0000FF"/>
      <w:u w:val="single"/>
    </w:rPr>
  </w:style>
  <w:style w:type="character" w:styleId="32">
    <w:name w:val="HTML Code"/>
    <w:basedOn w:val="25"/>
    <w:autoRedefine/>
    <w:semiHidden/>
    <w:unhideWhenUsed/>
    <w:qFormat/>
    <w:uiPriority w:val="99"/>
    <w:rPr>
      <w:rFonts w:hint="default" w:ascii="Consolas" w:hAnsi="Consolas" w:eastAsia="Consolas" w:cs="Consolas"/>
      <w:color w:val="C7254E"/>
      <w:sz w:val="21"/>
      <w:szCs w:val="21"/>
      <w:shd w:val="clear" w:fill="F9F2F4"/>
    </w:rPr>
  </w:style>
  <w:style w:type="character" w:styleId="33">
    <w:name w:val="annotation reference"/>
    <w:basedOn w:val="25"/>
    <w:autoRedefine/>
    <w:unhideWhenUsed/>
    <w:qFormat/>
    <w:uiPriority w:val="99"/>
    <w:rPr>
      <w:sz w:val="21"/>
      <w:szCs w:val="21"/>
    </w:rPr>
  </w:style>
  <w:style w:type="character" w:styleId="34">
    <w:name w:val="HTML Cite"/>
    <w:basedOn w:val="25"/>
    <w:autoRedefine/>
    <w:semiHidden/>
    <w:unhideWhenUsed/>
    <w:qFormat/>
    <w:uiPriority w:val="99"/>
  </w:style>
  <w:style w:type="character" w:styleId="35">
    <w:name w:val="footnote reference"/>
    <w:basedOn w:val="25"/>
    <w:autoRedefine/>
    <w:semiHidden/>
    <w:unhideWhenUsed/>
    <w:qFormat/>
    <w:uiPriority w:val="99"/>
    <w:rPr>
      <w:vertAlign w:val="superscript"/>
    </w:rPr>
  </w:style>
  <w:style w:type="character" w:styleId="36">
    <w:name w:val="HTML Keyboard"/>
    <w:basedOn w:val="25"/>
    <w:autoRedefine/>
    <w:semiHidden/>
    <w:unhideWhenUsed/>
    <w:qFormat/>
    <w:uiPriority w:val="99"/>
    <w:rPr>
      <w:rFonts w:ascii="Consolas" w:hAnsi="Consolas" w:eastAsia="Consolas" w:cs="Consolas"/>
      <w:color w:val="FFFFFF"/>
      <w:sz w:val="21"/>
      <w:szCs w:val="21"/>
      <w:shd w:val="clear" w:fill="333333"/>
    </w:rPr>
  </w:style>
  <w:style w:type="character" w:styleId="37">
    <w:name w:val="HTML Sample"/>
    <w:basedOn w:val="25"/>
    <w:autoRedefine/>
    <w:semiHidden/>
    <w:unhideWhenUsed/>
    <w:qFormat/>
    <w:uiPriority w:val="99"/>
    <w:rPr>
      <w:rFonts w:hint="default" w:ascii="Consolas" w:hAnsi="Consolas" w:eastAsia="Consolas" w:cs="Consolas"/>
      <w:sz w:val="21"/>
      <w:szCs w:val="21"/>
    </w:rPr>
  </w:style>
  <w:style w:type="paragraph" w:customStyle="1" w:styleId="38">
    <w:name w:val="Normal_0"/>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39">
    <w:name w:val="Normal_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0">
    <w:name w:val="Normal_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1">
    <w:name w:val="Normal_2"/>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2">
    <w:name w:val="Normal_3"/>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3">
    <w:name w:val="Normal_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4">
    <w:name w:val="Normal_7"/>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5">
    <w:name w:val="List Paragraph"/>
    <w:basedOn w:val="1"/>
    <w:autoRedefine/>
    <w:qFormat/>
    <w:uiPriority w:val="99"/>
    <w:pPr>
      <w:ind w:firstLine="420" w:firstLineChars="200"/>
    </w:pPr>
  </w:style>
  <w:style w:type="paragraph" w:customStyle="1" w:styleId="46">
    <w:name w:val="Normal_61"/>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7">
    <w:name w:val="Normal_64"/>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8">
    <w:name w:val="Normal_75"/>
    <w:autoRedefine/>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49">
    <w:name w:val="样式1"/>
    <w:basedOn w:val="18"/>
    <w:autoRedefine/>
    <w:qFormat/>
    <w:uiPriority w:val="0"/>
    <w:pPr>
      <w:numPr>
        <w:ilvl w:val="0"/>
        <w:numId w:val="2"/>
      </w:numPr>
      <w:adjustRightInd w:val="0"/>
      <w:textAlignment w:val="baseline"/>
    </w:pPr>
    <w:rPr>
      <w:rFonts w:ascii="宋体" w:hAnsi="宋体"/>
      <w:kern w:val="0"/>
      <w:szCs w:val="21"/>
    </w:rPr>
  </w:style>
  <w:style w:type="paragraph" w:customStyle="1" w:styleId="50">
    <w:name w:val="样式 样式 样式 样式 标题 2 + 宋体 五号 非加粗 黑色 + 段前: 6 磅 段后: 0 磅 行距: 单倍行距 + 段前:..."/>
    <w:basedOn w:val="1"/>
    <w:autoRedefine/>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paragraph" w:customStyle="1" w:styleId="51">
    <w:name w:val="列表段落1"/>
    <w:basedOn w:val="1"/>
    <w:autoRedefine/>
    <w:qFormat/>
    <w:uiPriority w:val="34"/>
    <w:pPr>
      <w:ind w:firstLine="420" w:firstLineChars="200"/>
    </w:pPr>
    <w:rPr>
      <w:rFonts w:ascii="Calibri" w:hAnsi="Calibri" w:eastAsia="宋体" w:cs="黑体"/>
      <w:szCs w:val="22"/>
    </w:rPr>
  </w:style>
  <w:style w:type="paragraph" w:customStyle="1" w:styleId="52">
    <w:name w:val="msonormal"/>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53">
    <w:name w:val="Revision"/>
    <w:autoRedefine/>
    <w:semiHidden/>
    <w:qFormat/>
    <w:uiPriority w:val="99"/>
    <w:rPr>
      <w:rFonts w:ascii="Times New Roman" w:hAnsi="Times New Roman" w:eastAsia="宋体" w:cs="Times New Roman"/>
      <w:kern w:val="2"/>
      <w:sz w:val="21"/>
      <w:szCs w:val="24"/>
      <w:lang w:val="en-US" w:eastAsia="zh-CN" w:bidi="ar-SA"/>
    </w:rPr>
  </w:style>
  <w:style w:type="paragraph" w:customStyle="1" w:styleId="54">
    <w:name w:val="p0"/>
    <w:basedOn w:val="1"/>
    <w:autoRedefine/>
    <w:qFormat/>
    <w:uiPriority w:val="99"/>
    <w:pPr>
      <w:widowControl/>
      <w:spacing w:before="75" w:after="75"/>
      <w:jc w:val="left"/>
    </w:pPr>
    <w:rPr>
      <w:rFonts w:ascii="宋体" w:hAnsi="宋体" w:cs="宋体"/>
      <w:kern w:val="0"/>
      <w:sz w:val="24"/>
      <w:szCs w:val="24"/>
    </w:rPr>
  </w:style>
  <w:style w:type="paragraph" w:customStyle="1" w:styleId="55">
    <w:name w:val="p15"/>
    <w:basedOn w:val="1"/>
    <w:autoRedefine/>
    <w:qFormat/>
    <w:uiPriority w:val="0"/>
    <w:pPr>
      <w:widowControl/>
      <w:jc w:val="left"/>
    </w:pPr>
    <w:rPr>
      <w:kern w:val="0"/>
      <w:sz w:val="24"/>
    </w:rPr>
  </w:style>
  <w:style w:type="character" w:customStyle="1" w:styleId="56">
    <w:name w:val="页眉 字符"/>
    <w:basedOn w:val="25"/>
    <w:link w:val="15"/>
    <w:autoRedefine/>
    <w:qFormat/>
    <w:uiPriority w:val="99"/>
    <w:rPr>
      <w:sz w:val="18"/>
      <w:szCs w:val="18"/>
    </w:rPr>
  </w:style>
  <w:style w:type="character" w:customStyle="1" w:styleId="57">
    <w:name w:val="页脚 字符"/>
    <w:basedOn w:val="25"/>
    <w:link w:val="14"/>
    <w:autoRedefine/>
    <w:qFormat/>
    <w:uiPriority w:val="99"/>
    <w:rPr>
      <w:sz w:val="18"/>
      <w:szCs w:val="18"/>
    </w:rPr>
  </w:style>
  <w:style w:type="character" w:customStyle="1" w:styleId="58">
    <w:name w:val="日期 字符"/>
    <w:basedOn w:val="25"/>
    <w:link w:val="12"/>
    <w:autoRedefine/>
    <w:semiHidden/>
    <w:qFormat/>
    <w:uiPriority w:val="99"/>
  </w:style>
  <w:style w:type="character" w:customStyle="1" w:styleId="59">
    <w:name w:val="批注框文本 字符"/>
    <w:basedOn w:val="25"/>
    <w:link w:val="13"/>
    <w:autoRedefine/>
    <w:semiHidden/>
    <w:qFormat/>
    <w:uiPriority w:val="99"/>
    <w:rPr>
      <w:sz w:val="18"/>
      <w:szCs w:val="18"/>
    </w:rPr>
  </w:style>
  <w:style w:type="character" w:customStyle="1" w:styleId="60">
    <w:name w:val="标题 3 Char"/>
    <w:basedOn w:val="25"/>
    <w:autoRedefine/>
    <w:semiHidden/>
    <w:qFormat/>
    <w:uiPriority w:val="9"/>
    <w:rPr>
      <w:rFonts w:ascii="Times New Roman" w:hAnsi="Times New Roman" w:eastAsia="宋体" w:cs="Times New Roman"/>
      <w:b/>
      <w:bCs/>
      <w:sz w:val="32"/>
      <w:szCs w:val="32"/>
    </w:rPr>
  </w:style>
  <w:style w:type="character" w:customStyle="1" w:styleId="61">
    <w:name w:val="标题 3 字符"/>
    <w:link w:val="4"/>
    <w:autoRedefine/>
    <w:qFormat/>
    <w:uiPriority w:val="0"/>
    <w:rPr>
      <w:rFonts w:ascii="宋体" w:hAnsi="Times New Roman" w:eastAsia="宋体" w:cs="Times New Roman"/>
      <w:b/>
      <w:kern w:val="0"/>
      <w:sz w:val="24"/>
      <w:szCs w:val="20"/>
      <w:u w:val="single"/>
    </w:rPr>
  </w:style>
  <w:style w:type="character" w:customStyle="1" w:styleId="62">
    <w:name w:val="标题 1 Char Char Char Char"/>
    <w:autoRedefine/>
    <w:qFormat/>
    <w:uiPriority w:val="0"/>
    <w:rPr>
      <w:rFonts w:eastAsia="宋体"/>
      <w:b/>
      <w:bCs/>
      <w:kern w:val="44"/>
      <w:sz w:val="44"/>
      <w:szCs w:val="44"/>
      <w:lang w:val="en-US" w:eastAsia="zh-CN" w:bidi="ar-SA"/>
    </w:rPr>
  </w:style>
  <w:style w:type="character" w:customStyle="1" w:styleId="63">
    <w:name w:val="标题 1 字符"/>
    <w:basedOn w:val="25"/>
    <w:link w:val="2"/>
    <w:autoRedefine/>
    <w:qFormat/>
    <w:uiPriority w:val="9"/>
    <w:rPr>
      <w:rFonts w:ascii="Calibri" w:hAnsi="Calibri" w:eastAsia="宋体" w:cs="Times New Roman"/>
      <w:b/>
      <w:bCs/>
      <w:kern w:val="44"/>
      <w:sz w:val="44"/>
      <w:szCs w:val="44"/>
    </w:rPr>
  </w:style>
  <w:style w:type="character" w:customStyle="1" w:styleId="64">
    <w:name w:val="标题 2 字符"/>
    <w:basedOn w:val="25"/>
    <w:link w:val="3"/>
    <w:autoRedefine/>
    <w:qFormat/>
    <w:uiPriority w:val="0"/>
    <w:rPr>
      <w:rFonts w:ascii="Arial" w:hAnsi="Arial" w:eastAsia="黑体" w:cs="Times New Roman"/>
      <w:b/>
      <w:bCs/>
      <w:kern w:val="0"/>
      <w:sz w:val="32"/>
      <w:szCs w:val="32"/>
    </w:rPr>
  </w:style>
  <w:style w:type="character" w:customStyle="1" w:styleId="65">
    <w:name w:val="标题 4 字符"/>
    <w:basedOn w:val="25"/>
    <w:link w:val="5"/>
    <w:autoRedefine/>
    <w:qFormat/>
    <w:uiPriority w:val="0"/>
    <w:rPr>
      <w:rFonts w:ascii="Arial" w:hAnsi="Arial" w:eastAsia="黑体" w:cs="Times New Roman"/>
      <w:b/>
      <w:bCs/>
      <w:kern w:val="0"/>
      <w:sz w:val="28"/>
      <w:szCs w:val="28"/>
    </w:rPr>
  </w:style>
  <w:style w:type="character" w:customStyle="1" w:styleId="66">
    <w:name w:val="纯文本 字符1"/>
    <w:basedOn w:val="25"/>
    <w:link w:val="11"/>
    <w:autoRedefine/>
    <w:qFormat/>
    <w:uiPriority w:val="99"/>
    <w:rPr>
      <w:rFonts w:ascii="宋体" w:hAnsi="Courier New" w:eastAsia="宋体" w:cs="Times New Roman"/>
      <w:szCs w:val="21"/>
    </w:rPr>
  </w:style>
  <w:style w:type="character" w:customStyle="1" w:styleId="67">
    <w:name w:val="纯文本 字符"/>
    <w:autoRedefine/>
    <w:qFormat/>
    <w:uiPriority w:val="99"/>
    <w:rPr>
      <w:rFonts w:ascii="宋体" w:hAnsi="Courier New" w:eastAsia="宋体"/>
      <w:kern w:val="2"/>
      <w:sz w:val="21"/>
      <w:lang w:val="en-US" w:eastAsia="zh-CN" w:bidi="ar-SA"/>
    </w:rPr>
  </w:style>
  <w:style w:type="character" w:customStyle="1" w:styleId="68">
    <w:name w:val="正文文本 Char"/>
    <w:autoRedefine/>
    <w:qFormat/>
    <w:uiPriority w:val="0"/>
    <w:rPr>
      <w:sz w:val="24"/>
      <w:szCs w:val="22"/>
    </w:rPr>
  </w:style>
  <w:style w:type="character" w:customStyle="1" w:styleId="69">
    <w:name w:val="font21"/>
    <w:basedOn w:val="25"/>
    <w:autoRedefine/>
    <w:qFormat/>
    <w:uiPriority w:val="0"/>
    <w:rPr>
      <w:rFonts w:hint="eastAsia" w:ascii="宋体" w:hAnsi="宋体" w:eastAsia="宋体" w:cs="宋体"/>
      <w:color w:val="000000"/>
      <w:sz w:val="20"/>
      <w:szCs w:val="20"/>
      <w:u w:val="none"/>
    </w:rPr>
  </w:style>
  <w:style w:type="character" w:customStyle="1" w:styleId="70">
    <w:name w:val="font71"/>
    <w:basedOn w:val="25"/>
    <w:autoRedefine/>
    <w:qFormat/>
    <w:uiPriority w:val="0"/>
    <w:rPr>
      <w:rFonts w:hint="eastAsia" w:ascii="宋体" w:hAnsi="宋体" w:eastAsia="宋体" w:cs="宋体"/>
      <w:color w:val="FF0000"/>
      <w:sz w:val="20"/>
      <w:szCs w:val="20"/>
      <w:u w:val="none"/>
    </w:rPr>
  </w:style>
  <w:style w:type="character" w:customStyle="1" w:styleId="71">
    <w:name w:val="批注文字 字符"/>
    <w:basedOn w:val="25"/>
    <w:link w:val="7"/>
    <w:autoRedefine/>
    <w:semiHidden/>
    <w:qFormat/>
    <w:uiPriority w:val="99"/>
    <w:rPr>
      <w:rFonts w:ascii="Times New Roman" w:hAnsi="Times New Roman" w:eastAsia="宋体" w:cs="Times New Roman"/>
      <w:szCs w:val="20"/>
    </w:rPr>
  </w:style>
  <w:style w:type="character" w:customStyle="1" w:styleId="72">
    <w:name w:val="font51"/>
    <w:basedOn w:val="25"/>
    <w:autoRedefine/>
    <w:qFormat/>
    <w:uiPriority w:val="0"/>
    <w:rPr>
      <w:rFonts w:hint="eastAsia" w:ascii="宋体" w:hAnsi="宋体" w:eastAsia="宋体" w:cs="宋体"/>
      <w:color w:val="000000"/>
      <w:sz w:val="16"/>
      <w:szCs w:val="16"/>
      <w:u w:val="none"/>
    </w:rPr>
  </w:style>
  <w:style w:type="character" w:customStyle="1" w:styleId="73">
    <w:name w:val="font01"/>
    <w:basedOn w:val="25"/>
    <w:autoRedefine/>
    <w:qFormat/>
    <w:uiPriority w:val="0"/>
    <w:rPr>
      <w:rFonts w:hint="default" w:ascii="Arial" w:hAnsi="Arial" w:cs="Arial"/>
      <w:color w:val="000000"/>
      <w:sz w:val="16"/>
      <w:szCs w:val="16"/>
      <w:u w:val="none"/>
    </w:rPr>
  </w:style>
  <w:style w:type="character" w:customStyle="1" w:styleId="74">
    <w:name w:val="正文文本 字符"/>
    <w:basedOn w:val="25"/>
    <w:autoRedefine/>
    <w:semiHidden/>
    <w:qFormat/>
    <w:uiPriority w:val="99"/>
    <w:rPr>
      <w:rFonts w:ascii="Times New Roman" w:hAnsi="Times New Roman" w:eastAsia="宋体" w:cs="Times New Roman"/>
      <w:szCs w:val="20"/>
    </w:rPr>
  </w:style>
  <w:style w:type="character" w:customStyle="1" w:styleId="75">
    <w:name w:val="正文文本首行缩进 字符"/>
    <w:basedOn w:val="74"/>
    <w:link w:val="21"/>
    <w:autoRedefine/>
    <w:semiHidden/>
    <w:qFormat/>
    <w:uiPriority w:val="99"/>
    <w:rPr>
      <w:rFonts w:ascii="Times New Roman" w:hAnsi="Times New Roman" w:eastAsia="宋体" w:cs="Times New Roman"/>
      <w:sz w:val="24"/>
      <w:szCs w:val="24"/>
    </w:rPr>
  </w:style>
  <w:style w:type="character" w:customStyle="1" w:styleId="76">
    <w:name w:val="font112"/>
    <w:autoRedefine/>
    <w:qFormat/>
    <w:uiPriority w:val="0"/>
    <w:rPr>
      <w:rFonts w:hint="eastAsia" w:ascii="宋体" w:hAnsi="宋体" w:eastAsia="宋体" w:cs="宋体"/>
      <w:b/>
      <w:color w:val="000000"/>
      <w:sz w:val="22"/>
      <w:szCs w:val="22"/>
      <w:u w:val="none"/>
    </w:rPr>
  </w:style>
  <w:style w:type="character" w:customStyle="1" w:styleId="77">
    <w:name w:val="font121"/>
    <w:autoRedefine/>
    <w:qFormat/>
    <w:uiPriority w:val="0"/>
    <w:rPr>
      <w:rFonts w:hint="eastAsia" w:ascii="宋体" w:hAnsi="宋体" w:eastAsia="宋体" w:cs="宋体"/>
      <w:color w:val="000000"/>
      <w:sz w:val="24"/>
      <w:szCs w:val="24"/>
      <w:u w:val="none"/>
    </w:rPr>
  </w:style>
  <w:style w:type="character" w:customStyle="1" w:styleId="78">
    <w:name w:val="正文文本 字符1"/>
    <w:basedOn w:val="25"/>
    <w:link w:val="8"/>
    <w:autoRedefine/>
    <w:semiHidden/>
    <w:qFormat/>
    <w:locked/>
    <w:uiPriority w:val="99"/>
    <w:rPr>
      <w:rFonts w:ascii="Times New Roman" w:hAnsi="Times New Roman" w:eastAsia="宋体" w:cs="Times New Roman"/>
      <w:szCs w:val="24"/>
    </w:rPr>
  </w:style>
  <w:style w:type="character" w:customStyle="1" w:styleId="79">
    <w:name w:val="正文文本首行缩进 字符1"/>
    <w:basedOn w:val="78"/>
    <w:autoRedefine/>
    <w:semiHidden/>
    <w:qFormat/>
    <w:uiPriority w:val="99"/>
    <w:rPr>
      <w:rFonts w:ascii="Times New Roman" w:hAnsi="Times New Roman" w:eastAsia="宋体" w:cs="Times New Roman"/>
      <w:szCs w:val="24"/>
    </w:rPr>
  </w:style>
  <w:style w:type="character" w:customStyle="1" w:styleId="80">
    <w:name w:val="批注框文本 字符1"/>
    <w:basedOn w:val="25"/>
    <w:autoRedefine/>
    <w:semiHidden/>
    <w:qFormat/>
    <w:uiPriority w:val="99"/>
    <w:rPr>
      <w:kern w:val="2"/>
      <w:sz w:val="18"/>
      <w:szCs w:val="18"/>
    </w:rPr>
  </w:style>
  <w:style w:type="character" w:customStyle="1" w:styleId="81">
    <w:name w:val="页眉 字符1"/>
    <w:basedOn w:val="25"/>
    <w:autoRedefine/>
    <w:semiHidden/>
    <w:qFormat/>
    <w:uiPriority w:val="99"/>
    <w:rPr>
      <w:kern w:val="2"/>
      <w:sz w:val="18"/>
      <w:szCs w:val="18"/>
    </w:rPr>
  </w:style>
  <w:style w:type="character" w:customStyle="1" w:styleId="82">
    <w:name w:val="页脚 字符1"/>
    <w:basedOn w:val="25"/>
    <w:autoRedefine/>
    <w:semiHidden/>
    <w:qFormat/>
    <w:uiPriority w:val="99"/>
    <w:rPr>
      <w:kern w:val="2"/>
      <w:sz w:val="18"/>
      <w:szCs w:val="18"/>
    </w:rPr>
  </w:style>
  <w:style w:type="character" w:customStyle="1" w:styleId="83">
    <w:name w:val="日期 字符1"/>
    <w:basedOn w:val="25"/>
    <w:autoRedefine/>
    <w:semiHidden/>
    <w:qFormat/>
    <w:uiPriority w:val="99"/>
    <w:rPr>
      <w:kern w:val="2"/>
      <w:sz w:val="21"/>
      <w:szCs w:val="24"/>
    </w:rPr>
  </w:style>
  <w:style w:type="character" w:customStyle="1" w:styleId="84">
    <w:name w:val="标题 3 Char Char"/>
    <w:basedOn w:val="25"/>
    <w:autoRedefine/>
    <w:qFormat/>
    <w:uiPriority w:val="0"/>
    <w:rPr>
      <w:rFonts w:ascii="宋体" w:hAnsi="宋体"/>
    </w:rPr>
  </w:style>
  <w:style w:type="table" w:customStyle="1" w:styleId="85">
    <w:name w:val="Table Normal"/>
    <w:autoRedefine/>
    <w:qFormat/>
    <w:uiPriority w:val="0"/>
    <w:rPr>
      <w:rFonts w:ascii="Times New Roman" w:hAnsi="Times New Roman" w:cs="Times New Roman"/>
      <w:kern w:val="0"/>
      <w:sz w:val="20"/>
      <w:szCs w:val="20"/>
    </w:rPr>
    <w:tblPr>
      <w:tblCellMar>
        <w:top w:w="0" w:type="dxa"/>
        <w:left w:w="0" w:type="dxa"/>
        <w:bottom w:w="0" w:type="dxa"/>
        <w:right w:w="0" w:type="dxa"/>
      </w:tblCellMar>
    </w:tblPr>
  </w:style>
  <w:style w:type="paragraph" w:customStyle="1" w:styleId="86">
    <w:name w:val="列出段落1"/>
    <w:basedOn w:val="1"/>
    <w:autoRedefine/>
    <w:qFormat/>
    <w:uiPriority w:val="34"/>
    <w:pPr>
      <w:widowControl/>
      <w:ind w:firstLine="420" w:firstLineChars="200"/>
      <w:jc w:val="left"/>
    </w:pPr>
    <w:rPr>
      <w:rFonts w:eastAsiaTheme="minorEastAsia"/>
      <w:kern w:val="0"/>
      <w:sz w:val="22"/>
      <w:szCs w:val="22"/>
    </w:rPr>
  </w:style>
  <w:style w:type="paragraph" w:customStyle="1" w:styleId="87">
    <w:name w:val="样式5"/>
    <w:basedOn w:val="88"/>
    <w:autoRedefine/>
    <w:qFormat/>
    <w:uiPriority w:val="0"/>
    <w:pPr>
      <w:numPr>
        <w:numId w:val="3"/>
      </w:numPr>
      <w:spacing w:before="652" w:after="163"/>
    </w:pPr>
    <w:rPr>
      <w:b w:val="0"/>
    </w:rPr>
  </w:style>
  <w:style w:type="paragraph" w:customStyle="1" w:styleId="88">
    <w:name w:val="1级编号"/>
    <w:basedOn w:val="1"/>
    <w:autoRedefine/>
    <w:qFormat/>
    <w:uiPriority w:val="0"/>
    <w:pPr>
      <w:numPr>
        <w:ilvl w:val="0"/>
        <w:numId w:val="4"/>
      </w:numPr>
      <w:spacing w:beforeLines="200" w:afterLines="50" w:line="480" w:lineRule="exact"/>
      <w:jc w:val="center"/>
      <w:outlineLvl w:val="0"/>
    </w:pPr>
    <w:rPr>
      <w:rFonts w:eastAsia="仿宋"/>
      <w:b/>
      <w:sz w:val="28"/>
    </w:rPr>
  </w:style>
  <w:style w:type="character" w:customStyle="1" w:styleId="89">
    <w:name w:val="before"/>
    <w:basedOn w:val="25"/>
    <w:autoRedefine/>
    <w:qFormat/>
    <w:uiPriority w:val="0"/>
    <w:rPr>
      <w:rFonts w:hint="default" w:ascii="FontAwesome" w:hAnsi="FontAwesome" w:eastAsia="FontAwesome" w:cs="FontAwesome"/>
      <w:color w:val="888888"/>
    </w:rPr>
  </w:style>
  <w:style w:type="character" w:customStyle="1" w:styleId="90">
    <w:name w:val="before1"/>
    <w:basedOn w:val="25"/>
    <w:autoRedefine/>
    <w:qFormat/>
    <w:uiPriority w:val="0"/>
    <w:rPr>
      <w:rFonts w:hint="default" w:ascii="FontAwesome" w:hAnsi="FontAwesome" w:eastAsia="FontAwesome" w:cs="FontAwesome"/>
      <w:color w:val="888888"/>
    </w:rPr>
  </w:style>
  <w:style w:type="character" w:customStyle="1" w:styleId="91">
    <w:name w:val="first-child"/>
    <w:basedOn w:val="25"/>
    <w:autoRedefine/>
    <w:qFormat/>
    <w:uiPriority w:val="0"/>
  </w:style>
  <w:style w:type="character" w:customStyle="1" w:styleId="92">
    <w:name w:val="input-icon2"/>
    <w:basedOn w:val="25"/>
    <w:autoRedefine/>
    <w:qFormat/>
    <w:uiPriority w:val="0"/>
  </w:style>
  <w:style w:type="character" w:customStyle="1" w:styleId="93">
    <w:name w:val="ui-jqgrid-resize"/>
    <w:basedOn w:val="25"/>
    <w:autoRedefine/>
    <w:qFormat/>
    <w:uiPriority w:val="0"/>
  </w:style>
  <w:style w:type="character" w:customStyle="1" w:styleId="94">
    <w:name w:val="ui-icon32"/>
    <w:basedOn w:val="25"/>
    <w:autoRedefine/>
    <w:qFormat/>
    <w:uiPriority w:val="0"/>
  </w:style>
  <w:style w:type="character" w:customStyle="1" w:styleId="95">
    <w:name w:val="ui-icon33"/>
    <w:basedOn w:val="25"/>
    <w:autoRedefine/>
    <w:qFormat/>
    <w:uiPriority w:val="0"/>
  </w:style>
  <w:style w:type="character" w:customStyle="1" w:styleId="96">
    <w:name w:val="layui-this"/>
    <w:basedOn w:val="25"/>
    <w:autoRedefine/>
    <w:qFormat/>
    <w:uiPriority w:val="0"/>
    <w:rPr>
      <w:bdr w:val="single" w:color="EEEEEE" w:sz="6" w:space="0"/>
      <w:shd w:val="clear" w:fill="FFFFFF"/>
    </w:rPr>
  </w:style>
  <w:style w:type="character" w:customStyle="1" w:styleId="97">
    <w:name w:val="active6"/>
    <w:basedOn w:val="25"/>
    <w:autoRedefine/>
    <w:qFormat/>
    <w:uiPriority w:val="0"/>
    <w:rPr>
      <w:color w:val="FFFFFF"/>
      <w:shd w:val="clear" w:fill="428BCA"/>
    </w:rPr>
  </w:style>
  <w:style w:type="character" w:customStyle="1" w:styleId="98">
    <w:name w:val="hover6"/>
    <w:basedOn w:val="25"/>
    <w:autoRedefine/>
    <w:qFormat/>
    <w:uiPriority w:val="0"/>
    <w:rPr>
      <w:shd w:val="clear" w:fill="EEEEEE"/>
    </w:rPr>
  </w:style>
  <w:style w:type="character" w:customStyle="1" w:styleId="99">
    <w:name w:val="ui-icon37"/>
    <w:basedOn w:val="25"/>
    <w:autoRedefine/>
    <w:qFormat/>
    <w:uiPriority w:val="0"/>
  </w:style>
  <w:style w:type="character" w:customStyle="1" w:styleId="100">
    <w:name w:val="ui-icon38"/>
    <w:basedOn w:val="25"/>
    <w:autoRedefine/>
    <w:qFormat/>
    <w:uiPriority w:val="0"/>
  </w:style>
  <w:style w:type="character" w:customStyle="1" w:styleId="101">
    <w:name w:val="ui-icon39"/>
    <w:basedOn w:val="25"/>
    <w:autoRedefine/>
    <w:qFormat/>
    <w:uiPriority w:val="0"/>
  </w:style>
  <w:style w:type="character" w:customStyle="1" w:styleId="102">
    <w:name w:val="old"/>
    <w:basedOn w:val="25"/>
    <w:autoRedefine/>
    <w:qFormat/>
    <w:uiPriority w:val="0"/>
    <w:rPr>
      <w:color w:val="999999"/>
    </w:rPr>
  </w:style>
  <w:style w:type="paragraph" w:customStyle="1" w:styleId="103">
    <w:name w:val="章标题"/>
    <w:basedOn w:val="2"/>
    <w:autoRedefine/>
    <w:qFormat/>
    <w:uiPriority w:val="99"/>
    <w:pPr>
      <w:keepNext/>
      <w:keepLines/>
      <w:spacing w:before="340" w:after="330" w:line="578" w:lineRule="auto"/>
      <w:jc w:val="center"/>
    </w:pPr>
    <w:rPr>
      <w:rFonts w:ascii="Times New Roman" w:hAnsi="Times New Roman" w:cs="Times New Roman"/>
      <w:kern w:val="44"/>
    </w:rPr>
  </w:style>
  <w:style w:type="paragraph" w:customStyle="1" w:styleId="104">
    <w:name w:val="_Style 5"/>
    <w:basedOn w:val="2"/>
    <w:autoRedefine/>
    <w:qFormat/>
    <w:uiPriority w:val="39"/>
    <w:pPr>
      <w:widowControl/>
      <w:spacing w:before="240" w:after="0" w:line="259" w:lineRule="auto"/>
      <w:jc w:val="left"/>
      <w:outlineLvl w:val="9"/>
    </w:pPr>
    <w:rPr>
      <w:rFonts w:ascii="等线 Light" w:hAnsi="等线 Light" w:eastAsia="等线 Light" w:cs="Times New Roman"/>
      <w:b w:val="0"/>
      <w:bCs w:val="0"/>
      <w:color w:val="2F5496"/>
      <w:kern w:val="0"/>
      <w:sz w:val="32"/>
      <w:szCs w:val="32"/>
    </w:rPr>
  </w:style>
  <w:style w:type="paragraph" w:customStyle="1" w:styleId="105">
    <w:name w:val="A2"/>
    <w:basedOn w:val="3"/>
    <w:autoRedefine/>
    <w:qFormat/>
    <w:uiPriority w:val="0"/>
    <w:pPr>
      <w:numPr>
        <w:ilvl w:val="0"/>
        <w:numId w:val="0"/>
      </w:numPr>
      <w:adjustRightInd/>
      <w:spacing w:line="360" w:lineRule="auto"/>
      <w:ind w:left="28"/>
      <w:jc w:val="both"/>
      <w:textAlignment w:val="auto"/>
    </w:pPr>
    <w:rPr>
      <w:kern w:val="2"/>
      <w:sz w:val="28"/>
      <w:lang w:val="zh-CN"/>
    </w:rPr>
  </w:style>
  <w:style w:type="paragraph" w:customStyle="1" w:styleId="106">
    <w:name w:val="正文 A"/>
    <w:autoRedefine/>
    <w:qFormat/>
    <w:uiPriority w:val="0"/>
    <w:pPr>
      <w:framePr w:wrap="around" w:vAnchor="margin" w:hAnchor="text" w:y="1"/>
      <w:widowControl w:val="0"/>
      <w:jc w:val="both"/>
    </w:pPr>
    <w:rPr>
      <w:rFonts w:ascii="Calibri" w:hAnsi="Calibri" w:eastAsia="Calibri" w:cs="Calibri"/>
      <w:color w:val="000000"/>
      <w:kern w:val="2"/>
      <w:sz w:val="21"/>
      <w:szCs w:val="21"/>
      <w:u w:color="000000"/>
      <w:lang w:val="en-US" w:eastAsia="zh-CN" w:bidi="ar-SA"/>
    </w:rPr>
  </w:style>
  <w:style w:type="paragraph" w:customStyle="1" w:styleId="107">
    <w:name w:val="列出段落"/>
    <w:autoRedefine/>
    <w:qFormat/>
    <w:uiPriority w:val="0"/>
    <w:pPr>
      <w:framePr w:wrap="around" w:vAnchor="margin" w:hAnchor="text" w:y="1"/>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108">
    <w:name w:val="页脚1"/>
    <w:autoRedefine/>
    <w:qFormat/>
    <w:uiPriority w:val="0"/>
    <w:pPr>
      <w:framePr w:wrap="around" w:vAnchor="margin" w:hAnchor="text" w:y="1"/>
      <w:widowControl w:val="0"/>
      <w:tabs>
        <w:tab w:val="center" w:pos="4153"/>
        <w:tab w:val="right" w:pos="8306"/>
      </w:tabs>
    </w:pPr>
    <w:rPr>
      <w:rFonts w:ascii="Calibri" w:hAnsi="Calibri" w:eastAsia="Calibri" w:cs="Calibri"/>
      <w:color w:val="000000"/>
      <w:kern w:val="2"/>
      <w:sz w:val="18"/>
      <w:szCs w:val="18"/>
      <w:u w:color="000000"/>
      <w:lang w:val="en-US" w:eastAsia="zh-CN" w:bidi="ar-SA"/>
    </w:rPr>
  </w:style>
  <w:style w:type="paragraph" w:customStyle="1" w:styleId="109">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110">
    <w:name w:val="Table Paragraph"/>
    <w:basedOn w:val="1"/>
    <w:autoRedefine/>
    <w:qFormat/>
    <w:uiPriority w:val="1"/>
  </w:style>
  <w:style w:type="table" w:customStyle="1" w:styleId="111">
    <w:name w:val="Table Normal1"/>
    <w:autoRedefine/>
    <w:qFormat/>
    <w:uiPriority w:val="0"/>
    <w:rPr>
      <w:rFonts w:ascii="Times New Roman" w:hAnsi="Times New Roman" w:eastAsia="等线" w:cs="Times New Roman"/>
      <w:kern w:val="0"/>
      <w:sz w:val="20"/>
      <w:szCs w:val="20"/>
    </w:rPr>
    <w:tblPr>
      <w:tblCellMar>
        <w:top w:w="0" w:type="dxa"/>
        <w:left w:w="0" w:type="dxa"/>
        <w:bottom w:w="0" w:type="dxa"/>
        <w:right w:w="0" w:type="dxa"/>
      </w:tblCellMar>
    </w:tblPr>
  </w:style>
  <w:style w:type="character" w:customStyle="1" w:styleId="112">
    <w:name w:val="页码1"/>
    <w:basedOn w:val="25"/>
    <w:autoRedefine/>
    <w:qFormat/>
    <w:uiPriority w:val="0"/>
  </w:style>
  <w:style w:type="paragraph" w:customStyle="1" w:styleId="113">
    <w:name w:val="表格文字"/>
    <w:basedOn w:val="1"/>
    <w:next w:val="8"/>
    <w:autoRedefine/>
    <w:unhideWhenUsed/>
    <w:qFormat/>
    <w:uiPriority w:val="0"/>
    <w:pPr>
      <w:spacing w:beforeLines="0" w:afterLines="0"/>
    </w:pPr>
    <w:rPr>
      <w:rFonts w:hint="default"/>
      <w:sz w:val="21"/>
    </w:rPr>
  </w:style>
  <w:style w:type="paragraph" w:customStyle="1" w:styleId="114">
    <w:name w:val="合同（章）"/>
    <w:basedOn w:val="18"/>
    <w:autoRedefine/>
    <w:qFormat/>
    <w:uiPriority w:val="0"/>
    <w:pPr>
      <w:spacing w:beforeLines="50" w:beforeAutospacing="0" w:afterLines="50" w:afterAutospacing="0" w:line="240" w:lineRule="atLeast"/>
      <w:ind w:firstLine="840" w:firstLineChars="300"/>
      <w:jc w:val="center"/>
    </w:pPr>
    <w:rPr>
      <w:b/>
      <w:sz w:val="28"/>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5.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81</Pages>
  <Words>29543</Words>
  <Characters>31848</Characters>
  <Lines>526</Lines>
  <Paragraphs>148</Paragraphs>
  <TotalTime>0</TotalTime>
  <ScaleCrop>false</ScaleCrop>
  <LinksUpToDate>false</LinksUpToDate>
  <CharactersWithSpaces>33793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2019-01-30T02:49:00Z</dcterms:created>
  <dc:creator>User</dc:creator>
  <cp:lastModifiedBy>洛上忘川</cp:lastModifiedBy>
  <cp:lastPrinted>2022-01-12T08:11:00Z</cp:lastPrinted>
  <dcterms:modified xsi:type="dcterms:W3CDTF">2024-06-25T07:27:54Z</dcterms:modified>
  <dc:title>招  标 文  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BF7FC605A6FE4A2F88DEE5DC46E2FB25_13</vt:lpwstr>
  </property>
</Properties>
</file>