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5"/>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35"/>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keepNext w:val="0"/>
        <w:keepLines w:val="0"/>
        <w:widowControl/>
        <w:suppressLineNumbers w:val="0"/>
        <w:jc w:val="left"/>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11011524210200016798-XM</w:t>
      </w:r>
      <w:r>
        <w:rPr>
          <w:rFonts w:hint="default" w:ascii="宋体" w:hAnsi="宋体"/>
          <w:color w:val="auto"/>
          <w:kern w:val="0"/>
          <w:sz w:val="32"/>
          <w:szCs w:val="32"/>
          <w:lang w:val="en-US" w:eastAsia="zh-CN"/>
        </w:rPr>
        <w:t xml:space="preserve">001 </w:t>
      </w:r>
    </w:p>
    <w:p>
      <w:pPr>
        <w:keepNext w:val="0"/>
        <w:keepLines w:val="0"/>
        <w:widowControl/>
        <w:suppressLineNumbers w:val="0"/>
        <w:jc w:val="left"/>
        <w:rPr>
          <w:rFonts w:hint="eastAsia" w:ascii="宋体" w:hAnsi="宋体"/>
          <w:color w:val="auto"/>
          <w:kern w:val="0"/>
          <w:sz w:val="32"/>
          <w:szCs w:val="32"/>
          <w:lang w:val="en-US" w:eastAsia="zh-CN"/>
        </w:rPr>
      </w:pPr>
      <w:r>
        <w:rPr>
          <w:rFonts w:hint="eastAsia" w:ascii="宋体" w:hAnsi="宋体"/>
          <w:color w:val="auto"/>
          <w:kern w:val="0"/>
          <w:sz w:val="32"/>
          <w:szCs w:val="32"/>
        </w:rPr>
        <w:t xml:space="preserve">      项目名称：</w:t>
      </w:r>
      <w:r>
        <w:rPr>
          <w:rFonts w:hint="eastAsia" w:ascii="宋体" w:hAnsi="宋体"/>
          <w:color w:val="auto"/>
          <w:kern w:val="0"/>
          <w:sz w:val="32"/>
          <w:szCs w:val="32"/>
          <w:lang w:val="en-US" w:eastAsia="zh-CN"/>
        </w:rPr>
        <w:t>信息化运行维护费-1</w:t>
      </w:r>
      <w:r>
        <w:rPr>
          <w:rFonts w:hint="default" w:ascii="宋体" w:hAnsi="宋体"/>
          <w:color w:val="auto"/>
          <w:kern w:val="0"/>
          <w:sz w:val="32"/>
          <w:szCs w:val="32"/>
          <w:lang w:val="en-US" w:eastAsia="zh-CN"/>
        </w:rPr>
        <w:t>-2024</w:t>
      </w:r>
      <w:r>
        <w:rPr>
          <w:rFonts w:hint="eastAsia" w:ascii="宋体" w:hAnsi="宋体"/>
          <w:color w:val="auto"/>
          <w:kern w:val="0"/>
          <w:sz w:val="32"/>
          <w:szCs w:val="32"/>
          <w:lang w:val="en-US" w:eastAsia="zh-CN"/>
        </w:rPr>
        <w:t xml:space="preserve">年度大 </w:t>
      </w:r>
    </w:p>
    <w:p>
      <w:pPr>
        <w:keepNext w:val="0"/>
        <w:keepLines w:val="0"/>
        <w:widowControl/>
        <w:suppressLineNumbers w:val="0"/>
        <w:ind w:firstLine="2560" w:firstLineChars="800"/>
        <w:jc w:val="left"/>
        <w:rPr>
          <w:rFonts w:hint="eastAsia" w:ascii="宋体" w:hAnsi="宋体"/>
          <w:color w:val="auto"/>
          <w:kern w:val="0"/>
          <w:sz w:val="32"/>
          <w:szCs w:val="32"/>
          <w:lang w:val="en-US" w:eastAsia="zh-CN"/>
        </w:rPr>
      </w:pPr>
      <w:r>
        <w:rPr>
          <w:rFonts w:hint="eastAsia" w:ascii="宋体" w:hAnsi="宋体"/>
          <w:color w:val="auto"/>
          <w:kern w:val="0"/>
          <w:sz w:val="32"/>
          <w:szCs w:val="32"/>
          <w:lang w:val="en-US" w:eastAsia="zh-CN"/>
        </w:rPr>
        <w:t xml:space="preserve">兴区教育网互联网接入服务 </w:t>
      </w:r>
    </w:p>
    <w:p>
      <w:pPr>
        <w:adjustRightInd w:val="0"/>
        <w:spacing w:line="360" w:lineRule="atLeast"/>
        <w:ind w:left="2560" w:hanging="2560" w:hangingChars="800"/>
        <w:jc w:val="left"/>
        <w:textAlignment w:val="baseline"/>
        <w:rPr>
          <w:rFonts w:hint="eastAsia" w:ascii="宋体" w:hAnsi="宋体" w:eastAsia="宋体"/>
          <w:color w:val="auto"/>
          <w:kern w:val="0"/>
          <w:sz w:val="32"/>
          <w:szCs w:val="32"/>
          <w:u w:val="single"/>
          <w:lang w:eastAsia="zh-CN"/>
        </w:rPr>
      </w:pP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7" w:type="first"/>
          <w:headerReference r:id="rId4" w:type="default"/>
          <w:footerReference r:id="rId6"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四</w:t>
      </w:r>
      <w:r>
        <w:rPr>
          <w:rFonts w:hint="eastAsia" w:ascii="宋体" w:hAnsi="宋体"/>
          <w:color w:val="auto"/>
          <w:kern w:val="0"/>
          <w:sz w:val="32"/>
          <w:szCs w:val="32"/>
        </w:rPr>
        <w:t>年</w:t>
      </w:r>
      <w:r>
        <w:rPr>
          <w:rFonts w:hint="eastAsia" w:ascii="宋体" w:hAnsi="宋体"/>
          <w:color w:val="auto"/>
          <w:kern w:val="0"/>
          <w:sz w:val="32"/>
          <w:szCs w:val="32"/>
          <w:lang w:eastAsia="zh-CN"/>
        </w:rPr>
        <w:t>四</w:t>
      </w:r>
      <w:r>
        <w:rPr>
          <w:rFonts w:hint="eastAsia" w:ascii="宋体" w:hAnsi="宋体"/>
          <w:color w:val="auto"/>
          <w:kern w:val="0"/>
          <w:sz w:val="32"/>
          <w:szCs w:val="32"/>
        </w:rPr>
        <w:t>月</w:t>
      </w:r>
    </w:p>
    <w:p>
      <w:pPr>
        <w:pStyle w:val="35"/>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35"/>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lang w:eastAsia="zh-CN"/>
        </w:rPr>
      </w:pPr>
      <w:r>
        <w:rPr>
          <w:rFonts w:hint="eastAsia" w:ascii="仿宋_GB2312" w:hAnsi="QWCHIJ+»ªÎÄÏ¸ºÚ" w:eastAsia="仿宋_GB2312" w:cs="QWCHIJ+»ªÎÄÏ¸ºÚ"/>
          <w:b/>
          <w:color w:val="auto"/>
          <w:sz w:val="28"/>
          <w:szCs w:val="28"/>
          <w:lang w:eastAsia="zh-CN"/>
        </w:rPr>
        <w:t>目  录</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p>
    <w:p>
      <w:pPr>
        <w:pStyle w:val="35"/>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5</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eastAsia="仿宋_GB2312"/>
          <w:color w:val="auto"/>
          <w:sz w:val="24"/>
          <w:szCs w:val="24"/>
          <w:lang w:val="en-US" w:eastAsia="zh-CN"/>
        </w:rPr>
        <w:t>.7</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26</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31</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32</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37</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39</w:t>
      </w:r>
    </w:p>
    <w:p>
      <w:pPr>
        <w:pStyle w:val="35"/>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53</w:t>
      </w:r>
    </w:p>
    <w:p>
      <w:pPr>
        <w:pStyle w:val="35"/>
        <w:widowControl w:val="0"/>
        <w:autoSpaceDE w:val="0"/>
        <w:autoSpaceDN w:val="0"/>
        <w:adjustRightInd w:val="0"/>
        <w:spacing w:before="0" w:after="0"/>
        <w:rPr>
          <w:rFonts w:ascii="仿宋_GB2312" w:eastAsia="仿宋_GB2312"/>
          <w:color w:val="auto"/>
          <w:sz w:val="24"/>
          <w:szCs w:val="24"/>
          <w:lang w:eastAsia="zh-CN"/>
        </w:rPr>
      </w:pPr>
    </w:p>
    <w:p>
      <w:pPr>
        <w:pStyle w:val="35"/>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2" w:type="first"/>
          <w:headerReference r:id="rId8" w:type="default"/>
          <w:footerReference r:id="rId10" w:type="default"/>
          <w:headerReference r:id="rId9" w:type="even"/>
          <w:footerReference r:id="rId11"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2"/>
        <w:keepNext w:val="0"/>
        <w:keepLines w:val="0"/>
        <w:widowControl/>
        <w:numPr>
          <w:ilvl w:val="0"/>
          <w:numId w:val="0"/>
        </w:numPr>
        <w:suppressLineNumbers w:val="0"/>
        <w:spacing w:before="0" w:beforeAutospacing="0" w:after="240" w:afterAutospacing="0"/>
        <w:ind w:leftChars="0" w:firstLine="480" w:firstLineChars="200"/>
        <w:rPr>
          <w:rFonts w:ascii="仿宋_GB2312" w:eastAsia="仿宋_GB2312"/>
          <w:b/>
          <w:bCs/>
          <w:color w:val="auto"/>
          <w:sz w:val="24"/>
          <w:szCs w:val="24"/>
          <w:lang w:eastAsia="zh-CN"/>
        </w:rPr>
      </w:pPr>
      <w:r>
        <w:rPr>
          <w:rFonts w:hint="eastAsia" w:ascii="仿宋_GB2312" w:eastAsia="仿宋_GB2312"/>
          <w:b w:val="0"/>
          <w:bCs w:val="0"/>
          <w:color w:val="auto"/>
          <w:sz w:val="24"/>
          <w:szCs w:val="24"/>
          <w:lang w:eastAsia="zh-CN"/>
        </w:rPr>
        <w:t>北京市大兴区政府采购中心(以下简称采</w:t>
      </w:r>
      <w:bookmarkStart w:id="19" w:name="_GoBack"/>
      <w:bookmarkEnd w:id="19"/>
      <w:r>
        <w:rPr>
          <w:rFonts w:hint="eastAsia" w:ascii="仿宋_GB2312" w:eastAsia="仿宋_GB2312"/>
          <w:b w:val="0"/>
          <w:bCs w:val="0"/>
          <w:color w:val="auto"/>
          <w:sz w:val="24"/>
          <w:szCs w:val="24"/>
          <w:lang w:eastAsia="zh-CN"/>
        </w:rPr>
        <w:t>购中心)受</w:t>
      </w:r>
      <w:r>
        <w:rPr>
          <w:rFonts w:hint="eastAsia" w:ascii="仿宋_GB2312" w:eastAsia="仿宋_GB2312"/>
          <w:b w:val="0"/>
          <w:bCs w:val="0"/>
          <w:color w:val="auto"/>
          <w:sz w:val="24"/>
          <w:szCs w:val="24"/>
          <w:u w:val="single"/>
          <w:lang w:val="en-US" w:eastAsia="zh-CN"/>
        </w:rPr>
        <w:t>北京市大兴区教师进修学校</w:t>
      </w:r>
      <w:r>
        <w:rPr>
          <w:rFonts w:hint="eastAsia" w:ascii="仿宋_GB2312" w:eastAsia="仿宋_GB2312"/>
          <w:b w:val="0"/>
          <w:bCs w:val="0"/>
          <w:color w:val="auto"/>
          <w:sz w:val="24"/>
          <w:szCs w:val="24"/>
          <w:lang w:eastAsia="zh-CN"/>
        </w:rPr>
        <w:t>的委托，对</w:t>
      </w:r>
      <w:r>
        <w:rPr>
          <w:rFonts w:hint="eastAsia" w:ascii="仿宋_GB2312" w:eastAsia="仿宋_GB2312"/>
          <w:b w:val="0"/>
          <w:bCs w:val="0"/>
          <w:color w:val="auto"/>
          <w:sz w:val="24"/>
          <w:szCs w:val="24"/>
          <w:u w:val="single"/>
          <w:lang w:val="en-US" w:eastAsia="zh-CN"/>
        </w:rPr>
        <w:t>信息化运行维护费-1-2024年度大兴区教育网互联网接入服务</w:t>
      </w:r>
      <w:r>
        <w:rPr>
          <w:rFonts w:hint="eastAsia" w:ascii="仿宋_GB2312" w:eastAsia="仿宋_GB2312"/>
          <w:b w:val="0"/>
          <w:bCs w:val="0"/>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本项目为全流程电子化项目。</w:t>
      </w:r>
    </w:p>
    <w:p>
      <w:pPr>
        <w:pStyle w:val="35"/>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项目名称：信息化运行维护费-1-2024年度大兴区教育网互联网接入服务 </w:t>
      </w:r>
    </w:p>
    <w:p>
      <w:pPr>
        <w:pStyle w:val="35"/>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11011524210200016798-XM001</w:t>
      </w:r>
    </w:p>
    <w:p>
      <w:pPr>
        <w:pStyle w:val="35"/>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35"/>
        <w:widowControl w:val="0"/>
        <w:wordWrap/>
        <w:autoSpaceDE w:val="0"/>
        <w:autoSpaceDN w:val="0"/>
        <w:adjustRightInd w:val="0"/>
        <w:snapToGrid/>
        <w:spacing w:before="0" w:after="0" w:line="360" w:lineRule="auto"/>
        <w:textAlignment w:val="auto"/>
        <w:rPr>
          <w:rFonts w:hint="default" w:ascii="仿宋_GB2312" w:eastAsia="仿宋_GB2312"/>
          <w:color w:val="FF0000"/>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val="en-US" w:eastAsia="zh-CN"/>
        </w:rPr>
        <w:t>216万元</w:t>
      </w:r>
    </w:p>
    <w:p>
      <w:pPr>
        <w:pStyle w:val="35"/>
        <w:widowControl w:val="0"/>
        <w:wordWrap/>
        <w:autoSpaceDE w:val="0"/>
        <w:autoSpaceDN w:val="0"/>
        <w:adjustRightInd w:val="0"/>
        <w:snapToGrid/>
        <w:spacing w:before="0" w:after="0" w:line="360" w:lineRule="auto"/>
        <w:textAlignment w:val="auto"/>
        <w:rPr>
          <w:rFonts w:ascii="仿宋" w:hAnsi="仿宋" w:eastAsia="仿宋"/>
          <w:b/>
          <w:bCs/>
          <w:color w:val="auto"/>
          <w:sz w:val="24"/>
          <w:szCs w:val="24"/>
          <w:lang w:eastAsia="zh-CN"/>
        </w:rPr>
      </w:pPr>
      <w:r>
        <w:rPr>
          <w:rFonts w:hint="eastAsia" w:ascii="仿宋_GB2312" w:eastAsia="仿宋_GB2312"/>
          <w:b/>
          <w:bCs/>
          <w:color w:val="auto"/>
          <w:sz w:val="24"/>
          <w:szCs w:val="24"/>
          <w:lang w:val="en-US" w:eastAsia="zh-CN"/>
        </w:rPr>
        <w:t>5</w:t>
      </w:r>
      <w:r>
        <w:rPr>
          <w:rFonts w:hint="eastAsia" w:ascii="仿宋_GB2312" w:eastAsia="仿宋_GB2312"/>
          <w:b/>
          <w:bCs/>
          <w:color w:val="auto"/>
          <w:sz w:val="24"/>
          <w:szCs w:val="24"/>
          <w:lang w:eastAsia="zh-CN"/>
        </w:rPr>
        <w:t xml:space="preserve">.  </w:t>
      </w:r>
      <w:r>
        <w:rPr>
          <w:rFonts w:ascii="仿宋_GB2312" w:eastAsia="仿宋_GB2312"/>
          <w:b/>
          <w:bCs/>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p>
    <w:p>
      <w:pPr>
        <w:pStyle w:val="35"/>
        <w:widowControl w:val="0"/>
        <w:wordWrap/>
        <w:autoSpaceDE w:val="0"/>
        <w:autoSpaceDN w:val="0"/>
        <w:adjustRightInd w:val="0"/>
        <w:snapToGrid/>
        <w:spacing w:before="0" w:after="0" w:line="360" w:lineRule="auto"/>
        <w:textAlignment w:val="auto"/>
        <w:rPr>
          <w:rFonts w:ascii="仿宋_GB2312" w:hAnsi="Calibri" w:eastAsia="仿宋_GB2312" w:cs="Times New Roman"/>
          <w:color w:val="auto"/>
          <w:kern w:val="0"/>
          <w:sz w:val="24"/>
          <w:szCs w:val="24"/>
          <w:lang w:eastAsia="zh-CN" w:bidi="ar-SA"/>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477"/>
        <w:gridCol w:w="1789"/>
        <w:gridCol w:w="1545"/>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b/>
                <w:sz w:val="24"/>
              </w:rPr>
            </w:pPr>
            <w:r>
              <w:rPr>
                <w:rFonts w:hint="eastAsia"/>
                <w:b/>
                <w:sz w:val="24"/>
              </w:rPr>
              <w:t>序号</w:t>
            </w:r>
          </w:p>
        </w:tc>
        <w:tc>
          <w:tcPr>
            <w:tcW w:w="2477" w:type="dxa"/>
            <w:vAlign w:val="center"/>
          </w:tcPr>
          <w:p>
            <w:pPr>
              <w:jc w:val="center"/>
              <w:rPr>
                <w:b/>
                <w:sz w:val="24"/>
              </w:rPr>
            </w:pPr>
            <w:r>
              <w:rPr>
                <w:rFonts w:hint="eastAsia"/>
                <w:b/>
                <w:sz w:val="24"/>
              </w:rPr>
              <w:t>货物或服务名称</w:t>
            </w:r>
          </w:p>
        </w:tc>
        <w:tc>
          <w:tcPr>
            <w:tcW w:w="1789" w:type="dxa"/>
            <w:vAlign w:val="center"/>
          </w:tcPr>
          <w:p>
            <w:pPr>
              <w:jc w:val="center"/>
              <w:rPr>
                <w:b/>
                <w:sz w:val="24"/>
              </w:rPr>
            </w:pPr>
            <w:r>
              <w:rPr>
                <w:rFonts w:hint="eastAsia"/>
                <w:b/>
                <w:sz w:val="24"/>
              </w:rPr>
              <w:t>数量</w:t>
            </w:r>
          </w:p>
        </w:tc>
        <w:tc>
          <w:tcPr>
            <w:tcW w:w="1545" w:type="dxa"/>
            <w:vAlign w:val="center"/>
          </w:tcPr>
          <w:p>
            <w:pPr>
              <w:jc w:val="center"/>
              <w:rPr>
                <w:b/>
                <w:sz w:val="24"/>
              </w:rPr>
            </w:pPr>
            <w:r>
              <w:rPr>
                <w:rFonts w:hint="eastAsia"/>
                <w:b/>
                <w:sz w:val="24"/>
              </w:rPr>
              <w:t>单位</w:t>
            </w:r>
          </w:p>
        </w:tc>
        <w:tc>
          <w:tcPr>
            <w:tcW w:w="2035" w:type="dxa"/>
            <w:vAlign w:val="center"/>
          </w:tcPr>
          <w:p>
            <w:pPr>
              <w:jc w:val="center"/>
              <w:rPr>
                <w:b/>
                <w:sz w:val="24"/>
              </w:rPr>
            </w:pPr>
            <w:r>
              <w:rPr>
                <w:rFonts w:hint="eastAsia"/>
                <w:b/>
                <w:sz w:val="24"/>
              </w:rPr>
              <w:t>备注（核心产品）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sz w:val="24"/>
              </w:rPr>
            </w:pPr>
            <w:r>
              <w:rPr>
                <w:rFonts w:hint="eastAsia"/>
                <w:sz w:val="24"/>
              </w:rPr>
              <w:t>1</w:t>
            </w:r>
          </w:p>
        </w:tc>
        <w:tc>
          <w:tcPr>
            <w:tcW w:w="2477" w:type="dxa"/>
          </w:tcPr>
          <w:p>
            <w:pPr>
              <w:rPr>
                <w:sz w:val="24"/>
              </w:rPr>
            </w:pPr>
            <w:r>
              <w:rPr>
                <w:rFonts w:hint="eastAsia"/>
                <w:sz w:val="24"/>
              </w:rPr>
              <w:t>互联网带宽接入服务</w:t>
            </w:r>
          </w:p>
        </w:tc>
        <w:tc>
          <w:tcPr>
            <w:tcW w:w="1789" w:type="dxa"/>
          </w:tcPr>
          <w:p>
            <w:pPr>
              <w:jc w:val="center"/>
              <w:rPr>
                <w:sz w:val="24"/>
              </w:rPr>
            </w:pPr>
            <w:r>
              <w:rPr>
                <w:rFonts w:hint="eastAsia"/>
                <w:sz w:val="24"/>
              </w:rPr>
              <w:t>9</w:t>
            </w:r>
          </w:p>
        </w:tc>
        <w:tc>
          <w:tcPr>
            <w:tcW w:w="1545" w:type="dxa"/>
          </w:tcPr>
          <w:p>
            <w:pPr>
              <w:jc w:val="center"/>
              <w:rPr>
                <w:sz w:val="24"/>
              </w:rPr>
            </w:pPr>
            <w:r>
              <w:rPr>
                <w:rFonts w:hint="eastAsia"/>
                <w:sz w:val="24"/>
              </w:rPr>
              <w:t>Gbps</w:t>
            </w:r>
          </w:p>
        </w:tc>
        <w:tc>
          <w:tcPr>
            <w:tcW w:w="2035" w:type="dxa"/>
          </w:tcPr>
          <w:p>
            <w:pPr>
              <w:rPr>
                <w:sz w:val="24"/>
              </w:rPr>
            </w:pPr>
            <w:r>
              <w:rPr>
                <w:rFonts w:hint="eastAsia"/>
                <w:sz w:val="24"/>
              </w:rPr>
              <w:t>核心产品</w:t>
            </w:r>
          </w:p>
        </w:tc>
      </w:tr>
    </w:tbl>
    <w:p>
      <w:pPr>
        <w:widowControl/>
        <w:tabs>
          <w:tab w:val="left" w:pos="995"/>
          <w:tab w:val="left" w:pos="3472"/>
          <w:tab w:val="left" w:pos="6071"/>
        </w:tabs>
        <w:jc w:val="left"/>
        <w:rPr>
          <w:rFonts w:ascii="仿宋_GB2312" w:eastAsia="仿宋_GB2312"/>
          <w:color w:val="auto"/>
          <w:sz w:val="24"/>
          <w:szCs w:val="24"/>
        </w:rPr>
      </w:pPr>
      <w:r>
        <w:rPr>
          <w:rFonts w:ascii="Arial" w:hAnsi="Arial" w:cs="Arial"/>
          <w:color w:val="auto"/>
          <w:kern w:val="0"/>
          <w:sz w:val="20"/>
        </w:rPr>
        <w:tab/>
      </w:r>
      <w:r>
        <w:rPr>
          <w:rFonts w:ascii="Arial" w:hAnsi="Arial" w:cs="Arial"/>
          <w:color w:val="auto"/>
          <w:kern w:val="0"/>
          <w:sz w:val="20"/>
        </w:rPr>
        <w:tab/>
      </w:r>
      <w:r>
        <w:rPr>
          <w:rFonts w:ascii="Arial" w:hAnsi="Arial" w:cs="Arial"/>
          <w:color w:val="auto"/>
          <w:kern w:val="0"/>
          <w:sz w:val="20"/>
        </w:rPr>
        <w:tab/>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7</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（4）本项目专门面向中小/小微企业。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（5）具有《中华人民共和国增值电信业务经营许可证》，(提供</w:t>
      </w:r>
      <w:r>
        <w:rPr>
          <w:rFonts w:hint="eastAsia" w:ascii="仿宋_GB2312" w:eastAsia="仿宋_GB2312"/>
          <w:color w:val="auto"/>
          <w:sz w:val="24"/>
          <w:szCs w:val="24"/>
        </w:rPr>
        <w:t>加盖单位公章的复印件</w:t>
      </w:r>
      <w:r>
        <w:rPr>
          <w:rFonts w:hint="eastAsia" w:ascii="仿宋_GB2312" w:eastAsia="仿宋_GB2312"/>
          <w:color w:val="auto"/>
          <w:sz w:val="24"/>
          <w:szCs w:val="24"/>
          <w:lang w:val="en-US" w:eastAsia="zh-CN"/>
        </w:rPr>
        <w:t>)</w:t>
      </w:r>
    </w:p>
    <w:p>
      <w:pPr>
        <w:numPr>
          <w:ilvl w:val="0"/>
          <w:numId w:val="6"/>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w:t>
      </w:r>
      <w:r>
        <w:rPr>
          <w:rFonts w:hint="eastAsia" w:ascii="仿宋_GB2312" w:eastAsia="仿宋_GB2312"/>
          <w:color w:val="auto"/>
          <w:sz w:val="24"/>
          <w:szCs w:val="24"/>
          <w:lang w:val="en-US" w:eastAsia="zh-CN"/>
        </w:rPr>
        <w:t>载时间：2024年4月29日上午9:30至5月8日下午17:00</w:t>
      </w:r>
    </w:p>
    <w:p>
      <w:pPr>
        <w:numPr>
          <w:ilvl w:val="0"/>
          <w:numId w:val="0"/>
        </w:numPr>
        <w:spacing w:line="360" w:lineRule="auto"/>
        <w:ind w:firstLine="482" w:firstLineChars="200"/>
        <w:rPr>
          <w:rFonts w:hint="default"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因</w:t>
      </w:r>
      <w:r>
        <w:rPr>
          <w:rFonts w:hint="eastAsia" w:ascii="仿宋_GB2312" w:eastAsia="仿宋_GB2312"/>
          <w:b/>
          <w:bCs/>
          <w:color w:val="auto"/>
          <w:sz w:val="24"/>
          <w:szCs w:val="24"/>
          <w:u w:val="single"/>
          <w:lang w:val="en-US" w:eastAsia="zh-CN"/>
        </w:rPr>
        <w:t>本项目为全流程电子化项目</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注册登录后，选择参与本项目并下载电子招标文件。供应商需在此平台上传电子投标文件。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1）办理数字证书：办理流程详见北京市政府采购电子交易平台（http://zbcg-bjzc.zhongcy.com/bjczj-portal-site/index.html#/home)中的数字证书办理平台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2）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w:t>
      </w:r>
      <w:r>
        <w:rPr>
          <w:rFonts w:hint="eastAsia" w:ascii="仿宋_GB2312" w:eastAsia="仿宋_GB2312"/>
          <w:color w:val="auto"/>
          <w:sz w:val="24"/>
          <w:szCs w:val="24"/>
          <w:lang w:val="en-US" w:eastAsia="zh-CN"/>
        </w:rPr>
        <w:t>24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5月24日</w:t>
      </w:r>
      <w:r>
        <w:rPr>
          <w:rFonts w:hint="eastAsia" w:ascii="仿宋_GB2312" w:eastAsia="仿宋_GB2312"/>
          <w:color w:val="auto"/>
          <w:sz w:val="24"/>
          <w:szCs w:val="24"/>
          <w:lang w:eastAsia="zh-CN"/>
        </w:rPr>
        <w:t>上午9:00至9:30（北京时间）</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5月24日</w:t>
      </w:r>
      <w:r>
        <w:rPr>
          <w:rFonts w:hint="eastAsia" w:ascii="仿宋_GB2312" w:eastAsia="仿宋_GB2312"/>
          <w:color w:val="auto"/>
          <w:sz w:val="24"/>
          <w:szCs w:val="24"/>
          <w:lang w:eastAsia="zh-CN"/>
        </w:rPr>
        <w:t>上午9:30（北京时间）。逾期送达或不符合规定的投标文件恕不接受。</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w:t>
      </w:r>
    </w:p>
    <w:p>
      <w:pPr>
        <w:pStyle w:val="35"/>
        <w:widowControl w:val="0"/>
        <w:autoSpaceDE w:val="0"/>
        <w:autoSpaceDN w:val="0"/>
        <w:adjustRightInd w:val="0"/>
        <w:spacing w:before="0" w:after="0" w:line="360" w:lineRule="auto"/>
        <w:ind w:firstLine="482" w:firstLineChars="200"/>
        <w:rPr>
          <w:rFonts w:hint="eastAsia" w:ascii="仿宋_GB2312" w:eastAsia="仿宋_GB2312"/>
          <w:color w:val="auto"/>
          <w:sz w:val="24"/>
          <w:szCs w:val="24"/>
          <w:lang w:val="en-US" w:eastAsia="zh-CN"/>
        </w:rPr>
      </w:pPr>
      <w:r>
        <w:rPr>
          <w:rFonts w:hint="eastAsia" w:ascii="仿宋_GB2312" w:eastAsia="仿宋_GB2312"/>
          <w:b/>
          <w:bCs/>
          <w:color w:val="auto"/>
          <w:sz w:val="24"/>
          <w:szCs w:val="24"/>
          <w:lang w:val="en-US" w:eastAsia="zh-CN"/>
        </w:rPr>
        <w:t>（1）线上递交</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投标人应在开标之日</w:t>
      </w:r>
      <w:r>
        <w:rPr>
          <w:rFonts w:hint="eastAsia"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5月24日上午</w:t>
      </w:r>
      <w:r>
        <w:rPr>
          <w:rFonts w:hint="eastAsia" w:ascii="仿宋_GB2312" w:eastAsia="仿宋_GB2312"/>
          <w:color w:val="auto"/>
          <w:sz w:val="24"/>
          <w:szCs w:val="24"/>
          <w:lang w:eastAsia="zh-CN"/>
        </w:rPr>
        <w:t>9点30分（北京时间）前，在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(http://zbcg-bjzc.zhongcy.com/bjczj-portal-site/index.html#/home)登陆，在线上传电子版投标文件，文件格式为</w:t>
      </w:r>
      <w:r>
        <w:rPr>
          <w:rFonts w:hint="eastAsia" w:ascii="仿宋_GB2312" w:eastAsia="仿宋_GB2312"/>
          <w:color w:val="auto"/>
          <w:sz w:val="24"/>
          <w:szCs w:val="24"/>
          <w:lang w:val="en-US" w:eastAsia="zh-CN"/>
        </w:rPr>
        <w:t>TBJ格式的加密文件。未在线上上传电子版《投标文件》的，将视为投标无效。</w:t>
      </w:r>
    </w:p>
    <w:p>
      <w:pPr>
        <w:pStyle w:val="35"/>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（2）投标现场需提供的资料</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24</w:t>
      </w:r>
      <w:r>
        <w:rPr>
          <w:rFonts w:hint="eastAsia" w:ascii="仿宋_GB2312" w:eastAsia="仿宋_GB2312"/>
          <w:color w:val="auto"/>
          <w:sz w:val="24"/>
          <w:szCs w:val="24"/>
          <w:lang w:eastAsia="zh-CN"/>
        </w:rPr>
        <w:t>日上午9点30分（北京时间）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hint="eastAsia" w:ascii="仿宋_GB2312" w:eastAsia="仿宋_GB2312"/>
          <w:color w:val="auto"/>
          <w:sz w:val="24"/>
          <w:szCs w:val="24"/>
          <w:lang w:eastAsia="zh-CN"/>
        </w:rPr>
        <w:t>《投标文件》纸质版正本</w:t>
      </w:r>
      <w:r>
        <w:rPr>
          <w:rFonts w:hint="eastAsia" w:ascii="仿宋_GB2312" w:eastAsia="仿宋_GB2312"/>
          <w:color w:val="auto"/>
          <w:sz w:val="24"/>
          <w:szCs w:val="24"/>
          <w:lang w:val="en-US" w:eastAsia="zh-CN"/>
        </w:rPr>
        <w:t>1份，副本1份；②《开标一览表》纸质版1份（备用）。③投标U盘或光盘一份，U盘或光盘内容包括：加密《投标文件》TBJ格式1份，WORD或WPS格式《投标文件》1份、PDF格式《投标文件》1份。④携带制作电子版《投标文件》的CA证书（钥匙）。⑤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5月24日</w:t>
      </w:r>
      <w:r>
        <w:rPr>
          <w:rFonts w:hint="eastAsia" w:ascii="仿宋_GB2312" w:eastAsia="仿宋_GB2312"/>
          <w:color w:val="auto"/>
          <w:sz w:val="24"/>
          <w:szCs w:val="24"/>
          <w:lang w:eastAsia="zh-CN"/>
        </w:rPr>
        <w:t>上午9:30（北京时间）</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联系人：</w:t>
      </w:r>
      <w:r>
        <w:rPr>
          <w:rFonts w:hint="eastAsia" w:ascii="仿宋_GB2312" w:eastAsia="仿宋_GB2312"/>
          <w:color w:val="auto"/>
          <w:sz w:val="24"/>
          <w:szCs w:val="24"/>
          <w:lang w:val="en-US" w:eastAsia="zh-CN"/>
        </w:rPr>
        <w:t>张老师</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eastAsia="仿宋_GB2312"/>
          <w:color w:val="auto"/>
          <w:sz w:val="24"/>
          <w:szCs w:val="24"/>
          <w:lang w:eastAsia="zh-CN"/>
        </w:rPr>
        <w:t>010</w:t>
      </w:r>
      <w:r>
        <w:rPr>
          <w:rFonts w:hint="eastAsia" w:ascii="仿宋_GB2312" w:eastAsia="仿宋_GB2312"/>
          <w:color w:val="auto"/>
          <w:sz w:val="24"/>
          <w:szCs w:val="24"/>
          <w:lang w:val="en-US" w:eastAsia="zh-CN"/>
        </w:rPr>
        <w:t>-</w:t>
      </w:r>
      <w:r>
        <w:rPr>
          <w:rFonts w:hint="eastAsia" w:ascii="仿宋_GB2312" w:eastAsia="仿宋_GB2312"/>
          <w:color w:val="auto"/>
          <w:sz w:val="24"/>
          <w:szCs w:val="24"/>
          <w:lang w:eastAsia="zh-CN"/>
        </w:rPr>
        <w:t>6923133</w:t>
      </w:r>
      <w:bookmarkEnd w:id="2"/>
      <w:r>
        <w:rPr>
          <w:rFonts w:hint="eastAsia" w:ascii="仿宋_GB2312" w:eastAsia="仿宋_GB2312"/>
          <w:color w:val="auto"/>
          <w:sz w:val="24"/>
          <w:szCs w:val="24"/>
          <w:lang w:val="en-US" w:eastAsia="zh-CN"/>
        </w:rPr>
        <w:t>3转201</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35"/>
        <w:widowControl w:val="0"/>
        <w:autoSpaceDE w:val="0"/>
        <w:autoSpaceDN w:val="0"/>
        <w:adjustRightInd w:val="0"/>
        <w:spacing w:before="0" w:after="0" w:line="360" w:lineRule="auto"/>
        <w:ind w:firstLine="480" w:firstLineChars="200"/>
        <w:rPr>
          <w:rFonts w:hint="eastAsia" w:ascii="仿宋" w:hAnsi="仿宋" w:eastAsia="仿宋"/>
          <w:color w:val="auto"/>
          <w:sz w:val="24"/>
          <w:szCs w:val="28"/>
          <w:u w:val="none"/>
          <w:lang w:val="zh-CN" w:eastAsia="zh-CN"/>
        </w:rPr>
      </w:pPr>
      <w:r>
        <w:rPr>
          <w:rFonts w:hint="eastAsia" w:ascii="仿宋_GB2312" w:eastAsia="仿宋_GB2312"/>
          <w:color w:val="auto"/>
          <w:sz w:val="24"/>
          <w:szCs w:val="24"/>
          <w:lang w:eastAsia="zh-CN"/>
        </w:rPr>
        <w:t>采购人名称：</w:t>
      </w:r>
      <w:r>
        <w:rPr>
          <w:rFonts w:hint="eastAsia" w:ascii="仿宋_GB2312" w:eastAsia="仿宋_GB2312"/>
          <w:color w:val="auto"/>
          <w:sz w:val="24"/>
          <w:szCs w:val="24"/>
          <w:lang w:val="en-US" w:eastAsia="zh-CN"/>
        </w:rPr>
        <w:t>北京市大兴区教师进修学校</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bookmarkStart w:id="3" w:name="_Hlk44403296"/>
      <w:r>
        <w:rPr>
          <w:rFonts w:hint="eastAsia" w:ascii="仿宋_GB2312" w:eastAsia="仿宋_GB2312"/>
          <w:color w:val="auto"/>
          <w:sz w:val="24"/>
          <w:szCs w:val="24"/>
          <w:highlight w:val="none"/>
          <w:lang w:eastAsia="zh-CN"/>
        </w:rPr>
        <w:t>联系人：任老师</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联系方式：</w:t>
      </w:r>
      <w:bookmarkStart w:id="4" w:name="_Hlk44403312"/>
      <w:r>
        <w:rPr>
          <w:rFonts w:hint="eastAsia" w:ascii="仿宋_GB2312" w:eastAsia="仿宋_GB2312"/>
          <w:color w:val="auto"/>
          <w:sz w:val="24"/>
          <w:szCs w:val="24"/>
          <w:highlight w:val="none"/>
          <w:lang w:val="en-US" w:eastAsia="zh-CN"/>
        </w:rPr>
        <w:t>69203830-6666</w:t>
      </w:r>
    </w:p>
    <w:bookmarkEnd w:id="4"/>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地址：北京市大兴区兴华大街</w:t>
      </w:r>
      <w:r>
        <w:rPr>
          <w:rFonts w:hint="eastAsia" w:ascii="仿宋_GB2312" w:eastAsia="仿宋_GB2312"/>
          <w:color w:val="auto"/>
          <w:sz w:val="24"/>
          <w:szCs w:val="24"/>
          <w:highlight w:val="none"/>
          <w:lang w:val="en-US" w:eastAsia="zh-CN"/>
        </w:rPr>
        <w:t>3段4号</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yellow"/>
          <w:lang w:val="en-US" w:eastAsia="zh-CN"/>
        </w:rPr>
      </w:pPr>
    </w:p>
    <w:bookmarkEnd w:id="3"/>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p>
    <w:p>
      <w:pPr>
        <w:pStyle w:val="35"/>
        <w:widowControl w:val="0"/>
        <w:autoSpaceDE w:val="0"/>
        <w:autoSpaceDN w:val="0"/>
        <w:adjustRightInd w:val="0"/>
        <w:spacing w:before="0" w:after="0" w:line="360" w:lineRule="auto"/>
        <w:ind w:firstLine="480" w:firstLineChars="200"/>
        <w:rPr>
          <w:rFonts w:ascii="仿宋_GB2312" w:hAnsi="宋体" w:eastAsia="仿宋_GB2312"/>
          <w:color w:val="auto"/>
          <w:sz w:val="24"/>
          <w:szCs w:val="24"/>
          <w:lang w:eastAsia="zh-CN"/>
        </w:rPr>
      </w:pPr>
      <w:r>
        <w:rPr>
          <w:rFonts w:ascii="仿宋_GB2312" w:eastAsia="仿宋_GB2312"/>
          <w:color w:val="auto"/>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本项目为全流程电子化项目。</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35"/>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lang w:val="en-US" w:eastAsia="zh-CN"/>
              </w:rPr>
              <w:t>北京市大兴区教师进修学校</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hint="default" w:ascii="仿宋_GB2312" w:hAnsi="宋体" w:eastAsia="仿宋_GB2312"/>
                <w:color w:val="auto"/>
                <w:sz w:val="24"/>
                <w:szCs w:val="24"/>
                <w:lang w:val="en-US" w:eastAsia="zh-CN"/>
              </w:rPr>
            </w:pPr>
            <w:r>
              <w:rPr>
                <w:rFonts w:ascii="仿宋_GB2312" w:hAnsi="宋体" w:eastAsia="仿宋_GB2312"/>
                <w:color w:val="auto"/>
                <w:sz w:val="24"/>
                <w:szCs w:val="24"/>
              </w:rPr>
              <w:t>采购项目预算金额：</w:t>
            </w:r>
            <w:r>
              <w:rPr>
                <w:rFonts w:ascii="仿宋_GB2312" w:hAnsi="宋体" w:eastAsia="仿宋_GB2312"/>
                <w:b/>
                <w:bCs/>
                <w:color w:val="auto"/>
                <w:sz w:val="24"/>
                <w:szCs w:val="24"/>
              </w:rPr>
              <w:t>人民币</w:t>
            </w:r>
            <w:r>
              <w:rPr>
                <w:rFonts w:hint="eastAsia" w:ascii="仿宋_GB2312" w:eastAsia="仿宋_GB2312"/>
                <w:b/>
                <w:bCs/>
                <w:color w:val="auto"/>
                <w:sz w:val="24"/>
                <w:szCs w:val="24"/>
                <w:u w:val="single"/>
                <w:lang w:val="en-US" w:eastAsia="zh-CN"/>
              </w:rPr>
              <w:t>216</w:t>
            </w:r>
            <w:r>
              <w:rPr>
                <w:rFonts w:ascii="仿宋_GB2312" w:hAnsi="宋体" w:eastAsia="仿宋_GB2312"/>
                <w:b/>
                <w:bCs/>
                <w:color w:val="auto"/>
                <w:sz w:val="24"/>
                <w:szCs w:val="24"/>
              </w:rPr>
              <w:t>万元</w:t>
            </w:r>
            <w:r>
              <w:rPr>
                <w:rFonts w:hint="eastAsia" w:ascii="仿宋_GB2312" w:hAnsi="宋体" w:eastAsia="仿宋_GB2312"/>
                <w:b/>
                <w:bCs/>
                <w:color w:val="auto"/>
                <w:sz w:val="24"/>
                <w:szCs w:val="24"/>
                <w:lang w:val="en-US" w:eastAsia="zh-CN"/>
              </w:rPr>
              <w:t xml:space="preserve"> 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本项目为全流程电子化项目，投标人应在规定的时间内，在北京市政府采购电子交易平台上传电子版投标文件，文件格式为TBJ格式的加密文件。未在线上上传电子版《投标文件》的，将视为投标无效。</w:t>
            </w:r>
            <w:r>
              <w:rPr>
                <w:rFonts w:ascii="仿宋_GB2312" w:hAnsi="宋体" w:eastAsia="仿宋_GB2312"/>
                <w:color w:val="auto"/>
                <w:sz w:val="24"/>
                <w:szCs w:val="24"/>
              </w:rPr>
              <w:t>投标文件份数及递交要求：投标人资格册（正本一份、副本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份）、商务技术册（正本一份、副本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w:t>
            </w:r>
            <w:r>
              <w:rPr>
                <w:rFonts w:hint="eastAsia" w:ascii="仿宋_GB2312" w:hAnsi="宋体" w:eastAsia="仿宋_GB2312"/>
                <w:b/>
                <w:bCs/>
                <w:color w:val="auto"/>
                <w:sz w:val="24"/>
                <w:szCs w:val="24"/>
                <w:lang w:val="en-US" w:eastAsia="zh-CN"/>
              </w:rPr>
              <w:t>投标U盘或光盘一份（不退还）</w:t>
            </w:r>
            <w:r>
              <w:rPr>
                <w:rFonts w:ascii="仿宋_GB2312" w:hAnsi="宋体" w:eastAsia="仿宋_GB2312"/>
                <w:b/>
                <w:color w:val="auto"/>
                <w:sz w:val="24"/>
                <w:szCs w:val="24"/>
              </w:rPr>
              <w:t>分别密封提交</w:t>
            </w:r>
            <w:r>
              <w:rPr>
                <w:rFonts w:ascii="仿宋_GB2312" w:hAnsi="宋体" w:eastAsia="仿宋_GB2312"/>
                <w:color w:val="auto"/>
                <w:sz w:val="24"/>
                <w:szCs w:val="24"/>
              </w:rPr>
              <w:t>。</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纸质版投标一览表一份备用，也需单独密封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5"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6" w:name="_Hlk44403615"/>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5</w:t>
            </w:r>
            <w:r>
              <w:rPr>
                <w:rFonts w:hint="eastAsia" w:ascii="仿宋_GB2312" w:hAnsi="仿宋_GB2312" w:eastAsia="仿宋_GB2312"/>
                <w:color w:val="auto"/>
                <w:sz w:val="24"/>
                <w:szCs w:val="24"/>
                <w:u w:val="none"/>
                <w:lang w:val="en-US" w:eastAsia="zh-CN"/>
              </w:rPr>
              <w:t>月</w:t>
            </w:r>
            <w:r>
              <w:rPr>
                <w:rFonts w:hint="eastAsia" w:ascii="仿宋_GB2312" w:hAnsi="仿宋_GB2312" w:eastAsia="仿宋_GB2312"/>
                <w:color w:val="auto"/>
                <w:sz w:val="24"/>
                <w:szCs w:val="24"/>
                <w:u w:val="single"/>
                <w:lang w:val="en-US" w:eastAsia="zh-CN"/>
              </w:rPr>
              <w:t>24</w:t>
            </w:r>
            <w:r>
              <w:rPr>
                <w:rFonts w:hint="eastAsia" w:ascii="仿宋_GB2312" w:hAnsi="仿宋_GB2312" w:eastAsia="仿宋_GB2312"/>
                <w:color w:val="auto"/>
                <w:sz w:val="24"/>
                <w:szCs w:val="24"/>
                <w:u w:val="none"/>
                <w:lang w:val="en-US" w:eastAsia="zh-CN"/>
              </w:rPr>
              <w:t>日</w:t>
            </w:r>
            <w:r>
              <w:rPr>
                <w:rFonts w:hint="eastAsia" w:ascii="仿宋_GB2312" w:hAnsi="宋体" w:eastAsia="仿宋_GB2312"/>
                <w:color w:val="auto"/>
                <w:sz w:val="24"/>
                <w:szCs w:val="24"/>
              </w:rPr>
              <w:t>上午9:30（北京时间）</w:t>
            </w:r>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5</w:t>
            </w:r>
            <w:r>
              <w:rPr>
                <w:rFonts w:hint="eastAsia" w:ascii="仿宋_GB2312" w:hAnsi="仿宋_GB2312" w:eastAsia="仿宋_GB2312"/>
                <w:color w:val="auto"/>
                <w:sz w:val="24"/>
                <w:szCs w:val="24"/>
                <w:u w:val="none"/>
                <w:lang w:val="en-US" w:eastAsia="zh-CN"/>
              </w:rPr>
              <w:t>月</w:t>
            </w:r>
            <w:r>
              <w:rPr>
                <w:rFonts w:hint="eastAsia" w:ascii="仿宋_GB2312" w:hAnsi="仿宋_GB2312" w:eastAsia="仿宋_GB2312"/>
                <w:color w:val="auto"/>
                <w:sz w:val="24"/>
                <w:szCs w:val="24"/>
                <w:u w:val="single"/>
                <w:lang w:val="en-US" w:eastAsia="zh-CN"/>
              </w:rPr>
              <w:t>24</w:t>
            </w:r>
            <w:r>
              <w:rPr>
                <w:rFonts w:hint="eastAsia" w:ascii="仿宋_GB2312" w:hAnsi="仿宋_GB2312" w:eastAsia="仿宋_GB2312"/>
                <w:color w:val="auto"/>
                <w:sz w:val="24"/>
                <w:szCs w:val="24"/>
                <w:u w:val="none"/>
                <w:lang w:val="en-US" w:eastAsia="zh-CN"/>
              </w:rPr>
              <w:t>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本项目专门面向中小/小微企业。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18</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eastAsia="仿宋_GB2312"/>
                <w:color w:val="auto"/>
                <w:sz w:val="24"/>
                <w:szCs w:val="24"/>
                <w:lang w:val="en-US" w:eastAsia="zh-CN"/>
              </w:rPr>
              <w:t>具有《中华人民共和国增值电信业务经营许可证》，(提供</w:t>
            </w:r>
            <w:r>
              <w:rPr>
                <w:rFonts w:hint="eastAsia" w:ascii="仿宋_GB2312" w:eastAsia="仿宋_GB2312"/>
                <w:color w:val="auto"/>
                <w:sz w:val="24"/>
                <w:szCs w:val="24"/>
              </w:rPr>
              <w:t>加盖单位公章的复印件</w:t>
            </w:r>
            <w:r>
              <w:rPr>
                <w:rFonts w:hint="eastAsia" w:ascii="仿宋_GB2312" w:eastAsia="仿宋_GB2312"/>
                <w:color w:val="auto"/>
                <w:sz w:val="24"/>
                <w:szCs w:val="24"/>
                <w:lang w:val="en-US" w:eastAsia="zh-CN"/>
              </w:rPr>
              <w:t>)</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7" w:name="_Toc520356143"/>
      <w:r>
        <w:rPr>
          <w:rFonts w:hint="eastAsia" w:ascii="仿宋_GB2312" w:hAnsi="宋体" w:eastAsia="仿宋_GB2312"/>
          <w:b/>
          <w:color w:val="auto"/>
          <w:sz w:val="24"/>
          <w:szCs w:val="24"/>
        </w:rPr>
        <w:t>一  说明</w:t>
      </w:r>
      <w:bookmarkEnd w:id="7"/>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35"/>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北京市大兴区教师进修学校</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方式在此</w:t>
      </w:r>
      <w:r>
        <w:rPr>
          <w:rFonts w:hint="eastAsia" w:ascii="仿宋_GB2312" w:hAnsi="宋体" w:eastAsia="仿宋_GB2312"/>
          <w:color w:val="auto"/>
          <w:sz w:val="24"/>
          <w:szCs w:val="24"/>
        </w:rPr>
        <w:t>平台（北京市政府采购电子交易平台）获取招标文件的，其投标无效。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FF0000"/>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投标人应在北京市政府采购电子交易平台选择参与本项目并下载招标文件，</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投标</w:t>
      </w:r>
      <w:r>
        <w:rPr>
          <w:rFonts w:hint="eastAsia" w:ascii="仿宋_GB2312" w:hAnsi="宋体" w:eastAsia="仿宋_GB2312"/>
          <w:b/>
          <w:bCs/>
          <w:color w:val="auto"/>
          <w:sz w:val="24"/>
          <w:szCs w:val="24"/>
          <w:lang w:val="en-US" w:eastAsia="zh-CN"/>
        </w:rPr>
        <w:t>U盘或光盘</w:t>
      </w:r>
      <w:r>
        <w:rPr>
          <w:rFonts w:ascii="仿宋_GB2312" w:hAnsi="宋体" w:eastAsia="仿宋_GB2312"/>
          <w:b/>
          <w:color w:val="auto"/>
          <w:sz w:val="24"/>
          <w:szCs w:val="24"/>
        </w:rPr>
        <w:t>分别密封提交</w:t>
      </w:r>
      <w:r>
        <w:rPr>
          <w:rFonts w:ascii="仿宋_GB2312" w:hAnsi="宋体" w:eastAsia="仿宋_GB2312"/>
          <w:color w:val="auto"/>
          <w:sz w:val="24"/>
          <w:szCs w:val="24"/>
        </w:rPr>
        <w:t>。投标人单独密封的“投标一览表”应为原件</w:t>
      </w:r>
      <w:r>
        <w:rPr>
          <w:rFonts w:hint="eastAsia" w:ascii="仿宋_GB2312" w:hAnsi="宋体" w:eastAsia="仿宋_GB2312"/>
          <w:color w:val="auto"/>
          <w:sz w:val="24"/>
          <w:szCs w:val="24"/>
          <w:lang w:val="en-US" w:eastAsia="zh-CN"/>
        </w:rPr>
        <w:t>现场备查</w:t>
      </w:r>
      <w:r>
        <w:rPr>
          <w:rFonts w:ascii="仿宋_GB2312" w:hAnsi="宋体" w:eastAsia="仿宋_GB2312"/>
          <w:color w:val="auto"/>
          <w:sz w:val="24"/>
          <w:szCs w:val="24"/>
        </w:rPr>
        <w:t>，同时，投标文件正本中也应附有此表原件。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olor w:val="auto"/>
          <w:sz w:val="24"/>
          <w:szCs w:val="24"/>
        </w:rPr>
        <w:t>13.3</w:t>
      </w:r>
      <w:r>
        <w:rPr>
          <w:rFonts w:hint="eastAsia" w:ascii="仿宋_GB2312" w:hAnsi="宋体" w:eastAsia="仿宋_GB2312" w:cs="Times New Roman"/>
          <w:color w:val="auto"/>
          <w:sz w:val="24"/>
          <w:szCs w:val="24"/>
          <w:lang w:eastAsia="zh-CN"/>
        </w:rPr>
        <w:t>投标人应在开标之日前，</w:t>
      </w:r>
      <w:r>
        <w:rPr>
          <w:rFonts w:hint="eastAsia" w:ascii="仿宋_GB2312" w:eastAsia="仿宋_GB2312"/>
          <w:color w:val="auto"/>
          <w:sz w:val="24"/>
          <w:szCs w:val="24"/>
          <w:lang w:eastAsia="zh-CN"/>
        </w:rPr>
        <w:t>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w:t>
      </w:r>
      <w:r>
        <w:rPr>
          <w:rFonts w:hint="eastAsia" w:ascii="仿宋_GB2312" w:hAnsi="宋体" w:eastAsia="仿宋_GB2312" w:cs="Times New Roman"/>
          <w:color w:val="auto"/>
          <w:sz w:val="24"/>
          <w:szCs w:val="24"/>
          <w:lang w:eastAsia="zh-CN"/>
        </w:rPr>
        <w:t>在线递交电子版投标文件，文件格式为</w:t>
      </w:r>
      <w:r>
        <w:rPr>
          <w:rFonts w:hint="eastAsia" w:ascii="仿宋_GB2312" w:hAnsi="宋体" w:eastAsia="仿宋_GB2312" w:cs="Times New Roman"/>
          <w:color w:val="auto"/>
          <w:sz w:val="24"/>
          <w:szCs w:val="24"/>
          <w:lang w:val="en-US" w:eastAsia="zh-CN"/>
        </w:rPr>
        <w:t>TBJ</w:t>
      </w:r>
      <w:r>
        <w:rPr>
          <w:rFonts w:hint="eastAsia" w:ascii="仿宋_GB2312" w:hAnsi="宋体" w:eastAsia="仿宋_GB2312" w:cs="Times New Roman"/>
          <w:color w:val="auto"/>
          <w:sz w:val="24"/>
          <w:szCs w:val="24"/>
          <w:lang w:eastAsia="zh-CN"/>
        </w:rPr>
        <w:t>格式的加密文件。未在线上递交电子版《投标文件》的投标无效。由于投标人未携带制作电子版《投标文件》的CA证书（用于开标现场下载并解密《投标文件》电子版），导致无法解密，投标无效。由于技术原因导致解密失败的，可以投标人提供的电子版光盘中的文件代替其投标文件。</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s="Times New Roman"/>
          <w:color w:val="auto"/>
          <w:sz w:val="24"/>
          <w:szCs w:val="24"/>
        </w:rPr>
        <w:t>13.</w:t>
      </w:r>
      <w:r>
        <w:rPr>
          <w:rFonts w:hint="eastAsia" w:ascii="仿宋_GB2312" w:hAnsi="宋体" w:eastAsia="仿宋_GB2312" w:cs="Times New Roman"/>
          <w:color w:val="auto"/>
          <w:sz w:val="24"/>
          <w:szCs w:val="24"/>
          <w:lang w:val="en-US" w:eastAsia="zh-CN"/>
        </w:rPr>
        <w:t>4</w:t>
      </w:r>
      <w:r>
        <w:rPr>
          <w:rFonts w:hint="eastAsia" w:ascii="仿宋_GB2312" w:hAnsi="宋体" w:eastAsia="仿宋_GB2312" w:cs="Times New Roman"/>
          <w:color w:val="auto"/>
          <w:sz w:val="24"/>
          <w:szCs w:val="24"/>
        </w:rPr>
        <w:t xml:space="preserve"> </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b/>
          <w:bCs/>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16.3 开标时，</w:t>
      </w:r>
      <w:r>
        <w:rPr>
          <w:rFonts w:hint="eastAsia" w:ascii="仿宋_GB2312" w:hAnsi="宋体" w:eastAsia="仿宋_GB2312" w:cs="Times New Roman"/>
          <w:color w:val="auto"/>
          <w:sz w:val="24"/>
          <w:szCs w:val="24"/>
          <w:lang w:eastAsia="zh-CN"/>
        </w:rPr>
        <w:t>由于投标人未携带制作电子版《投标文件》的CA证书（用于开标现场下载并解密《投标文件》电子版），导致无法解密，投标无效。由于技术原因导致解密失败的，可以投标人提供的电子版光盘中的文件代替其投标文件。</w:t>
      </w:r>
      <w:r>
        <w:rPr>
          <w:rFonts w:hint="eastAsia" w:ascii="仿宋_GB2312" w:hAnsi="宋体" w:eastAsia="仿宋_GB2312"/>
          <w:color w:val="auto"/>
          <w:sz w:val="24"/>
          <w:szCs w:val="24"/>
        </w:rPr>
        <w:t>未提供单独密封的投标一览表或单独密封提供的投标一览表中存在未加盖投标人公章、未注明投标报价、复印件等情况，作无效投标处理。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16.4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8" w:name="_Toc356478669"/>
      <w:bookmarkStart w:id="9" w:name="_Toc435828258"/>
      <w:bookmarkStart w:id="10" w:name="_Toc435830560"/>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8"/>
    <w:bookmarkEnd w:id="9"/>
    <w:bookmarkEnd w:id="10"/>
    <w:p>
      <w:pPr>
        <w:spacing w:line="360" w:lineRule="auto"/>
        <w:ind w:left="480" w:hanging="480" w:hangingChars="200"/>
        <w:rPr>
          <w:rFonts w:ascii="仿宋_GB2312" w:hAnsi="宋体" w:eastAsia="仿宋_GB2312"/>
          <w:color w:val="auto"/>
          <w:sz w:val="24"/>
          <w:szCs w:val="24"/>
        </w:rPr>
      </w:pPr>
      <w:bookmarkStart w:id="11" w:name="_Toc356478670"/>
      <w:bookmarkStart w:id="12" w:name="_Toc435828259"/>
      <w:bookmarkStart w:id="13" w:name="_Toc435830561"/>
      <w:r>
        <w:rPr>
          <w:rFonts w:hint="eastAsia" w:ascii="仿宋_GB2312" w:hAnsi="宋体" w:eastAsia="仿宋_GB2312"/>
          <w:color w:val="auto"/>
          <w:sz w:val="24"/>
          <w:szCs w:val="24"/>
        </w:rPr>
        <w:t>31.10 不符合上述31.2-31.9条规定的质疑函不予受理。</w:t>
      </w:r>
      <w:bookmarkEnd w:id="11"/>
      <w:bookmarkEnd w:id="12"/>
      <w:bookmarkEnd w:id="13"/>
    </w:p>
    <w:p>
      <w:pPr>
        <w:spacing w:line="360" w:lineRule="auto"/>
        <w:ind w:left="720" w:hanging="720" w:hangingChars="300"/>
        <w:rPr>
          <w:rFonts w:ascii="仿宋_GB2312" w:hAnsi="宋体" w:eastAsia="仿宋_GB2312"/>
          <w:color w:val="auto"/>
          <w:sz w:val="24"/>
          <w:szCs w:val="24"/>
        </w:rPr>
      </w:pPr>
      <w:bookmarkStart w:id="14" w:name="_Toc435830562"/>
      <w:bookmarkStart w:id="15" w:name="_Toc435828260"/>
      <w:bookmarkStart w:id="16" w:name="_Toc356478671"/>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4"/>
      <w:bookmarkEnd w:id="15"/>
      <w:bookmarkEnd w:id="16"/>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color w:val="auto"/>
        </w:rPr>
      </w:pPr>
    </w:p>
    <w:p>
      <w:pPr>
        <w:pStyle w:val="18"/>
        <w:rPr>
          <w:rFonts w:ascii="仿宋_GB2312" w:hAnsi="宋体" w:eastAsia="仿宋_GB2312"/>
          <w:color w:val="auto"/>
          <w:sz w:val="24"/>
          <w:szCs w:val="24"/>
        </w:rPr>
      </w:pPr>
    </w:p>
    <w:p>
      <w:pPr>
        <w:rPr>
          <w:color w:val="auto"/>
        </w:rPr>
      </w:pPr>
    </w:p>
    <w:p>
      <w:pPr>
        <w:pStyle w:val="18"/>
        <w:rPr>
          <w:color w:val="auto"/>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ascii="仿宋_GB2312" w:hAnsi="宋体" w:eastAsia="仿宋_GB2312"/>
          <w:b w:val="0"/>
          <w:bCs w:val="0"/>
          <w:color w:val="auto"/>
          <w:sz w:val="24"/>
          <w:szCs w:val="24"/>
        </w:rPr>
      </w:pPr>
      <w:r>
        <w:rPr>
          <w:rStyle w:val="59"/>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numPr>
          <w:ilvl w:val="0"/>
          <w:numId w:val="7"/>
        </w:numPr>
        <w:adjustRightInd w:val="0"/>
        <w:spacing w:line="360" w:lineRule="atLeast"/>
        <w:ind w:firstLine="482"/>
        <w:jc w:val="left"/>
        <w:textAlignment w:val="baseline"/>
        <w:rPr>
          <w:b/>
          <w:sz w:val="24"/>
        </w:rPr>
      </w:pPr>
      <w:r>
        <w:rPr>
          <w:rFonts w:hint="eastAsia"/>
          <w:b/>
          <w:sz w:val="24"/>
        </w:rPr>
        <w:t>采购清单（采购金额216万，服务期限1年。）</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477"/>
        <w:gridCol w:w="1789"/>
        <w:gridCol w:w="1545"/>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rPr>
                <w:b/>
                <w:sz w:val="24"/>
              </w:rPr>
            </w:pPr>
            <w:r>
              <w:rPr>
                <w:rFonts w:hint="eastAsia"/>
                <w:b/>
                <w:sz w:val="24"/>
              </w:rPr>
              <w:t>序号</w:t>
            </w:r>
          </w:p>
        </w:tc>
        <w:tc>
          <w:tcPr>
            <w:tcW w:w="2477" w:type="dxa"/>
            <w:vAlign w:val="center"/>
          </w:tcPr>
          <w:p>
            <w:pPr>
              <w:ind w:firstLine="482"/>
              <w:jc w:val="center"/>
              <w:rPr>
                <w:b/>
                <w:sz w:val="24"/>
              </w:rPr>
            </w:pPr>
            <w:r>
              <w:rPr>
                <w:rFonts w:hint="eastAsia"/>
                <w:b/>
                <w:sz w:val="24"/>
              </w:rPr>
              <w:t>货物或服务名称</w:t>
            </w:r>
          </w:p>
        </w:tc>
        <w:tc>
          <w:tcPr>
            <w:tcW w:w="1789" w:type="dxa"/>
            <w:vAlign w:val="center"/>
          </w:tcPr>
          <w:p>
            <w:pPr>
              <w:ind w:firstLine="482"/>
              <w:jc w:val="center"/>
              <w:rPr>
                <w:b/>
                <w:sz w:val="24"/>
              </w:rPr>
            </w:pPr>
            <w:r>
              <w:rPr>
                <w:rFonts w:hint="eastAsia"/>
                <w:b/>
                <w:sz w:val="24"/>
              </w:rPr>
              <w:t>数量</w:t>
            </w:r>
          </w:p>
        </w:tc>
        <w:tc>
          <w:tcPr>
            <w:tcW w:w="1545" w:type="dxa"/>
            <w:vAlign w:val="center"/>
          </w:tcPr>
          <w:p>
            <w:pPr>
              <w:ind w:firstLine="482"/>
              <w:jc w:val="center"/>
              <w:rPr>
                <w:b/>
                <w:sz w:val="24"/>
              </w:rPr>
            </w:pPr>
            <w:r>
              <w:rPr>
                <w:rFonts w:hint="eastAsia"/>
                <w:b/>
                <w:sz w:val="24"/>
              </w:rPr>
              <w:t>单位</w:t>
            </w:r>
          </w:p>
        </w:tc>
        <w:tc>
          <w:tcPr>
            <w:tcW w:w="2035" w:type="dxa"/>
            <w:vAlign w:val="center"/>
          </w:tcPr>
          <w:p>
            <w:pPr>
              <w:ind w:firstLine="482"/>
              <w:jc w:val="center"/>
              <w:rPr>
                <w:b/>
                <w:sz w:val="24"/>
              </w:rPr>
            </w:pPr>
            <w:r>
              <w:rPr>
                <w:rFonts w:hint="eastAsia"/>
                <w:b/>
                <w:sz w:val="24"/>
              </w:rPr>
              <w:t>备注（核心产品）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jc w:val="center"/>
              <w:rPr>
                <w:sz w:val="24"/>
              </w:rPr>
            </w:pPr>
            <w:r>
              <w:rPr>
                <w:rFonts w:hint="eastAsia"/>
                <w:sz w:val="24"/>
              </w:rPr>
              <w:t>1</w:t>
            </w:r>
          </w:p>
        </w:tc>
        <w:tc>
          <w:tcPr>
            <w:tcW w:w="2477" w:type="dxa"/>
          </w:tcPr>
          <w:p>
            <w:pPr>
              <w:rPr>
                <w:sz w:val="24"/>
              </w:rPr>
            </w:pPr>
            <w:r>
              <w:rPr>
                <w:rFonts w:hint="eastAsia"/>
                <w:sz w:val="24"/>
              </w:rPr>
              <w:t>互联网带宽接入服务</w:t>
            </w:r>
          </w:p>
        </w:tc>
        <w:tc>
          <w:tcPr>
            <w:tcW w:w="1789" w:type="dxa"/>
          </w:tcPr>
          <w:p>
            <w:pPr>
              <w:jc w:val="center"/>
              <w:rPr>
                <w:sz w:val="24"/>
              </w:rPr>
            </w:pPr>
            <w:r>
              <w:rPr>
                <w:rFonts w:hint="eastAsia"/>
                <w:sz w:val="24"/>
              </w:rPr>
              <w:t>9</w:t>
            </w:r>
          </w:p>
        </w:tc>
        <w:tc>
          <w:tcPr>
            <w:tcW w:w="1545" w:type="dxa"/>
          </w:tcPr>
          <w:p>
            <w:pPr>
              <w:jc w:val="center"/>
              <w:rPr>
                <w:sz w:val="24"/>
              </w:rPr>
            </w:pPr>
            <w:r>
              <w:rPr>
                <w:rFonts w:hint="eastAsia"/>
                <w:sz w:val="24"/>
              </w:rPr>
              <w:t>Gbps</w:t>
            </w:r>
          </w:p>
        </w:tc>
        <w:tc>
          <w:tcPr>
            <w:tcW w:w="2035" w:type="dxa"/>
          </w:tcPr>
          <w:p>
            <w:pPr>
              <w:rPr>
                <w:sz w:val="24"/>
              </w:rPr>
            </w:pPr>
            <w:r>
              <w:rPr>
                <w:rFonts w:hint="eastAsia"/>
                <w:sz w:val="24"/>
              </w:rPr>
              <w:t>核心产品</w:t>
            </w:r>
          </w:p>
        </w:tc>
      </w:tr>
    </w:tbl>
    <w:p>
      <w:pPr>
        <w:numPr>
          <w:ilvl w:val="0"/>
          <w:numId w:val="7"/>
        </w:numPr>
        <w:adjustRightInd w:val="0"/>
        <w:spacing w:line="360" w:lineRule="atLeast"/>
        <w:ind w:firstLine="482"/>
        <w:jc w:val="left"/>
        <w:textAlignment w:val="baseline"/>
        <w:rPr>
          <w:b/>
          <w:sz w:val="24"/>
        </w:rPr>
      </w:pPr>
      <w:r>
        <w:rPr>
          <w:rFonts w:hint="eastAsia"/>
          <w:b/>
          <w:sz w:val="24"/>
        </w:rPr>
        <w:t>项目背景或简况</w:t>
      </w:r>
    </w:p>
    <w:p>
      <w:pPr>
        <w:pStyle w:val="42"/>
        <w:spacing w:line="360" w:lineRule="auto"/>
        <w:ind w:left="420" w:firstLine="720" w:firstLineChars="300"/>
        <w:rPr>
          <w:sz w:val="24"/>
        </w:rPr>
      </w:pPr>
      <w:r>
        <w:rPr>
          <w:rFonts w:hint="eastAsia"/>
          <w:sz w:val="24"/>
        </w:rPr>
        <w:t>大兴区教育网现有中学、小学、幼儿园、职业学校、成人学校、无学生单位等各类型接入单位254所，各接入单位均通过裸光纤的方式上联到大兴区教育城域骨干网的接入节点。目前大兴区教育城域网骨干网节点之间为万兆光纤、冗余线路互联，千兆光纤到学校（个别学校因学校规模及业务量，采用万兆到学校）。大兴区教师进修学校信息中心节点为大兴区教育网互联网接入业务的统一出口。</w:t>
      </w:r>
    </w:p>
    <w:p>
      <w:pPr>
        <w:pStyle w:val="42"/>
        <w:spacing w:line="360" w:lineRule="auto"/>
        <w:ind w:left="420" w:firstLine="720" w:firstLineChars="300"/>
        <w:rPr>
          <w:sz w:val="24"/>
        </w:rPr>
      </w:pPr>
      <w:r>
        <w:rPr>
          <w:rFonts w:hint="eastAsia"/>
          <w:sz w:val="24"/>
        </w:rPr>
        <w:t>为保证大兴区教育网各单位对互联网的顺畅访问、互联网发布信息的网络服务需求，以及北京市考务专网的备用链路服务需求，需要采购相应的互联网网络带宽与考务专网备用链路服务，其中互联网出口带宽服务，保障大兴区教育单位对互联网的顺畅访问；北京市考务专网备用链路服务，保障大兴区中高考考点校考试数据安全、可靠的与北京市考试院实时传输、对接。</w:t>
      </w:r>
    </w:p>
    <w:p>
      <w:pPr>
        <w:adjustRightInd w:val="0"/>
        <w:spacing w:line="360" w:lineRule="atLeast"/>
        <w:ind w:left="420" w:firstLine="482"/>
        <w:jc w:val="left"/>
        <w:textAlignment w:val="baseline"/>
        <w:rPr>
          <w:b/>
          <w:sz w:val="24"/>
        </w:rPr>
      </w:pPr>
    </w:p>
    <w:p>
      <w:pPr>
        <w:numPr>
          <w:ilvl w:val="0"/>
          <w:numId w:val="7"/>
        </w:numPr>
        <w:adjustRightInd w:val="0"/>
        <w:spacing w:line="360" w:lineRule="atLeast"/>
        <w:ind w:firstLine="482"/>
        <w:jc w:val="left"/>
        <w:textAlignment w:val="baseline"/>
        <w:rPr>
          <w:b/>
          <w:sz w:val="24"/>
        </w:rPr>
      </w:pPr>
      <w:r>
        <w:rPr>
          <w:rFonts w:hint="eastAsia"/>
          <w:b/>
          <w:sz w:val="24"/>
        </w:rPr>
        <w:t>技术参数要求（技术指标包括性能、规格、材质等，但不能指定品牌）、服务要求</w:t>
      </w:r>
    </w:p>
    <w:p>
      <w:pPr>
        <w:spacing w:line="360" w:lineRule="auto"/>
        <w:ind w:firstLine="424" w:firstLineChars="176"/>
        <w:rPr>
          <w:rFonts w:ascii="仿宋" w:hAnsi="仿宋" w:eastAsia="仿宋" w:cs="仿宋"/>
          <w:b/>
          <w:bCs/>
          <w:sz w:val="24"/>
        </w:rPr>
      </w:pPr>
      <w:r>
        <w:rPr>
          <w:rFonts w:hint="eastAsia"/>
          <w:b/>
          <w:sz w:val="24"/>
        </w:rPr>
        <w:t xml:space="preserve"> </w:t>
      </w:r>
      <w:r>
        <w:rPr>
          <w:b/>
          <w:sz w:val="24"/>
        </w:rPr>
        <w:t xml:space="preserve">  </w:t>
      </w:r>
      <w:r>
        <w:rPr>
          <w:rFonts w:hint="eastAsia" w:ascii="仿宋" w:hAnsi="仿宋" w:eastAsia="仿宋" w:cs="仿宋"/>
          <w:b/>
          <w:bCs/>
          <w:sz w:val="24"/>
        </w:rPr>
        <w:t>互联网出口带宽服务要求：</w:t>
      </w:r>
    </w:p>
    <w:p>
      <w:pPr>
        <w:pStyle w:val="42"/>
        <w:numPr>
          <w:ilvl w:val="0"/>
          <w:numId w:val="8"/>
        </w:numPr>
        <w:spacing w:line="360" w:lineRule="auto"/>
        <w:ind w:left="0" w:firstLine="422" w:firstLineChars="176"/>
        <w:rPr>
          <w:sz w:val="24"/>
        </w:rPr>
      </w:pPr>
      <w:r>
        <w:rPr>
          <w:rFonts w:hint="eastAsia"/>
          <w:sz w:val="24"/>
        </w:rPr>
        <w:t>保证大兴区教育网互联网出口带宽≥9Gbps，如有特殊需求时期，带宽可突发至10Gbps以上，为保证突发带宽接入链路最少为20Gbps链路。。</w:t>
      </w:r>
    </w:p>
    <w:p>
      <w:pPr>
        <w:pStyle w:val="42"/>
        <w:numPr>
          <w:ilvl w:val="0"/>
          <w:numId w:val="8"/>
        </w:numPr>
        <w:spacing w:line="360" w:lineRule="auto"/>
        <w:ind w:left="0" w:firstLine="422" w:firstLineChars="176"/>
        <w:rPr>
          <w:sz w:val="24"/>
        </w:rPr>
      </w:pPr>
      <w:r>
        <w:rPr>
          <w:rFonts w:hint="eastAsia"/>
          <w:sz w:val="24"/>
        </w:rPr>
        <w:t>保证互联网出口网络全年平均可用性不低于99.95%，延迟和抖动不高于20ms。</w:t>
      </w:r>
    </w:p>
    <w:p>
      <w:pPr>
        <w:pStyle w:val="42"/>
        <w:numPr>
          <w:ilvl w:val="0"/>
          <w:numId w:val="8"/>
        </w:numPr>
        <w:spacing w:line="360" w:lineRule="auto"/>
        <w:ind w:left="0" w:firstLine="422" w:firstLineChars="176"/>
        <w:rPr>
          <w:sz w:val="24"/>
        </w:rPr>
      </w:pPr>
      <w:r>
        <w:rPr>
          <w:rFonts w:hint="eastAsia"/>
          <w:sz w:val="24"/>
        </w:rPr>
        <w:t>保证出口骨干节点的丢包率不高于0.5%；</w:t>
      </w:r>
    </w:p>
    <w:p>
      <w:pPr>
        <w:pStyle w:val="42"/>
        <w:numPr>
          <w:ilvl w:val="0"/>
          <w:numId w:val="8"/>
        </w:numPr>
        <w:spacing w:line="360" w:lineRule="auto"/>
        <w:ind w:left="0" w:firstLine="422" w:firstLineChars="176"/>
        <w:rPr>
          <w:sz w:val="24"/>
        </w:rPr>
      </w:pPr>
      <w:r>
        <w:rPr>
          <w:rFonts w:hint="eastAsia"/>
          <w:sz w:val="24"/>
        </w:rPr>
        <w:t>需提供互联网出口带宽流量满足不限时不限速的流量突发。</w:t>
      </w:r>
    </w:p>
    <w:p>
      <w:pPr>
        <w:pStyle w:val="42"/>
        <w:numPr>
          <w:ilvl w:val="0"/>
          <w:numId w:val="8"/>
        </w:numPr>
        <w:spacing w:line="360" w:lineRule="auto"/>
        <w:ind w:left="0" w:firstLine="422" w:firstLineChars="176"/>
        <w:rPr>
          <w:sz w:val="24"/>
        </w:rPr>
      </w:pPr>
      <w:r>
        <w:rPr>
          <w:rFonts w:hint="eastAsia"/>
          <w:sz w:val="24"/>
        </w:rPr>
        <w:t>链路接入要求：提供不同物理路由三链路接入运营商。</w:t>
      </w:r>
    </w:p>
    <w:p>
      <w:pPr>
        <w:pStyle w:val="42"/>
        <w:numPr>
          <w:ilvl w:val="0"/>
          <w:numId w:val="8"/>
        </w:numPr>
        <w:spacing w:line="360" w:lineRule="auto"/>
        <w:ind w:left="0" w:firstLine="422" w:firstLineChars="176"/>
        <w:rPr>
          <w:sz w:val="24"/>
        </w:rPr>
      </w:pPr>
      <w:r>
        <w:rPr>
          <w:rFonts w:hint="eastAsia"/>
          <w:sz w:val="24"/>
        </w:rPr>
        <w:t>IP地址要求：提供三线（联通、电信、移动）IPV4地址64C 的合法 IP 地址作为终端设备及服务器的 IP 地址使用；投标人可以提供自有IP地址或通过运营商IP地址授权方式。</w:t>
      </w:r>
    </w:p>
    <w:p>
      <w:pPr>
        <w:pStyle w:val="42"/>
        <w:numPr>
          <w:ilvl w:val="0"/>
          <w:numId w:val="8"/>
        </w:numPr>
        <w:spacing w:line="360" w:lineRule="auto"/>
        <w:ind w:left="0" w:firstLine="422" w:firstLineChars="176"/>
        <w:rPr>
          <w:sz w:val="24"/>
        </w:rPr>
      </w:pPr>
      <w:r>
        <w:rPr>
          <w:rFonts w:hint="eastAsia"/>
          <w:sz w:val="24"/>
        </w:rPr>
        <w:t>技术服务支持要求：</w:t>
      </w:r>
    </w:p>
    <w:p>
      <w:pPr>
        <w:pStyle w:val="42"/>
        <w:spacing w:line="360" w:lineRule="auto"/>
        <w:ind w:firstLine="422" w:firstLineChars="176"/>
        <w:rPr>
          <w:sz w:val="24"/>
        </w:rPr>
      </w:pPr>
      <w:r>
        <w:rPr>
          <w:rFonts w:hint="eastAsia"/>
          <w:sz w:val="24"/>
        </w:rPr>
        <w:t>（1）电话服务支持：提供7×24小时技术支持服务热线，由专业技术支持人员提供技术支持服务。</w:t>
      </w:r>
    </w:p>
    <w:p>
      <w:pPr>
        <w:pStyle w:val="42"/>
        <w:spacing w:line="360" w:lineRule="auto"/>
        <w:ind w:firstLine="422" w:firstLineChars="176"/>
        <w:rPr>
          <w:sz w:val="24"/>
        </w:rPr>
      </w:pPr>
      <w:r>
        <w:rPr>
          <w:rFonts w:hint="eastAsia"/>
          <w:sz w:val="24"/>
        </w:rPr>
        <w:t>（2）重大活动技术保障：对于重大重要活动（如国庆、高考、招生报名等），在活动前将进行设备、光缆等设备设施的全方面巡检。在活动期间，将配合甲方要求进行7×24小时现场职守保障。</w:t>
      </w:r>
    </w:p>
    <w:p>
      <w:pPr>
        <w:pStyle w:val="42"/>
        <w:spacing w:line="360" w:lineRule="auto"/>
        <w:ind w:firstLine="422" w:firstLineChars="176"/>
        <w:rPr>
          <w:sz w:val="24"/>
        </w:rPr>
      </w:pPr>
      <w:r>
        <w:rPr>
          <w:rFonts w:hint="eastAsia"/>
          <w:sz w:val="24"/>
        </w:rPr>
        <w:t>（3）故障处理保障：需要具有完整的故障处理标准体系，完整的故障处理流程，故障处理问责制度等相关管理要求；网络故障发生时，应在5分钟内通知甲方相关负责人，并在60分钟内给出故障判断报告，如需现场服务，应在4小时内到达现场，并及时向甲方相关负责人通告故障处理进展情况。</w:t>
      </w:r>
    </w:p>
    <w:p>
      <w:pPr>
        <w:tabs>
          <w:tab w:val="left" w:pos="426"/>
        </w:tabs>
        <w:spacing w:line="360" w:lineRule="auto"/>
        <w:ind w:firstLine="422" w:firstLineChars="176"/>
        <w:rPr>
          <w:sz w:val="24"/>
        </w:rPr>
      </w:pPr>
      <w:r>
        <w:rPr>
          <w:rFonts w:hint="eastAsia"/>
          <w:sz w:val="24"/>
        </w:rPr>
        <w:t>（4）运维技术支持：在运维服务期限内，需保障网络365×24小时不间断接入，提供365×24小时网络服务保障。需具有完备的运行维护服务保障制度，保证互联网出口带宽网络的正常运行，如甲方需要，提供网络实时流量分析、通断报警监测等报表，网页方式提供天、周、月的流量图。</w:t>
      </w:r>
    </w:p>
    <w:p>
      <w:pPr>
        <w:pStyle w:val="42"/>
        <w:numPr>
          <w:ilvl w:val="0"/>
          <w:numId w:val="8"/>
        </w:numPr>
        <w:spacing w:line="360" w:lineRule="auto"/>
        <w:ind w:left="0" w:firstLine="422" w:firstLineChars="176"/>
        <w:rPr>
          <w:sz w:val="24"/>
        </w:rPr>
      </w:pPr>
      <w:r>
        <w:rPr>
          <w:rFonts w:hint="eastAsia"/>
          <w:sz w:val="24"/>
        </w:rPr>
        <w:t>优化网络平台资源访问需求：为能更好更快的访问北京市教委提供的相关教育平台资源网站，如北京市中小学学籍管理平台、北京市教育公共管理平台、北京市中小学学生卡管理与应用服务平台、北京市中小学健康信息管理系统、北京教育系统卫生与健康管理平台、义务教育入学服务平台、中小学社会大课堂管理监控平台系统、北京市初中学生综合素质平台系统等等相关教育应用平台系统，需投标人提供访问以上平台资源优化的方案。</w:t>
      </w:r>
    </w:p>
    <w:p>
      <w:pPr>
        <w:pStyle w:val="42"/>
        <w:numPr>
          <w:ilvl w:val="0"/>
          <w:numId w:val="8"/>
        </w:numPr>
        <w:spacing w:line="360" w:lineRule="auto"/>
        <w:ind w:left="0" w:firstLine="422" w:firstLineChars="176"/>
        <w:rPr>
          <w:sz w:val="24"/>
        </w:rPr>
      </w:pPr>
      <w:r>
        <w:rPr>
          <w:rFonts w:hint="eastAsia"/>
          <w:sz w:val="24"/>
        </w:rPr>
        <w:t>主备切换能力: 可实现主线链路与备线链路之间的带宽动态调节，故障时自由切换时间不高于300S。</w:t>
      </w:r>
    </w:p>
    <w:p>
      <w:pPr>
        <w:spacing w:line="360" w:lineRule="auto"/>
        <w:ind w:firstLine="665" w:firstLineChars="276"/>
        <w:rPr>
          <w:rFonts w:ascii="仿宋" w:hAnsi="仿宋" w:eastAsia="仿宋" w:cs="仿宋"/>
          <w:b/>
          <w:bCs/>
          <w:sz w:val="24"/>
        </w:rPr>
      </w:pPr>
      <w:r>
        <w:rPr>
          <w:rFonts w:hint="eastAsia" w:ascii="仿宋" w:hAnsi="仿宋" w:eastAsia="仿宋" w:cs="仿宋"/>
          <w:b/>
          <w:bCs/>
          <w:sz w:val="24"/>
        </w:rPr>
        <w:t>北京市考务专网备用链路服务要求：</w:t>
      </w:r>
    </w:p>
    <w:p>
      <w:pPr>
        <w:numPr>
          <w:ilvl w:val="0"/>
          <w:numId w:val="9"/>
        </w:numPr>
        <w:spacing w:line="360" w:lineRule="auto"/>
        <w:ind w:left="0" w:firstLine="422" w:firstLineChars="176"/>
        <w:rPr>
          <w:sz w:val="24"/>
        </w:rPr>
      </w:pPr>
      <w:r>
        <w:rPr>
          <w:rFonts w:hint="eastAsia"/>
          <w:sz w:val="24"/>
        </w:rPr>
        <w:t>保障北京市考务专网备用接入链路，当主线出现中断时可自动切换至备用线路，保证中高考业务数据在北京市考务专网内传输可达北京市考试院。</w:t>
      </w:r>
    </w:p>
    <w:p>
      <w:pPr>
        <w:numPr>
          <w:ilvl w:val="0"/>
          <w:numId w:val="9"/>
        </w:numPr>
        <w:spacing w:line="360" w:lineRule="auto"/>
        <w:ind w:left="0" w:firstLine="422" w:firstLineChars="176"/>
        <w:rPr>
          <w:sz w:val="24"/>
        </w:rPr>
      </w:pPr>
      <w:r>
        <w:rPr>
          <w:rFonts w:hint="eastAsia"/>
          <w:sz w:val="24"/>
        </w:rPr>
        <w:t>特殊期间（中高考）网络保障需求：为切实做好中高考时期网络通信保障工作，投标人应为该项保障工作，积极组织保障团队，制定保障方案，保障方案中应明确故障抢修时间、备品备件保障措施、人员值守计划、封网措施（中高考期间停止网络割接和升级操作）等，确保特殊时期网络万无一失。</w:t>
      </w:r>
    </w:p>
    <w:p>
      <w:pPr>
        <w:adjustRightInd w:val="0"/>
        <w:spacing w:line="360" w:lineRule="atLeast"/>
        <w:ind w:left="420"/>
        <w:jc w:val="left"/>
        <w:textAlignment w:val="baseline"/>
        <w:rPr>
          <w:sz w:val="24"/>
        </w:rPr>
      </w:pPr>
    </w:p>
    <w:p>
      <w:pPr>
        <w:adjustRightInd w:val="0"/>
        <w:spacing w:line="360" w:lineRule="atLeast"/>
        <w:ind w:firstLine="482"/>
        <w:jc w:val="left"/>
        <w:textAlignment w:val="baseline"/>
        <w:rPr>
          <w:b/>
          <w:sz w:val="24"/>
        </w:rPr>
      </w:pPr>
    </w:p>
    <w:p>
      <w:pPr>
        <w:numPr>
          <w:ilvl w:val="0"/>
          <w:numId w:val="7"/>
        </w:numPr>
        <w:adjustRightInd w:val="0"/>
        <w:spacing w:line="360" w:lineRule="atLeast"/>
        <w:ind w:firstLine="482"/>
        <w:jc w:val="left"/>
        <w:textAlignment w:val="baseline"/>
        <w:rPr>
          <w:b/>
          <w:sz w:val="24"/>
        </w:rPr>
      </w:pPr>
      <w:r>
        <w:rPr>
          <w:rFonts w:hint="eastAsia"/>
          <w:b/>
          <w:sz w:val="24"/>
        </w:rPr>
        <w:t>售后服务及培训要求</w:t>
      </w:r>
    </w:p>
    <w:p>
      <w:pPr>
        <w:tabs>
          <w:tab w:val="left" w:pos="426"/>
        </w:tabs>
        <w:spacing w:line="360" w:lineRule="auto"/>
        <w:ind w:firstLine="566" w:firstLineChars="236"/>
        <w:rPr>
          <w:sz w:val="24"/>
        </w:rPr>
      </w:pPr>
      <w:r>
        <w:rPr>
          <w:rFonts w:hint="eastAsia"/>
          <w:sz w:val="24"/>
        </w:rPr>
        <w:t>1.</w:t>
      </w:r>
      <w:r>
        <w:rPr>
          <w:sz w:val="24"/>
        </w:rPr>
        <w:t xml:space="preserve">  </w:t>
      </w:r>
      <w:r>
        <w:rPr>
          <w:rFonts w:hint="eastAsia"/>
          <w:sz w:val="24"/>
        </w:rPr>
        <w:t>中标人在1年的运维保障服务中，网络365×24小时不间断接入，提供365×24小时网络服务保障。</w:t>
      </w:r>
    </w:p>
    <w:p>
      <w:pPr>
        <w:tabs>
          <w:tab w:val="left" w:pos="426"/>
        </w:tabs>
        <w:spacing w:line="360" w:lineRule="auto"/>
        <w:ind w:firstLine="566" w:firstLineChars="236"/>
        <w:rPr>
          <w:sz w:val="24"/>
        </w:rPr>
      </w:pPr>
      <w:r>
        <w:rPr>
          <w:rFonts w:hint="eastAsia"/>
          <w:sz w:val="24"/>
        </w:rPr>
        <w:t>2.</w:t>
      </w:r>
      <w:r>
        <w:rPr>
          <w:sz w:val="24"/>
        </w:rPr>
        <w:t xml:space="preserve">  </w:t>
      </w:r>
      <w:r>
        <w:rPr>
          <w:rFonts w:hint="eastAsia"/>
          <w:sz w:val="24"/>
        </w:rPr>
        <w:t>故障响应时间：若出现网络链路持续2分钟的中断后，5分钟内通知采购人，60分钟内给出故障判断，如需现场服务，4个小时内到达故障现场。</w:t>
      </w:r>
    </w:p>
    <w:p>
      <w:pPr>
        <w:tabs>
          <w:tab w:val="left" w:pos="426"/>
        </w:tabs>
        <w:spacing w:line="360" w:lineRule="auto"/>
        <w:ind w:firstLine="566" w:firstLineChars="236"/>
        <w:rPr>
          <w:sz w:val="24"/>
        </w:rPr>
      </w:pPr>
      <w:r>
        <w:rPr>
          <w:rFonts w:hint="eastAsia"/>
          <w:sz w:val="24"/>
        </w:rPr>
        <w:t>3.</w:t>
      </w:r>
      <w:r>
        <w:rPr>
          <w:sz w:val="24"/>
        </w:rPr>
        <w:t xml:space="preserve">  </w:t>
      </w:r>
      <w:r>
        <w:rPr>
          <w:rFonts w:hint="eastAsia"/>
          <w:sz w:val="24"/>
        </w:rPr>
        <w:t xml:space="preserve">服务期内，系统运行过程中如果出现技术故障，投标人应保证在最快的时间内解决问题，恢复正常运行。 </w:t>
      </w:r>
    </w:p>
    <w:p>
      <w:pPr>
        <w:adjustRightInd w:val="0"/>
        <w:spacing w:line="360" w:lineRule="atLeast"/>
        <w:ind w:left="420"/>
        <w:jc w:val="left"/>
        <w:textAlignment w:val="baseline"/>
        <w:rPr>
          <w:sz w:val="24"/>
        </w:rPr>
      </w:pPr>
    </w:p>
    <w:p>
      <w:pPr>
        <w:numPr>
          <w:ilvl w:val="0"/>
          <w:numId w:val="7"/>
        </w:numPr>
        <w:adjustRightInd w:val="0"/>
        <w:spacing w:line="360" w:lineRule="atLeast"/>
        <w:ind w:firstLine="482"/>
        <w:jc w:val="left"/>
        <w:textAlignment w:val="baseline"/>
        <w:rPr>
          <w:b/>
          <w:sz w:val="24"/>
        </w:rPr>
      </w:pPr>
      <w:r>
        <w:rPr>
          <w:rFonts w:hint="eastAsia"/>
          <w:b/>
          <w:sz w:val="24"/>
        </w:rPr>
        <w:t>交货时间及地点</w:t>
      </w:r>
    </w:p>
    <w:p>
      <w:pPr>
        <w:tabs>
          <w:tab w:val="left" w:pos="426"/>
        </w:tabs>
        <w:spacing w:line="360" w:lineRule="auto"/>
        <w:ind w:firstLine="566" w:firstLineChars="236"/>
        <w:rPr>
          <w:sz w:val="24"/>
        </w:rPr>
      </w:pPr>
      <w:r>
        <w:rPr>
          <w:rFonts w:hint="eastAsia"/>
          <w:sz w:val="24"/>
        </w:rPr>
        <w:t>本次服务期限为一年，依照合同约定日期确定开始及结束日期。</w:t>
      </w:r>
    </w:p>
    <w:p>
      <w:pPr>
        <w:tabs>
          <w:tab w:val="left" w:pos="426"/>
        </w:tabs>
        <w:spacing w:line="360" w:lineRule="auto"/>
        <w:ind w:firstLine="566" w:firstLineChars="236"/>
        <w:rPr>
          <w:b/>
          <w:sz w:val="24"/>
        </w:rPr>
      </w:pPr>
      <w:r>
        <w:rPr>
          <w:rFonts w:hint="eastAsia"/>
          <w:sz w:val="24"/>
        </w:rPr>
        <w:t>网络割接地点为大兴区教委信息中心核心机房（北京市大兴区第一中学东门三楼）。</w:t>
      </w:r>
    </w:p>
    <w:p>
      <w:pPr>
        <w:numPr>
          <w:ilvl w:val="0"/>
          <w:numId w:val="7"/>
        </w:numPr>
        <w:adjustRightInd w:val="0"/>
        <w:spacing w:line="360" w:lineRule="atLeast"/>
        <w:ind w:firstLine="482"/>
        <w:jc w:val="left"/>
        <w:textAlignment w:val="baseline"/>
        <w:rPr>
          <w:b/>
          <w:sz w:val="24"/>
        </w:rPr>
      </w:pPr>
      <w:r>
        <w:rPr>
          <w:rFonts w:hint="eastAsia"/>
          <w:b/>
          <w:sz w:val="24"/>
        </w:rPr>
        <w:t>验收服务要求</w:t>
      </w:r>
    </w:p>
    <w:p>
      <w:pPr>
        <w:spacing w:line="360" w:lineRule="auto"/>
        <w:ind w:firstLine="426" w:firstLineChars="177"/>
        <w:rPr>
          <w:sz w:val="24"/>
        </w:rPr>
      </w:pPr>
      <w:r>
        <w:rPr>
          <w:rFonts w:hint="eastAsia"/>
          <w:b/>
          <w:sz w:val="24"/>
        </w:rPr>
        <w:t xml:space="preserve"> </w:t>
      </w:r>
      <w:r>
        <w:rPr>
          <w:b/>
          <w:sz w:val="24"/>
        </w:rPr>
        <w:t xml:space="preserve"> </w:t>
      </w:r>
      <w:r>
        <w:rPr>
          <w:rFonts w:hint="eastAsia"/>
          <w:sz w:val="24"/>
        </w:rPr>
        <w:t>互联网出口线路验收</w:t>
      </w:r>
    </w:p>
    <w:p>
      <w:pPr>
        <w:spacing w:line="360" w:lineRule="auto"/>
        <w:ind w:firstLine="664" w:firstLineChars="277"/>
        <w:rPr>
          <w:sz w:val="24"/>
        </w:rPr>
      </w:pPr>
      <w:r>
        <w:rPr>
          <w:rFonts w:hint="eastAsia"/>
          <w:sz w:val="24"/>
        </w:rPr>
        <w:t>现场验收：施工布线应满足机房上走线标准及线缆标记标准。</w:t>
      </w:r>
    </w:p>
    <w:p>
      <w:pPr>
        <w:spacing w:line="360" w:lineRule="auto"/>
        <w:ind w:firstLine="664" w:firstLineChars="277"/>
        <w:rPr>
          <w:sz w:val="24"/>
        </w:rPr>
      </w:pPr>
      <w:r>
        <w:rPr>
          <w:rFonts w:hint="eastAsia"/>
          <w:sz w:val="24"/>
        </w:rPr>
        <w:t>技术验收：互联网线路上行及下行带宽应满足承诺函中投标保证值中带宽，其中可用率大于99.95%、丢包率≤0.5%、时延≤20ms，短信正常使用。</w:t>
      </w:r>
    </w:p>
    <w:p>
      <w:pPr>
        <w:adjustRightInd w:val="0"/>
        <w:spacing w:line="360" w:lineRule="atLeast"/>
        <w:ind w:left="420" w:firstLine="482"/>
        <w:jc w:val="left"/>
        <w:textAlignment w:val="baseline"/>
        <w:rPr>
          <w:b/>
          <w:sz w:val="24"/>
        </w:rPr>
      </w:pPr>
    </w:p>
    <w:p>
      <w:pPr>
        <w:numPr>
          <w:ilvl w:val="0"/>
          <w:numId w:val="7"/>
        </w:numPr>
        <w:adjustRightInd w:val="0"/>
        <w:spacing w:line="360" w:lineRule="atLeast"/>
        <w:ind w:firstLine="482"/>
        <w:jc w:val="left"/>
        <w:textAlignment w:val="baseline"/>
        <w:rPr>
          <w:b/>
          <w:sz w:val="24"/>
        </w:rPr>
      </w:pPr>
      <w:r>
        <w:rPr>
          <w:rFonts w:hint="eastAsia"/>
          <w:b/>
          <w:sz w:val="24"/>
        </w:rPr>
        <w:t>付款方式</w:t>
      </w:r>
    </w:p>
    <w:p>
      <w:pPr>
        <w:spacing w:line="500" w:lineRule="exact"/>
        <w:ind w:firstLine="480" w:firstLineChars="200"/>
        <w:rPr>
          <w:sz w:val="24"/>
        </w:rPr>
      </w:pPr>
      <w:r>
        <w:rPr>
          <w:rFonts w:hint="eastAsia"/>
          <w:sz w:val="24"/>
        </w:rPr>
        <w:t>1.</w:t>
      </w:r>
      <w:r>
        <w:rPr>
          <w:sz w:val="24"/>
        </w:rPr>
        <w:t xml:space="preserve">  </w:t>
      </w:r>
      <w:r>
        <w:rPr>
          <w:rFonts w:hint="eastAsia"/>
          <w:sz w:val="24"/>
        </w:rPr>
        <w:t>在合同签订后，乙方开具等金额发票后的60个工作日内，按照合同规定的金额及支付方式缴纳互联网使用费；</w:t>
      </w:r>
    </w:p>
    <w:p>
      <w:pPr>
        <w:spacing w:line="360" w:lineRule="auto"/>
        <w:ind w:firstLine="480" w:firstLineChars="200"/>
        <w:rPr>
          <w:sz w:val="24"/>
        </w:rPr>
      </w:pPr>
      <w:r>
        <w:rPr>
          <w:rFonts w:hint="eastAsia"/>
          <w:sz w:val="24"/>
        </w:rPr>
        <w:t>2.</w:t>
      </w:r>
      <w:r>
        <w:rPr>
          <w:sz w:val="24"/>
        </w:rPr>
        <w:t xml:space="preserve">  </w:t>
      </w:r>
      <w:r>
        <w:rPr>
          <w:rFonts w:hint="eastAsia"/>
          <w:sz w:val="24"/>
        </w:rPr>
        <w:t>乙方应于合同签订后向甲方缴纳合同总额 10％的履约保证金，质保期一年后甲方将保证金无息返还乙方。</w:t>
      </w:r>
    </w:p>
    <w:p>
      <w:pPr>
        <w:tabs>
          <w:tab w:val="left" w:pos="426"/>
        </w:tabs>
        <w:spacing w:line="360" w:lineRule="auto"/>
        <w:ind w:firstLine="480" w:firstLineChars="200"/>
        <w:rPr>
          <w:b/>
          <w:sz w:val="24"/>
        </w:rPr>
      </w:pPr>
      <w:r>
        <w:rPr>
          <w:rFonts w:hint="eastAsia"/>
          <w:sz w:val="24"/>
        </w:rPr>
        <w:t>3.</w:t>
      </w:r>
      <w:r>
        <w:rPr>
          <w:sz w:val="24"/>
        </w:rPr>
        <w:t xml:space="preserve">  </w:t>
      </w:r>
      <w:r>
        <w:rPr>
          <w:rFonts w:hint="eastAsia"/>
          <w:sz w:val="24"/>
        </w:rPr>
        <w:t>甲方付款前，乙方应向甲方提交相应金额的合规发票，否则，甲方有权拒绝付款且无需承担违约责任。</w:t>
      </w:r>
    </w:p>
    <w:p>
      <w:pPr>
        <w:numPr>
          <w:ilvl w:val="0"/>
          <w:numId w:val="7"/>
        </w:numPr>
        <w:adjustRightInd w:val="0"/>
        <w:spacing w:line="360" w:lineRule="atLeast"/>
        <w:ind w:firstLine="482"/>
        <w:jc w:val="left"/>
        <w:textAlignment w:val="baseline"/>
        <w:rPr>
          <w:b/>
          <w:sz w:val="24"/>
        </w:rPr>
      </w:pPr>
      <w:r>
        <w:rPr>
          <w:rFonts w:hint="eastAsia"/>
          <w:b/>
          <w:sz w:val="24"/>
        </w:rPr>
        <w:t>其他相关要求</w:t>
      </w:r>
    </w:p>
    <w:p>
      <w:pPr>
        <w:spacing w:line="360" w:lineRule="auto"/>
        <w:ind w:firstLine="482" w:firstLineChars="200"/>
        <w:rPr>
          <w:rFonts w:ascii="仿宋" w:hAnsi="仿宋" w:eastAsia="仿宋"/>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1.本项目专门面向中小/小微企业。即提供的货物全部由符合政策要求的中小/小微企业制造、服务全部由符合政策要求的中小/小微企业承接。</w:t>
      </w:r>
    </w:p>
    <w:p>
      <w:pPr>
        <w:adjustRightInd w:val="0"/>
        <w:spacing w:line="360" w:lineRule="atLeast"/>
        <w:ind w:left="420" w:firstLine="482"/>
        <w:jc w:val="left"/>
        <w:textAlignment w:val="baseline"/>
        <w:rPr>
          <w:b/>
          <w:sz w:val="24"/>
        </w:rPr>
      </w:pPr>
    </w:p>
    <w:p>
      <w:pPr>
        <w:numPr>
          <w:ilvl w:val="0"/>
          <w:numId w:val="7"/>
        </w:numPr>
        <w:adjustRightInd w:val="0"/>
        <w:spacing w:line="360" w:lineRule="atLeast"/>
        <w:ind w:firstLine="482"/>
        <w:jc w:val="left"/>
        <w:textAlignment w:val="baseline"/>
        <w:rPr>
          <w:b/>
          <w:sz w:val="24"/>
        </w:rPr>
      </w:pPr>
      <w:r>
        <w:rPr>
          <w:rFonts w:hint="eastAsia"/>
          <w:b/>
          <w:sz w:val="24"/>
        </w:rPr>
        <w:t>特殊资质条款</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ab/>
      </w:r>
      <w:r>
        <w:rPr>
          <w:rFonts w:hint="eastAsia"/>
          <w:color w:val="000000" w:themeColor="text1"/>
          <w:sz w:val="24"/>
          <w14:textFill>
            <w14:solidFill>
              <w14:schemeClr w14:val="tx1"/>
            </w14:solidFill>
          </w14:textFill>
        </w:rPr>
        <w:t>中华人民共和国增值电信业务经营许可证。</w:t>
      </w:r>
    </w:p>
    <w:p>
      <w:pPr>
        <w:rPr>
          <w:rFonts w:hint="eastAsia" w:ascii="仿宋_GB2312" w:eastAsia="仿宋_GB2312"/>
          <w:b/>
          <w:color w:val="auto"/>
          <w:sz w:val="28"/>
          <w:szCs w:val="28"/>
        </w:rPr>
      </w:pP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第五章  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8</w:t>
            </w:r>
          </w:p>
        </w:tc>
        <w:tc>
          <w:tcPr>
            <w:tcW w:w="7796" w:type="dxa"/>
            <w:vAlign w:val="center"/>
          </w:tcPr>
          <w:p>
            <w:pP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lang w:val="en-US" w:eastAsia="zh-CN"/>
              </w:rPr>
              <w:t>9</w:t>
            </w:r>
          </w:p>
        </w:tc>
        <w:tc>
          <w:tcPr>
            <w:tcW w:w="7796" w:type="dxa"/>
            <w:vAlign w:val="center"/>
          </w:tcPr>
          <w:p>
            <w:pP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中华人民共和国增值电信业务经营许可证</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rPr>
              <w:t>加盖单位公章的复印件</w:t>
            </w:r>
            <w:r>
              <w:rPr>
                <w:rFonts w:hint="eastAsia" w:ascii="仿宋_GB2312" w:eastAsia="仿宋_GB2312"/>
                <w:color w:val="auto"/>
                <w:sz w:val="24"/>
                <w:szCs w:val="24"/>
                <w:highlight w:val="none"/>
                <w:lang w:eastAsia="zh-CN"/>
              </w:rPr>
              <w:t>）</w:t>
            </w:r>
          </w:p>
        </w:tc>
      </w:tr>
    </w:tbl>
    <w:p>
      <w:pPr>
        <w:pStyle w:val="35"/>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35"/>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10"/>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rPr>
          <w:rFonts w:ascii="仿宋" w:hAnsi="仿宋" w:eastAsia="仿宋" w:cs="WBJDSQ+»ªÎÄÏ¸ºÚ"/>
          <w:b/>
          <w:szCs w:val="21"/>
        </w:rPr>
      </w:pPr>
      <w:r>
        <w:rPr>
          <w:rFonts w:hint="eastAsia" w:ascii="仿宋_GB2312" w:hAnsi="仿宋_GB2312" w:eastAsia="仿宋_GB2312" w:cs="仿宋_GB2312"/>
          <w:b/>
          <w:color w:val="auto"/>
          <w:sz w:val="28"/>
          <w:szCs w:val="28"/>
          <w:shd w:val="clear" w:color="auto" w:fill="auto"/>
        </w:rPr>
        <w:t>评</w:t>
      </w:r>
      <w:r>
        <w:rPr>
          <w:rFonts w:hint="eastAsia" w:ascii="仿宋_GB2312" w:hAnsi="仿宋_GB2312" w:eastAsia="仿宋_GB2312" w:cs="仿宋_GB2312"/>
          <w:b/>
          <w:color w:val="auto"/>
          <w:sz w:val="28"/>
          <w:szCs w:val="28"/>
          <w:shd w:val="clear" w:color="auto" w:fill="auto"/>
          <w:lang w:eastAsia="zh-CN"/>
        </w:rPr>
        <w:t>分标准细则</w:t>
      </w:r>
    </w:p>
    <w:p>
      <w:pPr>
        <w:framePr w:wrap="around" w:vAnchor="margin" w:hAnchor="text" w:y="1"/>
        <w:spacing w:line="560" w:lineRule="exact"/>
        <w:rPr>
          <w:rFonts w:ascii="仿宋" w:hAnsi="仿宋" w:eastAsia="仿宋" w:cs="Times New Roman"/>
          <w:b/>
          <w:szCs w:val="21"/>
        </w:rPr>
      </w:pPr>
    </w:p>
    <w:p>
      <w:pPr>
        <w:spacing w:line="360" w:lineRule="auto"/>
        <w:jc w:val="both"/>
        <w:rPr>
          <w:rFonts w:ascii="仿宋" w:hAnsi="仿宋" w:eastAsia="仿宋"/>
          <w:b/>
          <w:bCs/>
          <w:sz w:val="32"/>
          <w:szCs w:val="32"/>
        </w:rPr>
      </w:pPr>
    </w:p>
    <w:tbl>
      <w:tblPr>
        <w:tblStyle w:val="2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jc w:val="both"/>
              <w:rPr>
                <w:rFonts w:ascii="仿宋" w:hAnsi="仿宋" w:eastAsia="仿宋" w:cs="仿宋"/>
                <w:b/>
                <w:sz w:val="24"/>
              </w:rPr>
            </w:pPr>
            <w:r>
              <w:rPr>
                <w:rFonts w:hint="eastAsia" w:ascii="仿宋" w:hAnsi="仿宋" w:eastAsia="仿宋" w:cs="仿宋"/>
                <w:b/>
                <w:sz w:val="24"/>
              </w:rPr>
              <w:t>序号</w:t>
            </w:r>
          </w:p>
        </w:tc>
        <w:tc>
          <w:tcPr>
            <w:tcW w:w="1462" w:type="dxa"/>
            <w:vAlign w:val="center"/>
          </w:tcPr>
          <w:p>
            <w:pPr>
              <w:jc w:val="both"/>
              <w:rPr>
                <w:rFonts w:ascii="仿宋" w:hAnsi="仿宋" w:eastAsia="仿宋" w:cs="仿宋"/>
                <w:b/>
                <w:sz w:val="24"/>
              </w:rPr>
            </w:pPr>
            <w:r>
              <w:rPr>
                <w:rFonts w:hint="eastAsia" w:ascii="仿宋" w:hAnsi="仿宋" w:eastAsia="仿宋" w:cs="仿宋"/>
                <w:b/>
                <w:sz w:val="24"/>
              </w:rPr>
              <w:t>评分因素</w:t>
            </w:r>
          </w:p>
        </w:tc>
        <w:tc>
          <w:tcPr>
            <w:tcW w:w="913" w:type="dxa"/>
            <w:vAlign w:val="center"/>
          </w:tcPr>
          <w:p>
            <w:pPr>
              <w:jc w:val="both"/>
              <w:rPr>
                <w:rFonts w:ascii="仿宋" w:hAnsi="仿宋" w:eastAsia="仿宋" w:cs="仿宋"/>
                <w:b/>
                <w:sz w:val="24"/>
              </w:rPr>
            </w:pPr>
            <w:r>
              <w:rPr>
                <w:rFonts w:hint="eastAsia" w:ascii="仿宋" w:hAnsi="仿宋" w:eastAsia="仿宋" w:cs="仿宋"/>
                <w:b/>
                <w:sz w:val="24"/>
              </w:rPr>
              <w:t>分值</w:t>
            </w:r>
          </w:p>
        </w:tc>
        <w:tc>
          <w:tcPr>
            <w:tcW w:w="5829" w:type="dxa"/>
            <w:vAlign w:val="center"/>
          </w:tcPr>
          <w:p>
            <w:pPr>
              <w:ind w:firstLine="482"/>
              <w:jc w:val="center"/>
              <w:rPr>
                <w:rFonts w:ascii="仿宋" w:hAnsi="仿宋" w:eastAsia="仿宋" w:cs="仿宋"/>
                <w:b/>
                <w:sz w:val="24"/>
              </w:rPr>
            </w:pPr>
            <w:r>
              <w:rPr>
                <w:rFonts w:hint="eastAsia" w:ascii="仿宋" w:hAnsi="仿宋" w:eastAsia="仿宋" w:cs="仿宋"/>
                <w:b/>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039" w:type="dxa"/>
            <w:gridSpan w:val="4"/>
            <w:vAlign w:val="center"/>
          </w:tcPr>
          <w:p>
            <w:pPr>
              <w:ind w:firstLine="482"/>
              <w:jc w:val="center"/>
              <w:rPr>
                <w:rFonts w:ascii="仿宋" w:hAnsi="仿宋" w:eastAsia="仿宋" w:cs="仿宋"/>
                <w:b/>
                <w:sz w:val="24"/>
              </w:rPr>
            </w:pPr>
            <w:r>
              <w:rPr>
                <w:rFonts w:hint="eastAsia" w:ascii="仿宋" w:hAnsi="仿宋" w:eastAsia="仿宋" w:cs="仿宋"/>
                <w:b/>
                <w:sz w:val="24"/>
              </w:rPr>
              <w:t>价格得分（客观分）（10分）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1</w:t>
            </w:r>
          </w:p>
        </w:tc>
        <w:tc>
          <w:tcPr>
            <w:tcW w:w="1462" w:type="dxa"/>
            <w:vAlign w:val="center"/>
          </w:tcPr>
          <w:p>
            <w:pPr>
              <w:jc w:val="both"/>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投标报价</w:t>
            </w:r>
          </w:p>
        </w:tc>
        <w:tc>
          <w:tcPr>
            <w:tcW w:w="913" w:type="dxa"/>
            <w:vAlign w:val="center"/>
          </w:tcPr>
          <w:p>
            <w:pPr>
              <w:ind w:firstLine="480"/>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10</w:t>
            </w:r>
          </w:p>
        </w:tc>
        <w:tc>
          <w:tcPr>
            <w:tcW w:w="5829" w:type="dxa"/>
            <w:vAlign w:val="center"/>
          </w:tcPr>
          <w:p>
            <w:pPr>
              <w:jc w:val="left"/>
              <w:rPr>
                <w:rFonts w:eastAsia="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报价得分＝10×（评标基准价/投标报价）。评标基准价：满足招标文件要求且投标价格最低的投标报价。注:对小型和微型企业产品的价格给予10%的扣除,用扣除后的价格参与评审。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039" w:type="dxa"/>
            <w:gridSpan w:val="4"/>
            <w:vAlign w:val="center"/>
          </w:tcPr>
          <w:p>
            <w:pPr>
              <w:pStyle w:val="20"/>
              <w:tabs>
                <w:tab w:val="left" w:pos="567"/>
              </w:tabs>
              <w:ind w:firstLine="241"/>
              <w:jc w:val="center"/>
              <w:rPr>
                <w:rFonts w:ascii="仿宋" w:hAnsi="仿宋" w:eastAsia="仿宋" w:cs="仿宋"/>
                <w:sz w:val="24"/>
              </w:rPr>
            </w:pPr>
            <w:r>
              <w:rPr>
                <w:rFonts w:hint="eastAsia" w:ascii="仿宋" w:hAnsi="仿宋" w:eastAsia="仿宋" w:cs="仿宋"/>
                <w:b/>
                <w:color w:val="000000" w:themeColor="text1"/>
                <w:sz w:val="24"/>
                <w14:textFill>
                  <w14:solidFill>
                    <w14:schemeClr w14:val="tx1"/>
                  </w14:solidFill>
                </w14:textFill>
              </w:rPr>
              <w:t>技术得分（主观分）（70分）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1</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教育互联网接入服务方案</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5</w:t>
            </w:r>
          </w:p>
        </w:tc>
        <w:tc>
          <w:tcPr>
            <w:tcW w:w="5829" w:type="dxa"/>
            <w:vAlign w:val="center"/>
          </w:tcPr>
          <w:p>
            <w:pPr>
              <w:widowControl/>
              <w:ind w:firstLine="480"/>
              <w:rPr>
                <w:rFonts w:ascii="仿宋" w:hAnsi="仿宋" w:eastAsia="仿宋" w:cs="仿宋"/>
                <w:szCs w:val="21"/>
              </w:rPr>
            </w:pPr>
            <w:r>
              <w:rPr>
                <w:rFonts w:hint="eastAsia" w:ascii="仿宋" w:hAnsi="仿宋" w:eastAsia="仿宋" w:cs="仿宋"/>
                <w:szCs w:val="21"/>
              </w:rPr>
              <w:t>评委根据</w:t>
            </w:r>
            <w:r>
              <w:rPr>
                <w:rFonts w:hint="eastAsia" w:ascii="仿宋" w:hAnsi="仿宋" w:eastAsia="仿宋" w:cs="仿宋"/>
              </w:rPr>
              <w:t>投标</w:t>
            </w:r>
            <w:r>
              <w:rPr>
                <w:rFonts w:hint="eastAsia" w:ascii="仿宋" w:hAnsi="仿宋" w:eastAsia="仿宋" w:cs="仿宋"/>
                <w:szCs w:val="21"/>
              </w:rPr>
              <w:t>人提供的对本项目服务整体设想策划和对项目需求理解综合评判。</w:t>
            </w:r>
          </w:p>
          <w:p>
            <w:pPr>
              <w:widowControl/>
              <w:ind w:firstLine="480"/>
              <w:rPr>
                <w:rFonts w:ascii="仿宋" w:hAnsi="仿宋" w:eastAsia="仿宋" w:cs="仿宋"/>
                <w:szCs w:val="21"/>
              </w:rPr>
            </w:pPr>
            <w:r>
              <w:rPr>
                <w:rFonts w:hint="eastAsia" w:ascii="仿宋" w:hAnsi="仿宋" w:eastAsia="仿宋" w:cs="仿宋"/>
                <w:szCs w:val="21"/>
              </w:rPr>
              <w:t>设想全面、合理、针对性强、理解深刻，得5分；</w:t>
            </w:r>
          </w:p>
          <w:p>
            <w:pPr>
              <w:widowControl/>
              <w:ind w:firstLine="480"/>
              <w:rPr>
                <w:rFonts w:ascii="仿宋" w:hAnsi="仿宋" w:eastAsia="仿宋" w:cs="仿宋"/>
                <w:szCs w:val="21"/>
              </w:rPr>
            </w:pPr>
            <w:r>
              <w:rPr>
                <w:rFonts w:hint="eastAsia" w:ascii="仿宋" w:hAnsi="仿宋" w:eastAsia="仿宋" w:cs="仿宋"/>
                <w:szCs w:val="21"/>
              </w:rPr>
              <w:t>设想较好、较全面合理、针对性较强、理解较深刻，得4分；</w:t>
            </w:r>
          </w:p>
          <w:p>
            <w:pPr>
              <w:widowControl/>
              <w:ind w:firstLine="480"/>
              <w:rPr>
                <w:rFonts w:ascii="仿宋" w:hAnsi="仿宋" w:eastAsia="仿宋" w:cs="仿宋"/>
                <w:szCs w:val="21"/>
              </w:rPr>
            </w:pPr>
            <w:r>
              <w:rPr>
                <w:rFonts w:hint="eastAsia" w:ascii="仿宋" w:hAnsi="仿宋" w:eastAsia="仿宋" w:cs="仿宋"/>
                <w:szCs w:val="21"/>
              </w:rPr>
              <w:t>设想满足项目需求、较合理、有一定针对性、理解较全面，得3分；</w:t>
            </w:r>
          </w:p>
          <w:p>
            <w:pPr>
              <w:widowControl/>
              <w:ind w:firstLine="480"/>
              <w:rPr>
                <w:rFonts w:ascii="仿宋" w:hAnsi="仿宋" w:eastAsia="仿宋" w:cs="仿宋"/>
                <w:szCs w:val="21"/>
              </w:rPr>
            </w:pPr>
            <w:r>
              <w:rPr>
                <w:rFonts w:hint="eastAsia" w:ascii="仿宋" w:hAnsi="仿宋" w:eastAsia="仿宋" w:cs="仿宋"/>
                <w:szCs w:val="21"/>
              </w:rPr>
              <w:t>设想基本符合项目需求、合理性一般、针对性一般、理解一般，得2分；</w:t>
            </w:r>
          </w:p>
          <w:p>
            <w:pPr>
              <w:widowControl/>
              <w:ind w:firstLine="480"/>
              <w:rPr>
                <w:rFonts w:ascii="仿宋" w:hAnsi="仿宋" w:eastAsia="仿宋" w:cs="仿宋"/>
                <w:sz w:val="24"/>
              </w:rPr>
            </w:pPr>
            <w:r>
              <w:rPr>
                <w:rFonts w:hint="eastAsia" w:ascii="仿宋" w:hAnsi="仿宋" w:eastAsia="仿宋" w:cs="仿宋"/>
                <w:szCs w:val="21"/>
              </w:rPr>
              <w:t>设想较差或不合理或有明显缺陷，割接时间超过30天，理解较差得0分。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2</w:t>
            </w:r>
          </w:p>
        </w:tc>
        <w:tc>
          <w:tcPr>
            <w:tcW w:w="1462" w:type="dxa"/>
            <w:vAlign w:val="center"/>
          </w:tcPr>
          <w:p>
            <w:pPr>
              <w:ind w:firstLine="480"/>
              <w:jc w:val="center"/>
              <w:rPr>
                <w:rFonts w:ascii="仿宋" w:hAnsi="仿宋" w:eastAsia="仿宋" w:cs="仿宋"/>
                <w:szCs w:val="21"/>
              </w:rPr>
            </w:pPr>
            <w:r>
              <w:rPr>
                <w:rFonts w:hint="eastAsia" w:ascii="仿宋" w:hAnsi="仿宋" w:eastAsia="仿宋" w:cs="仿宋"/>
                <w:szCs w:val="21"/>
              </w:rPr>
              <w:t>IP地址</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10</w:t>
            </w:r>
          </w:p>
        </w:tc>
        <w:tc>
          <w:tcPr>
            <w:tcW w:w="5829" w:type="dxa"/>
            <w:vAlign w:val="center"/>
          </w:tcPr>
          <w:p>
            <w:pPr>
              <w:widowControl/>
              <w:ind w:firstLine="480"/>
              <w:rPr>
                <w:rFonts w:ascii="仿宋" w:hAnsi="仿宋" w:eastAsia="仿宋" w:cs="仿宋"/>
                <w:szCs w:val="21"/>
              </w:rPr>
            </w:pPr>
            <w:r>
              <w:rPr>
                <w:rFonts w:hint="eastAsia" w:ascii="仿宋" w:hAnsi="仿宋" w:eastAsia="仿宋" w:cs="仿宋"/>
                <w:szCs w:val="21"/>
              </w:rPr>
              <w:t>所提供的IP地址须为项目所在地的公网地址，并在今后有需求时，可作适当扩充；所提供的静态公网IP地址，不得在项目以外的网络进行地址转换，如在采购方不知情的情况下，出现上述情况，采购人有权向中标人追加经济赔偿并保留法律诉讼的权利，出具承诺函并加盖投标人公章。</w:t>
            </w:r>
          </w:p>
          <w:p>
            <w:pPr>
              <w:widowControl/>
              <w:ind w:firstLine="480"/>
              <w:rPr>
                <w:rFonts w:ascii="仿宋" w:hAnsi="仿宋" w:eastAsia="仿宋" w:cs="仿宋"/>
                <w:szCs w:val="21"/>
              </w:rPr>
            </w:pPr>
            <w:r>
              <w:rPr>
                <w:rFonts w:hint="eastAsia" w:ascii="仿宋" w:hAnsi="仿宋" w:eastAsia="仿宋" w:cs="仿宋"/>
                <w:szCs w:val="21"/>
              </w:rPr>
              <w:t>提供不少于64个C类IPV4地址，满足得10分；</w:t>
            </w:r>
          </w:p>
          <w:p>
            <w:pPr>
              <w:widowControl/>
              <w:ind w:firstLine="480"/>
              <w:rPr>
                <w:rFonts w:ascii="仿宋" w:hAnsi="仿宋" w:eastAsia="仿宋" w:cs="仿宋"/>
                <w:szCs w:val="21"/>
              </w:rPr>
            </w:pPr>
            <w:r>
              <w:rPr>
                <w:rFonts w:hint="eastAsia" w:ascii="仿宋" w:hAnsi="仿宋" w:eastAsia="仿宋" w:cs="仿宋"/>
                <w:szCs w:val="21"/>
              </w:rPr>
              <w:t>提供不少于32个C类IPV4地址，满足得8分；</w:t>
            </w:r>
          </w:p>
          <w:p>
            <w:pPr>
              <w:widowControl/>
              <w:ind w:firstLine="480"/>
              <w:rPr>
                <w:rFonts w:ascii="仿宋" w:hAnsi="仿宋" w:eastAsia="仿宋" w:cs="仿宋"/>
                <w:szCs w:val="21"/>
              </w:rPr>
            </w:pPr>
            <w:r>
              <w:rPr>
                <w:rFonts w:hint="eastAsia" w:ascii="仿宋" w:hAnsi="仿宋" w:eastAsia="仿宋" w:cs="仿宋"/>
                <w:szCs w:val="21"/>
              </w:rPr>
              <w:t>提供不少于16个C类IPV4地址，满足得6分；</w:t>
            </w:r>
          </w:p>
          <w:p>
            <w:pPr>
              <w:widowControl/>
              <w:ind w:firstLine="480"/>
              <w:rPr>
                <w:rFonts w:ascii="仿宋" w:hAnsi="仿宋" w:eastAsia="仿宋" w:cs="仿宋"/>
                <w:szCs w:val="21"/>
              </w:rPr>
            </w:pPr>
            <w:r>
              <w:rPr>
                <w:rFonts w:hint="eastAsia" w:ascii="仿宋" w:hAnsi="仿宋" w:eastAsia="仿宋" w:cs="仿宋"/>
                <w:szCs w:val="21"/>
              </w:rPr>
              <w:t>提供不少于8个C类IPV4地址，满足得4分；</w:t>
            </w:r>
          </w:p>
          <w:p>
            <w:pPr>
              <w:widowControl/>
              <w:ind w:firstLine="480"/>
            </w:pPr>
            <w:r>
              <w:rPr>
                <w:rFonts w:hint="eastAsia" w:ascii="仿宋" w:hAnsi="仿宋" w:eastAsia="仿宋" w:cs="仿宋"/>
                <w:szCs w:val="21"/>
              </w:rPr>
              <w:t>提供低于8个C类IPV4地址，不得分。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3</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带宽部分</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8</w:t>
            </w:r>
          </w:p>
        </w:tc>
        <w:tc>
          <w:tcPr>
            <w:tcW w:w="5829" w:type="dxa"/>
            <w:vAlign w:val="center"/>
          </w:tcPr>
          <w:p>
            <w:pPr>
              <w:widowControl/>
              <w:ind w:firstLine="480"/>
              <w:rPr>
                <w:rFonts w:ascii="仿宋" w:hAnsi="仿宋" w:eastAsia="仿宋" w:cs="仿宋"/>
                <w:szCs w:val="21"/>
              </w:rPr>
            </w:pPr>
            <w:r>
              <w:rPr>
                <w:rFonts w:hint="eastAsia" w:ascii="仿宋" w:hAnsi="仿宋" w:eastAsia="仿宋" w:cs="仿宋"/>
                <w:szCs w:val="21"/>
              </w:rPr>
              <w:t>投标人应能够提供不限时突发带宽，突发带宽每超过9G标的带宽1G加</w:t>
            </w:r>
            <w:r>
              <w:rPr>
                <w:rFonts w:hint="eastAsia" w:ascii="仿宋" w:hAnsi="仿宋" w:eastAsia="仿宋" w:cs="仿宋"/>
                <w:color w:val="FF0000"/>
                <w:szCs w:val="21"/>
                <w:lang w:val="en-US" w:eastAsia="zh-CN"/>
              </w:rPr>
              <w:t>2</w:t>
            </w:r>
            <w:r>
              <w:rPr>
                <w:rFonts w:hint="eastAsia" w:ascii="仿宋" w:hAnsi="仿宋" w:eastAsia="仿宋" w:cs="仿宋"/>
                <w:szCs w:val="21"/>
              </w:rPr>
              <w:t>分，共计8分；投标人出具承诺函并加盖投标人公章；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4</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考务专网备用链路服务方案</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15</w:t>
            </w:r>
          </w:p>
        </w:tc>
        <w:tc>
          <w:tcPr>
            <w:tcW w:w="5829" w:type="dxa"/>
            <w:vAlign w:val="center"/>
          </w:tcPr>
          <w:p>
            <w:pPr>
              <w:widowControl/>
              <w:ind w:firstLine="480"/>
              <w:rPr>
                <w:rFonts w:ascii="仿宋" w:hAnsi="仿宋" w:eastAsia="仿宋" w:cs="仿宋"/>
                <w:szCs w:val="21"/>
              </w:rPr>
            </w:pPr>
            <w:r>
              <w:rPr>
                <w:rFonts w:hint="eastAsia" w:ascii="仿宋" w:hAnsi="仿宋" w:eastAsia="仿宋" w:cs="仿宋"/>
                <w:szCs w:val="21"/>
              </w:rPr>
              <w:t>评委根据投标人提供的本项目考务专网备用链路服务方案、实施计划、技术、管理等综合评判。</w:t>
            </w:r>
          </w:p>
          <w:p>
            <w:pPr>
              <w:widowControl/>
              <w:ind w:firstLine="480"/>
              <w:rPr>
                <w:rFonts w:ascii="仿宋" w:hAnsi="仿宋" w:eastAsia="仿宋" w:cs="仿宋"/>
                <w:szCs w:val="21"/>
              </w:rPr>
            </w:pPr>
            <w:r>
              <w:rPr>
                <w:rFonts w:hint="eastAsia" w:ascii="仿宋" w:hAnsi="仿宋" w:eastAsia="仿宋" w:cs="仿宋"/>
                <w:szCs w:val="21"/>
              </w:rPr>
              <w:t>方案全面、科学、合理、针对性强、技术可行，保证与现有考务网络、应用的无缝对接，与市考试院互联互通良好、完全满足招标文件要求得15分；</w:t>
            </w:r>
          </w:p>
          <w:p>
            <w:pPr>
              <w:widowControl/>
              <w:ind w:firstLine="480"/>
              <w:rPr>
                <w:rFonts w:ascii="仿宋" w:hAnsi="仿宋" w:eastAsia="仿宋" w:cs="仿宋"/>
                <w:szCs w:val="21"/>
              </w:rPr>
            </w:pPr>
            <w:r>
              <w:rPr>
                <w:rFonts w:hint="eastAsia" w:ascii="仿宋" w:hAnsi="仿宋" w:eastAsia="仿宋" w:cs="仿宋"/>
                <w:szCs w:val="21"/>
              </w:rPr>
              <w:t>方案较好、较全面合理、针对性较强、技术较可行，较好的实现无缝对接和互联互通、满足招标文件要求得12分；</w:t>
            </w:r>
          </w:p>
          <w:p>
            <w:pPr>
              <w:widowControl/>
              <w:ind w:firstLine="480"/>
              <w:rPr>
                <w:rFonts w:ascii="仿宋" w:hAnsi="仿宋" w:eastAsia="仿宋" w:cs="仿宋"/>
                <w:szCs w:val="21"/>
              </w:rPr>
            </w:pPr>
            <w:r>
              <w:rPr>
                <w:rFonts w:hint="eastAsia" w:ascii="仿宋" w:hAnsi="仿宋" w:eastAsia="仿宋" w:cs="仿宋"/>
                <w:szCs w:val="21"/>
              </w:rPr>
              <w:t>方案满足项目需求、较合理、有一定针对性、技术较可行得9分；</w:t>
            </w:r>
          </w:p>
          <w:p>
            <w:pPr>
              <w:widowControl/>
              <w:ind w:firstLine="480"/>
              <w:rPr>
                <w:rFonts w:ascii="仿宋" w:hAnsi="仿宋" w:eastAsia="仿宋" w:cs="仿宋"/>
                <w:szCs w:val="21"/>
              </w:rPr>
            </w:pPr>
            <w:r>
              <w:rPr>
                <w:rFonts w:hint="eastAsia" w:ascii="仿宋" w:hAnsi="仿宋" w:eastAsia="仿宋" w:cs="仿宋"/>
                <w:szCs w:val="21"/>
              </w:rPr>
              <w:t>方案基本符合项目需求、合理性一般、针对性一般、技术可行性一般得6分；</w:t>
            </w:r>
          </w:p>
          <w:p>
            <w:pPr>
              <w:widowControl/>
              <w:ind w:firstLine="480"/>
              <w:rPr>
                <w:rFonts w:ascii="仿宋" w:hAnsi="仿宋" w:eastAsia="仿宋" w:cs="仿宋"/>
                <w:szCs w:val="21"/>
              </w:rPr>
            </w:pPr>
            <w:r>
              <w:rPr>
                <w:rFonts w:hint="eastAsia" w:ascii="仿宋" w:hAnsi="仿宋" w:eastAsia="仿宋" w:cs="仿宋"/>
                <w:szCs w:val="21"/>
              </w:rPr>
              <w:t>方案离满足项目需求有一定差距、合理性一般、针对性较差、技术可行性有差距、对于实现无缝对接和互联互通有缺陷的得3分；</w:t>
            </w:r>
          </w:p>
          <w:p>
            <w:pPr>
              <w:widowControl/>
              <w:ind w:firstLine="480"/>
              <w:rPr>
                <w:rFonts w:ascii="仿宋" w:hAnsi="仿宋" w:eastAsia="仿宋" w:cs="仿宋"/>
                <w:szCs w:val="21"/>
              </w:rPr>
            </w:pPr>
            <w:r>
              <w:rPr>
                <w:rFonts w:hint="eastAsia" w:ascii="仿宋" w:hAnsi="仿宋" w:eastAsia="仿宋" w:cs="仿宋"/>
                <w:szCs w:val="21"/>
              </w:rPr>
              <w:t>方案较差或不合理或有明显缺陷得0分。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5</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优化网络平台资源访问方案</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5</w:t>
            </w:r>
          </w:p>
        </w:tc>
        <w:tc>
          <w:tcPr>
            <w:tcW w:w="5829" w:type="dxa"/>
            <w:vAlign w:val="center"/>
          </w:tcPr>
          <w:p>
            <w:pPr>
              <w:widowControl/>
              <w:ind w:firstLine="480"/>
              <w:rPr>
                <w:rFonts w:ascii="仿宋" w:hAnsi="仿宋" w:eastAsia="仿宋" w:cs="仿宋"/>
                <w:szCs w:val="21"/>
              </w:rPr>
            </w:pPr>
            <w:r>
              <w:rPr>
                <w:rFonts w:hint="eastAsia" w:ascii="仿宋" w:hAnsi="仿宋" w:eastAsia="仿宋" w:cs="仿宋"/>
                <w:szCs w:val="21"/>
              </w:rPr>
              <w:t>评委根据</w:t>
            </w:r>
            <w:r>
              <w:rPr>
                <w:rFonts w:hint="eastAsia" w:ascii="仿宋" w:hAnsi="仿宋" w:eastAsia="仿宋" w:cs="仿宋"/>
              </w:rPr>
              <w:t>投标</w:t>
            </w:r>
            <w:r>
              <w:rPr>
                <w:rFonts w:hint="eastAsia" w:ascii="仿宋" w:hAnsi="仿宋" w:eastAsia="仿宋" w:cs="仿宋"/>
                <w:szCs w:val="21"/>
              </w:rPr>
              <w:t>人提供的本项目优化网络平台资源访问方案、实施计划、技术、管理等综合评判。</w:t>
            </w:r>
          </w:p>
          <w:p>
            <w:pPr>
              <w:widowControl/>
              <w:ind w:firstLine="480"/>
              <w:rPr>
                <w:rFonts w:ascii="仿宋" w:hAnsi="仿宋" w:eastAsia="仿宋" w:cs="仿宋"/>
                <w:szCs w:val="21"/>
              </w:rPr>
            </w:pPr>
            <w:r>
              <w:rPr>
                <w:rFonts w:hint="eastAsia" w:ascii="仿宋" w:hAnsi="仿宋" w:eastAsia="仿宋" w:cs="仿宋"/>
                <w:szCs w:val="21"/>
              </w:rPr>
              <w:t>方案全面、科学、合理、针对性强、技术可行，完全满足招标文件要求得5分；</w:t>
            </w:r>
          </w:p>
          <w:p>
            <w:pPr>
              <w:widowControl/>
              <w:ind w:firstLine="480"/>
              <w:rPr>
                <w:rFonts w:ascii="仿宋" w:hAnsi="仿宋" w:eastAsia="仿宋" w:cs="仿宋"/>
                <w:szCs w:val="21"/>
              </w:rPr>
            </w:pPr>
            <w:r>
              <w:rPr>
                <w:rFonts w:hint="eastAsia" w:ascii="仿宋" w:hAnsi="仿宋" w:eastAsia="仿宋" w:cs="仿宋"/>
                <w:szCs w:val="21"/>
              </w:rPr>
              <w:t>方案较好、较全面合理、针对性较强、技术较可行，满足招标文件要求得4分；</w:t>
            </w:r>
          </w:p>
          <w:p>
            <w:pPr>
              <w:widowControl/>
              <w:ind w:firstLine="480"/>
              <w:rPr>
                <w:rFonts w:ascii="仿宋" w:hAnsi="仿宋" w:eastAsia="仿宋" w:cs="仿宋"/>
                <w:szCs w:val="21"/>
              </w:rPr>
            </w:pPr>
            <w:r>
              <w:rPr>
                <w:rFonts w:hint="eastAsia" w:ascii="仿宋" w:hAnsi="仿宋" w:eastAsia="仿宋" w:cs="仿宋"/>
                <w:szCs w:val="21"/>
              </w:rPr>
              <w:t>方案满足项目需求、较合理、有一定针对性、技术较可行得3分；</w:t>
            </w:r>
          </w:p>
          <w:p>
            <w:pPr>
              <w:widowControl/>
              <w:ind w:firstLine="480"/>
              <w:rPr>
                <w:rFonts w:ascii="仿宋" w:hAnsi="仿宋" w:eastAsia="仿宋" w:cs="仿宋"/>
                <w:szCs w:val="21"/>
              </w:rPr>
            </w:pPr>
            <w:r>
              <w:rPr>
                <w:rFonts w:hint="eastAsia" w:ascii="仿宋" w:hAnsi="仿宋" w:eastAsia="仿宋" w:cs="仿宋"/>
                <w:szCs w:val="21"/>
              </w:rPr>
              <w:t>方案基本符合项目需求、合理性一般、针对性一般、技术可行性一般得2分；</w:t>
            </w:r>
          </w:p>
          <w:p>
            <w:pPr>
              <w:widowControl/>
              <w:ind w:firstLine="480"/>
              <w:rPr>
                <w:rFonts w:ascii="仿宋" w:hAnsi="仿宋" w:eastAsia="仿宋" w:cs="仿宋"/>
                <w:szCs w:val="21"/>
              </w:rPr>
            </w:pPr>
            <w:r>
              <w:rPr>
                <w:rFonts w:hint="eastAsia" w:ascii="仿宋" w:hAnsi="仿宋" w:eastAsia="仿宋" w:cs="仿宋"/>
                <w:szCs w:val="21"/>
              </w:rPr>
              <w:t>方案离满足项目需求有一定差距、合理性一般、针对性较差、技术可行性有差距得1分；</w:t>
            </w:r>
          </w:p>
          <w:p>
            <w:pPr>
              <w:widowControl/>
              <w:ind w:firstLine="480"/>
              <w:rPr>
                <w:rFonts w:ascii="仿宋" w:hAnsi="仿宋" w:eastAsia="仿宋" w:cs="仿宋"/>
                <w:szCs w:val="21"/>
              </w:rPr>
            </w:pPr>
            <w:r>
              <w:rPr>
                <w:rFonts w:hint="eastAsia" w:ascii="仿宋" w:hAnsi="仿宋" w:eastAsia="仿宋" w:cs="仿宋"/>
                <w:szCs w:val="21"/>
              </w:rPr>
              <w:t>方案较差或不合理或有明显缺陷得0分。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6</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服务团队人员配置</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5</w:t>
            </w:r>
          </w:p>
        </w:tc>
        <w:tc>
          <w:tcPr>
            <w:tcW w:w="5829" w:type="dxa"/>
            <w:vAlign w:val="center"/>
          </w:tcPr>
          <w:p>
            <w:pPr>
              <w:ind w:firstLine="480"/>
              <w:rPr>
                <w:rFonts w:ascii="仿宋" w:hAnsi="仿宋" w:eastAsia="仿宋" w:cs="仿宋"/>
                <w:szCs w:val="21"/>
              </w:rPr>
            </w:pPr>
            <w:r>
              <w:rPr>
                <w:rFonts w:hint="eastAsia" w:ascii="仿宋" w:hAnsi="仿宋" w:eastAsia="仿宋" w:cs="仿宋"/>
                <w:szCs w:val="21"/>
              </w:rPr>
              <w:t>评委根据投标人提供的服务团队（包含项目经理1名以及其他专业技术工程师团队）是否健全合理，人员配备是否齐全、岗责明确、持证上岗、经验丰富，是否符合本项目管理情况等综合判定。</w:t>
            </w:r>
          </w:p>
          <w:p>
            <w:pPr>
              <w:ind w:firstLine="480"/>
              <w:rPr>
                <w:rFonts w:ascii="仿宋" w:hAnsi="仿宋" w:eastAsia="仿宋" w:cs="仿宋"/>
                <w:szCs w:val="21"/>
              </w:rPr>
            </w:pPr>
            <w:r>
              <w:rPr>
                <w:rFonts w:hint="eastAsia" w:ascii="仿宋" w:hAnsi="仿宋" w:eastAsia="仿宋" w:cs="仿宋"/>
                <w:szCs w:val="21"/>
              </w:rPr>
              <w:t>人员配置健全科学合理、岗责明确、持证上岗、经验丰富得5分；</w:t>
            </w:r>
          </w:p>
          <w:p>
            <w:pPr>
              <w:ind w:firstLine="480"/>
              <w:rPr>
                <w:rFonts w:ascii="仿宋" w:hAnsi="仿宋" w:eastAsia="仿宋" w:cs="仿宋"/>
                <w:szCs w:val="21"/>
              </w:rPr>
            </w:pPr>
            <w:r>
              <w:rPr>
                <w:rFonts w:hint="eastAsia" w:ascii="仿宋" w:hAnsi="仿宋" w:eastAsia="仿宋" w:cs="仿宋"/>
                <w:szCs w:val="21"/>
              </w:rPr>
              <w:t>人员配置较健全、较合理、岗责较明确得3分；</w:t>
            </w:r>
          </w:p>
          <w:p>
            <w:pPr>
              <w:ind w:firstLine="480"/>
              <w:rPr>
                <w:rFonts w:ascii="仿宋" w:hAnsi="仿宋" w:eastAsia="仿宋" w:cs="仿宋"/>
                <w:szCs w:val="21"/>
              </w:rPr>
            </w:pPr>
            <w:r>
              <w:rPr>
                <w:rFonts w:hint="eastAsia" w:ascii="仿宋" w:hAnsi="仿宋" w:eastAsia="仿宋" w:cs="仿宋"/>
                <w:szCs w:val="21"/>
              </w:rPr>
              <w:t>人员配置满足项目需求、较合理、岗责符合项目需求得1分；</w:t>
            </w:r>
          </w:p>
          <w:p>
            <w:pPr>
              <w:ind w:firstLine="480"/>
              <w:rPr>
                <w:rFonts w:ascii="仿宋" w:hAnsi="仿宋" w:eastAsia="仿宋" w:cs="仿宋"/>
                <w:szCs w:val="21"/>
              </w:rPr>
            </w:pPr>
            <w:r>
              <w:rPr>
                <w:rFonts w:hint="eastAsia" w:ascii="仿宋" w:hAnsi="仿宋" w:eastAsia="仿宋" w:cs="仿宋"/>
                <w:szCs w:val="21"/>
              </w:rPr>
              <w:t>人员配置较差的或不合理得0分。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7</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应急预案</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5</w:t>
            </w:r>
          </w:p>
        </w:tc>
        <w:tc>
          <w:tcPr>
            <w:tcW w:w="5829" w:type="dxa"/>
            <w:vAlign w:val="center"/>
          </w:tcPr>
          <w:p>
            <w:pPr>
              <w:ind w:firstLine="480"/>
              <w:rPr>
                <w:rFonts w:ascii="仿宋" w:hAnsi="仿宋" w:eastAsia="仿宋" w:cs="仿宋"/>
                <w:szCs w:val="21"/>
              </w:rPr>
            </w:pPr>
            <w:r>
              <w:rPr>
                <w:rFonts w:hint="eastAsia" w:ascii="仿宋" w:hAnsi="仿宋" w:eastAsia="仿宋" w:cs="仿宋"/>
                <w:szCs w:val="21"/>
              </w:rPr>
              <w:t>评委根据</w:t>
            </w:r>
            <w:r>
              <w:rPr>
                <w:rFonts w:hint="eastAsia" w:ascii="仿宋" w:hAnsi="仿宋" w:eastAsia="仿宋" w:cs="仿宋"/>
              </w:rPr>
              <w:t>投标</w:t>
            </w:r>
            <w:r>
              <w:rPr>
                <w:rFonts w:hint="eastAsia" w:ascii="仿宋" w:hAnsi="仿宋" w:eastAsia="仿宋" w:cs="仿宋"/>
                <w:szCs w:val="21"/>
              </w:rPr>
              <w:t>人提供的应急预案保障措施的合理性、可行性、完善性等情况综合评判。</w:t>
            </w:r>
          </w:p>
          <w:p>
            <w:pPr>
              <w:ind w:firstLine="480"/>
              <w:rPr>
                <w:rFonts w:ascii="仿宋" w:hAnsi="仿宋" w:eastAsia="仿宋" w:cs="仿宋"/>
                <w:szCs w:val="21"/>
              </w:rPr>
            </w:pPr>
            <w:r>
              <w:rPr>
                <w:rFonts w:hint="eastAsia" w:ascii="仿宋" w:hAnsi="仿宋" w:eastAsia="仿宋" w:cs="仿宋"/>
                <w:szCs w:val="21"/>
              </w:rPr>
              <w:t>合理、可行，措施完善得5分；</w:t>
            </w:r>
          </w:p>
          <w:p>
            <w:pPr>
              <w:ind w:firstLine="480"/>
              <w:rPr>
                <w:rFonts w:ascii="仿宋" w:hAnsi="仿宋" w:eastAsia="仿宋" w:cs="仿宋"/>
                <w:szCs w:val="21"/>
              </w:rPr>
            </w:pPr>
            <w:r>
              <w:rPr>
                <w:rFonts w:hint="eastAsia" w:ascii="仿宋" w:hAnsi="仿宋" w:eastAsia="仿宋" w:cs="仿宋"/>
                <w:szCs w:val="21"/>
              </w:rPr>
              <w:t>较合理、可行，措施较完善得4分；</w:t>
            </w:r>
          </w:p>
          <w:p>
            <w:pPr>
              <w:ind w:firstLine="480"/>
              <w:rPr>
                <w:rFonts w:ascii="仿宋" w:hAnsi="仿宋" w:eastAsia="仿宋" w:cs="仿宋"/>
                <w:szCs w:val="21"/>
              </w:rPr>
            </w:pPr>
            <w:r>
              <w:rPr>
                <w:rFonts w:hint="eastAsia" w:ascii="仿宋" w:hAnsi="仿宋" w:eastAsia="仿宋" w:cs="仿宋"/>
                <w:szCs w:val="21"/>
              </w:rPr>
              <w:t>合理、可行一般，措施一般得2分；</w:t>
            </w:r>
          </w:p>
          <w:p>
            <w:pPr>
              <w:ind w:firstLine="480"/>
              <w:rPr>
                <w:rFonts w:ascii="仿宋" w:hAnsi="仿宋" w:eastAsia="仿宋" w:cs="仿宋"/>
                <w:szCs w:val="21"/>
              </w:rPr>
            </w:pPr>
            <w:r>
              <w:rPr>
                <w:rFonts w:hint="eastAsia" w:ascii="仿宋" w:hAnsi="仿宋" w:eastAsia="仿宋" w:cs="仿宋"/>
                <w:szCs w:val="21"/>
              </w:rPr>
              <w:t>基本合理、可行，措施基本符合得1分；</w:t>
            </w:r>
          </w:p>
          <w:p>
            <w:pPr>
              <w:ind w:firstLine="480"/>
              <w:rPr>
                <w:rFonts w:ascii="仿宋" w:hAnsi="仿宋" w:eastAsia="仿宋" w:cs="仿宋"/>
                <w:sz w:val="24"/>
              </w:rPr>
            </w:pPr>
            <w:r>
              <w:rPr>
                <w:rFonts w:hint="eastAsia" w:ascii="仿宋" w:hAnsi="仿宋" w:eastAsia="仿宋" w:cs="仿宋"/>
                <w:szCs w:val="21"/>
              </w:rPr>
              <w:t>较差或不满足招标文件基本要求得0分。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8</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网络运维服务方案</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7</w:t>
            </w:r>
          </w:p>
        </w:tc>
        <w:tc>
          <w:tcPr>
            <w:tcW w:w="5829" w:type="dxa"/>
            <w:vAlign w:val="center"/>
          </w:tcPr>
          <w:p>
            <w:pPr>
              <w:ind w:firstLine="480"/>
              <w:rPr>
                <w:rFonts w:ascii="仿宋" w:hAnsi="仿宋" w:eastAsia="仿宋" w:cs="仿宋"/>
              </w:rPr>
            </w:pPr>
            <w:r>
              <w:rPr>
                <w:rFonts w:hint="eastAsia" w:ascii="仿宋" w:hAnsi="仿宋" w:eastAsia="仿宋" w:cs="仿宋"/>
              </w:rPr>
              <w:t>评委根据投标人提供的本项目</w:t>
            </w:r>
            <w:r>
              <w:rPr>
                <w:rFonts w:hint="eastAsia" w:ascii="仿宋" w:hAnsi="仿宋" w:eastAsia="仿宋" w:cs="仿宋"/>
                <w:szCs w:val="21"/>
              </w:rPr>
              <w:t>网络运维服务方案</w:t>
            </w:r>
            <w:r>
              <w:rPr>
                <w:rFonts w:hint="eastAsia" w:ascii="仿宋" w:hAnsi="仿宋" w:eastAsia="仿宋" w:cs="仿宋"/>
              </w:rPr>
              <w:t>、实施计划、技术、管理等综合评判。</w:t>
            </w:r>
          </w:p>
          <w:p>
            <w:pPr>
              <w:ind w:firstLine="480"/>
              <w:rPr>
                <w:rFonts w:ascii="仿宋" w:hAnsi="仿宋" w:eastAsia="仿宋" w:cs="仿宋"/>
              </w:rPr>
            </w:pPr>
            <w:r>
              <w:rPr>
                <w:rFonts w:hint="eastAsia" w:ascii="仿宋" w:hAnsi="仿宋" w:eastAsia="仿宋" w:cs="仿宋"/>
              </w:rPr>
              <w:t>方案全面、科学、合理、针对性强、技术可行，完全满足招标文件要求得7分；</w:t>
            </w:r>
          </w:p>
          <w:p>
            <w:pPr>
              <w:ind w:firstLine="480"/>
              <w:rPr>
                <w:rFonts w:ascii="仿宋" w:hAnsi="仿宋" w:eastAsia="仿宋" w:cs="仿宋"/>
              </w:rPr>
            </w:pPr>
            <w:r>
              <w:rPr>
                <w:rFonts w:hint="eastAsia" w:ascii="仿宋" w:hAnsi="仿宋" w:eastAsia="仿宋" w:cs="仿宋"/>
              </w:rPr>
              <w:t>方案较好、较全面合理、针对性较强、技术较可行，满足招标文件要求得5分；</w:t>
            </w:r>
          </w:p>
          <w:p>
            <w:pPr>
              <w:ind w:firstLine="480"/>
              <w:rPr>
                <w:rFonts w:ascii="仿宋" w:hAnsi="仿宋" w:eastAsia="仿宋" w:cs="仿宋"/>
              </w:rPr>
            </w:pPr>
            <w:r>
              <w:rPr>
                <w:rFonts w:hint="eastAsia" w:ascii="仿宋" w:hAnsi="仿宋" w:eastAsia="仿宋" w:cs="仿宋"/>
              </w:rPr>
              <w:t>方案满足项目需求、较合理、有一定针对性、技术较可行得4分；</w:t>
            </w:r>
          </w:p>
          <w:p>
            <w:pPr>
              <w:ind w:firstLine="480"/>
              <w:rPr>
                <w:rFonts w:ascii="仿宋" w:hAnsi="仿宋" w:eastAsia="仿宋" w:cs="仿宋"/>
              </w:rPr>
            </w:pPr>
            <w:r>
              <w:rPr>
                <w:rFonts w:hint="eastAsia" w:ascii="仿宋" w:hAnsi="仿宋" w:eastAsia="仿宋" w:cs="仿宋"/>
              </w:rPr>
              <w:t>方案基本符合项目需求、合理性一般、针对性一般、技术可行性一般得2分；</w:t>
            </w:r>
          </w:p>
          <w:p>
            <w:pPr>
              <w:ind w:firstLine="480"/>
              <w:rPr>
                <w:rFonts w:ascii="仿宋" w:hAnsi="仿宋" w:eastAsia="仿宋" w:cs="仿宋"/>
              </w:rPr>
            </w:pPr>
            <w:r>
              <w:rPr>
                <w:rFonts w:hint="eastAsia" w:ascii="仿宋" w:hAnsi="仿宋" w:eastAsia="仿宋" w:cs="仿宋"/>
              </w:rPr>
              <w:t>方案离满足项目需求有一定差距、合理性一般、针对性较差、技术可行性有差距得1分；</w:t>
            </w:r>
          </w:p>
          <w:p>
            <w:pPr>
              <w:ind w:firstLine="480"/>
              <w:rPr>
                <w:rFonts w:ascii="仿宋" w:hAnsi="仿宋" w:eastAsia="仿宋" w:cs="仿宋"/>
                <w:sz w:val="24"/>
              </w:rPr>
            </w:pPr>
            <w:r>
              <w:rPr>
                <w:rFonts w:hint="eastAsia" w:ascii="仿宋" w:hAnsi="仿宋" w:eastAsia="仿宋" w:cs="仿宋"/>
              </w:rPr>
              <w:t>方案较差或不合理或有明显缺陷得0分。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9</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开通时间</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10</w:t>
            </w:r>
          </w:p>
        </w:tc>
        <w:tc>
          <w:tcPr>
            <w:tcW w:w="5829" w:type="dxa"/>
            <w:vAlign w:val="center"/>
          </w:tcPr>
          <w:p>
            <w:pPr>
              <w:ind w:firstLine="480"/>
              <w:rPr>
                <w:rFonts w:ascii="仿宋" w:hAnsi="仿宋" w:eastAsia="仿宋" w:cs="仿宋"/>
              </w:rPr>
            </w:pPr>
            <w:r>
              <w:rPr>
                <w:rFonts w:hint="eastAsia" w:ascii="仿宋" w:hAnsi="仿宋" w:eastAsia="仿宋" w:cs="仿宋"/>
              </w:rPr>
              <w:t>根据投标人提供的交付时间进行评判。</w:t>
            </w:r>
          </w:p>
          <w:p>
            <w:pPr>
              <w:ind w:firstLine="480"/>
              <w:rPr>
                <w:rFonts w:ascii="仿宋" w:hAnsi="仿宋" w:eastAsia="仿宋" w:cs="仿宋"/>
              </w:rPr>
            </w:pPr>
            <w:r>
              <w:rPr>
                <w:rFonts w:hint="eastAsia" w:ascii="仿宋" w:hAnsi="仿宋" w:eastAsia="仿宋" w:cs="仿宋"/>
              </w:rPr>
              <w:t>1.中标公布后3天内完成3条主备链路全部交付使用，提供承诺函并盖章。满足得10分；</w:t>
            </w:r>
          </w:p>
          <w:p>
            <w:pPr>
              <w:ind w:firstLine="480"/>
              <w:rPr>
                <w:rFonts w:ascii="仿宋" w:hAnsi="仿宋" w:eastAsia="仿宋" w:cs="仿宋"/>
              </w:rPr>
            </w:pPr>
            <w:r>
              <w:rPr>
                <w:rFonts w:hint="eastAsia" w:ascii="仿宋" w:hAnsi="仿宋" w:eastAsia="仿宋" w:cs="仿宋"/>
              </w:rPr>
              <w:t>2.中标公布后5天内完成3条主备链路全部交付使用，提供承诺函并盖章。满足得7分；</w:t>
            </w:r>
          </w:p>
          <w:p>
            <w:pPr>
              <w:ind w:firstLine="480"/>
              <w:rPr>
                <w:rFonts w:ascii="仿宋" w:hAnsi="仿宋" w:eastAsia="仿宋" w:cs="仿宋"/>
              </w:rPr>
            </w:pPr>
            <w:r>
              <w:rPr>
                <w:rFonts w:hint="eastAsia" w:ascii="仿宋" w:hAnsi="仿宋" w:eastAsia="仿宋" w:cs="仿宋"/>
              </w:rPr>
              <w:t>3.中标公布后7天内完成3条主备链路全部交付使用，提供承诺函并盖章。满足得4分；</w:t>
            </w:r>
          </w:p>
          <w:p>
            <w:pPr>
              <w:ind w:firstLine="480"/>
              <w:rPr>
                <w:rFonts w:ascii="仿宋" w:hAnsi="仿宋" w:eastAsia="仿宋" w:cs="仿宋"/>
              </w:rPr>
            </w:pPr>
            <w:r>
              <w:rPr>
                <w:rFonts w:hint="eastAsia" w:ascii="仿宋" w:hAnsi="仿宋" w:eastAsia="仿宋" w:cs="仿宋"/>
              </w:rPr>
              <w:t>4.中标公布后7天以上完成交付使用，不得分。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9" w:type="dxa"/>
            <w:gridSpan w:val="4"/>
            <w:vAlign w:val="center"/>
          </w:tcPr>
          <w:p>
            <w:pPr>
              <w:ind w:firstLine="482"/>
              <w:jc w:val="center"/>
              <w:rPr>
                <w:rFonts w:ascii="仿宋" w:hAnsi="仿宋" w:eastAsia="仿宋" w:cs="仿宋"/>
              </w:rPr>
            </w:pPr>
            <w:r>
              <w:rPr>
                <w:rFonts w:hint="eastAsia" w:ascii="仿宋" w:hAnsi="仿宋" w:eastAsia="仿宋" w:cs="仿宋"/>
                <w:b/>
                <w:sz w:val="24"/>
              </w:rPr>
              <w:t>商务得分（客观分）（20分）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1</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企业业绩及经验</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18</w:t>
            </w:r>
          </w:p>
        </w:tc>
        <w:tc>
          <w:tcPr>
            <w:tcW w:w="5829" w:type="dxa"/>
            <w:vAlign w:val="center"/>
          </w:tcPr>
          <w:p>
            <w:pPr>
              <w:ind w:firstLine="480"/>
              <w:jc w:val="left"/>
              <w:rPr>
                <w:rFonts w:ascii="仿宋" w:hAnsi="仿宋" w:eastAsia="仿宋" w:cs="仿宋"/>
              </w:rPr>
            </w:pPr>
            <w:r>
              <w:rPr>
                <w:rFonts w:hint="eastAsia" w:ascii="仿宋" w:hAnsi="仿宋" w:eastAsia="仿宋" w:cs="仿宋"/>
              </w:rPr>
              <w:t>投标人近3年（2021年1月1日起至今）做过的教育行业带宽项目业绩，每提供一个项目合同得1分，最多得18分（附合同首页、金额页、内容页、签字页等合同关键页复印件或扫描件，须加盖投标人公章）。</w:t>
            </w:r>
          </w:p>
          <w:p>
            <w:pPr>
              <w:ind w:firstLine="480"/>
              <w:rPr>
                <w:rFonts w:ascii="仿宋" w:hAnsi="仿宋" w:eastAsia="仿宋" w:cs="仿宋"/>
              </w:rPr>
            </w:pPr>
            <w:r>
              <w:rPr>
                <w:rFonts w:hint="eastAsia" w:ascii="仿宋" w:hAnsi="仿宋" w:eastAsia="仿宋" w:cs="仿宋"/>
              </w:rPr>
              <w:t>若本项目允许分支机构参加投标，则分支机构参加投标的，此处可提供该分支机构或其所属法人或其他组织的相应证明文件。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480"/>
              <w:jc w:val="center"/>
              <w:rPr>
                <w:rFonts w:ascii="仿宋" w:hAnsi="仿宋" w:eastAsia="仿宋" w:cs="仿宋"/>
                <w:szCs w:val="21"/>
              </w:rPr>
            </w:pPr>
            <w:r>
              <w:rPr>
                <w:rFonts w:hint="eastAsia" w:ascii="仿宋" w:hAnsi="仿宋" w:eastAsia="仿宋" w:cs="仿宋"/>
                <w:szCs w:val="21"/>
              </w:rPr>
              <w:t>2</w:t>
            </w:r>
          </w:p>
        </w:tc>
        <w:tc>
          <w:tcPr>
            <w:tcW w:w="1462" w:type="dxa"/>
            <w:vAlign w:val="center"/>
          </w:tcPr>
          <w:p>
            <w:pPr>
              <w:jc w:val="both"/>
              <w:rPr>
                <w:rFonts w:ascii="仿宋" w:hAnsi="仿宋" w:eastAsia="仿宋" w:cs="仿宋"/>
                <w:szCs w:val="21"/>
              </w:rPr>
            </w:pPr>
            <w:r>
              <w:rPr>
                <w:rFonts w:hint="eastAsia" w:ascii="仿宋" w:hAnsi="仿宋" w:eastAsia="仿宋" w:cs="仿宋"/>
                <w:szCs w:val="21"/>
              </w:rPr>
              <w:t>投标人综合实力</w:t>
            </w:r>
          </w:p>
        </w:tc>
        <w:tc>
          <w:tcPr>
            <w:tcW w:w="913" w:type="dxa"/>
            <w:vAlign w:val="center"/>
          </w:tcPr>
          <w:p>
            <w:pPr>
              <w:ind w:firstLine="480"/>
              <w:jc w:val="center"/>
              <w:rPr>
                <w:rFonts w:ascii="仿宋" w:hAnsi="仿宋" w:eastAsia="仿宋" w:cs="仿宋"/>
                <w:szCs w:val="21"/>
              </w:rPr>
            </w:pPr>
            <w:r>
              <w:rPr>
                <w:rFonts w:hint="eastAsia" w:ascii="仿宋" w:hAnsi="仿宋" w:eastAsia="仿宋" w:cs="仿宋"/>
                <w:szCs w:val="21"/>
              </w:rPr>
              <w:t>2</w:t>
            </w:r>
          </w:p>
        </w:tc>
        <w:tc>
          <w:tcPr>
            <w:tcW w:w="5829" w:type="dxa"/>
            <w:vAlign w:val="center"/>
          </w:tcPr>
          <w:p>
            <w:pPr>
              <w:ind w:firstLine="480"/>
              <w:jc w:val="left"/>
              <w:rPr>
                <w:rFonts w:hint="eastAsia" w:ascii="仿宋" w:hAnsi="仿宋" w:eastAsia="仿宋" w:cs="仿宋"/>
              </w:rPr>
            </w:pPr>
            <w:r>
              <w:rPr>
                <w:rFonts w:hint="eastAsia" w:ascii="仿宋" w:hAnsi="仿宋" w:eastAsia="仿宋" w:cs="仿宋"/>
              </w:rPr>
              <w:t>具有《中华人民共和国增值电信业务经营许可证》，得2分，无不得分。</w:t>
            </w:r>
          </w:p>
          <w:p>
            <w:pPr>
              <w:ind w:firstLine="480"/>
              <w:jc w:val="left"/>
              <w:rPr>
                <w:rFonts w:ascii="仿宋" w:hAnsi="仿宋" w:eastAsia="仿宋" w:cs="仿宋"/>
              </w:rPr>
            </w:pPr>
            <w:r>
              <w:rPr>
                <w:rFonts w:hint="eastAsia" w:ascii="仿宋" w:hAnsi="仿宋" w:eastAsia="仿宋" w:cs="仿宋"/>
              </w:rPr>
              <w:t>(提供证明材料加盖投标人公章)。</w:t>
            </w:r>
          </w:p>
          <w:p>
            <w:pPr>
              <w:ind w:firstLine="480"/>
              <w:rPr>
                <w:rFonts w:ascii="仿宋" w:hAnsi="仿宋" w:eastAsia="仿宋" w:cs="仿宋"/>
              </w:rPr>
            </w:pPr>
            <w:r>
              <w:rPr>
                <w:rFonts w:hint="eastAsia" w:ascii="仿宋" w:hAnsi="仿宋" w:eastAsia="仿宋" w:cs="仿宋"/>
              </w:rPr>
              <w:t>若本项目允许分支机构参加投标，则分支机构参加投标的，此处可提供该分支机构或其所属法人或其他组织的相应证明文件。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297" w:type="dxa"/>
            <w:gridSpan w:val="2"/>
            <w:vAlign w:val="center"/>
          </w:tcPr>
          <w:p>
            <w:pPr>
              <w:ind w:firstLine="480"/>
              <w:jc w:val="center"/>
              <w:rPr>
                <w:rFonts w:ascii="仿宋" w:hAnsi="仿宋" w:eastAsia="仿宋" w:cs="仿宋"/>
                <w:szCs w:val="21"/>
              </w:rPr>
            </w:pPr>
            <w:r>
              <w:rPr>
                <w:rFonts w:hint="eastAsia" w:ascii="仿宋" w:hAnsi="仿宋" w:eastAsia="仿宋" w:cs="仿宋"/>
                <w:szCs w:val="21"/>
              </w:rPr>
              <w:t>合计</w:t>
            </w:r>
          </w:p>
        </w:tc>
        <w:tc>
          <w:tcPr>
            <w:tcW w:w="913" w:type="dxa"/>
            <w:vAlign w:val="center"/>
          </w:tcPr>
          <w:p>
            <w:pPr>
              <w:rPr>
                <w:rFonts w:ascii="仿宋" w:hAnsi="仿宋" w:eastAsia="仿宋" w:cs="仿宋"/>
                <w:szCs w:val="21"/>
              </w:rPr>
            </w:pPr>
            <w:r>
              <w:rPr>
                <w:rFonts w:hint="eastAsia" w:ascii="仿宋" w:hAnsi="仿宋" w:eastAsia="仿宋" w:cs="仿宋"/>
                <w:szCs w:val="21"/>
              </w:rPr>
              <w:t>100</w:t>
            </w:r>
          </w:p>
        </w:tc>
        <w:tc>
          <w:tcPr>
            <w:tcW w:w="5829" w:type="dxa"/>
            <w:vAlign w:val="center"/>
          </w:tcPr>
          <w:p>
            <w:pPr>
              <w:rPr>
                <w:rFonts w:ascii="仿宋" w:hAnsi="仿宋" w:eastAsia="仿宋" w:cs="仿宋"/>
                <w:sz w:val="24"/>
              </w:rPr>
            </w:pPr>
          </w:p>
        </w:tc>
      </w:tr>
    </w:tbl>
    <w:p>
      <w:pPr>
        <w:spacing w:line="360" w:lineRule="auto"/>
        <w:rPr>
          <w:rFonts w:ascii="仿宋_GB2312" w:hAnsi="仿宋" w:eastAsia="仿宋_GB2312"/>
          <w:color w:val="000000"/>
          <w:sz w:val="24"/>
          <w:szCs w:val="24"/>
        </w:rPr>
      </w:pPr>
    </w:p>
    <w:p>
      <w:pPr>
        <w:rPr>
          <w:color w:val="auto"/>
          <w:shd w:val="clear" w:color="auto" w:fill="auto"/>
        </w:rPr>
      </w:pPr>
    </w:p>
    <w:p>
      <w:pPr>
        <w:rPr>
          <w:rFonts w:hint="eastAsia" w:ascii="黑体" w:hAnsi="黑体" w:eastAsia="黑体" w:cs="黑体"/>
          <w:color w:val="auto"/>
          <w:sz w:val="28"/>
          <w:szCs w:val="28"/>
        </w:rPr>
      </w:pPr>
      <w:r>
        <w:rPr>
          <w:rFonts w:hint="eastAsia" w:ascii="黑体" w:hAnsi="黑体" w:eastAsia="黑体" w:cs="黑体"/>
          <w:color w:val="auto"/>
          <w:sz w:val="28"/>
          <w:szCs w:val="28"/>
        </w:rPr>
        <w:t>注：中标供应商需提供与评审有关资料原件备查。如发现虚假资料，将按相关规定对供应商进行处理。</w:t>
      </w:r>
    </w:p>
    <w:p>
      <w:pPr>
        <w:pStyle w:val="18"/>
        <w:rPr>
          <w:rFonts w:hint="eastAsia"/>
          <w:color w:val="auto"/>
        </w:rPr>
      </w:pPr>
    </w:p>
    <w:p>
      <w:pPr>
        <w:numPr>
          <w:ilvl w:val="0"/>
          <w:numId w:val="0"/>
        </w:numPr>
        <w:spacing w:line="360" w:lineRule="auto"/>
        <w:jc w:val="both"/>
        <w:rPr>
          <w:rFonts w:hint="eastAsia" w:ascii="仿宋_GB2312" w:hAnsi="Times New Roman" w:eastAsia="仿宋_GB2312" w:cs="Times New Roman"/>
          <w:b/>
          <w:color w:val="auto"/>
          <w:sz w:val="28"/>
          <w:szCs w:val="28"/>
        </w:rPr>
      </w:pPr>
      <w:r>
        <w:rPr>
          <w:rFonts w:hint="eastAsia" w:ascii="仿宋_GB2312" w:eastAsia="仿宋_GB2312"/>
          <w:b/>
          <w:color w:val="auto"/>
          <w:sz w:val="28"/>
          <w:szCs w:val="28"/>
          <w:lang w:val="en-US" w:eastAsia="zh-CN"/>
        </w:rPr>
        <w:t xml:space="preserve">                                                                            </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11"/>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 xml:space="preserve"> 合同特殊条款</w:t>
      </w:r>
    </w:p>
    <w:p>
      <w:pPr>
        <w:spacing w:line="240" w:lineRule="atLeast"/>
        <w:ind w:firstLine="560" w:firstLineChars="200"/>
        <w:rPr>
          <w:rFonts w:ascii="华文仿宋" w:hAnsi="华文仿宋" w:eastAsia="华文仿宋"/>
          <w:color w:val="000000" w:themeColor="text1"/>
          <w:sz w:val="28"/>
          <w:szCs w:val="28"/>
          <w14:textFill>
            <w14:solidFill>
              <w14:schemeClr w14:val="tx1"/>
            </w14:solidFill>
          </w14:textFill>
        </w:rPr>
      </w:pPr>
      <w:r>
        <w:rPr>
          <w:rFonts w:hint="eastAsia" w:ascii="华文仿宋" w:hAnsi="华文仿宋" w:eastAsia="华文仿宋"/>
          <w:color w:val="000000" w:themeColor="text1"/>
          <w:sz w:val="28"/>
          <w:szCs w:val="28"/>
          <w14:textFill>
            <w14:solidFill>
              <w14:schemeClr w14:val="tx1"/>
            </w14:solidFill>
          </w14:textFill>
        </w:rPr>
        <w:t>除本合同以上规定外，双方特别约定以下内容：</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 xml:space="preserve">1、乙方提供7×24小时不间断网络接入服务，具有本地化服务能力，响应时间在半小时内，2小时内上门服务。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2、保障重大活动期间的业务连续性，提供7×</w:t>
      </w:r>
      <w:r>
        <w:rPr>
          <w:rFonts w:ascii="华文仿宋" w:hAnsi="华文仿宋" w:eastAsia="华文仿宋"/>
          <w:color w:val="000000" w:themeColor="text1"/>
          <w:sz w:val="28"/>
          <w:szCs w:val="28"/>
          <w:u w:val="single"/>
          <w14:textFill>
            <w14:solidFill>
              <w14:schemeClr w14:val="tx1"/>
            </w14:solidFill>
          </w14:textFill>
        </w:rPr>
        <w:t>24</w:t>
      </w:r>
      <w:r>
        <w:rPr>
          <w:rFonts w:hint="eastAsia" w:ascii="华文仿宋" w:hAnsi="华文仿宋" w:eastAsia="华文仿宋"/>
          <w:color w:val="000000" w:themeColor="text1"/>
          <w:sz w:val="28"/>
          <w:szCs w:val="28"/>
          <w:u w:val="single"/>
          <w14:textFill>
            <w14:solidFill>
              <w14:schemeClr w14:val="tx1"/>
            </w14:solidFill>
          </w14:textFill>
        </w:rPr>
        <w:t xml:space="preserve">小时全天候技术响应及上门服务，公布免费技术支持及投诉处理电话，提供一人驻场技术服务支持。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ascii="华文仿宋" w:hAnsi="华文仿宋" w:eastAsia="华文仿宋"/>
          <w:color w:val="000000" w:themeColor="text1"/>
          <w:sz w:val="28"/>
          <w:szCs w:val="28"/>
          <w:u w:val="single"/>
          <w14:textFill>
            <w14:solidFill>
              <w14:schemeClr w14:val="tx1"/>
            </w14:solidFill>
          </w14:textFill>
        </w:rPr>
        <w:t>3</w:t>
      </w:r>
      <w:r>
        <w:rPr>
          <w:rFonts w:hint="eastAsia" w:ascii="华文仿宋" w:hAnsi="华文仿宋" w:eastAsia="华文仿宋"/>
          <w:color w:val="000000" w:themeColor="text1"/>
          <w:sz w:val="28"/>
          <w:szCs w:val="28"/>
          <w:u w:val="single"/>
          <w14:textFill>
            <w14:solidFill>
              <w14:schemeClr w14:val="tx1"/>
            </w14:solidFill>
          </w14:textFill>
        </w:rPr>
        <w:t>、按照黄金级别S</w:t>
      </w:r>
      <w:r>
        <w:rPr>
          <w:rFonts w:ascii="华文仿宋" w:hAnsi="华文仿宋" w:eastAsia="华文仿宋"/>
          <w:color w:val="000000" w:themeColor="text1"/>
          <w:sz w:val="28"/>
          <w:szCs w:val="28"/>
          <w:u w:val="single"/>
          <w14:textFill>
            <w14:solidFill>
              <w14:schemeClr w14:val="tx1"/>
            </w14:solidFill>
          </w14:textFill>
        </w:rPr>
        <w:t>LA</w:t>
      </w:r>
      <w:r>
        <w:rPr>
          <w:rFonts w:hint="eastAsia" w:ascii="华文仿宋" w:hAnsi="华文仿宋" w:eastAsia="华文仿宋"/>
          <w:color w:val="000000" w:themeColor="text1"/>
          <w:sz w:val="28"/>
          <w:szCs w:val="28"/>
          <w:u w:val="single"/>
          <w14:textFill>
            <w14:solidFill>
              <w14:schemeClr w14:val="tx1"/>
            </w14:solidFill>
          </w14:textFill>
        </w:rPr>
        <w:t>标准进行服务保障，依据光纤链路中断时间做出相应的赔偿。发生故障后维修时间不得超过1</w:t>
      </w:r>
      <w:r>
        <w:rPr>
          <w:rFonts w:ascii="华文仿宋" w:hAnsi="华文仿宋" w:eastAsia="华文仿宋"/>
          <w:color w:val="000000" w:themeColor="text1"/>
          <w:sz w:val="28"/>
          <w:szCs w:val="28"/>
          <w:u w:val="single"/>
          <w14:textFill>
            <w14:solidFill>
              <w14:schemeClr w14:val="tx1"/>
            </w14:solidFill>
          </w14:textFill>
        </w:rPr>
        <w:t>2</w:t>
      </w:r>
      <w:r>
        <w:rPr>
          <w:rFonts w:hint="eastAsia" w:ascii="华文仿宋" w:hAnsi="华文仿宋" w:eastAsia="华文仿宋"/>
          <w:color w:val="000000" w:themeColor="text1"/>
          <w:sz w:val="28"/>
          <w:szCs w:val="28"/>
          <w:u w:val="single"/>
          <w14:textFill>
            <w14:solidFill>
              <w14:schemeClr w14:val="tx1"/>
            </w14:solidFill>
          </w14:textFill>
        </w:rPr>
        <w:t>个小时，超过后每1</w:t>
      </w:r>
      <w:r>
        <w:rPr>
          <w:rFonts w:ascii="华文仿宋" w:hAnsi="华文仿宋" w:eastAsia="华文仿宋"/>
          <w:color w:val="000000" w:themeColor="text1"/>
          <w:sz w:val="28"/>
          <w:szCs w:val="28"/>
          <w:u w:val="single"/>
          <w14:textFill>
            <w14:solidFill>
              <w14:schemeClr w14:val="tx1"/>
            </w14:solidFill>
          </w14:textFill>
        </w:rPr>
        <w:t>2</w:t>
      </w:r>
      <w:r>
        <w:rPr>
          <w:rFonts w:hint="eastAsia" w:ascii="华文仿宋" w:hAnsi="华文仿宋" w:eastAsia="华文仿宋"/>
          <w:color w:val="000000" w:themeColor="text1"/>
          <w:sz w:val="28"/>
          <w:szCs w:val="28"/>
          <w:u w:val="single"/>
          <w14:textFill>
            <w14:solidFill>
              <w14:schemeClr w14:val="tx1"/>
            </w14:solidFill>
          </w14:textFill>
        </w:rPr>
        <w:t>小时计违约一次。提供</w:t>
      </w:r>
      <w:r>
        <w:rPr>
          <w:rFonts w:hint="eastAsia" w:ascii="华文仿宋" w:hAnsi="华文仿宋" w:eastAsia="华文仿宋"/>
          <w:color w:val="FF0000"/>
          <w:sz w:val="28"/>
          <w:szCs w:val="28"/>
          <w:u w:val="single"/>
        </w:rPr>
        <w:t>两条冗余备份光纤链路</w:t>
      </w:r>
      <w:r>
        <w:rPr>
          <w:rFonts w:hint="eastAsia" w:ascii="华文仿宋" w:hAnsi="华文仿宋" w:eastAsia="华文仿宋"/>
          <w:color w:val="000000" w:themeColor="text1"/>
          <w:sz w:val="28"/>
          <w:szCs w:val="28"/>
          <w:u w:val="single"/>
          <w14:textFill>
            <w14:solidFill>
              <w14:schemeClr w14:val="tx1"/>
            </w14:solidFill>
          </w14:textFill>
        </w:rPr>
        <w:t xml:space="preserve">。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ascii="华文仿宋" w:hAnsi="华文仿宋" w:eastAsia="华文仿宋"/>
          <w:color w:val="000000" w:themeColor="text1"/>
          <w:sz w:val="28"/>
          <w:szCs w:val="28"/>
          <w:u w:val="single"/>
          <w14:textFill>
            <w14:solidFill>
              <w14:schemeClr w14:val="tx1"/>
            </w14:solidFill>
          </w14:textFill>
        </w:rPr>
        <w:t>4</w:t>
      </w:r>
      <w:r>
        <w:rPr>
          <w:rFonts w:hint="eastAsia" w:ascii="华文仿宋" w:hAnsi="华文仿宋" w:eastAsia="华文仿宋"/>
          <w:color w:val="000000" w:themeColor="text1"/>
          <w:sz w:val="28"/>
          <w:szCs w:val="28"/>
          <w:u w:val="single"/>
          <w14:textFill>
            <w14:solidFill>
              <w14:schemeClr w14:val="tx1"/>
            </w14:solidFill>
          </w14:textFill>
        </w:rPr>
        <w:t xml:space="preserve">、接入服务期满后，本合同自动终止。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 xml:space="preserve">5、如有与本合同相冲突条款、以本合同为准。                  </w:t>
      </w:r>
    </w:p>
    <w:p/>
    <w:p>
      <w:pPr>
        <w:numPr>
          <w:ilvl w:val="0"/>
          <w:numId w:val="0"/>
        </w:numPr>
        <w:spacing w:line="360" w:lineRule="auto"/>
        <w:jc w:val="both"/>
        <w:rPr>
          <w:rFonts w:hint="eastAsia" w:ascii="仿宋_GB2312" w:hAnsi="Times New Roman" w:eastAsia="仿宋_GB2312" w:cs="Times New Roman"/>
          <w:b/>
          <w:color w:val="auto"/>
          <w:sz w:val="28"/>
          <w:szCs w:val="28"/>
        </w:rPr>
      </w:pPr>
    </w:p>
    <w:p>
      <w:pPr>
        <w:numPr>
          <w:ilvl w:val="0"/>
          <w:numId w:val="0"/>
        </w:numPr>
        <w:spacing w:line="360" w:lineRule="auto"/>
        <w:jc w:val="both"/>
        <w:rPr>
          <w:rFonts w:hint="eastAsia" w:ascii="仿宋_GB2312" w:hAnsi="Times New Roman" w:eastAsia="仿宋_GB2312" w:cs="Times New Roman"/>
          <w:b/>
          <w:color w:val="auto"/>
          <w:sz w:val="28"/>
          <w:szCs w:val="28"/>
        </w:rPr>
      </w:pPr>
    </w:p>
    <w:p>
      <w:pPr>
        <w:numPr>
          <w:ilvl w:val="0"/>
          <w:numId w:val="0"/>
        </w:numPr>
        <w:spacing w:line="360" w:lineRule="auto"/>
        <w:jc w:val="both"/>
        <w:rPr>
          <w:rFonts w:hint="eastAsia" w:ascii="仿宋_GB2312" w:hAnsi="Times New Roman" w:eastAsia="仿宋_GB2312" w:cs="Times New Roman"/>
          <w:b/>
          <w:color w:val="auto"/>
          <w:sz w:val="28"/>
          <w:szCs w:val="28"/>
        </w:rPr>
      </w:pPr>
    </w:p>
    <w:p>
      <w:pPr>
        <w:numPr>
          <w:ilvl w:val="0"/>
          <w:numId w:val="0"/>
        </w:numPr>
        <w:spacing w:line="360" w:lineRule="auto"/>
        <w:jc w:val="both"/>
        <w:rPr>
          <w:rFonts w:hint="eastAsia" w:ascii="仿宋_GB2312" w:hAnsi="Times New Roman" w:eastAsia="仿宋_GB2312" w:cs="Times New Roman"/>
          <w:b/>
          <w:color w:val="auto"/>
          <w:sz w:val="28"/>
          <w:szCs w:val="28"/>
        </w:rPr>
      </w:pP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spacing w:line="360" w:lineRule="auto"/>
        <w:jc w:val="center"/>
        <w:rPr>
          <w:rFonts w:hint="default" w:ascii="仿宋_GB2312" w:hAnsi="Times New Roman" w:eastAsia="仿宋_GB2312" w:cs="Times New Roman"/>
          <w:b/>
          <w:color w:val="auto"/>
          <w:sz w:val="28"/>
          <w:szCs w:val="28"/>
          <w:lang w:val="en-US" w:eastAsia="zh-CN"/>
        </w:rPr>
      </w:pPr>
      <w:r>
        <w:rPr>
          <w:rFonts w:hint="eastAsia" w:ascii="仿宋_GB2312" w:hAnsi="Times New Roman" w:eastAsia="仿宋_GB2312" w:cs="Times New Roman"/>
          <w:b/>
          <w:color w:val="auto"/>
          <w:sz w:val="28"/>
          <w:szCs w:val="28"/>
        </w:rPr>
        <w:t>第七章  合同一般条款</w:t>
      </w:r>
    </w:p>
    <w:tbl>
      <w:tblPr>
        <w:tblStyle w:val="21"/>
        <w:tblW w:w="9923" w:type="dxa"/>
        <w:tblInd w:w="-459" w:type="dxa"/>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Layout w:type="fixed"/>
        <w:tblCellMar>
          <w:top w:w="0" w:type="dxa"/>
          <w:left w:w="108" w:type="dxa"/>
          <w:bottom w:w="0" w:type="dxa"/>
          <w:right w:w="108" w:type="dxa"/>
        </w:tblCellMar>
      </w:tblPr>
      <w:tblGrid>
        <w:gridCol w:w="9923"/>
      </w:tblGrid>
      <w:tr>
        <w:tblPrEx>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923" w:type="dxa"/>
          </w:tcPr>
          <w:p>
            <w:pPr>
              <w:widowControl/>
              <w:spacing w:line="580" w:lineRule="exact"/>
              <w:jc w:val="center"/>
              <w:rPr>
                <w:rFonts w:ascii="宋体" w:hAnsi="宋体" w:cs="宋体"/>
                <w:b/>
                <w:bCs/>
                <w:kern w:val="0"/>
                <w:sz w:val="44"/>
                <w:szCs w:val="36"/>
              </w:rPr>
            </w:pPr>
            <w:r>
              <w:rPr>
                <w:rFonts w:ascii="宋体" w:hAnsi="宋体" w:cs="宋体"/>
                <w:b/>
                <w:bCs/>
                <w:kern w:val="0"/>
                <w:sz w:val="44"/>
                <w:szCs w:val="36"/>
              </w:rPr>
              <w:t>北京市政府采购</w:t>
            </w:r>
            <w:r>
              <w:rPr>
                <w:rFonts w:hint="eastAsia" w:ascii="宋体" w:hAnsi="宋体" w:cs="宋体"/>
                <w:b/>
                <w:bCs/>
                <w:kern w:val="0"/>
                <w:sz w:val="44"/>
                <w:szCs w:val="36"/>
              </w:rPr>
              <w:t>电子政务互联网接入服务</w:t>
            </w:r>
          </w:p>
          <w:p>
            <w:pPr>
              <w:widowControl/>
              <w:spacing w:line="580" w:lineRule="exact"/>
              <w:jc w:val="center"/>
              <w:rPr>
                <w:rFonts w:ascii="宋体" w:hAnsi="宋体" w:cs="宋体"/>
                <w:kern w:val="0"/>
                <w:sz w:val="24"/>
              </w:rPr>
            </w:pPr>
            <w:r>
              <w:rPr>
                <w:rFonts w:ascii="宋体" w:hAnsi="宋体" w:cs="宋体"/>
                <w:b/>
                <w:bCs/>
                <w:kern w:val="0"/>
                <w:sz w:val="44"/>
                <w:szCs w:val="36"/>
              </w:rPr>
              <w:t>定点供货合同</w:t>
            </w:r>
          </w:p>
          <w:p>
            <w:pPr>
              <w:spacing w:line="580" w:lineRule="exact"/>
              <w:rPr>
                <w:rFonts w:ascii="仿宋_GB2312" w:hAnsi="宋体" w:eastAsia="仿宋_GB2312" w:cs="宋体"/>
                <w:kern w:val="0"/>
                <w:sz w:val="28"/>
                <w:szCs w:val="21"/>
              </w:rPr>
            </w:pPr>
          </w:p>
        </w:tc>
      </w:tr>
    </w:tbl>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 xml:space="preserve">使用方（甲方）: </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授权代表：</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地  址：</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邮政编码：</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有效联系方式：</w:t>
      </w:r>
    </w:p>
    <w:p>
      <w:pPr>
        <w:spacing w:line="240" w:lineRule="atLeast"/>
        <w:rPr>
          <w:rFonts w:ascii="华文仿宋" w:hAnsi="华文仿宋" w:eastAsia="华文仿宋"/>
          <w:sz w:val="28"/>
          <w:szCs w:val="28"/>
        </w:rPr>
      </w:pPr>
      <w:r>
        <w:rPr>
          <w:rFonts w:ascii="华文仿宋" w:hAnsi="华文仿宋" w:eastAsia="华文仿宋"/>
          <w:sz w:val="28"/>
          <w:szCs w:val="28"/>
        </w:rPr>
        <w:t xml:space="preserve"> </w:t>
      </w:r>
      <w:r>
        <w:rPr>
          <w:rFonts w:ascii="华文仿宋" w:hAnsi="华文仿宋" w:eastAsia="华文仿宋"/>
          <w:sz w:val="28"/>
          <w:szCs w:val="28"/>
        </w:rPr>
        <w:tab/>
      </w:r>
      <w:r>
        <w:rPr>
          <w:rFonts w:ascii="华文仿宋" w:hAnsi="华文仿宋" w:eastAsia="华文仿宋"/>
          <w:sz w:val="28"/>
          <w:szCs w:val="28"/>
        </w:rPr>
        <w:t xml:space="preserve">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供货方（乙方）：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授权代表： </w:t>
      </w:r>
    </w:p>
    <w:p>
      <w:pPr>
        <w:spacing w:line="240" w:lineRule="atLeast"/>
        <w:rPr>
          <w:rFonts w:ascii="华文仿宋" w:hAnsi="华文仿宋"/>
          <w:w w:val="90"/>
          <w:sz w:val="28"/>
          <w:szCs w:val="28"/>
        </w:rPr>
      </w:pPr>
      <w:r>
        <w:rPr>
          <w:rFonts w:hint="eastAsia" w:ascii="华文仿宋" w:hAnsi="华文仿宋" w:eastAsia="华文仿宋"/>
          <w:sz w:val="28"/>
          <w:szCs w:val="28"/>
        </w:rPr>
        <w:t xml:space="preserve"> 联系地址：</w:t>
      </w:r>
    </w:p>
    <w:p>
      <w:pPr>
        <w:spacing w:line="240" w:lineRule="atLeast"/>
        <w:rPr>
          <w:rFonts w:ascii="华文仿宋" w:hAnsi="华文仿宋"/>
          <w:sz w:val="28"/>
          <w:szCs w:val="28"/>
        </w:rPr>
      </w:pPr>
      <w:r>
        <w:rPr>
          <w:rFonts w:hint="eastAsia" w:ascii="华文仿宋" w:hAnsi="华文仿宋" w:eastAsia="华文仿宋"/>
          <w:sz w:val="28"/>
          <w:szCs w:val="28"/>
        </w:rPr>
        <w:t xml:space="preserve"> 邮政编码：</w:t>
      </w:r>
    </w:p>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有效联系方式：</w:t>
      </w:r>
      <w:r>
        <w:rPr>
          <w:rFonts w:hint="eastAsia" w:ascii="华文仿宋" w:hAnsi="华文仿宋" w:eastAsia="华文仿宋"/>
          <w:sz w:val="28"/>
          <w:szCs w:val="28"/>
        </w:rPr>
        <w:tab/>
      </w:r>
    </w:p>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账户名称：</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开户银行：</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全位账号：</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税    号：</w:t>
      </w:r>
    </w:p>
    <w:p>
      <w:pPr>
        <w:spacing w:line="240" w:lineRule="atLeast"/>
        <w:rPr>
          <w:rFonts w:ascii="华文仿宋" w:hAnsi="华文仿宋" w:eastAsia="华文仿宋"/>
          <w:sz w:val="28"/>
          <w:szCs w:val="28"/>
        </w:rPr>
      </w:pPr>
      <w:r>
        <w:rPr>
          <w:rFonts w:ascii="华文仿宋" w:hAnsi="华文仿宋" w:eastAsia="华文仿宋"/>
          <w:sz w:val="28"/>
          <w:szCs w:val="28"/>
        </w:rPr>
        <w:t xml:space="preserve"> </w:t>
      </w:r>
      <w:r>
        <w:rPr>
          <w:rFonts w:ascii="华文仿宋" w:hAnsi="华文仿宋" w:eastAsia="华文仿宋"/>
          <w:sz w:val="28"/>
          <w:szCs w:val="28"/>
        </w:rPr>
        <w:tab/>
      </w:r>
      <w:r>
        <w:rPr>
          <w:rFonts w:ascii="华文仿宋" w:hAnsi="华文仿宋" w:eastAsia="华文仿宋"/>
          <w:sz w:val="28"/>
          <w:szCs w:val="28"/>
        </w:rPr>
        <w:t xml:space="preserve">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按照《中华人民共和国民法典》及相关的政府采购规定，根据中标供应商与北京市信息化工作办公室订立的《北京市政府采购(电子政务互联网接入服务)框架协议》，甲、乙双方就提供电子政务互联网接入服务事宜签订政府采购供货合同并共同遵守履行。</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一、定义</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本合同中的下列术语应解释为：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w:t>
      </w:r>
      <w:r>
        <w:rPr>
          <w:rFonts w:hint="eastAsia" w:ascii="华文仿宋" w:hAnsi="华文仿宋" w:eastAsia="华文仿宋"/>
          <w:sz w:val="28"/>
          <w:szCs w:val="28"/>
        </w:rPr>
        <w:tab/>
      </w:r>
      <w:r>
        <w:rPr>
          <w:rFonts w:hint="eastAsia" w:ascii="华文仿宋" w:hAnsi="华文仿宋" w:eastAsia="华文仿宋"/>
          <w:sz w:val="28"/>
          <w:szCs w:val="28"/>
        </w:rPr>
        <w:t>“合同”系指甲方与供应商签署的、合同格式中载明的甲方与供应商所达成的条款，包括所有的附件、附录和构成合同的其它文件。</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w:t>
      </w:r>
      <w:r>
        <w:rPr>
          <w:rFonts w:hint="eastAsia" w:ascii="华文仿宋" w:hAnsi="华文仿宋" w:eastAsia="华文仿宋"/>
          <w:sz w:val="28"/>
          <w:szCs w:val="28"/>
        </w:rPr>
        <w:tab/>
      </w:r>
      <w:r>
        <w:rPr>
          <w:rFonts w:hint="eastAsia" w:ascii="华文仿宋" w:hAnsi="华文仿宋" w:eastAsia="华文仿宋"/>
          <w:sz w:val="28"/>
          <w:szCs w:val="28"/>
        </w:rPr>
        <w:t>“货物”系指供应商根据合同规定须向甲方提供的一切设备、机械、仪表、备件、工具、手册和其它技术资料及其它材料。</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w:t>
      </w:r>
      <w:r>
        <w:rPr>
          <w:rFonts w:hint="eastAsia" w:ascii="华文仿宋" w:hAnsi="华文仿宋" w:eastAsia="华文仿宋"/>
          <w:sz w:val="28"/>
          <w:szCs w:val="28"/>
        </w:rPr>
        <w:tab/>
      </w:r>
      <w:r>
        <w:rPr>
          <w:rFonts w:hint="eastAsia" w:ascii="华文仿宋" w:hAnsi="华文仿宋" w:eastAsia="华文仿宋"/>
          <w:sz w:val="28"/>
          <w:szCs w:val="28"/>
        </w:rPr>
        <w:t>“服务”系指根据合同规定供应商承担与供货有关的辅助服务，如运输、保险以及其它的服务，如安装、调试、提供技术协助、培训和其他类似的义务。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w:t>
      </w:r>
      <w:r>
        <w:rPr>
          <w:rFonts w:hint="eastAsia" w:ascii="华文仿宋" w:hAnsi="华文仿宋" w:eastAsia="华文仿宋"/>
          <w:sz w:val="28"/>
          <w:szCs w:val="28"/>
        </w:rPr>
        <w:tab/>
      </w:r>
      <w:r>
        <w:rPr>
          <w:rFonts w:hint="eastAsia" w:ascii="华文仿宋" w:hAnsi="华文仿宋" w:eastAsia="华文仿宋"/>
          <w:sz w:val="28"/>
          <w:szCs w:val="28"/>
        </w:rPr>
        <w:t>“供应商”系指根据合同规定提供货物和服务的具有法人资格的公司或实体。</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w:t>
      </w:r>
      <w:r>
        <w:rPr>
          <w:rFonts w:hint="eastAsia" w:ascii="华文仿宋" w:hAnsi="华文仿宋" w:eastAsia="华文仿宋"/>
          <w:sz w:val="28"/>
          <w:szCs w:val="28"/>
        </w:rPr>
        <w:tab/>
      </w:r>
      <w:r>
        <w:rPr>
          <w:rFonts w:hint="eastAsia" w:ascii="华文仿宋" w:hAnsi="华文仿宋" w:eastAsia="华文仿宋"/>
          <w:sz w:val="28"/>
          <w:szCs w:val="28"/>
        </w:rPr>
        <w:t>“现场”系指合同项下货物将要进行安装和运行的地点。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w:t>
      </w:r>
      <w:r>
        <w:rPr>
          <w:rFonts w:hint="eastAsia" w:ascii="华文仿宋" w:hAnsi="华文仿宋" w:eastAsia="华文仿宋"/>
          <w:sz w:val="28"/>
          <w:szCs w:val="28"/>
        </w:rPr>
        <w:tab/>
      </w:r>
      <w:r>
        <w:rPr>
          <w:rFonts w:hint="eastAsia" w:ascii="华文仿宋" w:hAnsi="华文仿宋" w:eastAsia="华文仿宋"/>
          <w:sz w:val="28"/>
          <w:szCs w:val="28"/>
        </w:rPr>
        <w:t>“验收”系指合同双方依据规定的程序和条件确认合同项下的货物符合技术规范的要求。</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二、项目概况</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1．互联网服务接入地点： </w:t>
      </w:r>
    </w:p>
    <w:p>
      <w:pPr>
        <w:spacing w:line="240" w:lineRule="atLeast"/>
        <w:ind w:left="1120" w:hanging="1120" w:hangingChars="400"/>
        <w:rPr>
          <w:rFonts w:ascii="华文仿宋" w:hAnsi="华文仿宋" w:eastAsia="华文仿宋"/>
          <w:sz w:val="28"/>
          <w:szCs w:val="28"/>
        </w:rPr>
      </w:pPr>
      <w:r>
        <w:rPr>
          <w:rFonts w:hint="eastAsia" w:ascii="华文仿宋" w:hAnsi="华文仿宋" w:eastAsia="华文仿宋"/>
          <w:sz w:val="28"/>
          <w:szCs w:val="28"/>
        </w:rPr>
        <w:t xml:space="preserve">2．互联网服务接入带宽：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兆，N</w:t>
      </w:r>
      <w:r>
        <w:rPr>
          <w:rFonts w:ascii="华文仿宋" w:hAnsi="华文仿宋" w:eastAsia="华文仿宋"/>
          <w:sz w:val="28"/>
          <w:szCs w:val="28"/>
        </w:rPr>
        <w:t>AT</w:t>
      </w:r>
      <w:r>
        <w:rPr>
          <w:rFonts w:hint="eastAsia" w:ascii="华文仿宋" w:hAnsi="华文仿宋" w:eastAsia="华文仿宋"/>
          <w:sz w:val="28"/>
          <w:szCs w:val="28"/>
        </w:rPr>
        <w:t>地址：</w:t>
      </w:r>
      <w:r>
        <w:rPr>
          <w:rFonts w:ascii="华文仿宋" w:hAnsi="华文仿宋" w:eastAsia="华文仿宋"/>
          <w:sz w:val="28"/>
          <w:szCs w:val="28"/>
          <w:u w:val="single"/>
        </w:rPr>
        <w:t xml:space="preserve">   </w:t>
      </w:r>
      <w:r>
        <w:rPr>
          <w:rFonts w:hint="eastAsia" w:ascii="华文仿宋" w:hAnsi="华文仿宋" w:eastAsia="华文仿宋"/>
          <w:sz w:val="28"/>
          <w:szCs w:val="28"/>
        </w:rPr>
        <w:t>个，公网地址：</w:t>
      </w:r>
      <w:r>
        <w:rPr>
          <w:rFonts w:ascii="华文仿宋" w:hAnsi="华文仿宋" w:eastAsia="华文仿宋"/>
          <w:sz w:val="28"/>
          <w:szCs w:val="28"/>
          <w:u w:val="single"/>
        </w:rPr>
        <w:t xml:space="preserve">   </w:t>
      </w:r>
      <w:r>
        <w:rPr>
          <w:rFonts w:hint="eastAsia" w:ascii="华文仿宋" w:hAnsi="华文仿宋" w:eastAsia="华文仿宋"/>
          <w:sz w:val="28"/>
          <w:szCs w:val="28"/>
        </w:rPr>
        <w:t>个C</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3．互联网接入方式：</w:t>
      </w:r>
      <w:r>
        <w:rPr>
          <w:rFonts w:hint="eastAsia" w:ascii="华文仿宋" w:hAnsi="华文仿宋" w:eastAsia="华文仿宋"/>
          <w:szCs w:val="21"/>
        </w:rPr>
        <w:t xml:space="preserve"> </w:t>
      </w:r>
      <w:r>
        <w:rPr>
          <w:rFonts w:eastAsia="华文仿宋"/>
          <w:sz w:val="44"/>
          <w:szCs w:val="44"/>
        </w:rPr>
        <w:t>■</w:t>
      </w:r>
      <w:r>
        <w:rPr>
          <w:rFonts w:hint="eastAsia" w:ascii="华文仿宋" w:hAnsi="华文仿宋" w:eastAsia="华文仿宋"/>
          <w:sz w:val="28"/>
          <w:szCs w:val="28"/>
        </w:rPr>
        <w:t xml:space="preserve">LAN  □ATM  □SDH </w:t>
      </w:r>
    </w:p>
    <w:p>
      <w:pPr>
        <w:spacing w:line="240" w:lineRule="atLeast"/>
        <w:ind w:left="560" w:hanging="560" w:hangingChars="200"/>
        <w:rPr>
          <w:rFonts w:ascii="华文仿宋" w:hAnsi="华文仿宋" w:eastAsia="华文仿宋"/>
          <w:sz w:val="28"/>
          <w:szCs w:val="28"/>
        </w:rPr>
      </w:pPr>
      <w:r>
        <w:rPr>
          <w:rFonts w:hint="eastAsia" w:ascii="华文仿宋" w:hAnsi="华文仿宋" w:eastAsia="华文仿宋"/>
          <w:sz w:val="28"/>
          <w:szCs w:val="28"/>
        </w:rPr>
        <w:t xml:space="preserve">4．互联网接入服务期： </w:t>
      </w:r>
      <w:r>
        <w:rPr>
          <w:rFonts w:ascii="华文仿宋" w:hAnsi="华文仿宋" w:eastAsia="华文仿宋"/>
          <w:sz w:val="28"/>
          <w:szCs w:val="28"/>
          <w:u w:val="single"/>
        </w:rPr>
        <w:t xml:space="preserve">    </w:t>
      </w:r>
      <w:r>
        <w:rPr>
          <w:rFonts w:hint="eastAsia" w:ascii="华文仿宋" w:hAnsi="华文仿宋" w:eastAsia="华文仿宋"/>
          <w:sz w:val="28"/>
          <w:szCs w:val="28"/>
        </w:rPr>
        <w:t xml:space="preserve"> 年 </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月</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日零时至</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年</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 xml:space="preserve">月 </w:t>
      </w:r>
      <w:r>
        <w:rPr>
          <w:rFonts w:ascii="华文仿宋" w:hAnsi="华文仿宋" w:eastAsia="华文仿宋"/>
          <w:sz w:val="28"/>
          <w:szCs w:val="28"/>
          <w:u w:val="single"/>
        </w:rPr>
        <w:t xml:space="preserve">   </w:t>
      </w:r>
      <w:r>
        <w:rPr>
          <w:rFonts w:hint="eastAsia" w:ascii="华文仿宋" w:hAnsi="华文仿宋" w:eastAsia="华文仿宋"/>
          <w:sz w:val="28"/>
          <w:szCs w:val="28"/>
        </w:rPr>
        <w:t>日次日零时。</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三、服务价格</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1、乙方向甲方提供服务的价格为人民币</w:t>
      </w:r>
      <w:r>
        <w:rPr>
          <w:rFonts w:hint="eastAsia" w:ascii="华文仿宋" w:hAnsi="华文仿宋" w:eastAsia="华文仿宋"/>
          <w:sz w:val="28"/>
          <w:szCs w:val="28"/>
          <w:u w:val="single"/>
        </w:rPr>
        <w:t>￥</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万</w:t>
      </w:r>
      <w:r>
        <w:rPr>
          <w:rFonts w:hint="eastAsia" w:ascii="华文仿宋" w:hAnsi="华文仿宋" w:eastAsia="华文仿宋"/>
          <w:sz w:val="28"/>
          <w:szCs w:val="28"/>
        </w:rPr>
        <w:t>元整。</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服务明细：</w:t>
      </w:r>
    </w:p>
    <w:tbl>
      <w:tblPr>
        <w:tblStyle w:val="21"/>
        <w:tblW w:w="8033" w:type="dxa"/>
        <w:jc w:val="center"/>
        <w:tblLayout w:type="autofit"/>
        <w:tblCellMar>
          <w:top w:w="0" w:type="dxa"/>
          <w:left w:w="108" w:type="dxa"/>
          <w:bottom w:w="0" w:type="dxa"/>
          <w:right w:w="108" w:type="dxa"/>
        </w:tblCellMar>
      </w:tblPr>
      <w:tblGrid>
        <w:gridCol w:w="1988"/>
        <w:gridCol w:w="1961"/>
        <w:gridCol w:w="1674"/>
        <w:gridCol w:w="2410"/>
      </w:tblGrid>
      <w:tr>
        <w:tblPrEx>
          <w:tblCellMar>
            <w:top w:w="0" w:type="dxa"/>
            <w:left w:w="108" w:type="dxa"/>
            <w:bottom w:w="0" w:type="dxa"/>
            <w:right w:w="108" w:type="dxa"/>
          </w:tblCellMar>
        </w:tblPrEx>
        <w:trPr>
          <w:trHeight w:val="285" w:hRule="atLeast"/>
          <w:jc w:val="center"/>
        </w:trPr>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项目</w:t>
            </w:r>
          </w:p>
        </w:tc>
        <w:tc>
          <w:tcPr>
            <w:tcW w:w="19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16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单价</w:t>
            </w:r>
          </w:p>
        </w:tc>
        <w:tc>
          <w:tcPr>
            <w:tcW w:w="241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年费用</w:t>
            </w:r>
          </w:p>
        </w:tc>
      </w:tr>
      <w:tr>
        <w:tblPrEx>
          <w:tblCellMar>
            <w:top w:w="0" w:type="dxa"/>
            <w:left w:w="108" w:type="dxa"/>
            <w:bottom w:w="0" w:type="dxa"/>
            <w:right w:w="108" w:type="dxa"/>
          </w:tblCellMar>
        </w:tblPrEx>
        <w:trPr>
          <w:trHeight w:val="285"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互联网出口带宽</w:t>
            </w:r>
          </w:p>
        </w:tc>
        <w:tc>
          <w:tcPr>
            <w:tcW w:w="1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167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79"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公网ip地址</w:t>
            </w:r>
          </w:p>
        </w:tc>
        <w:tc>
          <w:tcPr>
            <w:tcW w:w="1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1674" w:type="dxa"/>
            <w:tcBorders>
              <w:top w:val="nil"/>
              <w:left w:val="nil"/>
              <w:bottom w:val="single" w:color="auto" w:sz="4" w:space="0"/>
              <w:right w:val="single" w:color="auto" w:sz="4" w:space="0"/>
            </w:tcBorders>
            <w:shd w:val="clear" w:color="auto" w:fill="auto"/>
            <w:vAlign w:val="center"/>
          </w:tcPr>
          <w:p>
            <w:pPr>
              <w:widowControl/>
              <w:spacing w:line="240" w:lineRule="atLeast"/>
              <w:rPr>
                <w:rFonts w:ascii="等线" w:hAnsi="等线" w:eastAsia="等线"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5"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总计</w:t>
            </w:r>
          </w:p>
        </w:tc>
        <w:tc>
          <w:tcPr>
            <w:tcW w:w="6045"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bl>
    <w:p>
      <w:pPr>
        <w:spacing w:line="240" w:lineRule="atLeast"/>
        <w:rPr>
          <w:rFonts w:ascii="华文仿宋" w:hAnsi="华文仿宋" w:eastAsia="华文仿宋"/>
          <w:sz w:val="28"/>
          <w:szCs w:val="28"/>
        </w:rPr>
      </w:pPr>
      <w:r>
        <w:rPr>
          <w:rFonts w:hint="eastAsia" w:ascii="华文仿宋" w:hAnsi="华文仿宋" w:eastAsia="华文仿宋"/>
          <w:sz w:val="28"/>
          <w:szCs w:val="28"/>
        </w:rPr>
        <w:t>2、服务费计算方式</w:t>
      </w:r>
    </w:p>
    <w:p>
      <w:pPr>
        <w:spacing w:line="240" w:lineRule="atLeast"/>
        <w:ind w:firstLine="420" w:firstLineChars="150"/>
        <w:rPr>
          <w:rFonts w:ascii="华文仿宋" w:hAnsi="华文仿宋" w:eastAsia="华文仿宋"/>
          <w:bCs/>
          <w:sz w:val="28"/>
          <w:szCs w:val="28"/>
        </w:rPr>
      </w:pPr>
      <w:r>
        <w:rPr>
          <w:rFonts w:hint="eastAsia" w:ascii="华文仿宋" w:hAnsi="华文仿宋" w:eastAsia="华文仿宋"/>
          <w:bCs/>
          <w:sz w:val="28"/>
          <w:szCs w:val="28"/>
        </w:rPr>
        <w:t>服务费计算方式为</w:t>
      </w:r>
      <w:r>
        <w:rPr>
          <w:rFonts w:hint="eastAsia" w:ascii="华文仿宋" w:hAnsi="华文仿宋" w:eastAsia="华文仿宋"/>
          <w:bCs/>
          <w:sz w:val="28"/>
          <w:szCs w:val="28"/>
          <w:u w:val="single"/>
        </w:rPr>
        <w:t xml:space="preserve"> </w:t>
      </w:r>
      <w:r>
        <w:rPr>
          <w:rFonts w:ascii="华文仿宋" w:hAnsi="华文仿宋" w:eastAsia="华文仿宋"/>
          <w:bCs/>
          <w:sz w:val="28"/>
          <w:szCs w:val="28"/>
          <w:u w:val="single"/>
        </w:rPr>
        <w:t xml:space="preserve"> </w:t>
      </w:r>
      <w:r>
        <w:rPr>
          <w:rFonts w:hint="eastAsia" w:ascii="华文仿宋" w:hAnsi="华文仿宋" w:eastAsia="华文仿宋"/>
          <w:bCs/>
          <w:sz w:val="28"/>
          <w:szCs w:val="28"/>
          <w:u w:val="single"/>
        </w:rPr>
        <w:t xml:space="preserve"> </w:t>
      </w:r>
      <w:r>
        <w:rPr>
          <w:rFonts w:hint="eastAsia" w:ascii="华文仿宋" w:hAnsi="华文仿宋" w:eastAsia="华文仿宋"/>
          <w:bCs/>
          <w:sz w:val="28"/>
          <w:szCs w:val="28"/>
        </w:rPr>
        <w:t>年度</w:t>
      </w:r>
      <w:r>
        <w:rPr>
          <w:rFonts w:hint="eastAsia" w:ascii="华文仿宋" w:hAnsi="华文仿宋" w:eastAsia="华文仿宋"/>
          <w:bCs/>
          <w:sz w:val="28"/>
          <w:szCs w:val="28"/>
          <w:u w:val="single"/>
        </w:rPr>
        <w:t xml:space="preserve"> </w:t>
      </w:r>
      <w:r>
        <w:rPr>
          <w:rFonts w:ascii="华文仿宋" w:hAnsi="华文仿宋" w:eastAsia="华文仿宋"/>
          <w:bCs/>
          <w:sz w:val="28"/>
          <w:szCs w:val="28"/>
          <w:u w:val="single"/>
        </w:rPr>
        <w:t xml:space="preserve">     </w:t>
      </w:r>
      <w:r>
        <w:rPr>
          <w:rFonts w:hint="eastAsia" w:ascii="华文仿宋" w:hAnsi="华文仿宋" w:eastAsia="华文仿宋"/>
          <w:bCs/>
          <w:sz w:val="28"/>
          <w:szCs w:val="28"/>
          <w:u w:val="single"/>
        </w:rPr>
        <w:t xml:space="preserve"> </w:t>
      </w:r>
      <w:r>
        <w:rPr>
          <w:rFonts w:hint="eastAsia" w:ascii="华文仿宋" w:hAnsi="华文仿宋" w:eastAsia="华文仿宋"/>
          <w:bCs/>
          <w:sz w:val="28"/>
          <w:szCs w:val="28"/>
        </w:rPr>
        <w:t>元，合同签署后60个工作日内甲方向乙方一次性支付合同款，金额</w:t>
      </w:r>
      <w:r>
        <w:rPr>
          <w:rFonts w:hint="eastAsia" w:ascii="华文仿宋" w:hAnsi="华文仿宋" w:eastAsia="华文仿宋"/>
          <w:bCs/>
          <w:sz w:val="28"/>
          <w:szCs w:val="28"/>
          <w:u w:val="single"/>
        </w:rPr>
        <w:t xml:space="preserve">         元</w:t>
      </w:r>
      <w:r>
        <w:rPr>
          <w:rFonts w:hint="eastAsia" w:ascii="华文仿宋" w:hAnsi="华文仿宋" w:eastAsia="华文仿宋"/>
          <w:bCs/>
          <w:sz w:val="28"/>
          <w:szCs w:val="28"/>
        </w:rPr>
        <w:t>。</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3、乙方服务报价已包含了互联网带宽使用费及网络接入所产生的建设、安装、线路迁移、调试、验收、培训、税费等所需的一切费用。甲方因选定乙方服务而产生的互联网带宽使用费以外的费用，由乙方承担。</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4、在本合同有效期内，如乙方服务价格下调，应当及时通知甲方，并相应调整本协议约定的服务价格。</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5、甲乙双方对服务费的具体支付方式及时间可以另行约定，双方可以在本合同的特别约定中写明。</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6、履约担保的特别约定：</w:t>
      </w:r>
    </w:p>
    <w:p>
      <w:pPr>
        <w:spacing w:line="240" w:lineRule="atLeast"/>
        <w:rPr>
          <w:rFonts w:ascii="华文仿宋" w:hAnsi="华文仿宋" w:eastAsia="华文仿宋"/>
          <w:color w:val="FF0000"/>
          <w:sz w:val="28"/>
          <w:szCs w:val="28"/>
        </w:rPr>
      </w:pPr>
      <w:r>
        <w:rPr>
          <w:rFonts w:hint="eastAsia" w:ascii="华文仿宋" w:hAnsi="华文仿宋" w:eastAsia="华文仿宋"/>
          <w:sz w:val="28"/>
          <w:szCs w:val="28"/>
        </w:rPr>
        <w:t>（1）乙方应于合同签订后向甲方缴纳合同总额</w:t>
      </w:r>
      <w:r>
        <w:rPr>
          <w:rFonts w:hint="eastAsia" w:ascii="华文仿宋" w:hAnsi="华文仿宋" w:eastAsia="华文仿宋"/>
          <w:sz w:val="28"/>
          <w:szCs w:val="28"/>
          <w:u w:val="single"/>
        </w:rPr>
        <w:t xml:space="preserve"> 10％</w:t>
      </w:r>
      <w:r>
        <w:rPr>
          <w:rFonts w:hint="eastAsia" w:ascii="华文仿宋" w:hAnsi="华文仿宋" w:eastAsia="华文仿宋"/>
          <w:sz w:val="28"/>
          <w:szCs w:val="28"/>
        </w:rPr>
        <w:t>的履约保证金。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（2）本项目服务期满后，经质量评审合格，自甲乙双方签字确认质量评审结果之日起 30 日内，无息向乙方退还履约保证金。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四、甲方权利和义务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1、甲方按合同约定享受乙方提供的符合国家规定的互联网接入服务。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2、甲方使用乙方提供的互联网接入业务，必须遵守国家相关的法律、法规和政策的规定。甲方使用乙方提供的互联网接入业务违反国家相关法律、法规和政策规定，产生的一切法律责任，由甲方承担。</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3、按本合同约定向乙方支付合同款。</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五、乙方权利和义务</w:t>
      </w:r>
    </w:p>
    <w:p>
      <w:pPr>
        <w:spacing w:line="240" w:lineRule="atLeast"/>
        <w:rPr>
          <w:rFonts w:hint="eastAsia" w:ascii="华文仿宋" w:hAnsi="华文仿宋" w:eastAsia="华文仿宋"/>
          <w:color w:val="FF0000"/>
          <w:sz w:val="28"/>
          <w:szCs w:val="28"/>
        </w:rPr>
      </w:pPr>
      <w:r>
        <w:rPr>
          <w:rFonts w:hint="eastAsia" w:ascii="华文仿宋" w:hAnsi="华文仿宋" w:eastAsia="华文仿宋"/>
          <w:color w:val="FF0000"/>
          <w:sz w:val="28"/>
          <w:szCs w:val="28"/>
        </w:rPr>
        <w:t>1、乙方应在中标公告发布后</w:t>
      </w:r>
      <w:r>
        <w:rPr>
          <w:rFonts w:hint="eastAsia" w:ascii="华文仿宋" w:hAnsi="华文仿宋" w:eastAsia="华文仿宋"/>
          <w:color w:val="FF0000"/>
          <w:sz w:val="28"/>
          <w:szCs w:val="28"/>
          <w:u w:val="single"/>
        </w:rPr>
        <w:t xml:space="preserve"> </w:t>
      </w:r>
      <w:r>
        <w:rPr>
          <w:rFonts w:ascii="华文仿宋" w:hAnsi="华文仿宋" w:eastAsia="华文仿宋"/>
          <w:color w:val="FF0000"/>
          <w:sz w:val="28"/>
          <w:szCs w:val="28"/>
          <w:u w:val="single"/>
        </w:rPr>
        <w:t xml:space="preserve"> </w:t>
      </w:r>
      <w:r>
        <w:rPr>
          <w:rFonts w:hint="eastAsia" w:ascii="华文仿宋" w:hAnsi="华文仿宋" w:eastAsia="华文仿宋"/>
          <w:color w:val="FF0000"/>
          <w:sz w:val="28"/>
          <w:szCs w:val="28"/>
          <w:u w:val="single"/>
        </w:rPr>
        <w:t>7</w:t>
      </w:r>
      <w:r>
        <w:rPr>
          <w:rFonts w:hint="eastAsia" w:ascii="华文仿宋" w:hAnsi="华文仿宋" w:eastAsia="华文仿宋"/>
          <w:color w:val="FF0000"/>
          <w:sz w:val="28"/>
          <w:szCs w:val="28"/>
        </w:rPr>
        <w:t>个工作日内完成主用线路及两条备用线路的安装调试工作，同时向甲方提交书面测试结果，乙方未在规定的合同施工周期内完成合同内容，本合同无效，且</w:t>
      </w:r>
      <w:r>
        <w:rPr>
          <w:rFonts w:ascii="华文仿宋" w:hAnsi="华文仿宋" w:eastAsia="华文仿宋"/>
          <w:color w:val="FF0000"/>
          <w:sz w:val="28"/>
          <w:szCs w:val="28"/>
        </w:rPr>
        <w:t>乙方应向甲方支付年服务费的2%作为违约金</w:t>
      </w:r>
      <w:r>
        <w:rPr>
          <w:rFonts w:hint="eastAsia" w:ascii="华文仿宋" w:hAnsi="华文仿宋" w:eastAsia="华文仿宋"/>
          <w:color w:val="FF0000"/>
          <w:sz w:val="28"/>
          <w:szCs w:val="28"/>
        </w:rPr>
        <w:t>。</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2、乙方在接入服务期内，向甲方提供符合国家规定的互联网接入服务。乙方服务应符合乙方就本次政府采购所提交应答文件中的各项内容要求。</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3、乙方负责向甲方提供7×24不间断网络接入服务，并重点保障重大活动期间及国庆、春节等国家法定节假日期间的业务连续性，提供7×24全天候技术支持响应，提供免费7×24技术支持电话及投诉处理电话：</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技术支持电话：</w:t>
      </w:r>
      <w:r>
        <w:rPr>
          <w:rFonts w:ascii="华文仿宋" w:hAnsi="华文仿宋" w:eastAsia="华文仿宋"/>
          <w:sz w:val="28"/>
          <w:szCs w:val="28"/>
        </w:rPr>
        <w:t xml:space="preserve">        </w:t>
      </w:r>
      <w:r>
        <w:rPr>
          <w:rFonts w:hint="eastAsia" w:ascii="华文仿宋" w:hAnsi="华文仿宋" w:eastAsia="华文仿宋"/>
          <w:sz w:val="28"/>
          <w:szCs w:val="28"/>
        </w:rPr>
        <w:t xml:space="preserve">； 投诉处理电话：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4、乙方负责免费向甲方提供互联网情况查询服务。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5、乙方所提供的网络链路发生持续2分钟以上的中断后，乙方应在5分钟内通知甲方，并在60分钟内给出故障判断报告。如需现场服务，应在4小时内到达现场，并及时向甲方通告故障处理进展情况。</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6、乙方如发生兼并或重组等事项，应由并购后的主体继续履行互联网接入服务直至服务期完结。</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7、未经甲方事先书面同意，乙方不得部分或全部转让其应履行的合同义务。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六、不可抗力</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1、甲、乙双方中任何一方由于战争、严重火灾、水灾、台风和地震以及其它经双方同意属于不可抗力的事故，致使合同履行受阻时，履行合同的期限应予延长，延长的期限应相当于事故所影响的时间。</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2、受事故影响的一方应在不可抗力事故发生后尽快以电报或电传通知另一方，并在事故发生后14天内，将有关部门出具的证明文件用挂号信航寄或以其他方式送达另一方。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3、不可抗力使合同的某些内容有变更必要的，甲、乙双方应通过协商达成进一步履行合同的条款。因不可抗力致使合同不能履行的，合同终止。</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七、违约责任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1、乙方未按照本协议约定向甲方提供服务或其提供的服务不能满足甲方需要的，乙方应于甲方通知后及时修正，如乙方未能及时修正的，每发生一次应向甲方支付</w:t>
      </w:r>
      <w:r>
        <w:rPr>
          <w:rFonts w:hint="eastAsia" w:ascii="华文仿宋" w:hAnsi="华文仿宋" w:eastAsia="华文仿宋"/>
          <w:sz w:val="28"/>
          <w:szCs w:val="28"/>
          <w:u w:val="single"/>
        </w:rPr>
        <w:t>1</w:t>
      </w:r>
      <w:r>
        <w:rPr>
          <w:rFonts w:ascii="华文仿宋" w:hAnsi="华文仿宋" w:eastAsia="华文仿宋"/>
          <w:sz w:val="28"/>
          <w:szCs w:val="28"/>
          <w:u w:val="single"/>
        </w:rPr>
        <w:t>0000</w:t>
      </w:r>
      <w:r>
        <w:rPr>
          <w:rFonts w:hint="eastAsia" w:ascii="华文仿宋" w:hAnsi="华文仿宋" w:eastAsia="华文仿宋"/>
          <w:sz w:val="28"/>
          <w:szCs w:val="28"/>
        </w:rPr>
        <w:t>元的违约金，如给甲方造成损失的，还应赔偿甲方的损失。</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2、乙方未按照约定向甲方提供维修维护服务的，每发生一次应向甲方支付 </w:t>
      </w:r>
      <w:r>
        <w:rPr>
          <w:rFonts w:ascii="华文仿宋" w:hAnsi="华文仿宋" w:eastAsia="华文仿宋"/>
          <w:sz w:val="28"/>
          <w:szCs w:val="28"/>
          <w:u w:val="single"/>
        </w:rPr>
        <w:t>10000</w:t>
      </w:r>
      <w:r>
        <w:rPr>
          <w:rFonts w:hint="eastAsia" w:ascii="华文仿宋" w:hAnsi="华文仿宋" w:eastAsia="华文仿宋"/>
          <w:sz w:val="28"/>
          <w:szCs w:val="28"/>
        </w:rPr>
        <w:t>元的违约金。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3、在协议有效期内，如乙方发生上述违约情形达</w:t>
      </w:r>
      <w:r>
        <w:rPr>
          <w:rFonts w:hint="eastAsia" w:ascii="华文仿宋" w:hAnsi="华文仿宋" w:eastAsia="华文仿宋"/>
          <w:sz w:val="28"/>
          <w:szCs w:val="28"/>
          <w:u w:val="single"/>
        </w:rPr>
        <w:t xml:space="preserve"> 1</w:t>
      </w:r>
      <w:r>
        <w:rPr>
          <w:rFonts w:ascii="华文仿宋" w:hAnsi="华文仿宋" w:eastAsia="华文仿宋"/>
          <w:sz w:val="28"/>
          <w:szCs w:val="28"/>
          <w:u w:val="single"/>
        </w:rPr>
        <w:t>0</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次的，甲方可单方解除本协议，协议解除后，乙方仍应承担违约及赔偿责任。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4、甲方未按照约定政府采购支付流程支付款项的，乙方给予</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30 </w:t>
      </w:r>
      <w:r>
        <w:rPr>
          <w:rFonts w:hint="eastAsia" w:ascii="华文仿宋" w:hAnsi="华文仿宋" w:eastAsia="华文仿宋"/>
          <w:sz w:val="28"/>
          <w:szCs w:val="28"/>
        </w:rPr>
        <w:t>天的宽限期，宽限期满仍未支付的，每迟延一日，按照应付未付款的万分之二承担违约责任。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八、适用法律及争议解决</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1、本合同的订立、效力、解释、履行及其争议的解决，均受中华人民共和国法律调整。</w:t>
      </w:r>
    </w:p>
    <w:p>
      <w:pPr>
        <w:spacing w:line="240" w:lineRule="atLeast"/>
        <w:rPr>
          <w:rFonts w:ascii="华文仿宋" w:hAnsi="华文仿宋" w:eastAsia="华文仿宋"/>
          <w:dstrike/>
          <w:color w:val="FF0000"/>
          <w:sz w:val="28"/>
          <w:szCs w:val="28"/>
        </w:rPr>
      </w:pPr>
      <w:r>
        <w:rPr>
          <w:rFonts w:hint="eastAsia" w:ascii="华文仿宋" w:hAnsi="华文仿宋" w:eastAsia="华文仿宋"/>
          <w:sz w:val="28"/>
          <w:szCs w:val="28"/>
        </w:rPr>
        <w:t>2、如甲、乙双方因本合同发生争议，应尽量通过友好协商解决。若不能达成一致，双方同意向合同签订</w:t>
      </w:r>
      <w:r>
        <w:rPr>
          <w:rFonts w:hint="eastAsia" w:ascii="华文仿宋" w:hAnsi="华文仿宋" w:eastAsia="华文仿宋"/>
          <w:color w:val="000000"/>
          <w:sz w:val="28"/>
          <w:szCs w:val="28"/>
        </w:rPr>
        <w:t>地的</w:t>
      </w:r>
      <w:r>
        <w:rPr>
          <w:rFonts w:hint="eastAsia" w:ascii="华文仿宋" w:hAnsi="华文仿宋" w:eastAsia="华文仿宋"/>
          <w:sz w:val="28"/>
          <w:szCs w:val="28"/>
        </w:rPr>
        <w:t>人民法院起诉。本合同签订地点为：中华人民共和国北京</w:t>
      </w:r>
      <w:r>
        <w:rPr>
          <w:rFonts w:hint="eastAsia" w:ascii="华文仿宋" w:hAnsi="华文仿宋" w:eastAsia="华文仿宋"/>
          <w:sz w:val="28"/>
          <w:szCs w:val="28"/>
          <w:u w:val="single"/>
        </w:rPr>
        <w:t>大兴</w:t>
      </w:r>
      <w:r>
        <w:rPr>
          <w:rFonts w:hint="eastAsia" w:ascii="华文仿宋" w:hAnsi="华文仿宋" w:eastAsia="华文仿宋"/>
          <w:sz w:val="28"/>
          <w:szCs w:val="28"/>
        </w:rPr>
        <w:t>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九、合同的解除</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1、在乙方发生下列情况时，甲方可向乙方发出书面通知，部分或全部终止合同，同时保留向乙方追诉的权利。</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（1）乙方未能在合同规定的限期或甲方同意延长的限期内，提供全部或部分服务的；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（2）乙方未能履行合同规定的其它主要义务的；</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（3）乙方在合同签订或履行过程中有腐败或欺诈行为的。</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“腐败行为”和“欺诈行为”定义如下: “腐败行为”是指乙方向甲方人员提供、给予或接受、索取甲方任何有价值的东西来影响合同签订、履行过程的行为。“欺诈行为”是指乙方为了影响合同签订、履行过程，以谎报事实的方法，损害甲方利益的行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甲方根据本合同规定，全部或部分解除合同之后，双方应当遵循诚实信用原则承担合同解除的后果，如因乙方原因而造成合同解除的，乙方应承担甲方为履行本合同而产生的额外支出。合同部分解除的，双方应继续履行合同中未解除的部分。</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十、破产终止合同</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如果因乙方破产导致合同无法履行时，甲方可以书面形式通知乙方，单方终止合同而不给乙方补偿。但甲方必须以书面形式告知同级政府采购监督管理部门。该合同的终止将不损害或不影响乙方已经采取或将要采取的任何行动或补救措施的权利。</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十一、通知</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本合同任何一方给另一方的通知，都应以书面形式发送到对方在本合同中明示的地址。</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十二、保密</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对于与签订和履行本合同有关的一切信息，乙方负有保密的义务。未经甲方书面许可，乙方不得超过本合同约定的范围使用信息，不得将任何信息向第三方披露。否则，由此产生的一切不利后果，由乙方负责。造成严重后果的，甲方可以解除合同，并要求乙方赔偿由此造成的损失。</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十三、合同生效及其它</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1、本合同正本一式五份，以中文书写，甲方三份，乙方一份，北京市</w:t>
      </w:r>
      <w:r>
        <w:rPr>
          <w:rFonts w:hint="eastAsia" w:ascii="华文仿宋" w:hAnsi="华文仿宋" w:eastAsia="华文仿宋"/>
          <w:sz w:val="28"/>
          <w:szCs w:val="28"/>
          <w:u w:val="single"/>
        </w:rPr>
        <w:t>大兴</w:t>
      </w:r>
      <w:r>
        <w:rPr>
          <w:rFonts w:hint="eastAsia" w:ascii="华文仿宋" w:hAnsi="华文仿宋" w:eastAsia="华文仿宋"/>
          <w:sz w:val="28"/>
          <w:szCs w:val="28"/>
        </w:rPr>
        <w:t>区财政局一份（国库直接支付时使用）。各合同文本对双方均具有同等的约束力。</w:t>
      </w:r>
    </w:p>
    <w:p>
      <w:pPr>
        <w:spacing w:line="240" w:lineRule="atLeast"/>
        <w:rPr>
          <w:rFonts w:hint="eastAsia" w:ascii="宋体" w:hAnsi="宋体" w:eastAsia="宋体"/>
          <w:color w:val="auto"/>
          <w:sz w:val="28"/>
          <w:szCs w:val="28"/>
          <w:u w:val="single"/>
        </w:rPr>
      </w:pPr>
      <w:r>
        <w:rPr>
          <w:rFonts w:hint="eastAsia" w:ascii="华文仿宋" w:hAnsi="华文仿宋" w:eastAsia="华文仿宋"/>
          <w:sz w:val="28"/>
          <w:szCs w:val="28"/>
        </w:rPr>
        <w:t>2</w:t>
      </w:r>
      <w:r>
        <w:rPr>
          <w:rFonts w:ascii="华文仿宋" w:hAnsi="华文仿宋" w:eastAsia="华文仿宋"/>
          <w:sz w:val="28"/>
          <w:szCs w:val="28"/>
        </w:rPr>
        <w:t>、</w:t>
      </w:r>
      <w:r>
        <w:rPr>
          <w:rFonts w:hint="eastAsia" w:ascii="华文仿宋" w:hAnsi="华文仿宋" w:eastAsia="华文仿宋"/>
          <w:sz w:val="28"/>
          <w:szCs w:val="28"/>
        </w:rPr>
        <w:t>本合同部分条款的无效不影响其它条款的效力。</w:t>
      </w:r>
    </w:p>
    <w:p>
      <w:pPr>
        <w:rPr>
          <w:rFonts w:hint="eastAsia"/>
          <w:color w:val="auto"/>
          <w:lang w:val="en-US" w:eastAsia="zh-CN"/>
        </w:rPr>
      </w:pPr>
    </w:p>
    <w:p>
      <w:pPr>
        <w:pStyle w:val="18"/>
        <w:rPr>
          <w:rFonts w:hint="eastAsia"/>
          <w:color w:val="auto"/>
          <w:lang w:val="en-US" w:eastAsia="zh-CN"/>
        </w:rPr>
      </w:pPr>
    </w:p>
    <w:p>
      <w:pPr>
        <w:rPr>
          <w:rFonts w:hint="eastAsia"/>
          <w:color w:val="auto"/>
          <w:lang w:val="en-US" w:eastAsia="zh-CN"/>
        </w:rPr>
      </w:pPr>
    </w:p>
    <w:p>
      <w:pPr>
        <w:pStyle w:val="18"/>
        <w:rPr>
          <w:rFonts w:hint="eastAsia"/>
          <w:color w:val="auto"/>
          <w:lang w:val="en-US" w:eastAsia="zh-CN"/>
        </w:rPr>
      </w:pPr>
    </w:p>
    <w:p>
      <w:pPr>
        <w:numPr>
          <w:ilvl w:val="0"/>
          <w:numId w:val="12"/>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合同书</w:t>
      </w:r>
    </w:p>
    <w:p>
      <w:pPr>
        <w:ind w:firstLine="13493" w:firstLineChars="1920"/>
        <w:rPr>
          <w:rFonts w:ascii="宋体" w:hAnsi="宋体"/>
          <w:sz w:val="28"/>
          <w:szCs w:val="28"/>
        </w:rPr>
      </w:pPr>
      <w:r>
        <w:rPr>
          <w:rFonts w:hint="eastAsia" w:ascii="宋体" w:hAnsi="宋体"/>
          <w:b/>
          <w:sz w:val="70"/>
          <w:szCs w:val="70"/>
        </w:rPr>
        <w:t>北</w:t>
      </w:r>
    </w:p>
    <w:tbl>
      <w:tblPr>
        <w:tblStyle w:val="21"/>
        <w:tblW w:w="9923" w:type="dxa"/>
        <w:tblInd w:w="-459" w:type="dxa"/>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Layout w:type="fixed"/>
        <w:tblCellMar>
          <w:top w:w="0" w:type="dxa"/>
          <w:left w:w="108" w:type="dxa"/>
          <w:bottom w:w="0" w:type="dxa"/>
          <w:right w:w="108" w:type="dxa"/>
        </w:tblCellMar>
      </w:tblPr>
      <w:tblGrid>
        <w:gridCol w:w="9923"/>
      </w:tblGrid>
      <w:tr>
        <w:tblPrEx>
          <w:tblBorders>
            <w:top w:val="single" w:color="FFFFFF" w:sz="4" w:space="0"/>
            <w:left w:val="single" w:color="FFFFFF" w:sz="4" w:space="0"/>
            <w:bottom w:val="single" w:color="FFFFFF" w:sz="4" w:space="0"/>
            <w:right w:val="single" w:color="FFFFFF" w:sz="4"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923" w:type="dxa"/>
          </w:tcPr>
          <w:p>
            <w:pPr>
              <w:widowControl/>
              <w:spacing w:line="580" w:lineRule="exact"/>
              <w:jc w:val="center"/>
              <w:rPr>
                <w:rFonts w:ascii="宋体" w:hAnsi="宋体" w:cs="宋体"/>
                <w:b/>
                <w:bCs/>
                <w:kern w:val="0"/>
                <w:sz w:val="44"/>
                <w:szCs w:val="36"/>
              </w:rPr>
            </w:pPr>
            <w:bookmarkStart w:id="17" w:name="_Hlk132877989"/>
            <w:r>
              <w:rPr>
                <w:rFonts w:ascii="宋体" w:hAnsi="宋体" w:cs="宋体"/>
                <w:b/>
                <w:bCs/>
                <w:kern w:val="0"/>
                <w:sz w:val="44"/>
                <w:szCs w:val="36"/>
              </w:rPr>
              <w:t>北京市政府采购</w:t>
            </w:r>
            <w:r>
              <w:rPr>
                <w:rFonts w:hint="eastAsia" w:ascii="宋体" w:hAnsi="宋体" w:cs="宋体"/>
                <w:b/>
                <w:bCs/>
                <w:kern w:val="0"/>
                <w:sz w:val="44"/>
                <w:szCs w:val="36"/>
              </w:rPr>
              <w:t>电子政务互联网接入服务</w:t>
            </w:r>
          </w:p>
          <w:p>
            <w:pPr>
              <w:widowControl/>
              <w:spacing w:line="580" w:lineRule="exact"/>
              <w:jc w:val="center"/>
              <w:rPr>
                <w:rFonts w:ascii="宋体" w:hAnsi="宋体" w:cs="宋体"/>
                <w:kern w:val="0"/>
                <w:sz w:val="24"/>
              </w:rPr>
            </w:pPr>
            <w:r>
              <w:rPr>
                <w:rFonts w:ascii="宋体" w:hAnsi="宋体" w:cs="宋体"/>
                <w:b/>
                <w:bCs/>
                <w:kern w:val="0"/>
                <w:sz w:val="44"/>
                <w:szCs w:val="36"/>
              </w:rPr>
              <w:t>定点供货合同</w:t>
            </w:r>
          </w:p>
          <w:p>
            <w:pPr>
              <w:spacing w:line="580" w:lineRule="exact"/>
              <w:rPr>
                <w:rFonts w:ascii="仿宋_GB2312" w:hAnsi="宋体" w:eastAsia="仿宋_GB2312" w:cs="宋体"/>
                <w:kern w:val="0"/>
                <w:sz w:val="28"/>
                <w:szCs w:val="21"/>
              </w:rPr>
            </w:pPr>
          </w:p>
        </w:tc>
      </w:tr>
    </w:tbl>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 xml:space="preserve">使用方（甲方）: </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授权代表：</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地  址：</w:t>
      </w:r>
      <w:r>
        <w:rPr>
          <w:rFonts w:hint="eastAsia" w:ascii="华文仿宋" w:hAnsi="华文仿宋" w:eastAsia="华文仿宋"/>
          <w:sz w:val="28"/>
          <w:szCs w:val="28"/>
        </w:rPr>
        <w:tab/>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邮政编码：</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有效联系方式：</w:t>
      </w:r>
    </w:p>
    <w:p>
      <w:pPr>
        <w:spacing w:line="240" w:lineRule="atLeast"/>
        <w:rPr>
          <w:rFonts w:ascii="华文仿宋" w:hAnsi="华文仿宋" w:eastAsia="华文仿宋"/>
          <w:sz w:val="28"/>
          <w:szCs w:val="28"/>
        </w:rPr>
      </w:pPr>
      <w:r>
        <w:rPr>
          <w:rFonts w:ascii="华文仿宋" w:hAnsi="华文仿宋" w:eastAsia="华文仿宋"/>
          <w:sz w:val="28"/>
          <w:szCs w:val="28"/>
        </w:rPr>
        <w:t xml:space="preserve"> </w:t>
      </w:r>
      <w:r>
        <w:rPr>
          <w:rFonts w:ascii="华文仿宋" w:hAnsi="华文仿宋" w:eastAsia="华文仿宋"/>
          <w:sz w:val="28"/>
          <w:szCs w:val="28"/>
        </w:rPr>
        <w:tab/>
      </w:r>
      <w:r>
        <w:rPr>
          <w:rFonts w:ascii="华文仿宋" w:hAnsi="华文仿宋" w:eastAsia="华文仿宋"/>
          <w:sz w:val="28"/>
          <w:szCs w:val="28"/>
        </w:rPr>
        <w:t xml:space="preserve">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供货方（乙方）：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授权代表： </w:t>
      </w:r>
    </w:p>
    <w:p>
      <w:pPr>
        <w:spacing w:line="240" w:lineRule="atLeast"/>
        <w:rPr>
          <w:rFonts w:ascii="华文仿宋" w:hAnsi="华文仿宋"/>
          <w:w w:val="90"/>
          <w:sz w:val="28"/>
          <w:szCs w:val="28"/>
        </w:rPr>
      </w:pPr>
      <w:r>
        <w:rPr>
          <w:rFonts w:hint="eastAsia" w:ascii="华文仿宋" w:hAnsi="华文仿宋" w:eastAsia="华文仿宋"/>
          <w:sz w:val="28"/>
          <w:szCs w:val="28"/>
        </w:rPr>
        <w:t xml:space="preserve"> 联系地址：</w:t>
      </w:r>
    </w:p>
    <w:p>
      <w:pPr>
        <w:spacing w:line="240" w:lineRule="atLeast"/>
        <w:rPr>
          <w:rFonts w:ascii="华文仿宋" w:hAnsi="华文仿宋"/>
          <w:sz w:val="28"/>
          <w:szCs w:val="28"/>
        </w:rPr>
      </w:pPr>
      <w:r>
        <w:rPr>
          <w:rFonts w:hint="eastAsia" w:ascii="华文仿宋" w:hAnsi="华文仿宋" w:eastAsia="华文仿宋"/>
          <w:sz w:val="28"/>
          <w:szCs w:val="28"/>
        </w:rPr>
        <w:t xml:space="preserve"> 邮政编码：</w:t>
      </w:r>
    </w:p>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有效联系方式：</w:t>
      </w:r>
      <w:r>
        <w:rPr>
          <w:rFonts w:hint="eastAsia" w:ascii="华文仿宋" w:hAnsi="华文仿宋" w:eastAsia="华文仿宋"/>
          <w:sz w:val="28"/>
          <w:szCs w:val="28"/>
        </w:rPr>
        <w:tab/>
      </w:r>
    </w:p>
    <w:p>
      <w:pPr>
        <w:spacing w:line="240" w:lineRule="atLeast"/>
        <w:ind w:firstLine="140" w:firstLineChars="50"/>
        <w:rPr>
          <w:rFonts w:ascii="华文仿宋" w:hAnsi="华文仿宋" w:eastAsia="华文仿宋"/>
          <w:sz w:val="28"/>
          <w:szCs w:val="28"/>
        </w:rPr>
      </w:pPr>
      <w:r>
        <w:rPr>
          <w:rFonts w:hint="eastAsia" w:ascii="华文仿宋" w:hAnsi="华文仿宋" w:eastAsia="华文仿宋"/>
          <w:sz w:val="28"/>
          <w:szCs w:val="28"/>
        </w:rPr>
        <w:t>账户名称：</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开户银行：</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全位账号：</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税    号：</w:t>
      </w:r>
    </w:p>
    <w:p>
      <w:pPr>
        <w:spacing w:line="240" w:lineRule="atLeast"/>
        <w:rPr>
          <w:rFonts w:ascii="华文仿宋" w:hAnsi="华文仿宋" w:eastAsia="华文仿宋"/>
          <w:sz w:val="28"/>
          <w:szCs w:val="28"/>
        </w:rPr>
      </w:pPr>
      <w:r>
        <w:rPr>
          <w:rFonts w:ascii="华文仿宋" w:hAnsi="华文仿宋" w:eastAsia="华文仿宋"/>
          <w:sz w:val="28"/>
          <w:szCs w:val="28"/>
        </w:rPr>
        <w:t xml:space="preserve"> </w:t>
      </w:r>
      <w:r>
        <w:rPr>
          <w:rFonts w:ascii="华文仿宋" w:hAnsi="华文仿宋" w:eastAsia="华文仿宋"/>
          <w:sz w:val="28"/>
          <w:szCs w:val="28"/>
        </w:rPr>
        <w:tab/>
      </w:r>
      <w:r>
        <w:rPr>
          <w:rFonts w:ascii="华文仿宋" w:hAnsi="华文仿宋" w:eastAsia="华文仿宋"/>
          <w:sz w:val="28"/>
          <w:szCs w:val="28"/>
        </w:rPr>
        <w:t xml:space="preserve">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按照《中华人民共和国民法典》及相关的政府采购规定，根据中标供应商与北京市信息化工作办公室订立的《北京市政府采购(电子政务互联网接入服务)框架协议》，甲、乙双方就提供电子政务互联网接入服务事宜签订政府采购供货合同并共同遵守履行。</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一、定义</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本合同中的下列术语应解释为：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w:t>
      </w:r>
      <w:r>
        <w:rPr>
          <w:rFonts w:hint="eastAsia" w:ascii="华文仿宋" w:hAnsi="华文仿宋" w:eastAsia="华文仿宋"/>
          <w:sz w:val="28"/>
          <w:szCs w:val="28"/>
        </w:rPr>
        <w:tab/>
      </w:r>
      <w:r>
        <w:rPr>
          <w:rFonts w:hint="eastAsia" w:ascii="华文仿宋" w:hAnsi="华文仿宋" w:eastAsia="华文仿宋"/>
          <w:sz w:val="28"/>
          <w:szCs w:val="28"/>
        </w:rPr>
        <w:t>“合同”系指甲方与供应商签署的、合同格式中载明的甲方与供应商所达成的条款，包括所有的附件、附录和构成合同的其它文件。</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w:t>
      </w:r>
      <w:r>
        <w:rPr>
          <w:rFonts w:hint="eastAsia" w:ascii="华文仿宋" w:hAnsi="华文仿宋" w:eastAsia="华文仿宋"/>
          <w:sz w:val="28"/>
          <w:szCs w:val="28"/>
        </w:rPr>
        <w:tab/>
      </w:r>
      <w:r>
        <w:rPr>
          <w:rFonts w:hint="eastAsia" w:ascii="华文仿宋" w:hAnsi="华文仿宋" w:eastAsia="华文仿宋"/>
          <w:sz w:val="28"/>
          <w:szCs w:val="28"/>
        </w:rPr>
        <w:t>“货物”系指供应商根据合同规定须向甲方提供的一切设备、机械、仪表、备件、工具、手册和其它技术资料及其它材料。</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w:t>
      </w:r>
      <w:r>
        <w:rPr>
          <w:rFonts w:hint="eastAsia" w:ascii="华文仿宋" w:hAnsi="华文仿宋" w:eastAsia="华文仿宋"/>
          <w:sz w:val="28"/>
          <w:szCs w:val="28"/>
        </w:rPr>
        <w:tab/>
      </w:r>
      <w:r>
        <w:rPr>
          <w:rFonts w:hint="eastAsia" w:ascii="华文仿宋" w:hAnsi="华文仿宋" w:eastAsia="华文仿宋"/>
          <w:sz w:val="28"/>
          <w:szCs w:val="28"/>
        </w:rPr>
        <w:t>“服务”系指根据合同规定供应商承担与供货有关的辅助服务，如运输、保险以及其它的服务，如安装、调试、提供技术协助、培训和其他类似的义务。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w:t>
      </w:r>
      <w:r>
        <w:rPr>
          <w:rFonts w:hint="eastAsia" w:ascii="华文仿宋" w:hAnsi="华文仿宋" w:eastAsia="华文仿宋"/>
          <w:sz w:val="28"/>
          <w:szCs w:val="28"/>
        </w:rPr>
        <w:tab/>
      </w:r>
      <w:r>
        <w:rPr>
          <w:rFonts w:hint="eastAsia" w:ascii="华文仿宋" w:hAnsi="华文仿宋" w:eastAsia="华文仿宋"/>
          <w:sz w:val="28"/>
          <w:szCs w:val="28"/>
        </w:rPr>
        <w:t>“供应商”系指根据合同规定提供货物和服务的具有法人资格的公司或实体。</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w:t>
      </w:r>
      <w:r>
        <w:rPr>
          <w:rFonts w:hint="eastAsia" w:ascii="华文仿宋" w:hAnsi="华文仿宋" w:eastAsia="华文仿宋"/>
          <w:sz w:val="28"/>
          <w:szCs w:val="28"/>
        </w:rPr>
        <w:tab/>
      </w:r>
      <w:r>
        <w:rPr>
          <w:rFonts w:hint="eastAsia" w:ascii="华文仿宋" w:hAnsi="华文仿宋" w:eastAsia="华文仿宋"/>
          <w:sz w:val="28"/>
          <w:szCs w:val="28"/>
        </w:rPr>
        <w:t>“现场”系指合同项下货物将要进行安装和运行的地点。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w:t>
      </w:r>
      <w:r>
        <w:rPr>
          <w:rFonts w:hint="eastAsia" w:ascii="华文仿宋" w:hAnsi="华文仿宋" w:eastAsia="华文仿宋"/>
          <w:sz w:val="28"/>
          <w:szCs w:val="28"/>
        </w:rPr>
        <w:tab/>
      </w:r>
      <w:r>
        <w:rPr>
          <w:rFonts w:hint="eastAsia" w:ascii="华文仿宋" w:hAnsi="华文仿宋" w:eastAsia="华文仿宋"/>
          <w:sz w:val="28"/>
          <w:szCs w:val="28"/>
        </w:rPr>
        <w:t>“验收”系指合同双方依据规定的程序和条件确认合同项下的货物符合技术规范的要求。</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二、项目概况</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1．互联网服务接入地点： </w:t>
      </w:r>
    </w:p>
    <w:p>
      <w:pPr>
        <w:spacing w:line="240" w:lineRule="atLeast"/>
        <w:ind w:left="1120" w:hanging="1120" w:hangingChars="400"/>
        <w:rPr>
          <w:rFonts w:ascii="华文仿宋" w:hAnsi="华文仿宋" w:eastAsia="华文仿宋"/>
          <w:sz w:val="28"/>
          <w:szCs w:val="28"/>
        </w:rPr>
      </w:pPr>
      <w:r>
        <w:rPr>
          <w:rFonts w:hint="eastAsia" w:ascii="华文仿宋" w:hAnsi="华文仿宋" w:eastAsia="华文仿宋"/>
          <w:sz w:val="28"/>
          <w:szCs w:val="28"/>
        </w:rPr>
        <w:t xml:space="preserve">2．互联网服务接入带宽：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兆，N</w:t>
      </w:r>
      <w:r>
        <w:rPr>
          <w:rFonts w:ascii="华文仿宋" w:hAnsi="华文仿宋" w:eastAsia="华文仿宋"/>
          <w:sz w:val="28"/>
          <w:szCs w:val="28"/>
        </w:rPr>
        <w:t>AT</w:t>
      </w:r>
      <w:r>
        <w:rPr>
          <w:rFonts w:hint="eastAsia" w:ascii="华文仿宋" w:hAnsi="华文仿宋" w:eastAsia="华文仿宋"/>
          <w:sz w:val="28"/>
          <w:szCs w:val="28"/>
        </w:rPr>
        <w:t>地址：</w:t>
      </w:r>
      <w:r>
        <w:rPr>
          <w:rFonts w:ascii="华文仿宋" w:hAnsi="华文仿宋" w:eastAsia="华文仿宋"/>
          <w:sz w:val="28"/>
          <w:szCs w:val="28"/>
          <w:u w:val="single"/>
        </w:rPr>
        <w:t xml:space="preserve">   </w:t>
      </w:r>
      <w:r>
        <w:rPr>
          <w:rFonts w:hint="eastAsia" w:ascii="华文仿宋" w:hAnsi="华文仿宋" w:eastAsia="华文仿宋"/>
          <w:sz w:val="28"/>
          <w:szCs w:val="28"/>
        </w:rPr>
        <w:t>个，公网地址：</w:t>
      </w:r>
      <w:r>
        <w:rPr>
          <w:rFonts w:ascii="华文仿宋" w:hAnsi="华文仿宋" w:eastAsia="华文仿宋"/>
          <w:sz w:val="28"/>
          <w:szCs w:val="28"/>
          <w:u w:val="single"/>
        </w:rPr>
        <w:t xml:space="preserve">   </w:t>
      </w:r>
      <w:r>
        <w:rPr>
          <w:rFonts w:hint="eastAsia" w:ascii="华文仿宋" w:hAnsi="华文仿宋" w:eastAsia="华文仿宋"/>
          <w:sz w:val="28"/>
          <w:szCs w:val="28"/>
        </w:rPr>
        <w:t>个C</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3．互联网接入方式：</w:t>
      </w:r>
      <w:r>
        <w:rPr>
          <w:rFonts w:hint="eastAsia" w:ascii="华文仿宋" w:hAnsi="华文仿宋" w:eastAsia="华文仿宋"/>
          <w:szCs w:val="21"/>
        </w:rPr>
        <w:t xml:space="preserve"> </w:t>
      </w:r>
      <w:r>
        <w:rPr>
          <w:rFonts w:eastAsia="华文仿宋"/>
          <w:sz w:val="44"/>
          <w:szCs w:val="44"/>
        </w:rPr>
        <w:t>■</w:t>
      </w:r>
      <w:r>
        <w:rPr>
          <w:rFonts w:hint="eastAsia" w:ascii="华文仿宋" w:hAnsi="华文仿宋" w:eastAsia="华文仿宋"/>
          <w:sz w:val="28"/>
          <w:szCs w:val="28"/>
        </w:rPr>
        <w:t xml:space="preserve">LAN  □ATM  □SDH </w:t>
      </w:r>
    </w:p>
    <w:p>
      <w:pPr>
        <w:spacing w:line="240" w:lineRule="atLeast"/>
        <w:ind w:left="560" w:hanging="560" w:hangingChars="200"/>
        <w:rPr>
          <w:rFonts w:ascii="华文仿宋" w:hAnsi="华文仿宋" w:eastAsia="华文仿宋"/>
          <w:sz w:val="28"/>
          <w:szCs w:val="28"/>
        </w:rPr>
      </w:pPr>
      <w:r>
        <w:rPr>
          <w:rFonts w:hint="eastAsia" w:ascii="华文仿宋" w:hAnsi="华文仿宋" w:eastAsia="华文仿宋"/>
          <w:sz w:val="28"/>
          <w:szCs w:val="28"/>
        </w:rPr>
        <w:t xml:space="preserve">4．互联网接入服务期： </w:t>
      </w:r>
      <w:r>
        <w:rPr>
          <w:rFonts w:ascii="华文仿宋" w:hAnsi="华文仿宋" w:eastAsia="华文仿宋"/>
          <w:sz w:val="28"/>
          <w:szCs w:val="28"/>
          <w:u w:val="single"/>
        </w:rPr>
        <w:t xml:space="preserve">    </w:t>
      </w:r>
      <w:r>
        <w:rPr>
          <w:rFonts w:hint="eastAsia" w:ascii="华文仿宋" w:hAnsi="华文仿宋" w:eastAsia="华文仿宋"/>
          <w:sz w:val="28"/>
          <w:szCs w:val="28"/>
        </w:rPr>
        <w:t xml:space="preserve"> 年 </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月</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日零时至</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年</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 xml:space="preserve">月 </w:t>
      </w:r>
      <w:r>
        <w:rPr>
          <w:rFonts w:ascii="华文仿宋" w:hAnsi="华文仿宋" w:eastAsia="华文仿宋"/>
          <w:sz w:val="28"/>
          <w:szCs w:val="28"/>
          <w:u w:val="single"/>
        </w:rPr>
        <w:t xml:space="preserve">   </w:t>
      </w:r>
      <w:r>
        <w:rPr>
          <w:rFonts w:hint="eastAsia" w:ascii="华文仿宋" w:hAnsi="华文仿宋" w:eastAsia="华文仿宋"/>
          <w:sz w:val="28"/>
          <w:szCs w:val="28"/>
        </w:rPr>
        <w:t>日次日零时。</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三、服务价格</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1、乙方向甲方提供服务的价格为人民币</w:t>
      </w:r>
      <w:r>
        <w:rPr>
          <w:rFonts w:hint="eastAsia" w:ascii="华文仿宋" w:hAnsi="华文仿宋" w:eastAsia="华文仿宋"/>
          <w:sz w:val="28"/>
          <w:szCs w:val="28"/>
          <w:u w:val="single"/>
        </w:rPr>
        <w:t>￥</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万</w:t>
      </w:r>
      <w:r>
        <w:rPr>
          <w:rFonts w:hint="eastAsia" w:ascii="华文仿宋" w:hAnsi="华文仿宋" w:eastAsia="华文仿宋"/>
          <w:sz w:val="28"/>
          <w:szCs w:val="28"/>
        </w:rPr>
        <w:t>元整。</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服务明细：</w:t>
      </w:r>
    </w:p>
    <w:tbl>
      <w:tblPr>
        <w:tblStyle w:val="21"/>
        <w:tblW w:w="8033" w:type="dxa"/>
        <w:jc w:val="center"/>
        <w:tblLayout w:type="autofit"/>
        <w:tblCellMar>
          <w:top w:w="0" w:type="dxa"/>
          <w:left w:w="108" w:type="dxa"/>
          <w:bottom w:w="0" w:type="dxa"/>
          <w:right w:w="108" w:type="dxa"/>
        </w:tblCellMar>
      </w:tblPr>
      <w:tblGrid>
        <w:gridCol w:w="1988"/>
        <w:gridCol w:w="1961"/>
        <w:gridCol w:w="1674"/>
        <w:gridCol w:w="2410"/>
      </w:tblGrid>
      <w:tr>
        <w:tblPrEx>
          <w:tblCellMar>
            <w:top w:w="0" w:type="dxa"/>
            <w:left w:w="108" w:type="dxa"/>
            <w:bottom w:w="0" w:type="dxa"/>
            <w:right w:w="108" w:type="dxa"/>
          </w:tblCellMar>
        </w:tblPrEx>
        <w:trPr>
          <w:trHeight w:val="285" w:hRule="atLeast"/>
          <w:jc w:val="center"/>
        </w:trPr>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项目</w:t>
            </w:r>
          </w:p>
        </w:tc>
        <w:tc>
          <w:tcPr>
            <w:tcW w:w="196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167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单价</w:t>
            </w:r>
          </w:p>
        </w:tc>
        <w:tc>
          <w:tcPr>
            <w:tcW w:w="241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年费用</w:t>
            </w:r>
          </w:p>
        </w:tc>
      </w:tr>
      <w:tr>
        <w:tblPrEx>
          <w:tblCellMar>
            <w:top w:w="0" w:type="dxa"/>
            <w:left w:w="108" w:type="dxa"/>
            <w:bottom w:w="0" w:type="dxa"/>
            <w:right w:w="108" w:type="dxa"/>
          </w:tblCellMar>
        </w:tblPrEx>
        <w:trPr>
          <w:trHeight w:val="285"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互联网出口带宽</w:t>
            </w:r>
          </w:p>
        </w:tc>
        <w:tc>
          <w:tcPr>
            <w:tcW w:w="1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1674"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79"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公网ip地址</w:t>
            </w:r>
          </w:p>
        </w:tc>
        <w:tc>
          <w:tcPr>
            <w:tcW w:w="1961"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c>
          <w:tcPr>
            <w:tcW w:w="1674" w:type="dxa"/>
            <w:tcBorders>
              <w:top w:val="nil"/>
              <w:left w:val="nil"/>
              <w:bottom w:val="single" w:color="auto" w:sz="4" w:space="0"/>
              <w:right w:val="single" w:color="auto" w:sz="4" w:space="0"/>
            </w:tcBorders>
            <w:shd w:val="clear" w:color="auto" w:fill="auto"/>
            <w:vAlign w:val="center"/>
          </w:tcPr>
          <w:p>
            <w:pPr>
              <w:widowControl/>
              <w:spacing w:line="240" w:lineRule="atLeast"/>
              <w:rPr>
                <w:rFonts w:ascii="等线" w:hAnsi="等线" w:eastAsia="等线" w:cs="宋体"/>
                <w:color w:val="000000"/>
                <w:kern w:val="0"/>
                <w:sz w:val="22"/>
                <w:szCs w:val="22"/>
              </w:rPr>
            </w:pPr>
          </w:p>
        </w:tc>
        <w:tc>
          <w:tcPr>
            <w:tcW w:w="2410" w:type="dxa"/>
            <w:tcBorders>
              <w:top w:val="nil"/>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5" w:hRule="atLeast"/>
          <w:jc w:val="center"/>
        </w:trPr>
        <w:tc>
          <w:tcPr>
            <w:tcW w:w="1988"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总计</w:t>
            </w:r>
          </w:p>
        </w:tc>
        <w:tc>
          <w:tcPr>
            <w:tcW w:w="6045"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240" w:lineRule="atLeast"/>
              <w:jc w:val="center"/>
              <w:rPr>
                <w:rFonts w:ascii="等线" w:hAnsi="等线" w:eastAsia="等线" w:cs="宋体"/>
                <w:color w:val="000000"/>
                <w:kern w:val="0"/>
                <w:sz w:val="22"/>
                <w:szCs w:val="22"/>
              </w:rPr>
            </w:pPr>
          </w:p>
        </w:tc>
      </w:tr>
    </w:tbl>
    <w:p>
      <w:pPr>
        <w:spacing w:line="240" w:lineRule="atLeast"/>
        <w:rPr>
          <w:rFonts w:ascii="华文仿宋" w:hAnsi="华文仿宋" w:eastAsia="华文仿宋"/>
          <w:sz w:val="28"/>
          <w:szCs w:val="28"/>
        </w:rPr>
      </w:pPr>
      <w:r>
        <w:rPr>
          <w:rFonts w:hint="eastAsia" w:ascii="华文仿宋" w:hAnsi="华文仿宋" w:eastAsia="华文仿宋"/>
          <w:sz w:val="28"/>
          <w:szCs w:val="28"/>
        </w:rPr>
        <w:t>2、服务费计算方式</w:t>
      </w:r>
    </w:p>
    <w:p>
      <w:pPr>
        <w:spacing w:line="240" w:lineRule="atLeast"/>
        <w:ind w:firstLine="420" w:firstLineChars="150"/>
        <w:rPr>
          <w:rFonts w:ascii="华文仿宋" w:hAnsi="华文仿宋" w:eastAsia="华文仿宋"/>
          <w:bCs/>
          <w:sz w:val="28"/>
          <w:szCs w:val="28"/>
        </w:rPr>
      </w:pPr>
      <w:r>
        <w:rPr>
          <w:rFonts w:hint="eastAsia" w:ascii="华文仿宋" w:hAnsi="华文仿宋" w:eastAsia="华文仿宋"/>
          <w:bCs/>
          <w:sz w:val="28"/>
          <w:szCs w:val="28"/>
        </w:rPr>
        <w:t>服务费计算方式为</w:t>
      </w:r>
      <w:r>
        <w:rPr>
          <w:rFonts w:hint="eastAsia" w:ascii="华文仿宋" w:hAnsi="华文仿宋" w:eastAsia="华文仿宋"/>
          <w:bCs/>
          <w:sz w:val="28"/>
          <w:szCs w:val="28"/>
          <w:u w:val="single"/>
        </w:rPr>
        <w:t xml:space="preserve"> </w:t>
      </w:r>
      <w:r>
        <w:rPr>
          <w:rFonts w:ascii="华文仿宋" w:hAnsi="华文仿宋" w:eastAsia="华文仿宋"/>
          <w:bCs/>
          <w:sz w:val="28"/>
          <w:szCs w:val="28"/>
          <w:u w:val="single"/>
        </w:rPr>
        <w:t xml:space="preserve"> </w:t>
      </w:r>
      <w:r>
        <w:rPr>
          <w:rFonts w:hint="eastAsia" w:ascii="华文仿宋" w:hAnsi="华文仿宋" w:eastAsia="华文仿宋"/>
          <w:bCs/>
          <w:sz w:val="28"/>
          <w:szCs w:val="28"/>
          <w:u w:val="single"/>
        </w:rPr>
        <w:t xml:space="preserve"> </w:t>
      </w:r>
      <w:r>
        <w:rPr>
          <w:rFonts w:hint="eastAsia" w:ascii="华文仿宋" w:hAnsi="华文仿宋" w:eastAsia="华文仿宋"/>
          <w:bCs/>
          <w:sz w:val="28"/>
          <w:szCs w:val="28"/>
        </w:rPr>
        <w:t>年度</w:t>
      </w:r>
      <w:r>
        <w:rPr>
          <w:rFonts w:hint="eastAsia" w:ascii="华文仿宋" w:hAnsi="华文仿宋" w:eastAsia="华文仿宋"/>
          <w:bCs/>
          <w:sz w:val="28"/>
          <w:szCs w:val="28"/>
          <w:u w:val="single"/>
        </w:rPr>
        <w:t xml:space="preserve"> </w:t>
      </w:r>
      <w:r>
        <w:rPr>
          <w:rFonts w:ascii="华文仿宋" w:hAnsi="华文仿宋" w:eastAsia="华文仿宋"/>
          <w:bCs/>
          <w:sz w:val="28"/>
          <w:szCs w:val="28"/>
          <w:u w:val="single"/>
        </w:rPr>
        <w:t xml:space="preserve">     </w:t>
      </w:r>
      <w:r>
        <w:rPr>
          <w:rFonts w:hint="eastAsia" w:ascii="华文仿宋" w:hAnsi="华文仿宋" w:eastAsia="华文仿宋"/>
          <w:bCs/>
          <w:sz w:val="28"/>
          <w:szCs w:val="28"/>
          <w:u w:val="single"/>
        </w:rPr>
        <w:t xml:space="preserve"> </w:t>
      </w:r>
      <w:r>
        <w:rPr>
          <w:rFonts w:hint="eastAsia" w:ascii="华文仿宋" w:hAnsi="华文仿宋" w:eastAsia="华文仿宋"/>
          <w:bCs/>
          <w:sz w:val="28"/>
          <w:szCs w:val="28"/>
        </w:rPr>
        <w:t>元，合同签署后60个工作日内甲方向乙方一次性支付合同款，金额</w:t>
      </w:r>
      <w:r>
        <w:rPr>
          <w:rFonts w:hint="eastAsia" w:ascii="华文仿宋" w:hAnsi="华文仿宋" w:eastAsia="华文仿宋"/>
          <w:bCs/>
          <w:sz w:val="28"/>
          <w:szCs w:val="28"/>
          <w:u w:val="single"/>
        </w:rPr>
        <w:t xml:space="preserve">         元</w:t>
      </w:r>
      <w:r>
        <w:rPr>
          <w:rFonts w:hint="eastAsia" w:ascii="华文仿宋" w:hAnsi="华文仿宋" w:eastAsia="华文仿宋"/>
          <w:bCs/>
          <w:sz w:val="28"/>
          <w:szCs w:val="28"/>
        </w:rPr>
        <w:t>。</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3、乙方服务报价已包含了互联网带宽使用费及网络接入所产生的建设、安装、线路迁移、调试、验收、培训、税费等所需的一切费用。甲方因选定乙方服务而产生的互联网带宽使用费以外的费用，由乙方承担。</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4、在本合同有效期内，如乙方服务价格下调，应当及时通知甲方，并相应调整本协议约定的服务价格。</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5、甲乙双方对服务费的具体支付方式及时间可以另行约定，双方可以在本合同的特别约定中写明。</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6、履约担保的特别约定：</w:t>
      </w:r>
    </w:p>
    <w:p>
      <w:pPr>
        <w:spacing w:line="240" w:lineRule="atLeast"/>
        <w:rPr>
          <w:rFonts w:ascii="华文仿宋" w:hAnsi="华文仿宋" w:eastAsia="华文仿宋"/>
          <w:color w:val="FF0000"/>
          <w:sz w:val="28"/>
          <w:szCs w:val="28"/>
        </w:rPr>
      </w:pPr>
      <w:r>
        <w:rPr>
          <w:rFonts w:hint="eastAsia" w:ascii="华文仿宋" w:hAnsi="华文仿宋" w:eastAsia="华文仿宋"/>
          <w:sz w:val="28"/>
          <w:szCs w:val="28"/>
        </w:rPr>
        <w:t>（1）乙方应于合同签订后向甲方缴纳合同总额</w:t>
      </w:r>
      <w:r>
        <w:rPr>
          <w:rFonts w:hint="eastAsia" w:ascii="华文仿宋" w:hAnsi="华文仿宋" w:eastAsia="华文仿宋"/>
          <w:sz w:val="28"/>
          <w:szCs w:val="28"/>
          <w:u w:val="single"/>
        </w:rPr>
        <w:t xml:space="preserve"> 10％</w:t>
      </w:r>
      <w:r>
        <w:rPr>
          <w:rFonts w:hint="eastAsia" w:ascii="华文仿宋" w:hAnsi="华文仿宋" w:eastAsia="华文仿宋"/>
          <w:sz w:val="28"/>
          <w:szCs w:val="28"/>
        </w:rPr>
        <w:t>的履约保证金。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（2）本项目服务期满后，经质量评审合格，自甲乙双方签字确认质量评审结果之日起 30 日内，无息向乙方退还履约保证金。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四、甲方权利和义务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1、甲方按合同约定享受乙方提供的符合国家规定的互联网接入服务。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2、甲方使用乙方提供的互联网接入业务，必须遵守国家相关的法律、法规和政策的规定。甲方使用乙方提供的互联网接入业务违反国家相关法律、法规和政策规定，产生的一切法律责任，由甲方承担。</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3、按本合同约定向乙方支付合同款。</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五、乙方权利和义务</w:t>
      </w:r>
    </w:p>
    <w:p>
      <w:pPr>
        <w:spacing w:line="240" w:lineRule="atLeast"/>
        <w:rPr>
          <w:rFonts w:ascii="华文仿宋" w:hAnsi="华文仿宋" w:eastAsia="华文仿宋"/>
          <w:color w:val="FF0000"/>
          <w:sz w:val="28"/>
          <w:szCs w:val="28"/>
        </w:rPr>
      </w:pPr>
      <w:r>
        <w:rPr>
          <w:rFonts w:hint="eastAsia" w:ascii="华文仿宋" w:hAnsi="华文仿宋" w:eastAsia="华文仿宋"/>
          <w:color w:val="FF0000"/>
          <w:sz w:val="28"/>
          <w:szCs w:val="28"/>
        </w:rPr>
        <w:t>1、乙方应在中标公告发布后</w:t>
      </w:r>
      <w:r>
        <w:rPr>
          <w:rFonts w:hint="eastAsia" w:ascii="华文仿宋" w:hAnsi="华文仿宋" w:eastAsia="华文仿宋"/>
          <w:color w:val="FF0000"/>
          <w:sz w:val="28"/>
          <w:szCs w:val="28"/>
          <w:u w:val="single"/>
        </w:rPr>
        <w:t xml:space="preserve"> </w:t>
      </w:r>
      <w:r>
        <w:rPr>
          <w:rFonts w:ascii="华文仿宋" w:hAnsi="华文仿宋" w:eastAsia="华文仿宋"/>
          <w:color w:val="FF0000"/>
          <w:sz w:val="28"/>
          <w:szCs w:val="28"/>
          <w:u w:val="single"/>
        </w:rPr>
        <w:t xml:space="preserve"> </w:t>
      </w:r>
      <w:r>
        <w:rPr>
          <w:rFonts w:hint="eastAsia" w:ascii="华文仿宋" w:hAnsi="华文仿宋" w:eastAsia="华文仿宋"/>
          <w:color w:val="FF0000"/>
          <w:sz w:val="28"/>
          <w:szCs w:val="28"/>
          <w:u w:val="single"/>
        </w:rPr>
        <w:t>7</w:t>
      </w:r>
      <w:r>
        <w:rPr>
          <w:rFonts w:hint="eastAsia" w:ascii="华文仿宋" w:hAnsi="华文仿宋" w:eastAsia="华文仿宋"/>
          <w:color w:val="FF0000"/>
          <w:sz w:val="28"/>
          <w:szCs w:val="28"/>
        </w:rPr>
        <w:t>个工作日内完成主用线路及两条备用线路的安装调试工作，同时向甲方提交书面测试结果，乙方未在规定的合同施工周期内完成合同内容，本合同无效，且</w:t>
      </w:r>
      <w:r>
        <w:rPr>
          <w:rFonts w:ascii="华文仿宋" w:hAnsi="华文仿宋" w:eastAsia="华文仿宋"/>
          <w:color w:val="FF0000"/>
          <w:sz w:val="28"/>
          <w:szCs w:val="28"/>
        </w:rPr>
        <w:t>乙方应向甲方支付年服务费的2%作为违约金</w:t>
      </w:r>
      <w:r>
        <w:rPr>
          <w:rFonts w:hint="eastAsia" w:ascii="华文仿宋" w:hAnsi="华文仿宋" w:eastAsia="华文仿宋"/>
          <w:color w:val="FF0000"/>
          <w:sz w:val="28"/>
          <w:szCs w:val="28"/>
        </w:rPr>
        <w:t>。</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2、乙方在接入服务期内，向甲方提供符合国家规定的互联网接入服务。乙方服务应符合乙方就本次政府采购所提交应答文件中的各项内容要求。</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3、乙方负责向甲方提供7×24不间断网络接入服务，并重点保障重大活动期间及国庆、春节等国家法定节假日期间的业务连续性，提供7×24全天候技术支持响应，提供免费7×24技术支持电话及投诉处理电话：</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技术支持电话：</w:t>
      </w:r>
      <w:r>
        <w:rPr>
          <w:rFonts w:ascii="华文仿宋" w:hAnsi="华文仿宋" w:eastAsia="华文仿宋"/>
          <w:sz w:val="28"/>
          <w:szCs w:val="28"/>
        </w:rPr>
        <w:t xml:space="preserve">        </w:t>
      </w:r>
      <w:r>
        <w:rPr>
          <w:rFonts w:hint="eastAsia" w:ascii="华文仿宋" w:hAnsi="华文仿宋" w:eastAsia="华文仿宋"/>
          <w:sz w:val="28"/>
          <w:szCs w:val="28"/>
        </w:rPr>
        <w:t xml:space="preserve">； 投诉处理电话：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4、乙方负责免费向甲方提供互联网情况查询服务。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5、乙方所提供的网络链路发生持续2分钟以上的中断后，乙方应在5分钟内通知甲方，并在60分钟内给出故障判断报告。如需现场服务，应在4小时内到达现场，并及时向甲方通告故障处理进展情况。</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6、乙方如发生兼并或重组等事项，应由并购后的主体继续履行互联网接入服务直至服务期完结。</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7、未经甲方事先书面同意，乙方不得部分或全部转让其应履行的合同义务。</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六、不可抗力</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1、甲、乙双方中任何一方由于战争、严重火灾、水灾、台风和地震以及其它经双方同意属于不可抗力的事故，致使合同履行受阻时，履行合同的期限应予延长，延长的期限应相当于事故所影响的时间。</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2、受事故影响的一方应在不可抗力事故发生后尽快以电报或电传通知另一方，并在事故发生后14天内，将有关部门出具的证明文件用挂号信航寄或以其他方式送达另一方。</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3、不可抗力使合同的某些内容有变更必要的，甲、乙双方应通过协商达成进一步履行合同的条款。因不可抗力致使合同不能履行的，合同终止。</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七、违约责任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1、乙方未按照本协议约定向甲方提供服务或其提供的服务不能满足甲方需要的，乙方应于甲方通知后及时修正，如乙方未能及时修正的，每发生一次应向甲方支付</w:t>
      </w:r>
      <w:r>
        <w:rPr>
          <w:rFonts w:hint="eastAsia" w:ascii="华文仿宋" w:hAnsi="华文仿宋" w:eastAsia="华文仿宋"/>
          <w:sz w:val="28"/>
          <w:szCs w:val="28"/>
          <w:u w:val="single"/>
        </w:rPr>
        <w:t>1</w:t>
      </w:r>
      <w:r>
        <w:rPr>
          <w:rFonts w:ascii="华文仿宋" w:hAnsi="华文仿宋" w:eastAsia="华文仿宋"/>
          <w:sz w:val="28"/>
          <w:szCs w:val="28"/>
          <w:u w:val="single"/>
        </w:rPr>
        <w:t>0000</w:t>
      </w:r>
      <w:r>
        <w:rPr>
          <w:rFonts w:hint="eastAsia" w:ascii="华文仿宋" w:hAnsi="华文仿宋" w:eastAsia="华文仿宋"/>
          <w:sz w:val="28"/>
          <w:szCs w:val="28"/>
        </w:rPr>
        <w:t>元的违约金，如给甲方造成损失的，还应赔偿甲方的损失。</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2、乙方未按照约定向甲方提供维修维护服务的，每发生一次应向甲方支付 </w:t>
      </w:r>
      <w:r>
        <w:rPr>
          <w:rFonts w:ascii="华文仿宋" w:hAnsi="华文仿宋" w:eastAsia="华文仿宋"/>
          <w:sz w:val="28"/>
          <w:szCs w:val="28"/>
          <w:u w:val="single"/>
        </w:rPr>
        <w:t>10000</w:t>
      </w:r>
      <w:r>
        <w:rPr>
          <w:rFonts w:hint="eastAsia" w:ascii="华文仿宋" w:hAnsi="华文仿宋" w:eastAsia="华文仿宋"/>
          <w:sz w:val="28"/>
          <w:szCs w:val="28"/>
        </w:rPr>
        <w:t>元的违约金。</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3、在协议有效期内，如乙方发生上述违约情形达</w:t>
      </w:r>
      <w:r>
        <w:rPr>
          <w:rFonts w:hint="eastAsia" w:ascii="华文仿宋" w:hAnsi="华文仿宋" w:eastAsia="华文仿宋"/>
          <w:sz w:val="28"/>
          <w:szCs w:val="28"/>
          <w:u w:val="single"/>
        </w:rPr>
        <w:t xml:space="preserve"> 1</w:t>
      </w:r>
      <w:r>
        <w:rPr>
          <w:rFonts w:ascii="华文仿宋" w:hAnsi="华文仿宋" w:eastAsia="华文仿宋"/>
          <w:sz w:val="28"/>
          <w:szCs w:val="28"/>
          <w:u w:val="single"/>
        </w:rPr>
        <w:t>0</w:t>
      </w:r>
      <w:r>
        <w:rPr>
          <w:rFonts w:hint="eastAsia" w:ascii="华文仿宋" w:hAnsi="华文仿宋" w:eastAsia="华文仿宋"/>
          <w:sz w:val="28"/>
          <w:szCs w:val="28"/>
          <w:u w:val="single"/>
        </w:rPr>
        <w:t xml:space="preserve"> </w:t>
      </w:r>
      <w:r>
        <w:rPr>
          <w:rFonts w:hint="eastAsia" w:ascii="华文仿宋" w:hAnsi="华文仿宋" w:eastAsia="华文仿宋"/>
          <w:sz w:val="28"/>
          <w:szCs w:val="28"/>
        </w:rPr>
        <w:t>次的，甲方可单方解除本协议，协议解除后，乙方仍应承担违约及赔偿责任。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4、甲方未按照约定政府采购支付流程支付款项的，乙方给予</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30 </w:t>
      </w:r>
      <w:r>
        <w:rPr>
          <w:rFonts w:hint="eastAsia" w:ascii="华文仿宋" w:hAnsi="华文仿宋" w:eastAsia="华文仿宋"/>
          <w:sz w:val="28"/>
          <w:szCs w:val="28"/>
        </w:rPr>
        <w:t>天的宽限期，宽限期满仍未支付的，每迟延一日，按照应付未付款的万分之二承担违约责任。</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八、适用法律及争议解决</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1、本合同的订立、效力、解释、履行及其争议的解决，均受中华人民共和国法律调整。</w:t>
      </w:r>
    </w:p>
    <w:p>
      <w:pPr>
        <w:spacing w:line="240" w:lineRule="atLeast"/>
        <w:rPr>
          <w:rFonts w:ascii="华文仿宋" w:hAnsi="华文仿宋" w:eastAsia="华文仿宋"/>
          <w:dstrike/>
          <w:color w:val="FF0000"/>
          <w:sz w:val="28"/>
          <w:szCs w:val="28"/>
        </w:rPr>
      </w:pPr>
      <w:r>
        <w:rPr>
          <w:rFonts w:hint="eastAsia" w:ascii="华文仿宋" w:hAnsi="华文仿宋" w:eastAsia="华文仿宋"/>
          <w:sz w:val="28"/>
          <w:szCs w:val="28"/>
        </w:rPr>
        <w:t>2、如甲、乙双方因本合同发生争议，应尽量通过友好协商解决。若不能达成一致，双方同意向合同签订</w:t>
      </w:r>
      <w:r>
        <w:rPr>
          <w:rFonts w:hint="eastAsia" w:ascii="华文仿宋" w:hAnsi="华文仿宋" w:eastAsia="华文仿宋"/>
          <w:color w:val="000000"/>
          <w:sz w:val="28"/>
          <w:szCs w:val="28"/>
        </w:rPr>
        <w:t>地的</w:t>
      </w:r>
      <w:r>
        <w:rPr>
          <w:rFonts w:hint="eastAsia" w:ascii="华文仿宋" w:hAnsi="华文仿宋" w:eastAsia="华文仿宋"/>
          <w:sz w:val="28"/>
          <w:szCs w:val="28"/>
        </w:rPr>
        <w:t>人民法院起诉。本合同签订地点为：中华人民共和国北京</w:t>
      </w:r>
      <w:r>
        <w:rPr>
          <w:rFonts w:hint="eastAsia" w:ascii="华文仿宋" w:hAnsi="华文仿宋" w:eastAsia="华文仿宋"/>
          <w:sz w:val="28"/>
          <w:szCs w:val="28"/>
          <w:u w:val="single"/>
        </w:rPr>
        <w:t>大兴</w:t>
      </w:r>
      <w:r>
        <w:rPr>
          <w:rFonts w:hint="eastAsia" w:ascii="华文仿宋" w:hAnsi="华文仿宋" w:eastAsia="华文仿宋"/>
          <w:sz w:val="28"/>
          <w:szCs w:val="28"/>
        </w:rPr>
        <w:t>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九、合同的解除</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1、在乙方发生下列情况时，甲方可向乙方发出书面通知，部分或全部终止合同，同时保留向乙方追诉的权利。</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（1）乙方未能在合同规定的限期或甲方同意延长的限期内，提供全部或部分服务的； </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（2）乙方未能履行合同规定的其它主要义务的；</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（3）乙方在合同签订或履行过程中有腐败或欺诈行为的。</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 xml:space="preserve"> “腐败行为”和“欺诈行为”定义如下: “腐败行为”是指乙方向甲方人员提供、给予或接受、索取甲方任何有价值的东西来影响合同签订、履行过程的行为。“欺诈行为”是指乙方为了影响合同签订、履行过程，以谎报事实的方法，损害甲方利益的行为。</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2、甲方根据本合同规定，全部或部分解除合同之后，双方应当遵循诚实信用原则承担合同解除的后果，如因乙方原因而造成合同解除的，乙方应承担甲方为履行本合同而产生的额外支出。合同部分解除的，双方应继续履行合同中未解除的部分。</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十、破产终止合同</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如果因乙方破产导致合同无法履行时，甲方可以书面形式通知乙方，单方终止合同而不给乙方补偿。但甲方必须以书面形式告知同级政府采购监督管理部门。该合同的终止将不损害或不影响乙方已经采取或将要采取的任何行动或补救措施的权利。</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十一、通知</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本合同任何一方给另一方的通知，都应以书面形式发送到对方在本合同中明示的地址。</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十二、保密</w:t>
      </w:r>
    </w:p>
    <w:p>
      <w:pPr>
        <w:spacing w:line="240" w:lineRule="atLeast"/>
        <w:ind w:firstLine="560" w:firstLineChars="200"/>
        <w:rPr>
          <w:rFonts w:ascii="华文仿宋" w:hAnsi="华文仿宋" w:eastAsia="华文仿宋"/>
          <w:sz w:val="28"/>
          <w:szCs w:val="28"/>
        </w:rPr>
      </w:pPr>
      <w:r>
        <w:rPr>
          <w:rFonts w:hint="eastAsia" w:ascii="华文仿宋" w:hAnsi="华文仿宋" w:eastAsia="华文仿宋"/>
          <w:sz w:val="28"/>
          <w:szCs w:val="28"/>
        </w:rPr>
        <w:t>对于与签订和履行本合同有关的一切信息，乙方负有保密的义务。未经甲方书面许可，乙方不得超过本合同约定的范围使用信息，不得将任何信息向第三方披露。否则，由此产生的一切不利后果，由乙方负责。造成严重后果的，甲方可以解除合同，并要求乙方赔偿由此造成的损失。</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十三、合同生效及其它</w:t>
      </w:r>
    </w:p>
    <w:p>
      <w:pPr>
        <w:spacing w:line="240" w:lineRule="atLeast"/>
        <w:rPr>
          <w:rFonts w:ascii="华文仿宋" w:hAnsi="华文仿宋" w:eastAsia="华文仿宋"/>
          <w:sz w:val="28"/>
          <w:szCs w:val="28"/>
        </w:rPr>
      </w:pPr>
      <w:r>
        <w:rPr>
          <w:rFonts w:hint="eastAsia" w:ascii="华文仿宋" w:hAnsi="华文仿宋" w:eastAsia="华文仿宋"/>
          <w:sz w:val="28"/>
          <w:szCs w:val="28"/>
        </w:rPr>
        <w:t>1、本合同正本一式五份，以中文书写，甲方三份，乙方一份，北京市</w:t>
      </w:r>
      <w:r>
        <w:rPr>
          <w:rFonts w:hint="eastAsia" w:ascii="华文仿宋" w:hAnsi="华文仿宋" w:eastAsia="华文仿宋"/>
          <w:sz w:val="28"/>
          <w:szCs w:val="28"/>
          <w:u w:val="single"/>
        </w:rPr>
        <w:t>大兴</w:t>
      </w:r>
      <w:r>
        <w:rPr>
          <w:rFonts w:hint="eastAsia" w:ascii="华文仿宋" w:hAnsi="华文仿宋" w:eastAsia="华文仿宋"/>
          <w:sz w:val="28"/>
          <w:szCs w:val="28"/>
        </w:rPr>
        <w:t>区财政局一份（国库直接支付时使用）。各合同文本对双方均具有同等的约束力。</w:t>
      </w:r>
    </w:p>
    <w:p>
      <w:pPr>
        <w:spacing w:line="240" w:lineRule="atLeast"/>
        <w:rPr>
          <w:rFonts w:ascii="华文仿宋" w:hAnsi="华文仿宋" w:eastAsia="华文仿宋"/>
          <w:color w:val="000000" w:themeColor="text1"/>
          <w:sz w:val="28"/>
          <w:szCs w:val="28"/>
          <w14:textFill>
            <w14:solidFill>
              <w14:schemeClr w14:val="tx1"/>
            </w14:solidFill>
          </w14:textFill>
        </w:rPr>
      </w:pPr>
      <w:r>
        <w:rPr>
          <w:rFonts w:hint="eastAsia" w:ascii="华文仿宋" w:hAnsi="华文仿宋" w:eastAsia="华文仿宋"/>
          <w:color w:val="000000" w:themeColor="text1"/>
          <w:sz w:val="28"/>
          <w:szCs w:val="28"/>
          <w14:textFill>
            <w14:solidFill>
              <w14:schemeClr w14:val="tx1"/>
            </w14:solidFill>
          </w14:textFill>
        </w:rPr>
        <w:t>2</w:t>
      </w:r>
      <w:r>
        <w:rPr>
          <w:rFonts w:ascii="华文仿宋" w:hAnsi="华文仿宋" w:eastAsia="华文仿宋"/>
          <w:color w:val="000000" w:themeColor="text1"/>
          <w:sz w:val="28"/>
          <w:szCs w:val="28"/>
          <w14:textFill>
            <w14:solidFill>
              <w14:schemeClr w14:val="tx1"/>
            </w14:solidFill>
          </w14:textFill>
        </w:rPr>
        <w:t>、</w:t>
      </w:r>
      <w:r>
        <w:rPr>
          <w:rFonts w:hint="eastAsia" w:ascii="华文仿宋" w:hAnsi="华文仿宋" w:eastAsia="华文仿宋"/>
          <w:color w:val="000000" w:themeColor="text1"/>
          <w:sz w:val="28"/>
          <w:szCs w:val="28"/>
          <w14:textFill>
            <w14:solidFill>
              <w14:schemeClr w14:val="tx1"/>
            </w14:solidFill>
          </w14:textFill>
        </w:rPr>
        <w:t>本合同部分条款的无效不影响其它条款的效力。</w:t>
      </w:r>
    </w:p>
    <w:bookmarkEnd w:id="17"/>
    <w:p>
      <w:pPr>
        <w:spacing w:line="240" w:lineRule="atLeast"/>
        <w:rPr>
          <w:rFonts w:ascii="华文仿宋" w:hAnsi="华文仿宋" w:eastAsia="华文仿宋"/>
          <w:color w:val="000000" w:themeColor="text1"/>
          <w:sz w:val="28"/>
          <w:szCs w:val="28"/>
          <w14:textFill>
            <w14:solidFill>
              <w14:schemeClr w14:val="tx1"/>
            </w14:solidFill>
          </w14:textFill>
        </w:rPr>
      </w:pPr>
      <w:bookmarkStart w:id="18" w:name="_Hlk132878073"/>
      <w:r>
        <w:rPr>
          <w:rFonts w:hint="eastAsia" w:ascii="华文仿宋" w:hAnsi="华文仿宋" w:eastAsia="华文仿宋"/>
          <w:color w:val="000000" w:themeColor="text1"/>
          <w:sz w:val="28"/>
          <w:szCs w:val="28"/>
          <w14:textFill>
            <w14:solidFill>
              <w14:schemeClr w14:val="tx1"/>
            </w14:solidFill>
          </w14:textFill>
        </w:rPr>
        <w:t>十四、特别约定</w:t>
      </w:r>
    </w:p>
    <w:p>
      <w:pPr>
        <w:spacing w:line="240" w:lineRule="atLeast"/>
        <w:ind w:firstLine="560" w:firstLineChars="200"/>
        <w:rPr>
          <w:rFonts w:ascii="华文仿宋" w:hAnsi="华文仿宋" w:eastAsia="华文仿宋"/>
          <w:color w:val="000000" w:themeColor="text1"/>
          <w:sz w:val="28"/>
          <w:szCs w:val="28"/>
          <w14:textFill>
            <w14:solidFill>
              <w14:schemeClr w14:val="tx1"/>
            </w14:solidFill>
          </w14:textFill>
        </w:rPr>
      </w:pPr>
      <w:r>
        <w:rPr>
          <w:rFonts w:hint="eastAsia" w:ascii="华文仿宋" w:hAnsi="华文仿宋" w:eastAsia="华文仿宋"/>
          <w:color w:val="000000" w:themeColor="text1"/>
          <w:sz w:val="28"/>
          <w:szCs w:val="28"/>
          <w14:textFill>
            <w14:solidFill>
              <w14:schemeClr w14:val="tx1"/>
            </w14:solidFill>
          </w14:textFill>
        </w:rPr>
        <w:t>除本合同以上规定外，双方特别约定以下内容：</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 xml:space="preserve">1、乙方提供7×24小时不间断网络接入服务，具有本地化服务能力，响应时间在半小时内，2小时内上门服务。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2、保障重大活动期间的业务连续性，提供7×</w:t>
      </w:r>
      <w:r>
        <w:rPr>
          <w:rFonts w:ascii="华文仿宋" w:hAnsi="华文仿宋" w:eastAsia="华文仿宋"/>
          <w:color w:val="000000" w:themeColor="text1"/>
          <w:sz w:val="28"/>
          <w:szCs w:val="28"/>
          <w:u w:val="single"/>
          <w14:textFill>
            <w14:solidFill>
              <w14:schemeClr w14:val="tx1"/>
            </w14:solidFill>
          </w14:textFill>
        </w:rPr>
        <w:t>24</w:t>
      </w:r>
      <w:r>
        <w:rPr>
          <w:rFonts w:hint="eastAsia" w:ascii="华文仿宋" w:hAnsi="华文仿宋" w:eastAsia="华文仿宋"/>
          <w:color w:val="000000" w:themeColor="text1"/>
          <w:sz w:val="28"/>
          <w:szCs w:val="28"/>
          <w:u w:val="single"/>
          <w14:textFill>
            <w14:solidFill>
              <w14:schemeClr w14:val="tx1"/>
            </w14:solidFill>
          </w14:textFill>
        </w:rPr>
        <w:t xml:space="preserve">小时全天候技术响应及上门服务，公布免费技术支持及投诉处理电话，提供一人驻场技术服务支持。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ascii="华文仿宋" w:hAnsi="华文仿宋" w:eastAsia="华文仿宋"/>
          <w:color w:val="000000" w:themeColor="text1"/>
          <w:sz w:val="28"/>
          <w:szCs w:val="28"/>
          <w:u w:val="single"/>
          <w14:textFill>
            <w14:solidFill>
              <w14:schemeClr w14:val="tx1"/>
            </w14:solidFill>
          </w14:textFill>
        </w:rPr>
        <w:t>3</w:t>
      </w:r>
      <w:r>
        <w:rPr>
          <w:rFonts w:hint="eastAsia" w:ascii="华文仿宋" w:hAnsi="华文仿宋" w:eastAsia="华文仿宋"/>
          <w:color w:val="000000" w:themeColor="text1"/>
          <w:sz w:val="28"/>
          <w:szCs w:val="28"/>
          <w:u w:val="single"/>
          <w14:textFill>
            <w14:solidFill>
              <w14:schemeClr w14:val="tx1"/>
            </w14:solidFill>
          </w14:textFill>
        </w:rPr>
        <w:t>、按照黄金级别S</w:t>
      </w:r>
      <w:r>
        <w:rPr>
          <w:rFonts w:ascii="华文仿宋" w:hAnsi="华文仿宋" w:eastAsia="华文仿宋"/>
          <w:color w:val="000000" w:themeColor="text1"/>
          <w:sz w:val="28"/>
          <w:szCs w:val="28"/>
          <w:u w:val="single"/>
          <w14:textFill>
            <w14:solidFill>
              <w14:schemeClr w14:val="tx1"/>
            </w14:solidFill>
          </w14:textFill>
        </w:rPr>
        <w:t>LA</w:t>
      </w:r>
      <w:r>
        <w:rPr>
          <w:rFonts w:hint="eastAsia" w:ascii="华文仿宋" w:hAnsi="华文仿宋" w:eastAsia="华文仿宋"/>
          <w:color w:val="000000" w:themeColor="text1"/>
          <w:sz w:val="28"/>
          <w:szCs w:val="28"/>
          <w:u w:val="single"/>
          <w14:textFill>
            <w14:solidFill>
              <w14:schemeClr w14:val="tx1"/>
            </w14:solidFill>
          </w14:textFill>
        </w:rPr>
        <w:t>标准进行服务保障，依据光纤链路中断时间做出相应的赔偿。发生故障后维修时间不得超过1</w:t>
      </w:r>
      <w:r>
        <w:rPr>
          <w:rFonts w:ascii="华文仿宋" w:hAnsi="华文仿宋" w:eastAsia="华文仿宋"/>
          <w:color w:val="000000" w:themeColor="text1"/>
          <w:sz w:val="28"/>
          <w:szCs w:val="28"/>
          <w:u w:val="single"/>
          <w14:textFill>
            <w14:solidFill>
              <w14:schemeClr w14:val="tx1"/>
            </w14:solidFill>
          </w14:textFill>
        </w:rPr>
        <w:t>2</w:t>
      </w:r>
      <w:r>
        <w:rPr>
          <w:rFonts w:hint="eastAsia" w:ascii="华文仿宋" w:hAnsi="华文仿宋" w:eastAsia="华文仿宋"/>
          <w:color w:val="000000" w:themeColor="text1"/>
          <w:sz w:val="28"/>
          <w:szCs w:val="28"/>
          <w:u w:val="single"/>
          <w14:textFill>
            <w14:solidFill>
              <w14:schemeClr w14:val="tx1"/>
            </w14:solidFill>
          </w14:textFill>
        </w:rPr>
        <w:t>个小时，超过后每1</w:t>
      </w:r>
      <w:r>
        <w:rPr>
          <w:rFonts w:ascii="华文仿宋" w:hAnsi="华文仿宋" w:eastAsia="华文仿宋"/>
          <w:color w:val="000000" w:themeColor="text1"/>
          <w:sz w:val="28"/>
          <w:szCs w:val="28"/>
          <w:u w:val="single"/>
          <w14:textFill>
            <w14:solidFill>
              <w14:schemeClr w14:val="tx1"/>
            </w14:solidFill>
          </w14:textFill>
        </w:rPr>
        <w:t>2</w:t>
      </w:r>
      <w:r>
        <w:rPr>
          <w:rFonts w:hint="eastAsia" w:ascii="华文仿宋" w:hAnsi="华文仿宋" w:eastAsia="华文仿宋"/>
          <w:color w:val="000000" w:themeColor="text1"/>
          <w:sz w:val="28"/>
          <w:szCs w:val="28"/>
          <w:u w:val="single"/>
          <w14:textFill>
            <w14:solidFill>
              <w14:schemeClr w14:val="tx1"/>
            </w14:solidFill>
          </w14:textFill>
        </w:rPr>
        <w:t>小时计违约一次。提供</w:t>
      </w:r>
      <w:r>
        <w:rPr>
          <w:rFonts w:hint="eastAsia" w:ascii="华文仿宋" w:hAnsi="华文仿宋" w:eastAsia="华文仿宋"/>
          <w:color w:val="FF0000"/>
          <w:sz w:val="28"/>
          <w:szCs w:val="28"/>
          <w:u w:val="single"/>
        </w:rPr>
        <w:t>两条冗余备份光纤链路</w:t>
      </w:r>
      <w:r>
        <w:rPr>
          <w:rFonts w:hint="eastAsia" w:ascii="华文仿宋" w:hAnsi="华文仿宋" w:eastAsia="华文仿宋"/>
          <w:color w:val="000000" w:themeColor="text1"/>
          <w:sz w:val="28"/>
          <w:szCs w:val="28"/>
          <w:u w:val="single"/>
          <w14:textFill>
            <w14:solidFill>
              <w14:schemeClr w14:val="tx1"/>
            </w14:solidFill>
          </w14:textFill>
        </w:rPr>
        <w:t xml:space="preserve">。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ascii="华文仿宋" w:hAnsi="华文仿宋" w:eastAsia="华文仿宋"/>
          <w:color w:val="000000" w:themeColor="text1"/>
          <w:sz w:val="28"/>
          <w:szCs w:val="28"/>
          <w:u w:val="single"/>
          <w14:textFill>
            <w14:solidFill>
              <w14:schemeClr w14:val="tx1"/>
            </w14:solidFill>
          </w14:textFill>
        </w:rPr>
        <w:t>4</w:t>
      </w:r>
      <w:r>
        <w:rPr>
          <w:rFonts w:hint="eastAsia" w:ascii="华文仿宋" w:hAnsi="华文仿宋" w:eastAsia="华文仿宋"/>
          <w:color w:val="000000" w:themeColor="text1"/>
          <w:sz w:val="28"/>
          <w:szCs w:val="28"/>
          <w:u w:val="single"/>
          <w14:textFill>
            <w14:solidFill>
              <w14:schemeClr w14:val="tx1"/>
            </w14:solidFill>
          </w14:textFill>
        </w:rPr>
        <w:t xml:space="preserve">、接入服务期满后，本合同自动终止。                                                              </w:t>
      </w:r>
    </w:p>
    <w:p>
      <w:pPr>
        <w:spacing w:line="240" w:lineRule="atLeast"/>
        <w:rPr>
          <w:rFonts w:ascii="华文仿宋" w:hAnsi="华文仿宋" w:eastAsia="华文仿宋"/>
          <w:color w:val="000000" w:themeColor="text1"/>
          <w:sz w:val="28"/>
          <w:szCs w:val="28"/>
          <w:u w:val="single"/>
          <w14:textFill>
            <w14:solidFill>
              <w14:schemeClr w14:val="tx1"/>
            </w14:solidFill>
          </w14:textFill>
        </w:rPr>
      </w:pPr>
      <w:r>
        <w:rPr>
          <w:rFonts w:hint="eastAsia" w:ascii="华文仿宋" w:hAnsi="华文仿宋" w:eastAsia="华文仿宋"/>
          <w:color w:val="000000" w:themeColor="text1"/>
          <w:sz w:val="28"/>
          <w:szCs w:val="28"/>
          <w:u w:val="single"/>
          <w14:textFill>
            <w14:solidFill>
              <w14:schemeClr w14:val="tx1"/>
            </w14:solidFill>
          </w14:textFill>
        </w:rPr>
        <w:t xml:space="preserve">5、如有与本合同相冲突条款、以本合同为准。                  </w:t>
      </w:r>
    </w:p>
    <w:bookmarkEnd w:id="18"/>
    <w:p>
      <w:pPr>
        <w:spacing w:line="240" w:lineRule="atLeast"/>
        <w:rPr>
          <w:rFonts w:ascii="华文仿宋" w:hAnsi="华文仿宋" w:eastAsia="华文仿宋"/>
          <w:sz w:val="28"/>
          <w:szCs w:val="28"/>
          <w:u w:val="single"/>
        </w:rPr>
      </w:pPr>
      <w:r>
        <w:rPr>
          <w:rFonts w:hint="eastAsia" w:ascii="华文仿宋" w:hAnsi="华文仿宋" w:eastAsia="华文仿宋"/>
          <w:color w:val="000000" w:themeColor="text1"/>
          <w:sz w:val="28"/>
          <w:szCs w:val="28"/>
          <w:u w:val="single"/>
          <w14:textFill>
            <w14:solidFill>
              <w14:schemeClr w14:val="tx1"/>
            </w14:solidFill>
          </w14:textFill>
        </w:rPr>
        <w:t xml:space="preserve">6、附件一：互联网用户入网责任书                             </w:t>
      </w:r>
      <w:r>
        <w:rPr>
          <w:rFonts w:hint="eastAsia" w:ascii="华文仿宋" w:hAnsi="华文仿宋" w:eastAsia="华文仿宋"/>
          <w:sz w:val="28"/>
          <w:szCs w:val="28"/>
          <w:u w:val="single"/>
        </w:rPr>
        <w:t xml:space="preserve">                             </w:t>
      </w: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p>
    <w:p>
      <w:pPr>
        <w:jc w:val="center"/>
        <w:rPr>
          <w:rFonts w:ascii="华文仿宋" w:hAnsi="华文仿宋" w:eastAsia="华文仿宋"/>
          <w:kern w:val="0"/>
          <w:sz w:val="28"/>
          <w:szCs w:val="28"/>
        </w:rPr>
      </w:pPr>
      <w:r>
        <w:rPr>
          <w:rFonts w:hint="eastAsia" w:ascii="华文仿宋" w:hAnsi="华文仿宋" w:eastAsia="华文仿宋"/>
          <w:kern w:val="0"/>
          <w:sz w:val="28"/>
          <w:szCs w:val="28"/>
        </w:rPr>
        <w:t>---------------以下无正文---------------</w:t>
      </w:r>
    </w:p>
    <w:p>
      <w:pPr>
        <w:autoSpaceDE w:val="0"/>
        <w:autoSpaceDN w:val="0"/>
        <w:adjustRightInd w:val="0"/>
        <w:snapToGrid w:val="0"/>
        <w:spacing w:line="580" w:lineRule="exact"/>
        <w:rPr>
          <w:rFonts w:ascii="仿宋" w:hAnsi="仿宋" w:eastAsia="仿宋" w:cs="宋体"/>
          <w:kern w:val="0"/>
          <w:sz w:val="28"/>
          <w:u w:val="single"/>
        </w:rPr>
      </w:pPr>
    </w:p>
    <w:p>
      <w:pPr>
        <w:spacing w:line="580" w:lineRule="exact"/>
        <w:ind w:left="5320" w:hanging="5320" w:hangingChars="1900"/>
        <w:rPr>
          <w:rFonts w:ascii="华文仿宋" w:hAnsi="华文仿宋" w:eastAsia="华文仿宋"/>
          <w:sz w:val="28"/>
          <w:szCs w:val="28"/>
        </w:rPr>
      </w:pPr>
      <w:r>
        <w:rPr>
          <w:rFonts w:hint="eastAsia" w:ascii="华文仿宋" w:hAnsi="华文仿宋" w:eastAsia="华文仿宋"/>
          <w:sz w:val="28"/>
          <w:szCs w:val="28"/>
        </w:rPr>
        <w:t>甲方：</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ascii="华文仿宋" w:hAnsi="华文仿宋" w:eastAsia="华文仿宋"/>
          <w:sz w:val="28"/>
          <w:szCs w:val="28"/>
        </w:rPr>
        <w:t xml:space="preserve">  </w:t>
      </w:r>
      <w:r>
        <w:rPr>
          <w:rFonts w:hint="eastAsia" w:ascii="华文仿宋" w:hAnsi="华文仿宋" w:eastAsia="华文仿宋"/>
          <w:sz w:val="28"/>
          <w:szCs w:val="28"/>
        </w:rPr>
        <w:t>乙方：</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p>
    <w:p>
      <w:pPr>
        <w:spacing w:line="580" w:lineRule="exact"/>
        <w:rPr>
          <w:rFonts w:ascii="华文仿宋" w:hAnsi="华文仿宋" w:eastAsia="华文仿宋"/>
          <w:sz w:val="28"/>
          <w:szCs w:val="28"/>
        </w:rPr>
      </w:pPr>
      <w:r>
        <w:rPr>
          <w:rFonts w:ascii="华文仿宋" w:hAnsi="华文仿宋" w:eastAsia="华文仿宋"/>
          <w:sz w:val="28"/>
          <w:szCs w:val="28"/>
        </w:rPr>
        <w:t xml:space="preserve"> </w:t>
      </w:r>
    </w:p>
    <w:p>
      <w:pPr>
        <w:spacing w:line="580" w:lineRule="exact"/>
        <w:rPr>
          <w:rFonts w:ascii="华文仿宋" w:hAnsi="华文仿宋" w:eastAsia="华文仿宋"/>
          <w:sz w:val="28"/>
          <w:szCs w:val="28"/>
        </w:rPr>
      </w:pPr>
      <w:r>
        <w:rPr>
          <w:rFonts w:hint="eastAsia" w:ascii="华文仿宋" w:hAnsi="华文仿宋" w:eastAsia="华文仿宋"/>
          <w:sz w:val="28"/>
          <w:szCs w:val="28"/>
        </w:rPr>
        <w:t xml:space="preserve">              （盖章）</w:t>
      </w:r>
      <w:r>
        <w:rPr>
          <w:rFonts w:hint="eastAsia" w:ascii="华文仿宋" w:hAnsi="华文仿宋" w:eastAsia="华文仿宋"/>
          <w:sz w:val="28"/>
          <w:szCs w:val="28"/>
        </w:rPr>
        <w:tab/>
      </w:r>
      <w:r>
        <w:rPr>
          <w:rFonts w:hint="eastAsia" w:ascii="华文仿宋" w:hAnsi="华文仿宋" w:eastAsia="华文仿宋"/>
          <w:sz w:val="28"/>
          <w:szCs w:val="28"/>
        </w:rPr>
        <w:t xml:space="preserve">              （盖章）</w:t>
      </w:r>
    </w:p>
    <w:p>
      <w:pPr>
        <w:spacing w:line="580" w:lineRule="exact"/>
        <w:rPr>
          <w:rFonts w:ascii="华文仿宋" w:hAnsi="华文仿宋" w:eastAsia="华文仿宋"/>
          <w:sz w:val="28"/>
          <w:szCs w:val="28"/>
        </w:rPr>
      </w:pPr>
      <w:r>
        <w:rPr>
          <w:rFonts w:ascii="华文仿宋" w:hAnsi="华文仿宋" w:eastAsia="华文仿宋"/>
          <w:sz w:val="28"/>
          <w:szCs w:val="28"/>
        </w:rPr>
        <w:t xml:space="preserve"> </w:t>
      </w:r>
    </w:p>
    <w:p>
      <w:pPr>
        <w:spacing w:line="580" w:lineRule="exact"/>
        <w:rPr>
          <w:rFonts w:ascii="华文仿宋" w:hAnsi="华文仿宋" w:eastAsia="华文仿宋"/>
          <w:sz w:val="28"/>
          <w:szCs w:val="28"/>
          <w:u w:val="single"/>
        </w:rPr>
      </w:pPr>
      <w:r>
        <w:rPr>
          <w:rFonts w:hint="eastAsia" w:ascii="华文仿宋" w:hAnsi="华文仿宋" w:eastAsia="华文仿宋"/>
          <w:sz w:val="28"/>
          <w:szCs w:val="28"/>
        </w:rPr>
        <w:t xml:space="preserve">法定（授权）代表签字__________ </w:t>
      </w:r>
      <w:r>
        <w:rPr>
          <w:rFonts w:ascii="华文仿宋" w:hAnsi="华文仿宋" w:eastAsia="华文仿宋"/>
          <w:sz w:val="28"/>
          <w:szCs w:val="28"/>
        </w:rPr>
        <w:t xml:space="preserve"> </w:t>
      </w:r>
      <w:r>
        <w:rPr>
          <w:rFonts w:hint="eastAsia" w:ascii="华文仿宋" w:hAnsi="华文仿宋" w:eastAsia="华文仿宋"/>
          <w:sz w:val="28"/>
          <w:szCs w:val="28"/>
        </w:rPr>
        <w:t xml:space="preserve"> 法定（授权）代表签字</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r>
        <w:rPr>
          <w:rFonts w:ascii="华文仿宋" w:hAnsi="华文仿宋" w:eastAsia="华文仿宋"/>
          <w:sz w:val="28"/>
          <w:szCs w:val="28"/>
          <w:u w:val="single"/>
        </w:rPr>
        <w:t xml:space="preserve">   </w:t>
      </w:r>
      <w:r>
        <w:rPr>
          <w:rFonts w:hint="eastAsia" w:ascii="华文仿宋" w:hAnsi="华文仿宋" w:eastAsia="华文仿宋"/>
          <w:sz w:val="28"/>
          <w:szCs w:val="28"/>
          <w:u w:val="single"/>
        </w:rPr>
        <w:t xml:space="preserve">      </w:t>
      </w:r>
    </w:p>
    <w:p>
      <w:pPr>
        <w:spacing w:line="580" w:lineRule="exact"/>
        <w:rPr>
          <w:rFonts w:ascii="华文仿宋" w:hAnsi="华文仿宋" w:eastAsia="华文仿宋"/>
          <w:sz w:val="28"/>
          <w:szCs w:val="28"/>
          <w:u w:val="single"/>
        </w:rPr>
      </w:pPr>
    </w:p>
    <w:p>
      <w:pPr>
        <w:spacing w:line="580" w:lineRule="exact"/>
        <w:rPr>
          <w:rFonts w:ascii="华文仿宋" w:hAnsi="华文仿宋" w:eastAsia="华文仿宋"/>
          <w:sz w:val="28"/>
          <w:szCs w:val="28"/>
        </w:rPr>
      </w:pPr>
      <w:r>
        <w:rPr>
          <w:rFonts w:hint="eastAsia" w:ascii="华文仿宋" w:hAnsi="华文仿宋" w:eastAsia="华文仿宋"/>
          <w:sz w:val="28"/>
          <w:szCs w:val="28"/>
        </w:rPr>
        <w:t xml:space="preserve">     年     月     日                年    </w:t>
      </w:r>
      <w:r>
        <w:rPr>
          <w:rFonts w:ascii="华文仿宋" w:hAnsi="华文仿宋" w:eastAsia="华文仿宋"/>
          <w:sz w:val="28"/>
          <w:szCs w:val="28"/>
        </w:rPr>
        <w:t xml:space="preserve"> </w:t>
      </w:r>
      <w:r>
        <w:rPr>
          <w:rFonts w:hint="eastAsia" w:ascii="华文仿宋" w:hAnsi="华文仿宋" w:eastAsia="华文仿宋"/>
          <w:sz w:val="28"/>
          <w:szCs w:val="28"/>
        </w:rPr>
        <w:t xml:space="preserve">月    </w:t>
      </w:r>
      <w:r>
        <w:rPr>
          <w:rFonts w:ascii="华文仿宋" w:hAnsi="华文仿宋" w:eastAsia="华文仿宋"/>
          <w:sz w:val="28"/>
          <w:szCs w:val="28"/>
        </w:rPr>
        <w:t xml:space="preserve"> </w:t>
      </w:r>
      <w:r>
        <w:rPr>
          <w:rFonts w:hint="eastAsia" w:ascii="华文仿宋" w:hAnsi="华文仿宋" w:eastAsia="华文仿宋"/>
          <w:sz w:val="28"/>
          <w:szCs w:val="28"/>
        </w:rPr>
        <w:t>日</w:t>
      </w:r>
    </w:p>
    <w:p>
      <w:pPr>
        <w:spacing w:line="580" w:lineRule="exact"/>
        <w:rPr>
          <w:rFonts w:ascii="华文仿宋" w:hAnsi="华文仿宋" w:eastAsia="华文仿宋"/>
          <w:sz w:val="28"/>
          <w:szCs w:val="28"/>
        </w:rPr>
      </w:pPr>
    </w:p>
    <w:p>
      <w:pPr>
        <w:spacing w:line="580" w:lineRule="exact"/>
        <w:rPr>
          <w:rFonts w:ascii="华文仿宋" w:hAnsi="华文仿宋" w:eastAsia="华文仿宋"/>
          <w:sz w:val="28"/>
          <w:szCs w:val="28"/>
        </w:rPr>
      </w:pPr>
    </w:p>
    <w:p>
      <w:pPr>
        <w:spacing w:line="580" w:lineRule="exact"/>
        <w:rPr>
          <w:rFonts w:ascii="华文仿宋" w:hAnsi="华文仿宋" w:eastAsia="华文仿宋"/>
          <w:sz w:val="28"/>
          <w:szCs w:val="28"/>
        </w:rPr>
      </w:pPr>
    </w:p>
    <w:p>
      <w:pPr>
        <w:spacing w:line="580" w:lineRule="exact"/>
        <w:rPr>
          <w:rFonts w:ascii="华文仿宋" w:hAnsi="华文仿宋" w:eastAsia="华文仿宋"/>
          <w:sz w:val="28"/>
          <w:szCs w:val="28"/>
        </w:rPr>
        <w:sectPr>
          <w:footerReference r:id="rId13" w:type="default"/>
          <w:footerReference r:id="rId14" w:type="even"/>
          <w:pgSz w:w="11906" w:h="16838"/>
          <w:pgMar w:top="1440" w:right="1797" w:bottom="1440" w:left="1797" w:header="851" w:footer="992" w:gutter="0"/>
          <w:pgNumType w:start="1"/>
          <w:cols w:space="720" w:num="1"/>
          <w:docGrid w:type="lines" w:linePitch="312" w:charSpace="0"/>
        </w:sectPr>
      </w:pPr>
    </w:p>
    <w:p>
      <w:pPr>
        <w:spacing w:line="580" w:lineRule="exact"/>
        <w:rPr>
          <w:rFonts w:ascii="华文仿宋" w:hAnsi="华文仿宋" w:eastAsia="华文仿宋"/>
          <w:sz w:val="28"/>
          <w:szCs w:val="28"/>
        </w:rPr>
      </w:pPr>
      <w:r>
        <w:rPr>
          <w:rFonts w:hint="eastAsia" w:ascii="华文仿宋" w:hAnsi="华文仿宋" w:eastAsia="华文仿宋"/>
          <w:sz w:val="28"/>
          <w:szCs w:val="28"/>
        </w:rPr>
        <w:t>附件一：</w:t>
      </w:r>
    </w:p>
    <w:p>
      <w:pPr>
        <w:widowControl/>
        <w:spacing w:line="580" w:lineRule="exact"/>
        <w:ind w:firstLine="723" w:firstLineChars="200"/>
        <w:jc w:val="center"/>
        <w:rPr>
          <w:rFonts w:ascii="仿宋_GB2312" w:hAnsi="宋体" w:eastAsia="仿宋_GB2312" w:cs="宋体"/>
          <w:b/>
          <w:kern w:val="0"/>
          <w:sz w:val="36"/>
          <w:szCs w:val="36"/>
        </w:rPr>
      </w:pPr>
      <w:r>
        <w:rPr>
          <w:rFonts w:hint="eastAsia" w:ascii="华文仿宋" w:hAnsi="华文仿宋" w:eastAsia="华文仿宋"/>
          <w:b/>
          <w:sz w:val="36"/>
          <w:szCs w:val="36"/>
        </w:rPr>
        <w:t>互联网用户入网责任书</w:t>
      </w:r>
    </w:p>
    <w:p>
      <w:pPr>
        <w:widowControl/>
        <w:jc w:val="left"/>
        <w:rPr>
          <w:rFonts w:ascii="仿宋_GB2312" w:hAnsi="宋体" w:eastAsia="仿宋_GB2312" w:cs="宋体"/>
          <w:kern w:val="0"/>
          <w:sz w:val="24"/>
          <w:szCs w:val="21"/>
        </w:rPr>
      </w:pPr>
    </w:p>
    <w:p>
      <w:pPr>
        <w:widowControl/>
        <w:spacing w:line="580" w:lineRule="exact"/>
        <w:ind w:firstLine="560" w:firstLineChars="200"/>
        <w:jc w:val="left"/>
        <w:rPr>
          <w:rFonts w:ascii="华文仿宋" w:hAnsi="华文仿宋" w:eastAsia="华文仿宋"/>
          <w:sz w:val="28"/>
          <w:szCs w:val="28"/>
        </w:rPr>
      </w:pPr>
      <w:r>
        <w:rPr>
          <w:rFonts w:hint="eastAsia" w:ascii="华文仿宋" w:hAnsi="华文仿宋" w:eastAsia="华文仿宋"/>
          <w:sz w:val="28"/>
          <w:szCs w:val="28"/>
        </w:rPr>
        <w:t>根据中华人民共和国工业和信息化部、公安部等部委关于加强在公共信息服务中传播信息管理的有关规定及国家有关部门的相关精神，为了加强信息和网络安全管理，XXX的所属用户必须遵守以下规定。</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一、与XXX签订产品服务合同的用户须按照通信主管部门“谁主管、谁负责，谁经营、谁负责，谁接入、谁负责”的原则以及其他安全部门的要求落实信息安全工作，建立自身的管理制度，并接受XXX的监督与管理。XXX有权根据相关主管部门下发的法令、法规、规章或文件的要求发现并按要求处理有关的违规事件，接入用户应积极配合XXX妥善处理有关事件，确保信息安全事件处理的及时性、准确性。</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二、遵守《互联网信息服务管理方法》（国务院令第292号）的要求对发布信息的内容和版权负责，对发布的信息引起的政治责任、法律责任和经济纠纷负全部责任，对发布的信息违反国家政策、法规所造成的不良影响和其他一切后果负全部责任。严格执行“先备案，后接入”的要求，未取得许可或备案的，不得提供经营性或非经营性的互联网信息服务。</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三、XXX用户，不得以任何形式转包。</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四、XXX根据通信主管部门的要求，在与其下属用户签订的服务合同中包含《用户入网安全责任书》，责任书条款中应向其下属用户明确根据国家有关法律法规要求，经营性信息内容服务的经营许可制度和非经营性信息内容服务的备案制度以及经营增值电信业务的许可制度，同时应明确合同双方在信息安全事件中的权利和义务。</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五、XXX用户应建立自身信息管理制度，所记录的信息中包括但不限于：基本信息情况、网站主页信息、经营资质信息、备案资质信息等，并将有关信息提交XXX备案。</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六、XXX对其下属用户的以下信息内容建立长效管理制度，发现问题及时处理，并通过巡查制度对下属用户的信息内容进行核查。</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1.任何单位和个人不得利用电信网络制作、复制、发布、传播含有下列内容的信息：</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1）反对宪法所确定的基本原则的；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2）危害国家安全，泄露国家秘密，颠覆国家政权，破环国家统一的；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3）损害国家荣誉和利益的；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4）煽动民族仇恨、民族歧视、破坏民族团结的；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5）破坏国家宗教政策，宣扬邪教和封建迷信的；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6）散布谣言，扰乱社会秩序，破坏社会稳定的；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7）散布淫秽、色情、赌博、暴力、凶杀、恐怖或者教唆犯罪的；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8）侮辱或者诽谤他人，侵害他人合法权益的；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9）含有法律、行政法规禁止的其他内容的。</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2.提供网上论坛、留言板、聊天室等交互式栏目的XXX用户要确保经营资质齐全，产权与经营权清晰；同时要对网站内的链接加以规范，杜绝非法链接的存在；要加强信息张贴的审核，落实版主负责制度，通过采用技术过滤与人工巡查结合的方式，进一步加强对有害信息的封堵过滤，并做好自身登陆日志的60天留存。</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3.严格监督BBS、聊天室、搜索引擎每个板块的内容，做到逐条检查，尤其是时政军事类的BBS讨论区：社会时事和军事纵横，以及搜索引擎的相关类目。必须杜绝有反动倾向，黄色内容，涉及敏感话题以及会对论坛及公司造成不良影响的文章出现，严格杜绝含有本入网责任书“第六条第1款”所含内容的信息出现。如遇到此类信息，立即做好改信息内容合作者等原始资料的备份记录，包括发帖的时间、作者的用户名和IP地址等，并立即从网上删除，同时启动相应预案。</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4.加强清理检查个人网站、网页中的有害信息，加强对个人主页的管理，如遇到含有本入网责任书“第六条第1款”所含内容的信息出现，立即做好该信息内容合作者等原始资料的备份记录，关闭该网站，同时启动相应预案。建议关闭个人主页上擅自开办的个人论坛。</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5.XXX用户应对自身提供的FTP进行检索，禁止提供FTP匿名登陆、上传功能。</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6.网络安全方面。必须落实的防范措施和基本要求如下：</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1）在现有系统上安全防火墙，能够在路由器上作访问限制；加强网络流量监视；</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2）对重要设备进行即时监控，防止恶意的数据包；</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3）及时为系统输入补丁程序，关闭各种不需要的端口；</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4）一旦发现黑客攻击等异常情况，及时采取应对措施，并做好补救工作，减少影响和损失，同时做好证据的保护工作；</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5）设立网络安全投诉的专用信箱，作为接收网络安全投诉的电子信箱，并指定专人负责邮箱邮件的处理工作；</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7.电子邮件的安全防范措施，具体要求：</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1）检查自身对外提供服务的服务器，如果不需要开启邮件服务的，关闭该项服务；确定需要开放邮件服务的，关闭Open-Relay功能。</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2）各对外提供电子邮件服务的XXX用户，应在自己的邮件服务器上设置专用帐号，作为反有害垃圾邮件申告和投诉的电子信箱。在相应网页上公告该邮箱和用户可以采取的防范措施，并指定专人负责邮箱邮件的处理工作。</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3）在重大会议召开前、节日期间必须落实技术防范措施，具体是：</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（1）能够限制本地电子邮件用户一次性群发邮件的数量；</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（2）支持发信认证；</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（3）除对特定域电子邮件外，限制邮件服务器自动转发（relay）功能；</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（4）保留电子邮箱用户登录、退出等日志记录60天；</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（5）能够对发送电子邮件的特定IP地址进行阻断；</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（6）能够限制来自相同用户端IP的最大同时连接数量和最大连接频率；</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（7）能够对电子邮件进行基于特征字符串的过滤；</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（8）对符合过滤规则的电子邮件可以采用弹回、丢弃、转发、投递、等待、延时等动作；并对过滤和阻断的数量可以进行统计。</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8.XXX应对所属用户的身份审核和信息巡查工作，严格执行先备案后接入的备案制度。</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七、XXX用户必须安排专人负责信息安全，具备相关的审查、监管流程、制度和保障措施，并无条件配合XXX及相关部门清查。提供相应技术手段，保证相关信息在XXX或相关管理部门依法查询时予以提供；在XXX或相关管理部门依法要求接入用户删除不良信息时，接入用户必须无条件配合，并按XXX或相关部门的时限要求完成，做好记录等。</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八、XXX会建立并执行黑名单管理制度，对于黑名单中的用户严格管理，杜绝有害信息的再次传播。</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九、XXX用户就信息安全问题应设置A、B角联系人制度，联系人员名单应提交XXX备案，联系人员发生变动时，应及时通知XXX。</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十、违约责任</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1.若XXX发现用户接入网站存在本入网责任书“第六条第1款”约定的不良信息等违规问题，用户应按相关法律法规承担相应责任。</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2.用户接入的网站因出现信息安全问题被相关管理部门查处，用户应按相关法律法规承担相应责任。</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3.用户不得进行转包业务。</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4.用户如违反业务合同约定和本入网责任书的相关条款，XXX有权单方面终止服务。如给XXX造成损失，用户应按相关规定予以赔偿。</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5.因用户违反本协议，导致相关部门查处时，用户应积极与XXX和相关部门配合，协商解决。</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本单位作为XXX提供接入的用户，同意遵守上述各项规定，如违反规定，将承担相应法律责任。</w:t>
      </w:r>
    </w:p>
    <w:p>
      <w:pPr>
        <w:widowControl/>
        <w:spacing w:line="580" w:lineRule="exact"/>
        <w:jc w:val="left"/>
        <w:rPr>
          <w:rFonts w:ascii="华文仿宋" w:hAnsi="华文仿宋" w:eastAsia="华文仿宋"/>
          <w:sz w:val="28"/>
          <w:szCs w:val="28"/>
        </w:rPr>
      </w:pP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单位(盖章)：                     </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法定代表人/授权人(签字)：         </w:t>
      </w:r>
    </w:p>
    <w:p>
      <w:pPr>
        <w:widowControl/>
        <w:spacing w:line="580" w:lineRule="exact"/>
        <w:jc w:val="left"/>
        <w:rPr>
          <w:rFonts w:ascii="华文仿宋" w:hAnsi="华文仿宋" w:eastAsia="华文仿宋"/>
          <w:sz w:val="28"/>
          <w:szCs w:val="28"/>
        </w:rPr>
      </w:pPr>
      <w:r>
        <w:rPr>
          <w:rFonts w:hint="eastAsia" w:ascii="华文仿宋" w:hAnsi="华文仿宋" w:eastAsia="华文仿宋"/>
          <w:sz w:val="28"/>
          <w:szCs w:val="28"/>
        </w:rPr>
        <w:t xml:space="preserve">   </w:t>
      </w:r>
    </w:p>
    <w:p>
      <w:pPr>
        <w:spacing w:line="580" w:lineRule="exact"/>
        <w:rPr>
          <w:rFonts w:ascii="华文仿宋" w:hAnsi="华文仿宋" w:eastAsia="华文仿宋"/>
          <w:sz w:val="28"/>
          <w:szCs w:val="28"/>
        </w:rPr>
      </w:pPr>
      <w:r>
        <w:rPr>
          <w:rFonts w:hint="eastAsia" w:ascii="华文仿宋" w:hAnsi="华文仿宋" w:eastAsia="华文仿宋"/>
          <w:sz w:val="28"/>
          <w:szCs w:val="28"/>
        </w:rPr>
        <w:t xml:space="preserve">                                             年   月   日</w:t>
      </w:r>
    </w:p>
    <w:p>
      <w:pPr>
        <w:spacing w:line="560" w:lineRule="exact"/>
        <w:rPr>
          <w:rFonts w:hint="eastAsia" w:ascii="仿宋_GB2312" w:eastAsia="仿宋_GB2312"/>
          <w:b/>
          <w:color w:val="auto"/>
          <w:sz w:val="28"/>
          <w:szCs w:val="28"/>
        </w:rPr>
      </w:pPr>
    </w:p>
    <w:p>
      <w:pPr>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35"/>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35"/>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35"/>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10</w:t>
            </w:r>
          </w:p>
        </w:tc>
        <w:tc>
          <w:tcPr>
            <w:tcW w:w="4850" w:type="dxa"/>
            <w:gridSpan w:val="2"/>
            <w:vAlign w:val="center"/>
          </w:tcPr>
          <w:p>
            <w:pPr>
              <w:pStyle w:val="35"/>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4"/>
                <w:szCs w:val="24"/>
                <w:highlight w:val="none"/>
              </w:rPr>
              <w:t>中华人民共和国增值电信业务经营许可证</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rPr>
              <w:t>加盖单位公章的复印件</w:t>
            </w:r>
            <w:r>
              <w:rPr>
                <w:rFonts w:hint="eastAsia" w:ascii="仿宋_GB2312" w:eastAsia="仿宋_GB2312"/>
                <w:color w:val="auto"/>
                <w:sz w:val="24"/>
                <w:szCs w:val="24"/>
                <w:highlight w:val="none"/>
                <w:lang w:eastAsia="zh-CN"/>
              </w:rPr>
              <w:t>）</w:t>
            </w:r>
          </w:p>
        </w:tc>
        <w:tc>
          <w:tcPr>
            <w:tcW w:w="1353" w:type="dxa"/>
            <w:vAlign w:val="center"/>
          </w:tcPr>
          <w:p>
            <w:pPr>
              <w:pStyle w:val="35"/>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47"/>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0"/>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0"/>
        <w:kinsoku w:val="0"/>
        <w:overflowPunct w:val="0"/>
        <w:autoSpaceDE w:val="0"/>
        <w:autoSpaceDN w:val="0"/>
        <w:spacing w:line="320" w:lineRule="exact"/>
        <w:rPr>
          <w:rFonts w:ascii="仿宋_GB2312" w:hAnsi="宋体" w:eastAsia="仿宋_GB2312"/>
          <w:b/>
          <w:color w:val="auto"/>
          <w:kern w:val="0"/>
          <w:sz w:val="24"/>
          <w:szCs w:val="24"/>
        </w:rPr>
      </w:pPr>
    </w:p>
    <w:p>
      <w:pPr>
        <w:pStyle w:val="10"/>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0"/>
        <w:spacing w:before="268" w:beforeLines="86" w:line="300" w:lineRule="auto"/>
        <w:ind w:firstLine="480" w:firstLineChars="200"/>
        <w:rPr>
          <w:rFonts w:ascii="仿宋_GB2312" w:hAnsi="宋体" w:eastAsia="仿宋_GB2312"/>
          <w:color w:val="auto"/>
          <w:sz w:val="24"/>
          <w:szCs w:val="24"/>
        </w:rPr>
      </w:pP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0"/>
        <w:tabs>
          <w:tab w:val="left" w:pos="5580"/>
        </w:tabs>
        <w:spacing w:line="300" w:lineRule="auto"/>
        <w:rPr>
          <w:rFonts w:ascii="仿宋_GB2312" w:hAnsi="宋体" w:eastAsia="仿宋_GB2312"/>
          <w:color w:val="auto"/>
          <w:sz w:val="24"/>
          <w:szCs w:val="24"/>
        </w:rPr>
      </w:pPr>
    </w:p>
    <w:p>
      <w:pPr>
        <w:pStyle w:val="10"/>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0"/>
        <w:spacing w:before="268" w:beforeLines="86" w:line="300" w:lineRule="auto"/>
        <w:rPr>
          <w:rFonts w:ascii="仿宋_GB2312" w:hAnsi="宋体" w:eastAsia="仿宋_GB2312"/>
          <w:color w:val="auto"/>
          <w:sz w:val="24"/>
          <w:szCs w:val="24"/>
        </w:rPr>
      </w:pPr>
    </w:p>
    <w:p>
      <w:pPr>
        <w:pStyle w:val="10"/>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0"/>
        <w:spacing w:before="268" w:beforeLines="86" w:line="300" w:lineRule="auto"/>
        <w:rPr>
          <w:rFonts w:ascii="仿宋_GB2312" w:hAnsi="宋体" w:eastAsia="仿宋_GB2312"/>
          <w:color w:val="auto"/>
          <w:sz w:val="24"/>
          <w:szCs w:val="24"/>
        </w:rPr>
      </w:pPr>
    </w:p>
    <w:p>
      <w:pPr>
        <w:pStyle w:val="47"/>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0"/>
        <w:spacing w:before="268" w:beforeLines="86" w:line="300" w:lineRule="auto"/>
        <w:ind w:firstLine="480" w:firstLineChars="200"/>
        <w:rPr>
          <w:rFonts w:ascii="仿宋_GB2312" w:hAnsi="宋体" w:eastAsia="仿宋_GB2312"/>
          <w:color w:val="auto"/>
          <w:sz w:val="24"/>
          <w:szCs w:val="24"/>
        </w:rPr>
      </w:pPr>
    </w:p>
    <w:p>
      <w:pPr>
        <w:pStyle w:val="47"/>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0"/>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0"/>
        <w:spacing w:before="187" w:beforeLines="60" w:line="300" w:lineRule="auto"/>
        <w:rPr>
          <w:rFonts w:ascii="仿宋_GB2312" w:hAnsi="宋体" w:eastAsia="仿宋_GB2312"/>
          <w:color w:val="auto"/>
          <w:sz w:val="24"/>
          <w:szCs w:val="24"/>
        </w:rPr>
      </w:pP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0"/>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35"/>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0"/>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35"/>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rPr>
          <w:rFonts w:hint="eastAsia" w:ascii="仿宋_GB2312" w:hAnsi="宋体" w:eastAsia="仿宋_GB2312"/>
          <w:b/>
          <w:color w:val="auto"/>
          <w:sz w:val="24"/>
          <w:szCs w:val="24"/>
        </w:rPr>
      </w:pP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5" w:type="default"/>
          <w:footerReference r:id="rId16"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35"/>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35"/>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28"/>
          <w:rFonts w:hint="eastAsia" w:ascii="仿宋_GB2312" w:hAnsi="宋体" w:eastAsia="仿宋_GB2312" w:cs="微软雅黑"/>
          <w:bCs/>
          <w:color w:val="auto"/>
          <w:sz w:val="24"/>
          <w:szCs w:val="24"/>
        </w:rPr>
        <w:t>www.creditchina.gov.cn</w:t>
      </w:r>
      <w:r>
        <w:rPr>
          <w:rStyle w:val="28"/>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28"/>
          <w:rFonts w:hint="eastAsia" w:ascii="仿宋_GB2312" w:hAnsi="宋体" w:eastAsia="仿宋_GB2312" w:cs="微软雅黑"/>
          <w:bCs/>
          <w:color w:val="auto"/>
          <w:sz w:val="24"/>
          <w:szCs w:val="24"/>
        </w:rPr>
        <w:t>www.ccgp.gov.cn</w:t>
      </w:r>
      <w:r>
        <w:rPr>
          <w:rStyle w:val="28"/>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ascii="仿宋_GB2312" w:hAnsi="宋体" w:eastAsia="仿宋_GB2312"/>
          <w:color w:val="auto"/>
          <w:sz w:val="24"/>
        </w:rPr>
        <w:sectPr>
          <w:pgSz w:w="11906" w:h="16838"/>
          <w:pgMar w:top="1440" w:right="1797" w:bottom="1440" w:left="1797" w:header="851" w:footer="992" w:gutter="0"/>
          <w:pgNumType w:fmt="decimal"/>
          <w:cols w:space="720" w:num="1"/>
          <w:docGrid w:type="lines" w:linePitch="312" w:charSpace="0"/>
        </w:sect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keepNext w:val="0"/>
        <w:keepLines w:val="0"/>
        <w:pageBreakBefore w:val="0"/>
        <w:widowControl w:val="0"/>
        <w:tabs>
          <w:tab w:val="left" w:pos="900"/>
          <w:tab w:val="left" w:pos="5580"/>
        </w:tabs>
        <w:kinsoku/>
        <w:wordWrap/>
        <w:overflowPunct/>
        <w:topLinePunct w:val="0"/>
        <w:autoSpaceDE/>
        <w:autoSpaceDN/>
        <w:bidi w:val="0"/>
        <w:adjustRightInd/>
        <w:snapToGrid/>
        <w:spacing w:before="156" w:beforeLines="50" w:after="312" w:afterLines="100" w:line="240" w:lineRule="auto"/>
        <w:jc w:val="both"/>
        <w:textAlignment w:val="auto"/>
        <w:rPr>
          <w:rFonts w:hint="eastAsia" w:ascii="仿宋_GB2312" w:hAnsi="宋体" w:eastAsia="仿宋_GB2312"/>
          <w:b/>
          <w:color w:val="auto"/>
          <w:sz w:val="24"/>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0"/>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2"/>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0"/>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r>
        <w:rPr>
          <w:rFonts w:hint="eastAsia" w:ascii="仿宋_GB2312" w:hAnsi="宋体" w:eastAsia="仿宋_GB2312"/>
          <w:color w:val="auto"/>
          <w:sz w:val="24"/>
          <w:szCs w:val="24"/>
        </w:rPr>
        <w:t>日期</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rPr>
          <w:rFonts w:hint="eastAsia" w:ascii="仿宋_GB2312" w:hAnsi="宋体" w:eastAsia="仿宋_GB2312"/>
          <w:color w:val="auto"/>
          <w:sz w:val="24"/>
          <w:szCs w:val="24"/>
        </w:rPr>
      </w:pPr>
    </w:p>
    <w:p>
      <w:pPr>
        <w:pStyle w:val="35"/>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rPr>
          <w:rFonts w:hint="eastAsia" w:ascii="仿宋_GB2312" w:hAnsi="宋体" w:eastAsia="仿宋_GB2312"/>
          <w:color w:val="auto"/>
          <w:sz w:val="24"/>
          <w:szCs w:val="24"/>
        </w:rPr>
      </w:pPr>
    </w:p>
    <w:p>
      <w:pPr>
        <w:pStyle w:val="8"/>
        <w:rPr>
          <w:rFonts w:hint="eastAsia"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hint="eastAsia" w:ascii="仿宋_GB2312" w:hAnsi="宋体" w:eastAsia="仿宋_GB2312"/>
          <w:b/>
          <w:color w:val="auto"/>
          <w:sz w:val="24"/>
        </w:rPr>
      </w:pPr>
      <w:r>
        <w:rPr>
          <w:rFonts w:hint="eastAsia" w:ascii="仿宋_GB2312" w:hAnsi="宋体" w:eastAsia="仿宋_GB2312"/>
          <w:b/>
          <w:color w:val="auto"/>
          <w:sz w:val="24"/>
        </w:rPr>
        <w:t>中华人民共和国增值电信业务经营许可证</w:t>
      </w:r>
    </w:p>
    <w:p>
      <w:pPr>
        <w:pStyle w:val="111"/>
        <w:jc w:val="center"/>
        <w:rPr>
          <w:rFonts w:hint="eastAsia" w:eastAsia="仿宋_GB2312"/>
          <w:lang w:val="en-US"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rPr>
        <w:t>加盖单位公章的复印</w:t>
      </w:r>
      <w:r>
        <w:rPr>
          <w:rFonts w:hint="eastAsia" w:ascii="仿宋_GB2312" w:eastAsia="仿宋_GB2312"/>
          <w:color w:val="auto"/>
          <w:sz w:val="24"/>
          <w:szCs w:val="24"/>
          <w:lang w:val="en-US" w:eastAsia="zh-CN"/>
        </w:rPr>
        <w:t>件）</w:t>
      </w:r>
    </w:p>
    <w:p>
      <w:pPr>
        <w:pStyle w:val="10"/>
        <w:numPr>
          <w:ilvl w:val="0"/>
          <w:numId w:val="0"/>
        </w:numPr>
        <w:spacing w:before="156" w:beforeLines="50" w:line="360" w:lineRule="auto"/>
        <w:ind w:leftChars="0"/>
        <w:rPr>
          <w:rFonts w:hint="eastAsia" w:ascii="仿宋_GB2312" w:hAnsi="BUQOQW+»ªÎÄÏ¸ºÚ" w:eastAsia="仿宋_GB2312" w:cs="BUQOQW+»ªÎÄÏ¸ºÚ"/>
          <w:b/>
          <w:color w:val="auto"/>
          <w:sz w:val="24"/>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0"/>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投标分项报价表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 w:hAnsi="仿宋" w:eastAsia="仿宋" w:cs="仿宋"/>
                <w:szCs w:val="21"/>
              </w:rPr>
              <w:t>教育互联网接入服务方案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 w:hAnsi="仿宋" w:eastAsia="仿宋" w:cs="仿宋"/>
                <w:szCs w:val="21"/>
              </w:rPr>
              <w:t>IP地址</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 w:hAnsi="仿宋" w:eastAsia="仿宋" w:cs="仿宋"/>
                <w:szCs w:val="21"/>
              </w:rPr>
              <w:t>带宽部分</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 w:hAnsi="仿宋" w:eastAsia="仿宋" w:cs="仿宋"/>
                <w:szCs w:val="21"/>
              </w:rPr>
              <w:t>考务专网备用链路服务方案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 w:hAnsi="仿宋" w:eastAsia="仿宋" w:cs="仿宋"/>
                <w:szCs w:val="21"/>
              </w:rPr>
              <w:t>优化网络平台资源访问方案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 w:hAnsi="仿宋" w:eastAsia="仿宋" w:cs="仿宋"/>
                <w:szCs w:val="21"/>
              </w:rPr>
              <w:t>服务团队人员配置</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 w:hAnsi="仿宋" w:eastAsia="仿宋" w:cs="仿宋"/>
                <w:szCs w:val="21"/>
              </w:rPr>
              <w:t>应急预案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 w:hAnsi="仿宋" w:eastAsia="仿宋" w:cs="仿宋"/>
                <w:szCs w:val="21"/>
              </w:rPr>
              <w:t>网络运维服务方案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 w:hAnsi="仿宋" w:eastAsia="仿宋" w:cs="仿宋"/>
                <w:szCs w:val="21"/>
              </w:rPr>
              <w:t>开通时间</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 w:hAnsi="仿宋" w:eastAsia="仿宋" w:cs="仿宋"/>
                <w:szCs w:val="21"/>
              </w:rPr>
              <w:t>企业业绩及经验</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 w:hAnsi="仿宋" w:eastAsia="仿宋" w:cs="仿宋"/>
                <w:szCs w:val="21"/>
              </w:rPr>
              <w:t>投标人综合实力</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其他相关资质及证书</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18"/>
        <w:rPr>
          <w:rFonts w:hint="eastAsia"/>
          <w:color w:val="auto"/>
        </w:rPr>
      </w:pPr>
    </w:p>
    <w:p>
      <w:pPr>
        <w:widowControl/>
        <w:jc w:val="left"/>
        <w:rPr>
          <w:rFonts w:hint="eastAsia" w:ascii="仿宋_GB2312" w:eastAsia="仿宋_GB2312"/>
          <w:b/>
          <w:color w:val="auto"/>
          <w:sz w:val="24"/>
          <w:szCs w:val="24"/>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0"/>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eastAsia="zh-CN"/>
        </w:rPr>
        <w:t xml:space="preserve">信息化运行维护费-1-2024年度大 兴区教育网互联网接入服务  </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val="en-US" w:eastAsia="zh-CN"/>
        </w:rPr>
        <w:t>11011524210200016798-XM</w:t>
      </w:r>
      <w:r>
        <w:rPr>
          <w:rFonts w:hint="default" w:ascii="仿宋_GB2312" w:hAnsi="宋体" w:eastAsia="仿宋_GB2312"/>
          <w:color w:val="auto"/>
          <w:sz w:val="24"/>
          <w:szCs w:val="24"/>
          <w:lang w:val="en-US" w:eastAsia="zh-CN"/>
        </w:rPr>
        <w:t xml:space="preserve">001 </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color w:val="auto"/>
          <w:sz w:val="24"/>
          <w:szCs w:val="24"/>
          <w:lang w:val="en-US" w:eastAsia="zh-CN"/>
        </w:rPr>
        <w:t>投标U盘</w:t>
      </w:r>
      <w:r>
        <w:rPr>
          <w:rFonts w:hint="eastAsia" w:ascii="仿宋_GB2312" w:hAnsi="宋体" w:eastAsia="仿宋_GB2312"/>
          <w:b/>
          <w:color w:val="auto"/>
          <w:sz w:val="24"/>
          <w:szCs w:val="24"/>
        </w:rPr>
        <w:t>且分别单独密封。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0"/>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pStyle w:val="10"/>
        <w:spacing w:line="360" w:lineRule="auto"/>
        <w:rPr>
          <w:rFonts w:ascii="仿宋_GB2312" w:eastAsia="仿宋_GB2312"/>
          <w:b/>
          <w:color w:val="auto"/>
          <w:sz w:val="24"/>
          <w:szCs w:val="24"/>
        </w:rPr>
      </w:pPr>
    </w:p>
    <w:p>
      <w:pPr>
        <w:pStyle w:val="10"/>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35"/>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2"/>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35"/>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35"/>
        <w:widowControl w:val="0"/>
        <w:autoSpaceDE w:val="0"/>
        <w:autoSpaceDN w:val="0"/>
        <w:adjustRightInd w:val="0"/>
        <w:spacing w:before="0" w:after="0" w:line="360" w:lineRule="auto"/>
        <w:rPr>
          <w:rFonts w:ascii="仿宋_GB2312" w:hAnsi="宋体" w:eastAsia="仿宋_GB2312"/>
          <w:color w:val="auto"/>
          <w:kern w:val="0"/>
          <w:sz w:val="24"/>
          <w:szCs w:val="22"/>
        </w:r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0"/>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0"/>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val="en-US" w:eastAsia="zh-CN"/>
        </w:rPr>
        <w:t>11011524210200016798-XM</w:t>
      </w:r>
      <w:r>
        <w:rPr>
          <w:rFonts w:hint="default" w:ascii="仿宋_GB2312" w:hAnsi="宋体" w:eastAsia="仿宋_GB2312"/>
          <w:color w:val="auto"/>
          <w:sz w:val="24"/>
          <w:szCs w:val="24"/>
          <w:lang w:val="en-US" w:eastAsia="zh-CN"/>
        </w:rPr>
        <w:t xml:space="preserve">001 </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 xml:space="preserve">项目名称：信息化运行维护费-1-2024年度大兴区教育网互联网接入服务 </w:t>
      </w:r>
    </w:p>
    <w:tbl>
      <w:tblPr>
        <w:tblStyle w:val="21"/>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04"/>
        <w:gridCol w:w="3013"/>
        <w:gridCol w:w="190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lang w:eastAsia="zh-CN"/>
              </w:rPr>
              <w:t>投标报价：</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服务期限</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jc w:val="left"/>
              <w:rPr>
                <w:rFonts w:hint="eastAsia" w:ascii="仿宋_GB2312" w:hAnsi="Batang" w:eastAsia="仿宋_GB2312"/>
                <w:color w:val="auto"/>
                <w:sz w:val="24"/>
                <w:szCs w:val="24"/>
                <w:lang w:eastAsia="zh-CN"/>
              </w:rPr>
            </w:pPr>
            <w:r>
              <w:rPr>
                <w:rFonts w:hint="eastAsia" w:ascii="仿宋_GB2312" w:hAnsi="宋体" w:eastAsia="仿宋_GB2312"/>
                <w:color w:val="auto"/>
                <w:sz w:val="24"/>
                <w:szCs w:val="24"/>
              </w:rPr>
              <w:t xml:space="preserve">信息化运行维护费-1-2024年度大兴区教育网互联网接入服务 </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firstLine="120" w:firstLineChars="50"/>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总价</w:t>
            </w:r>
            <w:r>
              <w:rPr>
                <w:rFonts w:hint="eastAsia" w:ascii="仿宋_GB2312" w:hAnsi="宋体" w:eastAsia="仿宋_GB2312"/>
                <w:color w:val="auto"/>
                <w:sz w:val="24"/>
                <w:szCs w:val="24"/>
              </w:rPr>
              <w:t>（元</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312"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lang w:eastAsia="zh-CN"/>
              </w:rPr>
              <w:t>大</w:t>
            </w:r>
            <w:r>
              <w:rPr>
                <w:rFonts w:hint="eastAsia" w:ascii="仿宋_GB2312" w:hAnsi="宋体" w:eastAsia="仿宋_GB2312"/>
                <w:color w:val="auto"/>
                <w:sz w:val="24"/>
                <w:szCs w:val="24"/>
              </w:rPr>
              <w:t>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spacing w:before="312" w:beforeLines="100"/>
              <w:ind w:firstLine="120" w:firstLineChars="50"/>
              <w:rPr>
                <w:rFonts w:hint="eastAsia" w:ascii="仿宋_GB2312" w:hAnsi="宋体" w:eastAsia="仿宋_GB2312"/>
                <w:color w:val="auto"/>
                <w:sz w:val="24"/>
                <w:szCs w:val="24"/>
                <w:lang w:eastAsia="zh-CN"/>
              </w:rPr>
            </w:pP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r>
    </w:tbl>
    <w:p>
      <w:pPr>
        <w:spacing w:line="360" w:lineRule="auto"/>
        <w:rPr>
          <w:rFonts w:ascii="仿宋_GB2312" w:hAnsi="宋体" w:eastAsia="仿宋_GB2312"/>
          <w:color w:val="auto"/>
          <w:sz w:val="24"/>
          <w:szCs w:val="24"/>
          <w:u w:val="single"/>
        </w:rPr>
      </w:pPr>
    </w:p>
    <w:p>
      <w:pPr>
        <w:pStyle w:val="10"/>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0"/>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8"/>
        <w:rPr>
          <w:color w:val="auto"/>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pStyle w:val="35"/>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tabs>
          <w:tab w:val="left" w:pos="5580"/>
        </w:tabs>
        <w:spacing w:before="156" w:after="156" w:line="360" w:lineRule="auto"/>
        <w:jc w:val="center"/>
        <w:rPr>
          <w:rFonts w:ascii="宋体" w:hAnsi="宋体" w:cs="宋体"/>
          <w:color w:val="auto"/>
          <w:sz w:val="32"/>
          <w:szCs w:val="32"/>
        </w:rPr>
      </w:pPr>
      <w:r>
        <w:rPr>
          <w:rFonts w:hint="eastAsia" w:ascii="仿宋_GB2312" w:eastAsia="仿宋_GB2312"/>
          <w:b/>
          <w:color w:val="auto"/>
          <w:sz w:val="24"/>
        </w:rPr>
        <w:t xml:space="preserve">投标分项报价表  </w:t>
      </w:r>
      <w:r>
        <w:rPr>
          <w:rFonts w:hint="eastAsia" w:ascii="仿宋_GB2312" w:eastAsia="仿宋_GB2312"/>
          <w:b/>
          <w:color w:val="auto"/>
          <w:sz w:val="24"/>
          <w:lang w:eastAsia="zh-CN"/>
        </w:rPr>
        <w:t>（自拟）</w:t>
      </w:r>
    </w:p>
    <w:tbl>
      <w:tblPr>
        <w:tblStyle w:val="21"/>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tbl>
            <w:tblPr>
              <w:tblStyle w:val="21"/>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3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tcBorders>
                    <w:top w:val="nil"/>
                    <w:left w:val="nil"/>
                    <w:bottom w:val="nil"/>
                    <w:right w:val="nil"/>
                  </w:tcBorders>
                  <w:tcMar>
                    <w:top w:w="15" w:type="dxa"/>
                    <w:left w:w="15" w:type="dxa"/>
                    <w:right w:w="15" w:type="dxa"/>
                  </w:tcMar>
                  <w:vAlign w:val="center"/>
                </w:tcPr>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lang w:val="en-US" w:eastAsia="zh-CN"/>
                    </w:rPr>
                    <w:t>11011524210200016798-XM</w:t>
                  </w:r>
                  <w:r>
                    <w:rPr>
                      <w:rFonts w:hint="default" w:ascii="仿宋_GB2312" w:hAnsi="宋体" w:eastAsia="仿宋_GB2312"/>
                      <w:color w:val="auto"/>
                      <w:sz w:val="24"/>
                      <w:szCs w:val="24"/>
                      <w:lang w:val="en-US" w:eastAsia="zh-CN"/>
                    </w:rPr>
                    <w:t xml:space="preserve">001 </w:t>
                  </w:r>
                </w:p>
                <w:p>
                  <w:pPr>
                    <w:ind w:left="1200" w:hanging="1200" w:hangingChars="500"/>
                    <w:rPr>
                      <w:rFonts w:hint="eastAsia" w:ascii="宋体" w:hAnsi="宋体" w:eastAsia="仿宋_GB2312" w:cs="宋体"/>
                      <w:color w:val="auto"/>
                      <w:sz w:val="24"/>
                      <w:highlight w:val="none"/>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rPr>
                    <w:t xml:space="preserve">信息化运行维护费-1-2024年度大兴区教育网互联网接入服务 </w:t>
                  </w:r>
                </w:p>
              </w:tc>
            </w:tr>
          </w:tbl>
          <w:p>
            <w:pPr>
              <w:jc w:val="center"/>
              <w:rPr>
                <w:rFonts w:ascii="宋体" w:hAnsi="宋体" w:cs="宋体"/>
                <w:color w:val="auto"/>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spacing w:line="560" w:lineRule="exact"/>
              <w:jc w:val="center"/>
              <w:rPr>
                <w:rFonts w:hint="eastAsia" w:ascii="仿宋_GB2312" w:hAnsi="仿宋_GB2312" w:eastAsia="仿宋_GB2312" w:cs="仿宋_GB2312"/>
                <w:kern w:val="2"/>
                <w:sz w:val="24"/>
                <w:szCs w:val="24"/>
                <w:lang w:val="zh-CN" w:eastAsia="zh-CN" w:bidi="ar-SA"/>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autoSpaceDE w:val="0"/>
              <w:autoSpaceDN w:val="0"/>
              <w:adjustRightInd w:val="0"/>
              <w:spacing w:line="560" w:lineRule="exact"/>
              <w:jc w:val="center"/>
              <w:rPr>
                <w:rFonts w:hint="eastAsia" w:ascii="仿宋_GB2312" w:hAnsi="仿宋_GB2312" w:eastAsia="仿宋_GB2312" w:cs="仿宋_GB2312"/>
                <w:kern w:val="2"/>
                <w:sz w:val="24"/>
                <w:szCs w:val="24"/>
                <w:lang w:val="zh-CN" w:eastAsia="zh-CN" w:bidi="ar-SA"/>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autoSpaceDE w:val="0"/>
              <w:autoSpaceDN w:val="0"/>
              <w:adjustRightInd w:val="0"/>
              <w:spacing w:line="560" w:lineRule="exact"/>
              <w:jc w:val="center"/>
              <w:rPr>
                <w:rFonts w:hint="eastAsia" w:ascii="仿宋_GB2312" w:hAnsi="仿宋_GB2312" w:eastAsia="仿宋_GB2312" w:cs="仿宋_GB2312"/>
                <w:kern w:val="2"/>
                <w:sz w:val="24"/>
                <w:szCs w:val="24"/>
                <w:lang w:val="zh-CN" w:eastAsia="zh-CN" w:bidi="ar-SA"/>
              </w:rPr>
            </w:pP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auto"/>
                <w:sz w:val="24"/>
                <w:szCs w:val="28"/>
                <w:lang w:val="zh-CN" w:eastAsia="zh-CN"/>
              </w:rPr>
            </w:pPr>
            <w:r>
              <w:rPr>
                <w:rFonts w:hint="eastAsia" w:ascii="仿宋_GB2312" w:hAnsi="仿宋_GB2312" w:eastAsia="仿宋_GB2312" w:cs="仿宋_GB2312"/>
                <w:color w:val="auto"/>
                <w:sz w:val="24"/>
                <w:szCs w:val="28"/>
                <w:lang w:val="en-US" w:eastAsia="zh-CN"/>
              </w:rPr>
              <w:t>...</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auto"/>
                <w:sz w:val="24"/>
                <w:szCs w:val="28"/>
                <w:lang w:val="zh-CN" w:eastAsia="zh-CN"/>
              </w:rPr>
            </w:pPr>
            <w:r>
              <w:rPr>
                <w:rFonts w:hint="eastAsia" w:ascii="仿宋_GB2312" w:hAnsi="仿宋_GB2312" w:eastAsia="仿宋_GB2312" w:cs="仿宋_GB2312"/>
                <w:color w:val="auto"/>
                <w:sz w:val="24"/>
                <w:szCs w:val="28"/>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bl>
    <w:p>
      <w:pPr>
        <w:rPr>
          <w:rFonts w:ascii="宋体" w:hAnsi="宋体" w:cs="宋体"/>
          <w:color w:val="auto"/>
          <w:sz w:val="32"/>
          <w:szCs w:val="32"/>
        </w:rPr>
      </w:pP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报价人全称：</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rPr>
        <w:t>（盖章）</w:t>
      </w:r>
    </w:p>
    <w:p>
      <w:pPr>
        <w:rPr>
          <w:rFonts w:hint="eastAsia" w:ascii="仿宋_GB2312" w:hAnsi="仿宋_GB2312" w:eastAsia="仿宋_GB2312" w:cs="仿宋_GB2312"/>
          <w:color w:val="auto"/>
          <w:sz w:val="24"/>
          <w:szCs w:val="24"/>
        </w:rPr>
      </w:pPr>
    </w:p>
    <w:p>
      <w:pPr>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color w:val="auto"/>
          <w:sz w:val="24"/>
          <w:szCs w:val="24"/>
          <w:lang w:eastAsia="zh-CN"/>
        </w:rPr>
        <w:t>法定代表人或投标人授权代表(签字或签章)：</w:t>
      </w:r>
      <w:r>
        <w:rPr>
          <w:rFonts w:hint="eastAsia" w:ascii="仿宋_GB2312" w:hAnsi="仿宋_GB2312" w:eastAsia="仿宋_GB2312" w:cs="仿宋_GB2312"/>
          <w:color w:val="auto"/>
          <w:sz w:val="24"/>
          <w:szCs w:val="24"/>
          <w:u w:val="single"/>
          <w:lang w:val="en-US" w:eastAsia="zh-CN"/>
        </w:rPr>
        <w:t xml:space="preserve">             </w:t>
      </w:r>
    </w:p>
    <w:p>
      <w:pPr>
        <w:rPr>
          <w:rFonts w:hint="eastAsia" w:ascii="仿宋_GB2312" w:hAnsi="仿宋_GB2312" w:eastAsia="仿宋_GB2312" w:cs="仿宋_GB2312"/>
          <w:color w:val="auto"/>
          <w:sz w:val="24"/>
          <w:szCs w:val="24"/>
          <w:u w:val="single"/>
          <w:lang w:val="en-US" w:eastAsia="zh-CN"/>
        </w:rPr>
      </w:pPr>
    </w:p>
    <w:p>
      <w:pPr>
        <w:spacing w:after="240" w:afterLines="100" w:line="360" w:lineRule="auto"/>
        <w:rPr>
          <w:rFonts w:hint="eastAsia" w:ascii="仿宋_GB2312" w:hAnsi="宋体" w:eastAsia="仿宋_GB2312"/>
          <w:b/>
          <w:color w:val="auto"/>
          <w:sz w:val="24"/>
        </w:rPr>
      </w:pPr>
      <w:r>
        <w:rPr>
          <w:rFonts w:hint="eastAsia" w:ascii="仿宋_GB2312" w:hAnsi="宋体" w:eastAsia="仿宋_GB2312"/>
          <w:b/>
          <w:color w:val="auto"/>
          <w:sz w:val="24"/>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lang w:eastAsia="zh-CN"/>
        </w:rPr>
      </w:pPr>
      <w:r>
        <w:rPr>
          <w:rFonts w:hint="eastAsia" w:ascii="仿宋_GB2312" w:hAnsi="宋体" w:eastAsia="仿宋_GB2312"/>
          <w:b/>
          <w:color w:val="auto"/>
          <w:sz w:val="24"/>
          <w:lang w:val="en-US" w:eastAsia="zh-CN"/>
        </w:rPr>
        <w:t>1.</w:t>
      </w:r>
      <w:r>
        <w:rPr>
          <w:rFonts w:hint="eastAsia" w:ascii="仿宋_GB2312" w:hAnsi="宋体" w:eastAsia="仿宋_GB2312"/>
          <w:b/>
          <w:color w:val="auto"/>
          <w:sz w:val="24"/>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lang w:eastAsia="zh-CN"/>
        </w:rPr>
        <w:t>，所报价格为含税价格，采购人不再负担报价以外的费用；</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lang w:val="en-US" w:eastAsia="zh-CN"/>
        </w:rPr>
      </w:pPr>
      <w:r>
        <w:rPr>
          <w:rFonts w:hint="eastAsia" w:ascii="仿宋_GB2312" w:hAnsi="宋体" w:eastAsia="仿宋_GB2312"/>
          <w:b/>
          <w:color w:val="auto"/>
          <w:sz w:val="24"/>
          <w:lang w:val="en-US" w:eastAsia="zh-CN"/>
        </w:rPr>
        <w:t>2.</w:t>
      </w:r>
      <w:r>
        <w:rPr>
          <w:rFonts w:hint="eastAsia" w:ascii="仿宋_GB2312" w:hAnsi="宋体" w:eastAsia="仿宋_GB2312"/>
          <w:b/>
          <w:color w:val="auto"/>
          <w:sz w:val="24"/>
        </w:rPr>
        <w:t>将所有对应项费用全部列出，</w:t>
      </w:r>
      <w:r>
        <w:rPr>
          <w:rFonts w:hint="eastAsia" w:ascii="仿宋_GB2312" w:hAnsi="宋体" w:eastAsia="仿宋_GB2312"/>
          <w:b/>
          <w:color w:val="auto"/>
          <w:sz w:val="24"/>
          <w:lang w:eastAsia="zh-CN"/>
        </w:rPr>
        <w:t>合计</w:t>
      </w:r>
      <w:r>
        <w:rPr>
          <w:rFonts w:hint="eastAsia" w:ascii="仿宋_GB2312" w:hAnsi="宋体" w:eastAsia="仿宋_GB2312"/>
          <w:b/>
          <w:color w:val="auto"/>
          <w:sz w:val="24"/>
        </w:rPr>
        <w:t>应与投标一览表总计一致</w:t>
      </w:r>
      <w:r>
        <w:rPr>
          <w:rFonts w:hint="eastAsia" w:ascii="仿宋_GB2312" w:hAnsi="宋体" w:eastAsia="仿宋_GB2312"/>
          <w:b/>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rPr>
      </w:pPr>
      <w:r>
        <w:rPr>
          <w:rFonts w:hint="eastAsia" w:ascii="仿宋_GB2312" w:hAnsi="宋体" w:eastAsia="仿宋_GB2312"/>
          <w:b/>
          <w:color w:val="auto"/>
          <w:sz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35"/>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p>
    <w:p>
      <w:pPr>
        <w:rPr>
          <w:rFonts w:hint="eastAsia" w:ascii="仿宋_GB2312" w:eastAsia="仿宋_GB2312"/>
          <w:b/>
          <w:color w:val="auto"/>
          <w:sz w:val="24"/>
          <w:szCs w:val="24"/>
        </w:rPr>
      </w:pPr>
    </w:p>
    <w:p>
      <w:pPr>
        <w:rPr>
          <w:rFonts w:hint="eastAsia" w:ascii="仿宋_GB2312" w:eastAsia="仿宋_GB2312"/>
          <w:b/>
          <w:color w:val="auto"/>
          <w:sz w:val="24"/>
        </w:rPr>
      </w:pPr>
      <w:r>
        <w:rPr>
          <w:rFonts w:hint="eastAsia" w:ascii="仿宋_GB2312" w:eastAsia="仿宋_GB2312"/>
          <w:b/>
          <w:color w:val="auto"/>
          <w:sz w:val="24"/>
        </w:rPr>
        <w:br w:type="page"/>
      </w:r>
    </w:p>
    <w:p>
      <w:pPr>
        <w:tabs>
          <w:tab w:val="left" w:pos="5580"/>
        </w:tabs>
        <w:spacing w:before="156" w:after="156" w:line="360" w:lineRule="auto"/>
        <w:jc w:val="center"/>
        <w:rPr>
          <w:rFonts w:hint="eastAsia" w:ascii="仿宋_GB2312" w:eastAsia="仿宋_GB2312"/>
          <w:b/>
          <w:color w:val="auto"/>
          <w:sz w:val="24"/>
        </w:rPr>
      </w:pPr>
      <w:r>
        <w:rPr>
          <w:rFonts w:hint="eastAsia" w:ascii="仿宋_GB2312" w:eastAsia="仿宋_GB2312"/>
          <w:b/>
          <w:color w:val="auto"/>
          <w:sz w:val="24"/>
        </w:rPr>
        <w:t xml:space="preserve">商务条款偏离表 </w:t>
      </w:r>
    </w:p>
    <w:p>
      <w:pPr>
        <w:pStyle w:val="6"/>
        <w:ind w:firstLine="0"/>
        <w:rPr>
          <w:rFonts w:hint="eastAsia" w:ascii="仿宋_GB2312" w:eastAsia="仿宋_GB2312"/>
          <w:color w:val="auto"/>
        </w:rPr>
      </w:pPr>
      <w:r>
        <w:rPr>
          <w:rFonts w:hint="eastAsia" w:ascii="仿宋_GB2312" w:eastAsia="仿宋_GB2312"/>
          <w:color w:val="auto"/>
        </w:rPr>
        <w:t>招标编号：               项目名称：</w:t>
      </w:r>
    </w:p>
    <w:tbl>
      <w:tblPr>
        <w:tblStyle w:val="2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bl>
    <w:p>
      <w:pPr>
        <w:pStyle w:val="10"/>
        <w:spacing w:line="360" w:lineRule="auto"/>
        <w:rPr>
          <w:rFonts w:hint="eastAsia" w:ascii="仿宋_GB2312" w:eastAsia="仿宋_GB2312"/>
          <w:color w:val="auto"/>
          <w:sz w:val="24"/>
        </w:rPr>
      </w:pPr>
    </w:p>
    <w:p>
      <w:pPr>
        <w:pStyle w:val="10"/>
        <w:spacing w:line="360" w:lineRule="auto"/>
        <w:rPr>
          <w:rFonts w:hint="eastAsia" w:ascii="仿宋_GB2312" w:eastAsia="仿宋_GB2312"/>
          <w:color w:val="auto"/>
          <w:sz w:val="24"/>
        </w:rPr>
      </w:pPr>
    </w:p>
    <w:p>
      <w:pPr>
        <w:pStyle w:val="10"/>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7</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教育互联网接入服务方案</w:t>
      </w:r>
    </w:p>
    <w:p>
      <w:pPr>
        <w:jc w:val="center"/>
        <w:rPr>
          <w:rFonts w:hint="eastAsia" w:ascii="仿宋_GB2312" w:hAnsi="宋体" w:eastAsia="仿宋_GB2312"/>
          <w:b/>
          <w:color w:val="auto"/>
          <w:sz w:val="24"/>
          <w:szCs w:val="24"/>
          <w:lang w:eastAsia="zh-CN"/>
        </w:rPr>
      </w:pP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after="156" w:line="360" w:lineRule="auto"/>
        <w:jc w:val="center"/>
        <w:rPr>
          <w:rFonts w:hint="eastAsia" w:ascii="仿宋_GB2312" w:eastAsia="仿宋_GB2312"/>
          <w:b/>
          <w:color w:val="auto"/>
          <w:sz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9"/>
        <w:rPr>
          <w:rFonts w:hint="eastAsia" w:ascii="仿宋_GB2312" w:hAnsi="宋体" w:eastAsia="仿宋_GB2312"/>
          <w:b/>
          <w:color w:val="auto"/>
          <w:sz w:val="24"/>
          <w:szCs w:val="24"/>
          <w:lang w:eastAsia="zh-CN"/>
        </w:rPr>
      </w:pPr>
    </w:p>
    <w:p>
      <w:pPr>
        <w:rPr>
          <w:rFonts w:hint="eastAsia"/>
          <w:color w:val="auto"/>
          <w:lang w:eastAsia="zh-CN"/>
        </w:rPr>
      </w:pPr>
    </w:p>
    <w:p>
      <w:pPr>
        <w:rPr>
          <w:rFonts w:hint="eastAsia" w:ascii="仿宋_GB2312" w:eastAsia="仿宋_GB2312"/>
          <w:b/>
          <w:color w:val="auto"/>
          <w:sz w:val="24"/>
          <w:szCs w:val="24"/>
          <w:lang w:val="en-US"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rPr>
          <w:rFonts w:hint="eastAsia" w:ascii="仿宋_GB2312"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8</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IP地址</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8"/>
        <w:rPr>
          <w:rFonts w:hint="eastAsia" w:ascii="仿宋_GB2312" w:hAnsi="宋体" w:eastAsia="仿宋_GB2312"/>
          <w:b/>
          <w:color w:val="auto"/>
          <w:sz w:val="24"/>
          <w:szCs w:val="24"/>
          <w:lang w:eastAsia="zh-CN"/>
        </w:rPr>
      </w:pPr>
    </w:p>
    <w:p>
      <w:pPr>
        <w:pStyle w:val="16"/>
        <w:rPr>
          <w:rFonts w:hint="eastAsia" w:ascii="仿宋_GB2312" w:hAnsi="宋体" w:eastAsia="仿宋_GB2312"/>
          <w:b/>
          <w:color w:val="auto"/>
          <w:sz w:val="24"/>
          <w:szCs w:val="24"/>
          <w:lang w:eastAsia="zh-CN"/>
        </w:rPr>
      </w:pPr>
    </w:p>
    <w:p>
      <w:pPr>
        <w:rPr>
          <w:rFonts w:hint="eastAsia"/>
          <w:color w:val="auto"/>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9</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带宽部分</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10</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考务专网备用链路服务方案</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11</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优化网络平台资源访问方案</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 w:hAnsi="仿宋" w:eastAsia="仿宋" w:cs="仿宋"/>
          <w:szCs w:val="21"/>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8"/>
        <w:rPr>
          <w:rFonts w:hint="eastAsia"/>
          <w:color w:val="auto"/>
          <w:lang w:eastAsia="zh-CN"/>
        </w:rPr>
      </w:pP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12</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服务团队人员配置</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13</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应急预案</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14</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网络运维服务方案</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15</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开通时间</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tabs>
          <w:tab w:val="left" w:pos="5580"/>
        </w:tabs>
        <w:spacing w:beforeLines="50" w:afterLines="50" w:line="360" w:lineRule="auto"/>
        <w:jc w:val="center"/>
        <w:rPr>
          <w:rFonts w:hint="eastAsia" w:ascii="仿宋_GB2312" w:hAnsi="宋体" w:eastAsia="仿宋_GB2312"/>
          <w:b/>
          <w:bCs/>
          <w:color w:val="auto"/>
          <w:sz w:val="24"/>
          <w:szCs w:val="24"/>
        </w:rPr>
      </w:pPr>
      <w:r>
        <w:rPr>
          <w:rFonts w:hint="eastAsia" w:ascii="仿宋_GB2312" w:hAnsi="PWJGTK+»ªÎÄÏ¸ºÚ" w:eastAsia="仿宋_GB2312" w:cs="PWJGTK+»ªÎÄÏ¸ºÚ"/>
          <w:b/>
          <w:bCs/>
          <w:color w:val="auto"/>
        </w:rPr>
        <w:t>企业业绩及经验</w:t>
      </w:r>
    </w:p>
    <w:p>
      <w:pPr>
        <w:tabs>
          <w:tab w:val="left" w:pos="5580"/>
        </w:tabs>
        <w:spacing w:beforeLines="50" w:afterLines="50" w:line="360" w:lineRule="auto"/>
        <w:jc w:val="center"/>
        <w:rPr>
          <w:rFonts w:ascii="仿宋_GB2312" w:hAnsi="宋体" w:eastAsia="仿宋_GB2312"/>
          <w:b w:val="0"/>
          <w:bCs/>
          <w:color w:val="auto"/>
          <w:sz w:val="24"/>
          <w:szCs w:val="24"/>
        </w:rPr>
      </w:pPr>
      <w:r>
        <w:rPr>
          <w:rFonts w:hint="eastAsia" w:ascii="仿宋_GB2312" w:hAnsi="宋体" w:eastAsia="仿宋_GB2312"/>
          <w:b w:val="0"/>
          <w:bCs/>
          <w:color w:val="auto"/>
          <w:sz w:val="24"/>
          <w:szCs w:val="24"/>
        </w:rPr>
        <w:t>投标人近3年（2021年1月1日起至今）做过的教育行业带宽项目业绩（加盖单位公章的复印件）</w:t>
      </w:r>
    </w:p>
    <w:p>
      <w:pPr>
        <w:jc w:val="left"/>
        <w:rPr>
          <w:rFonts w:ascii="仿宋" w:hAnsi="仿宋" w:eastAsia="仿宋" w:cs="仿宋"/>
        </w:rPr>
      </w:pPr>
      <w:r>
        <w:rPr>
          <w:rFonts w:hint="eastAsia" w:ascii="仿宋_GB2312" w:hAnsi="宋体" w:eastAsia="仿宋_GB2312"/>
          <w:b/>
          <w:color w:val="auto"/>
          <w:sz w:val="24"/>
        </w:rPr>
        <w:t>每个业绩资料应以合同签订日期为准,提供合同关键页</w:t>
      </w:r>
      <w:r>
        <w:rPr>
          <w:rFonts w:hint="eastAsia" w:ascii="仿宋" w:hAnsi="仿宋" w:eastAsia="仿宋" w:cs="仿宋"/>
        </w:rPr>
        <w:t>（附合同首页、金额页、内容页、签字页等合同关键页复印件或扫描件，须加盖投标人公章）。</w:t>
      </w:r>
    </w:p>
    <w:tbl>
      <w:tblPr>
        <w:tblStyle w:val="21"/>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250"/>
        <w:gridCol w:w="1616"/>
        <w:gridCol w:w="1672"/>
        <w:gridCol w:w="956"/>
        <w:gridCol w:w="2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25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161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67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219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3" w:type="dxa"/>
            <w:vAlign w:val="top"/>
          </w:tcPr>
          <w:p>
            <w:pPr>
              <w:snapToGrid w:val="0"/>
              <w:spacing w:line="460" w:lineRule="exact"/>
              <w:rPr>
                <w:rFonts w:ascii="宋体" w:hAnsi="宋体"/>
                <w:color w:val="auto"/>
                <w:sz w:val="24"/>
              </w:rPr>
            </w:pPr>
          </w:p>
        </w:tc>
        <w:tc>
          <w:tcPr>
            <w:tcW w:w="2250" w:type="dxa"/>
            <w:vAlign w:val="top"/>
          </w:tcPr>
          <w:p>
            <w:pPr>
              <w:snapToGrid w:val="0"/>
              <w:spacing w:line="460" w:lineRule="exact"/>
              <w:rPr>
                <w:rFonts w:ascii="宋体" w:hAnsi="宋体"/>
                <w:color w:val="auto"/>
                <w:sz w:val="24"/>
              </w:rPr>
            </w:pPr>
          </w:p>
        </w:tc>
        <w:tc>
          <w:tcPr>
            <w:tcW w:w="1616" w:type="dxa"/>
            <w:vAlign w:val="top"/>
          </w:tcPr>
          <w:p>
            <w:pPr>
              <w:snapToGrid w:val="0"/>
              <w:spacing w:line="460" w:lineRule="exact"/>
              <w:rPr>
                <w:rFonts w:ascii="宋体" w:hAnsi="宋体"/>
                <w:color w:val="auto"/>
                <w:sz w:val="24"/>
              </w:rPr>
            </w:pPr>
          </w:p>
        </w:tc>
        <w:tc>
          <w:tcPr>
            <w:tcW w:w="1672" w:type="dxa"/>
            <w:vAlign w:val="top"/>
          </w:tcPr>
          <w:p>
            <w:pPr>
              <w:snapToGrid w:val="0"/>
              <w:spacing w:line="460" w:lineRule="exact"/>
              <w:rPr>
                <w:rFonts w:ascii="宋体" w:hAnsi="宋体"/>
                <w:color w:val="auto"/>
                <w:sz w:val="24"/>
              </w:rPr>
            </w:pPr>
          </w:p>
        </w:tc>
        <w:tc>
          <w:tcPr>
            <w:tcW w:w="956" w:type="dxa"/>
            <w:vAlign w:val="top"/>
          </w:tcPr>
          <w:p>
            <w:pPr>
              <w:snapToGrid w:val="0"/>
              <w:spacing w:line="460" w:lineRule="exact"/>
              <w:rPr>
                <w:rFonts w:ascii="宋体" w:hAnsi="宋体"/>
                <w:color w:val="auto"/>
                <w:sz w:val="24"/>
              </w:rPr>
            </w:pPr>
          </w:p>
        </w:tc>
        <w:tc>
          <w:tcPr>
            <w:tcW w:w="219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3" w:type="dxa"/>
            <w:vAlign w:val="top"/>
          </w:tcPr>
          <w:p>
            <w:pPr>
              <w:snapToGrid w:val="0"/>
              <w:spacing w:line="460" w:lineRule="exact"/>
              <w:rPr>
                <w:rFonts w:ascii="宋体" w:hAnsi="宋体"/>
                <w:color w:val="auto"/>
                <w:sz w:val="24"/>
              </w:rPr>
            </w:pPr>
          </w:p>
        </w:tc>
        <w:tc>
          <w:tcPr>
            <w:tcW w:w="2250" w:type="dxa"/>
            <w:vAlign w:val="top"/>
          </w:tcPr>
          <w:p>
            <w:pPr>
              <w:snapToGrid w:val="0"/>
              <w:spacing w:line="460" w:lineRule="exact"/>
              <w:rPr>
                <w:rFonts w:ascii="宋体" w:hAnsi="宋体"/>
                <w:color w:val="auto"/>
                <w:sz w:val="24"/>
              </w:rPr>
            </w:pPr>
          </w:p>
        </w:tc>
        <w:tc>
          <w:tcPr>
            <w:tcW w:w="1616" w:type="dxa"/>
            <w:vAlign w:val="top"/>
          </w:tcPr>
          <w:p>
            <w:pPr>
              <w:snapToGrid w:val="0"/>
              <w:spacing w:line="460" w:lineRule="exact"/>
              <w:rPr>
                <w:rFonts w:ascii="宋体" w:hAnsi="宋体"/>
                <w:color w:val="auto"/>
                <w:sz w:val="24"/>
              </w:rPr>
            </w:pPr>
          </w:p>
        </w:tc>
        <w:tc>
          <w:tcPr>
            <w:tcW w:w="1672" w:type="dxa"/>
            <w:vAlign w:val="top"/>
          </w:tcPr>
          <w:p>
            <w:pPr>
              <w:snapToGrid w:val="0"/>
              <w:spacing w:line="460" w:lineRule="exact"/>
              <w:rPr>
                <w:rFonts w:ascii="宋体" w:hAnsi="宋体"/>
                <w:color w:val="auto"/>
                <w:sz w:val="24"/>
              </w:rPr>
            </w:pPr>
          </w:p>
        </w:tc>
        <w:tc>
          <w:tcPr>
            <w:tcW w:w="956" w:type="dxa"/>
            <w:vAlign w:val="top"/>
          </w:tcPr>
          <w:p>
            <w:pPr>
              <w:snapToGrid w:val="0"/>
              <w:spacing w:line="460" w:lineRule="exact"/>
              <w:rPr>
                <w:rFonts w:ascii="宋体" w:hAnsi="宋体"/>
                <w:color w:val="auto"/>
                <w:sz w:val="24"/>
              </w:rPr>
            </w:pPr>
          </w:p>
        </w:tc>
        <w:tc>
          <w:tcPr>
            <w:tcW w:w="219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3" w:type="dxa"/>
            <w:vAlign w:val="top"/>
          </w:tcPr>
          <w:p>
            <w:pPr>
              <w:snapToGrid w:val="0"/>
              <w:spacing w:line="460" w:lineRule="exact"/>
              <w:rPr>
                <w:rFonts w:ascii="宋体" w:hAnsi="宋体"/>
                <w:color w:val="auto"/>
                <w:sz w:val="24"/>
              </w:rPr>
            </w:pPr>
          </w:p>
        </w:tc>
        <w:tc>
          <w:tcPr>
            <w:tcW w:w="2250" w:type="dxa"/>
            <w:vAlign w:val="top"/>
          </w:tcPr>
          <w:p>
            <w:pPr>
              <w:snapToGrid w:val="0"/>
              <w:spacing w:line="460" w:lineRule="exact"/>
              <w:rPr>
                <w:rFonts w:ascii="宋体" w:hAnsi="宋体"/>
                <w:color w:val="auto"/>
                <w:sz w:val="24"/>
              </w:rPr>
            </w:pPr>
          </w:p>
        </w:tc>
        <w:tc>
          <w:tcPr>
            <w:tcW w:w="1616" w:type="dxa"/>
            <w:vAlign w:val="top"/>
          </w:tcPr>
          <w:p>
            <w:pPr>
              <w:snapToGrid w:val="0"/>
              <w:spacing w:line="460" w:lineRule="exact"/>
              <w:rPr>
                <w:rFonts w:ascii="宋体" w:hAnsi="宋体"/>
                <w:color w:val="auto"/>
                <w:sz w:val="24"/>
              </w:rPr>
            </w:pPr>
          </w:p>
        </w:tc>
        <w:tc>
          <w:tcPr>
            <w:tcW w:w="1672" w:type="dxa"/>
            <w:vAlign w:val="top"/>
          </w:tcPr>
          <w:p>
            <w:pPr>
              <w:snapToGrid w:val="0"/>
              <w:spacing w:line="460" w:lineRule="exact"/>
              <w:rPr>
                <w:rFonts w:ascii="宋体" w:hAnsi="宋体"/>
                <w:color w:val="auto"/>
                <w:sz w:val="24"/>
              </w:rPr>
            </w:pPr>
          </w:p>
        </w:tc>
        <w:tc>
          <w:tcPr>
            <w:tcW w:w="956" w:type="dxa"/>
            <w:vAlign w:val="top"/>
          </w:tcPr>
          <w:p>
            <w:pPr>
              <w:snapToGrid w:val="0"/>
              <w:spacing w:line="460" w:lineRule="exact"/>
              <w:rPr>
                <w:rFonts w:ascii="宋体" w:hAnsi="宋体"/>
                <w:color w:val="auto"/>
                <w:sz w:val="24"/>
              </w:rPr>
            </w:pPr>
          </w:p>
        </w:tc>
        <w:tc>
          <w:tcPr>
            <w:tcW w:w="219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93" w:type="dxa"/>
            <w:vAlign w:val="top"/>
          </w:tcPr>
          <w:p>
            <w:pPr>
              <w:snapToGrid w:val="0"/>
              <w:spacing w:line="460" w:lineRule="exact"/>
              <w:rPr>
                <w:rFonts w:ascii="宋体" w:hAnsi="宋体"/>
                <w:color w:val="auto"/>
                <w:sz w:val="24"/>
              </w:rPr>
            </w:pPr>
          </w:p>
        </w:tc>
        <w:tc>
          <w:tcPr>
            <w:tcW w:w="2250" w:type="dxa"/>
            <w:vAlign w:val="top"/>
          </w:tcPr>
          <w:p>
            <w:pPr>
              <w:snapToGrid w:val="0"/>
              <w:spacing w:line="460" w:lineRule="exact"/>
              <w:rPr>
                <w:rFonts w:ascii="宋体" w:hAnsi="宋体"/>
                <w:color w:val="auto"/>
                <w:sz w:val="24"/>
              </w:rPr>
            </w:pPr>
          </w:p>
        </w:tc>
        <w:tc>
          <w:tcPr>
            <w:tcW w:w="1616" w:type="dxa"/>
            <w:vAlign w:val="top"/>
          </w:tcPr>
          <w:p>
            <w:pPr>
              <w:snapToGrid w:val="0"/>
              <w:spacing w:line="460" w:lineRule="exact"/>
              <w:rPr>
                <w:rFonts w:ascii="宋体" w:hAnsi="宋体"/>
                <w:color w:val="auto"/>
                <w:sz w:val="24"/>
              </w:rPr>
            </w:pPr>
          </w:p>
        </w:tc>
        <w:tc>
          <w:tcPr>
            <w:tcW w:w="1672" w:type="dxa"/>
            <w:vAlign w:val="top"/>
          </w:tcPr>
          <w:p>
            <w:pPr>
              <w:snapToGrid w:val="0"/>
              <w:spacing w:line="460" w:lineRule="exact"/>
              <w:rPr>
                <w:rFonts w:ascii="宋体" w:hAnsi="宋体"/>
                <w:color w:val="auto"/>
                <w:sz w:val="24"/>
              </w:rPr>
            </w:pPr>
          </w:p>
        </w:tc>
        <w:tc>
          <w:tcPr>
            <w:tcW w:w="956" w:type="dxa"/>
            <w:vAlign w:val="top"/>
          </w:tcPr>
          <w:p>
            <w:pPr>
              <w:snapToGrid w:val="0"/>
              <w:spacing w:line="460" w:lineRule="exact"/>
              <w:rPr>
                <w:rFonts w:ascii="宋体" w:hAnsi="宋体"/>
                <w:color w:val="auto"/>
                <w:sz w:val="24"/>
              </w:rPr>
            </w:pPr>
          </w:p>
        </w:tc>
        <w:tc>
          <w:tcPr>
            <w:tcW w:w="2196" w:type="dxa"/>
            <w:vAlign w:val="top"/>
          </w:tcPr>
          <w:p>
            <w:pPr>
              <w:snapToGrid w:val="0"/>
              <w:spacing w:line="460" w:lineRule="exact"/>
              <w:rPr>
                <w:rFonts w:ascii="宋体" w:hAnsi="宋体"/>
                <w:color w:val="auto"/>
                <w:sz w:val="24"/>
              </w:rPr>
            </w:pPr>
          </w:p>
        </w:tc>
      </w:tr>
    </w:tbl>
    <w:p>
      <w:pPr>
        <w:spacing w:beforeLines="50" w:afterLines="50" w:line="360" w:lineRule="auto"/>
        <w:rPr>
          <w:rFonts w:hint="eastAsia" w:ascii="仿宋_GB2312" w:hAnsi="Calibri" w:eastAsia="仿宋_GB2312"/>
          <w:b/>
          <w:color w:val="auto"/>
          <w:sz w:val="24"/>
        </w:rPr>
      </w:pPr>
    </w:p>
    <w:p>
      <w:pPr>
        <w:spacing w:beforeLines="50"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pStyle w:val="10"/>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0"/>
        <w:tabs>
          <w:tab w:val="left" w:pos="5580"/>
        </w:tabs>
        <w:spacing w:before="156" w:beforeLines="50" w:line="360" w:lineRule="auto"/>
        <w:rPr>
          <w:rFonts w:hint="eastAsia" w:ascii="仿宋_GB2312" w:hAnsi="宋体" w:eastAsia="仿宋_GB2312"/>
          <w:color w:val="auto"/>
          <w:sz w:val="24"/>
          <w:szCs w:val="24"/>
          <w:u w:val="single"/>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rPr>
          <w:rFonts w:hint="eastAsia" w:ascii="仿宋_GB2312" w:hAnsi="宋体" w:eastAsia="仿宋_GB2312"/>
          <w:b/>
          <w:color w:val="auto"/>
          <w:sz w:val="24"/>
          <w:szCs w:val="24"/>
          <w:lang w:val="en-US"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投标人综合实力</w:t>
      </w:r>
    </w:p>
    <w:p>
      <w:pPr>
        <w:jc w:val="left"/>
        <w:rPr>
          <w:rFonts w:hint="eastAsia" w:ascii="仿宋_GB2312" w:hAnsi="宋体" w:eastAsia="仿宋"/>
          <w:b/>
          <w:color w:val="auto"/>
          <w:sz w:val="24"/>
          <w:szCs w:val="24"/>
          <w:lang w:val="en-US" w:eastAsia="zh-CN"/>
        </w:rPr>
      </w:pPr>
      <w:r>
        <w:rPr>
          <w:rFonts w:hint="eastAsia" w:ascii="仿宋" w:hAnsi="仿宋" w:eastAsia="仿宋" w:cs="仿宋"/>
        </w:rPr>
        <w:t>具有《中华人民共和国增值电信业务经营许可证》，(提供证明材料加盖投标人公章</w:t>
      </w:r>
      <w:r>
        <w:rPr>
          <w:rFonts w:hint="eastAsia" w:ascii="仿宋" w:hAnsi="仿宋" w:eastAsia="仿宋" w:cs="仿宋"/>
          <w:lang w:eastAsia="zh-CN"/>
        </w:rPr>
        <w:t>）</w:t>
      </w: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eastAsia" w:ascii="仿宋_GB2312" w:hAnsi="宋体" w:eastAsia="仿宋_GB2312"/>
          <w:b/>
          <w:color w:val="auto"/>
          <w:sz w:val="24"/>
          <w:szCs w:val="24"/>
          <w:lang w:val="en-US" w:eastAsia="zh-CN"/>
        </w:rPr>
      </w:pPr>
    </w:p>
    <w:p>
      <w:pPr>
        <w:rPr>
          <w:rFonts w:hint="eastAsia"/>
          <w:lang w:val="en-US" w:eastAsia="zh-CN"/>
        </w:rPr>
      </w:pPr>
    </w:p>
    <w:p>
      <w:pPr>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8"/>
        <w:rPr>
          <w:rFonts w:hint="eastAsia" w:ascii="仿宋_GB2312" w:hAnsi="宋体" w:eastAsia="仿宋_GB2312"/>
          <w:b/>
          <w:color w:val="auto"/>
          <w:sz w:val="24"/>
          <w:szCs w:val="24"/>
          <w:lang w:val="en-US" w:eastAsia="zh-CN"/>
        </w:rPr>
      </w:pPr>
    </w:p>
    <w:p>
      <w:pPr>
        <w:pStyle w:val="111"/>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附件18</w:t>
      </w:r>
    </w:p>
    <w:p>
      <w:pPr>
        <w:rPr>
          <w:rFonts w:hint="default"/>
          <w:lang w:val="en-US" w:eastAsia="zh-CN"/>
        </w:rPr>
      </w:pP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pgNumType w:fmt="decimal"/>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19</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rPr>
          <w:rFonts w:ascii="仿宋_GB2312" w:eastAsia="仿宋_GB2312"/>
          <w:b/>
          <w:color w:val="auto"/>
          <w:sz w:val="24"/>
        </w:rP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MFOEFR+»ªÎÄÏ¸ºÚ">
    <w:altName w:val="微软雅黑"/>
    <w:panose1 w:val="00000000000000000000"/>
    <w:charset w:val="01"/>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华文仿宋">
    <w:altName w:val="仿宋"/>
    <w:panose1 w:val="00000000000000000000"/>
    <w:charset w:val="86"/>
    <w:family w:val="auto"/>
    <w:pitch w:val="default"/>
    <w:sig w:usb0="00000000" w:usb1="00000000" w:usb2="00000010" w:usb3="00000000" w:csb0="0004009F" w:csb1="0000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altName w:val="Malgun Gothic"/>
    <w:panose1 w:val="02030600000101010101"/>
    <w:charset w:val="81"/>
    <w:family w:val="auto"/>
    <w:pitch w:val="default"/>
    <w:sig w:usb0="00000000" w:usb1="00000000" w:usb2="00000030" w:usb3="00000000" w:csb0="4008009F" w:csb1="DFD7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2"/>
      <w:rPr>
        <w:rStyle w:val="25"/>
      </w:rPr>
    </w:pPr>
    <w:r>
      <w:fldChar w:fldCharType="begin"/>
    </w:r>
    <w:r>
      <w:rPr>
        <w:rStyle w:val="25"/>
      </w:rPr>
      <w:instrText xml:space="preserve">PAGE  </w:instrText>
    </w:r>
    <w:r>
      <w:fldChar w:fldCharType="separate"/>
    </w:r>
    <w:r>
      <w:rPr>
        <w:rStyle w:val="25"/>
      </w:rPr>
      <w:t>1</w:t>
    </w:r>
    <w:r>
      <w:fldChar w:fldCharType="end"/>
    </w:r>
  </w:p>
  <w:p>
    <w:pPr>
      <w:pStyle w:val="1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140" w:firstLineChars="23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fldChar w:fldCharType="begin"/>
    </w:r>
    <w:r>
      <w:rPr>
        <w:rStyle w:val="25"/>
      </w:rPr>
      <w:instrText xml:space="preserve">PAGE  </w:instrText>
    </w:r>
    <w:r>
      <w:fldChar w:fldCharType="separate"/>
    </w:r>
    <w:r>
      <w:rPr>
        <w:rStyle w:val="25"/>
      </w:rPr>
      <w:t>1</w:t>
    </w:r>
    <w:r>
      <w:fldChar w:fldCharType="end"/>
    </w:r>
  </w:p>
  <w:p>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fldChar w:fldCharType="begin"/>
    </w:r>
    <w:r>
      <w:rPr>
        <w:rStyle w:val="25"/>
      </w:rPr>
      <w:instrText xml:space="preserve">PAGE  </w:instrText>
    </w:r>
    <w:r>
      <w:fldChar w:fldCharType="end"/>
    </w:r>
  </w:p>
  <w:p>
    <w:pPr>
      <w:pStyle w:val="1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KUg8sg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9d2aNcD8LrY8ImSm+5wgg7FcahFXbTguWt+PNesm4/1f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JylIPLIAQAAnAMAAA4AAAAAAAAAAQAgAAAAHgEAAGRycy9lMm9Eb2Mu&#10;eG1sUEsFBgAAAAAGAAYAWQEAAFgFAAAAAA==&#10;">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5"/>
        <w:snapToGrid w:val="0"/>
        <w:rPr>
          <w:rFonts w:hint="eastAsia" w:ascii="仿宋_GB2312" w:hAnsi="仿宋_GB2312" w:eastAsia="仿宋_GB2312" w:cs="仿宋_GB2312"/>
        </w:rPr>
      </w:pPr>
      <w:r>
        <w:rPr>
          <w:rStyle w:val="32"/>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8BF29"/>
    <w:multiLevelType w:val="singleLevel"/>
    <w:tmpl w:val="B888BF29"/>
    <w:lvl w:ilvl="0" w:tentative="0">
      <w:start w:val="9"/>
      <w:numFmt w:val="decimal"/>
      <w:suff w:val="space"/>
      <w:lvlText w:val="%1."/>
      <w:lvlJc w:val="left"/>
      <w:rPr>
        <w:rFonts w:hint="default"/>
        <w:color w:val="auto"/>
      </w:rPr>
    </w:lvl>
  </w:abstractNum>
  <w:abstractNum w:abstractNumId="1">
    <w:nsid w:val="C790BF22"/>
    <w:multiLevelType w:val="singleLevel"/>
    <w:tmpl w:val="C790BF22"/>
    <w:lvl w:ilvl="0" w:tentative="0">
      <w:start w:val="6"/>
      <w:numFmt w:val="chineseCounting"/>
      <w:suff w:val="space"/>
      <w:lvlText w:val="第%1章"/>
      <w:lvlJc w:val="left"/>
      <w:rPr>
        <w:rFonts w:hint="eastAsia"/>
      </w:rPr>
    </w:lvl>
  </w:abstractNum>
  <w:abstractNum w:abstractNumId="2">
    <w:nsid w:val="FF602FD4"/>
    <w:multiLevelType w:val="singleLevel"/>
    <w:tmpl w:val="FF602FD4"/>
    <w:lvl w:ilvl="0" w:tentative="0">
      <w:start w:val="8"/>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00000014"/>
    <w:multiLevelType w:val="multilevel"/>
    <w:tmpl w:val="00000014"/>
    <w:lvl w:ilvl="0" w:tentative="0">
      <w:start w:val="1"/>
      <w:numFmt w:val="decimal"/>
      <w:pStyle w:val="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FCD4497"/>
    <w:multiLevelType w:val="multilevel"/>
    <w:tmpl w:val="1FCD4497"/>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7EC37DB"/>
    <w:multiLevelType w:val="multilevel"/>
    <w:tmpl w:val="27EC37DB"/>
    <w:lvl w:ilvl="0" w:tentative="0">
      <w:start w:val="1"/>
      <w:numFmt w:val="decimal"/>
      <w:lvlText w:val="%1."/>
      <w:lvlJc w:val="left"/>
      <w:pPr>
        <w:ind w:left="1140" w:hanging="420"/>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7">
    <w:nsid w:val="2F3D6308"/>
    <w:multiLevelType w:val="multilevel"/>
    <w:tmpl w:val="2F3D6308"/>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FBF5A35"/>
    <w:multiLevelType w:val="singleLevel"/>
    <w:tmpl w:val="5FBF5A35"/>
    <w:lvl w:ilvl="0" w:tentative="0">
      <w:start w:val="1"/>
      <w:numFmt w:val="decimal"/>
      <w:suff w:val="space"/>
      <w:lvlText w:val="%1."/>
      <w:lvlJc w:val="left"/>
    </w:lvl>
  </w:abstractNum>
  <w:abstractNum w:abstractNumId="9">
    <w:nsid w:val="63E199E2"/>
    <w:multiLevelType w:val="singleLevel"/>
    <w:tmpl w:val="63E199E2"/>
    <w:lvl w:ilvl="0" w:tentative="0">
      <w:start w:val="3"/>
      <w:numFmt w:val="decimal"/>
      <w:suff w:val="nothing"/>
      <w:lvlText w:val="（%1）"/>
      <w:lvlJc w:val="left"/>
    </w:lvl>
  </w:abstractNum>
  <w:abstractNum w:abstractNumId="10">
    <w:nsid w:val="680542D9"/>
    <w:multiLevelType w:val="multilevel"/>
    <w:tmpl w:val="680542D9"/>
    <w:lvl w:ilvl="0" w:tentative="0">
      <w:start w:val="1"/>
      <w:numFmt w:val="chineseCountingThousand"/>
      <w:pStyle w:val="85"/>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
    <w:nsid w:val="772358B8"/>
    <w:multiLevelType w:val="multilevel"/>
    <w:tmpl w:val="772358B8"/>
    <w:lvl w:ilvl="0" w:tentative="0">
      <w:start w:val="1"/>
      <w:numFmt w:val="chineseCountingThousand"/>
      <w:pStyle w:val="84"/>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3"/>
  </w:num>
  <w:num w:numId="2">
    <w:abstractNumId w:val="4"/>
  </w:num>
  <w:num w:numId="3">
    <w:abstractNumId w:val="11"/>
  </w:num>
  <w:num w:numId="4">
    <w:abstractNumId w:val="10"/>
  </w:num>
  <w:num w:numId="5">
    <w:abstractNumId w:val="8"/>
  </w:num>
  <w:num w:numId="6">
    <w:abstractNumId w:val="0"/>
  </w:num>
  <w:num w:numId="7">
    <w:abstractNumId w:val="5"/>
  </w:num>
  <w:num w:numId="8">
    <w:abstractNumId w:val="7"/>
  </w:num>
  <w:num w:numId="9">
    <w:abstractNumId w:val="6"/>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kOWY0ODVlZWYzYTI4YzE0YzA5OTMxN2FiMzhkOWY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40B5"/>
    <w:rsid w:val="00443686"/>
    <w:rsid w:val="00446113"/>
    <w:rsid w:val="00447DC8"/>
    <w:rsid w:val="0045115F"/>
    <w:rsid w:val="00455DF8"/>
    <w:rsid w:val="00457745"/>
    <w:rsid w:val="00466904"/>
    <w:rsid w:val="0047212E"/>
    <w:rsid w:val="00474C8F"/>
    <w:rsid w:val="00481463"/>
    <w:rsid w:val="00481B56"/>
    <w:rsid w:val="0048286F"/>
    <w:rsid w:val="004969A9"/>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5704"/>
    <w:rsid w:val="006D5DC9"/>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757FD"/>
    <w:rsid w:val="00784BC0"/>
    <w:rsid w:val="007872EF"/>
    <w:rsid w:val="00791152"/>
    <w:rsid w:val="00796FC3"/>
    <w:rsid w:val="007A3729"/>
    <w:rsid w:val="007A79E5"/>
    <w:rsid w:val="007B4C82"/>
    <w:rsid w:val="007C5957"/>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46A12"/>
    <w:rsid w:val="00B50587"/>
    <w:rsid w:val="00B57FC9"/>
    <w:rsid w:val="00B623D7"/>
    <w:rsid w:val="00B71F65"/>
    <w:rsid w:val="00B76BFF"/>
    <w:rsid w:val="00B81842"/>
    <w:rsid w:val="00B8209B"/>
    <w:rsid w:val="00B83A48"/>
    <w:rsid w:val="00B84C82"/>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36528"/>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B237D"/>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091734"/>
    <w:rsid w:val="012409CE"/>
    <w:rsid w:val="01442BEE"/>
    <w:rsid w:val="01490937"/>
    <w:rsid w:val="01671B31"/>
    <w:rsid w:val="01B66AC1"/>
    <w:rsid w:val="01BB2E56"/>
    <w:rsid w:val="01D31A8A"/>
    <w:rsid w:val="01FE797E"/>
    <w:rsid w:val="021F595A"/>
    <w:rsid w:val="023C58BC"/>
    <w:rsid w:val="025032CA"/>
    <w:rsid w:val="026143FC"/>
    <w:rsid w:val="02840131"/>
    <w:rsid w:val="02B876E2"/>
    <w:rsid w:val="02C27783"/>
    <w:rsid w:val="02F93FCC"/>
    <w:rsid w:val="031919AC"/>
    <w:rsid w:val="031D38A7"/>
    <w:rsid w:val="03301691"/>
    <w:rsid w:val="03342D85"/>
    <w:rsid w:val="034F0E57"/>
    <w:rsid w:val="0364427F"/>
    <w:rsid w:val="037024D7"/>
    <w:rsid w:val="039552A7"/>
    <w:rsid w:val="03AE4075"/>
    <w:rsid w:val="03BE0C2D"/>
    <w:rsid w:val="03BE5F1D"/>
    <w:rsid w:val="03F0318C"/>
    <w:rsid w:val="040748C6"/>
    <w:rsid w:val="040E3FC7"/>
    <w:rsid w:val="04386D7B"/>
    <w:rsid w:val="047D2069"/>
    <w:rsid w:val="04846490"/>
    <w:rsid w:val="0491498E"/>
    <w:rsid w:val="0497053B"/>
    <w:rsid w:val="04B7280E"/>
    <w:rsid w:val="04C14D18"/>
    <w:rsid w:val="04F51809"/>
    <w:rsid w:val="05121189"/>
    <w:rsid w:val="05141685"/>
    <w:rsid w:val="052464C1"/>
    <w:rsid w:val="05450480"/>
    <w:rsid w:val="055070FC"/>
    <w:rsid w:val="05956F54"/>
    <w:rsid w:val="05D169F4"/>
    <w:rsid w:val="05EE263C"/>
    <w:rsid w:val="0610116A"/>
    <w:rsid w:val="062E56B4"/>
    <w:rsid w:val="06325EB3"/>
    <w:rsid w:val="063628BE"/>
    <w:rsid w:val="06381006"/>
    <w:rsid w:val="06582C75"/>
    <w:rsid w:val="066D2791"/>
    <w:rsid w:val="067B652E"/>
    <w:rsid w:val="06D84B5E"/>
    <w:rsid w:val="06DA0759"/>
    <w:rsid w:val="06F7250F"/>
    <w:rsid w:val="06F960DC"/>
    <w:rsid w:val="073359F4"/>
    <w:rsid w:val="07492C62"/>
    <w:rsid w:val="07595E65"/>
    <w:rsid w:val="07B964C4"/>
    <w:rsid w:val="0831155A"/>
    <w:rsid w:val="08325DE9"/>
    <w:rsid w:val="0838602F"/>
    <w:rsid w:val="08776A4E"/>
    <w:rsid w:val="087D67E7"/>
    <w:rsid w:val="089220E1"/>
    <w:rsid w:val="08A77982"/>
    <w:rsid w:val="08A8389B"/>
    <w:rsid w:val="08AA69C6"/>
    <w:rsid w:val="08FD2274"/>
    <w:rsid w:val="090143CA"/>
    <w:rsid w:val="091F1204"/>
    <w:rsid w:val="093448C9"/>
    <w:rsid w:val="095944A0"/>
    <w:rsid w:val="09783D7A"/>
    <w:rsid w:val="097B6762"/>
    <w:rsid w:val="098948A8"/>
    <w:rsid w:val="09B358B5"/>
    <w:rsid w:val="09D56187"/>
    <w:rsid w:val="0A102D91"/>
    <w:rsid w:val="0A477D7A"/>
    <w:rsid w:val="0A5D6660"/>
    <w:rsid w:val="0A7E5C22"/>
    <w:rsid w:val="0AB10F36"/>
    <w:rsid w:val="0AE80638"/>
    <w:rsid w:val="0AEE0A7C"/>
    <w:rsid w:val="0B2F5423"/>
    <w:rsid w:val="0B4C1F42"/>
    <w:rsid w:val="0B5F4FB8"/>
    <w:rsid w:val="0B6E02A8"/>
    <w:rsid w:val="0B6F4052"/>
    <w:rsid w:val="0B7213A0"/>
    <w:rsid w:val="0B781C11"/>
    <w:rsid w:val="0BC0178F"/>
    <w:rsid w:val="0BC07C19"/>
    <w:rsid w:val="0BF30AD4"/>
    <w:rsid w:val="0C2600B3"/>
    <w:rsid w:val="0C4531F2"/>
    <w:rsid w:val="0C5D564D"/>
    <w:rsid w:val="0C641847"/>
    <w:rsid w:val="0CA230B7"/>
    <w:rsid w:val="0CAD210F"/>
    <w:rsid w:val="0CB11F47"/>
    <w:rsid w:val="0CF30FE9"/>
    <w:rsid w:val="0D017BB6"/>
    <w:rsid w:val="0D114216"/>
    <w:rsid w:val="0D1B164D"/>
    <w:rsid w:val="0D2058CF"/>
    <w:rsid w:val="0D214819"/>
    <w:rsid w:val="0D39005C"/>
    <w:rsid w:val="0D4B0BB9"/>
    <w:rsid w:val="0D96164D"/>
    <w:rsid w:val="0DB20906"/>
    <w:rsid w:val="0DBA5B27"/>
    <w:rsid w:val="0E4711F3"/>
    <w:rsid w:val="0E536D2F"/>
    <w:rsid w:val="0E6538B5"/>
    <w:rsid w:val="0E6C5D5F"/>
    <w:rsid w:val="0E79744D"/>
    <w:rsid w:val="0E92418E"/>
    <w:rsid w:val="0E982A60"/>
    <w:rsid w:val="0EAE2BD9"/>
    <w:rsid w:val="0EBA0800"/>
    <w:rsid w:val="0F1609A3"/>
    <w:rsid w:val="0F2A5582"/>
    <w:rsid w:val="0F3E5483"/>
    <w:rsid w:val="0F5202D1"/>
    <w:rsid w:val="0FB807FF"/>
    <w:rsid w:val="0FBE077F"/>
    <w:rsid w:val="0FE90F1B"/>
    <w:rsid w:val="10163A77"/>
    <w:rsid w:val="102D0B0E"/>
    <w:rsid w:val="10351700"/>
    <w:rsid w:val="107C5DD0"/>
    <w:rsid w:val="109276ED"/>
    <w:rsid w:val="10A121C9"/>
    <w:rsid w:val="114220C9"/>
    <w:rsid w:val="11491CFC"/>
    <w:rsid w:val="11522C13"/>
    <w:rsid w:val="118A65AF"/>
    <w:rsid w:val="118C263D"/>
    <w:rsid w:val="11CD1E7C"/>
    <w:rsid w:val="11CD61A5"/>
    <w:rsid w:val="11E97ACC"/>
    <w:rsid w:val="11F50446"/>
    <w:rsid w:val="125B54BC"/>
    <w:rsid w:val="128E1E81"/>
    <w:rsid w:val="12A81C58"/>
    <w:rsid w:val="12B17010"/>
    <w:rsid w:val="12BF13C2"/>
    <w:rsid w:val="12BF7E4F"/>
    <w:rsid w:val="12C0132C"/>
    <w:rsid w:val="12DD286A"/>
    <w:rsid w:val="12ED1E9A"/>
    <w:rsid w:val="12EF10F2"/>
    <w:rsid w:val="12EF612A"/>
    <w:rsid w:val="12F725D6"/>
    <w:rsid w:val="12FC105D"/>
    <w:rsid w:val="13113BD5"/>
    <w:rsid w:val="13171FAF"/>
    <w:rsid w:val="132E5438"/>
    <w:rsid w:val="135918E2"/>
    <w:rsid w:val="13641AA8"/>
    <w:rsid w:val="13724645"/>
    <w:rsid w:val="13733409"/>
    <w:rsid w:val="137C2EE5"/>
    <w:rsid w:val="13973602"/>
    <w:rsid w:val="13A03BD4"/>
    <w:rsid w:val="13CC3094"/>
    <w:rsid w:val="13D40542"/>
    <w:rsid w:val="13EC295E"/>
    <w:rsid w:val="14002991"/>
    <w:rsid w:val="14162F0F"/>
    <w:rsid w:val="142E2BB1"/>
    <w:rsid w:val="14446EFB"/>
    <w:rsid w:val="1458501E"/>
    <w:rsid w:val="146215BA"/>
    <w:rsid w:val="14712AB2"/>
    <w:rsid w:val="149862D2"/>
    <w:rsid w:val="14AC68C8"/>
    <w:rsid w:val="14D7265A"/>
    <w:rsid w:val="14DB125E"/>
    <w:rsid w:val="14F423C4"/>
    <w:rsid w:val="14F71210"/>
    <w:rsid w:val="15072ECD"/>
    <w:rsid w:val="1520087F"/>
    <w:rsid w:val="15345F60"/>
    <w:rsid w:val="157D6CC7"/>
    <w:rsid w:val="158F6B03"/>
    <w:rsid w:val="1590371E"/>
    <w:rsid w:val="15AE58C2"/>
    <w:rsid w:val="15CE373E"/>
    <w:rsid w:val="15D6456D"/>
    <w:rsid w:val="15DE709F"/>
    <w:rsid w:val="15EE6C67"/>
    <w:rsid w:val="16080970"/>
    <w:rsid w:val="1618165F"/>
    <w:rsid w:val="161A45D0"/>
    <w:rsid w:val="161B12B2"/>
    <w:rsid w:val="16225650"/>
    <w:rsid w:val="16294CBD"/>
    <w:rsid w:val="164473C2"/>
    <w:rsid w:val="164F5FED"/>
    <w:rsid w:val="16615DEB"/>
    <w:rsid w:val="166938A9"/>
    <w:rsid w:val="17015280"/>
    <w:rsid w:val="17127FA7"/>
    <w:rsid w:val="1713159E"/>
    <w:rsid w:val="17166AB0"/>
    <w:rsid w:val="171866FA"/>
    <w:rsid w:val="17356522"/>
    <w:rsid w:val="173D1C40"/>
    <w:rsid w:val="174662BC"/>
    <w:rsid w:val="174B0229"/>
    <w:rsid w:val="174F27ED"/>
    <w:rsid w:val="176B0462"/>
    <w:rsid w:val="178463C7"/>
    <w:rsid w:val="1790164D"/>
    <w:rsid w:val="179370FF"/>
    <w:rsid w:val="17A1376B"/>
    <w:rsid w:val="17AB44DB"/>
    <w:rsid w:val="17AB6DFD"/>
    <w:rsid w:val="17AF6D1D"/>
    <w:rsid w:val="17BC74C7"/>
    <w:rsid w:val="17C427D8"/>
    <w:rsid w:val="17E304E6"/>
    <w:rsid w:val="17F33CFA"/>
    <w:rsid w:val="181B0DFD"/>
    <w:rsid w:val="18203A7F"/>
    <w:rsid w:val="18250B2D"/>
    <w:rsid w:val="18423551"/>
    <w:rsid w:val="1864657F"/>
    <w:rsid w:val="187B0BD1"/>
    <w:rsid w:val="187C734D"/>
    <w:rsid w:val="187D4555"/>
    <w:rsid w:val="18911326"/>
    <w:rsid w:val="189E16D6"/>
    <w:rsid w:val="18A5017B"/>
    <w:rsid w:val="18AD3447"/>
    <w:rsid w:val="18BA4461"/>
    <w:rsid w:val="18FD1BAB"/>
    <w:rsid w:val="190561B3"/>
    <w:rsid w:val="19381746"/>
    <w:rsid w:val="193E7CFB"/>
    <w:rsid w:val="195661F0"/>
    <w:rsid w:val="1977218D"/>
    <w:rsid w:val="198C749F"/>
    <w:rsid w:val="19DB17F4"/>
    <w:rsid w:val="19E06175"/>
    <w:rsid w:val="19E44A9E"/>
    <w:rsid w:val="1A006FE7"/>
    <w:rsid w:val="1A0B0C9B"/>
    <w:rsid w:val="1A176D48"/>
    <w:rsid w:val="1A3E0BF9"/>
    <w:rsid w:val="1A6323A2"/>
    <w:rsid w:val="1A7804F4"/>
    <w:rsid w:val="1A7B0191"/>
    <w:rsid w:val="1A87632A"/>
    <w:rsid w:val="1AA70FB9"/>
    <w:rsid w:val="1ABB055E"/>
    <w:rsid w:val="1ABF6285"/>
    <w:rsid w:val="1AC8397F"/>
    <w:rsid w:val="1AFB5389"/>
    <w:rsid w:val="1B3F09CD"/>
    <w:rsid w:val="1B651798"/>
    <w:rsid w:val="1B706C0C"/>
    <w:rsid w:val="1B72016A"/>
    <w:rsid w:val="1B8469DA"/>
    <w:rsid w:val="1B902832"/>
    <w:rsid w:val="1B9D16C3"/>
    <w:rsid w:val="1BF856AC"/>
    <w:rsid w:val="1C743321"/>
    <w:rsid w:val="1C8B3842"/>
    <w:rsid w:val="1CAB080E"/>
    <w:rsid w:val="1CC304DA"/>
    <w:rsid w:val="1D271E5F"/>
    <w:rsid w:val="1D273CC3"/>
    <w:rsid w:val="1D3747F2"/>
    <w:rsid w:val="1D432032"/>
    <w:rsid w:val="1D6F20ED"/>
    <w:rsid w:val="1D7455E4"/>
    <w:rsid w:val="1D9E3044"/>
    <w:rsid w:val="1DB157F3"/>
    <w:rsid w:val="1DBA56D9"/>
    <w:rsid w:val="1DC652E2"/>
    <w:rsid w:val="1DC87483"/>
    <w:rsid w:val="1DCB5887"/>
    <w:rsid w:val="1DFD34C1"/>
    <w:rsid w:val="1E0020E5"/>
    <w:rsid w:val="1E0A2E7D"/>
    <w:rsid w:val="1E345EB9"/>
    <w:rsid w:val="1E7A1678"/>
    <w:rsid w:val="1E7A7614"/>
    <w:rsid w:val="1E977360"/>
    <w:rsid w:val="1E9D08D7"/>
    <w:rsid w:val="1EB3718E"/>
    <w:rsid w:val="1EBF5156"/>
    <w:rsid w:val="1EDD05F5"/>
    <w:rsid w:val="1EF05556"/>
    <w:rsid w:val="1F375B96"/>
    <w:rsid w:val="1FD1704B"/>
    <w:rsid w:val="1FD94CC0"/>
    <w:rsid w:val="1FDC2950"/>
    <w:rsid w:val="1FFA41DB"/>
    <w:rsid w:val="200453FC"/>
    <w:rsid w:val="20124AB2"/>
    <w:rsid w:val="202A642C"/>
    <w:rsid w:val="20336A96"/>
    <w:rsid w:val="20541472"/>
    <w:rsid w:val="20AD4C4C"/>
    <w:rsid w:val="20BF510D"/>
    <w:rsid w:val="21280AF3"/>
    <w:rsid w:val="21394DA3"/>
    <w:rsid w:val="21641831"/>
    <w:rsid w:val="217A7D90"/>
    <w:rsid w:val="21814081"/>
    <w:rsid w:val="21A04813"/>
    <w:rsid w:val="21B85F18"/>
    <w:rsid w:val="21FE4769"/>
    <w:rsid w:val="22086869"/>
    <w:rsid w:val="222174A1"/>
    <w:rsid w:val="22217F33"/>
    <w:rsid w:val="22470F36"/>
    <w:rsid w:val="22516626"/>
    <w:rsid w:val="22705B0F"/>
    <w:rsid w:val="227C1A5C"/>
    <w:rsid w:val="22805E07"/>
    <w:rsid w:val="22CD507E"/>
    <w:rsid w:val="22DA5006"/>
    <w:rsid w:val="22E627B6"/>
    <w:rsid w:val="22E72496"/>
    <w:rsid w:val="23140F5E"/>
    <w:rsid w:val="232D073C"/>
    <w:rsid w:val="233143A1"/>
    <w:rsid w:val="23343087"/>
    <w:rsid w:val="233F78AE"/>
    <w:rsid w:val="239708A9"/>
    <w:rsid w:val="23C31D58"/>
    <w:rsid w:val="23F508C7"/>
    <w:rsid w:val="23FA7D8F"/>
    <w:rsid w:val="242B4EF6"/>
    <w:rsid w:val="243B6789"/>
    <w:rsid w:val="244E28F4"/>
    <w:rsid w:val="245179BE"/>
    <w:rsid w:val="2454526D"/>
    <w:rsid w:val="24681B11"/>
    <w:rsid w:val="247370E0"/>
    <w:rsid w:val="24912500"/>
    <w:rsid w:val="24A3375C"/>
    <w:rsid w:val="24EF26FA"/>
    <w:rsid w:val="24FA6BB8"/>
    <w:rsid w:val="25012D45"/>
    <w:rsid w:val="2504674F"/>
    <w:rsid w:val="25353AAE"/>
    <w:rsid w:val="253F339E"/>
    <w:rsid w:val="25431CB6"/>
    <w:rsid w:val="256237B3"/>
    <w:rsid w:val="258D36BB"/>
    <w:rsid w:val="25BC1FB6"/>
    <w:rsid w:val="25C72233"/>
    <w:rsid w:val="25DE5268"/>
    <w:rsid w:val="260D3266"/>
    <w:rsid w:val="261272EB"/>
    <w:rsid w:val="26517359"/>
    <w:rsid w:val="26533E7B"/>
    <w:rsid w:val="26C00B9F"/>
    <w:rsid w:val="26F52768"/>
    <w:rsid w:val="270F5C7F"/>
    <w:rsid w:val="270F6A57"/>
    <w:rsid w:val="271848A9"/>
    <w:rsid w:val="272066E7"/>
    <w:rsid w:val="274554FD"/>
    <w:rsid w:val="275350F7"/>
    <w:rsid w:val="275A244F"/>
    <w:rsid w:val="278D77BD"/>
    <w:rsid w:val="27AD6BBB"/>
    <w:rsid w:val="27EA394B"/>
    <w:rsid w:val="280F1A88"/>
    <w:rsid w:val="28130CEF"/>
    <w:rsid w:val="28175D94"/>
    <w:rsid w:val="282E6156"/>
    <w:rsid w:val="2835285A"/>
    <w:rsid w:val="284905C6"/>
    <w:rsid w:val="286E3CDD"/>
    <w:rsid w:val="287D6592"/>
    <w:rsid w:val="28963F1D"/>
    <w:rsid w:val="28AA6FC3"/>
    <w:rsid w:val="28BD1C11"/>
    <w:rsid w:val="28D057E1"/>
    <w:rsid w:val="28EA0A4D"/>
    <w:rsid w:val="29047BA0"/>
    <w:rsid w:val="290C7E6B"/>
    <w:rsid w:val="294B5D25"/>
    <w:rsid w:val="29585A5D"/>
    <w:rsid w:val="296758AA"/>
    <w:rsid w:val="29720148"/>
    <w:rsid w:val="29FD292B"/>
    <w:rsid w:val="2A126915"/>
    <w:rsid w:val="2A575ACB"/>
    <w:rsid w:val="2A6D5DDA"/>
    <w:rsid w:val="2A8137D9"/>
    <w:rsid w:val="2A816AD3"/>
    <w:rsid w:val="2A9C6369"/>
    <w:rsid w:val="2AA56802"/>
    <w:rsid w:val="2B0212B4"/>
    <w:rsid w:val="2B025B77"/>
    <w:rsid w:val="2B1E1B33"/>
    <w:rsid w:val="2B27516B"/>
    <w:rsid w:val="2B3A7DA2"/>
    <w:rsid w:val="2B4D5540"/>
    <w:rsid w:val="2B582A6A"/>
    <w:rsid w:val="2B730908"/>
    <w:rsid w:val="2B9F1E7F"/>
    <w:rsid w:val="2BA06797"/>
    <w:rsid w:val="2BD6105D"/>
    <w:rsid w:val="2BD86683"/>
    <w:rsid w:val="2BE12008"/>
    <w:rsid w:val="2BE940FE"/>
    <w:rsid w:val="2C6B38D5"/>
    <w:rsid w:val="2C935F9E"/>
    <w:rsid w:val="2CB2244D"/>
    <w:rsid w:val="2CBB5F54"/>
    <w:rsid w:val="2CC3532F"/>
    <w:rsid w:val="2CDA1347"/>
    <w:rsid w:val="2CEF2982"/>
    <w:rsid w:val="2D0F5B72"/>
    <w:rsid w:val="2D404630"/>
    <w:rsid w:val="2D4A6C4B"/>
    <w:rsid w:val="2D4F4CE3"/>
    <w:rsid w:val="2D6022C9"/>
    <w:rsid w:val="2D614A83"/>
    <w:rsid w:val="2D8A405C"/>
    <w:rsid w:val="2D9E66A8"/>
    <w:rsid w:val="2DD02B38"/>
    <w:rsid w:val="2DDA3448"/>
    <w:rsid w:val="2DE471B5"/>
    <w:rsid w:val="2DEB7CF0"/>
    <w:rsid w:val="2E0E3BE3"/>
    <w:rsid w:val="2E212749"/>
    <w:rsid w:val="2E7A27AB"/>
    <w:rsid w:val="2EBF1B03"/>
    <w:rsid w:val="2F096DF4"/>
    <w:rsid w:val="2F191006"/>
    <w:rsid w:val="2F226D33"/>
    <w:rsid w:val="2F504FB3"/>
    <w:rsid w:val="2F835DE9"/>
    <w:rsid w:val="2F97321B"/>
    <w:rsid w:val="2FAD2CD6"/>
    <w:rsid w:val="2FC94FB3"/>
    <w:rsid w:val="2FD2080F"/>
    <w:rsid w:val="2FEF727C"/>
    <w:rsid w:val="30420972"/>
    <w:rsid w:val="306B2FC4"/>
    <w:rsid w:val="30905624"/>
    <w:rsid w:val="30991CAC"/>
    <w:rsid w:val="309B540B"/>
    <w:rsid w:val="30BD7F05"/>
    <w:rsid w:val="30C96390"/>
    <w:rsid w:val="30CE6868"/>
    <w:rsid w:val="30CF2172"/>
    <w:rsid w:val="30D36EB2"/>
    <w:rsid w:val="30F236E8"/>
    <w:rsid w:val="31071734"/>
    <w:rsid w:val="31107022"/>
    <w:rsid w:val="311A01D6"/>
    <w:rsid w:val="31284B0D"/>
    <w:rsid w:val="315B0EB8"/>
    <w:rsid w:val="316A3E9B"/>
    <w:rsid w:val="31706767"/>
    <w:rsid w:val="31897D10"/>
    <w:rsid w:val="31A11554"/>
    <w:rsid w:val="31A534FF"/>
    <w:rsid w:val="31D8475A"/>
    <w:rsid w:val="31E000D3"/>
    <w:rsid w:val="31F40D37"/>
    <w:rsid w:val="31FB2F52"/>
    <w:rsid w:val="31FC1662"/>
    <w:rsid w:val="32055238"/>
    <w:rsid w:val="32127F59"/>
    <w:rsid w:val="32270056"/>
    <w:rsid w:val="32EA4BD9"/>
    <w:rsid w:val="334D17A4"/>
    <w:rsid w:val="33674307"/>
    <w:rsid w:val="336B086B"/>
    <w:rsid w:val="337212D5"/>
    <w:rsid w:val="338405B1"/>
    <w:rsid w:val="33B67752"/>
    <w:rsid w:val="33B777F5"/>
    <w:rsid w:val="33C456DE"/>
    <w:rsid w:val="33C60F9E"/>
    <w:rsid w:val="33DB78F0"/>
    <w:rsid w:val="33ED6A61"/>
    <w:rsid w:val="348C4B39"/>
    <w:rsid w:val="348C6F30"/>
    <w:rsid w:val="34C93FD8"/>
    <w:rsid w:val="34E53B19"/>
    <w:rsid w:val="34E82DE4"/>
    <w:rsid w:val="351975ED"/>
    <w:rsid w:val="35233564"/>
    <w:rsid w:val="352872F5"/>
    <w:rsid w:val="354A10E2"/>
    <w:rsid w:val="354A557E"/>
    <w:rsid w:val="354E3BB3"/>
    <w:rsid w:val="355C79EA"/>
    <w:rsid w:val="357936BF"/>
    <w:rsid w:val="359108D7"/>
    <w:rsid w:val="35981787"/>
    <w:rsid w:val="35B56363"/>
    <w:rsid w:val="35B60319"/>
    <w:rsid w:val="35E66E96"/>
    <w:rsid w:val="35E7633F"/>
    <w:rsid w:val="35FF1847"/>
    <w:rsid w:val="360836B2"/>
    <w:rsid w:val="36406473"/>
    <w:rsid w:val="36661EDE"/>
    <w:rsid w:val="367415CA"/>
    <w:rsid w:val="36BA6964"/>
    <w:rsid w:val="36CC0D14"/>
    <w:rsid w:val="36E36443"/>
    <w:rsid w:val="36F25A45"/>
    <w:rsid w:val="36F6604A"/>
    <w:rsid w:val="370B097F"/>
    <w:rsid w:val="371774E9"/>
    <w:rsid w:val="372B4C9E"/>
    <w:rsid w:val="379A67D1"/>
    <w:rsid w:val="379D368C"/>
    <w:rsid w:val="379D72D4"/>
    <w:rsid w:val="37B10F44"/>
    <w:rsid w:val="37B1520E"/>
    <w:rsid w:val="37F31F59"/>
    <w:rsid w:val="3808062B"/>
    <w:rsid w:val="382E0268"/>
    <w:rsid w:val="384858A4"/>
    <w:rsid w:val="386134E9"/>
    <w:rsid w:val="386428B5"/>
    <w:rsid w:val="386F27EC"/>
    <w:rsid w:val="38733B2C"/>
    <w:rsid w:val="388174DC"/>
    <w:rsid w:val="38923E41"/>
    <w:rsid w:val="38BA4683"/>
    <w:rsid w:val="39004A44"/>
    <w:rsid w:val="390300DF"/>
    <w:rsid w:val="392870DD"/>
    <w:rsid w:val="39374512"/>
    <w:rsid w:val="393933D3"/>
    <w:rsid w:val="396D6083"/>
    <w:rsid w:val="39C55E9A"/>
    <w:rsid w:val="39C758F8"/>
    <w:rsid w:val="3A4F180B"/>
    <w:rsid w:val="3A893F90"/>
    <w:rsid w:val="3A9B6AA3"/>
    <w:rsid w:val="3AE43025"/>
    <w:rsid w:val="3AF907BE"/>
    <w:rsid w:val="3B0350DF"/>
    <w:rsid w:val="3B110280"/>
    <w:rsid w:val="3B3637C4"/>
    <w:rsid w:val="3B5A2FF6"/>
    <w:rsid w:val="3B6214C5"/>
    <w:rsid w:val="3B6363FD"/>
    <w:rsid w:val="3B76069B"/>
    <w:rsid w:val="3B87513F"/>
    <w:rsid w:val="3B9F0A5D"/>
    <w:rsid w:val="3BA807AC"/>
    <w:rsid w:val="3BCB7C8B"/>
    <w:rsid w:val="3BD2486D"/>
    <w:rsid w:val="3BF21A2D"/>
    <w:rsid w:val="3BF271AD"/>
    <w:rsid w:val="3C01419C"/>
    <w:rsid w:val="3C1258CB"/>
    <w:rsid w:val="3C290DF8"/>
    <w:rsid w:val="3C380267"/>
    <w:rsid w:val="3C6E7BB4"/>
    <w:rsid w:val="3CA25E13"/>
    <w:rsid w:val="3CA334A8"/>
    <w:rsid w:val="3CCD0998"/>
    <w:rsid w:val="3D487517"/>
    <w:rsid w:val="3D582D6B"/>
    <w:rsid w:val="3D5E7801"/>
    <w:rsid w:val="3DAA3A6C"/>
    <w:rsid w:val="3DC93E69"/>
    <w:rsid w:val="3DF45668"/>
    <w:rsid w:val="3E157EA8"/>
    <w:rsid w:val="3E460FF4"/>
    <w:rsid w:val="3E5B7CCA"/>
    <w:rsid w:val="3E5D0046"/>
    <w:rsid w:val="3E80151B"/>
    <w:rsid w:val="3E823D9C"/>
    <w:rsid w:val="3E942047"/>
    <w:rsid w:val="3EB34B03"/>
    <w:rsid w:val="3EC60A6B"/>
    <w:rsid w:val="3ED04AC6"/>
    <w:rsid w:val="3EDA1C47"/>
    <w:rsid w:val="3EE13437"/>
    <w:rsid w:val="3EF60BE9"/>
    <w:rsid w:val="3EF76496"/>
    <w:rsid w:val="3F095677"/>
    <w:rsid w:val="3F2A618F"/>
    <w:rsid w:val="3F3704BC"/>
    <w:rsid w:val="3F415790"/>
    <w:rsid w:val="3F523911"/>
    <w:rsid w:val="3F6C2961"/>
    <w:rsid w:val="3F7136A4"/>
    <w:rsid w:val="3F8A7B33"/>
    <w:rsid w:val="3F9B1600"/>
    <w:rsid w:val="3FDA1D36"/>
    <w:rsid w:val="3FFA5B87"/>
    <w:rsid w:val="40091A09"/>
    <w:rsid w:val="401E74CC"/>
    <w:rsid w:val="40357DE6"/>
    <w:rsid w:val="40603893"/>
    <w:rsid w:val="40915F39"/>
    <w:rsid w:val="40920B43"/>
    <w:rsid w:val="40A752AB"/>
    <w:rsid w:val="40AD0539"/>
    <w:rsid w:val="40E41465"/>
    <w:rsid w:val="40E806F8"/>
    <w:rsid w:val="40EF712C"/>
    <w:rsid w:val="410542AF"/>
    <w:rsid w:val="41117B3B"/>
    <w:rsid w:val="4120194B"/>
    <w:rsid w:val="41780BF5"/>
    <w:rsid w:val="417C4311"/>
    <w:rsid w:val="41887D48"/>
    <w:rsid w:val="41BB3F30"/>
    <w:rsid w:val="41BC71AC"/>
    <w:rsid w:val="41EA2B68"/>
    <w:rsid w:val="41EE7473"/>
    <w:rsid w:val="41F36A44"/>
    <w:rsid w:val="4218309C"/>
    <w:rsid w:val="424B1C46"/>
    <w:rsid w:val="425306FE"/>
    <w:rsid w:val="42773C54"/>
    <w:rsid w:val="427F2968"/>
    <w:rsid w:val="42922170"/>
    <w:rsid w:val="42A17EC7"/>
    <w:rsid w:val="42B9433F"/>
    <w:rsid w:val="42BC318C"/>
    <w:rsid w:val="42D15C25"/>
    <w:rsid w:val="42D504B3"/>
    <w:rsid w:val="42DB1CFE"/>
    <w:rsid w:val="42EC4B7C"/>
    <w:rsid w:val="43222DDF"/>
    <w:rsid w:val="43765BDF"/>
    <w:rsid w:val="43975C6D"/>
    <w:rsid w:val="43C43CC7"/>
    <w:rsid w:val="43D15F43"/>
    <w:rsid w:val="43E40670"/>
    <w:rsid w:val="43E5256D"/>
    <w:rsid w:val="43FA70C2"/>
    <w:rsid w:val="441D3214"/>
    <w:rsid w:val="44330D65"/>
    <w:rsid w:val="444902C2"/>
    <w:rsid w:val="444E0D7D"/>
    <w:rsid w:val="445651C1"/>
    <w:rsid w:val="44673645"/>
    <w:rsid w:val="446F24A0"/>
    <w:rsid w:val="44892185"/>
    <w:rsid w:val="449300D6"/>
    <w:rsid w:val="44935750"/>
    <w:rsid w:val="44B10BC8"/>
    <w:rsid w:val="44D26709"/>
    <w:rsid w:val="44E9667B"/>
    <w:rsid w:val="450E203E"/>
    <w:rsid w:val="454276E4"/>
    <w:rsid w:val="4543067C"/>
    <w:rsid w:val="45974D5B"/>
    <w:rsid w:val="4598619A"/>
    <w:rsid w:val="45C145CA"/>
    <w:rsid w:val="45C85CF6"/>
    <w:rsid w:val="45F00C5C"/>
    <w:rsid w:val="45F30BCD"/>
    <w:rsid w:val="45F52476"/>
    <w:rsid w:val="46091E18"/>
    <w:rsid w:val="461B62CD"/>
    <w:rsid w:val="46244289"/>
    <w:rsid w:val="463A1ECC"/>
    <w:rsid w:val="46600E6D"/>
    <w:rsid w:val="46696E8F"/>
    <w:rsid w:val="46976927"/>
    <w:rsid w:val="46B05A72"/>
    <w:rsid w:val="46D5665D"/>
    <w:rsid w:val="46E76F97"/>
    <w:rsid w:val="46EC35B7"/>
    <w:rsid w:val="4722639F"/>
    <w:rsid w:val="47251A46"/>
    <w:rsid w:val="473D3B4B"/>
    <w:rsid w:val="476B2426"/>
    <w:rsid w:val="479F1710"/>
    <w:rsid w:val="47B3460B"/>
    <w:rsid w:val="482D4C4C"/>
    <w:rsid w:val="48746273"/>
    <w:rsid w:val="488F21BB"/>
    <w:rsid w:val="48A97644"/>
    <w:rsid w:val="48B057BA"/>
    <w:rsid w:val="48CF19CE"/>
    <w:rsid w:val="491E45F2"/>
    <w:rsid w:val="49396863"/>
    <w:rsid w:val="49640EFC"/>
    <w:rsid w:val="49732AFE"/>
    <w:rsid w:val="49773515"/>
    <w:rsid w:val="49833E66"/>
    <w:rsid w:val="499373E6"/>
    <w:rsid w:val="499A0527"/>
    <w:rsid w:val="49BD64A4"/>
    <w:rsid w:val="49C22A73"/>
    <w:rsid w:val="49C34807"/>
    <w:rsid w:val="49D80AF2"/>
    <w:rsid w:val="49DA70F1"/>
    <w:rsid w:val="49EE6CD1"/>
    <w:rsid w:val="49EF2E92"/>
    <w:rsid w:val="49F140DD"/>
    <w:rsid w:val="4A1475E1"/>
    <w:rsid w:val="4A193C88"/>
    <w:rsid w:val="4A1E4641"/>
    <w:rsid w:val="4A2D74BA"/>
    <w:rsid w:val="4A820D8F"/>
    <w:rsid w:val="4A9452D8"/>
    <w:rsid w:val="4B081139"/>
    <w:rsid w:val="4B0C5DE5"/>
    <w:rsid w:val="4B0C5FAB"/>
    <w:rsid w:val="4B114633"/>
    <w:rsid w:val="4B2C6D24"/>
    <w:rsid w:val="4B4C6798"/>
    <w:rsid w:val="4B6747B3"/>
    <w:rsid w:val="4C224DBF"/>
    <w:rsid w:val="4C6F3C2B"/>
    <w:rsid w:val="4C723126"/>
    <w:rsid w:val="4C9362CA"/>
    <w:rsid w:val="4C9E3415"/>
    <w:rsid w:val="4CC50082"/>
    <w:rsid w:val="4CD32BE3"/>
    <w:rsid w:val="4CEF7970"/>
    <w:rsid w:val="4D050426"/>
    <w:rsid w:val="4D050878"/>
    <w:rsid w:val="4D3C70C3"/>
    <w:rsid w:val="4D5920FD"/>
    <w:rsid w:val="4D787F24"/>
    <w:rsid w:val="4DAB6E13"/>
    <w:rsid w:val="4DE95617"/>
    <w:rsid w:val="4DF347CF"/>
    <w:rsid w:val="4DFD2DB6"/>
    <w:rsid w:val="4E070EE1"/>
    <w:rsid w:val="4E1738D6"/>
    <w:rsid w:val="4E29364A"/>
    <w:rsid w:val="4E2E2F0E"/>
    <w:rsid w:val="4E8463F8"/>
    <w:rsid w:val="4EEA4255"/>
    <w:rsid w:val="4F001207"/>
    <w:rsid w:val="4F3E0330"/>
    <w:rsid w:val="4F3E5F51"/>
    <w:rsid w:val="4F4076FA"/>
    <w:rsid w:val="4F43137B"/>
    <w:rsid w:val="4F7F6214"/>
    <w:rsid w:val="4F910A61"/>
    <w:rsid w:val="4F991262"/>
    <w:rsid w:val="4FAF1877"/>
    <w:rsid w:val="4FFE1E48"/>
    <w:rsid w:val="501D0442"/>
    <w:rsid w:val="501D4E3F"/>
    <w:rsid w:val="504B51D2"/>
    <w:rsid w:val="508818FE"/>
    <w:rsid w:val="508905BC"/>
    <w:rsid w:val="509C0D4E"/>
    <w:rsid w:val="50CE603E"/>
    <w:rsid w:val="50E072B5"/>
    <w:rsid w:val="5106297C"/>
    <w:rsid w:val="510C475B"/>
    <w:rsid w:val="5129030D"/>
    <w:rsid w:val="514C779E"/>
    <w:rsid w:val="51536EAC"/>
    <w:rsid w:val="51553586"/>
    <w:rsid w:val="515F5935"/>
    <w:rsid w:val="51724046"/>
    <w:rsid w:val="51834356"/>
    <w:rsid w:val="518607FB"/>
    <w:rsid w:val="51910362"/>
    <w:rsid w:val="51974973"/>
    <w:rsid w:val="51EE3B0D"/>
    <w:rsid w:val="52170AB9"/>
    <w:rsid w:val="523A13C9"/>
    <w:rsid w:val="5266236A"/>
    <w:rsid w:val="52EF26A9"/>
    <w:rsid w:val="53013A3B"/>
    <w:rsid w:val="53076B2D"/>
    <w:rsid w:val="532C19D8"/>
    <w:rsid w:val="53342678"/>
    <w:rsid w:val="53415734"/>
    <w:rsid w:val="53662832"/>
    <w:rsid w:val="53723F2B"/>
    <w:rsid w:val="53844763"/>
    <w:rsid w:val="538A150D"/>
    <w:rsid w:val="53B62265"/>
    <w:rsid w:val="53BA7295"/>
    <w:rsid w:val="53BD611F"/>
    <w:rsid w:val="540E525E"/>
    <w:rsid w:val="54122924"/>
    <w:rsid w:val="541953CA"/>
    <w:rsid w:val="54823DCD"/>
    <w:rsid w:val="54C4311C"/>
    <w:rsid w:val="54D7537B"/>
    <w:rsid w:val="54D7593E"/>
    <w:rsid w:val="55413449"/>
    <w:rsid w:val="55565EBA"/>
    <w:rsid w:val="558573DD"/>
    <w:rsid w:val="55DF03A4"/>
    <w:rsid w:val="56445B21"/>
    <w:rsid w:val="56505EE7"/>
    <w:rsid w:val="565B3DCE"/>
    <w:rsid w:val="568E38FF"/>
    <w:rsid w:val="56E83D74"/>
    <w:rsid w:val="56FD36D2"/>
    <w:rsid w:val="570B2682"/>
    <w:rsid w:val="572E5DD0"/>
    <w:rsid w:val="57443D51"/>
    <w:rsid w:val="57572B0B"/>
    <w:rsid w:val="57656E7C"/>
    <w:rsid w:val="576F057F"/>
    <w:rsid w:val="57B07F97"/>
    <w:rsid w:val="57D724F1"/>
    <w:rsid w:val="580409A4"/>
    <w:rsid w:val="581C1B02"/>
    <w:rsid w:val="5838124C"/>
    <w:rsid w:val="58481FC6"/>
    <w:rsid w:val="58707162"/>
    <w:rsid w:val="587773D2"/>
    <w:rsid w:val="587E5908"/>
    <w:rsid w:val="58901A1A"/>
    <w:rsid w:val="58C94D42"/>
    <w:rsid w:val="59407D3F"/>
    <w:rsid w:val="595723D4"/>
    <w:rsid w:val="59625801"/>
    <w:rsid w:val="5967353C"/>
    <w:rsid w:val="597D7497"/>
    <w:rsid w:val="59C07E7E"/>
    <w:rsid w:val="59D2392F"/>
    <w:rsid w:val="59D45CD5"/>
    <w:rsid w:val="59D606C2"/>
    <w:rsid w:val="5A061207"/>
    <w:rsid w:val="5A1559A6"/>
    <w:rsid w:val="5A33691E"/>
    <w:rsid w:val="5A355EE1"/>
    <w:rsid w:val="5A3B7586"/>
    <w:rsid w:val="5A633622"/>
    <w:rsid w:val="5A6F64A6"/>
    <w:rsid w:val="5A943918"/>
    <w:rsid w:val="5AB96945"/>
    <w:rsid w:val="5AC31779"/>
    <w:rsid w:val="5AD04C8C"/>
    <w:rsid w:val="5B2B6EE4"/>
    <w:rsid w:val="5B546813"/>
    <w:rsid w:val="5B5B0A9B"/>
    <w:rsid w:val="5B667CD3"/>
    <w:rsid w:val="5B834DE6"/>
    <w:rsid w:val="5BA00FBA"/>
    <w:rsid w:val="5BBB1F88"/>
    <w:rsid w:val="5C063FC9"/>
    <w:rsid w:val="5C354D53"/>
    <w:rsid w:val="5C6532D1"/>
    <w:rsid w:val="5CBC2DDB"/>
    <w:rsid w:val="5CE07B38"/>
    <w:rsid w:val="5D0C58EC"/>
    <w:rsid w:val="5D0D7DF5"/>
    <w:rsid w:val="5D1010D0"/>
    <w:rsid w:val="5D185CE6"/>
    <w:rsid w:val="5D1B43CB"/>
    <w:rsid w:val="5D2F7D58"/>
    <w:rsid w:val="5D433D2D"/>
    <w:rsid w:val="5D72735A"/>
    <w:rsid w:val="5D8044EA"/>
    <w:rsid w:val="5DDB1292"/>
    <w:rsid w:val="5DE43007"/>
    <w:rsid w:val="5E1A5187"/>
    <w:rsid w:val="5E53134F"/>
    <w:rsid w:val="5E5A2D50"/>
    <w:rsid w:val="5E661E41"/>
    <w:rsid w:val="5E770480"/>
    <w:rsid w:val="5E8E6971"/>
    <w:rsid w:val="5EA172A5"/>
    <w:rsid w:val="5EA34A69"/>
    <w:rsid w:val="5EAD0537"/>
    <w:rsid w:val="5EB02126"/>
    <w:rsid w:val="5F030DEA"/>
    <w:rsid w:val="5F252E22"/>
    <w:rsid w:val="5F2B7243"/>
    <w:rsid w:val="5F353888"/>
    <w:rsid w:val="5F6C7E1C"/>
    <w:rsid w:val="5F79792A"/>
    <w:rsid w:val="5F8C487C"/>
    <w:rsid w:val="5F9C66ED"/>
    <w:rsid w:val="5FA559EF"/>
    <w:rsid w:val="5FAD3D00"/>
    <w:rsid w:val="5FDA5F38"/>
    <w:rsid w:val="5FFA30A0"/>
    <w:rsid w:val="5FFC0B2F"/>
    <w:rsid w:val="600564A8"/>
    <w:rsid w:val="600D4E10"/>
    <w:rsid w:val="603154C1"/>
    <w:rsid w:val="603B3DBB"/>
    <w:rsid w:val="60571D4B"/>
    <w:rsid w:val="60656CB9"/>
    <w:rsid w:val="608A7F68"/>
    <w:rsid w:val="608B171B"/>
    <w:rsid w:val="60945726"/>
    <w:rsid w:val="60B5262D"/>
    <w:rsid w:val="60B73820"/>
    <w:rsid w:val="60BA3362"/>
    <w:rsid w:val="60DA2579"/>
    <w:rsid w:val="60E67835"/>
    <w:rsid w:val="610B6FE4"/>
    <w:rsid w:val="61142154"/>
    <w:rsid w:val="61235681"/>
    <w:rsid w:val="614E4095"/>
    <w:rsid w:val="617C253B"/>
    <w:rsid w:val="617F29AD"/>
    <w:rsid w:val="618901D9"/>
    <w:rsid w:val="61895529"/>
    <w:rsid w:val="61993A53"/>
    <w:rsid w:val="61A335A9"/>
    <w:rsid w:val="61C17470"/>
    <w:rsid w:val="61DB0AC4"/>
    <w:rsid w:val="61E2081A"/>
    <w:rsid w:val="61E575EC"/>
    <w:rsid w:val="61E85617"/>
    <w:rsid w:val="62147EDE"/>
    <w:rsid w:val="621E6E07"/>
    <w:rsid w:val="621F230A"/>
    <w:rsid w:val="622F12B8"/>
    <w:rsid w:val="623D684E"/>
    <w:rsid w:val="627C53CE"/>
    <w:rsid w:val="62815AA0"/>
    <w:rsid w:val="62A13033"/>
    <w:rsid w:val="62A40856"/>
    <w:rsid w:val="62A75AEF"/>
    <w:rsid w:val="62AE49EA"/>
    <w:rsid w:val="62B974BA"/>
    <w:rsid w:val="62ED7B55"/>
    <w:rsid w:val="630C1C34"/>
    <w:rsid w:val="63BF2892"/>
    <w:rsid w:val="63E144F3"/>
    <w:rsid w:val="640A301D"/>
    <w:rsid w:val="64114861"/>
    <w:rsid w:val="641F376F"/>
    <w:rsid w:val="646A5DED"/>
    <w:rsid w:val="648F22FC"/>
    <w:rsid w:val="64A66366"/>
    <w:rsid w:val="64EA4EEC"/>
    <w:rsid w:val="64F376FB"/>
    <w:rsid w:val="6518137B"/>
    <w:rsid w:val="652C6C46"/>
    <w:rsid w:val="653A3AF4"/>
    <w:rsid w:val="653D3A42"/>
    <w:rsid w:val="653F60CD"/>
    <w:rsid w:val="657F4154"/>
    <w:rsid w:val="65926AEF"/>
    <w:rsid w:val="65C64E34"/>
    <w:rsid w:val="6611391E"/>
    <w:rsid w:val="66161F0A"/>
    <w:rsid w:val="66292C50"/>
    <w:rsid w:val="662D0444"/>
    <w:rsid w:val="6646259A"/>
    <w:rsid w:val="665C3773"/>
    <w:rsid w:val="66685856"/>
    <w:rsid w:val="667034A5"/>
    <w:rsid w:val="668429E4"/>
    <w:rsid w:val="66943122"/>
    <w:rsid w:val="66AE5C29"/>
    <w:rsid w:val="66AE7711"/>
    <w:rsid w:val="66CF5879"/>
    <w:rsid w:val="66D5166F"/>
    <w:rsid w:val="66E55458"/>
    <w:rsid w:val="66FD7245"/>
    <w:rsid w:val="67047B51"/>
    <w:rsid w:val="670C5D7F"/>
    <w:rsid w:val="67203DE6"/>
    <w:rsid w:val="672B633C"/>
    <w:rsid w:val="673A5F96"/>
    <w:rsid w:val="67505EAF"/>
    <w:rsid w:val="67517283"/>
    <w:rsid w:val="67540AA9"/>
    <w:rsid w:val="67585066"/>
    <w:rsid w:val="67626EDB"/>
    <w:rsid w:val="676471B4"/>
    <w:rsid w:val="678B5FC5"/>
    <w:rsid w:val="679B78CD"/>
    <w:rsid w:val="67C27678"/>
    <w:rsid w:val="67E36A56"/>
    <w:rsid w:val="68015E2B"/>
    <w:rsid w:val="68024349"/>
    <w:rsid w:val="6809634F"/>
    <w:rsid w:val="684A6A21"/>
    <w:rsid w:val="68500944"/>
    <w:rsid w:val="686A6124"/>
    <w:rsid w:val="68A83EC1"/>
    <w:rsid w:val="68C95257"/>
    <w:rsid w:val="68EB559D"/>
    <w:rsid w:val="69094F1A"/>
    <w:rsid w:val="69556F20"/>
    <w:rsid w:val="696A0E37"/>
    <w:rsid w:val="697604D9"/>
    <w:rsid w:val="69842EAC"/>
    <w:rsid w:val="698B5AD1"/>
    <w:rsid w:val="69FA09CA"/>
    <w:rsid w:val="6A4F1D80"/>
    <w:rsid w:val="6A914617"/>
    <w:rsid w:val="6AF11099"/>
    <w:rsid w:val="6AF610F7"/>
    <w:rsid w:val="6B1113B9"/>
    <w:rsid w:val="6B1E7298"/>
    <w:rsid w:val="6B4C17C5"/>
    <w:rsid w:val="6B903FBE"/>
    <w:rsid w:val="6BB95C5B"/>
    <w:rsid w:val="6BBB1A55"/>
    <w:rsid w:val="6BCF4A77"/>
    <w:rsid w:val="6BDD1D86"/>
    <w:rsid w:val="6BFF1157"/>
    <w:rsid w:val="6C0079BC"/>
    <w:rsid w:val="6C237805"/>
    <w:rsid w:val="6C62145A"/>
    <w:rsid w:val="6C7954C0"/>
    <w:rsid w:val="6C976C5C"/>
    <w:rsid w:val="6CB82059"/>
    <w:rsid w:val="6D130207"/>
    <w:rsid w:val="6D19438C"/>
    <w:rsid w:val="6D2351EF"/>
    <w:rsid w:val="6D2A1185"/>
    <w:rsid w:val="6D797782"/>
    <w:rsid w:val="6D8C2626"/>
    <w:rsid w:val="6D914DB3"/>
    <w:rsid w:val="6D9D6E67"/>
    <w:rsid w:val="6DDA3E49"/>
    <w:rsid w:val="6E0B5C7F"/>
    <w:rsid w:val="6E0C33CE"/>
    <w:rsid w:val="6E2E7EF4"/>
    <w:rsid w:val="6E525F7E"/>
    <w:rsid w:val="6E572333"/>
    <w:rsid w:val="6E676327"/>
    <w:rsid w:val="6E7034F3"/>
    <w:rsid w:val="6EB16DA8"/>
    <w:rsid w:val="6EC04469"/>
    <w:rsid w:val="6EC36413"/>
    <w:rsid w:val="6EEA2477"/>
    <w:rsid w:val="6EEC30CD"/>
    <w:rsid w:val="6F0A409C"/>
    <w:rsid w:val="6F525DA2"/>
    <w:rsid w:val="6F8B5D0F"/>
    <w:rsid w:val="6FC1476E"/>
    <w:rsid w:val="6FF84D5F"/>
    <w:rsid w:val="700B24A8"/>
    <w:rsid w:val="700C43B3"/>
    <w:rsid w:val="702F6F0B"/>
    <w:rsid w:val="70483F5F"/>
    <w:rsid w:val="704F7DB9"/>
    <w:rsid w:val="70553275"/>
    <w:rsid w:val="706D72D5"/>
    <w:rsid w:val="709A5AE9"/>
    <w:rsid w:val="70C74180"/>
    <w:rsid w:val="70E83551"/>
    <w:rsid w:val="71265CF7"/>
    <w:rsid w:val="7143481D"/>
    <w:rsid w:val="7163489C"/>
    <w:rsid w:val="71831DC3"/>
    <w:rsid w:val="719821F4"/>
    <w:rsid w:val="72011F28"/>
    <w:rsid w:val="720E08B8"/>
    <w:rsid w:val="721101B2"/>
    <w:rsid w:val="726365B1"/>
    <w:rsid w:val="726F2B1B"/>
    <w:rsid w:val="72782B4A"/>
    <w:rsid w:val="729C030A"/>
    <w:rsid w:val="72B832BB"/>
    <w:rsid w:val="72CA110C"/>
    <w:rsid w:val="72D01C3A"/>
    <w:rsid w:val="73055EDA"/>
    <w:rsid w:val="7318180E"/>
    <w:rsid w:val="731A4FC2"/>
    <w:rsid w:val="732310BF"/>
    <w:rsid w:val="73384286"/>
    <w:rsid w:val="73524DC0"/>
    <w:rsid w:val="73554CA8"/>
    <w:rsid w:val="7365250B"/>
    <w:rsid w:val="73696096"/>
    <w:rsid w:val="73771BB5"/>
    <w:rsid w:val="73A225C1"/>
    <w:rsid w:val="73A41EEC"/>
    <w:rsid w:val="73A56C26"/>
    <w:rsid w:val="73A7502C"/>
    <w:rsid w:val="73AD6C04"/>
    <w:rsid w:val="73D940C4"/>
    <w:rsid w:val="73DE4F5C"/>
    <w:rsid w:val="73E042AE"/>
    <w:rsid w:val="73ED4BEA"/>
    <w:rsid w:val="73F11636"/>
    <w:rsid w:val="7402197A"/>
    <w:rsid w:val="740A5055"/>
    <w:rsid w:val="74157F14"/>
    <w:rsid w:val="741E4E2A"/>
    <w:rsid w:val="74495D08"/>
    <w:rsid w:val="744C2A5A"/>
    <w:rsid w:val="74635B80"/>
    <w:rsid w:val="74675642"/>
    <w:rsid w:val="748324E5"/>
    <w:rsid w:val="749B3E5E"/>
    <w:rsid w:val="74A67686"/>
    <w:rsid w:val="74E73832"/>
    <w:rsid w:val="74E85E99"/>
    <w:rsid w:val="74FA4E0C"/>
    <w:rsid w:val="750578A4"/>
    <w:rsid w:val="753B0BFF"/>
    <w:rsid w:val="753E6A6B"/>
    <w:rsid w:val="75406519"/>
    <w:rsid w:val="754624D3"/>
    <w:rsid w:val="75731626"/>
    <w:rsid w:val="75997092"/>
    <w:rsid w:val="75B63B70"/>
    <w:rsid w:val="75B9532B"/>
    <w:rsid w:val="75C238C0"/>
    <w:rsid w:val="75EE3E49"/>
    <w:rsid w:val="75FA4C31"/>
    <w:rsid w:val="7610192F"/>
    <w:rsid w:val="76181896"/>
    <w:rsid w:val="76370C0F"/>
    <w:rsid w:val="766A48D8"/>
    <w:rsid w:val="76C65E3D"/>
    <w:rsid w:val="76D710E0"/>
    <w:rsid w:val="76F04A65"/>
    <w:rsid w:val="772A1F54"/>
    <w:rsid w:val="773C1E51"/>
    <w:rsid w:val="77414ABA"/>
    <w:rsid w:val="77675276"/>
    <w:rsid w:val="77835A31"/>
    <w:rsid w:val="77B47499"/>
    <w:rsid w:val="77B72A76"/>
    <w:rsid w:val="77EE7908"/>
    <w:rsid w:val="77FC24EF"/>
    <w:rsid w:val="77FF66EE"/>
    <w:rsid w:val="780A2C16"/>
    <w:rsid w:val="781C1055"/>
    <w:rsid w:val="781E731D"/>
    <w:rsid w:val="78356412"/>
    <w:rsid w:val="78357862"/>
    <w:rsid w:val="78483201"/>
    <w:rsid w:val="78544777"/>
    <w:rsid w:val="785A3691"/>
    <w:rsid w:val="786A2314"/>
    <w:rsid w:val="78A67FC4"/>
    <w:rsid w:val="78C14194"/>
    <w:rsid w:val="78E22C72"/>
    <w:rsid w:val="795B41E0"/>
    <w:rsid w:val="798740EF"/>
    <w:rsid w:val="798E4E34"/>
    <w:rsid w:val="79937513"/>
    <w:rsid w:val="79BD1659"/>
    <w:rsid w:val="79DE00F9"/>
    <w:rsid w:val="79ED63AD"/>
    <w:rsid w:val="79EF3F83"/>
    <w:rsid w:val="7A0728D1"/>
    <w:rsid w:val="7A106FD0"/>
    <w:rsid w:val="7A243CC6"/>
    <w:rsid w:val="7A376F11"/>
    <w:rsid w:val="7A8821E5"/>
    <w:rsid w:val="7A9103E0"/>
    <w:rsid w:val="7AAE53F6"/>
    <w:rsid w:val="7AD25CBC"/>
    <w:rsid w:val="7ADC5AA8"/>
    <w:rsid w:val="7B10161E"/>
    <w:rsid w:val="7B52516C"/>
    <w:rsid w:val="7B890984"/>
    <w:rsid w:val="7B9504F4"/>
    <w:rsid w:val="7BC73C5A"/>
    <w:rsid w:val="7BD046E7"/>
    <w:rsid w:val="7BFA36A1"/>
    <w:rsid w:val="7C1C629A"/>
    <w:rsid w:val="7C570E85"/>
    <w:rsid w:val="7C82228E"/>
    <w:rsid w:val="7C8C4BB8"/>
    <w:rsid w:val="7C8D7818"/>
    <w:rsid w:val="7CA538A7"/>
    <w:rsid w:val="7CB60F70"/>
    <w:rsid w:val="7CD2037D"/>
    <w:rsid w:val="7CE50BFC"/>
    <w:rsid w:val="7CEC759C"/>
    <w:rsid w:val="7CF47EDB"/>
    <w:rsid w:val="7CF65E91"/>
    <w:rsid w:val="7CFD7DCB"/>
    <w:rsid w:val="7D381B92"/>
    <w:rsid w:val="7D3A3FD3"/>
    <w:rsid w:val="7D6407AE"/>
    <w:rsid w:val="7D7865AB"/>
    <w:rsid w:val="7D9315E4"/>
    <w:rsid w:val="7DC727A2"/>
    <w:rsid w:val="7DC81D72"/>
    <w:rsid w:val="7DDC1A7B"/>
    <w:rsid w:val="7E05604E"/>
    <w:rsid w:val="7E061A83"/>
    <w:rsid w:val="7E1008DC"/>
    <w:rsid w:val="7E172B88"/>
    <w:rsid w:val="7E6F2545"/>
    <w:rsid w:val="7E821CDA"/>
    <w:rsid w:val="7E8C20D1"/>
    <w:rsid w:val="7E8E3A47"/>
    <w:rsid w:val="7F157877"/>
    <w:rsid w:val="7F192D10"/>
    <w:rsid w:val="7F2C3E19"/>
    <w:rsid w:val="7F3708C6"/>
    <w:rsid w:val="7F556F5D"/>
    <w:rsid w:val="7F654D11"/>
    <w:rsid w:val="7F87438C"/>
    <w:rsid w:val="7F8D4850"/>
    <w:rsid w:val="7F9A60E4"/>
    <w:rsid w:val="7FA029FA"/>
    <w:rsid w:val="7FD57DA2"/>
    <w:rsid w:val="7FF44381"/>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60"/>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3">
    <w:name w:val="heading 2"/>
    <w:basedOn w:val="1"/>
    <w:next w:val="1"/>
    <w:link w:val="61"/>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4">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5">
    <w:name w:val="heading 4"/>
    <w:basedOn w:val="1"/>
    <w:next w:val="1"/>
    <w:link w:val="62"/>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3">
    <w:name w:val="Default Paragraph Font"/>
    <w:autoRedefine/>
    <w:unhideWhenUsed/>
    <w:qFormat/>
    <w:uiPriority w:val="1"/>
  </w:style>
  <w:style w:type="table" w:default="1" w:styleId="21">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ind w:firstLine="420" w:firstLineChars="200"/>
    </w:pPr>
  </w:style>
  <w:style w:type="paragraph" w:styleId="7">
    <w:name w:val="annotation text"/>
    <w:basedOn w:val="1"/>
    <w:link w:val="68"/>
    <w:autoRedefine/>
    <w:unhideWhenUsed/>
    <w:qFormat/>
    <w:uiPriority w:val="99"/>
    <w:pPr>
      <w:jc w:val="left"/>
    </w:pPr>
  </w:style>
  <w:style w:type="paragraph" w:styleId="8">
    <w:name w:val="Body Text"/>
    <w:basedOn w:val="1"/>
    <w:link w:val="75"/>
    <w:autoRedefine/>
    <w:unhideWhenUsed/>
    <w:qFormat/>
    <w:uiPriority w:val="99"/>
    <w:pPr>
      <w:spacing w:after="120"/>
    </w:pPr>
    <w:rPr>
      <w:szCs w:val="24"/>
    </w:rPr>
  </w:style>
  <w:style w:type="paragraph" w:styleId="9">
    <w:name w:val="toc 3"/>
    <w:basedOn w:val="1"/>
    <w:next w:val="1"/>
    <w:autoRedefine/>
    <w:qFormat/>
    <w:uiPriority w:val="0"/>
    <w:pPr>
      <w:ind w:left="840" w:leftChars="400"/>
    </w:pPr>
  </w:style>
  <w:style w:type="paragraph" w:styleId="10">
    <w:name w:val="Plain Text"/>
    <w:basedOn w:val="1"/>
    <w:link w:val="63"/>
    <w:autoRedefine/>
    <w:qFormat/>
    <w:uiPriority w:val="99"/>
    <w:rPr>
      <w:rFonts w:ascii="宋体" w:hAnsi="Courier New"/>
      <w:szCs w:val="21"/>
    </w:rPr>
  </w:style>
  <w:style w:type="paragraph" w:styleId="11">
    <w:name w:val="Date"/>
    <w:basedOn w:val="1"/>
    <w:next w:val="1"/>
    <w:link w:val="55"/>
    <w:autoRedefine/>
    <w:unhideWhenUsed/>
    <w:qFormat/>
    <w:uiPriority w:val="99"/>
    <w:pPr>
      <w:ind w:left="100" w:leftChars="2500"/>
    </w:pPr>
  </w:style>
  <w:style w:type="paragraph" w:styleId="12">
    <w:name w:val="Balloon Text"/>
    <w:basedOn w:val="1"/>
    <w:link w:val="56"/>
    <w:autoRedefine/>
    <w:unhideWhenUsed/>
    <w:qFormat/>
    <w:uiPriority w:val="99"/>
    <w:rPr>
      <w:sz w:val="18"/>
      <w:szCs w:val="18"/>
    </w:rPr>
  </w:style>
  <w:style w:type="paragraph" w:styleId="13">
    <w:name w:val="footer"/>
    <w:basedOn w:val="1"/>
    <w:link w:val="54"/>
    <w:autoRedefine/>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4">
    <w:name w:val="header"/>
    <w:basedOn w:val="1"/>
    <w:link w:val="53"/>
    <w:autoRedefine/>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15">
    <w:name w:val="footnote text"/>
    <w:basedOn w:val="1"/>
    <w:autoRedefine/>
    <w:semiHidden/>
    <w:unhideWhenUsed/>
    <w:qFormat/>
    <w:uiPriority w:val="99"/>
    <w:pPr>
      <w:snapToGrid w:val="0"/>
      <w:jc w:val="left"/>
    </w:pPr>
    <w:rPr>
      <w:sz w:val="18"/>
    </w:rPr>
  </w:style>
  <w:style w:type="paragraph" w:styleId="16">
    <w:name w:val="toc 2"/>
    <w:basedOn w:val="1"/>
    <w:next w:val="1"/>
    <w:autoRedefine/>
    <w:unhideWhenUsed/>
    <w:qFormat/>
    <w:uiPriority w:val="39"/>
    <w:pPr>
      <w:tabs>
        <w:tab w:val="left" w:pos="900"/>
        <w:tab w:val="left" w:pos="1050"/>
        <w:tab w:val="left" w:pos="1080"/>
        <w:tab w:val="right" w:leader="dot" w:pos="8296"/>
      </w:tabs>
      <w:ind w:left="420" w:leftChars="200" w:firstLine="210" w:firstLineChars="100"/>
    </w:pPr>
  </w:style>
  <w:style w:type="paragraph" w:styleId="17">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18">
    <w:name w:val="index 1"/>
    <w:basedOn w:val="1"/>
    <w:next w:val="1"/>
    <w:autoRedefine/>
    <w:unhideWhenUsed/>
    <w:qFormat/>
    <w:uiPriority w:val="99"/>
    <w:pPr>
      <w:framePr w:wrap="around" w:vAnchor="margin" w:hAnchor="text" w:y="1"/>
    </w:pPr>
    <w:rPr>
      <w:b/>
    </w:rPr>
  </w:style>
  <w:style w:type="paragraph" w:styleId="19">
    <w:name w:val="Title"/>
    <w:basedOn w:val="1"/>
    <w:next w:val="1"/>
    <w:autoRedefine/>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0">
    <w:name w:val="Body Text First Indent"/>
    <w:basedOn w:val="8"/>
    <w:link w:val="72"/>
    <w:autoRedefine/>
    <w:unhideWhenUsed/>
    <w:qFormat/>
    <w:uiPriority w:val="99"/>
    <w:pPr>
      <w:ind w:firstLine="420" w:firstLineChars="100"/>
    </w:pPr>
    <w:rPr>
      <w:sz w:val="24"/>
    </w:rPr>
  </w:style>
  <w:style w:type="table" w:styleId="22">
    <w:name w:val="Table Grid"/>
    <w:basedOn w:val="2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22"/>
    <w:rPr>
      <w:b/>
      <w:bCs/>
    </w:rPr>
  </w:style>
  <w:style w:type="character" w:styleId="25">
    <w:name w:val="page number"/>
    <w:basedOn w:val="23"/>
    <w:autoRedefine/>
    <w:qFormat/>
    <w:uiPriority w:val="0"/>
  </w:style>
  <w:style w:type="character" w:styleId="26">
    <w:name w:val="FollowedHyperlink"/>
    <w:basedOn w:val="23"/>
    <w:autoRedefine/>
    <w:unhideWhenUsed/>
    <w:qFormat/>
    <w:uiPriority w:val="99"/>
    <w:rPr>
      <w:color w:val="800080"/>
      <w:u w:val="single"/>
    </w:rPr>
  </w:style>
  <w:style w:type="character" w:styleId="27">
    <w:name w:val="HTML Definition"/>
    <w:basedOn w:val="23"/>
    <w:autoRedefine/>
    <w:semiHidden/>
    <w:unhideWhenUsed/>
    <w:qFormat/>
    <w:uiPriority w:val="99"/>
    <w:rPr>
      <w:i/>
      <w:sz w:val="20"/>
      <w:szCs w:val="20"/>
    </w:rPr>
  </w:style>
  <w:style w:type="character" w:styleId="28">
    <w:name w:val="Hyperlink"/>
    <w:basedOn w:val="23"/>
    <w:autoRedefine/>
    <w:qFormat/>
    <w:uiPriority w:val="99"/>
    <w:rPr>
      <w:color w:val="0000FF"/>
      <w:u w:val="single"/>
    </w:rPr>
  </w:style>
  <w:style w:type="character" w:styleId="29">
    <w:name w:val="HTML Code"/>
    <w:basedOn w:val="23"/>
    <w:autoRedefine/>
    <w:semiHidden/>
    <w:unhideWhenUsed/>
    <w:qFormat/>
    <w:uiPriority w:val="99"/>
    <w:rPr>
      <w:rFonts w:hint="default" w:ascii="Consolas" w:hAnsi="Consolas" w:eastAsia="Consolas" w:cs="Consolas"/>
      <w:color w:val="C7254E"/>
      <w:sz w:val="21"/>
      <w:szCs w:val="21"/>
      <w:shd w:val="clear" w:fill="F9F2F4"/>
    </w:rPr>
  </w:style>
  <w:style w:type="character" w:styleId="30">
    <w:name w:val="annotation reference"/>
    <w:basedOn w:val="23"/>
    <w:autoRedefine/>
    <w:unhideWhenUsed/>
    <w:qFormat/>
    <w:uiPriority w:val="99"/>
    <w:rPr>
      <w:sz w:val="21"/>
      <w:szCs w:val="21"/>
    </w:rPr>
  </w:style>
  <w:style w:type="character" w:styleId="31">
    <w:name w:val="HTML Cite"/>
    <w:basedOn w:val="23"/>
    <w:autoRedefine/>
    <w:semiHidden/>
    <w:unhideWhenUsed/>
    <w:qFormat/>
    <w:uiPriority w:val="99"/>
  </w:style>
  <w:style w:type="character" w:styleId="32">
    <w:name w:val="footnote reference"/>
    <w:basedOn w:val="23"/>
    <w:autoRedefine/>
    <w:semiHidden/>
    <w:unhideWhenUsed/>
    <w:qFormat/>
    <w:uiPriority w:val="99"/>
    <w:rPr>
      <w:vertAlign w:val="superscript"/>
    </w:rPr>
  </w:style>
  <w:style w:type="character" w:styleId="33">
    <w:name w:val="HTML Keyboard"/>
    <w:basedOn w:val="23"/>
    <w:autoRedefine/>
    <w:semiHidden/>
    <w:unhideWhenUsed/>
    <w:qFormat/>
    <w:uiPriority w:val="99"/>
    <w:rPr>
      <w:rFonts w:ascii="Consolas" w:hAnsi="Consolas" w:eastAsia="Consolas" w:cs="Consolas"/>
      <w:color w:val="FFFFFF"/>
      <w:sz w:val="21"/>
      <w:szCs w:val="21"/>
      <w:shd w:val="clear" w:fill="333333"/>
    </w:rPr>
  </w:style>
  <w:style w:type="character" w:styleId="34">
    <w:name w:val="HTML Sample"/>
    <w:basedOn w:val="23"/>
    <w:autoRedefine/>
    <w:semiHidden/>
    <w:unhideWhenUsed/>
    <w:qFormat/>
    <w:uiPriority w:val="99"/>
    <w:rPr>
      <w:rFonts w:hint="default" w:ascii="Consolas" w:hAnsi="Consolas" w:eastAsia="Consolas" w:cs="Consolas"/>
      <w:sz w:val="21"/>
      <w:szCs w:val="21"/>
    </w:rPr>
  </w:style>
  <w:style w:type="paragraph" w:customStyle="1" w:styleId="35">
    <w:name w:val="Normal_0"/>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6">
    <w:name w:val="Normal_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7">
    <w:name w:val="Normal_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8">
    <w:name w:val="Normal_2"/>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9">
    <w:name w:val="Normal_3"/>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0">
    <w:name w:val="Normal_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1">
    <w:name w:val="Normal_7"/>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2">
    <w:name w:val="List Paragraph"/>
    <w:basedOn w:val="1"/>
    <w:autoRedefine/>
    <w:qFormat/>
    <w:uiPriority w:val="99"/>
    <w:pPr>
      <w:ind w:firstLine="420" w:firstLineChars="200"/>
    </w:pPr>
  </w:style>
  <w:style w:type="paragraph" w:customStyle="1" w:styleId="43">
    <w:name w:val="Normal_6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6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7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7">
    <w:name w:val="样式 样式 样式 样式 标题 2 + 宋体 五号 非加粗 黑色 + 段前: 6 磅 段后: 0 磅 行距: 单倍行距 + 段前:..."/>
    <w:basedOn w:val="1"/>
    <w:autoRedefine/>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48">
    <w:name w:val="列表段落1"/>
    <w:basedOn w:val="1"/>
    <w:autoRedefine/>
    <w:qFormat/>
    <w:uiPriority w:val="34"/>
    <w:pPr>
      <w:ind w:firstLine="420" w:firstLineChars="200"/>
    </w:pPr>
    <w:rPr>
      <w:rFonts w:ascii="Calibri" w:hAnsi="Calibri" w:eastAsia="宋体" w:cs="黑体"/>
      <w:szCs w:val="22"/>
    </w:rPr>
  </w:style>
  <w:style w:type="paragraph" w:customStyle="1" w:styleId="49">
    <w:name w:val="msonormal"/>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0">
    <w:name w:val="Revision"/>
    <w:autoRedefine/>
    <w:semiHidden/>
    <w:qFormat/>
    <w:uiPriority w:val="99"/>
    <w:rPr>
      <w:rFonts w:ascii="Times New Roman" w:hAnsi="Times New Roman" w:eastAsia="宋体" w:cs="Times New Roman"/>
      <w:kern w:val="2"/>
      <w:sz w:val="21"/>
      <w:szCs w:val="24"/>
      <w:lang w:val="en-US" w:eastAsia="zh-CN" w:bidi="ar-SA"/>
    </w:rPr>
  </w:style>
  <w:style w:type="paragraph" w:customStyle="1" w:styleId="51">
    <w:name w:val="p0"/>
    <w:basedOn w:val="1"/>
    <w:autoRedefine/>
    <w:qFormat/>
    <w:uiPriority w:val="99"/>
    <w:pPr>
      <w:widowControl/>
      <w:spacing w:before="75" w:after="75"/>
      <w:jc w:val="left"/>
    </w:pPr>
    <w:rPr>
      <w:rFonts w:ascii="宋体" w:hAnsi="宋体" w:cs="宋体"/>
      <w:kern w:val="0"/>
      <w:sz w:val="24"/>
      <w:szCs w:val="24"/>
    </w:rPr>
  </w:style>
  <w:style w:type="paragraph" w:customStyle="1" w:styleId="52">
    <w:name w:val="p15"/>
    <w:basedOn w:val="1"/>
    <w:autoRedefine/>
    <w:qFormat/>
    <w:uiPriority w:val="0"/>
    <w:pPr>
      <w:widowControl/>
      <w:jc w:val="left"/>
    </w:pPr>
    <w:rPr>
      <w:kern w:val="0"/>
      <w:sz w:val="24"/>
    </w:rPr>
  </w:style>
  <w:style w:type="character" w:customStyle="1" w:styleId="53">
    <w:name w:val="页眉 字符"/>
    <w:basedOn w:val="23"/>
    <w:link w:val="14"/>
    <w:autoRedefine/>
    <w:qFormat/>
    <w:uiPriority w:val="99"/>
    <w:rPr>
      <w:sz w:val="18"/>
      <w:szCs w:val="18"/>
    </w:rPr>
  </w:style>
  <w:style w:type="character" w:customStyle="1" w:styleId="54">
    <w:name w:val="页脚 字符"/>
    <w:basedOn w:val="23"/>
    <w:link w:val="13"/>
    <w:autoRedefine/>
    <w:qFormat/>
    <w:uiPriority w:val="99"/>
    <w:rPr>
      <w:sz w:val="18"/>
      <w:szCs w:val="18"/>
    </w:rPr>
  </w:style>
  <w:style w:type="character" w:customStyle="1" w:styleId="55">
    <w:name w:val="日期 字符"/>
    <w:basedOn w:val="23"/>
    <w:link w:val="11"/>
    <w:autoRedefine/>
    <w:semiHidden/>
    <w:qFormat/>
    <w:uiPriority w:val="99"/>
  </w:style>
  <w:style w:type="character" w:customStyle="1" w:styleId="56">
    <w:name w:val="批注框文本 字符"/>
    <w:basedOn w:val="23"/>
    <w:link w:val="12"/>
    <w:autoRedefine/>
    <w:semiHidden/>
    <w:qFormat/>
    <w:uiPriority w:val="99"/>
    <w:rPr>
      <w:sz w:val="18"/>
      <w:szCs w:val="18"/>
    </w:rPr>
  </w:style>
  <w:style w:type="character" w:customStyle="1" w:styleId="57">
    <w:name w:val="标题 3 Char"/>
    <w:basedOn w:val="23"/>
    <w:autoRedefine/>
    <w:semiHidden/>
    <w:qFormat/>
    <w:uiPriority w:val="9"/>
    <w:rPr>
      <w:rFonts w:ascii="Times New Roman" w:hAnsi="Times New Roman" w:eastAsia="宋体" w:cs="Times New Roman"/>
      <w:b/>
      <w:bCs/>
      <w:sz w:val="32"/>
      <w:szCs w:val="32"/>
    </w:rPr>
  </w:style>
  <w:style w:type="character" w:customStyle="1" w:styleId="58">
    <w:name w:val="标题 3 字符"/>
    <w:link w:val="4"/>
    <w:autoRedefine/>
    <w:qFormat/>
    <w:uiPriority w:val="0"/>
    <w:rPr>
      <w:rFonts w:ascii="宋体" w:hAnsi="Times New Roman" w:eastAsia="宋体" w:cs="Times New Roman"/>
      <w:b/>
      <w:kern w:val="0"/>
      <w:sz w:val="24"/>
      <w:szCs w:val="20"/>
      <w:u w:val="single"/>
    </w:rPr>
  </w:style>
  <w:style w:type="character" w:customStyle="1" w:styleId="59">
    <w:name w:val="标题 1 Char Char Char Char"/>
    <w:autoRedefine/>
    <w:qFormat/>
    <w:uiPriority w:val="0"/>
    <w:rPr>
      <w:rFonts w:eastAsia="宋体"/>
      <w:b/>
      <w:bCs/>
      <w:kern w:val="44"/>
      <w:sz w:val="44"/>
      <w:szCs w:val="44"/>
      <w:lang w:val="en-US" w:eastAsia="zh-CN" w:bidi="ar-SA"/>
    </w:rPr>
  </w:style>
  <w:style w:type="character" w:customStyle="1" w:styleId="60">
    <w:name w:val="标题 1 字符"/>
    <w:basedOn w:val="23"/>
    <w:link w:val="2"/>
    <w:autoRedefine/>
    <w:qFormat/>
    <w:uiPriority w:val="9"/>
    <w:rPr>
      <w:rFonts w:ascii="Calibri" w:hAnsi="Calibri" w:eastAsia="宋体" w:cs="Times New Roman"/>
      <w:b/>
      <w:bCs/>
      <w:kern w:val="44"/>
      <w:sz w:val="44"/>
      <w:szCs w:val="44"/>
    </w:rPr>
  </w:style>
  <w:style w:type="character" w:customStyle="1" w:styleId="61">
    <w:name w:val="标题 2 字符"/>
    <w:basedOn w:val="23"/>
    <w:link w:val="3"/>
    <w:autoRedefine/>
    <w:qFormat/>
    <w:uiPriority w:val="0"/>
    <w:rPr>
      <w:rFonts w:ascii="Arial" w:hAnsi="Arial" w:eastAsia="黑体" w:cs="Times New Roman"/>
      <w:b/>
      <w:bCs/>
      <w:kern w:val="0"/>
      <w:sz w:val="32"/>
      <w:szCs w:val="32"/>
    </w:rPr>
  </w:style>
  <w:style w:type="character" w:customStyle="1" w:styleId="62">
    <w:name w:val="标题 4 字符"/>
    <w:basedOn w:val="23"/>
    <w:link w:val="5"/>
    <w:autoRedefine/>
    <w:qFormat/>
    <w:uiPriority w:val="0"/>
    <w:rPr>
      <w:rFonts w:ascii="Arial" w:hAnsi="Arial" w:eastAsia="黑体" w:cs="Times New Roman"/>
      <w:b/>
      <w:bCs/>
      <w:kern w:val="0"/>
      <w:sz w:val="28"/>
      <w:szCs w:val="28"/>
    </w:rPr>
  </w:style>
  <w:style w:type="character" w:customStyle="1" w:styleId="63">
    <w:name w:val="纯文本 字符1"/>
    <w:basedOn w:val="23"/>
    <w:link w:val="10"/>
    <w:autoRedefine/>
    <w:qFormat/>
    <w:uiPriority w:val="99"/>
    <w:rPr>
      <w:rFonts w:ascii="宋体" w:hAnsi="Courier New" w:eastAsia="宋体" w:cs="Times New Roman"/>
      <w:szCs w:val="21"/>
    </w:rPr>
  </w:style>
  <w:style w:type="character" w:customStyle="1" w:styleId="64">
    <w:name w:val="纯文本 字符"/>
    <w:autoRedefine/>
    <w:qFormat/>
    <w:uiPriority w:val="99"/>
    <w:rPr>
      <w:rFonts w:ascii="宋体" w:hAnsi="Courier New" w:eastAsia="宋体"/>
      <w:kern w:val="2"/>
      <w:sz w:val="21"/>
      <w:lang w:val="en-US" w:eastAsia="zh-CN" w:bidi="ar-SA"/>
    </w:rPr>
  </w:style>
  <w:style w:type="character" w:customStyle="1" w:styleId="65">
    <w:name w:val="正文文本 Char"/>
    <w:autoRedefine/>
    <w:qFormat/>
    <w:uiPriority w:val="0"/>
    <w:rPr>
      <w:sz w:val="24"/>
      <w:szCs w:val="22"/>
    </w:rPr>
  </w:style>
  <w:style w:type="character" w:customStyle="1" w:styleId="66">
    <w:name w:val="font21"/>
    <w:basedOn w:val="23"/>
    <w:autoRedefine/>
    <w:qFormat/>
    <w:uiPriority w:val="0"/>
    <w:rPr>
      <w:rFonts w:hint="eastAsia" w:ascii="宋体" w:hAnsi="宋体" w:eastAsia="宋体" w:cs="宋体"/>
      <w:color w:val="000000"/>
      <w:sz w:val="20"/>
      <w:szCs w:val="20"/>
      <w:u w:val="none"/>
    </w:rPr>
  </w:style>
  <w:style w:type="character" w:customStyle="1" w:styleId="67">
    <w:name w:val="font71"/>
    <w:basedOn w:val="23"/>
    <w:autoRedefine/>
    <w:qFormat/>
    <w:uiPriority w:val="0"/>
    <w:rPr>
      <w:rFonts w:hint="eastAsia" w:ascii="宋体" w:hAnsi="宋体" w:eastAsia="宋体" w:cs="宋体"/>
      <w:color w:val="FF0000"/>
      <w:sz w:val="20"/>
      <w:szCs w:val="20"/>
      <w:u w:val="none"/>
    </w:rPr>
  </w:style>
  <w:style w:type="character" w:customStyle="1" w:styleId="68">
    <w:name w:val="批注文字 字符"/>
    <w:basedOn w:val="23"/>
    <w:link w:val="7"/>
    <w:autoRedefine/>
    <w:semiHidden/>
    <w:qFormat/>
    <w:uiPriority w:val="99"/>
    <w:rPr>
      <w:rFonts w:ascii="Times New Roman" w:hAnsi="Times New Roman" w:eastAsia="宋体" w:cs="Times New Roman"/>
      <w:szCs w:val="20"/>
    </w:rPr>
  </w:style>
  <w:style w:type="character" w:customStyle="1" w:styleId="69">
    <w:name w:val="font51"/>
    <w:basedOn w:val="23"/>
    <w:autoRedefine/>
    <w:qFormat/>
    <w:uiPriority w:val="0"/>
    <w:rPr>
      <w:rFonts w:hint="eastAsia" w:ascii="宋体" w:hAnsi="宋体" w:eastAsia="宋体" w:cs="宋体"/>
      <w:color w:val="000000"/>
      <w:sz w:val="16"/>
      <w:szCs w:val="16"/>
      <w:u w:val="none"/>
    </w:rPr>
  </w:style>
  <w:style w:type="character" w:customStyle="1" w:styleId="70">
    <w:name w:val="font01"/>
    <w:basedOn w:val="23"/>
    <w:autoRedefine/>
    <w:qFormat/>
    <w:uiPriority w:val="0"/>
    <w:rPr>
      <w:rFonts w:hint="default" w:ascii="Arial" w:hAnsi="Arial" w:cs="Arial"/>
      <w:color w:val="000000"/>
      <w:sz w:val="16"/>
      <w:szCs w:val="16"/>
      <w:u w:val="none"/>
    </w:rPr>
  </w:style>
  <w:style w:type="character" w:customStyle="1" w:styleId="71">
    <w:name w:val="正文文本 字符"/>
    <w:basedOn w:val="23"/>
    <w:autoRedefine/>
    <w:semiHidden/>
    <w:qFormat/>
    <w:uiPriority w:val="99"/>
    <w:rPr>
      <w:rFonts w:ascii="Times New Roman" w:hAnsi="Times New Roman" w:eastAsia="宋体" w:cs="Times New Roman"/>
      <w:szCs w:val="20"/>
    </w:rPr>
  </w:style>
  <w:style w:type="character" w:customStyle="1" w:styleId="72">
    <w:name w:val="正文文本首行缩进 字符"/>
    <w:basedOn w:val="71"/>
    <w:link w:val="20"/>
    <w:autoRedefine/>
    <w:semiHidden/>
    <w:qFormat/>
    <w:uiPriority w:val="99"/>
    <w:rPr>
      <w:rFonts w:ascii="Times New Roman" w:hAnsi="Times New Roman" w:eastAsia="宋体" w:cs="Times New Roman"/>
      <w:sz w:val="24"/>
      <w:szCs w:val="24"/>
    </w:rPr>
  </w:style>
  <w:style w:type="character" w:customStyle="1" w:styleId="73">
    <w:name w:val="font112"/>
    <w:autoRedefine/>
    <w:qFormat/>
    <w:uiPriority w:val="0"/>
    <w:rPr>
      <w:rFonts w:hint="eastAsia" w:ascii="宋体" w:hAnsi="宋体" w:eastAsia="宋体" w:cs="宋体"/>
      <w:b/>
      <w:color w:val="000000"/>
      <w:sz w:val="22"/>
      <w:szCs w:val="22"/>
      <w:u w:val="none"/>
    </w:rPr>
  </w:style>
  <w:style w:type="character" w:customStyle="1" w:styleId="74">
    <w:name w:val="font121"/>
    <w:autoRedefine/>
    <w:qFormat/>
    <w:uiPriority w:val="0"/>
    <w:rPr>
      <w:rFonts w:hint="eastAsia" w:ascii="宋体" w:hAnsi="宋体" w:eastAsia="宋体" w:cs="宋体"/>
      <w:color w:val="000000"/>
      <w:sz w:val="24"/>
      <w:szCs w:val="24"/>
      <w:u w:val="none"/>
    </w:rPr>
  </w:style>
  <w:style w:type="character" w:customStyle="1" w:styleId="75">
    <w:name w:val="正文文本 字符1"/>
    <w:basedOn w:val="23"/>
    <w:link w:val="8"/>
    <w:autoRedefine/>
    <w:semiHidden/>
    <w:qFormat/>
    <w:locked/>
    <w:uiPriority w:val="99"/>
    <w:rPr>
      <w:rFonts w:ascii="Times New Roman" w:hAnsi="Times New Roman" w:eastAsia="宋体" w:cs="Times New Roman"/>
      <w:szCs w:val="24"/>
    </w:rPr>
  </w:style>
  <w:style w:type="character" w:customStyle="1" w:styleId="76">
    <w:name w:val="正文文本首行缩进 字符1"/>
    <w:basedOn w:val="75"/>
    <w:autoRedefine/>
    <w:semiHidden/>
    <w:qFormat/>
    <w:uiPriority w:val="99"/>
    <w:rPr>
      <w:rFonts w:ascii="Times New Roman" w:hAnsi="Times New Roman" w:eastAsia="宋体" w:cs="Times New Roman"/>
      <w:szCs w:val="24"/>
    </w:rPr>
  </w:style>
  <w:style w:type="character" w:customStyle="1" w:styleId="77">
    <w:name w:val="批注框文本 字符1"/>
    <w:basedOn w:val="23"/>
    <w:autoRedefine/>
    <w:semiHidden/>
    <w:qFormat/>
    <w:uiPriority w:val="99"/>
    <w:rPr>
      <w:kern w:val="2"/>
      <w:sz w:val="18"/>
      <w:szCs w:val="18"/>
    </w:rPr>
  </w:style>
  <w:style w:type="character" w:customStyle="1" w:styleId="78">
    <w:name w:val="页眉 字符1"/>
    <w:basedOn w:val="23"/>
    <w:autoRedefine/>
    <w:semiHidden/>
    <w:qFormat/>
    <w:uiPriority w:val="99"/>
    <w:rPr>
      <w:kern w:val="2"/>
      <w:sz w:val="18"/>
      <w:szCs w:val="18"/>
    </w:rPr>
  </w:style>
  <w:style w:type="character" w:customStyle="1" w:styleId="79">
    <w:name w:val="页脚 字符1"/>
    <w:basedOn w:val="23"/>
    <w:autoRedefine/>
    <w:semiHidden/>
    <w:qFormat/>
    <w:uiPriority w:val="99"/>
    <w:rPr>
      <w:kern w:val="2"/>
      <w:sz w:val="18"/>
      <w:szCs w:val="18"/>
    </w:rPr>
  </w:style>
  <w:style w:type="character" w:customStyle="1" w:styleId="80">
    <w:name w:val="日期 字符1"/>
    <w:basedOn w:val="23"/>
    <w:autoRedefine/>
    <w:semiHidden/>
    <w:qFormat/>
    <w:uiPriority w:val="99"/>
    <w:rPr>
      <w:kern w:val="2"/>
      <w:sz w:val="21"/>
      <w:szCs w:val="24"/>
    </w:rPr>
  </w:style>
  <w:style w:type="character" w:customStyle="1" w:styleId="81">
    <w:name w:val="标题 3 Char Char"/>
    <w:basedOn w:val="23"/>
    <w:autoRedefine/>
    <w:qFormat/>
    <w:uiPriority w:val="0"/>
    <w:rPr>
      <w:rFonts w:ascii="宋体" w:hAnsi="宋体"/>
    </w:rPr>
  </w:style>
  <w:style w:type="table" w:customStyle="1" w:styleId="82">
    <w:name w:val="Table Normal"/>
    <w:autoRedefine/>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83">
    <w:name w:val="列出段落1"/>
    <w:basedOn w:val="1"/>
    <w:autoRedefine/>
    <w:qFormat/>
    <w:uiPriority w:val="34"/>
    <w:pPr>
      <w:widowControl/>
      <w:ind w:firstLine="420" w:firstLineChars="200"/>
      <w:jc w:val="left"/>
    </w:pPr>
    <w:rPr>
      <w:rFonts w:eastAsiaTheme="minorEastAsia"/>
      <w:kern w:val="0"/>
      <w:sz w:val="22"/>
      <w:szCs w:val="22"/>
    </w:rPr>
  </w:style>
  <w:style w:type="paragraph" w:customStyle="1" w:styleId="84">
    <w:name w:val="样式5"/>
    <w:basedOn w:val="85"/>
    <w:autoRedefine/>
    <w:qFormat/>
    <w:uiPriority w:val="0"/>
    <w:pPr>
      <w:numPr>
        <w:numId w:val="3"/>
      </w:numPr>
      <w:spacing w:before="652" w:after="163"/>
    </w:pPr>
    <w:rPr>
      <w:b w:val="0"/>
    </w:rPr>
  </w:style>
  <w:style w:type="paragraph" w:customStyle="1" w:styleId="85">
    <w:name w:val="1级编号"/>
    <w:basedOn w:val="1"/>
    <w:autoRedefine/>
    <w:qFormat/>
    <w:uiPriority w:val="0"/>
    <w:pPr>
      <w:numPr>
        <w:ilvl w:val="0"/>
        <w:numId w:val="4"/>
      </w:numPr>
      <w:spacing w:beforeLines="200" w:afterLines="50" w:line="480" w:lineRule="exact"/>
      <w:jc w:val="center"/>
      <w:outlineLvl w:val="0"/>
    </w:pPr>
    <w:rPr>
      <w:rFonts w:eastAsia="仿宋"/>
      <w:b/>
      <w:sz w:val="28"/>
    </w:rPr>
  </w:style>
  <w:style w:type="character" w:customStyle="1" w:styleId="86">
    <w:name w:val="before"/>
    <w:basedOn w:val="23"/>
    <w:autoRedefine/>
    <w:qFormat/>
    <w:uiPriority w:val="0"/>
    <w:rPr>
      <w:rFonts w:hint="default" w:ascii="FontAwesome" w:hAnsi="FontAwesome" w:eastAsia="FontAwesome" w:cs="FontAwesome"/>
      <w:color w:val="888888"/>
    </w:rPr>
  </w:style>
  <w:style w:type="character" w:customStyle="1" w:styleId="87">
    <w:name w:val="before1"/>
    <w:basedOn w:val="23"/>
    <w:autoRedefine/>
    <w:qFormat/>
    <w:uiPriority w:val="0"/>
    <w:rPr>
      <w:rFonts w:hint="default" w:ascii="FontAwesome" w:hAnsi="FontAwesome" w:eastAsia="FontAwesome" w:cs="FontAwesome"/>
      <w:color w:val="888888"/>
    </w:rPr>
  </w:style>
  <w:style w:type="character" w:customStyle="1" w:styleId="88">
    <w:name w:val="first-child"/>
    <w:basedOn w:val="23"/>
    <w:autoRedefine/>
    <w:qFormat/>
    <w:uiPriority w:val="0"/>
  </w:style>
  <w:style w:type="character" w:customStyle="1" w:styleId="89">
    <w:name w:val="input-icon2"/>
    <w:basedOn w:val="23"/>
    <w:autoRedefine/>
    <w:qFormat/>
    <w:uiPriority w:val="0"/>
  </w:style>
  <w:style w:type="character" w:customStyle="1" w:styleId="90">
    <w:name w:val="ui-jqgrid-resize"/>
    <w:basedOn w:val="23"/>
    <w:autoRedefine/>
    <w:qFormat/>
    <w:uiPriority w:val="0"/>
  </w:style>
  <w:style w:type="character" w:customStyle="1" w:styleId="91">
    <w:name w:val="ui-icon32"/>
    <w:basedOn w:val="23"/>
    <w:autoRedefine/>
    <w:qFormat/>
    <w:uiPriority w:val="0"/>
  </w:style>
  <w:style w:type="character" w:customStyle="1" w:styleId="92">
    <w:name w:val="ui-icon33"/>
    <w:basedOn w:val="23"/>
    <w:autoRedefine/>
    <w:qFormat/>
    <w:uiPriority w:val="0"/>
  </w:style>
  <w:style w:type="character" w:customStyle="1" w:styleId="93">
    <w:name w:val="layui-this"/>
    <w:basedOn w:val="23"/>
    <w:autoRedefine/>
    <w:qFormat/>
    <w:uiPriority w:val="0"/>
    <w:rPr>
      <w:bdr w:val="single" w:color="EEEEEE" w:sz="6" w:space="0"/>
      <w:shd w:val="clear" w:fill="FFFFFF"/>
    </w:rPr>
  </w:style>
  <w:style w:type="character" w:customStyle="1" w:styleId="94">
    <w:name w:val="active6"/>
    <w:basedOn w:val="23"/>
    <w:autoRedefine/>
    <w:qFormat/>
    <w:uiPriority w:val="0"/>
    <w:rPr>
      <w:color w:val="FFFFFF"/>
      <w:shd w:val="clear" w:fill="428BCA"/>
    </w:rPr>
  </w:style>
  <w:style w:type="character" w:customStyle="1" w:styleId="95">
    <w:name w:val="hover6"/>
    <w:basedOn w:val="23"/>
    <w:autoRedefine/>
    <w:qFormat/>
    <w:uiPriority w:val="0"/>
    <w:rPr>
      <w:shd w:val="clear" w:fill="EEEEEE"/>
    </w:rPr>
  </w:style>
  <w:style w:type="character" w:customStyle="1" w:styleId="96">
    <w:name w:val="ui-icon37"/>
    <w:basedOn w:val="23"/>
    <w:autoRedefine/>
    <w:qFormat/>
    <w:uiPriority w:val="0"/>
  </w:style>
  <w:style w:type="character" w:customStyle="1" w:styleId="97">
    <w:name w:val="ui-icon38"/>
    <w:basedOn w:val="23"/>
    <w:autoRedefine/>
    <w:qFormat/>
    <w:uiPriority w:val="0"/>
  </w:style>
  <w:style w:type="character" w:customStyle="1" w:styleId="98">
    <w:name w:val="ui-icon39"/>
    <w:basedOn w:val="23"/>
    <w:autoRedefine/>
    <w:qFormat/>
    <w:uiPriority w:val="0"/>
  </w:style>
  <w:style w:type="character" w:customStyle="1" w:styleId="99">
    <w:name w:val="old"/>
    <w:basedOn w:val="23"/>
    <w:autoRedefine/>
    <w:qFormat/>
    <w:uiPriority w:val="0"/>
    <w:rPr>
      <w:color w:val="999999"/>
    </w:rPr>
  </w:style>
  <w:style w:type="paragraph" w:customStyle="1" w:styleId="100">
    <w:name w:val="章标题"/>
    <w:basedOn w:val="2"/>
    <w:autoRedefine/>
    <w:qFormat/>
    <w:uiPriority w:val="99"/>
    <w:pPr>
      <w:keepNext/>
      <w:keepLines/>
      <w:spacing w:before="340" w:after="330" w:line="578" w:lineRule="auto"/>
      <w:jc w:val="center"/>
    </w:pPr>
    <w:rPr>
      <w:rFonts w:ascii="Times New Roman" w:hAnsi="Times New Roman" w:cs="Times New Roman"/>
      <w:kern w:val="44"/>
    </w:rPr>
  </w:style>
  <w:style w:type="paragraph" w:customStyle="1" w:styleId="101">
    <w:name w:val="_Style 5"/>
    <w:basedOn w:val="2"/>
    <w:next w:val="1"/>
    <w:autoRedefine/>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2">
    <w:name w:val="A2"/>
    <w:basedOn w:val="3"/>
    <w:autoRedefine/>
    <w:qFormat/>
    <w:uiPriority w:val="0"/>
    <w:pPr>
      <w:numPr>
        <w:ilvl w:val="0"/>
        <w:numId w:val="0"/>
      </w:numPr>
      <w:adjustRightInd/>
      <w:spacing w:line="360" w:lineRule="auto"/>
      <w:ind w:left="28"/>
      <w:jc w:val="both"/>
      <w:textAlignment w:val="auto"/>
    </w:pPr>
    <w:rPr>
      <w:kern w:val="2"/>
      <w:sz w:val="28"/>
      <w:lang w:val="zh-CN"/>
    </w:rPr>
  </w:style>
  <w:style w:type="paragraph" w:customStyle="1" w:styleId="103">
    <w:name w:val="正文 A"/>
    <w:autoRedefine/>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04">
    <w:name w:val="列出段落"/>
    <w:autoRedefine/>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05">
    <w:name w:val="页脚1"/>
    <w:autoRedefine/>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06">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107">
    <w:name w:val="Table Paragraph"/>
    <w:basedOn w:val="1"/>
    <w:autoRedefine/>
    <w:qFormat/>
    <w:uiPriority w:val="1"/>
  </w:style>
  <w:style w:type="table" w:customStyle="1" w:styleId="108">
    <w:name w:val="Table Normal1"/>
    <w:autoRedefine/>
    <w:qFormat/>
    <w:uiPriority w:val="0"/>
    <w:rPr>
      <w:rFonts w:ascii="Times New Roman" w:hAnsi="Times New Roman" w:eastAsia="等线" w:cs="Times New Roman"/>
      <w:kern w:val="0"/>
      <w:sz w:val="20"/>
      <w:szCs w:val="20"/>
    </w:rPr>
    <w:tblPr>
      <w:tblCellMar>
        <w:top w:w="0" w:type="dxa"/>
        <w:left w:w="0" w:type="dxa"/>
        <w:bottom w:w="0" w:type="dxa"/>
        <w:right w:w="0" w:type="dxa"/>
      </w:tblCellMar>
    </w:tblPr>
  </w:style>
  <w:style w:type="character" w:customStyle="1" w:styleId="109">
    <w:name w:val="页码1"/>
    <w:basedOn w:val="23"/>
    <w:autoRedefine/>
    <w:qFormat/>
    <w:uiPriority w:val="0"/>
  </w:style>
  <w:style w:type="paragraph" w:customStyle="1" w:styleId="110">
    <w:name w:val="表格文字"/>
    <w:basedOn w:val="1"/>
    <w:next w:val="8"/>
    <w:autoRedefine/>
    <w:unhideWhenUsed/>
    <w:qFormat/>
    <w:uiPriority w:val="0"/>
    <w:pPr>
      <w:spacing w:beforeLines="0" w:afterLines="0"/>
    </w:pPr>
    <w:rPr>
      <w:rFonts w:hint="default"/>
      <w:sz w:val="21"/>
    </w:rPr>
  </w:style>
  <w:style w:type="paragraph" w:customStyle="1" w:styleId="111">
    <w:name w:val="目录 11"/>
    <w:next w:val="1"/>
    <w:autoRedefine/>
    <w:qFormat/>
    <w:uiPriority w:val="0"/>
    <w:pPr>
      <w:wordWrap w:val="0"/>
      <w:jc w:val="both"/>
    </w:pPr>
    <w:rPr>
      <w:rFonts w:ascii="Calibri" w:hAnsi="Calibri" w:eastAsia="宋体" w:cs="Calibri"/>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5.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44322</Words>
  <Characters>47449</Characters>
  <Lines>526</Lines>
  <Paragraphs>148</Paragraphs>
  <TotalTime>6</TotalTime>
  <ScaleCrop>false</ScaleCrop>
  <LinksUpToDate>false</LinksUpToDate>
  <CharactersWithSpaces>50176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Administrator</cp:lastModifiedBy>
  <cp:lastPrinted>2022-01-12T08:11:00Z</cp:lastPrinted>
  <dcterms:modified xsi:type="dcterms:W3CDTF">2024-04-24T01:31:57Z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CEC5D5A6C4BA4DDFA78B464A49872125_13</vt:lpwstr>
  </property>
</Properties>
</file>