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74C7409">
      <w:pPr>
        <w:spacing w:line="360" w:lineRule="auto"/>
        <w:ind w:firstLine="300" w:firstLineChars="50"/>
        <w:rPr>
          <w:sz w:val="60"/>
          <w:szCs w:val="60"/>
        </w:rPr>
      </w:pPr>
    </w:p>
    <w:p w14:paraId="0ECE1323">
      <w:pPr>
        <w:spacing w:line="360" w:lineRule="auto"/>
        <w:ind w:firstLine="300" w:firstLineChars="50"/>
        <w:rPr>
          <w:sz w:val="60"/>
          <w:szCs w:val="60"/>
        </w:rPr>
      </w:pPr>
    </w:p>
    <w:p w14:paraId="544792DE">
      <w:pPr>
        <w:jc w:val="center"/>
        <w:rPr>
          <w:b/>
          <w:bCs/>
          <w:sz w:val="60"/>
          <w:szCs w:val="60"/>
        </w:rPr>
      </w:pPr>
      <w:r>
        <w:rPr>
          <w:b/>
          <w:bCs/>
          <w:sz w:val="60"/>
          <w:szCs w:val="60"/>
        </w:rPr>
        <w:t>北京市政府采购项目</w:t>
      </w:r>
    </w:p>
    <w:p w14:paraId="12B84D30">
      <w:pPr>
        <w:jc w:val="center"/>
        <w:rPr>
          <w:b/>
          <w:bCs/>
          <w:sz w:val="60"/>
          <w:szCs w:val="60"/>
        </w:rPr>
      </w:pPr>
      <w:r>
        <w:rPr>
          <w:b/>
          <w:bCs/>
          <w:sz w:val="60"/>
          <w:szCs w:val="60"/>
        </w:rPr>
        <w:t>公开招标文件</w:t>
      </w:r>
    </w:p>
    <w:p w14:paraId="0A623886">
      <w:pPr>
        <w:spacing w:line="360" w:lineRule="auto"/>
        <w:jc w:val="center"/>
        <w:rPr>
          <w:sz w:val="60"/>
          <w:szCs w:val="60"/>
        </w:rPr>
      </w:pPr>
    </w:p>
    <w:p w14:paraId="5A0F6F75">
      <w:pPr>
        <w:spacing w:line="360" w:lineRule="auto"/>
        <w:jc w:val="center"/>
        <w:rPr>
          <w:rFonts w:hint="eastAsia"/>
          <w:sz w:val="60"/>
          <w:szCs w:val="60"/>
        </w:rPr>
      </w:pPr>
    </w:p>
    <w:p w14:paraId="4063EC8D">
      <w:pPr>
        <w:tabs>
          <w:tab w:val="left" w:pos="3240"/>
          <w:tab w:val="left" w:pos="3420"/>
        </w:tabs>
        <w:spacing w:line="360" w:lineRule="auto"/>
        <w:ind w:left="2832" w:leftChars="444" w:hanging="1900" w:hangingChars="528"/>
        <w:jc w:val="left"/>
        <w:rPr>
          <w:rFonts w:hint="eastAsia" w:eastAsia="宋体"/>
          <w:bCs/>
          <w:sz w:val="36"/>
          <w:szCs w:val="36"/>
          <w:lang w:eastAsia="zh-CN"/>
        </w:rPr>
      </w:pPr>
      <w:r>
        <w:rPr>
          <w:bCs/>
          <w:sz w:val="36"/>
          <w:szCs w:val="36"/>
        </w:rPr>
        <w:t>项目名称：</w:t>
      </w:r>
      <w:r>
        <w:rPr>
          <w:rFonts w:hint="eastAsia"/>
          <w:bCs/>
          <w:sz w:val="36"/>
          <w:szCs w:val="36"/>
          <w:lang w:eastAsia="zh-CN"/>
        </w:rPr>
        <w:t>大兴区720积水点治理工程新城地区防汛应急指挥系统运维保障服务项目</w:t>
      </w:r>
    </w:p>
    <w:p w14:paraId="08D608A3">
      <w:pPr>
        <w:tabs>
          <w:tab w:val="left" w:pos="3240"/>
          <w:tab w:val="left" w:pos="3420"/>
        </w:tabs>
        <w:spacing w:line="360" w:lineRule="auto"/>
        <w:ind w:left="2832" w:leftChars="444" w:hanging="1900" w:hangingChars="528"/>
        <w:jc w:val="left"/>
        <w:rPr>
          <w:rFonts w:hint="eastAsia" w:eastAsia="宋体"/>
          <w:bCs/>
          <w:sz w:val="36"/>
          <w:szCs w:val="36"/>
          <w:highlight w:val="none"/>
          <w:lang w:eastAsia="zh-CN"/>
        </w:rPr>
      </w:pPr>
      <w:r>
        <w:rPr>
          <w:bCs/>
          <w:sz w:val="36"/>
          <w:szCs w:val="36"/>
          <w:highlight w:val="none"/>
        </w:rPr>
        <w:t>项目编号：</w:t>
      </w:r>
      <w:r>
        <w:rPr>
          <w:bCs/>
          <w:sz w:val="36"/>
          <w:szCs w:val="36"/>
          <w:highlight w:val="none"/>
        </w:rPr>
        <w:fldChar w:fldCharType="begin"/>
      </w:r>
      <w:r>
        <w:rPr>
          <w:bCs/>
          <w:sz w:val="36"/>
          <w:szCs w:val="36"/>
          <w:highlight w:val="none"/>
        </w:rPr>
        <w:instrText xml:space="preserve"> HYPERLINK "http://219.232.204.193:8080/frontend/plan/project_detail.html?projectUuid=7219486d-c6ec-41a8-ab66-c7992e5363ad" </w:instrText>
      </w:r>
      <w:r>
        <w:rPr>
          <w:bCs/>
          <w:sz w:val="36"/>
          <w:szCs w:val="36"/>
          <w:highlight w:val="none"/>
        </w:rPr>
        <w:fldChar w:fldCharType="separate"/>
      </w:r>
      <w:r>
        <w:rPr>
          <w:rFonts w:hint="default"/>
          <w:bCs/>
          <w:sz w:val="36"/>
          <w:szCs w:val="36"/>
          <w:highlight w:val="none"/>
        </w:rPr>
        <w:t>11011525210200027148-XM001</w:t>
      </w:r>
      <w:r>
        <w:rPr>
          <w:rFonts w:hint="default"/>
          <w:bCs/>
          <w:sz w:val="36"/>
          <w:szCs w:val="36"/>
          <w:highlight w:val="none"/>
        </w:rPr>
        <w:fldChar w:fldCharType="end"/>
      </w:r>
    </w:p>
    <w:p w14:paraId="303A1744">
      <w:pPr>
        <w:tabs>
          <w:tab w:val="left" w:pos="3240"/>
          <w:tab w:val="left" w:pos="3420"/>
        </w:tabs>
        <w:spacing w:line="360" w:lineRule="auto"/>
        <w:ind w:left="2832" w:leftChars="444" w:hanging="1900" w:hangingChars="528"/>
        <w:jc w:val="left"/>
        <w:rPr>
          <w:rFonts w:hint="eastAsia" w:eastAsia="宋体"/>
          <w:bCs/>
          <w:sz w:val="36"/>
          <w:szCs w:val="36"/>
          <w:lang w:eastAsia="zh-CN"/>
        </w:rPr>
      </w:pPr>
      <w:r>
        <w:rPr>
          <w:bCs/>
          <w:sz w:val="36"/>
          <w:szCs w:val="36"/>
        </w:rPr>
        <w:t>采 购 人：</w:t>
      </w:r>
      <w:r>
        <w:rPr>
          <w:rFonts w:hint="eastAsia"/>
          <w:bCs/>
          <w:sz w:val="36"/>
          <w:szCs w:val="36"/>
          <w:lang w:eastAsia="zh-CN"/>
        </w:rPr>
        <w:t>北京市大兴区城市管理委员会</w:t>
      </w:r>
    </w:p>
    <w:p w14:paraId="5846B4BA">
      <w:pPr>
        <w:tabs>
          <w:tab w:val="left" w:pos="3240"/>
          <w:tab w:val="left" w:pos="3420"/>
        </w:tabs>
        <w:spacing w:line="360" w:lineRule="auto"/>
        <w:ind w:left="2832" w:leftChars="444" w:hanging="1900" w:hangingChars="528"/>
        <w:jc w:val="left"/>
        <w:rPr>
          <w:bCs/>
          <w:sz w:val="36"/>
          <w:szCs w:val="36"/>
        </w:rPr>
      </w:pPr>
      <w:r>
        <w:rPr>
          <w:bCs/>
          <w:sz w:val="36"/>
          <w:szCs w:val="36"/>
        </w:rPr>
        <w:t>采购代理机构：</w:t>
      </w:r>
      <w:r>
        <w:rPr>
          <w:rFonts w:hint="eastAsia"/>
          <w:bCs/>
          <w:sz w:val="36"/>
          <w:szCs w:val="36"/>
        </w:rPr>
        <w:t>北京捷迅通力工程咨询有限公司</w:t>
      </w:r>
    </w:p>
    <w:p w14:paraId="3AC6B5F8">
      <w:pPr>
        <w:tabs>
          <w:tab w:val="left" w:pos="3240"/>
          <w:tab w:val="left" w:pos="3420"/>
        </w:tabs>
        <w:spacing w:line="360" w:lineRule="auto"/>
        <w:ind w:left="2832" w:leftChars="444" w:hanging="1900" w:hangingChars="528"/>
        <w:jc w:val="left"/>
        <w:rPr>
          <w:rFonts w:hint="eastAsia"/>
          <w:bCs/>
          <w:sz w:val="36"/>
          <w:szCs w:val="36"/>
        </w:rPr>
      </w:pPr>
      <w:r>
        <w:rPr>
          <w:rFonts w:hint="eastAsia"/>
          <w:bCs/>
          <w:sz w:val="36"/>
          <w:szCs w:val="36"/>
        </w:rPr>
        <w:t>日 期：202</w:t>
      </w:r>
      <w:r>
        <w:rPr>
          <w:rFonts w:hint="eastAsia"/>
          <w:bCs/>
          <w:sz w:val="36"/>
          <w:szCs w:val="36"/>
          <w:lang w:val="en-US" w:eastAsia="zh-CN"/>
        </w:rPr>
        <w:t>5</w:t>
      </w:r>
      <w:r>
        <w:rPr>
          <w:rFonts w:hint="eastAsia"/>
          <w:bCs/>
          <w:sz w:val="36"/>
          <w:szCs w:val="36"/>
        </w:rPr>
        <w:t>年</w:t>
      </w:r>
      <w:r>
        <w:rPr>
          <w:rFonts w:hint="eastAsia"/>
          <w:bCs/>
          <w:sz w:val="36"/>
          <w:szCs w:val="36"/>
          <w:highlight w:val="none"/>
          <w:lang w:val="en-US" w:eastAsia="zh-CN"/>
        </w:rPr>
        <w:t>5</w:t>
      </w:r>
      <w:r>
        <w:rPr>
          <w:rFonts w:hint="eastAsia"/>
          <w:bCs/>
          <w:sz w:val="36"/>
          <w:szCs w:val="36"/>
          <w:highlight w:val="none"/>
        </w:rPr>
        <w:t>月</w:t>
      </w:r>
      <w:r>
        <w:rPr>
          <w:rFonts w:hint="eastAsia"/>
          <w:bCs/>
          <w:sz w:val="36"/>
          <w:szCs w:val="36"/>
          <w:highlight w:val="none"/>
          <w:lang w:val="en-US" w:eastAsia="zh-CN"/>
        </w:rPr>
        <w:t>26</w:t>
      </w:r>
      <w:r>
        <w:rPr>
          <w:rFonts w:hint="eastAsia"/>
          <w:bCs/>
          <w:sz w:val="36"/>
          <w:szCs w:val="36"/>
          <w:highlight w:val="none"/>
        </w:rPr>
        <w:t>日</w:t>
      </w:r>
    </w:p>
    <w:p w14:paraId="58F414FB">
      <w:pPr>
        <w:widowControl/>
        <w:jc w:val="center"/>
        <w:rPr>
          <w:b/>
          <w:sz w:val="36"/>
          <w:szCs w:val="36"/>
        </w:rPr>
      </w:pPr>
      <w:r>
        <w:rPr>
          <w:b/>
          <w:bCs/>
          <w:sz w:val="44"/>
        </w:rPr>
        <w:br w:type="page"/>
      </w:r>
      <w:bookmarkStart w:id="0" w:name="_Toc99301418"/>
      <w:r>
        <w:rPr>
          <w:b/>
          <w:sz w:val="36"/>
          <w:szCs w:val="36"/>
        </w:rPr>
        <w:t>目      录</w:t>
      </w:r>
      <w:bookmarkEnd w:id="0"/>
    </w:p>
    <w:p w14:paraId="2F7CF4D9"/>
    <w:p w14:paraId="1D2C2187"/>
    <w:p w14:paraId="7220310E"/>
    <w:p w14:paraId="46BE648C">
      <w:pPr>
        <w:pStyle w:val="30"/>
        <w:tabs>
          <w:tab w:val="right" w:leader="dot" w:pos="9072"/>
          <w:tab w:val="clear" w:pos="1050"/>
          <w:tab w:val="clear" w:pos="8937"/>
        </w:tabs>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Times New Roman" w:hAnsi="Times New Roman"/>
        </w:rPr>
        <w:fldChar w:fldCharType="begin"/>
      </w:r>
      <w:r>
        <w:rPr>
          <w:rFonts w:ascii="Times New Roman" w:hAnsi="Times New Roman"/>
        </w:rPr>
        <w:instrText xml:space="preserve"> HYPERLINK \l _Toc9114 </w:instrText>
      </w:r>
      <w:r>
        <w:rPr>
          <w:rFonts w:ascii="Times New Roman" w:hAnsi="Times New Roman"/>
        </w:rPr>
        <w:fldChar w:fldCharType="separate"/>
      </w:r>
      <w:r>
        <w:rPr>
          <w:szCs w:val="36"/>
        </w:rPr>
        <w:t>第一章   投标邀请</w:t>
      </w:r>
      <w:r>
        <w:tab/>
      </w:r>
      <w:r>
        <w:fldChar w:fldCharType="begin"/>
      </w:r>
      <w:r>
        <w:instrText xml:space="preserve"> PAGEREF _Toc9114 \h </w:instrText>
      </w:r>
      <w:r>
        <w:fldChar w:fldCharType="separate"/>
      </w:r>
      <w:r>
        <w:t>2</w:t>
      </w:r>
      <w:r>
        <w:fldChar w:fldCharType="end"/>
      </w:r>
      <w:r>
        <w:rPr>
          <w:rFonts w:ascii="Times New Roman" w:hAnsi="Times New Roman"/>
        </w:rPr>
        <w:fldChar w:fldCharType="end"/>
      </w:r>
    </w:p>
    <w:p w14:paraId="462A5850">
      <w:pPr>
        <w:pStyle w:val="30"/>
        <w:tabs>
          <w:tab w:val="right" w:leader="dot" w:pos="9072"/>
          <w:tab w:val="clear" w:pos="1050"/>
          <w:tab w:val="clear" w:pos="8937"/>
        </w:tabs>
      </w:pPr>
      <w:r>
        <w:rPr>
          <w:rFonts w:ascii="Times New Roman" w:hAnsi="Times New Roman"/>
        </w:rPr>
        <w:fldChar w:fldCharType="begin"/>
      </w:r>
      <w:r>
        <w:rPr>
          <w:rFonts w:ascii="Times New Roman" w:hAnsi="Times New Roman"/>
        </w:rPr>
        <w:instrText xml:space="preserve"> HYPERLINK \l _Toc18988 </w:instrText>
      </w:r>
      <w:r>
        <w:rPr>
          <w:rFonts w:ascii="Times New Roman" w:hAnsi="Times New Roman"/>
        </w:rPr>
        <w:fldChar w:fldCharType="separate"/>
      </w:r>
      <w:r>
        <w:rPr>
          <w:szCs w:val="36"/>
        </w:rPr>
        <w:t>第二章   投标人须知</w:t>
      </w:r>
      <w:r>
        <w:tab/>
      </w:r>
      <w:r>
        <w:fldChar w:fldCharType="begin"/>
      </w:r>
      <w:r>
        <w:instrText xml:space="preserve"> PAGEREF _Toc18988 \h </w:instrText>
      </w:r>
      <w:r>
        <w:fldChar w:fldCharType="separate"/>
      </w:r>
      <w:r>
        <w:t>6</w:t>
      </w:r>
      <w:r>
        <w:fldChar w:fldCharType="end"/>
      </w:r>
      <w:r>
        <w:rPr>
          <w:rFonts w:ascii="Times New Roman" w:hAnsi="Times New Roman"/>
        </w:rPr>
        <w:fldChar w:fldCharType="end"/>
      </w:r>
    </w:p>
    <w:p w14:paraId="6CD1DAEA">
      <w:pPr>
        <w:pStyle w:val="30"/>
        <w:tabs>
          <w:tab w:val="right" w:leader="dot" w:pos="9072"/>
          <w:tab w:val="clear" w:pos="1050"/>
          <w:tab w:val="clear" w:pos="8937"/>
        </w:tabs>
      </w:pPr>
      <w:r>
        <w:rPr>
          <w:rFonts w:ascii="Times New Roman" w:hAnsi="Times New Roman"/>
        </w:rPr>
        <w:fldChar w:fldCharType="begin"/>
      </w:r>
      <w:r>
        <w:rPr>
          <w:rFonts w:ascii="Times New Roman" w:hAnsi="Times New Roman"/>
        </w:rPr>
        <w:instrText xml:space="preserve"> HYPERLINK \l _Toc26410 </w:instrText>
      </w:r>
      <w:r>
        <w:rPr>
          <w:rFonts w:ascii="Times New Roman" w:hAnsi="Times New Roman"/>
        </w:rPr>
        <w:fldChar w:fldCharType="separate"/>
      </w:r>
      <w:r>
        <w:rPr>
          <w:szCs w:val="36"/>
        </w:rPr>
        <w:t>第三章   资格审查</w:t>
      </w:r>
      <w:r>
        <w:tab/>
      </w:r>
      <w:r>
        <w:fldChar w:fldCharType="begin"/>
      </w:r>
      <w:r>
        <w:instrText xml:space="preserve"> PAGEREF _Toc26410 \h </w:instrText>
      </w:r>
      <w:r>
        <w:fldChar w:fldCharType="separate"/>
      </w:r>
      <w:r>
        <w:t>21</w:t>
      </w:r>
      <w:r>
        <w:fldChar w:fldCharType="end"/>
      </w:r>
      <w:r>
        <w:rPr>
          <w:rFonts w:ascii="Times New Roman" w:hAnsi="Times New Roman"/>
        </w:rPr>
        <w:fldChar w:fldCharType="end"/>
      </w:r>
    </w:p>
    <w:p w14:paraId="6B720727">
      <w:pPr>
        <w:pStyle w:val="30"/>
        <w:tabs>
          <w:tab w:val="right" w:leader="dot" w:pos="9072"/>
          <w:tab w:val="clear" w:pos="1050"/>
          <w:tab w:val="clear" w:pos="8937"/>
        </w:tabs>
      </w:pPr>
      <w:r>
        <w:rPr>
          <w:rFonts w:ascii="Times New Roman" w:hAnsi="Times New Roman"/>
        </w:rPr>
        <w:fldChar w:fldCharType="begin"/>
      </w:r>
      <w:r>
        <w:rPr>
          <w:rFonts w:ascii="Times New Roman" w:hAnsi="Times New Roman"/>
        </w:rPr>
        <w:instrText xml:space="preserve"> HYPERLINK \l _Toc29185 </w:instrText>
      </w:r>
      <w:r>
        <w:rPr>
          <w:rFonts w:ascii="Times New Roman" w:hAnsi="Times New Roman"/>
        </w:rPr>
        <w:fldChar w:fldCharType="separate"/>
      </w:r>
      <w:r>
        <w:rPr>
          <w:szCs w:val="36"/>
        </w:rPr>
        <w:t>第四章   评标程序、评标方法和评标标准</w:t>
      </w:r>
      <w:r>
        <w:tab/>
      </w:r>
      <w:r>
        <w:fldChar w:fldCharType="begin"/>
      </w:r>
      <w:r>
        <w:instrText xml:space="preserve"> PAGEREF _Toc29185 \h </w:instrText>
      </w:r>
      <w:r>
        <w:fldChar w:fldCharType="separate"/>
      </w:r>
      <w:r>
        <w:t>25</w:t>
      </w:r>
      <w:r>
        <w:fldChar w:fldCharType="end"/>
      </w:r>
      <w:r>
        <w:rPr>
          <w:rFonts w:ascii="Times New Roman" w:hAnsi="Times New Roman"/>
        </w:rPr>
        <w:fldChar w:fldCharType="end"/>
      </w:r>
    </w:p>
    <w:p w14:paraId="4621D112">
      <w:pPr>
        <w:pStyle w:val="30"/>
        <w:tabs>
          <w:tab w:val="right" w:leader="dot" w:pos="9072"/>
          <w:tab w:val="clear" w:pos="1050"/>
          <w:tab w:val="clear" w:pos="8937"/>
        </w:tabs>
      </w:pPr>
      <w:r>
        <w:rPr>
          <w:rFonts w:ascii="Times New Roman" w:hAnsi="Times New Roman"/>
        </w:rPr>
        <w:fldChar w:fldCharType="begin"/>
      </w:r>
      <w:r>
        <w:rPr>
          <w:rFonts w:ascii="Times New Roman" w:hAnsi="Times New Roman"/>
        </w:rPr>
        <w:instrText xml:space="preserve"> HYPERLINK \l _Toc12339 </w:instrText>
      </w:r>
      <w:r>
        <w:rPr>
          <w:rFonts w:ascii="Times New Roman" w:hAnsi="Times New Roman"/>
        </w:rPr>
        <w:fldChar w:fldCharType="separate"/>
      </w:r>
      <w:r>
        <w:rPr>
          <w:szCs w:val="36"/>
        </w:rPr>
        <w:t>第五章   采购需求</w:t>
      </w:r>
      <w:r>
        <w:tab/>
      </w:r>
      <w:r>
        <w:fldChar w:fldCharType="begin"/>
      </w:r>
      <w:r>
        <w:instrText xml:space="preserve"> PAGEREF _Toc12339 \h </w:instrText>
      </w:r>
      <w:r>
        <w:fldChar w:fldCharType="separate"/>
      </w:r>
      <w:r>
        <w:t>33</w:t>
      </w:r>
      <w:r>
        <w:fldChar w:fldCharType="end"/>
      </w:r>
      <w:r>
        <w:rPr>
          <w:rFonts w:ascii="Times New Roman" w:hAnsi="Times New Roman"/>
        </w:rPr>
        <w:fldChar w:fldCharType="end"/>
      </w:r>
    </w:p>
    <w:p w14:paraId="7968C547">
      <w:pPr>
        <w:pStyle w:val="30"/>
        <w:tabs>
          <w:tab w:val="right" w:leader="dot" w:pos="9072"/>
          <w:tab w:val="clear" w:pos="1050"/>
          <w:tab w:val="clear" w:pos="8937"/>
        </w:tabs>
      </w:pPr>
      <w:r>
        <w:rPr>
          <w:rFonts w:ascii="Times New Roman" w:hAnsi="Times New Roman"/>
        </w:rPr>
        <w:fldChar w:fldCharType="begin"/>
      </w:r>
      <w:r>
        <w:rPr>
          <w:rFonts w:ascii="Times New Roman" w:hAnsi="Times New Roman"/>
        </w:rPr>
        <w:instrText xml:space="preserve"> HYPERLINK \l _Toc3306 </w:instrText>
      </w:r>
      <w:r>
        <w:rPr>
          <w:rFonts w:ascii="Times New Roman" w:hAnsi="Times New Roman"/>
        </w:rPr>
        <w:fldChar w:fldCharType="separate"/>
      </w:r>
      <w:r>
        <w:rPr>
          <w:szCs w:val="36"/>
        </w:rPr>
        <w:t>第六章   拟签订的合同文本</w:t>
      </w:r>
      <w:r>
        <w:tab/>
      </w:r>
      <w:r>
        <w:fldChar w:fldCharType="begin"/>
      </w:r>
      <w:r>
        <w:instrText xml:space="preserve"> PAGEREF _Toc3306 \h </w:instrText>
      </w:r>
      <w:r>
        <w:fldChar w:fldCharType="separate"/>
      </w:r>
      <w:r>
        <w:t>52</w:t>
      </w:r>
      <w:r>
        <w:fldChar w:fldCharType="end"/>
      </w:r>
      <w:r>
        <w:rPr>
          <w:rFonts w:ascii="Times New Roman" w:hAnsi="Times New Roman"/>
        </w:rPr>
        <w:fldChar w:fldCharType="end"/>
      </w:r>
    </w:p>
    <w:p w14:paraId="7236A59D">
      <w:pPr>
        <w:pStyle w:val="30"/>
        <w:tabs>
          <w:tab w:val="right" w:leader="dot" w:pos="9072"/>
          <w:tab w:val="clear" w:pos="1050"/>
          <w:tab w:val="clear" w:pos="8937"/>
        </w:tabs>
      </w:pPr>
      <w:r>
        <w:rPr>
          <w:rFonts w:ascii="Times New Roman" w:hAnsi="Times New Roman"/>
        </w:rPr>
        <w:fldChar w:fldCharType="begin"/>
      </w:r>
      <w:r>
        <w:rPr>
          <w:rFonts w:ascii="Times New Roman" w:hAnsi="Times New Roman"/>
        </w:rPr>
        <w:instrText xml:space="preserve"> HYPERLINK \l _Toc22156 </w:instrText>
      </w:r>
      <w:r>
        <w:rPr>
          <w:rFonts w:ascii="Times New Roman" w:hAnsi="Times New Roman"/>
        </w:rPr>
        <w:fldChar w:fldCharType="separate"/>
      </w:r>
      <w:r>
        <w:rPr>
          <w:szCs w:val="36"/>
        </w:rPr>
        <w:t>第七章   投标文件格式</w:t>
      </w:r>
      <w:r>
        <w:tab/>
      </w:r>
      <w:r>
        <w:fldChar w:fldCharType="begin"/>
      </w:r>
      <w:r>
        <w:instrText xml:space="preserve"> PAGEREF _Toc22156 \h </w:instrText>
      </w:r>
      <w:r>
        <w:fldChar w:fldCharType="separate"/>
      </w:r>
      <w:r>
        <w:t>64</w:t>
      </w:r>
      <w:r>
        <w:fldChar w:fldCharType="end"/>
      </w:r>
      <w:r>
        <w:rPr>
          <w:rFonts w:ascii="Times New Roman" w:hAnsi="Times New Roman"/>
        </w:rPr>
        <w:fldChar w:fldCharType="end"/>
      </w:r>
    </w:p>
    <w:p w14:paraId="242BCF73">
      <w:pPr>
        <w:pStyle w:val="30"/>
        <w:spacing w:line="480" w:lineRule="auto"/>
        <w:rPr>
          <w:rFonts w:ascii="Times New Roman" w:hAnsi="Times New Roman"/>
          <w:b w:val="0"/>
        </w:rPr>
      </w:pPr>
      <w:r>
        <w:rPr>
          <w:rFonts w:ascii="Times New Roman" w:hAnsi="Times New Roman"/>
        </w:rPr>
        <w:fldChar w:fldCharType="end"/>
      </w:r>
    </w:p>
    <w:p w14:paraId="75D750D5"/>
    <w:p w14:paraId="05626ED0">
      <w:pPr>
        <w:spacing w:line="360" w:lineRule="auto"/>
        <w:rPr>
          <w:sz w:val="24"/>
        </w:rPr>
      </w:pPr>
      <w:r>
        <w:rPr>
          <w:rFonts w:hint="eastAsia"/>
          <w:sz w:val="24"/>
        </w:rPr>
        <w:t>注：采购文件条款中以</w:t>
      </w:r>
      <w:r>
        <w:rPr>
          <w:sz w:val="24"/>
        </w:rPr>
        <w:t xml:space="preserve"> “■”</w:t>
      </w:r>
      <w:r>
        <w:rPr>
          <w:rFonts w:hint="eastAsia"/>
          <w:sz w:val="24"/>
        </w:rPr>
        <w:t>形式标记的内容适用于本项目，以</w:t>
      </w:r>
      <w:r>
        <w:rPr>
          <w:sz w:val="24"/>
        </w:rPr>
        <w:t>“□”</w:t>
      </w:r>
      <w:r>
        <w:rPr>
          <w:rFonts w:hint="eastAsia"/>
          <w:sz w:val="24"/>
        </w:rPr>
        <w:t>形式标记的内容不适用于本项目。</w:t>
      </w:r>
    </w:p>
    <w:p w14:paraId="5B10270B">
      <w:pPr>
        <w:pStyle w:val="30"/>
        <w:spacing w:line="360" w:lineRule="auto"/>
        <w:rPr>
          <w:rFonts w:ascii="Times New Roman" w:hAnsi="Times New Roman"/>
          <w:b w:val="0"/>
        </w:rPr>
      </w:pPr>
    </w:p>
    <w:p w14:paraId="3FD4F2DB">
      <w:pPr>
        <w:spacing w:line="360" w:lineRule="auto"/>
        <w:jc w:val="center"/>
        <w:outlineLvl w:val="0"/>
        <w:rPr>
          <w:b/>
          <w:sz w:val="36"/>
          <w:szCs w:val="36"/>
        </w:rPr>
      </w:pPr>
      <w:bookmarkStart w:id="949" w:name="_GoBack"/>
      <w:bookmarkEnd w:id="949"/>
      <w:r>
        <w:rPr>
          <w:sz w:val="24"/>
        </w:rPr>
        <w:br w:type="page"/>
      </w:r>
      <w:bookmarkStart w:id="1" w:name="_Toc9114"/>
      <w:r>
        <w:rPr>
          <w:b/>
          <w:sz w:val="36"/>
          <w:szCs w:val="36"/>
        </w:rPr>
        <w:t>第一章   投标邀请</w:t>
      </w:r>
      <w:bookmarkEnd w:id="1"/>
    </w:p>
    <w:p w14:paraId="261BA61A">
      <w:pPr>
        <w:spacing w:line="360" w:lineRule="auto"/>
        <w:ind w:firstLine="640" w:firstLineChars="200"/>
        <w:rPr>
          <w:sz w:val="32"/>
          <w:szCs w:val="32"/>
        </w:rPr>
      </w:pPr>
    </w:p>
    <w:p w14:paraId="5671DB8A">
      <w:pPr>
        <w:pStyle w:val="3"/>
        <w:spacing w:before="0" w:line="360" w:lineRule="auto"/>
        <w:jc w:val="left"/>
        <w:rPr>
          <w:rFonts w:ascii="Times New Roman" w:hAnsi="Times New Roman" w:eastAsia="宋体"/>
          <w:sz w:val="24"/>
          <w:szCs w:val="24"/>
        </w:rPr>
      </w:pPr>
      <w:bookmarkStart w:id="2" w:name="_Toc35393790"/>
      <w:bookmarkStart w:id="3" w:name="_Toc28359079"/>
      <w:bookmarkStart w:id="4" w:name="_Toc28359002"/>
      <w:bookmarkStart w:id="5" w:name="_Toc35393621"/>
      <w:bookmarkStart w:id="6" w:name="_Hlk24379207"/>
      <w:r>
        <w:rPr>
          <w:rFonts w:ascii="Times New Roman" w:hAnsi="Times New Roman" w:eastAsia="宋体"/>
          <w:sz w:val="24"/>
          <w:szCs w:val="24"/>
        </w:rPr>
        <w:t>一、项目基本情况</w:t>
      </w:r>
      <w:bookmarkEnd w:id="2"/>
      <w:bookmarkEnd w:id="3"/>
      <w:bookmarkEnd w:id="4"/>
      <w:bookmarkEnd w:id="5"/>
    </w:p>
    <w:p w14:paraId="43319D2D">
      <w:pPr>
        <w:spacing w:line="360" w:lineRule="auto"/>
        <w:ind w:firstLine="480" w:firstLineChars="200"/>
        <w:rPr>
          <w:rFonts w:hint="eastAsia" w:eastAsia="宋体"/>
          <w:sz w:val="24"/>
          <w:highlight w:val="none"/>
          <w:lang w:eastAsia="zh-CN"/>
        </w:rPr>
      </w:pPr>
      <w:r>
        <w:rPr>
          <w:sz w:val="24"/>
          <w:highlight w:val="none"/>
        </w:rPr>
        <w:t>1.项目编号：</w:t>
      </w:r>
      <w:r>
        <w:rPr>
          <w:sz w:val="24"/>
          <w:highlight w:val="none"/>
        </w:rPr>
        <w:fldChar w:fldCharType="begin"/>
      </w:r>
      <w:r>
        <w:rPr>
          <w:sz w:val="24"/>
          <w:highlight w:val="none"/>
        </w:rPr>
        <w:instrText xml:space="preserve"> HYPERLINK "http://219.232.204.193:8080/frontend/plan/project_detail.html?projectUuid=7219486d-c6ec-41a8-ab66-c7992e5363ad" </w:instrText>
      </w:r>
      <w:r>
        <w:rPr>
          <w:sz w:val="24"/>
          <w:highlight w:val="none"/>
        </w:rPr>
        <w:fldChar w:fldCharType="separate"/>
      </w:r>
      <w:r>
        <w:rPr>
          <w:rFonts w:hint="default"/>
          <w:sz w:val="24"/>
          <w:highlight w:val="none"/>
        </w:rPr>
        <w:t>11011525210200027148-XM001</w:t>
      </w:r>
      <w:r>
        <w:rPr>
          <w:rFonts w:hint="default"/>
          <w:sz w:val="24"/>
          <w:highlight w:val="none"/>
        </w:rPr>
        <w:fldChar w:fldCharType="end"/>
      </w:r>
      <w:r>
        <w:rPr>
          <w:rFonts w:hint="eastAsia"/>
          <w:sz w:val="24"/>
          <w:highlight w:val="none"/>
          <w:lang w:val="en-US" w:eastAsia="zh-CN"/>
        </w:rPr>
        <w:t xml:space="preserve"> </w:t>
      </w:r>
    </w:p>
    <w:p w14:paraId="0F15C0D4">
      <w:pPr>
        <w:spacing w:line="360" w:lineRule="auto"/>
        <w:ind w:firstLine="480" w:firstLineChars="200"/>
        <w:rPr>
          <w:rFonts w:hint="eastAsia" w:eastAsia="宋体"/>
          <w:sz w:val="24"/>
          <w:lang w:eastAsia="zh-CN"/>
        </w:rPr>
      </w:pPr>
      <w:r>
        <w:rPr>
          <w:sz w:val="24"/>
        </w:rPr>
        <w:t>2.项目名称：</w:t>
      </w:r>
      <w:r>
        <w:rPr>
          <w:rFonts w:hint="eastAsia"/>
          <w:sz w:val="24"/>
          <w:lang w:eastAsia="zh-CN"/>
        </w:rPr>
        <w:t>大兴区720积水点治理工程新城地区防汛应急指挥系统运维保障服务项目</w:t>
      </w:r>
    </w:p>
    <w:bookmarkEnd w:id="6"/>
    <w:p w14:paraId="794A49A6">
      <w:pPr>
        <w:spacing w:line="360" w:lineRule="auto"/>
        <w:ind w:firstLine="480" w:firstLineChars="200"/>
        <w:rPr>
          <w:sz w:val="24"/>
        </w:rPr>
      </w:pPr>
      <w:r>
        <w:rPr>
          <w:sz w:val="24"/>
        </w:rPr>
        <w:t>3.项目预算金额：149.978万元、项目最高限价（如有）：149.978万元</w:t>
      </w:r>
    </w:p>
    <w:p w14:paraId="3B7E07E5">
      <w:pPr>
        <w:spacing w:line="360" w:lineRule="auto"/>
        <w:ind w:firstLine="480" w:firstLineChars="200"/>
        <w:rPr>
          <w:sz w:val="24"/>
        </w:rPr>
      </w:pPr>
      <w:r>
        <w:rPr>
          <w:sz w:val="24"/>
        </w:rPr>
        <w:t>4.采购需求：</w:t>
      </w:r>
    </w:p>
    <w:tbl>
      <w:tblPr>
        <w:tblStyle w:val="42"/>
        <w:tblW w:w="45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1789"/>
        <w:gridCol w:w="1139"/>
        <w:gridCol w:w="3281"/>
      </w:tblGrid>
      <w:tr w14:paraId="588A6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62" w:type="pct"/>
            <w:noWrap w:val="0"/>
            <w:vAlign w:val="center"/>
          </w:tcPr>
          <w:p w14:paraId="463D9BD3">
            <w:pPr>
              <w:jc w:val="center"/>
              <w:rPr>
                <w:bCs/>
                <w:sz w:val="24"/>
              </w:rPr>
            </w:pPr>
            <w:r>
              <w:rPr>
                <w:bCs/>
                <w:sz w:val="24"/>
              </w:rPr>
              <w:t>标的名称</w:t>
            </w:r>
          </w:p>
        </w:tc>
        <w:tc>
          <w:tcPr>
            <w:tcW w:w="1048" w:type="pct"/>
            <w:noWrap w:val="0"/>
            <w:vAlign w:val="center"/>
          </w:tcPr>
          <w:p w14:paraId="28D15A26">
            <w:pPr>
              <w:jc w:val="center"/>
              <w:rPr>
                <w:bCs/>
                <w:sz w:val="24"/>
              </w:rPr>
            </w:pPr>
            <w:r>
              <w:rPr>
                <w:bCs/>
                <w:sz w:val="24"/>
              </w:rPr>
              <w:t>采购包</w:t>
            </w:r>
          </w:p>
          <w:p w14:paraId="1C5EF4E4">
            <w:pPr>
              <w:jc w:val="center"/>
              <w:rPr>
                <w:bCs/>
                <w:sz w:val="24"/>
              </w:rPr>
            </w:pPr>
            <w:r>
              <w:rPr>
                <w:bCs/>
                <w:sz w:val="24"/>
              </w:rPr>
              <w:t>预算金额</w:t>
            </w:r>
          </w:p>
          <w:p w14:paraId="40879AFD">
            <w:pPr>
              <w:jc w:val="center"/>
              <w:rPr>
                <w:bCs/>
                <w:sz w:val="24"/>
              </w:rPr>
            </w:pPr>
            <w:r>
              <w:rPr>
                <w:bCs/>
                <w:sz w:val="24"/>
              </w:rPr>
              <w:t>（万元）</w:t>
            </w:r>
          </w:p>
        </w:tc>
        <w:tc>
          <w:tcPr>
            <w:tcW w:w="667" w:type="pct"/>
            <w:noWrap w:val="0"/>
            <w:vAlign w:val="center"/>
          </w:tcPr>
          <w:p w14:paraId="205C211A">
            <w:pPr>
              <w:jc w:val="center"/>
              <w:rPr>
                <w:bCs/>
                <w:sz w:val="24"/>
              </w:rPr>
            </w:pPr>
            <w:r>
              <w:rPr>
                <w:bCs/>
                <w:sz w:val="24"/>
              </w:rPr>
              <w:t>数量</w:t>
            </w:r>
          </w:p>
        </w:tc>
        <w:tc>
          <w:tcPr>
            <w:tcW w:w="1922" w:type="pct"/>
            <w:noWrap w:val="0"/>
            <w:vAlign w:val="center"/>
          </w:tcPr>
          <w:p w14:paraId="19A17D90">
            <w:pPr>
              <w:jc w:val="center"/>
              <w:rPr>
                <w:sz w:val="24"/>
              </w:rPr>
            </w:pPr>
            <w:r>
              <w:rPr>
                <w:sz w:val="24"/>
              </w:rPr>
              <w:t>简要技术需求或服务要求</w:t>
            </w:r>
          </w:p>
        </w:tc>
      </w:tr>
      <w:tr w14:paraId="2042A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62" w:type="pct"/>
            <w:noWrap w:val="0"/>
            <w:vAlign w:val="center"/>
          </w:tcPr>
          <w:p w14:paraId="544B635E">
            <w:pPr>
              <w:jc w:val="center"/>
              <w:rPr>
                <w:bCs/>
                <w:sz w:val="24"/>
              </w:rPr>
            </w:pPr>
            <w:r>
              <w:rPr>
                <w:rFonts w:hint="eastAsia"/>
                <w:bCs/>
                <w:sz w:val="24"/>
                <w:lang w:eastAsia="zh-CN"/>
              </w:rPr>
              <w:t>大兴区720积水点治理工程新城地区防汛应急指挥系统运维保障服务项目</w:t>
            </w:r>
          </w:p>
        </w:tc>
        <w:tc>
          <w:tcPr>
            <w:tcW w:w="1048" w:type="pct"/>
            <w:noWrap w:val="0"/>
            <w:vAlign w:val="center"/>
          </w:tcPr>
          <w:p w14:paraId="781CDE21">
            <w:pPr>
              <w:jc w:val="center"/>
              <w:rPr>
                <w:rFonts w:hint="default" w:eastAsia="宋体"/>
                <w:bCs/>
                <w:sz w:val="24"/>
                <w:lang w:val="en-US" w:eastAsia="zh-CN"/>
              </w:rPr>
            </w:pPr>
            <w:r>
              <w:rPr>
                <w:rFonts w:hint="default" w:eastAsia="宋体"/>
                <w:bCs/>
                <w:sz w:val="24"/>
                <w:lang w:val="en-US" w:eastAsia="zh-CN"/>
              </w:rPr>
              <w:t>149.978</w:t>
            </w:r>
          </w:p>
        </w:tc>
        <w:tc>
          <w:tcPr>
            <w:tcW w:w="667" w:type="pct"/>
            <w:noWrap w:val="0"/>
            <w:vAlign w:val="center"/>
          </w:tcPr>
          <w:p w14:paraId="6D351DD8">
            <w:pPr>
              <w:jc w:val="center"/>
              <w:rPr>
                <w:bCs/>
                <w:sz w:val="24"/>
              </w:rPr>
            </w:pPr>
            <w:r>
              <w:rPr>
                <w:rFonts w:hint="eastAsia"/>
                <w:bCs/>
                <w:sz w:val="24"/>
              </w:rPr>
              <w:t>1项</w:t>
            </w:r>
          </w:p>
        </w:tc>
        <w:tc>
          <w:tcPr>
            <w:tcW w:w="1922" w:type="pct"/>
            <w:noWrap w:val="0"/>
            <w:vAlign w:val="center"/>
          </w:tcPr>
          <w:p w14:paraId="30F678AB">
            <w:pPr>
              <w:jc w:val="center"/>
              <w:rPr>
                <w:kern w:val="0"/>
                <w:sz w:val="24"/>
              </w:rPr>
            </w:pPr>
            <w:r>
              <w:rPr>
                <w:kern w:val="0"/>
                <w:sz w:val="24"/>
              </w:rPr>
              <w:t>本项目采购</w:t>
            </w:r>
            <w:r>
              <w:rPr>
                <w:rFonts w:hint="eastAsia"/>
                <w:bCs/>
                <w:sz w:val="24"/>
                <w:lang w:eastAsia="zh-CN"/>
              </w:rPr>
              <w:t>大兴区720积水点治理工程新城地区防汛应急指挥系统运维保障服务</w:t>
            </w:r>
            <w:r>
              <w:rPr>
                <w:rFonts w:hint="eastAsia" w:hAnsi="宋体"/>
                <w:sz w:val="24"/>
                <w:szCs w:val="24"/>
                <w:lang w:val="en-US" w:eastAsia="zh-CN"/>
              </w:rPr>
              <w:t>。</w:t>
            </w:r>
          </w:p>
        </w:tc>
      </w:tr>
    </w:tbl>
    <w:p w14:paraId="7D491775">
      <w:pPr>
        <w:spacing w:line="360" w:lineRule="auto"/>
        <w:ind w:firstLine="480" w:firstLineChars="200"/>
        <w:rPr>
          <w:sz w:val="24"/>
        </w:rPr>
      </w:pPr>
    </w:p>
    <w:p w14:paraId="28FE4B2F">
      <w:pPr>
        <w:spacing w:line="360" w:lineRule="auto"/>
        <w:ind w:firstLine="480" w:firstLineChars="200"/>
        <w:rPr>
          <w:sz w:val="24"/>
          <w:u w:val="single"/>
        </w:rPr>
      </w:pPr>
      <w:r>
        <w:rPr>
          <w:sz w:val="24"/>
        </w:rPr>
        <w:t>5.合同履行期限：</w:t>
      </w:r>
      <w:r>
        <w:rPr>
          <w:rFonts w:hint="eastAsia" w:hAnsi="宋体"/>
          <w:sz w:val="24"/>
          <w:szCs w:val="24"/>
        </w:rPr>
        <w:t>1年</w:t>
      </w:r>
      <w:r>
        <w:rPr>
          <w:rFonts w:hint="eastAsia"/>
          <w:sz w:val="24"/>
        </w:rPr>
        <w:t>。</w:t>
      </w:r>
    </w:p>
    <w:p w14:paraId="6C740478">
      <w:pPr>
        <w:spacing w:line="360" w:lineRule="auto"/>
        <w:ind w:firstLine="480" w:firstLineChars="200"/>
        <w:rPr>
          <w:sz w:val="24"/>
        </w:rPr>
      </w:pPr>
      <w:r>
        <w:rPr>
          <w:sz w:val="24"/>
        </w:rPr>
        <w:t xml:space="preserve">6.本项目是否接受联合体投标：□是  </w:t>
      </w:r>
      <w:r>
        <w:rPr>
          <w:b/>
          <w:sz w:val="24"/>
        </w:rPr>
        <w:t>■</w:t>
      </w:r>
      <w:r>
        <w:rPr>
          <w:sz w:val="24"/>
        </w:rPr>
        <w:t>否。</w:t>
      </w:r>
    </w:p>
    <w:p w14:paraId="50F1C0AD">
      <w:pPr>
        <w:spacing w:line="360" w:lineRule="auto"/>
        <w:ind w:firstLine="480" w:firstLineChars="200"/>
        <w:rPr>
          <w:sz w:val="24"/>
        </w:rPr>
      </w:pPr>
    </w:p>
    <w:p w14:paraId="6639D74F">
      <w:pPr>
        <w:pStyle w:val="3"/>
        <w:spacing w:before="0" w:line="360" w:lineRule="auto"/>
        <w:jc w:val="left"/>
        <w:rPr>
          <w:rFonts w:ascii="Times New Roman" w:hAnsi="Times New Roman" w:eastAsia="宋体"/>
          <w:sz w:val="24"/>
          <w:szCs w:val="24"/>
        </w:rPr>
      </w:pPr>
      <w:bookmarkStart w:id="7" w:name="_Toc35393622"/>
      <w:bookmarkStart w:id="8" w:name="_Toc28359003"/>
      <w:bookmarkStart w:id="9" w:name="_Toc35393791"/>
      <w:bookmarkStart w:id="10" w:name="_Toc28359080"/>
      <w:r>
        <w:rPr>
          <w:rFonts w:ascii="Times New Roman" w:hAnsi="Times New Roman" w:eastAsia="宋体"/>
          <w:sz w:val="24"/>
          <w:szCs w:val="24"/>
        </w:rPr>
        <w:t>二、申请人的资格要求（须同时满足）</w:t>
      </w:r>
      <w:bookmarkEnd w:id="7"/>
      <w:bookmarkEnd w:id="8"/>
      <w:bookmarkEnd w:id="9"/>
      <w:bookmarkEnd w:id="10"/>
    </w:p>
    <w:p w14:paraId="3CCD8327">
      <w:pPr>
        <w:spacing w:line="360" w:lineRule="auto"/>
        <w:ind w:firstLine="480" w:firstLineChars="200"/>
        <w:rPr>
          <w:sz w:val="24"/>
        </w:rPr>
      </w:pPr>
      <w:r>
        <w:rPr>
          <w:sz w:val="24"/>
        </w:rPr>
        <w:t>1.满足《中华人民共和国政府采购法》第二十二条规定；</w:t>
      </w:r>
    </w:p>
    <w:p w14:paraId="745BF7D4">
      <w:pPr>
        <w:spacing w:line="360" w:lineRule="auto"/>
        <w:ind w:firstLine="480" w:firstLineChars="200"/>
        <w:rPr>
          <w:sz w:val="24"/>
        </w:rPr>
      </w:pPr>
      <w:bookmarkStart w:id="11" w:name="_Toc28359081"/>
      <w:bookmarkStart w:id="12" w:name="_Toc28359004"/>
      <w:r>
        <w:rPr>
          <w:sz w:val="24"/>
        </w:rPr>
        <w:t>2.落实政府采购政策需满足的资格要求：</w:t>
      </w:r>
    </w:p>
    <w:p w14:paraId="7E70EDF4">
      <w:pPr>
        <w:spacing w:line="360" w:lineRule="auto"/>
        <w:ind w:firstLine="480" w:firstLineChars="200"/>
        <w:rPr>
          <w:sz w:val="24"/>
        </w:rPr>
      </w:pPr>
      <w:r>
        <w:rPr>
          <w:sz w:val="24"/>
          <w:highlight w:val="none"/>
        </w:rPr>
        <w:t>2.1 中小企业政策</w:t>
      </w:r>
    </w:p>
    <w:p w14:paraId="61FC2119">
      <w:pPr>
        <w:spacing w:line="360" w:lineRule="auto"/>
        <w:ind w:firstLine="480" w:firstLineChars="200"/>
        <w:rPr>
          <w:sz w:val="24"/>
        </w:rPr>
      </w:pPr>
      <w:r>
        <w:rPr>
          <w:sz w:val="24"/>
        </w:rPr>
        <w:t>□本项目不专门面向中小企业预留采购份额。</w:t>
      </w:r>
    </w:p>
    <w:p w14:paraId="2E85F19E">
      <w:pPr>
        <w:spacing w:line="360" w:lineRule="auto"/>
        <w:ind w:firstLine="482" w:firstLineChars="200"/>
        <w:rPr>
          <w:sz w:val="24"/>
        </w:rPr>
      </w:pPr>
      <w:r>
        <w:rPr>
          <w:b/>
          <w:sz w:val="24"/>
        </w:rPr>
        <w:t>■</w:t>
      </w:r>
      <w:r>
        <w:rPr>
          <w:sz w:val="24"/>
        </w:rPr>
        <w:t xml:space="preserve">本项目专门面向  □中小 </w:t>
      </w:r>
      <w:r>
        <w:rPr>
          <w:b/>
          <w:sz w:val="24"/>
        </w:rPr>
        <w:t>■</w:t>
      </w:r>
      <w:r>
        <w:rPr>
          <w:sz w:val="24"/>
        </w:rPr>
        <w:t>小微企业  采购。即：提供的服务全部由符合政策要求的小微企业承接。</w:t>
      </w:r>
    </w:p>
    <w:p w14:paraId="635761DC">
      <w:pPr>
        <w:spacing w:line="360" w:lineRule="auto"/>
        <w:ind w:firstLine="480" w:firstLineChars="200"/>
        <w:rPr>
          <w:sz w:val="24"/>
        </w:rPr>
      </w:pPr>
      <w:r>
        <w:rPr>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sz w:val="24"/>
          <w:u w:val="single"/>
        </w:rPr>
        <w:t xml:space="preserve"> </w:t>
      </w:r>
      <w:r>
        <w:rPr>
          <w:sz w:val="24"/>
          <w:u w:val="single"/>
        </w:rPr>
        <w:t xml:space="preserve"> </w:t>
      </w:r>
      <w:r>
        <w:rPr>
          <w:rFonts w:hint="eastAsia"/>
          <w:sz w:val="24"/>
          <w:u w:val="single"/>
        </w:rPr>
        <w:t>/</w:t>
      </w:r>
      <w:r>
        <w:rPr>
          <w:sz w:val="24"/>
          <w:u w:val="single"/>
        </w:rPr>
        <w:t xml:space="preserve">  </w:t>
      </w:r>
      <w:r>
        <w:rPr>
          <w:sz w:val="24"/>
        </w:rPr>
        <w:t>。</w:t>
      </w:r>
    </w:p>
    <w:p w14:paraId="6FF3B957">
      <w:pPr>
        <w:spacing w:line="360" w:lineRule="auto"/>
        <w:ind w:firstLine="480" w:firstLineChars="200"/>
        <w:rPr>
          <w:sz w:val="24"/>
        </w:rPr>
      </w:pPr>
      <w:r>
        <w:rPr>
          <w:sz w:val="24"/>
        </w:rPr>
        <w:t>2.2 其它落实政府采购政策的资格要求（如有）：</w:t>
      </w:r>
      <w:r>
        <w:rPr>
          <w:rFonts w:hint="eastAsia"/>
          <w:sz w:val="24"/>
          <w:u w:val="single"/>
        </w:rPr>
        <w:t xml:space="preserve"> </w:t>
      </w:r>
      <w:r>
        <w:rPr>
          <w:sz w:val="24"/>
          <w:u w:val="single"/>
        </w:rPr>
        <w:t xml:space="preserve">/ </w:t>
      </w:r>
      <w:r>
        <w:rPr>
          <w:sz w:val="24"/>
        </w:rPr>
        <w:t>。</w:t>
      </w:r>
    </w:p>
    <w:p w14:paraId="3579D692">
      <w:pPr>
        <w:spacing w:line="360" w:lineRule="auto"/>
        <w:ind w:firstLine="480" w:firstLineChars="200"/>
        <w:rPr>
          <w:i/>
          <w:iCs/>
          <w:sz w:val="24"/>
          <w:u w:val="single"/>
        </w:rPr>
      </w:pPr>
      <w:r>
        <w:rPr>
          <w:sz w:val="24"/>
        </w:rPr>
        <w:t>3.本项目的特定资格要求：</w:t>
      </w:r>
    </w:p>
    <w:p w14:paraId="28FDE5C8">
      <w:pPr>
        <w:tabs>
          <w:tab w:val="left" w:pos="900"/>
          <w:tab w:val="left" w:pos="1134"/>
          <w:tab w:val="left" w:pos="1589"/>
          <w:tab w:val="left" w:pos="5521"/>
        </w:tabs>
        <w:snapToGrid w:val="0"/>
        <w:spacing w:line="360" w:lineRule="auto"/>
        <w:ind w:firstLine="480" w:firstLineChars="200"/>
        <w:rPr>
          <w:sz w:val="24"/>
        </w:rPr>
      </w:pPr>
      <w:r>
        <w:rPr>
          <w:sz w:val="24"/>
        </w:rPr>
        <w:t>3.1本项目是否属于政府购买服务：</w:t>
      </w:r>
    </w:p>
    <w:p w14:paraId="241A3066">
      <w:pPr>
        <w:tabs>
          <w:tab w:val="left" w:pos="900"/>
          <w:tab w:val="left" w:pos="1134"/>
          <w:tab w:val="left" w:pos="1589"/>
          <w:tab w:val="left" w:pos="5521"/>
        </w:tabs>
        <w:snapToGrid w:val="0"/>
        <w:spacing w:line="360" w:lineRule="auto"/>
        <w:ind w:left="991" w:leftChars="472" w:firstLine="2"/>
        <w:rPr>
          <w:sz w:val="24"/>
        </w:rPr>
      </w:pPr>
      <w:r>
        <w:rPr>
          <w:b/>
          <w:sz w:val="24"/>
        </w:rPr>
        <w:t>■</w:t>
      </w:r>
      <w:r>
        <w:rPr>
          <w:sz w:val="24"/>
        </w:rPr>
        <w:t>否</w:t>
      </w:r>
    </w:p>
    <w:p w14:paraId="24DEEB78">
      <w:pPr>
        <w:tabs>
          <w:tab w:val="left" w:pos="900"/>
          <w:tab w:val="left" w:pos="1134"/>
          <w:tab w:val="left" w:pos="1589"/>
          <w:tab w:val="left" w:pos="5521"/>
        </w:tabs>
        <w:snapToGrid w:val="0"/>
        <w:spacing w:line="360" w:lineRule="auto"/>
        <w:ind w:left="991" w:leftChars="472" w:firstLine="2"/>
        <w:rPr>
          <w:sz w:val="24"/>
        </w:rPr>
      </w:pPr>
      <w:r>
        <w:rPr>
          <w:sz w:val="24"/>
        </w:rPr>
        <w:t>□是，公益一类事业单位、使用事业编制且由财政拨款保障的群团组织，不得作为承接主体；</w:t>
      </w:r>
    </w:p>
    <w:p w14:paraId="56FE5FB4">
      <w:pPr>
        <w:tabs>
          <w:tab w:val="left" w:pos="900"/>
          <w:tab w:val="left" w:pos="1134"/>
          <w:tab w:val="left" w:pos="1589"/>
          <w:tab w:val="left" w:pos="5521"/>
        </w:tabs>
        <w:snapToGrid w:val="0"/>
        <w:spacing w:line="360" w:lineRule="auto"/>
        <w:ind w:firstLine="480" w:firstLineChars="200"/>
        <w:rPr>
          <w:sz w:val="24"/>
        </w:rPr>
      </w:pPr>
      <w:r>
        <w:rPr>
          <w:sz w:val="24"/>
        </w:rPr>
        <w:t>3.2其他特定资格要求：</w:t>
      </w:r>
      <w:r>
        <w:rPr>
          <w:rFonts w:hint="eastAsia"/>
          <w:sz w:val="24"/>
          <w:u w:val="single"/>
          <w:lang w:val="en-US" w:eastAsia="zh-CN"/>
        </w:rPr>
        <w:t>/</w:t>
      </w:r>
      <w:r>
        <w:rPr>
          <w:sz w:val="24"/>
        </w:rPr>
        <w:t>。</w:t>
      </w:r>
    </w:p>
    <w:p w14:paraId="02975631">
      <w:pPr>
        <w:spacing w:line="360" w:lineRule="auto"/>
        <w:ind w:firstLine="480" w:firstLineChars="200"/>
        <w:rPr>
          <w:i/>
          <w:iCs/>
          <w:sz w:val="24"/>
          <w:u w:val="single"/>
        </w:rPr>
      </w:pPr>
    </w:p>
    <w:bookmarkEnd w:id="11"/>
    <w:bookmarkEnd w:id="12"/>
    <w:p w14:paraId="41A179B5">
      <w:pPr>
        <w:pStyle w:val="3"/>
        <w:widowControl/>
        <w:spacing w:before="0" w:line="360" w:lineRule="auto"/>
        <w:jc w:val="left"/>
        <w:rPr>
          <w:rFonts w:ascii="Times New Roman" w:hAnsi="Times New Roman" w:eastAsia="宋体"/>
          <w:sz w:val="24"/>
          <w:szCs w:val="24"/>
          <w:highlight w:val="none"/>
        </w:rPr>
      </w:pPr>
      <w:bookmarkStart w:id="13" w:name="_Toc35393623"/>
      <w:bookmarkStart w:id="14" w:name="_Toc35393792"/>
      <w:r>
        <w:rPr>
          <w:rFonts w:ascii="Times New Roman" w:hAnsi="Times New Roman" w:eastAsia="宋体"/>
          <w:sz w:val="24"/>
          <w:szCs w:val="24"/>
        </w:rPr>
        <w:t>三、获取招</w:t>
      </w:r>
      <w:r>
        <w:rPr>
          <w:rFonts w:ascii="Times New Roman" w:hAnsi="Times New Roman" w:eastAsia="宋体"/>
          <w:sz w:val="24"/>
          <w:szCs w:val="24"/>
          <w:highlight w:val="none"/>
        </w:rPr>
        <w:t>标文件</w:t>
      </w:r>
      <w:bookmarkEnd w:id="13"/>
      <w:bookmarkEnd w:id="14"/>
    </w:p>
    <w:p w14:paraId="4BCE01A6">
      <w:pPr>
        <w:adjustRightInd w:val="0"/>
        <w:snapToGrid w:val="0"/>
        <w:spacing w:line="360" w:lineRule="auto"/>
        <w:ind w:firstLine="480" w:firstLineChars="200"/>
        <w:rPr>
          <w:sz w:val="24"/>
          <w:highlight w:val="none"/>
          <w:lang w:bidi="ar"/>
        </w:rPr>
      </w:pPr>
      <w:r>
        <w:rPr>
          <w:sz w:val="24"/>
          <w:highlight w:val="none"/>
          <w:lang w:bidi="ar"/>
        </w:rPr>
        <w:t>1.时间：</w:t>
      </w:r>
      <w:r>
        <w:rPr>
          <w:rFonts w:hint="eastAsia"/>
          <w:sz w:val="24"/>
          <w:highlight w:val="none"/>
          <w:lang w:bidi="ar"/>
        </w:rPr>
        <w:t>202</w:t>
      </w:r>
      <w:r>
        <w:rPr>
          <w:rFonts w:hint="eastAsia"/>
          <w:sz w:val="24"/>
          <w:highlight w:val="none"/>
          <w:lang w:val="en-US" w:eastAsia="zh-CN" w:bidi="ar"/>
        </w:rPr>
        <w:t>5</w:t>
      </w:r>
      <w:r>
        <w:rPr>
          <w:rFonts w:hint="eastAsia"/>
          <w:sz w:val="24"/>
          <w:highlight w:val="none"/>
          <w:lang w:bidi="ar"/>
        </w:rPr>
        <w:t>年</w:t>
      </w:r>
      <w:r>
        <w:rPr>
          <w:rFonts w:hint="eastAsia"/>
          <w:sz w:val="24"/>
          <w:highlight w:val="none"/>
          <w:lang w:val="en-US" w:eastAsia="zh-CN" w:bidi="ar"/>
        </w:rPr>
        <w:t>5</w:t>
      </w:r>
      <w:r>
        <w:rPr>
          <w:rFonts w:hint="eastAsia"/>
          <w:sz w:val="24"/>
          <w:highlight w:val="none"/>
          <w:lang w:bidi="ar"/>
        </w:rPr>
        <w:t>月</w:t>
      </w:r>
      <w:r>
        <w:rPr>
          <w:rFonts w:hint="eastAsia"/>
          <w:sz w:val="24"/>
          <w:highlight w:val="none"/>
          <w:lang w:val="en-US" w:eastAsia="zh-CN" w:bidi="ar"/>
        </w:rPr>
        <w:t>27</w:t>
      </w:r>
      <w:r>
        <w:rPr>
          <w:rFonts w:hint="eastAsia"/>
          <w:sz w:val="24"/>
          <w:highlight w:val="none"/>
          <w:lang w:bidi="ar"/>
        </w:rPr>
        <w:t>日至202</w:t>
      </w:r>
      <w:r>
        <w:rPr>
          <w:sz w:val="24"/>
          <w:highlight w:val="none"/>
          <w:lang w:bidi="ar"/>
        </w:rPr>
        <w:t>5</w:t>
      </w:r>
      <w:r>
        <w:rPr>
          <w:rFonts w:hint="eastAsia"/>
          <w:sz w:val="24"/>
          <w:highlight w:val="none"/>
          <w:lang w:bidi="ar"/>
        </w:rPr>
        <w:t>年</w:t>
      </w:r>
      <w:r>
        <w:rPr>
          <w:rFonts w:hint="eastAsia"/>
          <w:sz w:val="24"/>
          <w:highlight w:val="none"/>
          <w:lang w:val="en-US" w:eastAsia="zh-CN" w:bidi="ar"/>
        </w:rPr>
        <w:t>6</w:t>
      </w:r>
      <w:r>
        <w:rPr>
          <w:rFonts w:hint="eastAsia"/>
          <w:sz w:val="24"/>
          <w:highlight w:val="none"/>
          <w:lang w:bidi="ar"/>
        </w:rPr>
        <w:t>月</w:t>
      </w:r>
      <w:r>
        <w:rPr>
          <w:rFonts w:hint="eastAsia"/>
          <w:sz w:val="24"/>
          <w:highlight w:val="none"/>
          <w:lang w:val="en-US" w:eastAsia="zh-CN" w:bidi="ar"/>
        </w:rPr>
        <w:t>3</w:t>
      </w:r>
      <w:r>
        <w:rPr>
          <w:rFonts w:hint="eastAsia"/>
          <w:sz w:val="24"/>
          <w:highlight w:val="none"/>
          <w:lang w:bidi="ar"/>
        </w:rPr>
        <w:t>日</w:t>
      </w:r>
      <w:r>
        <w:rPr>
          <w:sz w:val="24"/>
          <w:highlight w:val="none"/>
          <w:lang w:bidi="ar"/>
        </w:rPr>
        <w:t>，每天上午09:00至12:00，下午12:00至17:00（北京时间，法定节假日除外）。</w:t>
      </w:r>
    </w:p>
    <w:p w14:paraId="325F091A">
      <w:pPr>
        <w:adjustRightInd w:val="0"/>
        <w:snapToGrid w:val="0"/>
        <w:spacing w:line="360" w:lineRule="auto"/>
        <w:ind w:firstLine="480" w:firstLineChars="200"/>
        <w:rPr>
          <w:sz w:val="24"/>
          <w:highlight w:val="none"/>
        </w:rPr>
      </w:pPr>
      <w:r>
        <w:rPr>
          <w:sz w:val="24"/>
          <w:highlight w:val="none"/>
          <w:lang w:bidi="ar"/>
        </w:rPr>
        <w:t>2.地点：北京市政府采购电子交易平台</w:t>
      </w:r>
    </w:p>
    <w:p w14:paraId="69BBE67E">
      <w:pPr>
        <w:widowControl/>
        <w:adjustRightInd w:val="0"/>
        <w:snapToGrid w:val="0"/>
        <w:spacing w:line="360" w:lineRule="auto"/>
        <w:ind w:firstLine="480" w:firstLineChars="200"/>
        <w:jc w:val="left"/>
        <w:rPr>
          <w:sz w:val="24"/>
          <w:highlight w:val="none"/>
          <w:lang w:bidi="ar"/>
        </w:rPr>
      </w:pPr>
      <w:r>
        <w:rPr>
          <w:sz w:val="24"/>
          <w:highlight w:val="none"/>
          <w:lang w:bidi="ar"/>
        </w:rPr>
        <w:t>3.方式：供应商使用CA数字证书或电子营业执照登录北京市政府采购电子交易平台（http://zbcg-bjzc.zhongcy.com/bjczj-portal-site/index.html#/home）获取电子版招标文件。</w:t>
      </w:r>
    </w:p>
    <w:p w14:paraId="4A0A6081">
      <w:pPr>
        <w:widowControl/>
        <w:adjustRightInd w:val="0"/>
        <w:snapToGrid w:val="0"/>
        <w:spacing w:line="360" w:lineRule="auto"/>
        <w:ind w:firstLine="480" w:firstLineChars="200"/>
        <w:jc w:val="left"/>
        <w:rPr>
          <w:sz w:val="24"/>
          <w:highlight w:val="none"/>
        </w:rPr>
      </w:pPr>
      <w:r>
        <w:rPr>
          <w:sz w:val="24"/>
          <w:highlight w:val="none"/>
          <w:lang w:bidi="ar"/>
        </w:rPr>
        <w:t>4.售价：0元。</w:t>
      </w:r>
    </w:p>
    <w:p w14:paraId="7AADB6EC">
      <w:pPr>
        <w:tabs>
          <w:tab w:val="left" w:pos="900"/>
          <w:tab w:val="left" w:pos="1980"/>
        </w:tabs>
        <w:snapToGrid w:val="0"/>
        <w:spacing w:line="360" w:lineRule="auto"/>
        <w:ind w:left="840"/>
        <w:rPr>
          <w:sz w:val="24"/>
          <w:highlight w:val="none"/>
        </w:rPr>
      </w:pPr>
    </w:p>
    <w:p w14:paraId="65689CC2">
      <w:pPr>
        <w:pStyle w:val="3"/>
        <w:widowControl/>
        <w:spacing w:before="0" w:line="360" w:lineRule="auto"/>
        <w:jc w:val="left"/>
        <w:rPr>
          <w:rFonts w:ascii="Times New Roman" w:hAnsi="Times New Roman" w:eastAsia="宋体"/>
          <w:sz w:val="24"/>
          <w:szCs w:val="24"/>
          <w:highlight w:val="none"/>
        </w:rPr>
      </w:pPr>
      <w:bookmarkStart w:id="15" w:name="_Toc28359082"/>
      <w:bookmarkStart w:id="16" w:name="_Toc28359005"/>
      <w:bookmarkStart w:id="17" w:name="_Toc35393793"/>
      <w:bookmarkStart w:id="18" w:name="_Toc35393624"/>
      <w:r>
        <w:rPr>
          <w:rFonts w:ascii="Times New Roman" w:hAnsi="Times New Roman" w:eastAsia="宋体"/>
          <w:sz w:val="24"/>
          <w:szCs w:val="24"/>
          <w:highlight w:val="none"/>
        </w:rPr>
        <w:t>四、提交投标文件</w:t>
      </w:r>
      <w:bookmarkEnd w:id="15"/>
      <w:bookmarkEnd w:id="16"/>
      <w:r>
        <w:rPr>
          <w:rFonts w:ascii="Times New Roman" w:hAnsi="Times New Roman" w:eastAsia="宋体"/>
          <w:sz w:val="24"/>
          <w:szCs w:val="24"/>
          <w:highlight w:val="none"/>
        </w:rPr>
        <w:t>截止时间、开标时间和地点</w:t>
      </w:r>
      <w:bookmarkEnd w:id="17"/>
      <w:bookmarkEnd w:id="18"/>
    </w:p>
    <w:p w14:paraId="092838D1">
      <w:pPr>
        <w:spacing w:line="360" w:lineRule="auto"/>
        <w:ind w:firstLine="480" w:firstLineChars="200"/>
        <w:rPr>
          <w:bCs/>
          <w:sz w:val="24"/>
          <w:u w:val="single"/>
        </w:rPr>
      </w:pPr>
      <w:r>
        <w:rPr>
          <w:sz w:val="24"/>
          <w:highlight w:val="none"/>
          <w:lang w:bidi="ar"/>
        </w:rPr>
        <w:t>投标截止时间、开标时间：2025年</w:t>
      </w:r>
      <w:r>
        <w:rPr>
          <w:rFonts w:hint="eastAsia"/>
          <w:sz w:val="24"/>
          <w:highlight w:val="none"/>
          <w:lang w:val="en-US" w:eastAsia="zh-CN" w:bidi="ar"/>
        </w:rPr>
        <w:t>6</w:t>
      </w:r>
      <w:r>
        <w:rPr>
          <w:sz w:val="24"/>
          <w:highlight w:val="none"/>
          <w:lang w:bidi="ar"/>
        </w:rPr>
        <w:t>月</w:t>
      </w:r>
      <w:r>
        <w:rPr>
          <w:rFonts w:hint="eastAsia"/>
          <w:sz w:val="24"/>
          <w:highlight w:val="none"/>
          <w:lang w:val="en-US" w:eastAsia="zh-CN" w:bidi="ar"/>
        </w:rPr>
        <w:t>16</w:t>
      </w:r>
      <w:r>
        <w:rPr>
          <w:sz w:val="24"/>
          <w:highlight w:val="none"/>
          <w:lang w:bidi="ar"/>
        </w:rPr>
        <w:t>日9点</w:t>
      </w:r>
      <w:r>
        <w:rPr>
          <w:sz w:val="24"/>
          <w:lang w:bidi="ar"/>
        </w:rPr>
        <w:t>30分</w:t>
      </w:r>
      <w:r>
        <w:rPr>
          <w:bCs/>
          <w:sz w:val="24"/>
          <w:lang w:bidi="ar"/>
        </w:rPr>
        <w:t>（北京时间）</w:t>
      </w:r>
      <w:r>
        <w:rPr>
          <w:iCs/>
          <w:sz w:val="24"/>
          <w:lang w:bidi="ar"/>
        </w:rPr>
        <w:t>。</w:t>
      </w:r>
    </w:p>
    <w:p w14:paraId="23C30BD7">
      <w:pPr>
        <w:spacing w:line="360" w:lineRule="auto"/>
        <w:ind w:firstLine="480" w:firstLineChars="200"/>
        <w:rPr>
          <w:sz w:val="24"/>
          <w:lang w:val="zh-TW" w:bidi="ar"/>
        </w:rPr>
      </w:pPr>
      <w:r>
        <w:rPr>
          <w:sz w:val="24"/>
          <w:lang w:bidi="ar"/>
        </w:rPr>
        <w:t>地点：</w:t>
      </w:r>
      <w:r>
        <w:rPr>
          <w:rFonts w:hint="eastAsia" w:ascii="宋体" w:hAnsi="宋体"/>
          <w:sz w:val="24"/>
          <w:lang w:bidi="ar"/>
        </w:rPr>
        <w:t>北京市大兴区金华寺东路2号三层3</w:t>
      </w:r>
      <w:r>
        <w:rPr>
          <w:rFonts w:ascii="宋体" w:hAnsi="宋体"/>
          <w:sz w:val="24"/>
          <w:lang w:bidi="ar"/>
        </w:rPr>
        <w:t>05</w:t>
      </w:r>
      <w:r>
        <w:rPr>
          <w:rFonts w:hint="eastAsia" w:ascii="宋体" w:hAnsi="宋体"/>
          <w:sz w:val="24"/>
          <w:lang w:bidi="ar"/>
        </w:rPr>
        <w:t>室（供应商可选择到达开标地点参加现场开标会或自行登陆北京市政府采购电子交易平台远程在线参加开标会）（供应商应于投标截止时间前在北京市政府采购电子交易平台提交电子投标文件）</w:t>
      </w:r>
      <w:r>
        <w:rPr>
          <w:sz w:val="24"/>
          <w:lang w:val="zh-TW" w:bidi="ar"/>
        </w:rPr>
        <w:t>。</w:t>
      </w:r>
    </w:p>
    <w:p w14:paraId="65071B48">
      <w:pPr>
        <w:spacing w:line="360" w:lineRule="auto"/>
        <w:ind w:firstLine="480" w:firstLineChars="200"/>
        <w:rPr>
          <w:bCs/>
          <w:sz w:val="24"/>
          <w:u w:val="single"/>
        </w:rPr>
      </w:pPr>
    </w:p>
    <w:p w14:paraId="38722E29">
      <w:pPr>
        <w:pStyle w:val="3"/>
        <w:spacing w:before="0" w:line="360" w:lineRule="auto"/>
        <w:jc w:val="left"/>
        <w:rPr>
          <w:rFonts w:ascii="Times New Roman" w:hAnsi="Times New Roman" w:eastAsia="宋体"/>
          <w:sz w:val="24"/>
          <w:szCs w:val="24"/>
        </w:rPr>
      </w:pPr>
      <w:bookmarkStart w:id="19" w:name="_Toc35393625"/>
      <w:bookmarkStart w:id="20" w:name="_Toc28359084"/>
      <w:bookmarkStart w:id="21" w:name="_Toc35393794"/>
      <w:bookmarkStart w:id="22" w:name="_Toc28359007"/>
      <w:r>
        <w:rPr>
          <w:rFonts w:ascii="Times New Roman" w:hAnsi="Times New Roman" w:eastAsia="宋体"/>
          <w:sz w:val="24"/>
          <w:szCs w:val="24"/>
        </w:rPr>
        <w:t>五、公告期限</w:t>
      </w:r>
      <w:bookmarkEnd w:id="19"/>
      <w:bookmarkEnd w:id="20"/>
      <w:bookmarkEnd w:id="21"/>
      <w:bookmarkEnd w:id="22"/>
    </w:p>
    <w:p w14:paraId="3F3B5BDA">
      <w:pPr>
        <w:spacing w:line="360" w:lineRule="auto"/>
        <w:ind w:firstLine="480" w:firstLineChars="200"/>
        <w:rPr>
          <w:kern w:val="0"/>
          <w:sz w:val="24"/>
        </w:rPr>
      </w:pPr>
      <w:r>
        <w:rPr>
          <w:kern w:val="0"/>
          <w:sz w:val="24"/>
        </w:rPr>
        <w:t>自本公告发布之日起5个工作日。</w:t>
      </w:r>
    </w:p>
    <w:p w14:paraId="52588D2D">
      <w:pPr>
        <w:spacing w:line="360" w:lineRule="auto"/>
        <w:ind w:firstLine="480" w:firstLineChars="200"/>
        <w:rPr>
          <w:kern w:val="0"/>
          <w:sz w:val="24"/>
        </w:rPr>
      </w:pPr>
    </w:p>
    <w:p w14:paraId="27801D6C">
      <w:pPr>
        <w:pStyle w:val="3"/>
        <w:spacing w:before="0" w:line="360" w:lineRule="auto"/>
        <w:jc w:val="left"/>
        <w:rPr>
          <w:rFonts w:ascii="Times New Roman" w:hAnsi="Times New Roman" w:eastAsia="宋体"/>
          <w:sz w:val="24"/>
          <w:szCs w:val="24"/>
        </w:rPr>
      </w:pPr>
      <w:bookmarkStart w:id="23" w:name="_Toc35393795"/>
      <w:bookmarkStart w:id="24" w:name="_Toc35393626"/>
      <w:r>
        <w:rPr>
          <w:rFonts w:ascii="Times New Roman" w:hAnsi="Times New Roman" w:eastAsia="宋体"/>
          <w:sz w:val="24"/>
          <w:szCs w:val="24"/>
        </w:rPr>
        <w:t>六、其他补充事宜</w:t>
      </w:r>
      <w:bookmarkEnd w:id="23"/>
      <w:bookmarkEnd w:id="24"/>
    </w:p>
    <w:p w14:paraId="7B959D1E">
      <w:pPr>
        <w:spacing w:line="360" w:lineRule="auto"/>
        <w:ind w:firstLine="480" w:firstLineChars="200"/>
        <w:rPr>
          <w:sz w:val="24"/>
          <w:lang w:bidi="ar"/>
        </w:rPr>
      </w:pPr>
      <w:r>
        <w:rPr>
          <w:sz w:val="24"/>
        </w:rPr>
        <w:t>1.本项目需要落实的政府采购政策：</w:t>
      </w:r>
      <w:r>
        <w:rPr>
          <w:rFonts w:hint="eastAsia"/>
          <w:sz w:val="24"/>
          <w:lang w:bidi="ar"/>
        </w:rPr>
        <w:t>符合《中华人民共和国政府采购法》（主席令第68号）、《中华人民共和国政府采购法实施条例》（中华人民共和国国务院令第658号）、《政府采购货物和服务招标投标管理办法》（财政部令第87号）、《政府采购促进中小企业发展管理办法》（财库【2020】46号）、《财政部、司法部关于政府采购支持监狱企业发展有关问题的通知》（财库【2014】68号）、《财政部关于进一步加大政府采购支持中小企业力度的通知》（财库〔2022〕19号）、《北京市财政局关于落实好政府采购支持中小企业发展的通知》京财采购【2022】1143号等相关条例和国家相关法律法规规定</w:t>
      </w:r>
      <w:r>
        <w:rPr>
          <w:sz w:val="24"/>
          <w:lang w:bidi="ar"/>
        </w:rPr>
        <w:t>。</w:t>
      </w:r>
    </w:p>
    <w:p w14:paraId="66AF0635">
      <w:pPr>
        <w:spacing w:line="360" w:lineRule="auto"/>
        <w:ind w:firstLine="480" w:firstLineChars="200"/>
        <w:rPr>
          <w:bCs/>
          <w:sz w:val="24"/>
          <w:lang w:bidi="ar"/>
        </w:rPr>
      </w:pPr>
      <w:r>
        <w:rPr>
          <w:sz w:val="24"/>
          <w:lang w:bidi="ar"/>
        </w:rPr>
        <w:t>2.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w:t>
      </w:r>
      <w:r>
        <w:rPr>
          <w:bCs/>
          <w:sz w:val="24"/>
          <w:lang w:bidi="ar"/>
        </w:rPr>
        <w:t>CA数字证书</w:t>
      </w:r>
      <w:r>
        <w:rPr>
          <w:sz w:val="24"/>
          <w:lang w:bidi="ar"/>
        </w:rPr>
        <w:t>或电子营业执照</w:t>
      </w:r>
      <w:r>
        <w:rPr>
          <w:bCs/>
          <w:sz w:val="24"/>
          <w:lang w:bidi="ar"/>
        </w:rPr>
        <w:t>情况确认是否符合本项目电子化采购流程要求。</w:t>
      </w:r>
    </w:p>
    <w:p w14:paraId="170364AE">
      <w:pPr>
        <w:adjustRightInd w:val="0"/>
        <w:snapToGrid w:val="0"/>
        <w:spacing w:line="360" w:lineRule="auto"/>
        <w:ind w:firstLine="480" w:firstLineChars="200"/>
        <w:rPr>
          <w:sz w:val="24"/>
          <w:lang w:bidi="ar"/>
        </w:rPr>
      </w:pPr>
      <w:r>
        <w:rPr>
          <w:sz w:val="24"/>
          <w:lang w:bidi="ar"/>
        </w:rPr>
        <w:t>CA数字证书服务热线 010-58511086</w:t>
      </w:r>
    </w:p>
    <w:p w14:paraId="37C0FA70">
      <w:pPr>
        <w:adjustRightInd w:val="0"/>
        <w:snapToGrid w:val="0"/>
        <w:spacing w:line="360" w:lineRule="auto"/>
        <w:ind w:firstLine="480" w:firstLineChars="200"/>
        <w:rPr>
          <w:sz w:val="24"/>
        </w:rPr>
      </w:pPr>
      <w:r>
        <w:rPr>
          <w:sz w:val="24"/>
          <w:lang w:bidi="ar"/>
        </w:rPr>
        <w:t>电子营业执照服务热线 400-699-7000</w:t>
      </w:r>
    </w:p>
    <w:p w14:paraId="0F30203D">
      <w:pPr>
        <w:adjustRightInd w:val="0"/>
        <w:snapToGrid w:val="0"/>
        <w:spacing w:line="360" w:lineRule="auto"/>
        <w:ind w:firstLine="480" w:firstLineChars="200"/>
        <w:rPr>
          <w:sz w:val="24"/>
        </w:rPr>
      </w:pPr>
      <w:r>
        <w:rPr>
          <w:sz w:val="24"/>
          <w:lang w:bidi="ar"/>
        </w:rPr>
        <w:t>技术支持服务热线    010-86483801</w:t>
      </w:r>
    </w:p>
    <w:p w14:paraId="2F6CE6EF">
      <w:pPr>
        <w:widowControl/>
        <w:adjustRightInd w:val="0"/>
        <w:snapToGrid w:val="0"/>
        <w:spacing w:line="360" w:lineRule="auto"/>
        <w:ind w:firstLine="480" w:firstLineChars="200"/>
        <w:jc w:val="left"/>
        <w:rPr>
          <w:sz w:val="24"/>
          <w:lang w:bidi="ar"/>
        </w:rPr>
      </w:pPr>
      <w:r>
        <w:rPr>
          <w:sz w:val="24"/>
          <w:lang w:bidi="ar"/>
        </w:rPr>
        <w:t>2.1办理CA数字证书或电子营业执照</w:t>
      </w:r>
    </w:p>
    <w:p w14:paraId="3D3642B1">
      <w:pPr>
        <w:widowControl/>
        <w:adjustRightInd w:val="0"/>
        <w:snapToGrid w:val="0"/>
        <w:spacing w:line="360" w:lineRule="auto"/>
        <w:ind w:firstLine="480" w:firstLineChars="200"/>
        <w:jc w:val="left"/>
        <w:rPr>
          <w:sz w:val="24"/>
        </w:rPr>
      </w:pPr>
      <w:r>
        <w:rPr>
          <w:sz w:val="24"/>
          <w:lang w:bidi="ar"/>
        </w:rPr>
        <w:t>供应商登录北京市政府采购电子交易平台查阅 “用户指南”—“操作指南”—“市场主体CA办理操作流程指引”/“电子营业执照使用指南”，按照程序要求办理。</w:t>
      </w:r>
    </w:p>
    <w:p w14:paraId="4E8B97D8">
      <w:pPr>
        <w:adjustRightInd w:val="0"/>
        <w:snapToGrid w:val="0"/>
        <w:spacing w:line="360" w:lineRule="auto"/>
        <w:ind w:firstLine="480" w:firstLineChars="200"/>
        <w:rPr>
          <w:sz w:val="24"/>
          <w:lang w:bidi="ar"/>
        </w:rPr>
      </w:pPr>
      <w:r>
        <w:rPr>
          <w:sz w:val="24"/>
          <w:lang w:bidi="ar"/>
        </w:rPr>
        <w:t>2.2注册</w:t>
      </w:r>
    </w:p>
    <w:p w14:paraId="1AE97F58">
      <w:pPr>
        <w:adjustRightInd w:val="0"/>
        <w:snapToGrid w:val="0"/>
        <w:spacing w:line="360" w:lineRule="auto"/>
        <w:ind w:firstLine="480" w:firstLineChars="200"/>
        <w:rPr>
          <w:sz w:val="24"/>
        </w:rPr>
      </w:pPr>
      <w:r>
        <w:rPr>
          <w:sz w:val="24"/>
          <w:lang w:bidi="ar"/>
        </w:rPr>
        <w:t>供应商登录北京市政府采购电子交易平台“用户指南”—“操作指南”—“市场主体注册入库操作流程指引”进行自助注册绑定。</w:t>
      </w:r>
    </w:p>
    <w:p w14:paraId="6C2BE927">
      <w:pPr>
        <w:widowControl/>
        <w:adjustRightInd w:val="0"/>
        <w:snapToGrid w:val="0"/>
        <w:spacing w:line="360" w:lineRule="auto"/>
        <w:ind w:firstLine="480" w:firstLineChars="200"/>
        <w:jc w:val="left"/>
        <w:rPr>
          <w:sz w:val="24"/>
          <w:lang w:bidi="ar"/>
        </w:rPr>
      </w:pPr>
      <w:r>
        <w:rPr>
          <w:sz w:val="24"/>
          <w:lang w:bidi="ar"/>
        </w:rPr>
        <w:t>2.3驱动、客户端下载</w:t>
      </w:r>
    </w:p>
    <w:p w14:paraId="72A4DC17">
      <w:pPr>
        <w:widowControl/>
        <w:adjustRightInd w:val="0"/>
        <w:snapToGrid w:val="0"/>
        <w:spacing w:line="360" w:lineRule="auto"/>
        <w:ind w:firstLine="480" w:firstLineChars="200"/>
        <w:jc w:val="left"/>
        <w:rPr>
          <w:sz w:val="24"/>
        </w:rPr>
      </w:pPr>
      <w:r>
        <w:rPr>
          <w:sz w:val="24"/>
          <w:lang w:bidi="ar"/>
        </w:rPr>
        <w:t>供应商登录北京市政府采购电子交易平台“用户指南”—“工具下载”—“招标采购系统文件驱动安装包”下载相关驱动。</w:t>
      </w:r>
    </w:p>
    <w:p w14:paraId="3A83431E">
      <w:pPr>
        <w:adjustRightInd w:val="0"/>
        <w:snapToGrid w:val="0"/>
        <w:spacing w:line="360" w:lineRule="auto"/>
        <w:ind w:firstLine="480" w:firstLineChars="200"/>
        <w:rPr>
          <w:sz w:val="24"/>
          <w:lang w:bidi="ar"/>
        </w:rPr>
      </w:pPr>
      <w:r>
        <w:rPr>
          <w:sz w:val="24"/>
          <w:lang w:bidi="ar"/>
        </w:rPr>
        <w:t>供应商登录北京市政府采购电子交易平台“用户指南”—“工具下载”—“投标文件编制工具”下载相关客户端。</w:t>
      </w:r>
    </w:p>
    <w:p w14:paraId="75EF4365">
      <w:pPr>
        <w:adjustRightInd w:val="0"/>
        <w:snapToGrid w:val="0"/>
        <w:spacing w:line="360" w:lineRule="auto"/>
        <w:ind w:firstLine="480" w:firstLineChars="200"/>
        <w:rPr>
          <w:sz w:val="24"/>
          <w:lang w:bidi="ar"/>
        </w:rPr>
      </w:pPr>
      <w:r>
        <w:rPr>
          <w:sz w:val="24"/>
          <w:lang w:bidi="ar"/>
        </w:rPr>
        <w:t>2.4 获取电子招标文件</w:t>
      </w:r>
    </w:p>
    <w:p w14:paraId="40D962C6">
      <w:pPr>
        <w:adjustRightInd w:val="0"/>
        <w:snapToGrid w:val="0"/>
        <w:spacing w:line="360" w:lineRule="auto"/>
        <w:ind w:firstLine="480" w:firstLineChars="200"/>
        <w:rPr>
          <w:sz w:val="24"/>
          <w:lang w:bidi="ar"/>
        </w:rPr>
      </w:pPr>
      <w:r>
        <w:rPr>
          <w:sz w:val="24"/>
          <w:lang w:bidi="ar"/>
        </w:rPr>
        <w:t>供应商使用CA数字证书或电子营业执照登录北京市政府采购电子交易平台获取电子招标文件。</w:t>
      </w:r>
    </w:p>
    <w:p w14:paraId="39B6D3C0">
      <w:pPr>
        <w:adjustRightInd w:val="0"/>
        <w:snapToGrid w:val="0"/>
        <w:spacing w:line="360" w:lineRule="auto"/>
        <w:ind w:firstLine="480" w:firstLineChars="200"/>
        <w:rPr>
          <w:sz w:val="24"/>
          <w:lang w:bidi="ar"/>
        </w:rPr>
      </w:pPr>
      <w:r>
        <w:rPr>
          <w:sz w:val="24"/>
          <w:lang w:bidi="ar"/>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72BA8BCB">
      <w:pPr>
        <w:adjustRightInd w:val="0"/>
        <w:snapToGrid w:val="0"/>
        <w:spacing w:line="360" w:lineRule="auto"/>
        <w:ind w:firstLine="480" w:firstLineChars="200"/>
        <w:rPr>
          <w:sz w:val="24"/>
          <w:lang w:bidi="ar"/>
        </w:rPr>
      </w:pPr>
      <w:r>
        <w:rPr>
          <w:sz w:val="24"/>
          <w:lang w:bidi="ar"/>
        </w:rPr>
        <w:t>2.5编制电子投标文件</w:t>
      </w:r>
    </w:p>
    <w:p w14:paraId="6C85B9AB">
      <w:pPr>
        <w:adjustRightInd w:val="0"/>
        <w:snapToGrid w:val="0"/>
        <w:spacing w:line="360" w:lineRule="auto"/>
        <w:ind w:firstLine="480" w:firstLineChars="200"/>
        <w:rPr>
          <w:sz w:val="24"/>
          <w:lang w:bidi="ar"/>
        </w:rPr>
      </w:pPr>
      <w:r>
        <w:rPr>
          <w:sz w:val="24"/>
          <w:lang w:bidi="ar"/>
        </w:rPr>
        <w:t>供应商应使用电子投标客户端编制电子投标文件并进行线上投标，供应商电子投标文件需要加密并加盖电子签章</w:t>
      </w:r>
      <w:r>
        <w:rPr>
          <w:bCs/>
          <w:sz w:val="24"/>
          <w:lang w:bidi="ar"/>
        </w:rPr>
        <w:t>，如无法按照要求在电子投标文件中加盖电子签章和加密，请及时通过技术支持服务热线联系技术人员</w:t>
      </w:r>
      <w:r>
        <w:rPr>
          <w:sz w:val="24"/>
          <w:lang w:bidi="ar"/>
        </w:rPr>
        <w:t>。</w:t>
      </w:r>
    </w:p>
    <w:p w14:paraId="7586D059">
      <w:pPr>
        <w:widowControl/>
        <w:spacing w:line="360" w:lineRule="auto"/>
        <w:ind w:firstLine="480" w:firstLineChars="200"/>
        <w:jc w:val="left"/>
        <w:rPr>
          <w:sz w:val="24"/>
          <w:lang w:val="zh-TW" w:bidi="ar"/>
        </w:rPr>
      </w:pPr>
      <w:r>
        <w:rPr>
          <w:rFonts w:eastAsia="PMingLiU"/>
          <w:sz w:val="24"/>
          <w:lang w:val="zh-TW" w:eastAsia="zh-TW" w:bidi="ar"/>
        </w:rPr>
        <w:t>2</w:t>
      </w:r>
      <w:r>
        <w:rPr>
          <w:sz w:val="24"/>
          <w:lang w:val="zh-TW" w:eastAsia="zh-TW" w:bidi="ar"/>
        </w:rPr>
        <w:t>.6</w:t>
      </w:r>
      <w:r>
        <w:rPr>
          <w:sz w:val="24"/>
          <w:lang w:val="zh-TW" w:bidi="ar"/>
        </w:rPr>
        <w:t>提交电子投标文件</w:t>
      </w:r>
    </w:p>
    <w:p w14:paraId="7374027A">
      <w:pPr>
        <w:widowControl/>
        <w:spacing w:line="360" w:lineRule="auto"/>
        <w:ind w:firstLine="480" w:firstLineChars="200"/>
        <w:jc w:val="left"/>
        <w:rPr>
          <w:sz w:val="24"/>
          <w:lang w:bidi="ar"/>
        </w:rPr>
      </w:pPr>
      <w:r>
        <w:rPr>
          <w:sz w:val="24"/>
          <w:lang w:bidi="ar"/>
        </w:rPr>
        <w:t>供应商应于投标截止时间前在北京市政府采购电子交易平台提交电子投标文件，上传电子投标文件过程中请保持与互联网的连接畅通。</w:t>
      </w:r>
    </w:p>
    <w:p w14:paraId="6799F684">
      <w:pPr>
        <w:widowControl/>
        <w:spacing w:line="360" w:lineRule="auto"/>
        <w:ind w:firstLine="480" w:firstLineChars="200"/>
        <w:jc w:val="left"/>
        <w:rPr>
          <w:sz w:val="24"/>
          <w:lang w:eastAsia="zh-TW" w:bidi="ar"/>
        </w:rPr>
      </w:pPr>
      <w:r>
        <w:rPr>
          <w:rFonts w:eastAsia="PMingLiU"/>
          <w:sz w:val="24"/>
          <w:lang w:val="zh-TW" w:eastAsia="zh-TW" w:bidi="ar"/>
        </w:rPr>
        <w:t>2</w:t>
      </w:r>
      <w:r>
        <w:rPr>
          <w:sz w:val="24"/>
          <w:lang w:val="zh-TW" w:bidi="ar"/>
        </w:rPr>
        <w:t>.</w:t>
      </w:r>
      <w:r>
        <w:rPr>
          <w:sz w:val="24"/>
          <w:lang w:val="zh-TW" w:eastAsia="zh-TW" w:bidi="ar"/>
        </w:rPr>
        <w:t>7</w:t>
      </w:r>
      <w:r>
        <w:rPr>
          <w:sz w:val="24"/>
          <w:lang w:val="zh-TW" w:bidi="ar"/>
        </w:rPr>
        <w:t>电子开标</w:t>
      </w:r>
    </w:p>
    <w:p w14:paraId="052A0B9F">
      <w:pPr>
        <w:spacing w:line="360" w:lineRule="auto"/>
        <w:ind w:firstLine="480" w:firstLineChars="200"/>
        <w:rPr>
          <w:sz w:val="24"/>
          <w:lang w:eastAsia="zh-TW"/>
        </w:rPr>
      </w:pPr>
      <w:r>
        <w:rPr>
          <w:sz w:val="24"/>
          <w:lang w:val="zh-TW" w:bidi="ar"/>
        </w:rPr>
        <w:t>供应商在开标地点使用</w:t>
      </w:r>
      <w:r>
        <w:rPr>
          <w:sz w:val="24"/>
          <w:lang w:bidi="ar"/>
        </w:rPr>
        <w:t>CA数字证书或电子营业执照</w:t>
      </w:r>
      <w:r>
        <w:rPr>
          <w:sz w:val="24"/>
          <w:lang w:val="zh-TW" w:bidi="ar"/>
        </w:rPr>
        <w:t>登录</w:t>
      </w:r>
      <w:r>
        <w:rPr>
          <w:sz w:val="24"/>
          <w:lang w:bidi="ar"/>
        </w:rPr>
        <w:t>北京市政府采购电子交易平台进行电子开标</w:t>
      </w:r>
      <w:r>
        <w:rPr>
          <w:sz w:val="24"/>
          <w:lang w:val="zh-TW" w:bidi="ar"/>
        </w:rPr>
        <w:t>。</w:t>
      </w:r>
    </w:p>
    <w:p w14:paraId="6FBE0598">
      <w:pPr>
        <w:spacing w:line="360" w:lineRule="auto"/>
        <w:ind w:firstLine="480" w:firstLineChars="200"/>
        <w:rPr>
          <w:sz w:val="24"/>
          <w:lang w:bidi="ar"/>
        </w:rPr>
      </w:pPr>
      <w:r>
        <w:rPr>
          <w:rFonts w:hint="eastAsia" w:ascii="宋体" w:hAnsi="宋体"/>
          <w:sz w:val="24"/>
          <w:lang w:val="zh-TW" w:bidi="ar"/>
        </w:rPr>
        <w:t>为保证开标解密顺利进行，现场参与开标会的供应商请务必携带CA数字证书（投标文件加密所用的CA数字证书）、投标解密符文件（生成加密投标文件时一同生成的投标文件解密密钥，即后缀为.Bskey的文件）进行现场解密操作</w:t>
      </w:r>
      <w:r>
        <w:rPr>
          <w:rFonts w:hint="eastAsia" w:ascii="宋体" w:hAnsi="宋体"/>
          <w:sz w:val="24"/>
          <w:lang w:bidi="ar"/>
        </w:rPr>
        <w:t>。</w:t>
      </w:r>
    </w:p>
    <w:p w14:paraId="558F4204">
      <w:pPr>
        <w:spacing w:line="360" w:lineRule="auto"/>
        <w:ind w:firstLine="480" w:firstLineChars="200"/>
        <w:rPr>
          <w:sz w:val="24"/>
        </w:rPr>
      </w:pPr>
    </w:p>
    <w:p w14:paraId="22436B6E">
      <w:pPr>
        <w:pStyle w:val="3"/>
        <w:spacing w:before="0" w:line="360" w:lineRule="auto"/>
        <w:jc w:val="left"/>
        <w:rPr>
          <w:rFonts w:ascii="Times New Roman" w:hAnsi="Times New Roman" w:eastAsia="宋体"/>
          <w:sz w:val="24"/>
          <w:szCs w:val="24"/>
        </w:rPr>
      </w:pPr>
      <w:bookmarkStart w:id="25" w:name="_Toc35393796"/>
      <w:bookmarkStart w:id="26" w:name="_Toc28359085"/>
      <w:bookmarkStart w:id="27" w:name="_Toc28359008"/>
      <w:bookmarkStart w:id="28" w:name="_Toc35393627"/>
      <w:r>
        <w:rPr>
          <w:rFonts w:ascii="Times New Roman" w:hAnsi="Times New Roman" w:eastAsia="宋体"/>
          <w:sz w:val="24"/>
          <w:szCs w:val="24"/>
        </w:rPr>
        <w:t>七、对本次招标提出询问，请按以下方式联系。</w:t>
      </w:r>
      <w:bookmarkEnd w:id="25"/>
      <w:bookmarkEnd w:id="26"/>
      <w:bookmarkEnd w:id="27"/>
      <w:bookmarkEnd w:id="28"/>
    </w:p>
    <w:p w14:paraId="25377748">
      <w:pPr>
        <w:spacing w:line="360" w:lineRule="auto"/>
        <w:ind w:left="1080" w:leftChars="371" w:hanging="301" w:hangingChars="125"/>
        <w:jc w:val="left"/>
        <w:rPr>
          <w:b/>
          <w:sz w:val="24"/>
        </w:rPr>
      </w:pPr>
      <w:r>
        <w:rPr>
          <w:b/>
          <w:sz w:val="24"/>
        </w:rPr>
        <w:t>1.采购人信息</w:t>
      </w:r>
    </w:p>
    <w:p w14:paraId="6B4218FE">
      <w:pPr>
        <w:spacing w:line="360" w:lineRule="auto"/>
        <w:ind w:left="1079" w:leftChars="371" w:hanging="300" w:hangingChars="125"/>
        <w:jc w:val="left"/>
        <w:rPr>
          <w:rFonts w:hint="eastAsia" w:eastAsia="宋体"/>
          <w:sz w:val="24"/>
          <w:lang w:eastAsia="zh-CN"/>
        </w:rPr>
      </w:pPr>
      <w:bookmarkStart w:id="29" w:name="_Toc28359009"/>
      <w:bookmarkStart w:id="30" w:name="_Toc28359086"/>
      <w:r>
        <w:rPr>
          <w:rFonts w:hint="eastAsia"/>
          <w:sz w:val="24"/>
        </w:rPr>
        <w:t>名    称：</w:t>
      </w:r>
      <w:r>
        <w:rPr>
          <w:rFonts w:hint="eastAsia"/>
          <w:sz w:val="24"/>
          <w:lang w:eastAsia="zh-CN"/>
        </w:rPr>
        <w:t>北京市大兴区城市管理委员会</w:t>
      </w:r>
    </w:p>
    <w:p w14:paraId="05878D59">
      <w:pPr>
        <w:spacing w:line="360" w:lineRule="auto"/>
        <w:ind w:left="1079" w:leftChars="371" w:hanging="300" w:hangingChars="125"/>
        <w:jc w:val="left"/>
        <w:rPr>
          <w:rFonts w:hint="eastAsia"/>
          <w:sz w:val="24"/>
        </w:rPr>
      </w:pPr>
      <w:r>
        <w:rPr>
          <w:rFonts w:hint="eastAsia"/>
          <w:sz w:val="24"/>
        </w:rPr>
        <w:t>地    址：北京市大兴区兴华大街三段15号</w:t>
      </w:r>
    </w:p>
    <w:p w14:paraId="4BC95CCC">
      <w:pPr>
        <w:spacing w:line="360" w:lineRule="auto"/>
        <w:ind w:left="1079" w:leftChars="371" w:hanging="300" w:hangingChars="125"/>
        <w:jc w:val="left"/>
        <w:rPr>
          <w:sz w:val="24"/>
          <w:u w:val="single"/>
        </w:rPr>
      </w:pPr>
      <w:r>
        <w:rPr>
          <w:rFonts w:hint="eastAsia"/>
          <w:sz w:val="24"/>
        </w:rPr>
        <w:t>联系方式：宋辉，010-</w:t>
      </w:r>
      <w:r>
        <w:rPr>
          <w:sz w:val="24"/>
        </w:rPr>
        <w:t>81296490</w:t>
      </w:r>
    </w:p>
    <w:p w14:paraId="720617A2">
      <w:pPr>
        <w:spacing w:line="360" w:lineRule="auto"/>
        <w:ind w:left="1080" w:leftChars="371" w:hanging="301" w:hangingChars="125"/>
        <w:jc w:val="left"/>
        <w:rPr>
          <w:b/>
          <w:sz w:val="24"/>
        </w:rPr>
      </w:pPr>
      <w:r>
        <w:rPr>
          <w:b/>
          <w:sz w:val="24"/>
        </w:rPr>
        <w:t>2.采购代理机构信息</w:t>
      </w:r>
      <w:bookmarkEnd w:id="29"/>
      <w:bookmarkEnd w:id="30"/>
    </w:p>
    <w:p w14:paraId="330AE013">
      <w:pPr>
        <w:spacing w:line="360" w:lineRule="auto"/>
        <w:ind w:left="1079" w:leftChars="371" w:hanging="300" w:hangingChars="125"/>
        <w:jc w:val="left"/>
        <w:rPr>
          <w:sz w:val="24"/>
        </w:rPr>
      </w:pPr>
      <w:bookmarkStart w:id="31" w:name="_Toc28359087"/>
      <w:bookmarkStart w:id="32" w:name="_Toc28359010"/>
      <w:r>
        <w:rPr>
          <w:sz w:val="24"/>
        </w:rPr>
        <w:t>名    称：</w:t>
      </w:r>
      <w:r>
        <w:rPr>
          <w:rFonts w:hint="eastAsia"/>
          <w:sz w:val="24"/>
        </w:rPr>
        <w:t>北京捷迅通力工程咨询有限公司</w:t>
      </w:r>
    </w:p>
    <w:p w14:paraId="4917432B">
      <w:pPr>
        <w:spacing w:line="360" w:lineRule="auto"/>
        <w:ind w:left="1079" w:leftChars="371" w:hanging="300" w:hangingChars="125"/>
        <w:jc w:val="left"/>
        <w:rPr>
          <w:sz w:val="24"/>
        </w:rPr>
      </w:pPr>
      <w:r>
        <w:rPr>
          <w:sz w:val="24"/>
        </w:rPr>
        <w:t>地    址：</w:t>
      </w:r>
      <w:r>
        <w:rPr>
          <w:rFonts w:hint="eastAsia"/>
          <w:sz w:val="24"/>
        </w:rPr>
        <w:t>北京市大兴区金华寺东路2号西配房103室</w:t>
      </w:r>
    </w:p>
    <w:p w14:paraId="418E3771">
      <w:pPr>
        <w:spacing w:line="360" w:lineRule="auto"/>
        <w:ind w:left="1079" w:leftChars="371" w:hanging="300" w:hangingChars="125"/>
        <w:jc w:val="left"/>
        <w:rPr>
          <w:sz w:val="24"/>
          <w:u w:val="single"/>
        </w:rPr>
      </w:pPr>
      <w:r>
        <w:rPr>
          <w:sz w:val="24"/>
        </w:rPr>
        <w:t>联系方式：</w:t>
      </w:r>
      <w:r>
        <w:rPr>
          <w:rFonts w:hint="eastAsia"/>
          <w:sz w:val="24"/>
        </w:rPr>
        <w:t>苏德山，010-60218807</w:t>
      </w:r>
    </w:p>
    <w:p w14:paraId="0979F4C8">
      <w:pPr>
        <w:spacing w:line="360" w:lineRule="auto"/>
        <w:ind w:left="1080" w:leftChars="371" w:hanging="301" w:hangingChars="125"/>
        <w:jc w:val="left"/>
        <w:rPr>
          <w:b/>
          <w:sz w:val="24"/>
          <w:u w:val="single"/>
        </w:rPr>
      </w:pPr>
      <w:r>
        <w:rPr>
          <w:b/>
          <w:sz w:val="24"/>
        </w:rPr>
        <w:t>3.项目联系方式</w:t>
      </w:r>
      <w:bookmarkEnd w:id="31"/>
      <w:bookmarkEnd w:id="32"/>
    </w:p>
    <w:p w14:paraId="60419816">
      <w:pPr>
        <w:spacing w:line="360" w:lineRule="auto"/>
        <w:ind w:left="1079" w:leftChars="371" w:hanging="300" w:hangingChars="125"/>
        <w:jc w:val="left"/>
        <w:rPr>
          <w:sz w:val="24"/>
        </w:rPr>
      </w:pPr>
      <w:r>
        <w:rPr>
          <w:sz w:val="24"/>
        </w:rPr>
        <w:t>项目联系人：</w:t>
      </w:r>
      <w:r>
        <w:rPr>
          <w:rFonts w:hint="eastAsia"/>
          <w:sz w:val="24"/>
        </w:rPr>
        <w:t>苏德山</w:t>
      </w:r>
    </w:p>
    <w:p w14:paraId="07FD26C7">
      <w:pPr>
        <w:spacing w:line="360" w:lineRule="auto"/>
        <w:ind w:left="1079" w:leftChars="371" w:hanging="300" w:hangingChars="125"/>
        <w:jc w:val="left"/>
        <w:rPr>
          <w:sz w:val="24"/>
        </w:rPr>
      </w:pPr>
      <w:r>
        <w:rPr>
          <w:sz w:val="24"/>
        </w:rPr>
        <w:t>电      话：010-60218807</w:t>
      </w:r>
    </w:p>
    <w:p w14:paraId="2B023B32">
      <w:pPr>
        <w:spacing w:line="360" w:lineRule="auto"/>
        <w:ind w:firstLine="5880" w:firstLineChars="2450"/>
        <w:jc w:val="right"/>
        <w:rPr>
          <w:sz w:val="24"/>
        </w:rPr>
      </w:pPr>
    </w:p>
    <w:p w14:paraId="466C26B0">
      <w:pPr>
        <w:spacing w:line="360" w:lineRule="auto"/>
        <w:jc w:val="center"/>
        <w:outlineLvl w:val="0"/>
        <w:rPr>
          <w:rFonts w:hint="eastAsia"/>
          <w:b/>
          <w:sz w:val="32"/>
          <w:szCs w:val="32"/>
        </w:rPr>
      </w:pPr>
      <w:r>
        <w:rPr>
          <w:sz w:val="24"/>
        </w:rPr>
        <w:br w:type="page"/>
      </w:r>
      <w:bookmarkStart w:id="33" w:name="_Toc353873938"/>
      <w:bookmarkStart w:id="34" w:name="_Toc353825548"/>
      <w:bookmarkStart w:id="35" w:name="_Toc512937850"/>
      <w:bookmarkStart w:id="36" w:name="_Toc226965856"/>
      <w:bookmarkStart w:id="37" w:name="_Toc150774783"/>
      <w:bookmarkStart w:id="38" w:name="_Toc265228423"/>
      <w:bookmarkStart w:id="39" w:name="_Toc18988"/>
      <w:bookmarkStart w:id="40" w:name="_Toc127161488"/>
      <w:bookmarkStart w:id="41" w:name="_Toc127151777"/>
      <w:bookmarkStart w:id="42" w:name="_Toc305158928"/>
      <w:bookmarkStart w:id="43" w:name="_Toc195842950"/>
      <w:bookmarkStart w:id="44" w:name="_Toc305158854"/>
      <w:bookmarkStart w:id="45" w:name="_Toc264969275"/>
      <w:r>
        <w:rPr>
          <w:b/>
          <w:sz w:val="36"/>
          <w:szCs w:val="36"/>
        </w:rPr>
        <w:t>第二章   投标人须知</w:t>
      </w:r>
      <w:bookmarkEnd w:id="33"/>
      <w:bookmarkEnd w:id="34"/>
      <w:bookmarkEnd w:id="35"/>
      <w:bookmarkEnd w:id="36"/>
      <w:bookmarkEnd w:id="37"/>
      <w:bookmarkEnd w:id="38"/>
      <w:bookmarkEnd w:id="39"/>
      <w:bookmarkEnd w:id="40"/>
      <w:bookmarkEnd w:id="41"/>
      <w:bookmarkEnd w:id="42"/>
      <w:bookmarkEnd w:id="43"/>
      <w:bookmarkEnd w:id="44"/>
      <w:bookmarkEnd w:id="45"/>
    </w:p>
    <w:p w14:paraId="02F262D8">
      <w:pPr>
        <w:pStyle w:val="3"/>
        <w:tabs>
          <w:tab w:val="center" w:pos="4592"/>
          <w:tab w:val="left" w:pos="7860"/>
        </w:tabs>
        <w:spacing w:before="0" w:line="360" w:lineRule="auto"/>
        <w:rPr>
          <w:rFonts w:ascii="Times New Roman" w:hAnsi="Times New Roman" w:eastAsia="宋体"/>
          <w:sz w:val="28"/>
        </w:rPr>
      </w:pPr>
      <w:bookmarkStart w:id="46" w:name="_Toc226309763"/>
      <w:bookmarkStart w:id="47" w:name="_Toc150509270"/>
      <w:bookmarkStart w:id="48" w:name="_Toc164229214"/>
      <w:bookmarkStart w:id="49" w:name="_Toc520356144"/>
      <w:bookmarkStart w:id="50" w:name="_Toc150774619"/>
      <w:bookmarkStart w:id="51" w:name="_Toc151193833"/>
      <w:bookmarkStart w:id="52" w:name="_Toc164229360"/>
      <w:bookmarkStart w:id="53" w:name="_Toc127151720"/>
      <w:bookmarkStart w:id="54" w:name="_Toc151193689"/>
      <w:bookmarkStart w:id="55" w:name="_Toc149720812"/>
      <w:bookmarkStart w:id="56" w:name="_Toc151193761"/>
      <w:bookmarkStart w:id="57" w:name="_Toc151193617"/>
      <w:bookmarkStart w:id="58" w:name="_Toc164608633"/>
      <w:bookmarkStart w:id="59" w:name="_Toc127161433"/>
      <w:bookmarkStart w:id="60" w:name="_Toc195842884"/>
      <w:bookmarkStart w:id="61" w:name="_Toc226965709"/>
      <w:bookmarkStart w:id="62" w:name="_Toc226965792"/>
      <w:bookmarkStart w:id="63" w:name="_Toc150480757"/>
      <w:bookmarkStart w:id="64" w:name="_Toc164351613"/>
      <w:bookmarkStart w:id="65" w:name="_Toc142311021"/>
      <w:bookmarkStart w:id="66" w:name="_Toc150774724"/>
      <w:bookmarkStart w:id="67" w:name="_Toc151190146"/>
      <w:bookmarkStart w:id="68" w:name="_Toc226337215"/>
      <w:bookmarkStart w:id="69" w:name="_Toc164608788"/>
      <w:bookmarkStart w:id="70" w:name="_Toc151193907"/>
      <w:bookmarkStart w:id="71" w:name="_Toc127151519"/>
      <w:r>
        <w:rPr>
          <w:rFonts w:ascii="Times New Roman" w:hAnsi="Times New Roman" w:eastAsia="宋体"/>
          <w:sz w:val="28"/>
        </w:rPr>
        <w:t>投标人须知资料表</w:t>
      </w:r>
    </w:p>
    <w:p w14:paraId="3D76B3F0">
      <w:pPr>
        <w:jc w:val="center"/>
        <w:rPr>
          <w:b/>
          <w:sz w:val="28"/>
          <w:szCs w:val="28"/>
        </w:rPr>
      </w:pPr>
    </w:p>
    <w:p w14:paraId="7A524CC9">
      <w:pPr>
        <w:spacing w:line="360" w:lineRule="auto"/>
        <w:ind w:firstLine="480"/>
        <w:rPr>
          <w:sz w:val="24"/>
        </w:rPr>
      </w:pPr>
      <w:r>
        <w:rPr>
          <w:sz w:val="24"/>
        </w:rPr>
        <w:t>本表是对投标人须知的具体补充和修改，如有矛盾，均以本资料表为准。</w:t>
      </w:r>
    </w:p>
    <w:tbl>
      <w:tblPr>
        <w:tblStyle w:val="42"/>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2CA71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noWrap w:val="0"/>
            <w:vAlign w:val="center"/>
          </w:tcPr>
          <w:p w14:paraId="6137E6BC">
            <w:pPr>
              <w:jc w:val="center"/>
              <w:rPr>
                <w:b/>
                <w:bCs/>
                <w:sz w:val="24"/>
              </w:rPr>
            </w:pPr>
            <w:r>
              <w:rPr>
                <w:b/>
                <w:sz w:val="24"/>
              </w:rPr>
              <w:t>条款号</w:t>
            </w:r>
          </w:p>
        </w:tc>
        <w:tc>
          <w:tcPr>
            <w:tcW w:w="1701" w:type="dxa"/>
            <w:noWrap w:val="0"/>
            <w:vAlign w:val="center"/>
          </w:tcPr>
          <w:p w14:paraId="135D2CE2">
            <w:pPr>
              <w:jc w:val="center"/>
              <w:rPr>
                <w:b/>
                <w:bCs/>
                <w:sz w:val="24"/>
              </w:rPr>
            </w:pPr>
            <w:r>
              <w:rPr>
                <w:b/>
                <w:bCs/>
                <w:sz w:val="24"/>
              </w:rPr>
              <w:t>条目</w:t>
            </w:r>
          </w:p>
        </w:tc>
        <w:tc>
          <w:tcPr>
            <w:tcW w:w="7540" w:type="dxa"/>
            <w:noWrap w:val="0"/>
            <w:vAlign w:val="center"/>
          </w:tcPr>
          <w:p w14:paraId="01EF79E6">
            <w:pPr>
              <w:jc w:val="center"/>
              <w:rPr>
                <w:b/>
                <w:bCs/>
                <w:sz w:val="24"/>
              </w:rPr>
            </w:pPr>
            <w:r>
              <w:rPr>
                <w:b/>
                <w:bCs/>
                <w:sz w:val="24"/>
              </w:rPr>
              <w:t>内容</w:t>
            </w:r>
          </w:p>
        </w:tc>
      </w:tr>
      <w:tr w14:paraId="2820F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48E76715">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2.2</w:t>
            </w:r>
          </w:p>
        </w:tc>
        <w:tc>
          <w:tcPr>
            <w:tcW w:w="1701" w:type="dxa"/>
            <w:noWrap w:val="0"/>
            <w:vAlign w:val="center"/>
          </w:tcPr>
          <w:p w14:paraId="0CA3D1DD">
            <w:pPr>
              <w:jc w:val="center"/>
              <w:rPr>
                <w:sz w:val="24"/>
              </w:rPr>
            </w:pPr>
            <w:r>
              <w:rPr>
                <w:sz w:val="24"/>
              </w:rPr>
              <w:t>项目属性</w:t>
            </w:r>
          </w:p>
        </w:tc>
        <w:tc>
          <w:tcPr>
            <w:tcW w:w="7540" w:type="dxa"/>
            <w:noWrap w:val="0"/>
            <w:vAlign w:val="center"/>
          </w:tcPr>
          <w:p w14:paraId="4F73CA62">
            <w:pPr>
              <w:jc w:val="left"/>
              <w:rPr>
                <w:sz w:val="24"/>
              </w:rPr>
            </w:pPr>
            <w:r>
              <w:rPr>
                <w:sz w:val="24"/>
              </w:rPr>
              <w:t>项目属性：</w:t>
            </w:r>
          </w:p>
          <w:p w14:paraId="7C84ECE3">
            <w:pPr>
              <w:jc w:val="left"/>
              <w:rPr>
                <w:sz w:val="24"/>
              </w:rPr>
            </w:pPr>
            <w:r>
              <w:rPr>
                <w:b/>
                <w:sz w:val="24"/>
              </w:rPr>
              <w:t>■</w:t>
            </w:r>
            <w:r>
              <w:rPr>
                <w:sz w:val="24"/>
              </w:rPr>
              <w:t>服务</w:t>
            </w:r>
          </w:p>
          <w:p w14:paraId="43335F81">
            <w:pPr>
              <w:jc w:val="left"/>
              <w:rPr>
                <w:sz w:val="24"/>
              </w:rPr>
            </w:pPr>
            <w:r>
              <w:rPr>
                <w:sz w:val="24"/>
              </w:rPr>
              <w:t>□货物</w:t>
            </w:r>
          </w:p>
        </w:tc>
      </w:tr>
      <w:tr w14:paraId="1EC34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7524E250">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2.3</w:t>
            </w:r>
          </w:p>
        </w:tc>
        <w:tc>
          <w:tcPr>
            <w:tcW w:w="1701" w:type="dxa"/>
            <w:noWrap w:val="0"/>
            <w:vAlign w:val="center"/>
          </w:tcPr>
          <w:p w14:paraId="5EC961C3">
            <w:pPr>
              <w:jc w:val="center"/>
              <w:rPr>
                <w:sz w:val="24"/>
              </w:rPr>
            </w:pPr>
            <w:r>
              <w:rPr>
                <w:sz w:val="24"/>
              </w:rPr>
              <w:t>科研仪器设备</w:t>
            </w:r>
          </w:p>
        </w:tc>
        <w:tc>
          <w:tcPr>
            <w:tcW w:w="7540" w:type="dxa"/>
            <w:noWrap w:val="0"/>
            <w:vAlign w:val="center"/>
          </w:tcPr>
          <w:p w14:paraId="43883FE5">
            <w:pPr>
              <w:jc w:val="left"/>
              <w:rPr>
                <w:sz w:val="24"/>
              </w:rPr>
            </w:pPr>
            <w:r>
              <w:rPr>
                <w:sz w:val="24"/>
              </w:rPr>
              <w:t>是否属于科研仪器设备采购项目：</w:t>
            </w:r>
          </w:p>
          <w:p w14:paraId="654FDC63">
            <w:pPr>
              <w:jc w:val="left"/>
              <w:rPr>
                <w:sz w:val="24"/>
              </w:rPr>
            </w:pPr>
            <w:r>
              <w:rPr>
                <w:sz w:val="24"/>
              </w:rPr>
              <w:t>□是</w:t>
            </w:r>
          </w:p>
          <w:p w14:paraId="756D26EF">
            <w:pPr>
              <w:jc w:val="left"/>
              <w:rPr>
                <w:sz w:val="24"/>
              </w:rPr>
            </w:pPr>
            <w:r>
              <w:rPr>
                <w:b/>
                <w:sz w:val="24"/>
              </w:rPr>
              <w:t>■</w:t>
            </w:r>
            <w:r>
              <w:rPr>
                <w:sz w:val="24"/>
              </w:rPr>
              <w:t>否</w:t>
            </w:r>
          </w:p>
        </w:tc>
      </w:tr>
      <w:tr w14:paraId="5AA9A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1C1E748A">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2.4</w:t>
            </w:r>
          </w:p>
        </w:tc>
        <w:tc>
          <w:tcPr>
            <w:tcW w:w="1701" w:type="dxa"/>
            <w:noWrap w:val="0"/>
            <w:vAlign w:val="center"/>
          </w:tcPr>
          <w:p w14:paraId="64EE2B73">
            <w:pPr>
              <w:jc w:val="center"/>
              <w:rPr>
                <w:sz w:val="24"/>
              </w:rPr>
            </w:pPr>
            <w:r>
              <w:rPr>
                <w:sz w:val="24"/>
              </w:rPr>
              <w:t>核心产品</w:t>
            </w:r>
          </w:p>
        </w:tc>
        <w:tc>
          <w:tcPr>
            <w:tcW w:w="7540" w:type="dxa"/>
            <w:noWrap w:val="0"/>
            <w:vAlign w:val="center"/>
          </w:tcPr>
          <w:p w14:paraId="4B7EC1BB">
            <w:pPr>
              <w:pStyle w:val="23"/>
              <w:adjustRightInd w:val="0"/>
              <w:snapToGrid w:val="0"/>
              <w:rPr>
                <w:rFonts w:hint="default" w:ascii="Times New Roman" w:hAnsi="Times New Roman"/>
                <w:sz w:val="24"/>
                <w:szCs w:val="24"/>
              </w:rPr>
            </w:pPr>
            <w:r>
              <w:rPr>
                <w:rFonts w:hint="default" w:ascii="Times New Roman" w:hAnsi="Times New Roman"/>
                <w:b/>
                <w:sz w:val="24"/>
                <w:szCs w:val="24"/>
              </w:rPr>
              <w:t>■</w:t>
            </w:r>
            <w:r>
              <w:rPr>
                <w:rFonts w:hint="default" w:ascii="Times New Roman" w:hAnsi="Times New Roman"/>
                <w:sz w:val="24"/>
                <w:szCs w:val="24"/>
              </w:rPr>
              <w:t>关于核心产品本项目不适用。</w:t>
            </w:r>
          </w:p>
          <w:p w14:paraId="4FCBE2B0">
            <w:pPr>
              <w:pStyle w:val="23"/>
              <w:adjustRightInd w:val="0"/>
              <w:snapToGrid w:val="0"/>
              <w:rPr>
                <w:rFonts w:hint="default" w:ascii="Times New Roman" w:hAnsi="Times New Roman"/>
                <w:sz w:val="24"/>
                <w:szCs w:val="24"/>
              </w:rPr>
            </w:pPr>
            <w:r>
              <w:rPr>
                <w:rFonts w:hint="default" w:ascii="Times New Roman" w:hAnsi="Times New Roman"/>
                <w:sz w:val="24"/>
                <w:szCs w:val="24"/>
              </w:rPr>
              <w:t>□本项目__包为单一产品采购项目。</w:t>
            </w:r>
          </w:p>
          <w:p w14:paraId="400455A5">
            <w:pPr>
              <w:jc w:val="left"/>
              <w:rPr>
                <w:sz w:val="24"/>
              </w:rPr>
            </w:pPr>
            <w:r>
              <w:rPr>
                <w:sz w:val="24"/>
              </w:rPr>
              <w:t>□本项目__包为非单一产品采购项目，核心产品为：____。</w:t>
            </w:r>
          </w:p>
        </w:tc>
      </w:tr>
      <w:tr w14:paraId="5C45E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noWrap w:val="0"/>
            <w:vAlign w:val="center"/>
          </w:tcPr>
          <w:p w14:paraId="5EDB2202">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3.1</w:t>
            </w:r>
          </w:p>
        </w:tc>
        <w:tc>
          <w:tcPr>
            <w:tcW w:w="1701" w:type="dxa"/>
            <w:noWrap w:val="0"/>
            <w:vAlign w:val="center"/>
          </w:tcPr>
          <w:p w14:paraId="0E6D15CF">
            <w:pPr>
              <w:jc w:val="center"/>
              <w:rPr>
                <w:sz w:val="24"/>
              </w:rPr>
            </w:pPr>
            <w:r>
              <w:rPr>
                <w:sz w:val="24"/>
              </w:rPr>
              <w:t>现场考察</w:t>
            </w:r>
          </w:p>
        </w:tc>
        <w:tc>
          <w:tcPr>
            <w:tcW w:w="7540" w:type="dxa"/>
            <w:noWrap w:val="0"/>
            <w:vAlign w:val="center"/>
          </w:tcPr>
          <w:p w14:paraId="6D8094AB">
            <w:pPr>
              <w:jc w:val="left"/>
              <w:rPr>
                <w:sz w:val="24"/>
              </w:rPr>
            </w:pPr>
            <w:r>
              <w:rPr>
                <w:b/>
                <w:sz w:val="24"/>
              </w:rPr>
              <w:t>■</w:t>
            </w:r>
            <w:r>
              <w:rPr>
                <w:sz w:val="24"/>
              </w:rPr>
              <w:t>不组织</w:t>
            </w:r>
          </w:p>
          <w:p w14:paraId="0BDDC951">
            <w:pPr>
              <w:jc w:val="left"/>
              <w:rPr>
                <w:bCs/>
                <w:sz w:val="24"/>
              </w:rPr>
            </w:pPr>
            <w:r>
              <w:rPr>
                <w:sz w:val="24"/>
              </w:rPr>
              <w:t>□组织，考察时间：__年_月_日_</w:t>
            </w:r>
            <w:r>
              <w:rPr>
                <w:bCs/>
                <w:sz w:val="24"/>
              </w:rPr>
              <w:t>点</w:t>
            </w:r>
            <w:r>
              <w:rPr>
                <w:sz w:val="24"/>
              </w:rPr>
              <w:t>_</w:t>
            </w:r>
            <w:r>
              <w:rPr>
                <w:bCs/>
                <w:sz w:val="24"/>
              </w:rPr>
              <w:t>分</w:t>
            </w:r>
          </w:p>
          <w:p w14:paraId="12C26E93">
            <w:pPr>
              <w:pStyle w:val="23"/>
              <w:adjustRightInd w:val="0"/>
              <w:snapToGrid w:val="0"/>
              <w:rPr>
                <w:rFonts w:hint="default" w:ascii="Times New Roman" w:hAnsi="Times New Roman"/>
                <w:sz w:val="24"/>
                <w:szCs w:val="24"/>
              </w:rPr>
            </w:pPr>
            <w:r>
              <w:rPr>
                <w:rFonts w:hint="default" w:ascii="Times New Roman" w:hAnsi="Times New Roman"/>
                <w:sz w:val="24"/>
              </w:rPr>
              <w:t>考察地点：____________。</w:t>
            </w:r>
          </w:p>
        </w:tc>
      </w:tr>
      <w:tr w14:paraId="1B1FC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noWrap w:val="0"/>
            <w:vAlign w:val="center"/>
          </w:tcPr>
          <w:p w14:paraId="1D36EEC5">
            <w:pPr>
              <w:pStyle w:val="23"/>
              <w:adjustRightInd w:val="0"/>
              <w:snapToGrid w:val="0"/>
              <w:jc w:val="center"/>
              <w:rPr>
                <w:rFonts w:hint="default" w:ascii="Times New Roman" w:hAnsi="Times New Roman"/>
                <w:sz w:val="24"/>
                <w:szCs w:val="24"/>
              </w:rPr>
            </w:pPr>
          </w:p>
        </w:tc>
        <w:tc>
          <w:tcPr>
            <w:tcW w:w="1701" w:type="dxa"/>
            <w:noWrap w:val="0"/>
            <w:vAlign w:val="center"/>
          </w:tcPr>
          <w:p w14:paraId="066B161E">
            <w:pPr>
              <w:jc w:val="center"/>
              <w:rPr>
                <w:sz w:val="24"/>
              </w:rPr>
            </w:pPr>
            <w:r>
              <w:rPr>
                <w:sz w:val="24"/>
              </w:rPr>
              <w:t>开标前答疑会</w:t>
            </w:r>
          </w:p>
        </w:tc>
        <w:tc>
          <w:tcPr>
            <w:tcW w:w="7540" w:type="dxa"/>
            <w:noWrap w:val="0"/>
            <w:vAlign w:val="center"/>
          </w:tcPr>
          <w:p w14:paraId="41495191">
            <w:pPr>
              <w:jc w:val="left"/>
              <w:rPr>
                <w:sz w:val="24"/>
              </w:rPr>
            </w:pPr>
            <w:r>
              <w:rPr>
                <w:b/>
                <w:sz w:val="24"/>
              </w:rPr>
              <w:t>■</w:t>
            </w:r>
            <w:r>
              <w:rPr>
                <w:sz w:val="24"/>
              </w:rPr>
              <w:t>不召开</w:t>
            </w:r>
          </w:p>
          <w:p w14:paraId="52B22E97">
            <w:pPr>
              <w:jc w:val="left"/>
              <w:rPr>
                <w:sz w:val="24"/>
              </w:rPr>
            </w:pPr>
            <w:r>
              <w:rPr>
                <w:sz w:val="24"/>
              </w:rPr>
              <w:t>□召开，召开时间：__年_月_日_</w:t>
            </w:r>
            <w:r>
              <w:rPr>
                <w:bCs/>
                <w:sz w:val="24"/>
              </w:rPr>
              <w:t>点</w:t>
            </w:r>
            <w:r>
              <w:rPr>
                <w:sz w:val="24"/>
              </w:rPr>
              <w:t>_</w:t>
            </w:r>
            <w:r>
              <w:rPr>
                <w:bCs/>
                <w:sz w:val="24"/>
              </w:rPr>
              <w:t>分</w:t>
            </w:r>
          </w:p>
          <w:p w14:paraId="5EA6612E">
            <w:pPr>
              <w:jc w:val="left"/>
              <w:rPr>
                <w:sz w:val="24"/>
              </w:rPr>
            </w:pPr>
            <w:r>
              <w:rPr>
                <w:sz w:val="24"/>
              </w:rPr>
              <w:t>召开地点：____________。</w:t>
            </w:r>
          </w:p>
        </w:tc>
      </w:tr>
      <w:tr w14:paraId="24891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42373936">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4.1</w:t>
            </w:r>
          </w:p>
        </w:tc>
        <w:tc>
          <w:tcPr>
            <w:tcW w:w="1701" w:type="dxa"/>
            <w:noWrap w:val="0"/>
            <w:vAlign w:val="center"/>
          </w:tcPr>
          <w:p w14:paraId="270C7830">
            <w:pPr>
              <w:jc w:val="center"/>
              <w:rPr>
                <w:sz w:val="24"/>
              </w:rPr>
            </w:pPr>
            <w:r>
              <w:rPr>
                <w:sz w:val="24"/>
              </w:rPr>
              <w:t>样品</w:t>
            </w:r>
          </w:p>
        </w:tc>
        <w:tc>
          <w:tcPr>
            <w:tcW w:w="7540" w:type="dxa"/>
            <w:noWrap w:val="0"/>
            <w:vAlign w:val="center"/>
          </w:tcPr>
          <w:p w14:paraId="1401CFFE">
            <w:pPr>
              <w:jc w:val="left"/>
              <w:rPr>
                <w:sz w:val="24"/>
              </w:rPr>
            </w:pPr>
            <w:r>
              <w:rPr>
                <w:sz w:val="24"/>
              </w:rPr>
              <w:t>投标样品递交：</w:t>
            </w:r>
          </w:p>
          <w:p w14:paraId="0503BAC9">
            <w:pPr>
              <w:jc w:val="left"/>
              <w:rPr>
                <w:sz w:val="24"/>
              </w:rPr>
            </w:pPr>
            <w:r>
              <w:rPr>
                <w:b/>
                <w:sz w:val="24"/>
              </w:rPr>
              <w:t>■</w:t>
            </w:r>
            <w:r>
              <w:rPr>
                <w:sz w:val="24"/>
              </w:rPr>
              <w:t>不需要</w:t>
            </w:r>
          </w:p>
          <w:p w14:paraId="0DBED400">
            <w:pPr>
              <w:jc w:val="left"/>
              <w:rPr>
                <w:sz w:val="24"/>
              </w:rPr>
            </w:pPr>
            <w:r>
              <w:rPr>
                <w:sz w:val="24"/>
              </w:rPr>
              <w:t>□需要，具体要求如下：</w:t>
            </w:r>
          </w:p>
          <w:p w14:paraId="0D867857">
            <w:pPr>
              <w:jc w:val="left"/>
              <w:rPr>
                <w:sz w:val="24"/>
                <w:u w:val="single"/>
              </w:rPr>
            </w:pPr>
            <w:r>
              <w:rPr>
                <w:sz w:val="24"/>
              </w:rPr>
              <w:t>（1）样品制作的标准和要求：_________；</w:t>
            </w:r>
          </w:p>
          <w:p w14:paraId="01E4AD5A">
            <w:pPr>
              <w:jc w:val="left"/>
              <w:rPr>
                <w:sz w:val="24"/>
              </w:rPr>
            </w:pPr>
            <w:r>
              <w:rPr>
                <w:sz w:val="24"/>
              </w:rPr>
              <w:t>（2）是否需要随样品提交相关检测报告：</w:t>
            </w:r>
          </w:p>
          <w:p w14:paraId="2D467D83">
            <w:pPr>
              <w:ind w:firstLine="600" w:firstLineChars="250"/>
              <w:jc w:val="left"/>
              <w:rPr>
                <w:sz w:val="24"/>
              </w:rPr>
            </w:pPr>
            <w:r>
              <w:rPr>
                <w:sz w:val="24"/>
              </w:rPr>
              <w:t>□不需要</w:t>
            </w:r>
          </w:p>
          <w:p w14:paraId="4EA2A022">
            <w:pPr>
              <w:ind w:firstLine="600" w:firstLineChars="250"/>
              <w:jc w:val="left"/>
              <w:rPr>
                <w:sz w:val="24"/>
              </w:rPr>
            </w:pPr>
            <w:r>
              <w:rPr>
                <w:sz w:val="24"/>
              </w:rPr>
              <w:t>□需要</w:t>
            </w:r>
          </w:p>
          <w:p w14:paraId="613CE3F1">
            <w:pPr>
              <w:jc w:val="left"/>
              <w:rPr>
                <w:sz w:val="24"/>
              </w:rPr>
            </w:pPr>
            <w:r>
              <w:rPr>
                <w:sz w:val="24"/>
              </w:rPr>
              <w:t>（3）样品递交要求：_________；</w:t>
            </w:r>
          </w:p>
          <w:p w14:paraId="5C5E5E62">
            <w:pPr>
              <w:jc w:val="left"/>
              <w:rPr>
                <w:sz w:val="24"/>
              </w:rPr>
            </w:pPr>
            <w:r>
              <w:rPr>
                <w:sz w:val="24"/>
              </w:rPr>
              <w:t>（4）未中标人样品退还：_________；</w:t>
            </w:r>
          </w:p>
          <w:p w14:paraId="7F6570F6">
            <w:pPr>
              <w:jc w:val="left"/>
              <w:rPr>
                <w:sz w:val="24"/>
                <w:u w:val="single"/>
              </w:rPr>
            </w:pPr>
            <w:r>
              <w:rPr>
                <w:sz w:val="24"/>
              </w:rPr>
              <w:t>（5）中标人样品保管、封存及退还：_________；</w:t>
            </w:r>
          </w:p>
          <w:p w14:paraId="28481F2F">
            <w:pPr>
              <w:jc w:val="left"/>
              <w:rPr>
                <w:sz w:val="24"/>
              </w:rPr>
            </w:pPr>
            <w:r>
              <w:rPr>
                <w:sz w:val="24"/>
              </w:rPr>
              <w:t>（6）其他要求（如有）：_________。</w:t>
            </w:r>
          </w:p>
        </w:tc>
      </w:tr>
      <w:tr w14:paraId="3E74F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noWrap w:val="0"/>
            <w:vAlign w:val="center"/>
          </w:tcPr>
          <w:p w14:paraId="1A934AD9">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5.2.5</w:t>
            </w:r>
          </w:p>
        </w:tc>
        <w:tc>
          <w:tcPr>
            <w:tcW w:w="1701" w:type="dxa"/>
            <w:noWrap w:val="0"/>
            <w:vAlign w:val="center"/>
          </w:tcPr>
          <w:p w14:paraId="774BC7DE">
            <w:pPr>
              <w:jc w:val="center"/>
              <w:rPr>
                <w:sz w:val="24"/>
              </w:rPr>
            </w:pPr>
            <w:r>
              <w:rPr>
                <w:sz w:val="24"/>
              </w:rPr>
              <w:t>标的所属行业</w:t>
            </w:r>
          </w:p>
        </w:tc>
        <w:tc>
          <w:tcPr>
            <w:tcW w:w="7540" w:type="dxa"/>
            <w:noWrap w:val="0"/>
            <w:vAlign w:val="center"/>
          </w:tcPr>
          <w:p w14:paraId="034B498E">
            <w:pPr>
              <w:jc w:val="left"/>
              <w:rPr>
                <w:sz w:val="24"/>
                <w:highlight w:val="none"/>
              </w:rPr>
            </w:pPr>
            <w:r>
              <w:rPr>
                <w:sz w:val="24"/>
                <w:highlight w:val="none"/>
              </w:rPr>
              <w:t>本项目采购标的对应的中小企业划分标准所属行业：</w:t>
            </w:r>
          </w:p>
          <w:tbl>
            <w:tblPr>
              <w:tblStyle w:val="42"/>
              <w:tblW w:w="412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00"/>
              <w:gridCol w:w="3238"/>
            </w:tblGrid>
            <w:tr w14:paraId="0136B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18" w:type="pct"/>
                  <w:tcBorders>
                    <w:top w:val="single" w:color="auto" w:sz="4" w:space="0"/>
                    <w:left w:val="single" w:color="auto" w:sz="4" w:space="0"/>
                    <w:bottom w:val="single" w:color="auto" w:sz="4" w:space="0"/>
                    <w:right w:val="single" w:color="auto" w:sz="4" w:space="0"/>
                  </w:tcBorders>
                  <w:noWrap w:val="0"/>
                  <w:vAlign w:val="center"/>
                </w:tcPr>
                <w:p w14:paraId="6A95F06C">
                  <w:pPr>
                    <w:jc w:val="center"/>
                    <w:rPr>
                      <w:rFonts w:ascii="宋体" w:hAnsi="宋体"/>
                      <w:bCs/>
                      <w:sz w:val="24"/>
                      <w:highlight w:val="none"/>
                    </w:rPr>
                  </w:pPr>
                  <w:r>
                    <w:rPr>
                      <w:rFonts w:ascii="宋体" w:hAnsi="宋体"/>
                      <w:bCs/>
                      <w:sz w:val="24"/>
                      <w:highlight w:val="none"/>
                    </w:rPr>
                    <w:t>标的名称</w:t>
                  </w:r>
                </w:p>
              </w:tc>
              <w:tc>
                <w:tcPr>
                  <w:tcW w:w="2681" w:type="pct"/>
                  <w:tcBorders>
                    <w:top w:val="single" w:color="auto" w:sz="4" w:space="0"/>
                    <w:left w:val="single" w:color="auto" w:sz="4" w:space="0"/>
                    <w:bottom w:val="single" w:color="auto" w:sz="4" w:space="0"/>
                    <w:right w:val="single" w:color="auto" w:sz="4" w:space="0"/>
                  </w:tcBorders>
                  <w:noWrap w:val="0"/>
                  <w:vAlign w:val="center"/>
                </w:tcPr>
                <w:p w14:paraId="6B32F562">
                  <w:pPr>
                    <w:jc w:val="center"/>
                    <w:rPr>
                      <w:rFonts w:ascii="宋体" w:hAnsi="宋体"/>
                      <w:sz w:val="24"/>
                      <w:highlight w:val="none"/>
                    </w:rPr>
                  </w:pPr>
                  <w:r>
                    <w:rPr>
                      <w:rFonts w:ascii="宋体" w:hAnsi="宋体"/>
                      <w:sz w:val="24"/>
                      <w:highlight w:val="none"/>
                    </w:rPr>
                    <w:t>中小企业划分标准所属行业</w:t>
                  </w:r>
                </w:p>
              </w:tc>
            </w:tr>
            <w:tr w14:paraId="561AC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18" w:type="pct"/>
                  <w:tcBorders>
                    <w:top w:val="single" w:color="auto" w:sz="4" w:space="0"/>
                    <w:left w:val="single" w:color="auto" w:sz="4" w:space="0"/>
                    <w:bottom w:val="single" w:color="auto" w:sz="4" w:space="0"/>
                    <w:right w:val="single" w:color="auto" w:sz="4" w:space="0"/>
                  </w:tcBorders>
                  <w:noWrap w:val="0"/>
                  <w:vAlign w:val="center"/>
                </w:tcPr>
                <w:p w14:paraId="1BF250AF">
                  <w:pPr>
                    <w:jc w:val="center"/>
                    <w:rPr>
                      <w:rFonts w:ascii="宋体" w:hAnsi="宋体"/>
                      <w:bCs/>
                      <w:sz w:val="24"/>
                      <w:highlight w:val="none"/>
                    </w:rPr>
                  </w:pPr>
                  <w:r>
                    <w:rPr>
                      <w:rFonts w:hint="eastAsia"/>
                      <w:bCs/>
                      <w:sz w:val="24"/>
                      <w:lang w:eastAsia="zh-CN"/>
                    </w:rPr>
                    <w:t>大兴区720积水点治理工程新城地区防汛应急指挥系统运维保障服务项目</w:t>
                  </w:r>
                </w:p>
              </w:tc>
              <w:tc>
                <w:tcPr>
                  <w:tcW w:w="2681" w:type="pct"/>
                  <w:tcBorders>
                    <w:top w:val="single" w:color="auto" w:sz="4" w:space="0"/>
                    <w:left w:val="single" w:color="auto" w:sz="4" w:space="0"/>
                    <w:bottom w:val="single" w:color="auto" w:sz="4" w:space="0"/>
                    <w:right w:val="single" w:color="auto" w:sz="4" w:space="0"/>
                  </w:tcBorders>
                  <w:noWrap w:val="0"/>
                  <w:vAlign w:val="center"/>
                </w:tcPr>
                <w:p w14:paraId="10C09711">
                  <w:pPr>
                    <w:jc w:val="center"/>
                    <w:rPr>
                      <w:rFonts w:ascii="宋体" w:hAnsi="宋体"/>
                      <w:kern w:val="0"/>
                      <w:sz w:val="24"/>
                      <w:highlight w:val="none"/>
                    </w:rPr>
                  </w:pPr>
                  <w:r>
                    <w:rPr>
                      <w:rFonts w:hint="eastAsia" w:eastAsiaTheme="minorEastAsia"/>
                      <w:sz w:val="24"/>
                    </w:rPr>
                    <w:t>软件和信息技术服务业</w:t>
                  </w:r>
                </w:p>
              </w:tc>
            </w:tr>
          </w:tbl>
          <w:p w14:paraId="3BE41777">
            <w:pPr>
              <w:jc w:val="left"/>
              <w:rPr>
                <w:sz w:val="24"/>
                <w:highlight w:val="none"/>
              </w:rPr>
            </w:pPr>
          </w:p>
        </w:tc>
      </w:tr>
      <w:tr w14:paraId="12194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noWrap w:val="0"/>
            <w:vAlign w:val="center"/>
          </w:tcPr>
          <w:p w14:paraId="62A7F17B">
            <w:pPr>
              <w:pStyle w:val="23"/>
              <w:adjustRightInd w:val="0"/>
              <w:snapToGrid w:val="0"/>
              <w:jc w:val="center"/>
              <w:rPr>
                <w:rFonts w:hint="default" w:ascii="Times New Roman" w:hAnsi="Times New Roman"/>
                <w:sz w:val="24"/>
                <w:szCs w:val="24"/>
              </w:rPr>
            </w:pPr>
            <w:r>
              <w:rPr>
                <w:rFonts w:hint="default" w:ascii="Times New Roman" w:hAnsi="Times New Roman"/>
              </w:rPr>
              <w:br w:type="page"/>
            </w:r>
            <w:r>
              <w:rPr>
                <w:rFonts w:hint="default" w:ascii="Times New Roman" w:hAnsi="Times New Roman"/>
                <w:sz w:val="24"/>
                <w:szCs w:val="24"/>
              </w:rPr>
              <w:t>11.2</w:t>
            </w:r>
          </w:p>
        </w:tc>
        <w:tc>
          <w:tcPr>
            <w:tcW w:w="1701" w:type="dxa"/>
            <w:noWrap w:val="0"/>
            <w:vAlign w:val="center"/>
          </w:tcPr>
          <w:p w14:paraId="0F9C22B4">
            <w:pPr>
              <w:jc w:val="center"/>
              <w:rPr>
                <w:sz w:val="24"/>
              </w:rPr>
            </w:pPr>
            <w:r>
              <w:rPr>
                <w:sz w:val="24"/>
              </w:rPr>
              <w:t>投标报价</w:t>
            </w:r>
          </w:p>
        </w:tc>
        <w:tc>
          <w:tcPr>
            <w:tcW w:w="7540" w:type="dxa"/>
            <w:noWrap w:val="0"/>
            <w:vAlign w:val="center"/>
          </w:tcPr>
          <w:p w14:paraId="277B4F6C">
            <w:pPr>
              <w:jc w:val="left"/>
              <w:rPr>
                <w:sz w:val="24"/>
                <w:highlight w:val="none"/>
              </w:rPr>
            </w:pPr>
            <w:r>
              <w:rPr>
                <w:sz w:val="24"/>
                <w:highlight w:val="none"/>
              </w:rPr>
              <w:t>投标报价的特殊规定：</w:t>
            </w:r>
          </w:p>
          <w:p w14:paraId="39F3D971">
            <w:pPr>
              <w:jc w:val="left"/>
              <w:rPr>
                <w:sz w:val="24"/>
                <w:highlight w:val="none"/>
              </w:rPr>
            </w:pPr>
            <w:r>
              <w:rPr>
                <w:sz w:val="24"/>
                <w:highlight w:val="none"/>
              </w:rPr>
              <w:t>□无</w:t>
            </w:r>
          </w:p>
          <w:p w14:paraId="52460152">
            <w:pPr>
              <w:jc w:val="left"/>
              <w:rPr>
                <w:sz w:val="24"/>
                <w:highlight w:val="none"/>
              </w:rPr>
            </w:pPr>
            <w:r>
              <w:rPr>
                <w:b/>
                <w:sz w:val="24"/>
                <w:highlight w:val="none"/>
              </w:rPr>
              <w:t>■</w:t>
            </w:r>
            <w:r>
              <w:rPr>
                <w:sz w:val="24"/>
                <w:highlight w:val="none"/>
              </w:rPr>
              <w:t>有，具体情形：</w:t>
            </w:r>
            <w:r>
              <w:rPr>
                <w:sz w:val="24"/>
                <w:highlight w:val="none"/>
                <w:u w:val="single"/>
              </w:rPr>
              <w:t>最高投标限价：</w:t>
            </w:r>
            <w:r>
              <w:rPr>
                <w:rFonts w:hint="default"/>
                <w:sz w:val="24"/>
                <w:highlight w:val="none"/>
                <w:u w:val="single"/>
                <w:lang w:val="en-US" w:eastAsia="zh-CN"/>
              </w:rPr>
              <w:t>149.978</w:t>
            </w:r>
            <w:r>
              <w:rPr>
                <w:sz w:val="24"/>
                <w:highlight w:val="none"/>
                <w:u w:val="single"/>
              </w:rPr>
              <w:t>万元</w:t>
            </w:r>
            <w:r>
              <w:rPr>
                <w:sz w:val="24"/>
                <w:highlight w:val="none"/>
              </w:rPr>
              <w:t>。</w:t>
            </w:r>
          </w:p>
        </w:tc>
      </w:tr>
      <w:tr w14:paraId="1BAE9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noWrap w:val="0"/>
            <w:vAlign w:val="center"/>
          </w:tcPr>
          <w:p w14:paraId="3B43559A">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12.1</w:t>
            </w:r>
          </w:p>
        </w:tc>
        <w:tc>
          <w:tcPr>
            <w:tcW w:w="1701" w:type="dxa"/>
            <w:vMerge w:val="restart"/>
            <w:noWrap w:val="0"/>
            <w:vAlign w:val="center"/>
          </w:tcPr>
          <w:p w14:paraId="4DCBDD44">
            <w:pPr>
              <w:jc w:val="center"/>
              <w:rPr>
                <w:sz w:val="24"/>
              </w:rPr>
            </w:pPr>
            <w:r>
              <w:rPr>
                <w:sz w:val="24"/>
              </w:rPr>
              <w:t>投标保证金</w:t>
            </w:r>
          </w:p>
        </w:tc>
        <w:tc>
          <w:tcPr>
            <w:tcW w:w="7540" w:type="dxa"/>
            <w:noWrap w:val="0"/>
            <w:vAlign w:val="center"/>
          </w:tcPr>
          <w:p w14:paraId="67C774EA">
            <w:pPr>
              <w:pStyle w:val="23"/>
              <w:adjustRightInd w:val="0"/>
              <w:snapToGrid w:val="0"/>
              <w:rPr>
                <w:rFonts w:hint="default" w:ascii="Times New Roman" w:hAnsi="Times New Roman"/>
                <w:sz w:val="24"/>
                <w:szCs w:val="24"/>
              </w:rPr>
            </w:pPr>
            <w:r>
              <w:rPr>
                <w:rFonts w:hint="default" w:ascii="Times New Roman" w:hAnsi="Times New Roman"/>
                <w:sz w:val="24"/>
                <w:szCs w:val="24"/>
              </w:rPr>
              <w:t>投标保证金金额：</w:t>
            </w:r>
            <w:r>
              <w:rPr>
                <w:rFonts w:ascii="Times New Roman" w:hAnsi="Times New Roman"/>
                <w:sz w:val="24"/>
                <w:szCs w:val="24"/>
                <w:highlight w:val="none"/>
                <w:u w:val="single"/>
              </w:rPr>
              <w:t xml:space="preserve"> </w:t>
            </w:r>
            <w:r>
              <w:rPr>
                <w:rFonts w:ascii="Times New Roman" w:hAnsi="Times New Roman"/>
                <w:sz w:val="24"/>
                <w:u w:val="single"/>
              </w:rPr>
              <w:t>/</w:t>
            </w:r>
            <w:r>
              <w:rPr>
                <w:rFonts w:hint="default" w:ascii="Times New Roman" w:hAnsi="Times New Roman"/>
                <w:sz w:val="24"/>
                <w:u w:val="single"/>
              </w:rPr>
              <w:t xml:space="preserve"> </w:t>
            </w:r>
          </w:p>
          <w:p w14:paraId="13136964">
            <w:pPr>
              <w:pStyle w:val="23"/>
              <w:adjustRightInd w:val="0"/>
              <w:snapToGrid w:val="0"/>
              <w:rPr>
                <w:rFonts w:ascii="Times New Roman" w:hAnsi="Times New Roman"/>
                <w:sz w:val="24"/>
                <w:szCs w:val="24"/>
              </w:rPr>
            </w:pPr>
            <w:r>
              <w:rPr>
                <w:sz w:val="24"/>
              </w:rPr>
              <w:t>投标保证金收受人信息：</w:t>
            </w:r>
          </w:p>
          <w:p w14:paraId="39EBDBBA">
            <w:pPr>
              <w:pStyle w:val="23"/>
              <w:adjustRightInd w:val="0"/>
              <w:snapToGrid w:val="0"/>
              <w:spacing w:line="360" w:lineRule="auto"/>
              <w:rPr>
                <w:rFonts w:hint="default" w:ascii="Times New Roman" w:hAnsi="Times New Roman"/>
                <w:sz w:val="24"/>
                <w:szCs w:val="24"/>
                <w:u w:val="single"/>
              </w:rPr>
            </w:pPr>
            <w:r>
              <w:rPr>
                <w:rFonts w:ascii="Times New Roman" w:hAnsi="Times New Roman"/>
                <w:sz w:val="24"/>
                <w:szCs w:val="24"/>
                <w:u w:val="single"/>
              </w:rPr>
              <w:t>（1）投标保证金递交方式：政府采购法律法规接受的支票、汇票、本票、网上银行支付或者金融机构、担保机构出具的保函等非现金形式。</w:t>
            </w:r>
          </w:p>
          <w:p w14:paraId="6778F5DB">
            <w:pPr>
              <w:pStyle w:val="23"/>
              <w:adjustRightInd w:val="0"/>
              <w:snapToGrid w:val="0"/>
              <w:spacing w:line="360" w:lineRule="auto"/>
              <w:ind w:firstLine="241" w:firstLineChars="100"/>
              <w:rPr>
                <w:rFonts w:hint="default" w:ascii="Times New Roman" w:hAnsi="Times New Roman"/>
                <w:sz w:val="24"/>
                <w:szCs w:val="24"/>
                <w:u w:val="single"/>
              </w:rPr>
            </w:pPr>
            <w:r>
              <w:rPr>
                <w:rFonts w:hint="default" w:ascii="Times New Roman" w:hAnsi="Times New Roman"/>
                <w:b/>
                <w:sz w:val="24"/>
                <w:u w:val="single"/>
              </w:rPr>
              <w:t>■</w:t>
            </w:r>
            <w:r>
              <w:rPr>
                <w:rFonts w:ascii="Times New Roman" w:hAnsi="Times New Roman"/>
                <w:sz w:val="24"/>
                <w:szCs w:val="24"/>
                <w:u w:val="single"/>
              </w:rPr>
              <w:t>采用支票、汇票、本票、网上银行支付的，须从投标人企业基本账户转出，应当在投标截止时间以前到达下述招标人指定账户：</w:t>
            </w:r>
          </w:p>
          <w:p w14:paraId="477DFD69">
            <w:pPr>
              <w:pStyle w:val="23"/>
              <w:adjustRightInd w:val="0"/>
              <w:snapToGrid w:val="0"/>
              <w:spacing w:line="360" w:lineRule="auto"/>
              <w:ind w:firstLine="240" w:firstLineChars="100"/>
              <w:rPr>
                <w:rFonts w:hint="default" w:ascii="Times New Roman" w:hAnsi="Times New Roman"/>
                <w:sz w:val="24"/>
                <w:szCs w:val="24"/>
                <w:u w:val="single"/>
              </w:rPr>
            </w:pPr>
            <w:r>
              <w:rPr>
                <w:rFonts w:ascii="Times New Roman" w:hAnsi="Times New Roman"/>
                <w:sz w:val="24"/>
                <w:szCs w:val="24"/>
                <w:u w:val="single"/>
              </w:rPr>
              <w:t xml:space="preserve">账户名称：北京捷迅通力工程咨询有限公司 </w:t>
            </w:r>
          </w:p>
          <w:p w14:paraId="37D13024">
            <w:pPr>
              <w:pStyle w:val="23"/>
              <w:adjustRightInd w:val="0"/>
              <w:snapToGrid w:val="0"/>
              <w:spacing w:line="360" w:lineRule="auto"/>
              <w:ind w:firstLine="240" w:firstLineChars="100"/>
              <w:rPr>
                <w:rFonts w:hint="default" w:ascii="Times New Roman" w:hAnsi="Times New Roman"/>
                <w:sz w:val="24"/>
                <w:szCs w:val="24"/>
                <w:u w:val="single"/>
              </w:rPr>
            </w:pPr>
            <w:r>
              <w:rPr>
                <w:rFonts w:ascii="Times New Roman" w:hAnsi="Times New Roman"/>
                <w:sz w:val="24"/>
                <w:szCs w:val="24"/>
                <w:u w:val="single"/>
              </w:rPr>
              <w:t>账    号：11110301040001405</w:t>
            </w:r>
          </w:p>
          <w:p w14:paraId="25E63F30">
            <w:pPr>
              <w:pStyle w:val="23"/>
              <w:adjustRightInd w:val="0"/>
              <w:snapToGrid w:val="0"/>
              <w:spacing w:line="360" w:lineRule="auto"/>
              <w:ind w:firstLine="240" w:firstLineChars="100"/>
              <w:rPr>
                <w:rFonts w:hint="default" w:ascii="Times New Roman" w:hAnsi="Times New Roman"/>
                <w:sz w:val="24"/>
                <w:szCs w:val="24"/>
                <w:u w:val="single"/>
              </w:rPr>
            </w:pPr>
            <w:r>
              <w:rPr>
                <w:rFonts w:ascii="Times New Roman" w:hAnsi="Times New Roman"/>
                <w:sz w:val="24"/>
                <w:szCs w:val="24"/>
                <w:u w:val="single"/>
              </w:rPr>
              <w:t>开户行：中国农业银行北京清城支行</w:t>
            </w:r>
          </w:p>
          <w:p w14:paraId="2300E418">
            <w:pPr>
              <w:pStyle w:val="23"/>
              <w:adjustRightInd w:val="0"/>
              <w:snapToGrid w:val="0"/>
              <w:spacing w:line="360" w:lineRule="auto"/>
              <w:ind w:firstLine="240" w:firstLineChars="100"/>
              <w:rPr>
                <w:rFonts w:hint="default" w:ascii="Times New Roman" w:hAnsi="Times New Roman"/>
                <w:sz w:val="24"/>
                <w:szCs w:val="24"/>
                <w:u w:val="single"/>
              </w:rPr>
            </w:pPr>
            <w:r>
              <w:rPr>
                <w:rFonts w:ascii="Times New Roman" w:hAnsi="Times New Roman"/>
                <w:sz w:val="24"/>
                <w:szCs w:val="24"/>
                <w:u w:val="single"/>
              </w:rPr>
              <w:t>异地联行号：103100011032</w:t>
            </w:r>
          </w:p>
          <w:p w14:paraId="1F0D85AF">
            <w:pPr>
              <w:pStyle w:val="23"/>
              <w:adjustRightInd w:val="0"/>
              <w:snapToGrid w:val="0"/>
              <w:spacing w:line="360" w:lineRule="auto"/>
              <w:rPr>
                <w:rFonts w:hint="default" w:ascii="Times New Roman" w:hAnsi="Times New Roman"/>
                <w:sz w:val="24"/>
                <w:szCs w:val="24"/>
                <w:u w:val="single"/>
              </w:rPr>
            </w:pPr>
            <w:r>
              <w:rPr>
                <w:rFonts w:ascii="Times New Roman" w:hAnsi="Times New Roman"/>
                <w:sz w:val="24"/>
                <w:szCs w:val="24"/>
                <w:u w:val="single"/>
              </w:rPr>
              <w:t>（2）网上银行支付需注明项目名称及项目编号。（如因未注明项目名称及项目编号所造成的一切后果均由投标人自行负责，项目名称及项目编号无法全名标注时可简写。）投标人将汇款凭证（原件扫描件加盖单位公章）及开户许可证或基本账户证明材料（原件扫描件加盖单位公章）一同纳入投标文件中。</w:t>
            </w:r>
          </w:p>
          <w:p w14:paraId="0D2283D5">
            <w:pPr>
              <w:jc w:val="left"/>
              <w:rPr>
                <w:sz w:val="24"/>
              </w:rPr>
            </w:pPr>
            <w:r>
              <w:rPr>
                <w:rFonts w:hint="eastAsia"/>
                <w:sz w:val="24"/>
                <w:u w:val="single"/>
              </w:rPr>
              <w:t>（3）以金融机构、担保机构出具的保函等形式提交投标保证金的，应在投标截止时间前将原件提交至采购代理机构</w:t>
            </w:r>
            <w:r>
              <w:rPr>
                <w:sz w:val="24"/>
                <w:u w:val="single"/>
              </w:rPr>
              <w:t>。</w:t>
            </w:r>
          </w:p>
        </w:tc>
      </w:tr>
      <w:tr w14:paraId="1C055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1A4F5D44">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12.</w:t>
            </w:r>
            <w:r>
              <w:rPr>
                <w:rFonts w:ascii="Times New Roman" w:hAnsi="Times New Roman"/>
                <w:sz w:val="24"/>
                <w:szCs w:val="24"/>
              </w:rPr>
              <w:t>8</w:t>
            </w:r>
            <w:r>
              <w:rPr>
                <w:rFonts w:hint="default" w:ascii="Times New Roman" w:hAnsi="Times New Roman"/>
                <w:sz w:val="24"/>
                <w:szCs w:val="24"/>
              </w:rPr>
              <w:t>.2</w:t>
            </w:r>
          </w:p>
        </w:tc>
        <w:tc>
          <w:tcPr>
            <w:tcW w:w="1701" w:type="dxa"/>
            <w:vMerge w:val="continue"/>
            <w:noWrap w:val="0"/>
            <w:vAlign w:val="center"/>
          </w:tcPr>
          <w:p w14:paraId="5A5586D9">
            <w:pPr>
              <w:jc w:val="center"/>
              <w:rPr>
                <w:sz w:val="24"/>
              </w:rPr>
            </w:pPr>
          </w:p>
        </w:tc>
        <w:tc>
          <w:tcPr>
            <w:tcW w:w="7540" w:type="dxa"/>
            <w:noWrap w:val="0"/>
            <w:vAlign w:val="center"/>
          </w:tcPr>
          <w:p w14:paraId="61C0AA19">
            <w:pPr>
              <w:jc w:val="left"/>
              <w:rPr>
                <w:sz w:val="24"/>
              </w:rPr>
            </w:pPr>
            <w:r>
              <w:rPr>
                <w:sz w:val="24"/>
              </w:rPr>
              <w:t>投标保证金可以不予退还的其他情形：</w:t>
            </w:r>
          </w:p>
          <w:p w14:paraId="7978B0EB">
            <w:pPr>
              <w:jc w:val="left"/>
              <w:rPr>
                <w:sz w:val="24"/>
              </w:rPr>
            </w:pPr>
            <w:r>
              <w:rPr>
                <w:sz w:val="24"/>
              </w:rPr>
              <w:t>□无</w:t>
            </w:r>
          </w:p>
          <w:p w14:paraId="5D36AC2C">
            <w:pPr>
              <w:pStyle w:val="23"/>
              <w:adjustRightInd w:val="0"/>
              <w:snapToGrid w:val="0"/>
              <w:rPr>
                <w:rFonts w:hint="default" w:ascii="Times New Roman" w:hAnsi="Times New Roman"/>
                <w:sz w:val="24"/>
                <w:szCs w:val="24"/>
              </w:rPr>
            </w:pPr>
            <w:r>
              <w:rPr>
                <w:rFonts w:hint="default" w:ascii="Times New Roman" w:hAnsi="Times New Roman"/>
                <w:sz w:val="24"/>
              </w:rPr>
              <w:t>□有，具体情形：</w:t>
            </w:r>
            <w:r>
              <w:rPr>
                <w:rFonts w:ascii="Times New Roman" w:hAnsi="Times New Roman"/>
                <w:sz w:val="24"/>
              </w:rPr>
              <w:t>中标企业不按本须知相关规定与采购人签订合同的</w:t>
            </w:r>
            <w:r>
              <w:rPr>
                <w:rFonts w:hint="default" w:ascii="Times New Roman" w:hAnsi="Times New Roman"/>
                <w:sz w:val="24"/>
              </w:rPr>
              <w:t>。</w:t>
            </w:r>
          </w:p>
        </w:tc>
      </w:tr>
      <w:tr w14:paraId="6C314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732878D1">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13.1</w:t>
            </w:r>
          </w:p>
        </w:tc>
        <w:tc>
          <w:tcPr>
            <w:tcW w:w="1701" w:type="dxa"/>
            <w:noWrap w:val="0"/>
            <w:vAlign w:val="center"/>
          </w:tcPr>
          <w:p w14:paraId="254959DE">
            <w:pPr>
              <w:jc w:val="center"/>
              <w:rPr>
                <w:sz w:val="24"/>
              </w:rPr>
            </w:pPr>
            <w:r>
              <w:rPr>
                <w:sz w:val="24"/>
              </w:rPr>
              <w:t>投标有效期</w:t>
            </w:r>
          </w:p>
        </w:tc>
        <w:tc>
          <w:tcPr>
            <w:tcW w:w="7540" w:type="dxa"/>
            <w:noWrap w:val="0"/>
            <w:vAlign w:val="center"/>
          </w:tcPr>
          <w:p w14:paraId="6DA05B3F">
            <w:pPr>
              <w:jc w:val="left"/>
              <w:rPr>
                <w:sz w:val="24"/>
              </w:rPr>
            </w:pPr>
            <w:r>
              <w:rPr>
                <w:sz w:val="24"/>
              </w:rPr>
              <w:t>自提交投标文件的截止之日起算</w:t>
            </w:r>
            <w:r>
              <w:rPr>
                <w:sz w:val="24"/>
                <w:u w:val="single"/>
              </w:rPr>
              <w:t>90</w:t>
            </w:r>
            <w:r>
              <w:rPr>
                <w:sz w:val="24"/>
              </w:rPr>
              <w:t>日历天。</w:t>
            </w:r>
          </w:p>
        </w:tc>
      </w:tr>
      <w:tr w14:paraId="58777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39FFF56D">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18.2</w:t>
            </w:r>
          </w:p>
        </w:tc>
        <w:tc>
          <w:tcPr>
            <w:tcW w:w="1701" w:type="dxa"/>
            <w:noWrap w:val="0"/>
            <w:vAlign w:val="center"/>
          </w:tcPr>
          <w:p w14:paraId="715CCE2F">
            <w:pPr>
              <w:jc w:val="center"/>
              <w:rPr>
                <w:sz w:val="24"/>
              </w:rPr>
            </w:pPr>
            <w:r>
              <w:rPr>
                <w:sz w:val="24"/>
              </w:rPr>
              <w:t>解密时间</w:t>
            </w:r>
          </w:p>
        </w:tc>
        <w:tc>
          <w:tcPr>
            <w:tcW w:w="7540" w:type="dxa"/>
            <w:noWrap w:val="0"/>
            <w:vAlign w:val="center"/>
          </w:tcPr>
          <w:p w14:paraId="7F3FF0E9">
            <w:pPr>
              <w:jc w:val="left"/>
              <w:rPr>
                <w:sz w:val="24"/>
                <w:u w:val="single"/>
              </w:rPr>
            </w:pPr>
            <w:r>
              <w:rPr>
                <w:sz w:val="24"/>
              </w:rPr>
              <w:t>解密时间：</w:t>
            </w:r>
            <w:r>
              <w:rPr>
                <w:rFonts w:hint="eastAsia"/>
                <w:sz w:val="24"/>
                <w:u w:val="single"/>
                <w:lang w:val="en-US" w:eastAsia="zh-CN"/>
              </w:rPr>
              <w:t>60</w:t>
            </w:r>
            <w:r>
              <w:rPr>
                <w:sz w:val="24"/>
              </w:rPr>
              <w:t>分钟</w:t>
            </w:r>
          </w:p>
        </w:tc>
      </w:tr>
      <w:tr w14:paraId="19546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70950CB2">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22.1</w:t>
            </w:r>
          </w:p>
        </w:tc>
        <w:tc>
          <w:tcPr>
            <w:tcW w:w="1701" w:type="dxa"/>
            <w:noWrap w:val="0"/>
            <w:vAlign w:val="center"/>
          </w:tcPr>
          <w:p w14:paraId="30DDE6EB">
            <w:pPr>
              <w:jc w:val="center"/>
              <w:rPr>
                <w:sz w:val="24"/>
              </w:rPr>
            </w:pPr>
            <w:r>
              <w:rPr>
                <w:sz w:val="24"/>
              </w:rPr>
              <w:t>确定中标人</w:t>
            </w:r>
          </w:p>
        </w:tc>
        <w:tc>
          <w:tcPr>
            <w:tcW w:w="7540" w:type="dxa"/>
            <w:noWrap w:val="0"/>
            <w:vAlign w:val="center"/>
          </w:tcPr>
          <w:p w14:paraId="769DE13B">
            <w:pPr>
              <w:pStyle w:val="23"/>
              <w:adjustRightInd w:val="0"/>
              <w:snapToGrid w:val="0"/>
              <w:rPr>
                <w:rFonts w:hint="default" w:ascii="Times New Roman" w:hAnsi="Times New Roman"/>
                <w:sz w:val="24"/>
              </w:rPr>
            </w:pPr>
            <w:r>
              <w:rPr>
                <w:rFonts w:hint="default" w:ascii="Times New Roman" w:hAnsi="Times New Roman"/>
                <w:sz w:val="24"/>
              </w:rPr>
              <w:t>中标候选人并列的，采购人是否委托评标委员会确定中标人：</w:t>
            </w:r>
          </w:p>
          <w:p w14:paraId="55ADFBEF">
            <w:pPr>
              <w:pStyle w:val="23"/>
              <w:adjustRightInd w:val="0"/>
              <w:snapToGrid w:val="0"/>
              <w:rPr>
                <w:rFonts w:hint="default" w:ascii="Times New Roman" w:hAnsi="Times New Roman"/>
                <w:sz w:val="24"/>
              </w:rPr>
            </w:pPr>
            <w:r>
              <w:rPr>
                <w:rFonts w:hint="default" w:ascii="Times New Roman" w:hAnsi="Times New Roman"/>
                <w:b/>
                <w:sz w:val="24"/>
              </w:rPr>
              <w:t>■</w:t>
            </w:r>
            <w:r>
              <w:rPr>
                <w:rFonts w:hint="default" w:ascii="Times New Roman" w:hAnsi="Times New Roman"/>
                <w:sz w:val="24"/>
              </w:rPr>
              <w:t>否</w:t>
            </w:r>
          </w:p>
          <w:p w14:paraId="7BA0D786">
            <w:pPr>
              <w:pStyle w:val="23"/>
              <w:adjustRightInd w:val="0"/>
              <w:snapToGrid w:val="0"/>
              <w:rPr>
                <w:rFonts w:hint="default" w:ascii="Times New Roman" w:hAnsi="Times New Roman"/>
                <w:sz w:val="24"/>
              </w:rPr>
            </w:pPr>
            <w:r>
              <w:rPr>
                <w:rFonts w:hint="default" w:ascii="Times New Roman" w:hAnsi="Times New Roman"/>
                <w:sz w:val="24"/>
              </w:rPr>
              <w:t>□是</w:t>
            </w:r>
          </w:p>
          <w:p w14:paraId="63BFEAE6">
            <w:pPr>
              <w:pStyle w:val="23"/>
              <w:adjustRightInd w:val="0"/>
              <w:snapToGrid w:val="0"/>
              <w:rPr>
                <w:rFonts w:hint="default" w:ascii="Times New Roman" w:hAnsi="Times New Roman"/>
              </w:rPr>
            </w:pPr>
            <w:r>
              <w:rPr>
                <w:rFonts w:hint="default" w:ascii="Times New Roman" w:hAnsi="Times New Roman"/>
                <w:sz w:val="24"/>
              </w:rPr>
              <w:t>中标候选人并列的，按照以下方式确定中标人：</w:t>
            </w:r>
            <w:r>
              <w:rPr>
                <w:rFonts w:hint="default" w:ascii="Times New Roman" w:hAnsi="Times New Roman"/>
              </w:rPr>
              <w:t xml:space="preserve"> </w:t>
            </w:r>
          </w:p>
          <w:p w14:paraId="779EC8BF">
            <w:pPr>
              <w:pStyle w:val="23"/>
              <w:adjustRightInd w:val="0"/>
              <w:snapToGrid w:val="0"/>
              <w:rPr>
                <w:rFonts w:hint="default" w:ascii="Times New Roman" w:hAnsi="Times New Roman"/>
                <w:sz w:val="24"/>
              </w:rPr>
            </w:pPr>
            <w:r>
              <w:rPr>
                <w:rFonts w:hint="default" w:ascii="Times New Roman" w:hAnsi="Times New Roman"/>
                <w:b/>
                <w:sz w:val="24"/>
              </w:rPr>
              <w:t>■</w:t>
            </w:r>
            <w:r>
              <w:rPr>
                <w:rFonts w:hint="default" w:ascii="Times New Roman" w:hAnsi="Times New Roman"/>
                <w:sz w:val="24"/>
              </w:rPr>
              <w:t>得分且投标报价均相同的，以</w:t>
            </w:r>
            <w:r>
              <w:rPr>
                <w:rFonts w:hint="default" w:ascii="Times New Roman" w:hAnsi="Times New Roman"/>
                <w:sz w:val="24"/>
                <w:u w:val="single"/>
              </w:rPr>
              <w:t xml:space="preserve"> </w:t>
            </w:r>
            <w:r>
              <w:rPr>
                <w:rFonts w:ascii="Times New Roman" w:hAnsi="Times New Roman"/>
                <w:sz w:val="24"/>
                <w:u w:val="single"/>
              </w:rPr>
              <w:t xml:space="preserve">技术部分 </w:t>
            </w:r>
            <w:r>
              <w:rPr>
                <w:rFonts w:hint="default" w:ascii="Times New Roman" w:hAnsi="Times New Roman"/>
                <w:sz w:val="24"/>
              </w:rPr>
              <w:t>得分高者为中标人</w:t>
            </w:r>
          </w:p>
          <w:p w14:paraId="7CA586F7">
            <w:pPr>
              <w:jc w:val="left"/>
              <w:rPr>
                <w:sz w:val="24"/>
                <w:u w:val="single"/>
              </w:rPr>
            </w:pPr>
            <w:r>
              <w:rPr>
                <w:sz w:val="24"/>
              </w:rPr>
              <w:t>□随机抽取</w:t>
            </w:r>
          </w:p>
        </w:tc>
      </w:tr>
      <w:tr w14:paraId="3E858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268F3850">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25.5</w:t>
            </w:r>
          </w:p>
        </w:tc>
        <w:tc>
          <w:tcPr>
            <w:tcW w:w="1701" w:type="dxa"/>
            <w:noWrap w:val="0"/>
            <w:vAlign w:val="center"/>
          </w:tcPr>
          <w:p w14:paraId="5F3661DC">
            <w:pPr>
              <w:jc w:val="center"/>
              <w:rPr>
                <w:sz w:val="24"/>
              </w:rPr>
            </w:pPr>
            <w:r>
              <w:rPr>
                <w:sz w:val="24"/>
              </w:rPr>
              <w:t>分包</w:t>
            </w:r>
          </w:p>
        </w:tc>
        <w:tc>
          <w:tcPr>
            <w:tcW w:w="7540" w:type="dxa"/>
            <w:noWrap w:val="0"/>
            <w:vAlign w:val="center"/>
          </w:tcPr>
          <w:p w14:paraId="6BA89703">
            <w:pPr>
              <w:jc w:val="left"/>
              <w:rPr>
                <w:sz w:val="24"/>
              </w:rPr>
            </w:pPr>
            <w:r>
              <w:rPr>
                <w:sz w:val="24"/>
              </w:rPr>
              <w:t xml:space="preserve">本项目的非主体、非关键性工作是否允许分包： </w:t>
            </w:r>
          </w:p>
          <w:p w14:paraId="210C8A85">
            <w:pPr>
              <w:jc w:val="left"/>
              <w:rPr>
                <w:sz w:val="24"/>
              </w:rPr>
            </w:pPr>
            <w:r>
              <w:rPr>
                <w:b/>
                <w:sz w:val="24"/>
              </w:rPr>
              <w:t>■</w:t>
            </w:r>
            <w:r>
              <w:rPr>
                <w:sz w:val="24"/>
              </w:rPr>
              <w:t>不允许</w:t>
            </w:r>
          </w:p>
          <w:p w14:paraId="2D953604">
            <w:pPr>
              <w:jc w:val="left"/>
              <w:rPr>
                <w:sz w:val="24"/>
              </w:rPr>
            </w:pPr>
            <w:r>
              <w:rPr>
                <w:sz w:val="24"/>
              </w:rPr>
              <w:t>□允许，具体要求：</w:t>
            </w:r>
          </w:p>
          <w:p w14:paraId="482FAD60">
            <w:pPr>
              <w:jc w:val="left"/>
              <w:rPr>
                <w:sz w:val="24"/>
              </w:rPr>
            </w:pPr>
            <w:r>
              <w:rPr>
                <w:sz w:val="24"/>
              </w:rPr>
              <w:t>（1）可以分包履行的具体内容：_____；</w:t>
            </w:r>
          </w:p>
          <w:p w14:paraId="27BDC440">
            <w:pPr>
              <w:jc w:val="left"/>
              <w:rPr>
                <w:sz w:val="24"/>
              </w:rPr>
            </w:pPr>
            <w:r>
              <w:rPr>
                <w:sz w:val="24"/>
              </w:rPr>
              <w:t>（2）允许分包的金额或者比例：_____；</w:t>
            </w:r>
          </w:p>
          <w:p w14:paraId="2A98D6AC">
            <w:pPr>
              <w:jc w:val="left"/>
              <w:rPr>
                <w:sz w:val="24"/>
                <w:u w:val="single"/>
              </w:rPr>
            </w:pPr>
            <w:r>
              <w:rPr>
                <w:sz w:val="24"/>
              </w:rPr>
              <w:t>（3）其他要求：_____。</w:t>
            </w:r>
          </w:p>
        </w:tc>
      </w:tr>
      <w:tr w14:paraId="5884F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4BFBB891">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25.6</w:t>
            </w:r>
          </w:p>
        </w:tc>
        <w:tc>
          <w:tcPr>
            <w:tcW w:w="1701" w:type="dxa"/>
            <w:noWrap w:val="0"/>
            <w:vAlign w:val="center"/>
          </w:tcPr>
          <w:p w14:paraId="340C7723">
            <w:pPr>
              <w:jc w:val="center"/>
              <w:rPr>
                <w:sz w:val="24"/>
              </w:rPr>
            </w:pPr>
            <w:r>
              <w:rPr>
                <w:sz w:val="24"/>
              </w:rPr>
              <w:t>政采贷</w:t>
            </w:r>
          </w:p>
        </w:tc>
        <w:tc>
          <w:tcPr>
            <w:tcW w:w="7540" w:type="dxa"/>
            <w:noWrap w:val="0"/>
            <w:vAlign w:val="center"/>
          </w:tcPr>
          <w:p w14:paraId="44907D73">
            <w:pPr>
              <w:jc w:val="left"/>
              <w:rPr>
                <w:sz w:val="24"/>
              </w:rPr>
            </w:pPr>
            <w:r>
              <w:rPr>
                <w:kern w:val="0"/>
                <w:sz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14:paraId="4D898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622791A0">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26.1.1</w:t>
            </w:r>
          </w:p>
        </w:tc>
        <w:tc>
          <w:tcPr>
            <w:tcW w:w="1701" w:type="dxa"/>
            <w:noWrap w:val="0"/>
            <w:vAlign w:val="center"/>
          </w:tcPr>
          <w:p w14:paraId="6FB35E2F">
            <w:pPr>
              <w:jc w:val="center"/>
              <w:rPr>
                <w:sz w:val="24"/>
              </w:rPr>
            </w:pPr>
            <w:r>
              <w:rPr>
                <w:sz w:val="24"/>
              </w:rPr>
              <w:t>询问</w:t>
            </w:r>
          </w:p>
        </w:tc>
        <w:tc>
          <w:tcPr>
            <w:tcW w:w="7540" w:type="dxa"/>
            <w:noWrap w:val="0"/>
            <w:vAlign w:val="center"/>
          </w:tcPr>
          <w:p w14:paraId="68E3086A">
            <w:pPr>
              <w:jc w:val="left"/>
              <w:rPr>
                <w:sz w:val="24"/>
              </w:rPr>
            </w:pPr>
            <w:r>
              <w:rPr>
                <w:sz w:val="24"/>
              </w:rPr>
              <w:t>询问</w:t>
            </w:r>
            <w:r>
              <w:rPr>
                <w:rFonts w:hint="eastAsia"/>
                <w:sz w:val="24"/>
              </w:rPr>
              <w:t>提出</w:t>
            </w:r>
            <w:r>
              <w:rPr>
                <w:sz w:val="24"/>
              </w:rPr>
              <w:t>形式：</w:t>
            </w:r>
            <w:r>
              <w:rPr>
                <w:rFonts w:hint="eastAsia"/>
                <w:sz w:val="24"/>
              </w:rPr>
              <w:t>书面形式</w:t>
            </w:r>
          </w:p>
        </w:tc>
      </w:tr>
      <w:tr w14:paraId="01FD9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68516F1E">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26.3</w:t>
            </w:r>
          </w:p>
        </w:tc>
        <w:tc>
          <w:tcPr>
            <w:tcW w:w="1701" w:type="dxa"/>
            <w:noWrap w:val="0"/>
            <w:vAlign w:val="center"/>
          </w:tcPr>
          <w:p w14:paraId="626CA941">
            <w:pPr>
              <w:jc w:val="center"/>
              <w:rPr>
                <w:sz w:val="24"/>
              </w:rPr>
            </w:pPr>
            <w:r>
              <w:rPr>
                <w:sz w:val="24"/>
              </w:rPr>
              <w:t>联系方式</w:t>
            </w:r>
          </w:p>
        </w:tc>
        <w:tc>
          <w:tcPr>
            <w:tcW w:w="7540" w:type="dxa"/>
            <w:noWrap w:val="0"/>
            <w:vAlign w:val="center"/>
          </w:tcPr>
          <w:p w14:paraId="5F7F1645">
            <w:pPr>
              <w:jc w:val="left"/>
              <w:rPr>
                <w:sz w:val="24"/>
              </w:rPr>
            </w:pPr>
            <w:r>
              <w:rPr>
                <w:sz w:val="24"/>
              </w:rPr>
              <w:t>接收询问和质疑的联系方式</w:t>
            </w:r>
          </w:p>
          <w:p w14:paraId="158D9B1C">
            <w:pPr>
              <w:jc w:val="left"/>
              <w:rPr>
                <w:sz w:val="24"/>
              </w:rPr>
            </w:pPr>
            <w:r>
              <w:rPr>
                <w:sz w:val="24"/>
              </w:rPr>
              <w:t>联系部门：</w:t>
            </w:r>
            <w:r>
              <w:rPr>
                <w:rFonts w:hint="eastAsia"/>
                <w:sz w:val="24"/>
                <w:u w:val="single"/>
              </w:rPr>
              <w:t>招标部</w:t>
            </w:r>
            <w:r>
              <w:rPr>
                <w:sz w:val="24"/>
                <w:u w:val="single"/>
              </w:rPr>
              <w:t>；</w:t>
            </w:r>
          </w:p>
          <w:p w14:paraId="3ED9B7B1">
            <w:pPr>
              <w:jc w:val="left"/>
              <w:rPr>
                <w:sz w:val="24"/>
              </w:rPr>
            </w:pPr>
            <w:r>
              <w:rPr>
                <w:sz w:val="24"/>
              </w:rPr>
              <w:t>联系电话：</w:t>
            </w:r>
            <w:r>
              <w:rPr>
                <w:sz w:val="24"/>
                <w:u w:val="single"/>
              </w:rPr>
              <w:t>010-60218807；</w:t>
            </w:r>
          </w:p>
          <w:p w14:paraId="722E8EF2">
            <w:pPr>
              <w:jc w:val="left"/>
              <w:rPr>
                <w:sz w:val="24"/>
              </w:rPr>
            </w:pPr>
            <w:r>
              <w:rPr>
                <w:sz w:val="24"/>
              </w:rPr>
              <w:t>通讯地址：</w:t>
            </w:r>
            <w:r>
              <w:rPr>
                <w:rFonts w:hint="eastAsia"/>
                <w:sz w:val="24"/>
                <w:u w:val="single"/>
              </w:rPr>
              <w:t>北京市大兴区金华寺东路2号西配房103室</w:t>
            </w:r>
            <w:r>
              <w:rPr>
                <w:sz w:val="24"/>
                <w:u w:val="single"/>
              </w:rPr>
              <w:t>。</w:t>
            </w:r>
          </w:p>
        </w:tc>
      </w:tr>
      <w:tr w14:paraId="2532C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noWrap w:val="0"/>
            <w:vAlign w:val="center"/>
          </w:tcPr>
          <w:p w14:paraId="3076217A">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27</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5ED1D1E1">
            <w:pPr>
              <w:jc w:val="center"/>
              <w:rPr>
                <w:sz w:val="24"/>
              </w:rPr>
            </w:pPr>
            <w:r>
              <w:rPr>
                <w:sz w:val="24"/>
              </w:rPr>
              <w:t>代理费</w:t>
            </w:r>
          </w:p>
        </w:tc>
        <w:tc>
          <w:tcPr>
            <w:tcW w:w="7540" w:type="dxa"/>
            <w:tcBorders>
              <w:top w:val="single" w:color="auto" w:sz="4" w:space="0"/>
              <w:left w:val="single" w:color="auto" w:sz="4" w:space="0"/>
              <w:bottom w:val="single" w:color="auto" w:sz="4" w:space="0"/>
              <w:right w:val="single" w:color="auto" w:sz="4" w:space="0"/>
            </w:tcBorders>
            <w:noWrap w:val="0"/>
            <w:vAlign w:val="center"/>
          </w:tcPr>
          <w:p w14:paraId="20E22FDE">
            <w:pPr>
              <w:jc w:val="left"/>
              <w:rPr>
                <w:sz w:val="24"/>
              </w:rPr>
            </w:pPr>
            <w:r>
              <w:rPr>
                <w:sz w:val="24"/>
              </w:rPr>
              <w:t>收费对象：</w:t>
            </w:r>
          </w:p>
          <w:p w14:paraId="098A0045">
            <w:pPr>
              <w:jc w:val="left"/>
              <w:rPr>
                <w:sz w:val="24"/>
              </w:rPr>
            </w:pPr>
            <w:r>
              <w:rPr>
                <w:sz w:val="24"/>
              </w:rPr>
              <w:t>□采购人</w:t>
            </w:r>
          </w:p>
          <w:p w14:paraId="1921D8A9">
            <w:pPr>
              <w:jc w:val="left"/>
              <w:rPr>
                <w:sz w:val="24"/>
              </w:rPr>
            </w:pPr>
            <w:r>
              <w:rPr>
                <w:b/>
                <w:sz w:val="24"/>
              </w:rPr>
              <w:t>■</w:t>
            </w:r>
            <w:r>
              <w:rPr>
                <w:sz w:val="24"/>
              </w:rPr>
              <w:t>中标人</w:t>
            </w:r>
          </w:p>
          <w:p w14:paraId="5E52B030">
            <w:pPr>
              <w:jc w:val="left"/>
              <w:rPr>
                <w:sz w:val="24"/>
              </w:rPr>
            </w:pPr>
            <w:r>
              <w:drawing>
                <wp:inline distT="0" distB="0" distL="114300" distR="114300">
                  <wp:extent cx="4460240" cy="1845945"/>
                  <wp:effectExtent l="0" t="0" r="5080" b="13335"/>
                  <wp:docPr id="2" name="图片 2" descr="d4f105dd8ecf9a25a9124882dd49b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d4f105dd8ecf9a25a9124882dd49b3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a:xfrm>
                            <a:off x="0" y="0"/>
                            <a:ext cx="4460240" cy="1845945"/>
                          </a:xfrm>
                          <a:prstGeom prst="rect">
                            <a:avLst/>
                          </a:prstGeom>
                          <a:noFill/>
                          <a:ln>
                            <a:noFill/>
                          </a:ln>
                        </pic:spPr>
                      </pic:pic>
                    </a:graphicData>
                  </a:graphic>
                </wp:inline>
              </w:drawing>
            </w:r>
          </w:p>
          <w:p w14:paraId="72B49538">
            <w:pPr>
              <w:jc w:val="left"/>
              <w:rPr>
                <w:sz w:val="24"/>
              </w:rPr>
            </w:pPr>
            <w:r>
              <w:rPr>
                <w:rFonts w:hint="eastAsia"/>
                <w:sz w:val="24"/>
              </w:rPr>
              <w:t>招标代理服务收费以中标金额为基准，按照上述收费标准差额定率累进法计算（服务类型：服务招标）</w:t>
            </w:r>
            <w:r>
              <w:rPr>
                <w:sz w:val="24"/>
              </w:rPr>
              <w:t>。</w:t>
            </w:r>
          </w:p>
          <w:p w14:paraId="35BF7DA5">
            <w:pPr>
              <w:jc w:val="left"/>
              <w:rPr>
                <w:sz w:val="24"/>
              </w:rPr>
            </w:pPr>
            <w:r>
              <w:rPr>
                <w:sz w:val="24"/>
              </w:rPr>
              <w:t>缴纳时间：</w:t>
            </w:r>
            <w:r>
              <w:rPr>
                <w:rFonts w:hint="eastAsia"/>
                <w:color w:val="000000"/>
                <w:sz w:val="24"/>
                <w:u w:val="single"/>
              </w:rPr>
              <w:t>领取中标通知书时向招标代理机构支付代理费</w:t>
            </w:r>
            <w:r>
              <w:rPr>
                <w:sz w:val="24"/>
              </w:rPr>
              <w:t>。</w:t>
            </w:r>
          </w:p>
        </w:tc>
      </w:tr>
    </w:tbl>
    <w:p w14:paraId="5950B88E">
      <w:pPr>
        <w:tabs>
          <w:tab w:val="left" w:pos="5580"/>
        </w:tabs>
        <w:adjustRightInd w:val="0"/>
        <w:spacing w:line="360" w:lineRule="auto"/>
        <w:jc w:val="distribute"/>
        <w:rPr>
          <w:sz w:val="24"/>
        </w:rPr>
        <w:sectPr>
          <w:headerReference r:id="rId3" w:type="first"/>
          <w:footerReference r:id="rId4" w:type="default"/>
          <w:type w:val="nextColumn"/>
          <w:pgSz w:w="11907" w:h="16840"/>
          <w:pgMar w:top="1418" w:right="1134" w:bottom="1418" w:left="1701" w:header="851" w:footer="851" w:gutter="0"/>
          <w:pgNumType w:start="0"/>
          <w:cols w:space="720" w:num="1"/>
          <w:titlePg/>
          <w:docGrid w:linePitch="462" w:charSpace="0"/>
        </w:sectPr>
      </w:pPr>
    </w:p>
    <w:p w14:paraId="384CF14E">
      <w:pPr>
        <w:spacing w:before="240" w:beforeLines="100" w:after="240" w:afterLines="100"/>
        <w:jc w:val="center"/>
        <w:rPr>
          <w:b/>
          <w:sz w:val="28"/>
          <w:szCs w:val="28"/>
        </w:rPr>
      </w:pPr>
      <w:bookmarkStart w:id="72" w:name="_Toc353873932"/>
      <w:bookmarkStart w:id="73" w:name="_Toc150774722"/>
      <w:bookmarkStart w:id="74" w:name="_Toc265228355"/>
      <w:bookmarkStart w:id="75" w:name="_Toc226965790"/>
      <w:bookmarkStart w:id="76" w:name="_Toc353825542"/>
      <w:bookmarkStart w:id="77" w:name="_Toc142311019"/>
      <w:bookmarkStart w:id="78" w:name="_Toc353873662"/>
      <w:bookmarkStart w:id="79" w:name="_Toc195842882"/>
      <w:bookmarkStart w:id="80" w:name="_Toc150480755"/>
      <w:bookmarkStart w:id="81" w:name="_Toc226337213"/>
      <w:bookmarkStart w:id="82" w:name="_Toc305158859"/>
      <w:bookmarkStart w:id="83" w:name="_Toc127151517"/>
      <w:bookmarkStart w:id="84" w:name="_Toc305158785"/>
      <w:bookmarkStart w:id="85" w:name="_Toc264969207"/>
      <w:r>
        <w:rPr>
          <w:b/>
          <w:sz w:val="28"/>
          <w:szCs w:val="28"/>
        </w:rPr>
        <w:t>投标人须知</w:t>
      </w:r>
      <w:bookmarkEnd w:id="72"/>
      <w:bookmarkEnd w:id="73"/>
      <w:bookmarkEnd w:id="74"/>
      <w:bookmarkEnd w:id="75"/>
      <w:bookmarkEnd w:id="76"/>
      <w:bookmarkEnd w:id="77"/>
      <w:bookmarkEnd w:id="78"/>
      <w:bookmarkEnd w:id="79"/>
      <w:bookmarkEnd w:id="80"/>
      <w:bookmarkEnd w:id="81"/>
      <w:bookmarkEnd w:id="82"/>
      <w:bookmarkEnd w:id="83"/>
      <w:bookmarkEnd w:id="84"/>
      <w:bookmarkEnd w:id="85"/>
    </w:p>
    <w:p w14:paraId="71CF7CF7">
      <w:pPr>
        <w:pStyle w:val="3"/>
        <w:tabs>
          <w:tab w:val="center" w:pos="4592"/>
          <w:tab w:val="left" w:pos="7860"/>
        </w:tabs>
        <w:spacing w:before="0" w:line="360" w:lineRule="auto"/>
        <w:jc w:val="left"/>
        <w:rPr>
          <w:rFonts w:ascii="Times New Roman" w:hAnsi="Times New Roman" w:eastAsia="宋体"/>
          <w:sz w:val="28"/>
        </w:rPr>
      </w:pPr>
      <w:bookmarkStart w:id="86" w:name="_Toc127151518"/>
      <w:bookmarkStart w:id="87" w:name="_Toc520356143"/>
      <w:r>
        <w:rPr>
          <w:rFonts w:ascii="Times New Roman" w:hAnsi="Times New Roman" w:eastAsia="宋体"/>
          <w:sz w:val="28"/>
        </w:rPr>
        <w:tab/>
      </w:r>
      <w:bookmarkStart w:id="88" w:name="_Toc142311020"/>
      <w:bookmarkStart w:id="89" w:name="_Toc151193760"/>
      <w:bookmarkStart w:id="90" w:name="_Toc265228356"/>
      <w:bookmarkStart w:id="91" w:name="_Toc150480756"/>
      <w:bookmarkStart w:id="92" w:name="_Toc151190145"/>
      <w:bookmarkStart w:id="93" w:name="_Toc150774618"/>
      <w:bookmarkStart w:id="94" w:name="_Toc150509269"/>
      <w:bookmarkStart w:id="95" w:name="_Toc305158786"/>
      <w:bookmarkStart w:id="96" w:name="_Toc150774723"/>
      <w:bookmarkStart w:id="97" w:name="_Toc151193906"/>
      <w:bookmarkStart w:id="98" w:name="_Toc151193688"/>
      <w:bookmarkStart w:id="99" w:name="_Toc226965708"/>
      <w:bookmarkStart w:id="100" w:name="_Toc151193832"/>
      <w:bookmarkStart w:id="101" w:name="_Toc151193616"/>
      <w:bookmarkStart w:id="102" w:name="_Toc195842883"/>
      <w:bookmarkStart w:id="103" w:name="_Toc226309762"/>
      <w:bookmarkStart w:id="104" w:name="_Toc226337214"/>
      <w:bookmarkStart w:id="105" w:name="_Toc264969208"/>
      <w:bookmarkStart w:id="106" w:name="_Toc305158860"/>
      <w:bookmarkStart w:id="107" w:name="_Toc226965791"/>
      <w:r>
        <w:rPr>
          <w:rFonts w:ascii="Times New Roman" w:hAnsi="Times New Roman" w:eastAsia="宋体"/>
          <w:sz w:val="28"/>
        </w:rPr>
        <w:t>一   说  明</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r>
        <w:rPr>
          <w:rFonts w:ascii="Times New Roman" w:hAnsi="Times New Roman" w:eastAsia="宋体"/>
          <w:sz w:val="28"/>
        </w:rPr>
        <w:tab/>
      </w:r>
    </w:p>
    <w:p w14:paraId="0C07BDEF">
      <w:pPr>
        <w:numPr>
          <w:ilvl w:val="0"/>
          <w:numId w:val="8"/>
        </w:numPr>
        <w:tabs>
          <w:tab w:val="left" w:pos="360"/>
          <w:tab w:val="clear" w:pos="900"/>
        </w:tabs>
        <w:snapToGrid w:val="0"/>
        <w:spacing w:line="360" w:lineRule="auto"/>
        <w:ind w:left="357" w:hanging="357"/>
        <w:outlineLvl w:val="1"/>
        <w:rPr>
          <w:sz w:val="24"/>
        </w:rPr>
      </w:pPr>
      <w:bookmarkStart w:id="108" w:name="_Toc305158787"/>
      <w:bookmarkStart w:id="109" w:name="_Toc265228357"/>
      <w:bookmarkStart w:id="110" w:name="_Toc264969209"/>
      <w:bookmarkStart w:id="111" w:name="_Toc305158861"/>
      <w:r>
        <w:rPr>
          <w:sz w:val="24"/>
        </w:rPr>
        <w:t>采购人、采购代理机构、投标人</w:t>
      </w:r>
      <w:bookmarkEnd w:id="108"/>
      <w:bookmarkEnd w:id="109"/>
      <w:bookmarkEnd w:id="110"/>
      <w:bookmarkEnd w:id="111"/>
      <w:r>
        <w:rPr>
          <w:sz w:val="24"/>
        </w:rPr>
        <w:t>、联合体</w:t>
      </w:r>
    </w:p>
    <w:p w14:paraId="5ED36AD0">
      <w:pPr>
        <w:numPr>
          <w:ilvl w:val="1"/>
          <w:numId w:val="8"/>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14:paraId="25B7FBFB">
      <w:pPr>
        <w:numPr>
          <w:ilvl w:val="1"/>
          <w:numId w:val="8"/>
        </w:numPr>
        <w:tabs>
          <w:tab w:val="left" w:pos="1080"/>
          <w:tab w:val="left" w:pos="2014"/>
          <w:tab w:val="left" w:pos="5521"/>
        </w:tabs>
        <w:snapToGrid w:val="0"/>
        <w:spacing w:line="360" w:lineRule="auto"/>
        <w:ind w:left="1080" w:hanging="720"/>
        <w:rPr>
          <w:sz w:val="24"/>
        </w:rPr>
      </w:pPr>
      <w:r>
        <w:rPr>
          <w:sz w:val="24"/>
        </w:rPr>
        <w:t>投标人（也称“供应商”、“申请人”）：指向采购人提供货物、工程或者服务的法人、其他组织或者自然人。</w:t>
      </w:r>
    </w:p>
    <w:p w14:paraId="369C9165">
      <w:pPr>
        <w:numPr>
          <w:ilvl w:val="1"/>
          <w:numId w:val="8"/>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14:paraId="7E1C3D2E">
      <w:pPr>
        <w:numPr>
          <w:ilvl w:val="0"/>
          <w:numId w:val="8"/>
        </w:numPr>
        <w:tabs>
          <w:tab w:val="left" w:pos="360"/>
          <w:tab w:val="clear" w:pos="900"/>
        </w:tabs>
        <w:snapToGrid w:val="0"/>
        <w:spacing w:line="360" w:lineRule="auto"/>
        <w:ind w:left="357" w:hanging="357"/>
        <w:outlineLvl w:val="1"/>
        <w:rPr>
          <w:sz w:val="24"/>
        </w:rPr>
      </w:pPr>
      <w:bookmarkStart w:id="112" w:name="_Toc151193618"/>
      <w:bookmarkStart w:id="113" w:name="_Toc151193908"/>
      <w:bookmarkStart w:id="114" w:name="_Toc150774620"/>
      <w:bookmarkStart w:id="115" w:name="_Toc149720813"/>
      <w:bookmarkStart w:id="116" w:name="_Toc164229361"/>
      <w:bookmarkStart w:id="117" w:name="_Toc164351614"/>
      <w:bookmarkStart w:id="118" w:name="_Toc164608789"/>
      <w:bookmarkStart w:id="119" w:name="_Toc195842885"/>
      <w:bookmarkStart w:id="120" w:name="_Toc305158788"/>
      <w:bookmarkStart w:id="121" w:name="_Toc226965793"/>
      <w:bookmarkStart w:id="122" w:name="_Toc226309764"/>
      <w:bookmarkStart w:id="123" w:name="_Toc150774725"/>
      <w:bookmarkStart w:id="124" w:name="_Toc151193834"/>
      <w:bookmarkStart w:id="125" w:name="_Toc142311022"/>
      <w:bookmarkStart w:id="126" w:name="_Toc150509271"/>
      <w:bookmarkStart w:id="127" w:name="_Toc151190147"/>
      <w:bookmarkStart w:id="128" w:name="_Toc127151721"/>
      <w:bookmarkStart w:id="129" w:name="_Toc305158862"/>
      <w:bookmarkStart w:id="130" w:name="_Toc127151520"/>
      <w:bookmarkStart w:id="131" w:name="_Toc164229215"/>
      <w:bookmarkStart w:id="132" w:name="_Toc150480758"/>
      <w:bookmarkStart w:id="133" w:name="_Toc226965710"/>
      <w:bookmarkStart w:id="134" w:name="_Toc151193762"/>
      <w:bookmarkStart w:id="135" w:name="_Toc127161434"/>
      <w:bookmarkStart w:id="136" w:name="_Toc151193690"/>
      <w:bookmarkStart w:id="137" w:name="_Toc164608634"/>
      <w:bookmarkStart w:id="138" w:name="_Toc264969210"/>
      <w:bookmarkStart w:id="139" w:name="_Toc265228358"/>
      <w:bookmarkStart w:id="140" w:name="_Toc226337216"/>
      <w:r>
        <w:rPr>
          <w:sz w:val="24"/>
        </w:rPr>
        <w:t>资金来源</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r>
        <w:rPr>
          <w:sz w:val="24"/>
        </w:rPr>
        <w:t>、项目属性、科研仪器设备采购、核心产品</w:t>
      </w:r>
    </w:p>
    <w:p w14:paraId="7E32D2B0">
      <w:pPr>
        <w:numPr>
          <w:ilvl w:val="1"/>
          <w:numId w:val="8"/>
        </w:numPr>
        <w:tabs>
          <w:tab w:val="left" w:pos="1080"/>
          <w:tab w:val="left" w:pos="2014"/>
        </w:tabs>
        <w:snapToGrid w:val="0"/>
        <w:spacing w:line="360" w:lineRule="auto"/>
        <w:ind w:left="1080" w:hanging="720"/>
        <w:rPr>
          <w:sz w:val="24"/>
        </w:rPr>
      </w:pPr>
      <w:r>
        <w:rPr>
          <w:sz w:val="24"/>
        </w:rPr>
        <w:t>资金来源为财政性资金和/或本项目采购中无法与财政性资金分割的非财政性资金。</w:t>
      </w:r>
    </w:p>
    <w:p w14:paraId="51B17518">
      <w:pPr>
        <w:numPr>
          <w:ilvl w:val="1"/>
          <w:numId w:val="8"/>
        </w:numPr>
        <w:tabs>
          <w:tab w:val="left" w:pos="1080"/>
          <w:tab w:val="left" w:pos="2014"/>
        </w:tabs>
        <w:snapToGrid w:val="0"/>
        <w:spacing w:line="360" w:lineRule="auto"/>
        <w:ind w:left="1080" w:hanging="720"/>
        <w:rPr>
          <w:sz w:val="24"/>
        </w:rPr>
      </w:pPr>
      <w:r>
        <w:rPr>
          <w:sz w:val="24"/>
        </w:rPr>
        <w:t>项目属性见《投标人须知资料表》。</w:t>
      </w:r>
    </w:p>
    <w:p w14:paraId="71460C39">
      <w:pPr>
        <w:numPr>
          <w:ilvl w:val="1"/>
          <w:numId w:val="8"/>
        </w:numPr>
        <w:tabs>
          <w:tab w:val="left" w:pos="1080"/>
          <w:tab w:val="left" w:pos="2014"/>
        </w:tabs>
        <w:snapToGrid w:val="0"/>
        <w:spacing w:line="360" w:lineRule="auto"/>
        <w:ind w:left="1080" w:hanging="720"/>
        <w:rPr>
          <w:sz w:val="24"/>
        </w:rPr>
      </w:pPr>
      <w:r>
        <w:rPr>
          <w:sz w:val="24"/>
        </w:rPr>
        <w:t>是否属于科研仪器设备采购见《投标人须知资料表》。</w:t>
      </w:r>
    </w:p>
    <w:p w14:paraId="111AAFB9">
      <w:pPr>
        <w:numPr>
          <w:ilvl w:val="1"/>
          <w:numId w:val="8"/>
        </w:numPr>
        <w:tabs>
          <w:tab w:val="left" w:pos="1080"/>
          <w:tab w:val="left" w:pos="2014"/>
          <w:tab w:val="left" w:pos="5521"/>
        </w:tabs>
        <w:snapToGrid w:val="0"/>
        <w:spacing w:line="360" w:lineRule="auto"/>
        <w:ind w:left="1080" w:hanging="720"/>
        <w:rPr>
          <w:sz w:val="24"/>
        </w:rPr>
      </w:pPr>
      <w:r>
        <w:rPr>
          <w:sz w:val="24"/>
        </w:rPr>
        <w:t>核心产品见《投标人须知资料表》。</w:t>
      </w:r>
    </w:p>
    <w:p w14:paraId="18660507">
      <w:pPr>
        <w:numPr>
          <w:ilvl w:val="0"/>
          <w:numId w:val="8"/>
        </w:numPr>
        <w:tabs>
          <w:tab w:val="left" w:pos="360"/>
        </w:tabs>
        <w:snapToGrid w:val="0"/>
        <w:spacing w:line="360" w:lineRule="auto"/>
        <w:ind w:left="357" w:hanging="357"/>
        <w:outlineLvl w:val="1"/>
        <w:rPr>
          <w:sz w:val="24"/>
        </w:rPr>
      </w:pPr>
      <w:r>
        <w:rPr>
          <w:sz w:val="24"/>
        </w:rPr>
        <w:t>现场考察、开标前答疑会</w:t>
      </w:r>
    </w:p>
    <w:p w14:paraId="3A384A4E">
      <w:pPr>
        <w:numPr>
          <w:ilvl w:val="1"/>
          <w:numId w:val="8"/>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41" w:name="_Toc226309766"/>
      <w:bookmarkStart w:id="142" w:name="_Toc305158790"/>
      <w:bookmarkStart w:id="143" w:name="_Toc151193836"/>
      <w:bookmarkStart w:id="144" w:name="_Toc226965712"/>
      <w:bookmarkStart w:id="145" w:name="_Toc226337218"/>
      <w:bookmarkStart w:id="146" w:name="_Toc150774727"/>
      <w:bookmarkStart w:id="147" w:name="_Toc150509273"/>
      <w:bookmarkStart w:id="148" w:name="_Toc127151522"/>
      <w:bookmarkStart w:id="149" w:name="_Toc151190149"/>
      <w:bookmarkStart w:id="150" w:name="_Toc151193692"/>
      <w:bookmarkStart w:id="151" w:name="_Toc151193764"/>
      <w:bookmarkStart w:id="152" w:name="_Toc150774622"/>
      <w:bookmarkStart w:id="153" w:name="_Toc151193910"/>
      <w:bookmarkStart w:id="154" w:name="_Toc195842887"/>
      <w:bookmarkStart w:id="155" w:name="_Toc305158864"/>
      <w:bookmarkStart w:id="156" w:name="_Toc226965795"/>
      <w:bookmarkStart w:id="157" w:name="_Toc142311024"/>
      <w:bookmarkStart w:id="158" w:name="_Toc150480760"/>
      <w:bookmarkStart w:id="159" w:name="_Toc265228360"/>
      <w:bookmarkStart w:id="160" w:name="_Toc151193620"/>
      <w:bookmarkStart w:id="161" w:name="_Toc264969212"/>
      <w:bookmarkStart w:id="162" w:name="_Toc520356146"/>
    </w:p>
    <w:p w14:paraId="05343BD3">
      <w:pPr>
        <w:numPr>
          <w:ilvl w:val="1"/>
          <w:numId w:val="8"/>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14:paraId="50DBF148">
      <w:pPr>
        <w:numPr>
          <w:ilvl w:val="0"/>
          <w:numId w:val="8"/>
        </w:numPr>
        <w:tabs>
          <w:tab w:val="left" w:pos="360"/>
        </w:tabs>
        <w:snapToGrid w:val="0"/>
        <w:spacing w:line="360" w:lineRule="auto"/>
        <w:ind w:left="357" w:hanging="357"/>
        <w:outlineLvl w:val="1"/>
        <w:rPr>
          <w:sz w:val="24"/>
        </w:rPr>
      </w:pPr>
      <w:r>
        <w:rPr>
          <w:sz w:val="24"/>
        </w:rPr>
        <w:t>样品</w:t>
      </w:r>
    </w:p>
    <w:p w14:paraId="7D79889C">
      <w:pPr>
        <w:numPr>
          <w:ilvl w:val="1"/>
          <w:numId w:val="8"/>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p>
    <w:p w14:paraId="38B1ED73">
      <w:pPr>
        <w:numPr>
          <w:ilvl w:val="1"/>
          <w:numId w:val="8"/>
        </w:numPr>
        <w:tabs>
          <w:tab w:val="left" w:pos="1080"/>
          <w:tab w:val="left" w:pos="2014"/>
        </w:tabs>
        <w:snapToGrid w:val="0"/>
        <w:spacing w:line="360" w:lineRule="auto"/>
        <w:ind w:left="1080" w:hanging="720"/>
        <w:rPr>
          <w:sz w:val="24"/>
        </w:rPr>
      </w:pPr>
      <w:r>
        <w:rPr>
          <w:sz w:val="24"/>
        </w:rPr>
        <w:t>样品的评审方法以及评审标准等内容见第四章《评标程序、评标方法和评标标准》。</w:t>
      </w:r>
    </w:p>
    <w:p w14:paraId="51FD4E7C">
      <w:pPr>
        <w:numPr>
          <w:ilvl w:val="0"/>
          <w:numId w:val="8"/>
        </w:numPr>
        <w:tabs>
          <w:tab w:val="left" w:pos="360"/>
          <w:tab w:val="clear" w:pos="900"/>
        </w:tabs>
        <w:snapToGrid w:val="0"/>
        <w:spacing w:line="360" w:lineRule="auto"/>
        <w:ind w:left="357" w:hanging="357"/>
        <w:outlineLvl w:val="1"/>
        <w:rPr>
          <w:sz w:val="24"/>
        </w:rPr>
      </w:pPr>
      <w:r>
        <w:rPr>
          <w:sz w:val="24"/>
        </w:rPr>
        <w:t>政府采购政策（包括但不限于下列具体政策要求）</w:t>
      </w:r>
    </w:p>
    <w:p w14:paraId="6DD4BE52">
      <w:pPr>
        <w:numPr>
          <w:ilvl w:val="1"/>
          <w:numId w:val="8"/>
        </w:numPr>
        <w:tabs>
          <w:tab w:val="left" w:pos="1080"/>
          <w:tab w:val="left" w:pos="2014"/>
        </w:tabs>
        <w:snapToGrid w:val="0"/>
        <w:spacing w:line="360" w:lineRule="auto"/>
        <w:ind w:left="1080" w:hanging="720"/>
        <w:rPr>
          <w:sz w:val="24"/>
        </w:rPr>
      </w:pPr>
      <w:r>
        <w:rPr>
          <w:sz w:val="24"/>
        </w:rPr>
        <w:t>采购本国货物、工程和服务</w:t>
      </w:r>
    </w:p>
    <w:p w14:paraId="62D2C577">
      <w:pPr>
        <w:numPr>
          <w:ilvl w:val="2"/>
          <w:numId w:val="8"/>
        </w:numPr>
        <w:tabs>
          <w:tab w:val="left" w:pos="2014"/>
        </w:tabs>
        <w:snapToGrid w:val="0"/>
        <w:spacing w:line="360" w:lineRule="auto"/>
        <w:rPr>
          <w:sz w:val="24"/>
        </w:rPr>
      </w:pPr>
      <w:r>
        <w:rPr>
          <w:kern w:val="0"/>
          <w:sz w:val="24"/>
        </w:rPr>
        <w:t>政府采购应当采购本国货物、工程和服务。但有《</w:t>
      </w:r>
      <w:r>
        <w:rPr>
          <w:b/>
          <w:kern w:val="0"/>
          <w:sz w:val="24"/>
        </w:rPr>
        <w:t>中华人民共和国政府采购法</w:t>
      </w:r>
      <w:r>
        <w:rPr>
          <w:kern w:val="0"/>
          <w:sz w:val="24"/>
        </w:rPr>
        <w:t>》第十条规定情形的除外。</w:t>
      </w:r>
    </w:p>
    <w:p w14:paraId="5CADF14D">
      <w:pPr>
        <w:numPr>
          <w:ilvl w:val="2"/>
          <w:numId w:val="8"/>
        </w:numPr>
        <w:tabs>
          <w:tab w:val="left" w:pos="2014"/>
        </w:tabs>
        <w:snapToGrid w:val="0"/>
        <w:spacing w:line="360" w:lineRule="auto"/>
        <w:rPr>
          <w:sz w:val="24"/>
        </w:rPr>
      </w:pPr>
      <w:r>
        <w:rPr>
          <w:sz w:val="24"/>
        </w:rPr>
        <w:t>本项目如接受非本国货物、工程、服务参与投标，则具体要求见第五章《采购需求》。</w:t>
      </w:r>
    </w:p>
    <w:p w14:paraId="56A64B09">
      <w:pPr>
        <w:numPr>
          <w:ilvl w:val="2"/>
          <w:numId w:val="8"/>
        </w:numPr>
        <w:tabs>
          <w:tab w:val="left" w:pos="2014"/>
        </w:tabs>
        <w:snapToGrid w:val="0"/>
        <w:spacing w:line="360" w:lineRule="auto"/>
        <w:rPr>
          <w:sz w:val="24"/>
        </w:rPr>
      </w:pPr>
      <w:r>
        <w:rPr>
          <w:sz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0AD12A94">
      <w:pPr>
        <w:numPr>
          <w:ilvl w:val="1"/>
          <w:numId w:val="8"/>
        </w:numPr>
        <w:tabs>
          <w:tab w:val="left" w:pos="1080"/>
          <w:tab w:val="left" w:pos="2014"/>
        </w:tabs>
        <w:snapToGrid w:val="0"/>
        <w:spacing w:line="360" w:lineRule="auto"/>
        <w:ind w:left="1080" w:hanging="720"/>
        <w:rPr>
          <w:sz w:val="24"/>
        </w:rPr>
      </w:pPr>
      <w:r>
        <w:rPr>
          <w:sz w:val="24"/>
        </w:rPr>
        <w:t>中小企业、监狱企业及残疾人福利性单位</w:t>
      </w:r>
    </w:p>
    <w:p w14:paraId="3ABFA35D">
      <w:pPr>
        <w:numPr>
          <w:ilvl w:val="2"/>
          <w:numId w:val="8"/>
        </w:numPr>
        <w:snapToGrid w:val="0"/>
        <w:spacing w:line="360" w:lineRule="auto"/>
        <w:rPr>
          <w:sz w:val="24"/>
        </w:rPr>
      </w:pPr>
      <w:r>
        <w:rPr>
          <w:sz w:val="24"/>
        </w:rPr>
        <w:t>中小企业定义：</w:t>
      </w:r>
    </w:p>
    <w:p w14:paraId="1E03B5A5">
      <w:pPr>
        <w:pStyle w:val="95"/>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3E365CF3">
      <w:pPr>
        <w:pStyle w:val="95"/>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75F8EDB5">
      <w:pPr>
        <w:pStyle w:val="95"/>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1972EDBF">
      <w:pPr>
        <w:pStyle w:val="95"/>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1E406153">
      <w:pPr>
        <w:pStyle w:val="95"/>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52F72D7E">
      <w:pPr>
        <w:pStyle w:val="95"/>
        <w:numPr>
          <w:ilvl w:val="1"/>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16CD673A">
      <w:pPr>
        <w:pStyle w:val="95"/>
        <w:numPr>
          <w:ilvl w:val="1"/>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54BFEC78">
      <w:pPr>
        <w:pStyle w:val="95"/>
        <w:numPr>
          <w:ilvl w:val="2"/>
          <w:numId w:val="9"/>
        </w:numPr>
        <w:tabs>
          <w:tab w:val="left" w:pos="2035"/>
          <w:tab w:val="left" w:pos="2977"/>
        </w:tabs>
        <w:snapToGrid w:val="0"/>
        <w:spacing w:line="360" w:lineRule="auto"/>
        <w:ind w:firstLineChars="0"/>
        <w:rPr>
          <w:rFonts w:ascii="Times New Roman" w:hAnsi="Times New Roman"/>
          <w:vanish/>
          <w:color w:val="000000"/>
          <w:sz w:val="24"/>
          <w:szCs w:val="24"/>
        </w:rPr>
      </w:pPr>
    </w:p>
    <w:p w14:paraId="338A1047">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color w:val="000000"/>
          <w:sz w:val="24"/>
        </w:rPr>
        <w:t>判定</w:t>
      </w:r>
      <w:r>
        <w:rPr>
          <w:color w:val="000000"/>
          <w:sz w:val="24"/>
        </w:rPr>
        <w:t>依据《中华人民共和国中小企业促进法》、《关于进一步加大政府采购支持中小企业力度的通知》（财库〔2022〕19号）、《政府采购促进中小企业发展管理办法》（财库〔2020〕46号）、《关于印发中小企业划型标准规定的通知》（工信部联企业〔2011〕300 号）</w:t>
      </w:r>
      <w:r>
        <w:rPr>
          <w:rFonts w:hint="eastAsia"/>
          <w:color w:val="000000"/>
          <w:sz w:val="24"/>
        </w:rPr>
        <w:t>、《金融业企业划型标准规定》（〔</w:t>
      </w:r>
      <w:r>
        <w:rPr>
          <w:color w:val="000000"/>
          <w:sz w:val="24"/>
        </w:rPr>
        <w:t>2015</w:t>
      </w:r>
      <w:r>
        <w:rPr>
          <w:rFonts w:hint="eastAsia"/>
          <w:color w:val="000000"/>
          <w:sz w:val="24"/>
        </w:rPr>
        <w:t>〕</w:t>
      </w:r>
      <w:r>
        <w:rPr>
          <w:color w:val="000000"/>
          <w:sz w:val="24"/>
        </w:rPr>
        <w:t xml:space="preserve">309 </w:t>
      </w:r>
      <w:r>
        <w:rPr>
          <w:rFonts w:hint="eastAsia"/>
          <w:color w:val="000000"/>
          <w:sz w:val="24"/>
        </w:rPr>
        <w:t>号）等国务院批准的中小企业划分标准执行</w:t>
      </w:r>
      <w:r>
        <w:rPr>
          <w:color w:val="000000"/>
          <w:sz w:val="24"/>
        </w:rPr>
        <w:t>。</w:t>
      </w:r>
    </w:p>
    <w:p w14:paraId="3C441200">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sz w:val="24"/>
        </w:rPr>
        <w:t>供应商提供的货物、工程或者服务符合下列情形的，享受中小企业扶持政策：</w:t>
      </w:r>
    </w:p>
    <w:p w14:paraId="584F0211">
      <w:pPr>
        <w:tabs>
          <w:tab w:val="left" w:pos="1980"/>
        </w:tabs>
        <w:snapToGrid w:val="0"/>
        <w:spacing w:line="360" w:lineRule="auto"/>
        <w:ind w:left="2835" w:leftChars="1350"/>
        <w:rPr>
          <w:color w:val="000000"/>
          <w:sz w:val="24"/>
        </w:rPr>
      </w:pPr>
      <w:r>
        <w:rPr>
          <w:color w:val="000000"/>
          <w:sz w:val="24"/>
        </w:rPr>
        <w:t>（1）在货物采购项目中，货物由中小企业制造，即货物由中小企业生产且使用该中小企业商号或者注册商标；</w:t>
      </w:r>
    </w:p>
    <w:p w14:paraId="2C780C27">
      <w:pPr>
        <w:tabs>
          <w:tab w:val="left" w:pos="1980"/>
        </w:tabs>
        <w:snapToGrid w:val="0"/>
        <w:spacing w:line="360" w:lineRule="auto"/>
        <w:ind w:left="2835" w:leftChars="1350"/>
        <w:rPr>
          <w:color w:val="000000"/>
          <w:sz w:val="24"/>
        </w:rPr>
      </w:pPr>
      <w:r>
        <w:rPr>
          <w:color w:val="000000"/>
          <w:sz w:val="24"/>
        </w:rPr>
        <w:t>（2）在工程采购项目中，工程由中小企业承建，即工程施工单位为中小企业；</w:t>
      </w:r>
    </w:p>
    <w:p w14:paraId="6C0B3EC8">
      <w:pPr>
        <w:tabs>
          <w:tab w:val="left" w:pos="1980"/>
        </w:tabs>
        <w:snapToGrid w:val="0"/>
        <w:spacing w:line="360" w:lineRule="auto"/>
        <w:ind w:left="2835" w:leftChars="1350"/>
        <w:rPr>
          <w:color w:val="000000"/>
          <w:sz w:val="24"/>
        </w:rPr>
      </w:pPr>
      <w:r>
        <w:rPr>
          <w:color w:val="000000"/>
          <w:sz w:val="24"/>
        </w:rPr>
        <w:t>（3）在服务采购项目中，服务由中小企业承接，即提供服务的人员为中小企业依照《中华人民共和国劳动合同法》订立劳动合同的从业人员。</w:t>
      </w:r>
    </w:p>
    <w:p w14:paraId="7B6FBA2B">
      <w:pPr>
        <w:numPr>
          <w:ilvl w:val="3"/>
          <w:numId w:val="9"/>
        </w:numPr>
        <w:tabs>
          <w:tab w:val="left" w:pos="1980"/>
          <w:tab w:val="left" w:pos="2035"/>
          <w:tab w:val="left" w:pos="2885"/>
          <w:tab w:val="left" w:pos="2977"/>
          <w:tab w:val="clear" w:pos="900"/>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14:paraId="288305A3">
      <w:pPr>
        <w:numPr>
          <w:ilvl w:val="3"/>
          <w:numId w:val="9"/>
        </w:numPr>
        <w:tabs>
          <w:tab w:val="left" w:pos="1980"/>
          <w:tab w:val="left" w:pos="2035"/>
          <w:tab w:val="left" w:pos="2885"/>
          <w:tab w:val="left" w:pos="2977"/>
          <w:tab w:val="clear" w:pos="900"/>
        </w:tabs>
        <w:snapToGrid w:val="0"/>
        <w:spacing w:line="360" w:lineRule="auto"/>
        <w:ind w:left="2885"/>
        <w:rPr>
          <w:sz w:val="24"/>
        </w:rPr>
      </w:pPr>
      <w:r>
        <w:rPr>
          <w:color w:val="000000"/>
          <w:sz w:val="24"/>
        </w:rPr>
        <w:t>以联合体形式参加政府采购活动，联合体各方均为中小企业的，联合体视同中小企业。其中，联合体各方均为小微企业的，联合体视同小微企业。</w:t>
      </w:r>
    </w:p>
    <w:p w14:paraId="710DEF26">
      <w:pPr>
        <w:numPr>
          <w:ilvl w:val="2"/>
          <w:numId w:val="8"/>
        </w:numPr>
        <w:snapToGrid w:val="0"/>
        <w:spacing w:line="360" w:lineRule="auto"/>
        <w:rPr>
          <w:sz w:val="24"/>
        </w:rPr>
      </w:pPr>
      <w:r>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AC3B3A6">
      <w:pPr>
        <w:numPr>
          <w:ilvl w:val="2"/>
          <w:numId w:val="8"/>
        </w:numPr>
        <w:snapToGrid w:val="0"/>
        <w:spacing w:line="360" w:lineRule="auto"/>
        <w:rPr>
          <w:sz w:val="24"/>
        </w:rPr>
      </w:pPr>
      <w:r>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3C485C05">
      <w:pPr>
        <w:pStyle w:val="95"/>
        <w:numPr>
          <w:ilvl w:val="2"/>
          <w:numId w:val="9"/>
        </w:numPr>
        <w:tabs>
          <w:tab w:val="left" w:pos="2035"/>
          <w:tab w:val="left" w:pos="2977"/>
        </w:tabs>
        <w:snapToGrid w:val="0"/>
        <w:spacing w:line="360" w:lineRule="auto"/>
        <w:ind w:firstLineChars="0"/>
        <w:rPr>
          <w:rFonts w:ascii="Times New Roman" w:hAnsi="Times New Roman"/>
          <w:vanish/>
          <w:color w:val="000000"/>
          <w:sz w:val="24"/>
          <w:szCs w:val="24"/>
        </w:rPr>
      </w:pPr>
    </w:p>
    <w:p w14:paraId="3CF2FA3B">
      <w:pPr>
        <w:pStyle w:val="95"/>
        <w:numPr>
          <w:ilvl w:val="2"/>
          <w:numId w:val="9"/>
        </w:numPr>
        <w:tabs>
          <w:tab w:val="left" w:pos="2035"/>
          <w:tab w:val="left" w:pos="2977"/>
        </w:tabs>
        <w:snapToGrid w:val="0"/>
        <w:spacing w:line="360" w:lineRule="auto"/>
        <w:ind w:firstLineChars="0"/>
        <w:rPr>
          <w:rFonts w:ascii="Times New Roman" w:hAnsi="Times New Roman"/>
          <w:vanish/>
          <w:color w:val="000000"/>
          <w:sz w:val="24"/>
          <w:szCs w:val="24"/>
        </w:rPr>
      </w:pPr>
    </w:p>
    <w:p w14:paraId="270132A6">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color w:val="000000"/>
          <w:sz w:val="24"/>
        </w:rPr>
        <w:t>安置的残疾人占本单位在职职工人数的比例不低于25%（含25%），并且安置的残疾人人数不少于10 人（含10 人）；</w:t>
      </w:r>
    </w:p>
    <w:p w14:paraId="7BFFC535">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sz w:val="24"/>
        </w:rPr>
        <w:t>依法与安置的每位残疾人签订了一年以上（含一年）的劳动合同或服务协议；</w:t>
      </w:r>
    </w:p>
    <w:p w14:paraId="7CB982A1">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sz w:val="24"/>
        </w:rPr>
        <w:t>为安置的每位残疾人按月足额缴纳了基本养老保险、基本医疗保险、失业保险、工伤保险和生育保险等社会保险费；</w:t>
      </w:r>
    </w:p>
    <w:p w14:paraId="6520247D">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sz w:val="24"/>
        </w:rPr>
        <w:t>通过银行等金融机构向安置的每位残疾人，按月支付了不低于单位所在区县适用的经省级人民政府批准的月最低工资标准的工资；</w:t>
      </w:r>
    </w:p>
    <w:p w14:paraId="69E3A998">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sz w:val="24"/>
        </w:rPr>
        <w:t>提供本单位制造的货物、承担的工程或者服务（以下简称产品），或者提供其他残疾人福利性单位制造的货物（不包括使用非残疾人福利性单位注册商标的货物）；</w:t>
      </w:r>
    </w:p>
    <w:p w14:paraId="5AD8CC11">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BFA242E">
      <w:pPr>
        <w:numPr>
          <w:ilvl w:val="2"/>
          <w:numId w:val="8"/>
        </w:numPr>
        <w:snapToGrid w:val="0"/>
        <w:spacing w:line="360" w:lineRule="auto"/>
        <w:rPr>
          <w:sz w:val="24"/>
        </w:rPr>
      </w:pPr>
      <w:r>
        <w:rPr>
          <w:sz w:val="24"/>
        </w:rPr>
        <w:t>本项目是否专门面向中小企业预留采购份额见第一章《投标邀请》。</w:t>
      </w:r>
    </w:p>
    <w:p w14:paraId="64F8789F">
      <w:pPr>
        <w:numPr>
          <w:ilvl w:val="2"/>
          <w:numId w:val="8"/>
        </w:numPr>
        <w:snapToGrid w:val="0"/>
        <w:spacing w:line="360" w:lineRule="auto"/>
        <w:rPr>
          <w:sz w:val="24"/>
        </w:rPr>
      </w:pPr>
      <w:r>
        <w:rPr>
          <w:sz w:val="24"/>
        </w:rPr>
        <w:t>采购标的对应的中小企业划分标准所属行业见《投标人须知资料表》。</w:t>
      </w:r>
    </w:p>
    <w:p w14:paraId="1867A0A2">
      <w:pPr>
        <w:numPr>
          <w:ilvl w:val="2"/>
          <w:numId w:val="8"/>
        </w:numPr>
        <w:snapToGrid w:val="0"/>
        <w:spacing w:line="360" w:lineRule="auto"/>
        <w:rPr>
          <w:sz w:val="24"/>
        </w:rPr>
      </w:pPr>
      <w:r>
        <w:rPr>
          <w:sz w:val="24"/>
        </w:rPr>
        <w:t>小微企业价格评审优惠的政策调整：见第四章《评标程序、评标方法和评标标准》。</w:t>
      </w:r>
    </w:p>
    <w:p w14:paraId="77D43493">
      <w:pPr>
        <w:numPr>
          <w:ilvl w:val="1"/>
          <w:numId w:val="8"/>
        </w:numPr>
        <w:tabs>
          <w:tab w:val="left" w:pos="1080"/>
          <w:tab w:val="left" w:pos="2014"/>
        </w:tabs>
        <w:snapToGrid w:val="0"/>
        <w:spacing w:line="360" w:lineRule="auto"/>
        <w:ind w:left="1080" w:hanging="720"/>
        <w:rPr>
          <w:sz w:val="24"/>
        </w:rPr>
      </w:pPr>
      <w:r>
        <w:rPr>
          <w:sz w:val="24"/>
        </w:rPr>
        <w:t>政府采购节能产品、环境标志产品</w:t>
      </w:r>
    </w:p>
    <w:p w14:paraId="2F46F4B4">
      <w:pPr>
        <w:numPr>
          <w:ilvl w:val="2"/>
          <w:numId w:val="8"/>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0D58E68A">
      <w:pPr>
        <w:numPr>
          <w:ilvl w:val="2"/>
          <w:numId w:val="8"/>
        </w:numPr>
        <w:snapToGrid w:val="0"/>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487E9A0A">
      <w:pPr>
        <w:numPr>
          <w:ilvl w:val="2"/>
          <w:numId w:val="8"/>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14:paraId="218C7F4D">
      <w:pPr>
        <w:numPr>
          <w:ilvl w:val="2"/>
          <w:numId w:val="8"/>
        </w:numPr>
        <w:snapToGrid w:val="0"/>
        <w:spacing w:line="360" w:lineRule="auto"/>
        <w:rPr>
          <w:sz w:val="24"/>
        </w:rPr>
      </w:pPr>
      <w:r>
        <w:rPr>
          <w:sz w:val="24"/>
        </w:rPr>
        <w:t>非政府强制采购的节能产品或环境标志产品，依据品目清单和认证证书实施政府优先采购。优先采购的具体规定见第四章《评标程序、评标方法和评标标准》（如涉及）。</w:t>
      </w:r>
    </w:p>
    <w:p w14:paraId="340ABF7B">
      <w:pPr>
        <w:numPr>
          <w:ilvl w:val="1"/>
          <w:numId w:val="8"/>
        </w:numPr>
        <w:tabs>
          <w:tab w:val="left" w:pos="1080"/>
          <w:tab w:val="left" w:pos="2014"/>
        </w:tabs>
        <w:snapToGrid w:val="0"/>
        <w:spacing w:line="360" w:lineRule="auto"/>
        <w:ind w:left="1080" w:hanging="720"/>
        <w:rPr>
          <w:sz w:val="24"/>
        </w:rPr>
      </w:pPr>
      <w:r>
        <w:rPr>
          <w:sz w:val="24"/>
        </w:rPr>
        <w:t>正版软件</w:t>
      </w:r>
    </w:p>
    <w:p w14:paraId="3BCF6FA5">
      <w:pPr>
        <w:numPr>
          <w:ilvl w:val="2"/>
          <w:numId w:val="8"/>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4AA314CD">
      <w:pPr>
        <w:numPr>
          <w:ilvl w:val="1"/>
          <w:numId w:val="8"/>
        </w:numPr>
        <w:tabs>
          <w:tab w:val="left" w:pos="1080"/>
          <w:tab w:val="left" w:pos="2014"/>
        </w:tabs>
        <w:snapToGrid w:val="0"/>
        <w:spacing w:line="360" w:lineRule="auto"/>
        <w:ind w:left="1080" w:hanging="720"/>
        <w:rPr>
          <w:sz w:val="24"/>
        </w:rPr>
      </w:pPr>
      <w:r>
        <w:rPr>
          <w:sz w:val="24"/>
        </w:rPr>
        <w:t>网络安全专用产品</w:t>
      </w:r>
    </w:p>
    <w:p w14:paraId="6459FF6D">
      <w:pPr>
        <w:numPr>
          <w:ilvl w:val="2"/>
          <w:numId w:val="8"/>
        </w:numPr>
        <w:tabs>
          <w:tab w:val="left" w:pos="900"/>
          <w:tab w:val="left" w:pos="2014"/>
        </w:tabs>
        <w:snapToGrid w:val="0"/>
        <w:spacing w:line="360" w:lineRule="auto"/>
        <w:rPr>
          <w:sz w:val="24"/>
        </w:rPr>
      </w:pPr>
      <w:r>
        <w:rPr>
          <w:rFonts w:hint="eastAsia"/>
          <w:sz w:val="24"/>
        </w:rPr>
        <w:t>根据《关于调整网络安全专用产品安全管理有关事项的公告》（2023年第1号），</w:t>
      </w:r>
      <w:r>
        <w:rPr>
          <w:sz w:val="24"/>
        </w:rPr>
        <w:t>所</w:t>
      </w:r>
      <w:r>
        <w:rPr>
          <w:rFonts w:hint="eastAsia"/>
          <w:sz w:val="24"/>
        </w:rPr>
        <w:t>提供</w:t>
      </w:r>
      <w:r>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sz w:val="24"/>
        </w:rPr>
        <w:t>。</w:t>
      </w:r>
    </w:p>
    <w:p w14:paraId="520C583C">
      <w:pPr>
        <w:numPr>
          <w:ilvl w:val="1"/>
          <w:numId w:val="8"/>
        </w:numPr>
        <w:tabs>
          <w:tab w:val="left" w:pos="1080"/>
          <w:tab w:val="left" w:pos="2014"/>
        </w:tabs>
        <w:snapToGrid w:val="0"/>
        <w:spacing w:line="360" w:lineRule="auto"/>
        <w:ind w:left="1080" w:hanging="720"/>
        <w:rPr>
          <w:sz w:val="24"/>
        </w:rPr>
      </w:pPr>
      <w:r>
        <w:rPr>
          <w:sz w:val="24"/>
        </w:rPr>
        <w:t>推广使用低挥发性有机化合物（VOCs）</w:t>
      </w:r>
    </w:p>
    <w:p w14:paraId="1A26E0A1">
      <w:pPr>
        <w:numPr>
          <w:ilvl w:val="2"/>
          <w:numId w:val="8"/>
        </w:numPr>
        <w:tabs>
          <w:tab w:val="left" w:pos="2014"/>
        </w:tabs>
        <w:snapToGrid w:val="0"/>
        <w:spacing w:line="360" w:lineRule="auto"/>
        <w:rPr>
          <w:sz w:val="24"/>
        </w:rPr>
      </w:pPr>
      <w:r>
        <w:rPr>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kern w:val="0"/>
          <w:sz w:val="24"/>
        </w:rPr>
        <w:t>否则</w:t>
      </w:r>
      <w:r>
        <w:rPr>
          <w:b/>
          <w:kern w:val="0"/>
          <w:sz w:val="24"/>
        </w:rPr>
        <w:t>投标无效</w:t>
      </w:r>
      <w:r>
        <w:rPr>
          <w:sz w:val="24"/>
        </w:rPr>
        <w:t>；属于推荐性标准的，优先采购，具体见第四章《评标程序、评标方法和评标标准》。</w:t>
      </w:r>
    </w:p>
    <w:p w14:paraId="57752286">
      <w:pPr>
        <w:numPr>
          <w:ilvl w:val="1"/>
          <w:numId w:val="8"/>
        </w:numPr>
        <w:tabs>
          <w:tab w:val="left" w:pos="1080"/>
          <w:tab w:val="left" w:pos="2014"/>
        </w:tabs>
        <w:snapToGrid w:val="0"/>
        <w:spacing w:line="360" w:lineRule="auto"/>
        <w:ind w:left="1080" w:hanging="720"/>
        <w:rPr>
          <w:sz w:val="24"/>
        </w:rPr>
      </w:pPr>
      <w:r>
        <w:rPr>
          <w:sz w:val="24"/>
        </w:rPr>
        <w:t>采购需求标准</w:t>
      </w:r>
    </w:p>
    <w:p w14:paraId="55C88066">
      <w:pPr>
        <w:numPr>
          <w:ilvl w:val="2"/>
          <w:numId w:val="8"/>
        </w:numPr>
        <w:tabs>
          <w:tab w:val="left" w:pos="2014"/>
        </w:tabs>
        <w:snapToGrid w:val="0"/>
        <w:spacing w:line="360" w:lineRule="auto"/>
        <w:rPr>
          <w:sz w:val="24"/>
        </w:rPr>
      </w:pPr>
      <w:r>
        <w:rPr>
          <w:sz w:val="24"/>
        </w:rPr>
        <w:t>商品包装、快递包装政府采购需求标准（试行）</w:t>
      </w:r>
    </w:p>
    <w:p w14:paraId="34918589">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184D6DAC">
      <w:pPr>
        <w:numPr>
          <w:ilvl w:val="2"/>
          <w:numId w:val="8"/>
        </w:numPr>
        <w:tabs>
          <w:tab w:val="left" w:pos="2014"/>
        </w:tabs>
        <w:snapToGrid w:val="0"/>
        <w:spacing w:line="360" w:lineRule="auto"/>
        <w:rPr>
          <w:sz w:val="24"/>
        </w:rPr>
      </w:pPr>
      <w:bookmarkStart w:id="163" w:name="_Hlk164953935"/>
      <w:r>
        <w:rPr>
          <w:sz w:val="24"/>
        </w:rPr>
        <w:t xml:space="preserve">其他政府采购需求标准 </w:t>
      </w:r>
    </w:p>
    <w:bookmarkEnd w:id="163"/>
    <w:p w14:paraId="60BC8EC8">
      <w:pPr>
        <w:tabs>
          <w:tab w:val="left" w:pos="900"/>
          <w:tab w:val="left" w:pos="1980"/>
        </w:tabs>
        <w:snapToGrid w:val="0"/>
        <w:spacing w:line="360" w:lineRule="auto"/>
        <w:ind w:left="1980"/>
        <w:rPr>
          <w:sz w:val="24"/>
        </w:rPr>
      </w:pPr>
      <w:bookmarkStart w:id="164" w:name="_Hlk164955325"/>
      <w:r>
        <w:rPr>
          <w:sz w:val="24"/>
        </w:rPr>
        <w:t>为贯彻落实《深化政府采购制度改革方案》有关要求，推动政府采购需求标准建设</w:t>
      </w:r>
      <w:bookmarkEnd w:id="164"/>
      <w:r>
        <w:rPr>
          <w:sz w:val="24"/>
        </w:rPr>
        <w:t>，财政部门会同有关部门制定发布的其他政府采购需求标准，本项目如涉及，则具体要求见第五章《采购需求》。</w:t>
      </w:r>
    </w:p>
    <w:p w14:paraId="77124625">
      <w:pPr>
        <w:numPr>
          <w:ilvl w:val="0"/>
          <w:numId w:val="8"/>
        </w:numPr>
        <w:tabs>
          <w:tab w:val="left" w:pos="360"/>
        </w:tabs>
        <w:snapToGrid w:val="0"/>
        <w:spacing w:line="360" w:lineRule="auto"/>
        <w:ind w:left="357" w:hanging="357"/>
        <w:outlineLvl w:val="1"/>
        <w:rPr>
          <w:sz w:val="24"/>
        </w:rPr>
      </w:pPr>
      <w:r>
        <w:rPr>
          <w:sz w:val="24"/>
        </w:rPr>
        <w:t>投标费用</w:t>
      </w:r>
    </w:p>
    <w:p w14:paraId="1BD8232B">
      <w:pPr>
        <w:numPr>
          <w:ilvl w:val="1"/>
          <w:numId w:val="8"/>
        </w:numPr>
        <w:tabs>
          <w:tab w:val="left" w:pos="1080"/>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14:paraId="51AD3450">
      <w:pPr>
        <w:tabs>
          <w:tab w:val="left" w:pos="1080"/>
        </w:tabs>
        <w:snapToGrid w:val="0"/>
        <w:spacing w:line="360" w:lineRule="auto"/>
        <w:ind w:left="1080"/>
        <w:rPr>
          <w:sz w:val="28"/>
        </w:rPr>
      </w:pPr>
      <w:bookmarkStart w:id="165" w:name="_1.8_计量单位"/>
      <w:bookmarkEnd w:id="165"/>
    </w:p>
    <w:p w14:paraId="04A8D97E">
      <w:pPr>
        <w:pStyle w:val="3"/>
        <w:spacing w:before="0" w:line="360" w:lineRule="auto"/>
        <w:rPr>
          <w:rFonts w:ascii="Times New Roman" w:hAnsi="Times New Roman" w:eastAsia="宋体"/>
          <w:sz w:val="28"/>
        </w:rPr>
      </w:pPr>
      <w:r>
        <w:rPr>
          <w:rFonts w:ascii="Times New Roman" w:hAnsi="Times New Roman" w:eastAsia="宋体"/>
          <w:sz w:val="28"/>
        </w:rPr>
        <w:t>二   招标文件</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14:paraId="51DF6FC3">
      <w:pPr>
        <w:numPr>
          <w:ilvl w:val="0"/>
          <w:numId w:val="8"/>
        </w:numPr>
        <w:tabs>
          <w:tab w:val="left" w:pos="360"/>
        </w:tabs>
        <w:snapToGrid w:val="0"/>
        <w:spacing w:line="360" w:lineRule="auto"/>
        <w:ind w:left="357" w:hanging="357"/>
        <w:outlineLvl w:val="1"/>
        <w:rPr>
          <w:sz w:val="24"/>
        </w:rPr>
      </w:pPr>
      <w:bookmarkStart w:id="166" w:name="_Toc195842888"/>
      <w:bookmarkStart w:id="167" w:name="_Toc151193911"/>
      <w:bookmarkStart w:id="168" w:name="_Toc226309767"/>
      <w:bookmarkStart w:id="169" w:name="_Toc164229364"/>
      <w:bookmarkStart w:id="170" w:name="_Toc520356147"/>
      <w:bookmarkStart w:id="171" w:name="_Toc127161437"/>
      <w:bookmarkStart w:id="172" w:name="_Toc305158865"/>
      <w:bookmarkStart w:id="173" w:name="_Toc164608637"/>
      <w:bookmarkStart w:id="174" w:name="_Toc151193621"/>
      <w:bookmarkStart w:id="175" w:name="_Toc226965713"/>
      <w:bookmarkStart w:id="176" w:name="_Toc164351617"/>
      <w:bookmarkStart w:id="177" w:name="_Toc164229218"/>
      <w:bookmarkStart w:id="178" w:name="_Toc150480761"/>
      <w:bookmarkStart w:id="179" w:name="_Toc127151724"/>
      <w:bookmarkStart w:id="180" w:name="_Toc151193837"/>
      <w:bookmarkStart w:id="181" w:name="_Toc151193693"/>
      <w:bookmarkStart w:id="182" w:name="_Toc150509274"/>
      <w:bookmarkStart w:id="183" w:name="_Toc305158791"/>
      <w:bookmarkStart w:id="184" w:name="_Toc265228361"/>
      <w:bookmarkStart w:id="185" w:name="_Toc226337219"/>
      <w:bookmarkStart w:id="186" w:name="_Toc127151523"/>
      <w:bookmarkStart w:id="187" w:name="_Toc264969213"/>
      <w:bookmarkStart w:id="188" w:name="_Toc226965796"/>
      <w:bookmarkStart w:id="189" w:name="_Toc142311025"/>
      <w:bookmarkStart w:id="190" w:name="_Toc150774623"/>
      <w:bookmarkStart w:id="191" w:name="_Toc150774728"/>
      <w:bookmarkStart w:id="192" w:name="_Toc151193765"/>
      <w:bookmarkStart w:id="193" w:name="_Toc149720816"/>
      <w:bookmarkStart w:id="194" w:name="_Toc164608792"/>
      <w:bookmarkStart w:id="195" w:name="_Toc151190150"/>
      <w:r>
        <w:rPr>
          <w:sz w:val="24"/>
        </w:rPr>
        <w:t>招标文件构</w:t>
      </w:r>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r>
        <w:rPr>
          <w:sz w:val="24"/>
        </w:rPr>
        <w:t>成</w:t>
      </w:r>
    </w:p>
    <w:p w14:paraId="58F8D9DB">
      <w:pPr>
        <w:numPr>
          <w:ilvl w:val="1"/>
          <w:numId w:val="8"/>
        </w:numPr>
        <w:tabs>
          <w:tab w:val="left" w:pos="1080"/>
          <w:tab w:val="left" w:pos="2014"/>
        </w:tabs>
        <w:snapToGrid w:val="0"/>
        <w:spacing w:line="360" w:lineRule="auto"/>
        <w:ind w:left="1080" w:hanging="720"/>
        <w:rPr>
          <w:sz w:val="24"/>
        </w:rPr>
      </w:pPr>
      <w:r>
        <w:rPr>
          <w:sz w:val="24"/>
        </w:rPr>
        <w:t>招标文件包括以下部分：</w:t>
      </w:r>
    </w:p>
    <w:p w14:paraId="19BB1F20">
      <w:pPr>
        <w:numPr>
          <w:ilvl w:val="0"/>
          <w:numId w:val="10"/>
        </w:numPr>
        <w:tabs>
          <w:tab w:val="left" w:pos="1980"/>
          <w:tab w:val="left" w:pos="2520"/>
        </w:tabs>
        <w:snapToGrid w:val="0"/>
        <w:spacing w:line="360" w:lineRule="auto"/>
        <w:ind w:left="1440" w:firstLine="5"/>
        <w:rPr>
          <w:sz w:val="24"/>
        </w:rPr>
      </w:pPr>
      <w:r>
        <w:rPr>
          <w:sz w:val="24"/>
        </w:rPr>
        <w:t>投标邀请</w:t>
      </w:r>
    </w:p>
    <w:p w14:paraId="658622B2">
      <w:pPr>
        <w:numPr>
          <w:ilvl w:val="0"/>
          <w:numId w:val="10"/>
        </w:numPr>
        <w:tabs>
          <w:tab w:val="left" w:pos="1980"/>
          <w:tab w:val="left" w:pos="2520"/>
        </w:tabs>
        <w:snapToGrid w:val="0"/>
        <w:spacing w:line="360" w:lineRule="auto"/>
        <w:ind w:left="1440" w:firstLine="5"/>
        <w:rPr>
          <w:sz w:val="24"/>
        </w:rPr>
      </w:pPr>
      <w:r>
        <w:rPr>
          <w:sz w:val="24"/>
        </w:rPr>
        <w:t>投标人须知</w:t>
      </w:r>
    </w:p>
    <w:p w14:paraId="15B83073">
      <w:pPr>
        <w:numPr>
          <w:ilvl w:val="0"/>
          <w:numId w:val="10"/>
        </w:numPr>
        <w:tabs>
          <w:tab w:val="left" w:pos="1980"/>
          <w:tab w:val="left" w:pos="2520"/>
        </w:tabs>
        <w:snapToGrid w:val="0"/>
        <w:spacing w:line="360" w:lineRule="auto"/>
        <w:ind w:left="1440" w:firstLine="5"/>
        <w:rPr>
          <w:sz w:val="24"/>
        </w:rPr>
      </w:pPr>
      <w:r>
        <w:rPr>
          <w:sz w:val="24"/>
        </w:rPr>
        <w:t>资格审查</w:t>
      </w:r>
    </w:p>
    <w:p w14:paraId="0E3A0896">
      <w:pPr>
        <w:numPr>
          <w:ilvl w:val="0"/>
          <w:numId w:val="10"/>
        </w:numPr>
        <w:tabs>
          <w:tab w:val="left" w:pos="1980"/>
          <w:tab w:val="left" w:pos="2520"/>
        </w:tabs>
        <w:snapToGrid w:val="0"/>
        <w:spacing w:line="360" w:lineRule="auto"/>
        <w:ind w:left="1440" w:firstLine="5"/>
        <w:rPr>
          <w:sz w:val="24"/>
        </w:rPr>
      </w:pPr>
      <w:r>
        <w:rPr>
          <w:sz w:val="24"/>
        </w:rPr>
        <w:t>评标程序、评标方法和评标标准</w:t>
      </w:r>
    </w:p>
    <w:p w14:paraId="66B51DC7">
      <w:pPr>
        <w:numPr>
          <w:ilvl w:val="0"/>
          <w:numId w:val="10"/>
        </w:numPr>
        <w:tabs>
          <w:tab w:val="left" w:pos="1980"/>
          <w:tab w:val="left" w:pos="2520"/>
        </w:tabs>
        <w:snapToGrid w:val="0"/>
        <w:spacing w:line="360" w:lineRule="auto"/>
        <w:ind w:left="1440" w:firstLine="5"/>
        <w:rPr>
          <w:sz w:val="24"/>
        </w:rPr>
      </w:pPr>
      <w:r>
        <w:rPr>
          <w:sz w:val="24"/>
        </w:rPr>
        <w:t>采购需求</w:t>
      </w:r>
    </w:p>
    <w:p w14:paraId="03AEE328">
      <w:pPr>
        <w:numPr>
          <w:ilvl w:val="0"/>
          <w:numId w:val="10"/>
        </w:numPr>
        <w:tabs>
          <w:tab w:val="left" w:pos="1980"/>
          <w:tab w:val="left" w:pos="2520"/>
        </w:tabs>
        <w:snapToGrid w:val="0"/>
        <w:spacing w:line="360" w:lineRule="auto"/>
        <w:ind w:left="1440" w:firstLine="5"/>
        <w:rPr>
          <w:sz w:val="24"/>
        </w:rPr>
      </w:pPr>
      <w:r>
        <w:rPr>
          <w:sz w:val="24"/>
        </w:rPr>
        <w:t>拟签订的合同文本</w:t>
      </w:r>
    </w:p>
    <w:p w14:paraId="4800856F">
      <w:pPr>
        <w:numPr>
          <w:ilvl w:val="0"/>
          <w:numId w:val="10"/>
        </w:numPr>
        <w:tabs>
          <w:tab w:val="left" w:pos="1980"/>
          <w:tab w:val="left" w:pos="2520"/>
        </w:tabs>
        <w:snapToGrid w:val="0"/>
        <w:spacing w:line="360" w:lineRule="auto"/>
        <w:ind w:left="1440" w:firstLine="5"/>
        <w:rPr>
          <w:sz w:val="24"/>
        </w:rPr>
      </w:pPr>
      <w:r>
        <w:rPr>
          <w:sz w:val="24"/>
        </w:rPr>
        <w:t>投标文件格式</w:t>
      </w:r>
    </w:p>
    <w:p w14:paraId="13F4C7B9">
      <w:pPr>
        <w:numPr>
          <w:ilvl w:val="1"/>
          <w:numId w:val="8"/>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63DFB559">
      <w:pPr>
        <w:numPr>
          <w:ilvl w:val="0"/>
          <w:numId w:val="8"/>
        </w:numPr>
        <w:tabs>
          <w:tab w:val="left" w:pos="1080"/>
          <w:tab w:val="left" w:pos="2014"/>
        </w:tabs>
        <w:snapToGrid w:val="0"/>
        <w:spacing w:line="360" w:lineRule="auto"/>
        <w:ind w:left="357" w:hanging="357"/>
        <w:outlineLvl w:val="1"/>
        <w:rPr>
          <w:sz w:val="24"/>
        </w:rPr>
      </w:pPr>
      <w:r>
        <w:rPr>
          <w:sz w:val="24"/>
        </w:rPr>
        <w:t>对招标文件的澄清或修改</w:t>
      </w:r>
    </w:p>
    <w:p w14:paraId="5073B41F">
      <w:pPr>
        <w:numPr>
          <w:ilvl w:val="1"/>
          <w:numId w:val="8"/>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14:paraId="12E7A478">
      <w:pPr>
        <w:numPr>
          <w:ilvl w:val="1"/>
          <w:numId w:val="8"/>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上述书面通知，按照获取招标文件的潜在投标人提供的联系方式发出，因提供的信息有误导致通知延迟或无法通知的，采购人或采购代理机构不承担责任。</w:t>
      </w:r>
    </w:p>
    <w:p w14:paraId="1124AB43">
      <w:pPr>
        <w:numPr>
          <w:ilvl w:val="1"/>
          <w:numId w:val="8"/>
        </w:numPr>
        <w:tabs>
          <w:tab w:val="left" w:pos="1080"/>
          <w:tab w:val="left" w:pos="1561"/>
          <w:tab w:val="left" w:pos="2014"/>
        </w:tabs>
        <w:snapToGrid w:val="0"/>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277B42E1">
      <w:pPr>
        <w:tabs>
          <w:tab w:val="left" w:pos="1080"/>
          <w:tab w:val="left" w:pos="1561"/>
        </w:tabs>
        <w:snapToGrid w:val="0"/>
        <w:spacing w:line="360" w:lineRule="auto"/>
        <w:ind w:left="1080"/>
        <w:rPr>
          <w:sz w:val="28"/>
        </w:rPr>
      </w:pPr>
      <w:bookmarkStart w:id="196" w:name="_Toc516367020"/>
      <w:bookmarkStart w:id="197" w:name="_Toc151193840"/>
      <w:bookmarkStart w:id="198" w:name="_Toc127151526"/>
      <w:bookmarkStart w:id="199" w:name="_Toc142311028"/>
      <w:bookmarkStart w:id="200" w:name="_Toc150480764"/>
      <w:bookmarkStart w:id="201" w:name="_Toc520356150"/>
      <w:bookmarkStart w:id="202" w:name="_Toc226337222"/>
      <w:bookmarkStart w:id="203" w:name="_Toc305158794"/>
      <w:bookmarkStart w:id="204" w:name="_Toc151193914"/>
      <w:bookmarkStart w:id="205" w:name="_Toc195842891"/>
      <w:bookmarkStart w:id="206" w:name="_Toc150774626"/>
      <w:bookmarkStart w:id="207" w:name="_Toc150774731"/>
      <w:bookmarkStart w:id="208" w:name="_Toc264969216"/>
      <w:bookmarkStart w:id="209" w:name="_Toc226965799"/>
      <w:bookmarkStart w:id="210" w:name="_Toc265228364"/>
      <w:bookmarkStart w:id="211" w:name="_Toc226965716"/>
      <w:bookmarkStart w:id="212" w:name="_Toc151190153"/>
      <w:bookmarkStart w:id="213" w:name="_Toc151193768"/>
      <w:bookmarkStart w:id="214" w:name="_Toc151193624"/>
      <w:bookmarkStart w:id="215" w:name="_Toc305158868"/>
      <w:bookmarkStart w:id="216" w:name="_Toc151193696"/>
      <w:bookmarkStart w:id="217" w:name="_Toc226309770"/>
      <w:bookmarkStart w:id="218" w:name="_Toc150509277"/>
    </w:p>
    <w:p w14:paraId="2C6A5673">
      <w:pPr>
        <w:pStyle w:val="3"/>
        <w:spacing w:before="0" w:line="360" w:lineRule="auto"/>
        <w:rPr>
          <w:rFonts w:ascii="Times New Roman" w:hAnsi="Times New Roman" w:eastAsia="宋体"/>
          <w:sz w:val="28"/>
        </w:rPr>
      </w:pPr>
      <w:r>
        <w:rPr>
          <w:rFonts w:ascii="Times New Roman" w:hAnsi="Times New Roman" w:eastAsia="宋体"/>
          <w:sz w:val="28"/>
        </w:rPr>
        <w:t>三   投标文件</w:t>
      </w:r>
      <w:bookmarkEnd w:id="196"/>
      <w:r>
        <w:rPr>
          <w:rFonts w:ascii="Times New Roman" w:hAnsi="Times New Roman" w:eastAsia="宋体"/>
          <w:sz w:val="28"/>
        </w:rPr>
        <w:t>的编制</w:t>
      </w:r>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14:paraId="58D1CD05">
      <w:pPr>
        <w:numPr>
          <w:ilvl w:val="0"/>
          <w:numId w:val="8"/>
        </w:numPr>
        <w:tabs>
          <w:tab w:val="left" w:pos="360"/>
        </w:tabs>
        <w:snapToGrid w:val="0"/>
        <w:spacing w:line="360" w:lineRule="auto"/>
        <w:ind w:left="357" w:hanging="357"/>
        <w:outlineLvl w:val="1"/>
        <w:rPr>
          <w:sz w:val="24"/>
        </w:rPr>
      </w:pPr>
      <w:bookmarkStart w:id="219" w:name="_Toc305158869"/>
      <w:bookmarkStart w:id="220" w:name="_Toc151190154"/>
      <w:bookmarkStart w:id="221" w:name="_Toc127151728"/>
      <w:bookmarkStart w:id="222" w:name="_Toc127151527"/>
      <w:bookmarkStart w:id="223" w:name="_Toc164608796"/>
      <w:bookmarkStart w:id="224" w:name="_Toc151193697"/>
      <w:bookmarkStart w:id="225" w:name="_Toc150774732"/>
      <w:bookmarkStart w:id="226" w:name="_Toc226337223"/>
      <w:bookmarkStart w:id="227" w:name="_Toc142311029"/>
      <w:bookmarkStart w:id="228" w:name="_Toc164351621"/>
      <w:bookmarkStart w:id="229" w:name="_Toc151193915"/>
      <w:bookmarkStart w:id="230" w:name="_Toc149720820"/>
      <w:bookmarkStart w:id="231" w:name="_Toc520356151"/>
      <w:bookmarkStart w:id="232" w:name="_Toc265228365"/>
      <w:bookmarkStart w:id="233" w:name="_Toc226965800"/>
      <w:bookmarkStart w:id="234" w:name="_Toc226965717"/>
      <w:bookmarkStart w:id="235" w:name="_Toc226309771"/>
      <w:bookmarkStart w:id="236" w:name="_Toc151193625"/>
      <w:bookmarkStart w:id="237" w:name="_Toc264969217"/>
      <w:bookmarkStart w:id="238" w:name="_Toc150509278"/>
      <w:bookmarkStart w:id="239" w:name="_Toc151193769"/>
      <w:bookmarkStart w:id="240" w:name="_Toc516367021"/>
      <w:bookmarkStart w:id="241" w:name="_Toc150480765"/>
      <w:bookmarkStart w:id="242" w:name="_Toc151193841"/>
      <w:bookmarkStart w:id="243" w:name="_Toc150774627"/>
      <w:bookmarkStart w:id="244" w:name="_Toc164229222"/>
      <w:bookmarkStart w:id="245" w:name="_Toc127161441"/>
      <w:bookmarkStart w:id="246" w:name="_Toc305158795"/>
      <w:bookmarkStart w:id="247" w:name="_Toc164229368"/>
      <w:bookmarkStart w:id="248" w:name="_Toc195842892"/>
      <w:bookmarkStart w:id="249" w:name="_Toc164608641"/>
      <w:r>
        <w:rPr>
          <w:sz w:val="24"/>
        </w:rPr>
        <w:t>投标范围、投标文件中计量单位的使用</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r>
        <w:rPr>
          <w:sz w:val="24"/>
        </w:rPr>
        <w:t>及投标语言</w:t>
      </w:r>
    </w:p>
    <w:p w14:paraId="44B93E20">
      <w:pPr>
        <w:numPr>
          <w:ilvl w:val="1"/>
          <w:numId w:val="8"/>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sz w:val="24"/>
        </w:rPr>
        <w:t>无效投标</w:t>
      </w:r>
      <w:r>
        <w:rPr>
          <w:sz w:val="24"/>
        </w:rPr>
        <w:t>。</w:t>
      </w:r>
    </w:p>
    <w:p w14:paraId="7F83E8E1">
      <w:pPr>
        <w:numPr>
          <w:ilvl w:val="1"/>
          <w:numId w:val="8"/>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14:paraId="75B708D2">
      <w:pPr>
        <w:numPr>
          <w:ilvl w:val="1"/>
          <w:numId w:val="8"/>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77051768">
      <w:pPr>
        <w:numPr>
          <w:ilvl w:val="0"/>
          <w:numId w:val="8"/>
        </w:numPr>
        <w:tabs>
          <w:tab w:val="left" w:pos="360"/>
        </w:tabs>
        <w:snapToGrid w:val="0"/>
        <w:spacing w:line="360" w:lineRule="auto"/>
        <w:ind w:left="357" w:hanging="357"/>
        <w:outlineLvl w:val="1"/>
        <w:rPr>
          <w:sz w:val="24"/>
        </w:rPr>
      </w:pPr>
      <w:bookmarkStart w:id="250" w:name="_Toc516367022"/>
      <w:bookmarkStart w:id="251" w:name="_Ref467306676"/>
      <w:bookmarkStart w:id="252" w:name="_Ref467306195"/>
      <w:bookmarkStart w:id="253" w:name="_Toc151190155"/>
      <w:bookmarkStart w:id="254" w:name="_Toc150509279"/>
      <w:bookmarkStart w:id="255" w:name="_Toc195842893"/>
      <w:bookmarkStart w:id="256" w:name="_Toc149720821"/>
      <w:bookmarkStart w:id="257" w:name="_Toc151193698"/>
      <w:bookmarkStart w:id="258" w:name="_Toc164608797"/>
      <w:bookmarkStart w:id="259" w:name="_Toc127151729"/>
      <w:bookmarkStart w:id="260" w:name="_Toc305158870"/>
      <w:bookmarkStart w:id="261" w:name="_Toc164608642"/>
      <w:bookmarkStart w:id="262" w:name="_Toc150480766"/>
      <w:bookmarkStart w:id="263" w:name="_Toc226309772"/>
      <w:bookmarkStart w:id="264" w:name="_Toc264969218"/>
      <w:bookmarkStart w:id="265" w:name="_Toc164351622"/>
      <w:bookmarkStart w:id="266" w:name="_Toc127161442"/>
      <w:bookmarkStart w:id="267" w:name="_Toc265228366"/>
      <w:bookmarkStart w:id="268" w:name="_Toc226965801"/>
      <w:bookmarkStart w:id="269" w:name="_Toc164229369"/>
      <w:bookmarkStart w:id="270" w:name="_Toc520356152"/>
      <w:bookmarkStart w:id="271" w:name="_Toc150774628"/>
      <w:bookmarkStart w:id="272" w:name="_Toc164229223"/>
      <w:bookmarkStart w:id="273" w:name="_Toc226965718"/>
      <w:bookmarkStart w:id="274" w:name="_Toc151193842"/>
      <w:bookmarkStart w:id="275" w:name="_Toc305158796"/>
      <w:bookmarkStart w:id="276" w:name="_Toc151193770"/>
      <w:bookmarkStart w:id="277" w:name="_Toc142311030"/>
      <w:bookmarkStart w:id="278" w:name="_Toc151193626"/>
      <w:bookmarkStart w:id="279" w:name="_Toc151193916"/>
      <w:bookmarkStart w:id="280" w:name="_Toc150774733"/>
      <w:bookmarkStart w:id="281" w:name="_Toc127151528"/>
      <w:bookmarkStart w:id="282" w:name="_Toc226337224"/>
      <w:r>
        <w:rPr>
          <w:sz w:val="24"/>
        </w:rPr>
        <w:t>投标文件</w:t>
      </w:r>
      <w:bookmarkEnd w:id="250"/>
      <w:bookmarkEnd w:id="251"/>
      <w:bookmarkEnd w:id="252"/>
      <w:r>
        <w:rPr>
          <w:sz w:val="24"/>
        </w:rPr>
        <w:t>构成</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p>
    <w:p w14:paraId="6292AEDA">
      <w:pPr>
        <w:numPr>
          <w:ilvl w:val="1"/>
          <w:numId w:val="8"/>
        </w:numPr>
        <w:tabs>
          <w:tab w:val="left" w:pos="1080"/>
          <w:tab w:val="left" w:pos="2014"/>
        </w:tabs>
        <w:snapToGrid w:val="0"/>
        <w:spacing w:line="360" w:lineRule="auto"/>
        <w:ind w:left="1077" w:hanging="720"/>
        <w:rPr>
          <w:sz w:val="24"/>
        </w:rPr>
      </w:pPr>
      <w:bookmarkStart w:id="283" w:name="_Ref467052588"/>
      <w:r>
        <w:rPr>
          <w:sz w:val="24"/>
        </w:rPr>
        <w:t>投标人应当按照招标文件的要求编制投标文件。投标文件应由《资格证明文件》、《商务技术文件》两部分构成。投标文件的部分格式要求，见第七章《投标文件格式》。</w:t>
      </w:r>
    </w:p>
    <w:p w14:paraId="009ADFEF">
      <w:pPr>
        <w:numPr>
          <w:ilvl w:val="1"/>
          <w:numId w:val="8"/>
        </w:numPr>
        <w:tabs>
          <w:tab w:val="left" w:pos="1080"/>
          <w:tab w:val="left" w:pos="2014"/>
        </w:tabs>
        <w:snapToGrid w:val="0"/>
        <w:spacing w:line="360" w:lineRule="auto"/>
        <w:ind w:left="1077" w:hanging="720"/>
        <w:rPr>
          <w:sz w:val="24"/>
        </w:rPr>
      </w:pP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14:paraId="3364F9FA">
      <w:pPr>
        <w:numPr>
          <w:ilvl w:val="1"/>
          <w:numId w:val="8"/>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14:paraId="57C4EFEE">
      <w:pPr>
        <w:numPr>
          <w:ilvl w:val="1"/>
          <w:numId w:val="8"/>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06B1CD14">
      <w:pPr>
        <w:numPr>
          <w:ilvl w:val="1"/>
          <w:numId w:val="8"/>
        </w:numPr>
        <w:tabs>
          <w:tab w:val="left" w:pos="1080"/>
          <w:tab w:val="left" w:pos="2014"/>
        </w:tabs>
        <w:snapToGrid w:val="0"/>
        <w:spacing w:line="360" w:lineRule="auto"/>
        <w:ind w:left="1077" w:hanging="720"/>
        <w:rPr>
          <w:sz w:val="24"/>
        </w:rPr>
      </w:pPr>
      <w:r>
        <w:rPr>
          <w:sz w:val="24"/>
        </w:rPr>
        <w:t>投标人认为应附的其他材料。</w:t>
      </w:r>
      <w:bookmarkEnd w:id="283"/>
    </w:p>
    <w:p w14:paraId="37BC34EA">
      <w:pPr>
        <w:numPr>
          <w:ilvl w:val="0"/>
          <w:numId w:val="8"/>
        </w:numPr>
        <w:tabs>
          <w:tab w:val="left" w:pos="360"/>
        </w:tabs>
        <w:snapToGrid w:val="0"/>
        <w:spacing w:line="360" w:lineRule="auto"/>
        <w:ind w:left="357" w:hanging="357"/>
        <w:outlineLvl w:val="1"/>
        <w:rPr>
          <w:sz w:val="24"/>
        </w:rPr>
      </w:pPr>
      <w:bookmarkStart w:id="284" w:name="_Toc195842895"/>
      <w:bookmarkStart w:id="285" w:name="_Toc127161444"/>
      <w:bookmarkStart w:id="286" w:name="_Toc164608799"/>
      <w:bookmarkStart w:id="287" w:name="_Toc149720823"/>
      <w:bookmarkStart w:id="288" w:name="_Toc151193700"/>
      <w:bookmarkStart w:id="289" w:name="_Toc151193628"/>
      <w:bookmarkStart w:id="290" w:name="_Toc164229225"/>
      <w:bookmarkStart w:id="291" w:name="_Toc164351624"/>
      <w:bookmarkStart w:id="292" w:name="_Toc150774630"/>
      <w:bookmarkStart w:id="293" w:name="_Toc151193918"/>
      <w:bookmarkStart w:id="294" w:name="_Toc151190157"/>
      <w:bookmarkStart w:id="295" w:name="_Toc150774735"/>
      <w:bookmarkStart w:id="296" w:name="_Toc164608644"/>
      <w:bookmarkStart w:id="297" w:name="_Toc151193772"/>
      <w:bookmarkStart w:id="298" w:name="_Toc127151731"/>
      <w:bookmarkStart w:id="299" w:name="_Toc127151530"/>
      <w:bookmarkStart w:id="300" w:name="_Toc520356155"/>
      <w:bookmarkStart w:id="301" w:name="_Toc151193844"/>
      <w:bookmarkStart w:id="302" w:name="_Toc150509281"/>
      <w:bookmarkStart w:id="303" w:name="_Toc150480768"/>
      <w:bookmarkStart w:id="304" w:name="_Toc164229371"/>
      <w:bookmarkStart w:id="305" w:name="_Toc142311032"/>
      <w:r>
        <w:rPr>
          <w:sz w:val="24"/>
        </w:rPr>
        <w:t>投标报价</w:t>
      </w:r>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p>
    <w:p w14:paraId="17DA5076">
      <w:pPr>
        <w:numPr>
          <w:ilvl w:val="1"/>
          <w:numId w:val="8"/>
        </w:numPr>
        <w:tabs>
          <w:tab w:val="left" w:pos="1080"/>
          <w:tab w:val="left" w:pos="2014"/>
        </w:tabs>
        <w:snapToGrid w:val="0"/>
        <w:spacing w:line="360" w:lineRule="auto"/>
        <w:ind w:left="1077" w:hanging="720"/>
        <w:rPr>
          <w:sz w:val="24"/>
        </w:rPr>
      </w:pPr>
      <w:r>
        <w:rPr>
          <w:sz w:val="24"/>
        </w:rPr>
        <w:t>所有投标均以人民币</w:t>
      </w:r>
      <w:r>
        <w:rPr>
          <w:rFonts w:hint="eastAsia"/>
          <w:sz w:val="24"/>
        </w:rPr>
        <w:t>为计价货币</w:t>
      </w:r>
      <w:r>
        <w:rPr>
          <w:sz w:val="24"/>
        </w:rPr>
        <w:t>。</w:t>
      </w:r>
    </w:p>
    <w:p w14:paraId="267A832B">
      <w:pPr>
        <w:numPr>
          <w:ilvl w:val="1"/>
          <w:numId w:val="8"/>
        </w:numPr>
        <w:tabs>
          <w:tab w:val="left" w:pos="1080"/>
          <w:tab w:val="left" w:pos="2014"/>
        </w:tabs>
        <w:snapToGrid w:val="0"/>
        <w:spacing w:line="360" w:lineRule="auto"/>
        <w:ind w:left="1077" w:hanging="720"/>
        <w:rPr>
          <w:sz w:val="24"/>
        </w:rPr>
      </w:pPr>
      <w:r>
        <w:rPr>
          <w:sz w:val="24"/>
        </w:rPr>
        <w:t>投标人的报价应包括为完成本项目所发生的一切费用和税费，采购人将不再支付报价以外的任何费用。投标人的报价应包括但不限于下列内容，《投标人须知资料表》中有特殊规定的，从其规定。</w:t>
      </w:r>
    </w:p>
    <w:p w14:paraId="0FDCE47E">
      <w:pPr>
        <w:numPr>
          <w:ilvl w:val="2"/>
          <w:numId w:val="8"/>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23FDE465">
      <w:pPr>
        <w:numPr>
          <w:ilvl w:val="2"/>
          <w:numId w:val="8"/>
        </w:numPr>
        <w:snapToGrid w:val="0"/>
        <w:spacing w:line="360" w:lineRule="auto"/>
        <w:rPr>
          <w:sz w:val="24"/>
        </w:rPr>
      </w:pPr>
      <w:r>
        <w:rPr>
          <w:sz w:val="24"/>
        </w:rPr>
        <w:t xml:space="preserve">按照招标文件要求完成本项目的全部相关费用。 </w:t>
      </w:r>
    </w:p>
    <w:p w14:paraId="6BBD26C5">
      <w:pPr>
        <w:numPr>
          <w:ilvl w:val="1"/>
          <w:numId w:val="8"/>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14:paraId="2DD31BC5">
      <w:pPr>
        <w:numPr>
          <w:ilvl w:val="1"/>
          <w:numId w:val="8"/>
        </w:numPr>
        <w:tabs>
          <w:tab w:val="left" w:pos="1080"/>
          <w:tab w:val="left" w:pos="2014"/>
        </w:tabs>
        <w:snapToGrid w:val="0"/>
        <w:spacing w:line="360" w:lineRule="auto"/>
        <w:ind w:left="1080" w:hanging="720"/>
        <w:rPr>
          <w:sz w:val="24"/>
        </w:rPr>
      </w:pPr>
      <w:r>
        <w:rPr>
          <w:sz w:val="24"/>
        </w:rPr>
        <w:t>投标人不能提供任何有选择性或可调整的报价（招标文件另有规定的除外），否则其</w:t>
      </w:r>
      <w:r>
        <w:rPr>
          <w:b/>
          <w:sz w:val="24"/>
        </w:rPr>
        <w:t>投标无效</w:t>
      </w:r>
      <w:r>
        <w:rPr>
          <w:sz w:val="24"/>
        </w:rPr>
        <w:t>。</w:t>
      </w:r>
    </w:p>
    <w:p w14:paraId="1EB96DC1">
      <w:pPr>
        <w:numPr>
          <w:ilvl w:val="0"/>
          <w:numId w:val="8"/>
        </w:numPr>
        <w:tabs>
          <w:tab w:val="left" w:pos="360"/>
        </w:tabs>
        <w:snapToGrid w:val="0"/>
        <w:spacing w:line="360" w:lineRule="auto"/>
        <w:ind w:left="357" w:hanging="357"/>
        <w:outlineLvl w:val="1"/>
        <w:rPr>
          <w:sz w:val="24"/>
        </w:rPr>
      </w:pPr>
      <w:bookmarkStart w:id="306" w:name="_Toc226965804"/>
      <w:bookmarkStart w:id="307" w:name="_Toc305158873"/>
      <w:bookmarkStart w:id="308" w:name="_Toc127151732"/>
      <w:bookmarkStart w:id="309" w:name="_Toc151193773"/>
      <w:bookmarkStart w:id="310" w:name="_Toc164608645"/>
      <w:bookmarkStart w:id="311" w:name="_Toc149720824"/>
      <w:bookmarkStart w:id="312" w:name="_Toc127151531"/>
      <w:bookmarkStart w:id="313" w:name="_Toc150774631"/>
      <w:bookmarkStart w:id="314" w:name="_Toc164229226"/>
      <w:bookmarkStart w:id="315" w:name="_Toc151190158"/>
      <w:bookmarkStart w:id="316" w:name="_Toc127161445"/>
      <w:bookmarkStart w:id="317" w:name="_Toc226337227"/>
      <w:bookmarkStart w:id="318" w:name="_Toc226965721"/>
      <w:bookmarkStart w:id="319" w:name="_Toc151193701"/>
      <w:bookmarkStart w:id="320" w:name="_Toc151193845"/>
      <w:bookmarkStart w:id="321" w:name="_Toc226309775"/>
      <w:bookmarkStart w:id="322" w:name="_Toc142311033"/>
      <w:bookmarkStart w:id="323" w:name="_Ref467306513"/>
      <w:bookmarkStart w:id="324" w:name="_Toc520356156"/>
      <w:bookmarkStart w:id="325" w:name="_Toc305158799"/>
      <w:bookmarkStart w:id="326" w:name="_Toc150509282"/>
      <w:bookmarkStart w:id="327" w:name="_Toc195842896"/>
      <w:bookmarkStart w:id="328" w:name="_Toc151193629"/>
      <w:bookmarkStart w:id="329" w:name="_Toc164351625"/>
      <w:bookmarkStart w:id="330" w:name="_Toc150480769"/>
      <w:bookmarkStart w:id="331" w:name="_Toc164608800"/>
      <w:bookmarkStart w:id="332" w:name="_Toc150774736"/>
      <w:bookmarkStart w:id="333" w:name="_Toc264969221"/>
      <w:bookmarkStart w:id="334" w:name="_Toc164229372"/>
      <w:bookmarkStart w:id="335" w:name="_Toc151193919"/>
      <w:bookmarkStart w:id="336" w:name="_Toc265228369"/>
      <w:r>
        <w:rPr>
          <w:sz w:val="24"/>
        </w:rPr>
        <w:t>投标保证金</w:t>
      </w:r>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p w14:paraId="53BBBB31">
      <w:pPr>
        <w:numPr>
          <w:ilvl w:val="1"/>
          <w:numId w:val="8"/>
        </w:numPr>
        <w:tabs>
          <w:tab w:val="left" w:pos="1080"/>
          <w:tab w:val="left" w:pos="2014"/>
        </w:tabs>
        <w:snapToGrid w:val="0"/>
        <w:spacing w:line="360" w:lineRule="auto"/>
        <w:ind w:left="1077" w:hanging="720"/>
        <w:rPr>
          <w:sz w:val="24"/>
        </w:rPr>
      </w:pPr>
      <w:bookmarkStart w:id="337" w:name="_Ref467306302"/>
      <w:r>
        <w:rPr>
          <w:sz w:val="24"/>
        </w:rPr>
        <w:t>投标人应按《投标人须知资料表》中规定的金额及要求交纳投标保证金</w:t>
      </w:r>
      <w:bookmarkEnd w:id="337"/>
      <w:r>
        <w:rPr>
          <w:sz w:val="24"/>
        </w:rPr>
        <w:t>。投标人自愿超额缴纳投标保证金的，投标文件不做无效处理。</w:t>
      </w:r>
    </w:p>
    <w:p w14:paraId="748B2DBA">
      <w:pPr>
        <w:numPr>
          <w:ilvl w:val="1"/>
          <w:numId w:val="8"/>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14:paraId="1E6AE9AC">
      <w:pPr>
        <w:numPr>
          <w:ilvl w:val="1"/>
          <w:numId w:val="8"/>
        </w:numPr>
        <w:tabs>
          <w:tab w:val="left" w:pos="1080"/>
          <w:tab w:val="left" w:pos="2014"/>
        </w:tabs>
        <w:snapToGrid w:val="0"/>
        <w:spacing w:line="360" w:lineRule="auto"/>
        <w:ind w:left="1077" w:hanging="720"/>
        <w:rPr>
          <w:sz w:val="24"/>
        </w:rPr>
      </w:pPr>
      <w:r>
        <w:rPr>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38" w:name="_Hlk164959831"/>
      <w:r>
        <w:rPr>
          <w:sz w:val="24"/>
        </w:rPr>
        <w:t>以电子保函形式提交投标保证金的，应在投标截止时间前通过</w:t>
      </w:r>
      <w:r>
        <w:rPr>
          <w:sz w:val="24"/>
          <w:lang w:bidi="ar"/>
        </w:rPr>
        <w:t>北京市政府采购电子交易平台完成电子保函在线办理。</w:t>
      </w:r>
      <w:bookmarkEnd w:id="338"/>
      <w:r>
        <w:rPr>
          <w:rFonts w:hint="eastAsia"/>
          <w:sz w:val="24"/>
        </w:rPr>
        <w:t>未按上述要求缴纳投标保证金</w:t>
      </w:r>
      <w:r>
        <w:rPr>
          <w:sz w:val="24"/>
        </w:rPr>
        <w:t>的，其</w:t>
      </w:r>
      <w:r>
        <w:rPr>
          <w:b/>
          <w:sz w:val="24"/>
        </w:rPr>
        <w:t>投标无效</w:t>
      </w:r>
      <w:r>
        <w:rPr>
          <w:sz w:val="24"/>
        </w:rPr>
        <w:t>。</w:t>
      </w:r>
    </w:p>
    <w:p w14:paraId="16C26B32">
      <w:pPr>
        <w:numPr>
          <w:ilvl w:val="1"/>
          <w:numId w:val="8"/>
        </w:numPr>
        <w:tabs>
          <w:tab w:val="left" w:pos="1080"/>
          <w:tab w:val="left" w:pos="2014"/>
        </w:tabs>
        <w:snapToGrid w:val="0"/>
        <w:spacing w:line="360" w:lineRule="auto"/>
        <w:ind w:left="1077" w:hanging="720"/>
        <w:rPr>
          <w:sz w:val="24"/>
        </w:rPr>
      </w:pPr>
      <w:r>
        <w:rPr>
          <w:rFonts w:hint="eastAsia"/>
          <w:sz w:val="24"/>
        </w:rPr>
        <w:t>投标人</w:t>
      </w:r>
      <w:r>
        <w:rPr>
          <w:color w:val="000000"/>
          <w:sz w:val="24"/>
        </w:rPr>
        <w:t>除</w:t>
      </w:r>
      <w:r>
        <w:rPr>
          <w:rFonts w:hint="eastAsia"/>
          <w:color w:val="000000"/>
          <w:sz w:val="24"/>
        </w:rPr>
        <w:t>需在</w:t>
      </w:r>
      <w:r>
        <w:rPr>
          <w:color w:val="000000"/>
          <w:sz w:val="24"/>
        </w:rPr>
        <w:t>投标文件中</w:t>
      </w:r>
      <w:r>
        <w:rPr>
          <w:rFonts w:hint="eastAsia"/>
          <w:color w:val="000000"/>
          <w:sz w:val="24"/>
        </w:rPr>
        <w:t>提供“</w:t>
      </w:r>
      <w:r>
        <w:rPr>
          <w:color w:val="000000"/>
          <w:sz w:val="24"/>
          <w:szCs w:val="20"/>
        </w:rPr>
        <w:t>投标保证金凭证/交款单据电子件</w:t>
      </w:r>
      <w:r>
        <w:rPr>
          <w:rFonts w:hint="eastAsia"/>
          <w:color w:val="000000"/>
          <w:sz w:val="24"/>
        </w:rPr>
        <w:t>”</w:t>
      </w:r>
      <w:r>
        <w:rPr>
          <w:color w:val="000000"/>
          <w:sz w:val="24"/>
        </w:rPr>
        <w:t>，</w:t>
      </w:r>
      <w:r>
        <w:rPr>
          <w:rFonts w:hint="eastAsia"/>
          <w:sz w:val="24"/>
        </w:rPr>
        <w:t>还需在投标截止时间前，通过电子交易平台上传“</w:t>
      </w:r>
      <w:r>
        <w:rPr>
          <w:color w:val="000000"/>
          <w:sz w:val="24"/>
          <w:szCs w:val="20"/>
        </w:rPr>
        <w:t>投标保证金凭证/交款单据电子件</w:t>
      </w:r>
      <w:r>
        <w:rPr>
          <w:rFonts w:hint="eastAsia"/>
          <w:sz w:val="24"/>
        </w:rPr>
        <w:t>”。</w:t>
      </w:r>
    </w:p>
    <w:p w14:paraId="32452AB3">
      <w:pPr>
        <w:numPr>
          <w:ilvl w:val="1"/>
          <w:numId w:val="8"/>
        </w:numPr>
        <w:tabs>
          <w:tab w:val="left" w:pos="1080"/>
          <w:tab w:val="left" w:pos="2014"/>
        </w:tabs>
        <w:snapToGrid w:val="0"/>
        <w:spacing w:line="360" w:lineRule="auto"/>
        <w:ind w:left="1077" w:hanging="720"/>
        <w:rPr>
          <w:sz w:val="24"/>
        </w:rPr>
      </w:pPr>
      <w:r>
        <w:rPr>
          <w:sz w:val="24"/>
        </w:rPr>
        <w:t>投标保证金有效期同投标有效期。</w:t>
      </w:r>
    </w:p>
    <w:p w14:paraId="7C5C6A1D">
      <w:pPr>
        <w:numPr>
          <w:ilvl w:val="1"/>
          <w:numId w:val="8"/>
        </w:numPr>
        <w:tabs>
          <w:tab w:val="left" w:pos="1080"/>
          <w:tab w:val="left" w:pos="2014"/>
        </w:tabs>
        <w:snapToGrid w:val="0"/>
        <w:spacing w:line="360" w:lineRule="auto"/>
        <w:ind w:left="1077" w:hanging="720"/>
        <w:rPr>
          <w:sz w:val="24"/>
        </w:rPr>
      </w:pPr>
      <w:r>
        <w:rPr>
          <w:sz w:val="24"/>
        </w:rPr>
        <w:t>投标人为联合体的，可以由联合体中的一方或者多方共同交纳投标保证金，其交纳的投标保证金对联合体各方均具有约束力。</w:t>
      </w:r>
    </w:p>
    <w:p w14:paraId="53FD5487">
      <w:pPr>
        <w:numPr>
          <w:ilvl w:val="1"/>
          <w:numId w:val="8"/>
        </w:numPr>
        <w:tabs>
          <w:tab w:val="left" w:pos="1080"/>
          <w:tab w:val="left" w:pos="2014"/>
        </w:tabs>
        <w:snapToGrid w:val="0"/>
        <w:spacing w:line="360" w:lineRule="auto"/>
        <w:ind w:left="1077" w:hanging="720"/>
        <w:rPr>
          <w:sz w:val="24"/>
        </w:rPr>
      </w:pPr>
      <w:r>
        <w:rPr>
          <w:sz w:val="24"/>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790356C5">
      <w:pPr>
        <w:numPr>
          <w:ilvl w:val="2"/>
          <w:numId w:val="8"/>
        </w:numPr>
        <w:snapToGrid w:val="0"/>
        <w:spacing w:line="360" w:lineRule="auto"/>
        <w:rPr>
          <w:sz w:val="24"/>
        </w:rPr>
      </w:pPr>
      <w:r>
        <w:rPr>
          <w:sz w:val="24"/>
        </w:rPr>
        <w:t>投标人在投标截止时间前撤回已提交的投标文件的，自收到投标人书面撤回通知之日起5个工作日内退还已收取的投标保证金；</w:t>
      </w:r>
    </w:p>
    <w:p w14:paraId="679D1B2C">
      <w:pPr>
        <w:numPr>
          <w:ilvl w:val="2"/>
          <w:numId w:val="8"/>
        </w:numPr>
        <w:snapToGrid w:val="0"/>
        <w:spacing w:line="360" w:lineRule="auto"/>
        <w:rPr>
          <w:sz w:val="24"/>
        </w:rPr>
      </w:pPr>
      <w:r>
        <w:rPr>
          <w:sz w:val="24"/>
        </w:rPr>
        <w:t>中标人的投标保证金，自采购合同签订之日起5个工作日内退还中标人；</w:t>
      </w:r>
    </w:p>
    <w:p w14:paraId="7C00CBB1">
      <w:pPr>
        <w:numPr>
          <w:ilvl w:val="2"/>
          <w:numId w:val="8"/>
        </w:numPr>
        <w:snapToGrid w:val="0"/>
        <w:spacing w:line="360" w:lineRule="auto"/>
        <w:rPr>
          <w:sz w:val="24"/>
        </w:rPr>
      </w:pPr>
      <w:r>
        <w:rPr>
          <w:sz w:val="24"/>
        </w:rPr>
        <w:t>未中标投标人的投标保证金，自中标通知书发出之日起5个工作日内退还未中标人；</w:t>
      </w:r>
    </w:p>
    <w:p w14:paraId="0E04C2EC">
      <w:pPr>
        <w:numPr>
          <w:ilvl w:val="2"/>
          <w:numId w:val="8"/>
        </w:numPr>
        <w:snapToGrid w:val="0"/>
        <w:spacing w:line="360" w:lineRule="auto"/>
        <w:rPr>
          <w:sz w:val="24"/>
        </w:rPr>
      </w:pPr>
      <w:r>
        <w:rPr>
          <w:sz w:val="24"/>
        </w:rPr>
        <w:t>终止招标项目已经收取投标保证金的，自终止采购活动后5个工作日内退还已收取的投标保证金及其在银行产生的孳息。</w:t>
      </w:r>
    </w:p>
    <w:p w14:paraId="7BCF2EBD">
      <w:pPr>
        <w:numPr>
          <w:ilvl w:val="1"/>
          <w:numId w:val="8"/>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14:paraId="47274508">
      <w:pPr>
        <w:numPr>
          <w:ilvl w:val="2"/>
          <w:numId w:val="8"/>
        </w:numPr>
        <w:snapToGrid w:val="0"/>
        <w:spacing w:line="360" w:lineRule="auto"/>
        <w:rPr>
          <w:sz w:val="24"/>
        </w:rPr>
      </w:pPr>
      <w:r>
        <w:rPr>
          <w:sz w:val="24"/>
        </w:rPr>
        <w:t>投标有效期内投标人撤销投标文件的；</w:t>
      </w:r>
    </w:p>
    <w:p w14:paraId="60BE78C9">
      <w:pPr>
        <w:numPr>
          <w:ilvl w:val="2"/>
          <w:numId w:val="8"/>
        </w:numPr>
        <w:tabs>
          <w:tab w:val="left" w:pos="900"/>
          <w:tab w:val="left" w:pos="1080"/>
          <w:tab w:val="left" w:pos="2014"/>
        </w:tabs>
        <w:snapToGrid w:val="0"/>
        <w:spacing w:line="360" w:lineRule="auto"/>
        <w:rPr>
          <w:sz w:val="24"/>
        </w:rPr>
      </w:pPr>
      <w:r>
        <w:rPr>
          <w:sz w:val="24"/>
        </w:rPr>
        <w:t>《投标人须知资料表》中规定的其他情形。</w:t>
      </w:r>
    </w:p>
    <w:p w14:paraId="56D149BE">
      <w:pPr>
        <w:numPr>
          <w:ilvl w:val="0"/>
          <w:numId w:val="8"/>
        </w:numPr>
        <w:tabs>
          <w:tab w:val="left" w:pos="360"/>
        </w:tabs>
        <w:snapToGrid w:val="0"/>
        <w:spacing w:line="360" w:lineRule="auto"/>
        <w:ind w:left="357" w:hanging="357"/>
        <w:outlineLvl w:val="1"/>
        <w:rPr>
          <w:sz w:val="24"/>
        </w:rPr>
      </w:pPr>
      <w:bookmarkStart w:id="339" w:name="_Toc151193920"/>
      <w:bookmarkStart w:id="340" w:name="_Toc150774737"/>
      <w:bookmarkStart w:id="341" w:name="_Toc151193630"/>
      <w:bookmarkStart w:id="342" w:name="_Toc127161446"/>
      <w:bookmarkStart w:id="343" w:name="_Toc164229227"/>
      <w:bookmarkStart w:id="344" w:name="_Toc195842897"/>
      <w:bookmarkStart w:id="345" w:name="_Toc142311034"/>
      <w:bookmarkStart w:id="346" w:name="_Toc127151733"/>
      <w:bookmarkStart w:id="347" w:name="_Toc226965722"/>
      <w:bookmarkStart w:id="348" w:name="_Toc264969222"/>
      <w:bookmarkStart w:id="349" w:name="_Toc226337228"/>
      <w:bookmarkStart w:id="350" w:name="_Toc150480770"/>
      <w:bookmarkStart w:id="351" w:name="_Toc226309776"/>
      <w:bookmarkStart w:id="352" w:name="_Toc164608801"/>
      <w:bookmarkStart w:id="353" w:name="_Toc265228370"/>
      <w:bookmarkStart w:id="354" w:name="_Toc305158800"/>
      <w:bookmarkStart w:id="355" w:name="_Toc149720825"/>
      <w:bookmarkStart w:id="356" w:name="_Toc150774632"/>
      <w:bookmarkStart w:id="357" w:name="_Toc151193702"/>
      <w:bookmarkStart w:id="358" w:name="_Toc226965805"/>
      <w:bookmarkStart w:id="359" w:name="_Toc164351626"/>
      <w:bookmarkStart w:id="360" w:name="_Toc127151532"/>
      <w:bookmarkStart w:id="361" w:name="_Toc150509283"/>
      <w:bookmarkStart w:id="362" w:name="_Toc164608646"/>
      <w:bookmarkStart w:id="363" w:name="_Toc151193846"/>
      <w:bookmarkStart w:id="364" w:name="_Toc305158874"/>
      <w:bookmarkStart w:id="365" w:name="_Toc151190159"/>
      <w:bookmarkStart w:id="366" w:name="_Toc151193774"/>
      <w:bookmarkStart w:id="367" w:name="_Toc164229373"/>
      <w:bookmarkStart w:id="368" w:name="_Toc520356157"/>
      <w:r>
        <w:rPr>
          <w:sz w:val="24"/>
        </w:rPr>
        <w:t>投标有效期</w:t>
      </w:r>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p>
    <w:p w14:paraId="41E5B469">
      <w:pPr>
        <w:numPr>
          <w:ilvl w:val="1"/>
          <w:numId w:val="8"/>
        </w:numPr>
        <w:tabs>
          <w:tab w:val="left" w:pos="1080"/>
          <w:tab w:val="left" w:pos="2014"/>
        </w:tabs>
        <w:snapToGrid w:val="0"/>
        <w:spacing w:line="360" w:lineRule="auto"/>
        <w:ind w:left="1077" w:hanging="720"/>
        <w:rPr>
          <w:sz w:val="24"/>
        </w:rPr>
      </w:pPr>
      <w:r>
        <w:rPr>
          <w:sz w:val="24"/>
        </w:rPr>
        <w:t>投标文件应在本招标文件《投标人须知资料表》中规定的投标有效期内保持有效，投标有效期少于招标文件规定期限的，其</w:t>
      </w:r>
      <w:r>
        <w:rPr>
          <w:b/>
          <w:sz w:val="24"/>
        </w:rPr>
        <w:t>投标无效</w:t>
      </w:r>
      <w:r>
        <w:rPr>
          <w:sz w:val="24"/>
        </w:rPr>
        <w:t>。</w:t>
      </w:r>
    </w:p>
    <w:p w14:paraId="2AE1B9E9">
      <w:pPr>
        <w:numPr>
          <w:ilvl w:val="0"/>
          <w:numId w:val="8"/>
        </w:numPr>
        <w:tabs>
          <w:tab w:val="left" w:pos="360"/>
        </w:tabs>
        <w:snapToGrid w:val="0"/>
        <w:spacing w:line="360" w:lineRule="auto"/>
        <w:ind w:left="357" w:hanging="357"/>
        <w:outlineLvl w:val="1"/>
        <w:rPr>
          <w:sz w:val="24"/>
        </w:rPr>
      </w:pPr>
      <w:bookmarkStart w:id="369" w:name="_Toc151190160"/>
      <w:bookmarkStart w:id="370" w:name="_Toc164351627"/>
      <w:bookmarkStart w:id="371" w:name="_Toc151193703"/>
      <w:bookmarkStart w:id="372" w:name="_Toc164229228"/>
      <w:bookmarkStart w:id="373" w:name="_Toc264969223"/>
      <w:bookmarkStart w:id="374" w:name="_Toc151193921"/>
      <w:bookmarkStart w:id="375" w:name="_Toc149720826"/>
      <w:bookmarkStart w:id="376" w:name="_Toc305158801"/>
      <w:bookmarkStart w:id="377" w:name="_Toc150509284"/>
      <w:bookmarkStart w:id="378" w:name="_Toc226309777"/>
      <w:bookmarkStart w:id="379" w:name="_Toc226965806"/>
      <w:bookmarkStart w:id="380" w:name="_Toc164608802"/>
      <w:bookmarkStart w:id="381" w:name="_Toc127151533"/>
      <w:bookmarkStart w:id="382" w:name="_Toc195842898"/>
      <w:bookmarkStart w:id="383" w:name="_Toc150774738"/>
      <w:bookmarkStart w:id="384" w:name="_Toc142311035"/>
      <w:bookmarkStart w:id="385" w:name="_Toc150480771"/>
      <w:bookmarkStart w:id="386" w:name="_Toc164229374"/>
      <w:bookmarkStart w:id="387" w:name="_Toc226337229"/>
      <w:bookmarkStart w:id="388" w:name="_Toc265228371"/>
      <w:bookmarkStart w:id="389" w:name="_Toc151193847"/>
      <w:bookmarkStart w:id="390" w:name="_Toc127161447"/>
      <w:bookmarkStart w:id="391" w:name="_Toc164608647"/>
      <w:bookmarkStart w:id="392" w:name="_Toc150774633"/>
      <w:bookmarkStart w:id="393" w:name="_Toc151193775"/>
      <w:bookmarkStart w:id="394" w:name="_Toc305158875"/>
      <w:bookmarkStart w:id="395" w:name="_Toc127151734"/>
      <w:bookmarkStart w:id="396" w:name="_Toc226965723"/>
      <w:bookmarkStart w:id="397" w:name="_Toc520356158"/>
      <w:bookmarkStart w:id="398" w:name="_Toc151193631"/>
      <w:r>
        <w:rPr>
          <w:sz w:val="24"/>
        </w:rPr>
        <w:t>投标文件的签署</w:t>
      </w:r>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r>
        <w:rPr>
          <w:sz w:val="24"/>
        </w:rPr>
        <w:t>、盖章</w:t>
      </w:r>
    </w:p>
    <w:p w14:paraId="5E2E4C26">
      <w:pPr>
        <w:numPr>
          <w:ilvl w:val="1"/>
          <w:numId w:val="8"/>
        </w:numPr>
        <w:tabs>
          <w:tab w:val="left" w:pos="1080"/>
          <w:tab w:val="left" w:pos="2014"/>
        </w:tabs>
        <w:snapToGrid w:val="0"/>
        <w:spacing w:line="360" w:lineRule="auto"/>
        <w:ind w:left="1077" w:hanging="720"/>
        <w:rPr>
          <w:sz w:val="24"/>
        </w:rPr>
      </w:pPr>
      <w:bookmarkStart w:id="399" w:name="_Toc150480772"/>
      <w:bookmarkStart w:id="400" w:name="_Toc226965807"/>
      <w:bookmarkStart w:id="401" w:name="_Toc151193776"/>
      <w:bookmarkStart w:id="402" w:name="_Toc264969224"/>
      <w:bookmarkStart w:id="403" w:name="_Toc151193848"/>
      <w:bookmarkStart w:id="404" w:name="_Toc226309778"/>
      <w:bookmarkStart w:id="405" w:name="_Toc305158802"/>
      <w:bookmarkStart w:id="406" w:name="_Toc127151534"/>
      <w:bookmarkStart w:id="407" w:name="_Toc150509285"/>
      <w:bookmarkStart w:id="408" w:name="_Toc151193632"/>
      <w:bookmarkStart w:id="409" w:name="_Toc226337230"/>
      <w:bookmarkStart w:id="410" w:name="_Toc151193704"/>
      <w:bookmarkStart w:id="411" w:name="_Toc195842899"/>
      <w:bookmarkStart w:id="412" w:name="_Toc150774634"/>
      <w:bookmarkStart w:id="413" w:name="_Toc142311036"/>
      <w:bookmarkStart w:id="414" w:name="_Toc226965724"/>
      <w:bookmarkStart w:id="415" w:name="_Toc305158876"/>
      <w:bookmarkStart w:id="416" w:name="_Toc150774739"/>
      <w:bookmarkStart w:id="417" w:name="_Toc520356159"/>
      <w:bookmarkStart w:id="418" w:name="_Toc265228372"/>
      <w:bookmarkStart w:id="419" w:name="_Toc151193922"/>
      <w:bookmarkStart w:id="420" w:name="_Toc151190161"/>
      <w:r>
        <w:rPr>
          <w:sz w:val="24"/>
        </w:rPr>
        <w:t>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p>
    <w:p w14:paraId="1F32D2BD">
      <w:pPr>
        <w:numPr>
          <w:ilvl w:val="1"/>
          <w:numId w:val="8"/>
        </w:numPr>
        <w:tabs>
          <w:tab w:val="left" w:pos="1080"/>
          <w:tab w:val="left" w:pos="2014"/>
        </w:tabs>
        <w:snapToGrid w:val="0"/>
        <w:spacing w:line="360" w:lineRule="auto"/>
        <w:ind w:left="1077" w:hanging="720"/>
        <w:rPr>
          <w:sz w:val="24"/>
        </w:rPr>
      </w:pPr>
      <w:r>
        <w:rPr>
          <w:sz w:val="24"/>
        </w:rPr>
        <w:t>招标文件要求盖章的内容，一般通过投标文件编制工具加盖电子签章。</w:t>
      </w:r>
    </w:p>
    <w:p w14:paraId="1B1ECB2F">
      <w:pPr>
        <w:tabs>
          <w:tab w:val="left" w:pos="900"/>
          <w:tab w:val="left" w:pos="1080"/>
        </w:tabs>
        <w:snapToGrid w:val="0"/>
        <w:spacing w:line="360" w:lineRule="auto"/>
        <w:ind w:left="357"/>
      </w:pPr>
    </w:p>
    <w:p w14:paraId="1BF4537C">
      <w:pPr>
        <w:pStyle w:val="3"/>
        <w:spacing w:before="0" w:line="360" w:lineRule="auto"/>
        <w:rPr>
          <w:rFonts w:ascii="Times New Roman" w:hAnsi="Times New Roman" w:eastAsia="宋体"/>
          <w:sz w:val="28"/>
        </w:rPr>
      </w:pPr>
      <w:r>
        <w:rPr>
          <w:rFonts w:ascii="Times New Roman" w:hAnsi="Times New Roman" w:eastAsia="宋体"/>
          <w:sz w:val="28"/>
        </w:rPr>
        <w:t>四   投标文件的提交</w:t>
      </w:r>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p>
    <w:p w14:paraId="79C1A02C">
      <w:pPr>
        <w:numPr>
          <w:ilvl w:val="0"/>
          <w:numId w:val="8"/>
        </w:numPr>
        <w:tabs>
          <w:tab w:val="left" w:pos="360"/>
        </w:tabs>
        <w:snapToGrid w:val="0"/>
        <w:spacing w:line="360" w:lineRule="auto"/>
        <w:ind w:left="357" w:hanging="357"/>
        <w:outlineLvl w:val="1"/>
        <w:rPr>
          <w:sz w:val="24"/>
        </w:rPr>
      </w:pPr>
      <w:bookmarkStart w:id="421" w:name="_Toc149720828"/>
      <w:bookmarkStart w:id="422" w:name="_Toc264969225"/>
      <w:bookmarkStart w:id="423" w:name="_Toc226309779"/>
      <w:bookmarkStart w:id="424" w:name="_Toc151193705"/>
      <w:bookmarkStart w:id="425" w:name="_Toc164229376"/>
      <w:bookmarkStart w:id="426" w:name="_Toc150480773"/>
      <w:bookmarkStart w:id="427" w:name="_Toc150509286"/>
      <w:bookmarkStart w:id="428" w:name="_Toc164608804"/>
      <w:bookmarkStart w:id="429" w:name="_Toc265228373"/>
      <w:bookmarkStart w:id="430" w:name="_Toc164351629"/>
      <w:bookmarkStart w:id="431" w:name="_Toc151193633"/>
      <w:bookmarkStart w:id="432" w:name="_Toc151193849"/>
      <w:bookmarkStart w:id="433" w:name="_Toc150774635"/>
      <w:bookmarkStart w:id="434" w:name="_Toc151190162"/>
      <w:bookmarkStart w:id="435" w:name="_Toc226965808"/>
      <w:bookmarkStart w:id="436" w:name="_Toc151193923"/>
      <w:bookmarkStart w:id="437" w:name="_Toc305158803"/>
      <w:bookmarkStart w:id="438" w:name="_Toc127161449"/>
      <w:bookmarkStart w:id="439" w:name="_Toc164229230"/>
      <w:bookmarkStart w:id="440" w:name="_Toc226337231"/>
      <w:bookmarkStart w:id="441" w:name="_Toc142311037"/>
      <w:bookmarkStart w:id="442" w:name="_Toc127151535"/>
      <w:bookmarkStart w:id="443" w:name="_Toc226965725"/>
      <w:bookmarkStart w:id="444" w:name="_Toc150774740"/>
      <w:bookmarkStart w:id="445" w:name="_Toc151193777"/>
      <w:bookmarkStart w:id="446" w:name="_Toc305158877"/>
      <w:bookmarkStart w:id="447" w:name="_Toc164608649"/>
      <w:bookmarkStart w:id="448" w:name="_Toc520356160"/>
      <w:bookmarkStart w:id="449" w:name="_Toc195842900"/>
      <w:bookmarkStart w:id="450" w:name="_Toc127151736"/>
      <w:r>
        <w:rPr>
          <w:sz w:val="24"/>
        </w:rPr>
        <w:t>投标文件的</w:t>
      </w:r>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r>
        <w:rPr>
          <w:sz w:val="24"/>
        </w:rPr>
        <w:t>提交</w:t>
      </w:r>
    </w:p>
    <w:p w14:paraId="12E2BCE0">
      <w:pPr>
        <w:numPr>
          <w:ilvl w:val="1"/>
          <w:numId w:val="8"/>
        </w:numPr>
        <w:tabs>
          <w:tab w:val="left" w:pos="1080"/>
          <w:tab w:val="left" w:pos="2014"/>
        </w:tabs>
        <w:snapToGrid w:val="0"/>
        <w:spacing w:line="360" w:lineRule="auto"/>
        <w:ind w:left="1077" w:hanging="720"/>
        <w:rPr>
          <w:sz w:val="24"/>
        </w:rPr>
      </w:pPr>
      <w:r>
        <w:rPr>
          <w:sz w:val="24"/>
        </w:rPr>
        <w:t>本项目使用北京市政府采购电子交易平台。投标人根据招标文件及电子交易平台供应商操作手册要求编制、生成并提交电子投标文件。</w:t>
      </w:r>
    </w:p>
    <w:p w14:paraId="7849EE06">
      <w:pPr>
        <w:numPr>
          <w:ilvl w:val="1"/>
          <w:numId w:val="8"/>
        </w:numPr>
        <w:tabs>
          <w:tab w:val="left" w:pos="1080"/>
          <w:tab w:val="left" w:pos="2014"/>
        </w:tabs>
        <w:snapToGrid w:val="0"/>
        <w:spacing w:line="360" w:lineRule="auto"/>
        <w:ind w:left="1077" w:hanging="720"/>
        <w:rPr>
          <w:sz w:val="24"/>
        </w:rPr>
      </w:pPr>
      <w:r>
        <w:rPr>
          <w:sz w:val="24"/>
        </w:rPr>
        <w:t>采购人及采购代理机构拒绝接受通过电子交易平台以外任何形式提交的投标文件，投标保证金除外。</w:t>
      </w:r>
    </w:p>
    <w:p w14:paraId="2423172C">
      <w:pPr>
        <w:numPr>
          <w:ilvl w:val="0"/>
          <w:numId w:val="8"/>
        </w:numPr>
        <w:tabs>
          <w:tab w:val="left" w:pos="360"/>
        </w:tabs>
        <w:snapToGrid w:val="0"/>
        <w:spacing w:line="360" w:lineRule="auto"/>
        <w:ind w:left="357" w:hanging="357"/>
        <w:outlineLvl w:val="1"/>
        <w:rPr>
          <w:sz w:val="24"/>
        </w:rPr>
      </w:pPr>
      <w:bookmarkStart w:id="451" w:name="_Toc164351630"/>
      <w:bookmarkStart w:id="452" w:name="_Toc164229231"/>
      <w:bookmarkStart w:id="453" w:name="_Toc150509287"/>
      <w:bookmarkStart w:id="454" w:name="_Toc520356161"/>
      <w:bookmarkStart w:id="455" w:name="_Toc127151536"/>
      <w:bookmarkStart w:id="456" w:name="_Toc164229377"/>
      <w:bookmarkStart w:id="457" w:name="_Toc305158804"/>
      <w:bookmarkStart w:id="458" w:name="_Toc142311038"/>
      <w:bookmarkStart w:id="459" w:name="_Toc150774741"/>
      <w:bookmarkStart w:id="460" w:name="_Toc151193706"/>
      <w:bookmarkStart w:id="461" w:name="_Toc226337232"/>
      <w:bookmarkStart w:id="462" w:name="_Toc127151737"/>
      <w:bookmarkStart w:id="463" w:name="_Toc127161450"/>
      <w:bookmarkStart w:id="464" w:name="_Toc305158878"/>
      <w:bookmarkStart w:id="465" w:name="_Toc195842901"/>
      <w:bookmarkStart w:id="466" w:name="_Toc151190163"/>
      <w:bookmarkStart w:id="467" w:name="_Toc164608650"/>
      <w:bookmarkStart w:id="468" w:name="_Toc151193634"/>
      <w:bookmarkStart w:id="469" w:name="_Toc265228374"/>
      <w:bookmarkStart w:id="470" w:name="_Toc226309780"/>
      <w:bookmarkStart w:id="471" w:name="_Toc150774636"/>
      <w:bookmarkStart w:id="472" w:name="_Toc264969226"/>
      <w:bookmarkStart w:id="473" w:name="_Toc151193778"/>
      <w:bookmarkStart w:id="474" w:name="_Toc151193850"/>
      <w:bookmarkStart w:id="475" w:name="_Toc226965809"/>
      <w:bookmarkStart w:id="476" w:name="_Toc150480774"/>
      <w:bookmarkStart w:id="477" w:name="_Toc164608805"/>
      <w:bookmarkStart w:id="478" w:name="_Toc149720829"/>
      <w:bookmarkStart w:id="479" w:name="_Toc151193924"/>
      <w:bookmarkStart w:id="480" w:name="_Toc226965726"/>
      <w:r>
        <w:rPr>
          <w:sz w:val="24"/>
        </w:rPr>
        <w:t>投标截止</w:t>
      </w:r>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r>
        <w:rPr>
          <w:sz w:val="24"/>
        </w:rPr>
        <w:t>时间</w:t>
      </w:r>
    </w:p>
    <w:p w14:paraId="39C860ED">
      <w:pPr>
        <w:numPr>
          <w:ilvl w:val="1"/>
          <w:numId w:val="8"/>
        </w:numPr>
        <w:tabs>
          <w:tab w:val="left" w:pos="1080"/>
          <w:tab w:val="left" w:pos="2014"/>
        </w:tabs>
        <w:snapToGrid w:val="0"/>
        <w:spacing w:line="360" w:lineRule="auto"/>
        <w:ind w:left="1077" w:hanging="720"/>
        <w:rPr>
          <w:sz w:val="24"/>
        </w:rPr>
      </w:pPr>
      <w:r>
        <w:rPr>
          <w:sz w:val="24"/>
        </w:rPr>
        <w:t>投标人应在招标文件要求提交投标文件截止时间前，将电子投标文件提交至电子交易平台。</w:t>
      </w:r>
    </w:p>
    <w:p w14:paraId="404BDA51">
      <w:pPr>
        <w:numPr>
          <w:ilvl w:val="0"/>
          <w:numId w:val="8"/>
        </w:numPr>
        <w:tabs>
          <w:tab w:val="left" w:pos="360"/>
        </w:tabs>
        <w:snapToGrid w:val="0"/>
        <w:spacing w:line="360" w:lineRule="auto"/>
        <w:ind w:left="357" w:hanging="357"/>
        <w:outlineLvl w:val="1"/>
        <w:rPr>
          <w:sz w:val="24"/>
        </w:rPr>
      </w:pPr>
      <w:bookmarkStart w:id="481" w:name="_Toc151193635"/>
      <w:bookmarkStart w:id="482" w:name="_Toc164608806"/>
      <w:bookmarkStart w:id="483" w:name="_Toc127151537"/>
      <w:bookmarkStart w:id="484" w:name="_Toc151190164"/>
      <w:bookmarkStart w:id="485" w:name="_Toc226337233"/>
      <w:bookmarkStart w:id="486" w:name="_Toc164351631"/>
      <w:bookmarkStart w:id="487" w:name="_Toc164229232"/>
      <w:bookmarkStart w:id="488" w:name="_Toc226309781"/>
      <w:bookmarkStart w:id="489" w:name="_Toc164229378"/>
      <w:bookmarkStart w:id="490" w:name="_Toc265228375"/>
      <w:bookmarkStart w:id="491" w:name="_Toc520356162"/>
      <w:bookmarkStart w:id="492" w:name="_Toc264969227"/>
      <w:bookmarkStart w:id="493" w:name="_Toc149720830"/>
      <w:bookmarkStart w:id="494" w:name="_Toc150480775"/>
      <w:bookmarkStart w:id="495" w:name="_Toc305158805"/>
      <w:bookmarkStart w:id="496" w:name="_Toc142311039"/>
      <w:bookmarkStart w:id="497" w:name="_Toc150774742"/>
      <w:bookmarkStart w:id="498" w:name="_Toc127161451"/>
      <w:bookmarkStart w:id="499" w:name="_Toc151193925"/>
      <w:bookmarkStart w:id="500" w:name="_Toc151193851"/>
      <w:bookmarkStart w:id="501" w:name="_Toc195842902"/>
      <w:bookmarkStart w:id="502" w:name="_Toc226965727"/>
      <w:bookmarkStart w:id="503" w:name="_Toc226965810"/>
      <w:bookmarkStart w:id="504" w:name="_Toc151193779"/>
      <w:bookmarkStart w:id="505" w:name="_Toc127151738"/>
      <w:bookmarkStart w:id="506" w:name="_Toc164608651"/>
      <w:bookmarkStart w:id="507" w:name="_Toc305158879"/>
      <w:bookmarkStart w:id="508" w:name="_Toc150774637"/>
      <w:bookmarkStart w:id="509" w:name="_Toc151193707"/>
      <w:bookmarkStart w:id="510" w:name="_Toc150509288"/>
      <w:r>
        <w:rPr>
          <w:sz w:val="24"/>
        </w:rPr>
        <w:t>投标文件的修改与撤回</w:t>
      </w:r>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p>
    <w:p w14:paraId="5AAB75F4">
      <w:pPr>
        <w:numPr>
          <w:ilvl w:val="1"/>
          <w:numId w:val="8"/>
        </w:numPr>
        <w:tabs>
          <w:tab w:val="left" w:pos="1080"/>
          <w:tab w:val="left" w:pos="2014"/>
        </w:tabs>
        <w:snapToGrid w:val="0"/>
        <w:spacing w:line="360" w:lineRule="auto"/>
        <w:ind w:left="1077" w:hanging="720"/>
        <w:rPr>
          <w:sz w:val="24"/>
        </w:rPr>
      </w:pPr>
      <w:r>
        <w:rPr>
          <w:sz w:val="24"/>
        </w:rPr>
        <w:t>投标截止时间前，投标人可以通过电子交易平台对所提交的投标文件进行补充、修改或者撤回。</w:t>
      </w:r>
      <w:r>
        <w:rPr>
          <w:color w:val="000000"/>
          <w:sz w:val="24"/>
        </w:rPr>
        <w:t>投标保证金的</w:t>
      </w:r>
      <w:r>
        <w:rPr>
          <w:sz w:val="24"/>
        </w:rPr>
        <w:t>补充、修改或者撤回无需通过电子交易平台，但应就其补充、修改或者撤回通知采购人或采购代理机构。</w:t>
      </w:r>
    </w:p>
    <w:p w14:paraId="49140B5E">
      <w:pPr>
        <w:numPr>
          <w:ilvl w:val="1"/>
          <w:numId w:val="8"/>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14:paraId="05BB10E9">
      <w:pPr>
        <w:spacing w:line="360" w:lineRule="auto"/>
        <w:rPr>
          <w:sz w:val="24"/>
        </w:rPr>
      </w:pPr>
    </w:p>
    <w:p w14:paraId="3A8FB879">
      <w:pPr>
        <w:pStyle w:val="3"/>
        <w:spacing w:before="0" w:line="360" w:lineRule="auto"/>
        <w:rPr>
          <w:rFonts w:ascii="Times New Roman" w:hAnsi="Times New Roman" w:eastAsia="宋体"/>
          <w:sz w:val="28"/>
        </w:rPr>
      </w:pPr>
      <w:bookmarkStart w:id="511" w:name="_Toc264969228"/>
      <w:bookmarkStart w:id="512" w:name="_Toc151193852"/>
      <w:bookmarkStart w:id="513" w:name="_Toc195842903"/>
      <w:bookmarkStart w:id="514" w:name="_Toc520356163"/>
      <w:bookmarkStart w:id="515" w:name="_Toc150509289"/>
      <w:bookmarkStart w:id="516" w:name="_Toc226965811"/>
      <w:bookmarkStart w:id="517" w:name="_Toc151193926"/>
      <w:bookmarkStart w:id="518" w:name="_Toc305158806"/>
      <w:bookmarkStart w:id="519" w:name="_Toc150774743"/>
      <w:bookmarkStart w:id="520" w:name="_Toc151193708"/>
      <w:bookmarkStart w:id="521" w:name="_Toc151193636"/>
      <w:bookmarkStart w:id="522" w:name="_Toc150480776"/>
      <w:bookmarkStart w:id="523" w:name="_Toc127151538"/>
      <w:bookmarkStart w:id="524" w:name="_Toc151193780"/>
      <w:bookmarkStart w:id="525" w:name="_Toc226337234"/>
      <w:bookmarkStart w:id="526" w:name="_Toc151190165"/>
      <w:bookmarkStart w:id="527" w:name="_Toc265228376"/>
      <w:bookmarkStart w:id="528" w:name="_Toc226965728"/>
      <w:bookmarkStart w:id="529" w:name="_Toc142311040"/>
      <w:bookmarkStart w:id="530" w:name="_Toc226309782"/>
      <w:bookmarkStart w:id="531" w:name="_Toc305158880"/>
      <w:bookmarkStart w:id="532" w:name="_Toc150774638"/>
      <w:r>
        <w:rPr>
          <w:rFonts w:ascii="Times New Roman" w:hAnsi="Times New Roman" w:eastAsia="宋体"/>
          <w:sz w:val="28"/>
        </w:rPr>
        <w:t>五   开标、资格审查及评标</w:t>
      </w:r>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p>
    <w:p w14:paraId="7F60BB73">
      <w:pPr>
        <w:numPr>
          <w:ilvl w:val="0"/>
          <w:numId w:val="8"/>
        </w:numPr>
        <w:tabs>
          <w:tab w:val="left" w:pos="360"/>
        </w:tabs>
        <w:snapToGrid w:val="0"/>
        <w:spacing w:line="360" w:lineRule="auto"/>
        <w:ind w:left="357" w:hanging="357"/>
        <w:outlineLvl w:val="1"/>
        <w:rPr>
          <w:sz w:val="24"/>
        </w:rPr>
      </w:pPr>
      <w:bookmarkStart w:id="533" w:name="_Toc195842904"/>
      <w:bookmarkStart w:id="534" w:name="_Toc127161453"/>
      <w:bookmarkStart w:id="535" w:name="_Toc264969229"/>
      <w:bookmarkStart w:id="536" w:name="_Toc164351633"/>
      <w:bookmarkStart w:id="537" w:name="_Toc164229380"/>
      <w:bookmarkStart w:id="538" w:name="_Toc127151740"/>
      <w:bookmarkStart w:id="539" w:name="_Toc149720832"/>
      <w:bookmarkStart w:id="540" w:name="_Toc265228377"/>
      <w:bookmarkStart w:id="541" w:name="_Toc164229234"/>
      <w:bookmarkStart w:id="542" w:name="_Toc150509290"/>
      <w:bookmarkStart w:id="543" w:name="_Toc151190166"/>
      <w:bookmarkStart w:id="544" w:name="_Toc305158881"/>
      <w:bookmarkStart w:id="545" w:name="_Toc150480777"/>
      <w:bookmarkStart w:id="546" w:name="_Toc226965729"/>
      <w:bookmarkStart w:id="547" w:name="_Toc151193927"/>
      <w:bookmarkStart w:id="548" w:name="_Toc151193637"/>
      <w:bookmarkStart w:id="549" w:name="_Toc151193781"/>
      <w:bookmarkStart w:id="550" w:name="_Toc164608808"/>
      <w:bookmarkStart w:id="551" w:name="_Toc226309783"/>
      <w:bookmarkStart w:id="552" w:name="_Toc150774639"/>
      <w:bookmarkStart w:id="553" w:name="_Toc151193709"/>
      <w:bookmarkStart w:id="554" w:name="_Toc127151539"/>
      <w:bookmarkStart w:id="555" w:name="_Toc164608653"/>
      <w:bookmarkStart w:id="556" w:name="_Toc226965812"/>
      <w:bookmarkStart w:id="557" w:name="_Toc150774744"/>
      <w:bookmarkStart w:id="558" w:name="_Toc520356164"/>
      <w:bookmarkStart w:id="559" w:name="_Toc226337235"/>
      <w:bookmarkStart w:id="560" w:name="_Toc142311041"/>
      <w:bookmarkStart w:id="561" w:name="_Toc151193853"/>
      <w:bookmarkStart w:id="562" w:name="_Toc305158807"/>
      <w:r>
        <w:rPr>
          <w:sz w:val="24"/>
        </w:rPr>
        <w:t>开标</w:t>
      </w:r>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p>
    <w:p w14:paraId="3F23ACDC">
      <w:pPr>
        <w:numPr>
          <w:ilvl w:val="1"/>
          <w:numId w:val="8"/>
        </w:numPr>
        <w:tabs>
          <w:tab w:val="left" w:pos="1080"/>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r>
        <w:rPr>
          <w:rFonts w:hint="eastAsia"/>
          <w:color w:val="000000"/>
          <w:sz w:val="24"/>
        </w:rPr>
        <w:t>采购人邀请所有投标人的法定代表人或其委托代理人参加开标会。投标人提交法定代表人身份证明文件（适用于法定代表人）或法定代表人授权委托书（适用于非法定代表人），出示个人有效身份证明文件原件及复印件（复印件须加盖公章），以证明其出席。</w:t>
      </w:r>
    </w:p>
    <w:p w14:paraId="2430938D">
      <w:pPr>
        <w:numPr>
          <w:ilvl w:val="1"/>
          <w:numId w:val="8"/>
        </w:numPr>
        <w:tabs>
          <w:tab w:val="left" w:pos="1080"/>
          <w:tab w:val="left" w:pos="2014"/>
        </w:tabs>
        <w:snapToGrid w:val="0"/>
        <w:spacing w:line="360" w:lineRule="auto"/>
        <w:ind w:left="1077" w:hanging="720"/>
        <w:rPr>
          <w:sz w:val="24"/>
        </w:rPr>
      </w:pPr>
      <w:r>
        <w:rPr>
          <w:sz w:val="24"/>
        </w:rPr>
        <w:t>本项目开标使用北京市政府采购电子交易平台。投标人应在</w:t>
      </w:r>
      <w:bookmarkStart w:id="563" w:name="_Hlk167284562"/>
      <w:r>
        <w:rPr>
          <w:sz w:val="24"/>
        </w:rPr>
        <w:t>《投标人须知资料表》</w:t>
      </w:r>
      <w:bookmarkEnd w:id="563"/>
      <w:r>
        <w:rPr>
          <w:sz w:val="24"/>
        </w:rPr>
        <w:t>规定的时间内对投标文件进行解密，因非系统原因导致的解密失败，视为</w:t>
      </w:r>
      <w:r>
        <w:rPr>
          <w:b/>
          <w:sz w:val="24"/>
        </w:rPr>
        <w:t>投标无效</w:t>
      </w:r>
      <w:r>
        <w:rPr>
          <w:sz w:val="24"/>
        </w:rPr>
        <w:t>。</w:t>
      </w:r>
    </w:p>
    <w:p w14:paraId="3B2D6FB5">
      <w:pPr>
        <w:numPr>
          <w:ilvl w:val="1"/>
          <w:numId w:val="8"/>
        </w:numPr>
        <w:tabs>
          <w:tab w:val="left" w:pos="1080"/>
          <w:tab w:val="left" w:pos="2014"/>
        </w:tabs>
        <w:snapToGrid w:val="0"/>
        <w:spacing w:line="360" w:lineRule="auto"/>
        <w:ind w:left="1077" w:hanging="720"/>
        <w:rPr>
          <w:sz w:val="24"/>
        </w:rPr>
      </w:pPr>
      <w:r>
        <w:rPr>
          <w:sz w:val="24"/>
        </w:rPr>
        <w:t>开标过程将使用电子交易平台宣布投标人名称、投标价格和招标文件规定的需要宣布的其他内容并进行记录，并由参加开标的各投标人确认</w:t>
      </w:r>
      <w:bookmarkStart w:id="564" w:name="_Toc520356165"/>
      <w:r>
        <w:rPr>
          <w:sz w:val="24"/>
        </w:rPr>
        <w:t>。</w:t>
      </w:r>
      <w:bookmarkStart w:id="565" w:name="_Hlk143533942"/>
      <w:r>
        <w:rPr>
          <w:sz w:val="24"/>
        </w:rPr>
        <w:t>投标人未在规定时间内提出疑义或确认一览表的，视同认可开标结果。</w:t>
      </w:r>
      <w:bookmarkEnd w:id="565"/>
    </w:p>
    <w:p w14:paraId="13862FE1">
      <w:pPr>
        <w:numPr>
          <w:ilvl w:val="1"/>
          <w:numId w:val="8"/>
        </w:numPr>
        <w:tabs>
          <w:tab w:val="left" w:pos="1080"/>
          <w:tab w:val="left" w:pos="2014"/>
        </w:tabs>
        <w:snapToGrid w:val="0"/>
        <w:spacing w:line="360" w:lineRule="auto"/>
        <w:ind w:left="1077" w:hanging="720"/>
        <w:rPr>
          <w:sz w:val="24"/>
        </w:rPr>
      </w:pPr>
      <w:r>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1AF6923C">
      <w:pPr>
        <w:numPr>
          <w:ilvl w:val="1"/>
          <w:numId w:val="8"/>
        </w:numPr>
        <w:tabs>
          <w:tab w:val="left" w:pos="1080"/>
          <w:tab w:val="left" w:pos="2014"/>
        </w:tabs>
        <w:snapToGrid w:val="0"/>
        <w:spacing w:line="360" w:lineRule="auto"/>
        <w:ind w:left="1077" w:hanging="720"/>
        <w:rPr>
          <w:sz w:val="24"/>
        </w:rPr>
      </w:pPr>
      <w:r>
        <w:rPr>
          <w:sz w:val="24"/>
        </w:rPr>
        <w:t>投标人不足3家的，不予开标。</w:t>
      </w:r>
    </w:p>
    <w:p w14:paraId="14567E35">
      <w:pPr>
        <w:numPr>
          <w:ilvl w:val="0"/>
          <w:numId w:val="8"/>
        </w:numPr>
        <w:tabs>
          <w:tab w:val="left" w:pos="360"/>
        </w:tabs>
        <w:snapToGrid w:val="0"/>
        <w:spacing w:line="360" w:lineRule="auto"/>
        <w:ind w:left="357" w:hanging="357"/>
        <w:outlineLvl w:val="1"/>
        <w:rPr>
          <w:sz w:val="24"/>
        </w:rPr>
      </w:pPr>
      <w:r>
        <w:rPr>
          <w:sz w:val="24"/>
        </w:rPr>
        <w:t>资格审查</w:t>
      </w:r>
    </w:p>
    <w:p w14:paraId="10F8FC10">
      <w:pPr>
        <w:numPr>
          <w:ilvl w:val="1"/>
          <w:numId w:val="8"/>
        </w:numPr>
        <w:tabs>
          <w:tab w:val="left" w:pos="1080"/>
          <w:tab w:val="left" w:pos="2014"/>
        </w:tabs>
        <w:snapToGrid w:val="0"/>
        <w:spacing w:line="360" w:lineRule="auto"/>
        <w:ind w:left="1077" w:hanging="720"/>
        <w:rPr>
          <w:sz w:val="24"/>
        </w:rPr>
      </w:pPr>
      <w:r>
        <w:rPr>
          <w:sz w:val="24"/>
        </w:rPr>
        <w:t>见第三章《资格审查》。</w:t>
      </w:r>
    </w:p>
    <w:bookmarkEnd w:id="564"/>
    <w:p w14:paraId="70AE6A49">
      <w:pPr>
        <w:numPr>
          <w:ilvl w:val="0"/>
          <w:numId w:val="8"/>
        </w:numPr>
        <w:tabs>
          <w:tab w:val="left" w:pos="360"/>
        </w:tabs>
        <w:snapToGrid w:val="0"/>
        <w:spacing w:line="360" w:lineRule="auto"/>
        <w:ind w:left="357" w:hanging="357"/>
        <w:outlineLvl w:val="1"/>
        <w:rPr>
          <w:sz w:val="24"/>
        </w:rPr>
      </w:pPr>
      <w:bookmarkStart w:id="566" w:name="_Toc150480778"/>
      <w:bookmarkStart w:id="567" w:name="_Toc151193710"/>
      <w:bookmarkStart w:id="568" w:name="_Toc164229235"/>
      <w:bookmarkStart w:id="569" w:name="_Toc149720833"/>
      <w:bookmarkStart w:id="570" w:name="_Toc151193638"/>
      <w:bookmarkStart w:id="571" w:name="_Toc151193854"/>
      <w:bookmarkStart w:id="572" w:name="_Toc226309784"/>
      <w:bookmarkStart w:id="573" w:name="_Toc226965813"/>
      <w:bookmarkStart w:id="574" w:name="_Toc151190167"/>
      <w:bookmarkStart w:id="575" w:name="_Toc164229381"/>
      <w:bookmarkStart w:id="576" w:name="_Toc150774745"/>
      <w:bookmarkStart w:id="577" w:name="_Toc164608654"/>
      <w:bookmarkStart w:id="578" w:name="_Toc127161454"/>
      <w:bookmarkStart w:id="579" w:name="_Toc226965730"/>
      <w:bookmarkStart w:id="580" w:name="_Toc164608809"/>
      <w:bookmarkStart w:id="581" w:name="_Toc164351634"/>
      <w:bookmarkStart w:id="582" w:name="_Toc151193928"/>
      <w:bookmarkStart w:id="583" w:name="_Toc150774640"/>
      <w:bookmarkStart w:id="584" w:name="_Toc127151540"/>
      <w:bookmarkStart w:id="585" w:name="_Toc264969230"/>
      <w:bookmarkStart w:id="586" w:name="_Toc195842905"/>
      <w:bookmarkStart w:id="587" w:name="_Toc127151741"/>
      <w:bookmarkStart w:id="588" w:name="_Toc150509291"/>
      <w:bookmarkStart w:id="589" w:name="_Toc305158808"/>
      <w:bookmarkStart w:id="590" w:name="_Toc142311042"/>
      <w:bookmarkStart w:id="591" w:name="_Toc305158882"/>
      <w:bookmarkStart w:id="592" w:name="_Toc226337236"/>
      <w:bookmarkStart w:id="593" w:name="_Toc151193782"/>
      <w:bookmarkStart w:id="594" w:name="_Toc265228378"/>
      <w:r>
        <w:rPr>
          <w:sz w:val="24"/>
        </w:rPr>
        <w:t>评标委员会</w:t>
      </w:r>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p>
    <w:p w14:paraId="14D27FB2">
      <w:pPr>
        <w:numPr>
          <w:ilvl w:val="1"/>
          <w:numId w:val="8"/>
        </w:numPr>
        <w:tabs>
          <w:tab w:val="left" w:pos="1080"/>
          <w:tab w:val="left" w:pos="2014"/>
        </w:tabs>
        <w:snapToGrid w:val="0"/>
        <w:spacing w:line="360" w:lineRule="auto"/>
        <w:ind w:left="1077" w:hanging="720"/>
        <w:rPr>
          <w:sz w:val="24"/>
        </w:rPr>
      </w:pPr>
      <w:r>
        <w:rPr>
          <w:sz w:val="24"/>
        </w:rPr>
        <w:t>评标委员会根据政府采购有关规定和本次采购项目的特点进行组建，并负责具体评标事务，独立履行职责。</w:t>
      </w:r>
      <w:bookmarkStart w:id="595" w:name="_Toc520356166"/>
    </w:p>
    <w:p w14:paraId="695DCB75">
      <w:pPr>
        <w:numPr>
          <w:ilvl w:val="1"/>
          <w:numId w:val="8"/>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95"/>
      <w:bookmarkStart w:id="596" w:name="_Toc520356169"/>
    </w:p>
    <w:p w14:paraId="10922170">
      <w:pPr>
        <w:numPr>
          <w:ilvl w:val="0"/>
          <w:numId w:val="8"/>
        </w:numPr>
        <w:tabs>
          <w:tab w:val="left" w:pos="360"/>
        </w:tabs>
        <w:snapToGrid w:val="0"/>
        <w:spacing w:line="360" w:lineRule="auto"/>
        <w:ind w:left="357" w:hanging="357"/>
        <w:outlineLvl w:val="1"/>
        <w:rPr>
          <w:sz w:val="24"/>
        </w:rPr>
      </w:pPr>
      <w:r>
        <w:rPr>
          <w:sz w:val="24"/>
        </w:rPr>
        <w:t>评标程序、评标方法和评标标准</w:t>
      </w:r>
    </w:p>
    <w:p w14:paraId="7864B2A5">
      <w:pPr>
        <w:numPr>
          <w:ilvl w:val="1"/>
          <w:numId w:val="8"/>
        </w:numPr>
        <w:tabs>
          <w:tab w:val="left" w:pos="1080"/>
          <w:tab w:val="left" w:pos="2014"/>
        </w:tabs>
        <w:snapToGrid w:val="0"/>
        <w:spacing w:line="360" w:lineRule="auto"/>
        <w:ind w:left="1077" w:hanging="720"/>
        <w:rPr>
          <w:sz w:val="24"/>
        </w:rPr>
      </w:pPr>
      <w:r>
        <w:rPr>
          <w:sz w:val="24"/>
        </w:rPr>
        <w:t>见第四章《评标程序、评标方法和评标标准》。</w:t>
      </w:r>
    </w:p>
    <w:p w14:paraId="0C9A3AC8">
      <w:pPr>
        <w:tabs>
          <w:tab w:val="left" w:pos="360"/>
          <w:tab w:val="left" w:pos="1080"/>
        </w:tabs>
        <w:snapToGrid w:val="0"/>
        <w:spacing w:line="360" w:lineRule="auto"/>
        <w:ind w:left="1080"/>
        <w:rPr>
          <w:sz w:val="24"/>
        </w:rPr>
      </w:pPr>
    </w:p>
    <w:p w14:paraId="54CF576D">
      <w:pPr>
        <w:pStyle w:val="3"/>
        <w:spacing w:before="0" w:line="360" w:lineRule="auto"/>
        <w:rPr>
          <w:rFonts w:ascii="Times New Roman" w:hAnsi="Times New Roman" w:eastAsia="宋体"/>
          <w:sz w:val="28"/>
        </w:rPr>
      </w:pPr>
      <w:bookmarkStart w:id="597" w:name="_Toc150774750"/>
      <w:bookmarkStart w:id="598" w:name="_Toc305158887"/>
      <w:bookmarkStart w:id="599" w:name="_Toc305158813"/>
      <w:bookmarkStart w:id="600" w:name="_Toc151193933"/>
      <w:bookmarkStart w:id="601" w:name="_Toc150774645"/>
      <w:bookmarkStart w:id="602" w:name="_Toc151193787"/>
      <w:bookmarkStart w:id="603" w:name="_Toc127151545"/>
      <w:bookmarkStart w:id="604" w:name="_Toc265228383"/>
      <w:bookmarkStart w:id="605" w:name="_Toc226309789"/>
      <w:bookmarkStart w:id="606" w:name="_Toc195842910"/>
      <w:bookmarkStart w:id="607" w:name="_Toc226965735"/>
      <w:bookmarkStart w:id="608" w:name="_Toc150509296"/>
      <w:bookmarkStart w:id="609" w:name="_Toc151193643"/>
      <w:bookmarkStart w:id="610" w:name="_Toc226965818"/>
      <w:bookmarkStart w:id="611" w:name="_Toc264969235"/>
      <w:bookmarkStart w:id="612" w:name="_Toc151193715"/>
      <w:bookmarkStart w:id="613" w:name="_Toc151190172"/>
      <w:bookmarkStart w:id="614" w:name="_Toc226337241"/>
      <w:bookmarkStart w:id="615" w:name="_Toc151193859"/>
      <w:bookmarkStart w:id="616" w:name="_Toc150480783"/>
      <w:bookmarkStart w:id="617" w:name="_Toc142311047"/>
      <w:r>
        <w:rPr>
          <w:rFonts w:ascii="Times New Roman" w:hAnsi="Times New Roman" w:eastAsia="宋体"/>
          <w:sz w:val="28"/>
        </w:rPr>
        <w:t xml:space="preserve">六   </w:t>
      </w:r>
      <w:bookmarkEnd w:id="596"/>
      <w:r>
        <w:rPr>
          <w:rFonts w:ascii="Times New Roman" w:hAnsi="Times New Roman" w:eastAsia="宋体"/>
          <w:sz w:val="28"/>
        </w:rPr>
        <w:t>确定中标</w:t>
      </w:r>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Start w:id="618" w:name="_Toc151193935"/>
      <w:bookmarkStart w:id="619" w:name="_Toc226965737"/>
      <w:bookmarkStart w:id="620" w:name="_Toc265228385"/>
      <w:bookmarkStart w:id="621" w:name="_Toc164229242"/>
      <w:bookmarkStart w:id="622" w:name="_Toc305158889"/>
      <w:bookmarkStart w:id="623" w:name="_Toc264969237"/>
      <w:bookmarkStart w:id="624" w:name="_Toc150774647"/>
      <w:bookmarkStart w:id="625" w:name="_Toc226337243"/>
      <w:bookmarkStart w:id="626" w:name="_Toc226965820"/>
      <w:bookmarkStart w:id="627" w:name="_Toc164351641"/>
      <w:bookmarkStart w:id="628" w:name="_Toc164608661"/>
      <w:bookmarkStart w:id="629" w:name="_Toc150774752"/>
      <w:bookmarkStart w:id="630" w:name="_Toc151193645"/>
      <w:bookmarkStart w:id="631" w:name="_Toc226309791"/>
      <w:bookmarkStart w:id="632" w:name="_Toc150509298"/>
      <w:bookmarkStart w:id="633" w:name="_Toc305158815"/>
      <w:bookmarkStart w:id="634" w:name="_Toc151193861"/>
      <w:bookmarkStart w:id="635" w:name="_Toc151193789"/>
      <w:bookmarkStart w:id="636" w:name="_Toc151190174"/>
      <w:bookmarkStart w:id="637" w:name="_Toc164229388"/>
      <w:bookmarkStart w:id="638" w:name="_Toc149720840"/>
      <w:bookmarkStart w:id="639" w:name="_Toc151193717"/>
      <w:bookmarkStart w:id="640" w:name="_Toc164608816"/>
      <w:bookmarkStart w:id="641" w:name="_Toc127151748"/>
      <w:bookmarkStart w:id="642" w:name="_Toc150480785"/>
      <w:bookmarkStart w:id="643" w:name="_Toc127161461"/>
      <w:bookmarkStart w:id="644" w:name="_Toc195842912"/>
      <w:bookmarkStart w:id="645" w:name="_Toc142311049"/>
      <w:bookmarkStart w:id="646" w:name="_Toc127151547"/>
    </w:p>
    <w:p w14:paraId="7DF0E882">
      <w:pPr>
        <w:numPr>
          <w:ilvl w:val="0"/>
          <w:numId w:val="8"/>
        </w:numPr>
        <w:tabs>
          <w:tab w:val="left" w:pos="360"/>
        </w:tabs>
        <w:snapToGrid w:val="0"/>
        <w:spacing w:line="360" w:lineRule="auto"/>
        <w:ind w:left="357" w:hanging="357"/>
        <w:outlineLvl w:val="1"/>
        <w:rPr>
          <w:sz w:val="24"/>
        </w:rPr>
      </w:pPr>
      <w:r>
        <w:rPr>
          <w:sz w:val="24"/>
        </w:rPr>
        <w:t>确定中标人</w:t>
      </w:r>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p>
    <w:p w14:paraId="36BFEF52">
      <w:pPr>
        <w:numPr>
          <w:ilvl w:val="1"/>
          <w:numId w:val="8"/>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14:paraId="69E08A08">
      <w:pPr>
        <w:numPr>
          <w:ilvl w:val="0"/>
          <w:numId w:val="8"/>
        </w:numPr>
        <w:tabs>
          <w:tab w:val="left" w:pos="360"/>
        </w:tabs>
        <w:snapToGrid w:val="0"/>
        <w:spacing w:line="360" w:lineRule="auto"/>
        <w:ind w:left="357" w:hanging="357"/>
        <w:outlineLvl w:val="1"/>
        <w:rPr>
          <w:sz w:val="24"/>
        </w:rPr>
      </w:pPr>
      <w:bookmarkStart w:id="647" w:name="_Toc305158891"/>
      <w:bookmarkStart w:id="648" w:name="_Toc305158817"/>
      <w:bookmarkStart w:id="649" w:name="_Toc164608818"/>
      <w:bookmarkStart w:id="650" w:name="_Toc127151750"/>
      <w:bookmarkStart w:id="651" w:name="_Toc151193719"/>
      <w:bookmarkStart w:id="652" w:name="_Toc149720842"/>
      <w:bookmarkStart w:id="653" w:name="_Toc226965739"/>
      <w:bookmarkStart w:id="654" w:name="_Toc151193937"/>
      <w:bookmarkStart w:id="655" w:name="_Toc226309793"/>
      <w:bookmarkStart w:id="656" w:name="_Toc195842914"/>
      <w:bookmarkStart w:id="657" w:name="_Toc164608663"/>
      <w:bookmarkStart w:id="658" w:name="_Toc151193647"/>
      <w:bookmarkStart w:id="659" w:name="_Toc151193791"/>
      <w:bookmarkStart w:id="660" w:name="_Toc150509300"/>
      <w:bookmarkStart w:id="661" w:name="_Toc150774754"/>
      <w:bookmarkStart w:id="662" w:name="_Toc164229244"/>
      <w:bookmarkStart w:id="663" w:name="_Toc164351643"/>
      <w:bookmarkStart w:id="664" w:name="_Toc264969239"/>
      <w:bookmarkStart w:id="665" w:name="_Toc151193863"/>
      <w:bookmarkStart w:id="666" w:name="_Toc226337245"/>
      <w:bookmarkStart w:id="667" w:name="_Toc150480787"/>
      <w:bookmarkStart w:id="668" w:name="_Toc265228387"/>
      <w:bookmarkStart w:id="669" w:name="_Toc142311051"/>
      <w:bookmarkStart w:id="670" w:name="_Toc164229390"/>
      <w:bookmarkStart w:id="671" w:name="_Toc127161463"/>
      <w:bookmarkStart w:id="672" w:name="_Toc150774649"/>
      <w:bookmarkStart w:id="673" w:name="_Toc226965822"/>
      <w:bookmarkStart w:id="674" w:name="_Toc151190176"/>
      <w:bookmarkStart w:id="675" w:name="_Toc127151549"/>
      <w:bookmarkStart w:id="676" w:name="_Ref467307090"/>
      <w:bookmarkStart w:id="677" w:name="_Toc520356176"/>
      <w:bookmarkStart w:id="678" w:name="_Ref467306425"/>
      <w:r>
        <w:rPr>
          <w:sz w:val="24"/>
        </w:rPr>
        <w:t>中标公告与中标通知书</w:t>
      </w:r>
      <w:bookmarkEnd w:id="647"/>
      <w:bookmarkEnd w:id="648"/>
    </w:p>
    <w:p w14:paraId="0606A4B0">
      <w:pPr>
        <w:numPr>
          <w:ilvl w:val="1"/>
          <w:numId w:val="8"/>
        </w:numPr>
        <w:tabs>
          <w:tab w:val="left" w:pos="1080"/>
          <w:tab w:val="left" w:pos="2014"/>
        </w:tabs>
        <w:snapToGrid w:val="0"/>
        <w:spacing w:line="360" w:lineRule="auto"/>
        <w:ind w:left="1077" w:hanging="720"/>
        <w:rPr>
          <w:sz w:val="24"/>
        </w:rPr>
      </w:pPr>
      <w:r>
        <w:rPr>
          <w:sz w:val="24"/>
        </w:rPr>
        <w:t>采购人或采购代理机构自中标人确定之日起2个工作日内，</w:t>
      </w:r>
      <w:r>
        <w:rPr>
          <w:color w:val="000000"/>
          <w:kern w:val="0"/>
          <w:sz w:val="24"/>
        </w:rPr>
        <w:t>在北京市政府采购网公告中标结果</w:t>
      </w:r>
      <w:r>
        <w:rPr>
          <w:sz w:val="24"/>
        </w:rPr>
        <w:t>，同时向中标人发出中标通知书，中标公告期限为1个工作日。</w:t>
      </w:r>
    </w:p>
    <w:p w14:paraId="4305D3B9">
      <w:pPr>
        <w:numPr>
          <w:ilvl w:val="1"/>
          <w:numId w:val="8"/>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14:paraId="176A76CB">
      <w:pPr>
        <w:numPr>
          <w:ilvl w:val="0"/>
          <w:numId w:val="8"/>
        </w:numPr>
        <w:tabs>
          <w:tab w:val="left" w:pos="360"/>
        </w:tabs>
        <w:snapToGrid w:val="0"/>
        <w:spacing w:line="360" w:lineRule="auto"/>
        <w:ind w:left="357" w:hanging="357"/>
        <w:outlineLvl w:val="1"/>
        <w:rPr>
          <w:sz w:val="24"/>
        </w:rPr>
      </w:pPr>
      <w:r>
        <w:rPr>
          <w:sz w:val="24"/>
        </w:rPr>
        <w:t>废标</w:t>
      </w:r>
    </w:p>
    <w:p w14:paraId="0A8A6FE8">
      <w:pPr>
        <w:numPr>
          <w:ilvl w:val="1"/>
          <w:numId w:val="8"/>
        </w:numPr>
        <w:tabs>
          <w:tab w:val="left" w:pos="1080"/>
          <w:tab w:val="left" w:pos="2014"/>
        </w:tabs>
        <w:snapToGrid w:val="0"/>
        <w:spacing w:line="360" w:lineRule="auto"/>
        <w:ind w:left="1077" w:hanging="720"/>
        <w:rPr>
          <w:sz w:val="24"/>
        </w:rPr>
      </w:pPr>
      <w:r>
        <w:rPr>
          <w:sz w:val="24"/>
        </w:rPr>
        <w:t>在招标采购中，出现下列情形之一的，应予废标：</w:t>
      </w:r>
    </w:p>
    <w:p w14:paraId="1AA31265">
      <w:pPr>
        <w:numPr>
          <w:ilvl w:val="2"/>
          <w:numId w:val="8"/>
        </w:numPr>
        <w:snapToGrid w:val="0"/>
        <w:spacing w:line="360" w:lineRule="auto"/>
        <w:rPr>
          <w:sz w:val="24"/>
        </w:rPr>
      </w:pPr>
      <w:r>
        <w:rPr>
          <w:sz w:val="24"/>
        </w:rPr>
        <w:t>符合专业条件的供应商或者对招标文件作实质响应的供应商不足三家的；</w:t>
      </w:r>
    </w:p>
    <w:p w14:paraId="2C3A2AE8">
      <w:pPr>
        <w:numPr>
          <w:ilvl w:val="2"/>
          <w:numId w:val="8"/>
        </w:numPr>
        <w:snapToGrid w:val="0"/>
        <w:spacing w:line="360" w:lineRule="auto"/>
        <w:rPr>
          <w:sz w:val="24"/>
        </w:rPr>
      </w:pPr>
      <w:r>
        <w:rPr>
          <w:sz w:val="24"/>
        </w:rPr>
        <w:t>出现影响采购公正的违法、违规行为的；</w:t>
      </w:r>
    </w:p>
    <w:p w14:paraId="76800D97">
      <w:pPr>
        <w:numPr>
          <w:ilvl w:val="2"/>
          <w:numId w:val="8"/>
        </w:numPr>
        <w:snapToGrid w:val="0"/>
        <w:spacing w:line="360" w:lineRule="auto"/>
        <w:rPr>
          <w:sz w:val="24"/>
        </w:rPr>
      </w:pPr>
      <w:r>
        <w:rPr>
          <w:sz w:val="24"/>
        </w:rPr>
        <w:t>投标人的报价均超过了采购预算，采购人不能支付的；</w:t>
      </w:r>
    </w:p>
    <w:p w14:paraId="0909CA5D">
      <w:pPr>
        <w:numPr>
          <w:ilvl w:val="2"/>
          <w:numId w:val="8"/>
        </w:numPr>
        <w:snapToGrid w:val="0"/>
        <w:spacing w:line="360" w:lineRule="auto"/>
        <w:rPr>
          <w:sz w:val="24"/>
        </w:rPr>
      </w:pPr>
      <w:r>
        <w:rPr>
          <w:sz w:val="24"/>
        </w:rPr>
        <w:t>因重大变故，采购任务取消的。</w:t>
      </w:r>
    </w:p>
    <w:p w14:paraId="71D1D0A4">
      <w:pPr>
        <w:numPr>
          <w:ilvl w:val="1"/>
          <w:numId w:val="8"/>
        </w:numPr>
        <w:tabs>
          <w:tab w:val="left" w:pos="1080"/>
          <w:tab w:val="left" w:pos="2014"/>
        </w:tabs>
        <w:snapToGrid w:val="0"/>
        <w:spacing w:line="360" w:lineRule="auto"/>
        <w:ind w:left="1077" w:hanging="720"/>
        <w:rPr>
          <w:sz w:val="24"/>
        </w:rPr>
      </w:pPr>
      <w:r>
        <w:rPr>
          <w:sz w:val="24"/>
        </w:rPr>
        <w:t>废标后，采购人将废标理由书面通知所有投标人。</w:t>
      </w:r>
    </w:p>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p w14:paraId="1FCB833A">
      <w:pPr>
        <w:numPr>
          <w:ilvl w:val="0"/>
          <w:numId w:val="8"/>
        </w:numPr>
        <w:tabs>
          <w:tab w:val="left" w:pos="360"/>
        </w:tabs>
        <w:snapToGrid w:val="0"/>
        <w:spacing w:line="360" w:lineRule="auto"/>
        <w:ind w:left="357" w:hanging="357"/>
        <w:outlineLvl w:val="1"/>
        <w:rPr>
          <w:sz w:val="24"/>
        </w:rPr>
      </w:pPr>
      <w:bookmarkStart w:id="679" w:name="_Toc150774650"/>
      <w:bookmarkStart w:id="680" w:name="_Toc265228388"/>
      <w:bookmarkStart w:id="681" w:name="_Toc226309794"/>
      <w:bookmarkStart w:id="682" w:name="_Toc151193720"/>
      <w:bookmarkStart w:id="683" w:name="_Toc520356175"/>
      <w:bookmarkStart w:id="684" w:name="_Toc127151550"/>
      <w:bookmarkStart w:id="685" w:name="_Toc226965740"/>
      <w:bookmarkStart w:id="686" w:name="_Toc226337246"/>
      <w:bookmarkStart w:id="687" w:name="_Toc195842915"/>
      <w:bookmarkStart w:id="688" w:name="_Toc142311052"/>
      <w:bookmarkStart w:id="689" w:name="_Toc151193648"/>
      <w:bookmarkStart w:id="690" w:name="_Ref467307062"/>
      <w:bookmarkStart w:id="691" w:name="_Toc305158892"/>
      <w:bookmarkStart w:id="692" w:name="_Toc151190177"/>
      <w:bookmarkStart w:id="693" w:name="_Ref467307204"/>
      <w:bookmarkStart w:id="694" w:name="_Toc164229391"/>
      <w:bookmarkStart w:id="695" w:name="_Ref467306978"/>
      <w:bookmarkStart w:id="696" w:name="_Toc305158818"/>
      <w:bookmarkStart w:id="697" w:name="_Toc127151751"/>
      <w:bookmarkStart w:id="698" w:name="_Toc150774755"/>
      <w:bookmarkStart w:id="699" w:name="_Toc164229245"/>
      <w:bookmarkStart w:id="700" w:name="_Toc150480788"/>
      <w:bookmarkStart w:id="701" w:name="_Toc151193792"/>
      <w:bookmarkStart w:id="702" w:name="_Toc150509301"/>
      <w:bookmarkStart w:id="703" w:name="_Toc149720843"/>
      <w:bookmarkStart w:id="704" w:name="_Toc164608819"/>
      <w:bookmarkStart w:id="705" w:name="_Toc164608664"/>
      <w:bookmarkStart w:id="706" w:name="_Toc226965823"/>
      <w:bookmarkStart w:id="707" w:name="_Ref467306377"/>
      <w:bookmarkStart w:id="708" w:name="_Toc164351644"/>
      <w:bookmarkStart w:id="709" w:name="_Toc127161464"/>
      <w:bookmarkStart w:id="710" w:name="_Toc264969240"/>
      <w:bookmarkStart w:id="711" w:name="_Toc151193864"/>
      <w:bookmarkStart w:id="712" w:name="_Toc151193938"/>
      <w:r>
        <w:rPr>
          <w:sz w:val="24"/>
        </w:rPr>
        <w:t>签订合同</w:t>
      </w:r>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p>
    <w:p w14:paraId="32ADF1FD">
      <w:pPr>
        <w:numPr>
          <w:ilvl w:val="1"/>
          <w:numId w:val="8"/>
        </w:numPr>
        <w:tabs>
          <w:tab w:val="left" w:pos="1080"/>
          <w:tab w:val="left" w:pos="2014"/>
        </w:tabs>
        <w:snapToGrid w:val="0"/>
        <w:spacing w:line="360" w:lineRule="auto"/>
        <w:ind w:left="1077" w:hanging="720"/>
        <w:rPr>
          <w:sz w:val="24"/>
        </w:rPr>
      </w:pPr>
      <w:r>
        <w:rPr>
          <w:sz w:val="24"/>
        </w:rPr>
        <w:t>中标人、采购人应当自中标通知书发出之日起30日内，按照招标文件和中标人投标文件的规定签订书面合同。所签订的合同不得对招标文件确定的事项和中标人投标文件作实质性修改。</w:t>
      </w:r>
    </w:p>
    <w:p w14:paraId="7D1EF4F1">
      <w:pPr>
        <w:numPr>
          <w:ilvl w:val="1"/>
          <w:numId w:val="8"/>
        </w:numPr>
        <w:tabs>
          <w:tab w:val="left" w:pos="1080"/>
          <w:tab w:val="left" w:pos="2014"/>
        </w:tabs>
        <w:snapToGrid w:val="0"/>
        <w:spacing w:line="360" w:lineRule="auto"/>
        <w:ind w:left="1077" w:hanging="720"/>
        <w:rPr>
          <w:sz w:val="24"/>
        </w:rPr>
      </w:pPr>
      <w:r>
        <w:rPr>
          <w:sz w:val="24"/>
        </w:rPr>
        <w:t>中标人拒绝与采购人签订合同的，采购人可以按照评标报告推荐的中标候选人名单排序，确定下一候选人为中标人，也可以重新开展政府采购活动。</w:t>
      </w:r>
    </w:p>
    <w:p w14:paraId="6C0C7E23">
      <w:pPr>
        <w:numPr>
          <w:ilvl w:val="1"/>
          <w:numId w:val="8"/>
        </w:numPr>
        <w:tabs>
          <w:tab w:val="left" w:pos="1080"/>
          <w:tab w:val="left" w:pos="2014"/>
        </w:tabs>
        <w:snapToGrid w:val="0"/>
        <w:spacing w:line="360" w:lineRule="auto"/>
        <w:ind w:left="1077" w:hanging="720"/>
        <w:rPr>
          <w:sz w:val="24"/>
        </w:rPr>
      </w:pPr>
      <w:r>
        <w:rPr>
          <w:sz w:val="24"/>
        </w:rPr>
        <w:t>联合体中标的，联合体各方应当共同与采购人签订合同，就采购合同约定的事项向采购人承担连带责任。</w:t>
      </w:r>
    </w:p>
    <w:p w14:paraId="57738CB9">
      <w:pPr>
        <w:numPr>
          <w:ilvl w:val="1"/>
          <w:numId w:val="8"/>
        </w:numPr>
        <w:tabs>
          <w:tab w:val="left" w:pos="1080"/>
          <w:tab w:val="left" w:pos="2014"/>
        </w:tabs>
        <w:snapToGrid w:val="0"/>
        <w:spacing w:line="360" w:lineRule="auto"/>
        <w:ind w:left="1077" w:hanging="720"/>
        <w:rPr>
          <w:sz w:val="24"/>
        </w:rPr>
      </w:pPr>
      <w:r>
        <w:rPr>
          <w:sz w:val="24"/>
        </w:rPr>
        <w:t>政府采购合同不能转包。</w:t>
      </w:r>
    </w:p>
    <w:p w14:paraId="3D092FE8">
      <w:pPr>
        <w:numPr>
          <w:ilvl w:val="1"/>
          <w:numId w:val="8"/>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p w14:paraId="383ECA36">
      <w:pPr>
        <w:numPr>
          <w:ilvl w:val="1"/>
          <w:numId w:val="8"/>
        </w:numPr>
        <w:tabs>
          <w:tab w:val="left" w:pos="1080"/>
          <w:tab w:val="left" w:pos="2014"/>
        </w:tabs>
        <w:snapToGrid w:val="0"/>
        <w:spacing w:line="360" w:lineRule="auto"/>
        <w:ind w:left="1077" w:hanging="720"/>
        <w:rPr>
          <w:sz w:val="24"/>
        </w:rPr>
      </w:pPr>
      <w:r>
        <w:rPr>
          <w:sz w:val="24"/>
        </w:rPr>
        <w:t>“政采贷”融资指引：详见《投标人须知资料表》。</w:t>
      </w:r>
    </w:p>
    <w:bookmarkEnd w:id="676"/>
    <w:bookmarkEnd w:id="677"/>
    <w:bookmarkEnd w:id="678"/>
    <w:p w14:paraId="531C3E6E">
      <w:pPr>
        <w:numPr>
          <w:ilvl w:val="0"/>
          <w:numId w:val="8"/>
        </w:numPr>
        <w:tabs>
          <w:tab w:val="left" w:pos="360"/>
        </w:tabs>
        <w:snapToGrid w:val="0"/>
        <w:spacing w:line="360" w:lineRule="auto"/>
        <w:ind w:left="357" w:hanging="357"/>
        <w:outlineLvl w:val="1"/>
        <w:rPr>
          <w:sz w:val="24"/>
        </w:rPr>
      </w:pPr>
      <w:r>
        <w:rPr>
          <w:sz w:val="24"/>
        </w:rPr>
        <w:t>询问与质疑</w:t>
      </w:r>
    </w:p>
    <w:p w14:paraId="4C0F793F">
      <w:pPr>
        <w:numPr>
          <w:ilvl w:val="1"/>
          <w:numId w:val="8"/>
        </w:numPr>
        <w:tabs>
          <w:tab w:val="left" w:pos="1080"/>
          <w:tab w:val="left" w:pos="2014"/>
        </w:tabs>
        <w:snapToGrid w:val="0"/>
        <w:spacing w:line="360" w:lineRule="auto"/>
        <w:ind w:left="1077" w:hanging="720"/>
        <w:rPr>
          <w:sz w:val="24"/>
        </w:rPr>
      </w:pPr>
      <w:r>
        <w:rPr>
          <w:sz w:val="24"/>
        </w:rPr>
        <w:t>询问</w:t>
      </w:r>
    </w:p>
    <w:p w14:paraId="2A280E0B">
      <w:pPr>
        <w:numPr>
          <w:ilvl w:val="2"/>
          <w:numId w:val="8"/>
        </w:numPr>
        <w:snapToGrid w:val="0"/>
        <w:spacing w:line="360" w:lineRule="auto"/>
        <w:rPr>
          <w:sz w:val="24"/>
        </w:rPr>
      </w:pPr>
      <w:bookmarkStart w:id="713" w:name="_Hlk179293370"/>
      <w:r>
        <w:rPr>
          <w:sz w:val="24"/>
        </w:rPr>
        <w:t>投标人对政府采购活动事项有疑问的，可依法</w:t>
      </w:r>
      <w:r>
        <w:rPr>
          <w:rFonts w:hint="eastAsia"/>
          <w:sz w:val="24"/>
        </w:rPr>
        <w:t>向采购人或采购代理机构</w:t>
      </w:r>
      <w:r>
        <w:rPr>
          <w:sz w:val="24"/>
        </w:rPr>
        <w:t>提出询问，</w:t>
      </w:r>
      <w:r>
        <w:rPr>
          <w:rFonts w:hint="eastAsia"/>
          <w:sz w:val="24"/>
        </w:rPr>
        <w:t>提出形式见</w:t>
      </w:r>
      <w:r>
        <w:rPr>
          <w:sz w:val="24"/>
        </w:rPr>
        <w:t>《投标人须知资料表》。</w:t>
      </w:r>
      <w:bookmarkEnd w:id="713"/>
    </w:p>
    <w:p w14:paraId="243985E3">
      <w:pPr>
        <w:numPr>
          <w:ilvl w:val="2"/>
          <w:numId w:val="8"/>
        </w:numPr>
        <w:snapToGrid w:val="0"/>
        <w:spacing w:line="360" w:lineRule="auto"/>
        <w:rPr>
          <w:sz w:val="24"/>
        </w:rPr>
      </w:pPr>
      <w:r>
        <w:rPr>
          <w:sz w:val="24"/>
        </w:rPr>
        <w:t>采购人或采购代理机构对供应商依法提出的询问，在3个工作日内作出答复，但答复的内容不得涉及商业秘密。</w:t>
      </w:r>
    </w:p>
    <w:p w14:paraId="7537DC23">
      <w:pPr>
        <w:numPr>
          <w:ilvl w:val="1"/>
          <w:numId w:val="8"/>
        </w:numPr>
        <w:tabs>
          <w:tab w:val="left" w:pos="1080"/>
          <w:tab w:val="left" w:pos="2014"/>
        </w:tabs>
        <w:snapToGrid w:val="0"/>
        <w:spacing w:line="360" w:lineRule="auto"/>
        <w:ind w:left="1077" w:hanging="720"/>
        <w:rPr>
          <w:sz w:val="24"/>
        </w:rPr>
      </w:pPr>
      <w:r>
        <w:rPr>
          <w:sz w:val="24"/>
        </w:rPr>
        <w:t>质疑</w:t>
      </w:r>
    </w:p>
    <w:p w14:paraId="23040A72">
      <w:pPr>
        <w:numPr>
          <w:ilvl w:val="2"/>
          <w:numId w:val="8"/>
        </w:numPr>
        <w:snapToGrid w:val="0"/>
        <w:spacing w:line="360" w:lineRule="auto"/>
        <w:rPr>
          <w:sz w:val="24"/>
        </w:rPr>
      </w:pPr>
      <w:r>
        <w:rPr>
          <w:sz w:val="24"/>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14:paraId="20CB10B0">
      <w:pPr>
        <w:numPr>
          <w:ilvl w:val="2"/>
          <w:numId w:val="8"/>
        </w:numPr>
        <w:snapToGrid w:val="0"/>
        <w:spacing w:line="360" w:lineRule="auto"/>
        <w:rPr>
          <w:sz w:val="24"/>
        </w:rPr>
      </w:pPr>
      <w:r>
        <w:rPr>
          <w:sz w:val="24"/>
        </w:rPr>
        <w:t>质疑函须使用财政部制定的范本文件。投标人为自然人的，质疑函应当由本人签字；投标人为法人或者其他组织的，质疑函应当由法定代表人、主要负责人，或者其授权代表签字或者盖章，并加盖公章。</w:t>
      </w:r>
    </w:p>
    <w:p w14:paraId="7A606D50">
      <w:pPr>
        <w:numPr>
          <w:ilvl w:val="2"/>
          <w:numId w:val="8"/>
        </w:numPr>
        <w:snapToGrid w:val="0"/>
        <w:spacing w:line="360" w:lineRule="auto"/>
        <w:rPr>
          <w:sz w:val="24"/>
        </w:rPr>
      </w:pPr>
      <w:r>
        <w:rPr>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5E9B1255">
      <w:pPr>
        <w:numPr>
          <w:ilvl w:val="2"/>
          <w:numId w:val="8"/>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14:paraId="5A8DC356">
      <w:pPr>
        <w:numPr>
          <w:ilvl w:val="1"/>
          <w:numId w:val="8"/>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p>
    <w:p w14:paraId="2B4140F2">
      <w:pPr>
        <w:numPr>
          <w:ilvl w:val="0"/>
          <w:numId w:val="8"/>
        </w:numPr>
        <w:tabs>
          <w:tab w:val="left" w:pos="360"/>
        </w:tabs>
        <w:snapToGrid w:val="0"/>
        <w:spacing w:line="360" w:lineRule="auto"/>
        <w:ind w:left="357" w:hanging="357"/>
        <w:outlineLvl w:val="1"/>
        <w:rPr>
          <w:sz w:val="24"/>
        </w:rPr>
      </w:pPr>
      <w:r>
        <w:rPr>
          <w:sz w:val="24"/>
        </w:rPr>
        <w:t>代理费</w:t>
      </w:r>
    </w:p>
    <w:p w14:paraId="10EA8EFD">
      <w:pPr>
        <w:numPr>
          <w:ilvl w:val="1"/>
          <w:numId w:val="8"/>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14:paraId="493EC008">
      <w:pPr>
        <w:tabs>
          <w:tab w:val="left" w:pos="360"/>
          <w:tab w:val="left" w:pos="1080"/>
        </w:tabs>
        <w:snapToGrid w:val="0"/>
        <w:spacing w:line="360" w:lineRule="auto"/>
        <w:ind w:left="360"/>
        <w:rPr>
          <w:sz w:val="24"/>
        </w:rPr>
      </w:pPr>
    </w:p>
    <w:p w14:paraId="18736439">
      <w:pPr>
        <w:spacing w:line="360" w:lineRule="auto"/>
        <w:jc w:val="center"/>
        <w:outlineLvl w:val="0"/>
        <w:rPr>
          <w:b/>
          <w:sz w:val="36"/>
          <w:szCs w:val="36"/>
        </w:rPr>
      </w:pPr>
      <w:bookmarkStart w:id="714" w:name="_Toc353825544"/>
      <w:bookmarkStart w:id="715" w:name="_Toc226337250"/>
      <w:bookmarkStart w:id="716" w:name="_Toc142311056"/>
      <w:bookmarkStart w:id="717" w:name="_Toc150774759"/>
      <w:bookmarkStart w:id="718" w:name="_Toc265228392"/>
      <w:bookmarkStart w:id="719" w:name="_Toc353873934"/>
      <w:bookmarkStart w:id="720" w:name="_Toc150480792"/>
      <w:bookmarkStart w:id="721" w:name="_Toc127151554"/>
      <w:bookmarkStart w:id="722" w:name="_Toc226965827"/>
      <w:bookmarkStart w:id="723" w:name="_Toc264969244"/>
      <w:bookmarkStart w:id="724" w:name="_Toc305158822"/>
      <w:bookmarkStart w:id="725" w:name="_Toc305158896"/>
      <w:bookmarkStart w:id="726" w:name="_Toc353873664"/>
      <w:r>
        <w:rPr>
          <w:sz w:val="24"/>
        </w:rPr>
        <w:br w:type="page"/>
      </w:r>
      <w:bookmarkStart w:id="727" w:name="_Toc26410"/>
      <w:r>
        <w:rPr>
          <w:b/>
          <w:sz w:val="36"/>
          <w:szCs w:val="36"/>
        </w:rPr>
        <w:t xml:space="preserve">第三章   </w:t>
      </w:r>
      <w:bookmarkEnd w:id="714"/>
      <w:bookmarkEnd w:id="715"/>
      <w:bookmarkEnd w:id="716"/>
      <w:bookmarkEnd w:id="717"/>
      <w:bookmarkEnd w:id="718"/>
      <w:bookmarkEnd w:id="719"/>
      <w:bookmarkEnd w:id="720"/>
      <w:bookmarkEnd w:id="721"/>
      <w:bookmarkEnd w:id="722"/>
      <w:bookmarkEnd w:id="723"/>
      <w:bookmarkEnd w:id="724"/>
      <w:bookmarkEnd w:id="725"/>
      <w:bookmarkEnd w:id="726"/>
      <w:r>
        <w:rPr>
          <w:b/>
          <w:sz w:val="36"/>
          <w:szCs w:val="36"/>
        </w:rPr>
        <w:t>资格审查</w:t>
      </w:r>
      <w:bookmarkEnd w:id="727"/>
      <w:bookmarkStart w:id="728" w:name="_Toc487900382"/>
    </w:p>
    <w:p w14:paraId="37280F77">
      <w:pPr>
        <w:tabs>
          <w:tab w:val="left" w:pos="360"/>
          <w:tab w:val="left" w:pos="900"/>
        </w:tabs>
        <w:snapToGrid w:val="0"/>
        <w:spacing w:line="360" w:lineRule="auto"/>
        <w:jc w:val="center"/>
        <w:outlineLvl w:val="1"/>
        <w:rPr>
          <w:b/>
          <w:sz w:val="24"/>
        </w:rPr>
      </w:pPr>
      <w:bookmarkStart w:id="729" w:name="_Toc99301422"/>
      <w:r>
        <w:rPr>
          <w:b/>
          <w:sz w:val="24"/>
        </w:rPr>
        <w:t>一、资格审查程序</w:t>
      </w:r>
      <w:bookmarkEnd w:id="729"/>
    </w:p>
    <w:p w14:paraId="7A9A429D">
      <w:pPr>
        <w:numPr>
          <w:ilvl w:val="0"/>
          <w:numId w:val="11"/>
        </w:numPr>
        <w:tabs>
          <w:tab w:val="left" w:pos="426"/>
          <w:tab w:val="left" w:pos="851"/>
          <w:tab w:val="clear" w:pos="900"/>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14:paraId="4BF83EF2">
      <w:pPr>
        <w:numPr>
          <w:ilvl w:val="0"/>
          <w:numId w:val="11"/>
        </w:numPr>
        <w:tabs>
          <w:tab w:val="left" w:pos="426"/>
          <w:tab w:val="left" w:pos="851"/>
          <w:tab w:val="clear" w:pos="900"/>
        </w:tabs>
        <w:snapToGrid w:val="0"/>
        <w:spacing w:line="360" w:lineRule="auto"/>
        <w:ind w:left="426" w:hanging="426"/>
        <w:outlineLvl w:val="1"/>
        <w:rPr>
          <w:sz w:val="24"/>
        </w:rPr>
      </w:pPr>
      <w:r>
        <w:rPr>
          <w:sz w:val="24"/>
        </w:rPr>
        <w:t>《资格审查要求》中对格式有要求的，除招标文件另有规定外，均为“实质性格式”文件。</w:t>
      </w:r>
    </w:p>
    <w:p w14:paraId="63C3BC20">
      <w:pPr>
        <w:numPr>
          <w:ilvl w:val="0"/>
          <w:numId w:val="11"/>
        </w:numPr>
        <w:tabs>
          <w:tab w:val="left" w:pos="426"/>
          <w:tab w:val="left" w:pos="851"/>
          <w:tab w:val="clear" w:pos="900"/>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14:paraId="683F9830">
      <w:pPr>
        <w:numPr>
          <w:ilvl w:val="0"/>
          <w:numId w:val="11"/>
        </w:numPr>
        <w:tabs>
          <w:tab w:val="left" w:pos="426"/>
          <w:tab w:val="left" w:pos="851"/>
          <w:tab w:val="clear" w:pos="900"/>
        </w:tabs>
        <w:snapToGrid w:val="0"/>
        <w:spacing w:line="360" w:lineRule="auto"/>
        <w:ind w:left="426" w:hanging="426"/>
        <w:outlineLvl w:val="1"/>
        <w:rPr>
          <w:sz w:val="24"/>
        </w:rPr>
      </w:pPr>
      <w:r>
        <w:rPr>
          <w:sz w:val="24"/>
        </w:rPr>
        <w:t>资格审查合格的投标人不足3家的，不进行评标。</w:t>
      </w:r>
    </w:p>
    <w:p w14:paraId="1F0BE31A">
      <w:pPr>
        <w:widowControl/>
        <w:jc w:val="left"/>
        <w:rPr>
          <w:sz w:val="24"/>
        </w:rPr>
      </w:pPr>
    </w:p>
    <w:p w14:paraId="0EA88770">
      <w:pPr>
        <w:tabs>
          <w:tab w:val="left" w:pos="360"/>
          <w:tab w:val="left" w:pos="900"/>
        </w:tabs>
        <w:snapToGrid w:val="0"/>
        <w:spacing w:line="360" w:lineRule="auto"/>
        <w:jc w:val="center"/>
        <w:outlineLvl w:val="1"/>
        <w:rPr>
          <w:b/>
          <w:sz w:val="24"/>
        </w:rPr>
      </w:pPr>
      <w:bookmarkStart w:id="730" w:name="_Hlk143693557"/>
      <w:r>
        <w:rPr>
          <w:b/>
          <w:sz w:val="24"/>
        </w:rPr>
        <w:t>二、资格审查要求</w:t>
      </w:r>
      <w:bookmarkEnd w:id="730"/>
    </w:p>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8"/>
    <w:tbl>
      <w:tblPr>
        <w:tblStyle w:val="42"/>
        <w:tblW w:w="92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6"/>
        <w:gridCol w:w="1982"/>
        <w:gridCol w:w="4822"/>
        <w:gridCol w:w="1638"/>
      </w:tblGrid>
      <w:tr w14:paraId="5A6C53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846" w:type="dxa"/>
            <w:noWrap w:val="0"/>
            <w:vAlign w:val="center"/>
          </w:tcPr>
          <w:p w14:paraId="6B973A72">
            <w:pPr>
              <w:tabs>
                <w:tab w:val="left" w:pos="1080"/>
              </w:tabs>
              <w:snapToGrid w:val="0"/>
              <w:jc w:val="center"/>
              <w:rPr>
                <w:b/>
                <w:color w:val="000000"/>
                <w:sz w:val="24"/>
              </w:rPr>
            </w:pPr>
            <w:bookmarkStart w:id="731" w:name="_Hlt487972895"/>
            <w:bookmarkEnd w:id="731"/>
            <w:bookmarkStart w:id="732" w:name="_Hlk143693460"/>
            <w:bookmarkStart w:id="733" w:name="_Toc226965858"/>
            <w:bookmarkStart w:id="734" w:name="_Toc127151779"/>
            <w:bookmarkStart w:id="735" w:name="_Toc127161490"/>
            <w:bookmarkStart w:id="736" w:name="_Toc353825550"/>
            <w:bookmarkStart w:id="737" w:name="_Toc353873940"/>
            <w:r>
              <w:rPr>
                <w:b/>
                <w:color w:val="000000"/>
                <w:sz w:val="24"/>
              </w:rPr>
              <w:t>序号</w:t>
            </w:r>
          </w:p>
        </w:tc>
        <w:tc>
          <w:tcPr>
            <w:tcW w:w="1982" w:type="dxa"/>
            <w:noWrap w:val="0"/>
            <w:vAlign w:val="center"/>
          </w:tcPr>
          <w:p w14:paraId="608A5F11">
            <w:pPr>
              <w:tabs>
                <w:tab w:val="left" w:pos="1080"/>
              </w:tabs>
              <w:snapToGrid w:val="0"/>
              <w:jc w:val="center"/>
              <w:rPr>
                <w:b/>
                <w:color w:val="000000"/>
                <w:sz w:val="24"/>
              </w:rPr>
            </w:pPr>
            <w:r>
              <w:rPr>
                <w:b/>
                <w:color w:val="000000"/>
                <w:sz w:val="24"/>
              </w:rPr>
              <w:t>审查因素</w:t>
            </w:r>
          </w:p>
        </w:tc>
        <w:tc>
          <w:tcPr>
            <w:tcW w:w="4822" w:type="dxa"/>
            <w:noWrap w:val="0"/>
            <w:vAlign w:val="center"/>
          </w:tcPr>
          <w:p w14:paraId="1C265EFC">
            <w:pPr>
              <w:tabs>
                <w:tab w:val="left" w:pos="1080"/>
              </w:tabs>
              <w:snapToGrid w:val="0"/>
              <w:jc w:val="center"/>
              <w:rPr>
                <w:b/>
                <w:color w:val="000000"/>
                <w:sz w:val="24"/>
              </w:rPr>
            </w:pPr>
            <w:r>
              <w:rPr>
                <w:b/>
                <w:color w:val="000000"/>
                <w:sz w:val="24"/>
              </w:rPr>
              <w:t>审查内容</w:t>
            </w:r>
          </w:p>
        </w:tc>
        <w:tc>
          <w:tcPr>
            <w:tcW w:w="1638" w:type="dxa"/>
            <w:noWrap w:val="0"/>
            <w:vAlign w:val="center"/>
          </w:tcPr>
          <w:p w14:paraId="7DE18777">
            <w:pPr>
              <w:tabs>
                <w:tab w:val="left" w:pos="1080"/>
              </w:tabs>
              <w:snapToGrid w:val="0"/>
              <w:jc w:val="center"/>
              <w:rPr>
                <w:b/>
                <w:color w:val="000000"/>
                <w:sz w:val="24"/>
              </w:rPr>
            </w:pPr>
            <w:r>
              <w:rPr>
                <w:b/>
                <w:color w:val="000000"/>
                <w:sz w:val="24"/>
              </w:rPr>
              <w:t>格式要求</w:t>
            </w:r>
          </w:p>
        </w:tc>
      </w:tr>
      <w:tr w14:paraId="7A3FAC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noWrap w:val="0"/>
            <w:vAlign w:val="center"/>
          </w:tcPr>
          <w:p w14:paraId="13C41F99">
            <w:pPr>
              <w:tabs>
                <w:tab w:val="left" w:pos="1080"/>
              </w:tabs>
              <w:snapToGrid w:val="0"/>
              <w:jc w:val="center"/>
              <w:rPr>
                <w:color w:val="000000"/>
                <w:sz w:val="24"/>
              </w:rPr>
            </w:pPr>
            <w:r>
              <w:rPr>
                <w:color w:val="000000"/>
                <w:sz w:val="24"/>
              </w:rPr>
              <w:t>1</w:t>
            </w:r>
          </w:p>
        </w:tc>
        <w:tc>
          <w:tcPr>
            <w:tcW w:w="1982" w:type="dxa"/>
            <w:noWrap w:val="0"/>
            <w:vAlign w:val="center"/>
          </w:tcPr>
          <w:p w14:paraId="32C37490">
            <w:pPr>
              <w:tabs>
                <w:tab w:val="left" w:pos="1080"/>
              </w:tabs>
              <w:snapToGrid w:val="0"/>
              <w:rPr>
                <w:color w:val="000000"/>
                <w:sz w:val="24"/>
              </w:rPr>
            </w:pPr>
            <w:r>
              <w:rPr>
                <w:color w:val="000000"/>
                <w:sz w:val="24"/>
              </w:rPr>
              <w:t>满足《中华人民共和国政府采购法》第二十二条规定</w:t>
            </w:r>
          </w:p>
        </w:tc>
        <w:tc>
          <w:tcPr>
            <w:tcW w:w="4822" w:type="dxa"/>
            <w:noWrap w:val="0"/>
            <w:vAlign w:val="center"/>
          </w:tcPr>
          <w:p w14:paraId="0CC54F42">
            <w:pPr>
              <w:tabs>
                <w:tab w:val="left" w:pos="1080"/>
              </w:tabs>
              <w:snapToGrid w:val="0"/>
              <w:rPr>
                <w:color w:val="000000"/>
                <w:sz w:val="24"/>
              </w:rPr>
            </w:pPr>
            <w:r>
              <w:rPr>
                <w:color w:val="000000"/>
                <w:sz w:val="24"/>
              </w:rPr>
              <w:t>具体规定见第一章《投标邀请》</w:t>
            </w:r>
          </w:p>
        </w:tc>
        <w:tc>
          <w:tcPr>
            <w:tcW w:w="1638" w:type="dxa"/>
            <w:noWrap w:val="0"/>
            <w:vAlign w:val="center"/>
          </w:tcPr>
          <w:p w14:paraId="7E2BB408">
            <w:pPr>
              <w:tabs>
                <w:tab w:val="left" w:pos="1080"/>
              </w:tabs>
              <w:snapToGrid w:val="0"/>
              <w:rPr>
                <w:color w:val="000000"/>
                <w:sz w:val="24"/>
              </w:rPr>
            </w:pPr>
          </w:p>
        </w:tc>
      </w:tr>
      <w:tr w14:paraId="6DC94B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noWrap w:val="0"/>
            <w:vAlign w:val="center"/>
          </w:tcPr>
          <w:p w14:paraId="45C1BFF8">
            <w:pPr>
              <w:tabs>
                <w:tab w:val="left" w:pos="1080"/>
              </w:tabs>
              <w:snapToGrid w:val="0"/>
              <w:jc w:val="center"/>
              <w:rPr>
                <w:color w:val="000000"/>
                <w:sz w:val="24"/>
              </w:rPr>
            </w:pPr>
            <w:r>
              <w:rPr>
                <w:color w:val="000000"/>
                <w:sz w:val="24"/>
              </w:rPr>
              <w:t>1-1</w:t>
            </w:r>
          </w:p>
        </w:tc>
        <w:tc>
          <w:tcPr>
            <w:tcW w:w="1982" w:type="dxa"/>
            <w:noWrap w:val="0"/>
            <w:vAlign w:val="center"/>
          </w:tcPr>
          <w:p w14:paraId="03C87EC5">
            <w:pPr>
              <w:tabs>
                <w:tab w:val="left" w:pos="1080"/>
              </w:tabs>
              <w:snapToGrid w:val="0"/>
              <w:rPr>
                <w:color w:val="000000"/>
                <w:sz w:val="24"/>
              </w:rPr>
            </w:pPr>
            <w:r>
              <w:rPr>
                <w:color w:val="000000"/>
                <w:sz w:val="24"/>
              </w:rPr>
              <w:t>营业执照等证明文件</w:t>
            </w:r>
          </w:p>
        </w:tc>
        <w:tc>
          <w:tcPr>
            <w:tcW w:w="4822" w:type="dxa"/>
            <w:noWrap w:val="0"/>
            <w:vAlign w:val="center"/>
          </w:tcPr>
          <w:p w14:paraId="0CB0CEE0">
            <w:pPr>
              <w:tabs>
                <w:tab w:val="left" w:pos="1080"/>
              </w:tabs>
              <w:snapToGrid w:val="0"/>
              <w:rPr>
                <w:color w:val="000000"/>
                <w:sz w:val="24"/>
              </w:rPr>
            </w:pPr>
            <w:r>
              <w:rPr>
                <w:color w:val="000000"/>
                <w:sz w:val="24"/>
              </w:rPr>
              <w:t>投标人为企业（包括合伙企业）的，应提供有效的“营业执照”；</w:t>
            </w:r>
          </w:p>
          <w:p w14:paraId="377FEC8E">
            <w:pPr>
              <w:tabs>
                <w:tab w:val="left" w:pos="1080"/>
              </w:tabs>
              <w:snapToGrid w:val="0"/>
              <w:rPr>
                <w:color w:val="000000"/>
                <w:sz w:val="24"/>
              </w:rPr>
            </w:pPr>
            <w:r>
              <w:rPr>
                <w:color w:val="000000"/>
                <w:sz w:val="24"/>
              </w:rPr>
              <w:t>投标人为事业单位的，应提供有效的“事业单位法人证书”；</w:t>
            </w:r>
          </w:p>
          <w:p w14:paraId="7D033CD8">
            <w:pPr>
              <w:tabs>
                <w:tab w:val="left" w:pos="1080"/>
              </w:tabs>
              <w:snapToGrid w:val="0"/>
              <w:rPr>
                <w:color w:val="000000"/>
                <w:sz w:val="24"/>
              </w:rPr>
            </w:pPr>
            <w:r>
              <w:rPr>
                <w:color w:val="000000"/>
                <w:sz w:val="24"/>
              </w:rPr>
              <w:t>投标人是非企业机构的，应提供有效的“执业许可证”、“登记证书”等证明文件；</w:t>
            </w:r>
          </w:p>
          <w:p w14:paraId="5BD94D2C">
            <w:pPr>
              <w:tabs>
                <w:tab w:val="left" w:pos="1080"/>
              </w:tabs>
              <w:snapToGrid w:val="0"/>
              <w:rPr>
                <w:color w:val="000000"/>
                <w:sz w:val="24"/>
              </w:rPr>
            </w:pPr>
            <w:r>
              <w:rPr>
                <w:color w:val="000000"/>
                <w:sz w:val="24"/>
              </w:rPr>
              <w:t>投标人是个体工商户的，应提供有效的“个体工商户营业执照”；</w:t>
            </w:r>
          </w:p>
          <w:p w14:paraId="01A51F82">
            <w:pPr>
              <w:tabs>
                <w:tab w:val="left" w:pos="1080"/>
              </w:tabs>
              <w:snapToGrid w:val="0"/>
              <w:rPr>
                <w:color w:val="000000"/>
                <w:sz w:val="24"/>
              </w:rPr>
            </w:pPr>
            <w:r>
              <w:rPr>
                <w:color w:val="000000"/>
                <w:sz w:val="24"/>
              </w:rPr>
              <w:t>投标人是自然人的，应提供有效的自然人身份证明。</w:t>
            </w:r>
          </w:p>
          <w:p w14:paraId="63B232C1">
            <w:pPr>
              <w:tabs>
                <w:tab w:val="left" w:pos="1080"/>
              </w:tabs>
              <w:snapToGrid w:val="0"/>
              <w:rPr>
                <w:color w:val="000000"/>
                <w:sz w:val="24"/>
              </w:rPr>
            </w:pPr>
            <w:r>
              <w:rPr>
                <w:color w:val="000000"/>
                <w:sz w:val="24"/>
              </w:rPr>
              <w:t>分支机构参加投标的，应提供该分支机构或其所属法人/其他组织的相应证明文件；同时还应提供其所属法人/其他组织出具的授权其参与本项目的授权书（格式自拟，须加盖其所属法人/其他组织的公章）；对于</w:t>
            </w:r>
            <w:r>
              <w:rPr>
                <w:iCs/>
                <w:color w:val="000000"/>
                <w:sz w:val="24"/>
              </w:rPr>
              <w:t>银行、保险、石油石化、电力、电信等行业的分支机构，可以提供上述</w:t>
            </w:r>
            <w:r>
              <w:rPr>
                <w:color w:val="000000"/>
                <w:sz w:val="24"/>
              </w:rPr>
              <w:t>授权，也可以提供其所属法人/其他组织的有关文件或制度等能够证明授权其独立开展业务的证明材料。</w:t>
            </w:r>
          </w:p>
        </w:tc>
        <w:tc>
          <w:tcPr>
            <w:tcW w:w="1638" w:type="dxa"/>
            <w:noWrap w:val="0"/>
            <w:vAlign w:val="center"/>
          </w:tcPr>
          <w:p w14:paraId="7C0E3C91">
            <w:pPr>
              <w:tabs>
                <w:tab w:val="left" w:pos="1080"/>
              </w:tabs>
              <w:snapToGrid w:val="0"/>
              <w:rPr>
                <w:color w:val="000000"/>
                <w:sz w:val="24"/>
              </w:rPr>
            </w:pPr>
            <w:r>
              <w:rPr>
                <w:color w:val="000000"/>
                <w:sz w:val="24"/>
              </w:rPr>
              <w:t>提供证明文件的电子件或电子证照</w:t>
            </w:r>
          </w:p>
        </w:tc>
      </w:tr>
      <w:tr w14:paraId="627687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noWrap w:val="0"/>
            <w:vAlign w:val="center"/>
          </w:tcPr>
          <w:p w14:paraId="69609F59">
            <w:pPr>
              <w:tabs>
                <w:tab w:val="left" w:pos="1080"/>
              </w:tabs>
              <w:snapToGrid w:val="0"/>
              <w:jc w:val="center"/>
              <w:rPr>
                <w:color w:val="000000"/>
                <w:sz w:val="24"/>
              </w:rPr>
            </w:pPr>
            <w:r>
              <w:rPr>
                <w:color w:val="000000"/>
                <w:sz w:val="24"/>
              </w:rPr>
              <w:t>1-2</w:t>
            </w:r>
          </w:p>
        </w:tc>
        <w:tc>
          <w:tcPr>
            <w:tcW w:w="1982" w:type="dxa"/>
            <w:noWrap w:val="0"/>
            <w:vAlign w:val="center"/>
          </w:tcPr>
          <w:p w14:paraId="4818724D">
            <w:pPr>
              <w:tabs>
                <w:tab w:val="left" w:pos="1080"/>
              </w:tabs>
              <w:snapToGrid w:val="0"/>
              <w:rPr>
                <w:color w:val="000000"/>
                <w:sz w:val="24"/>
              </w:rPr>
            </w:pPr>
            <w:r>
              <w:rPr>
                <w:color w:val="000000"/>
                <w:sz w:val="24"/>
              </w:rPr>
              <w:t>投标人资格声明书</w:t>
            </w:r>
          </w:p>
        </w:tc>
        <w:tc>
          <w:tcPr>
            <w:tcW w:w="4822" w:type="dxa"/>
            <w:noWrap w:val="0"/>
            <w:vAlign w:val="center"/>
          </w:tcPr>
          <w:p w14:paraId="7DFD9327">
            <w:pPr>
              <w:tabs>
                <w:tab w:val="left" w:pos="1080"/>
              </w:tabs>
              <w:snapToGrid w:val="0"/>
              <w:rPr>
                <w:color w:val="000000"/>
                <w:sz w:val="24"/>
              </w:rPr>
            </w:pPr>
            <w:r>
              <w:rPr>
                <w:color w:val="000000"/>
                <w:sz w:val="24"/>
              </w:rPr>
              <w:t>提供了符合招标文件要求的《投标人资格声明书》。</w:t>
            </w:r>
          </w:p>
        </w:tc>
        <w:tc>
          <w:tcPr>
            <w:tcW w:w="1638" w:type="dxa"/>
            <w:noWrap w:val="0"/>
            <w:vAlign w:val="center"/>
          </w:tcPr>
          <w:p w14:paraId="057FF1E0">
            <w:pPr>
              <w:tabs>
                <w:tab w:val="left" w:pos="1080"/>
              </w:tabs>
              <w:snapToGrid w:val="0"/>
              <w:rPr>
                <w:color w:val="000000"/>
                <w:sz w:val="24"/>
              </w:rPr>
            </w:pPr>
            <w:r>
              <w:rPr>
                <w:color w:val="000000"/>
                <w:sz w:val="24"/>
              </w:rPr>
              <w:t>格式见《投标文件格式》</w:t>
            </w:r>
          </w:p>
        </w:tc>
      </w:tr>
      <w:tr w14:paraId="0A7FE9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noWrap w:val="0"/>
            <w:vAlign w:val="center"/>
          </w:tcPr>
          <w:p w14:paraId="58D8736F">
            <w:pPr>
              <w:tabs>
                <w:tab w:val="left" w:pos="1080"/>
              </w:tabs>
              <w:snapToGrid w:val="0"/>
              <w:jc w:val="center"/>
              <w:rPr>
                <w:color w:val="000000"/>
                <w:sz w:val="24"/>
              </w:rPr>
            </w:pPr>
            <w:r>
              <w:rPr>
                <w:color w:val="000000"/>
                <w:sz w:val="24"/>
              </w:rPr>
              <w:t>1-3</w:t>
            </w:r>
          </w:p>
        </w:tc>
        <w:tc>
          <w:tcPr>
            <w:tcW w:w="1982" w:type="dxa"/>
            <w:noWrap w:val="0"/>
            <w:vAlign w:val="center"/>
          </w:tcPr>
          <w:p w14:paraId="1A4B4D21">
            <w:pPr>
              <w:tabs>
                <w:tab w:val="left" w:pos="1080"/>
              </w:tabs>
              <w:snapToGrid w:val="0"/>
              <w:rPr>
                <w:color w:val="000000"/>
                <w:sz w:val="24"/>
              </w:rPr>
            </w:pPr>
            <w:r>
              <w:rPr>
                <w:color w:val="000000"/>
                <w:sz w:val="24"/>
              </w:rPr>
              <w:t>投标人信用记录</w:t>
            </w:r>
          </w:p>
        </w:tc>
        <w:tc>
          <w:tcPr>
            <w:tcW w:w="4822" w:type="dxa"/>
            <w:noWrap w:val="0"/>
            <w:vAlign w:val="center"/>
          </w:tcPr>
          <w:p w14:paraId="74A71C3A">
            <w:pPr>
              <w:tabs>
                <w:tab w:val="left" w:pos="1080"/>
              </w:tabs>
              <w:snapToGrid w:val="0"/>
              <w:rPr>
                <w:color w:val="000000"/>
                <w:sz w:val="24"/>
              </w:rPr>
            </w:pPr>
            <w:r>
              <w:rPr>
                <w:color w:val="000000"/>
                <w:sz w:val="24"/>
              </w:rPr>
              <w:t>查询渠道：信用中国网站和中国政府采购网（</w:t>
            </w:r>
            <w:r>
              <w:rPr>
                <w:color w:val="000000"/>
              </w:rPr>
              <w:t>www.creditchina.gov.cn</w:t>
            </w:r>
            <w:r>
              <w:rPr>
                <w:color w:val="000000"/>
                <w:sz w:val="24"/>
              </w:rPr>
              <w:t>、</w:t>
            </w:r>
            <w:r>
              <w:rPr>
                <w:color w:val="000000"/>
              </w:rPr>
              <w:t>www.ccgp.gov.cn</w:t>
            </w:r>
            <w:r>
              <w:rPr>
                <w:color w:val="000000"/>
                <w:sz w:val="24"/>
              </w:rPr>
              <w:t>）；</w:t>
            </w:r>
          </w:p>
          <w:p w14:paraId="77858E78">
            <w:pPr>
              <w:tabs>
                <w:tab w:val="left" w:pos="900"/>
                <w:tab w:val="left" w:pos="1980"/>
              </w:tabs>
              <w:snapToGrid w:val="0"/>
              <w:rPr>
                <w:color w:val="000000"/>
                <w:sz w:val="24"/>
              </w:rPr>
            </w:pPr>
            <w:r>
              <w:rPr>
                <w:color w:val="000000"/>
                <w:sz w:val="24"/>
              </w:rPr>
              <w:t>截止时点：投标截止时间以后、资格审查阶段采购人或采购代理机构的实际查询时间；</w:t>
            </w:r>
          </w:p>
          <w:p w14:paraId="1883E7D6">
            <w:pPr>
              <w:tabs>
                <w:tab w:val="left" w:pos="900"/>
                <w:tab w:val="left" w:pos="1980"/>
              </w:tabs>
              <w:snapToGrid w:val="0"/>
              <w:rPr>
                <w:color w:val="000000"/>
                <w:sz w:val="24"/>
              </w:rPr>
            </w:pPr>
            <w:r>
              <w:rPr>
                <w:color w:val="000000"/>
                <w:sz w:val="24"/>
              </w:rPr>
              <w:t>信用信息查询记录和证据留存具体方式：查询结果网页打印页作为查询记录和证据，与其他采购文件一并保存；</w:t>
            </w:r>
          </w:p>
          <w:p w14:paraId="5489C0BF">
            <w:pPr>
              <w:tabs>
                <w:tab w:val="left" w:pos="1080"/>
              </w:tabs>
              <w:snapToGrid w:val="0"/>
              <w:rPr>
                <w:color w:val="000000"/>
                <w:sz w:val="24"/>
              </w:rPr>
            </w:pPr>
            <w:r>
              <w:rPr>
                <w:color w:val="000000"/>
                <w:sz w:val="24"/>
              </w:rPr>
              <w:t>信用信息的使用原则：经认定的被列入失信被执行人、重大税收违法案件当事人名单、政府采购严重违法失信行为记录名单的投标人，其</w:t>
            </w:r>
            <w:r>
              <w:rPr>
                <w:b/>
                <w:color w:val="000000"/>
                <w:sz w:val="24"/>
              </w:rPr>
              <w:t>投标无效</w:t>
            </w:r>
            <w:r>
              <w:rPr>
                <w:color w:val="000000"/>
                <w:sz w:val="24"/>
              </w:rPr>
              <w:t>。联合体形式投标的，联合体成员存在不良信用记录，视同联合体存在不良信用记录。</w:t>
            </w:r>
          </w:p>
        </w:tc>
        <w:tc>
          <w:tcPr>
            <w:tcW w:w="1638" w:type="dxa"/>
            <w:noWrap w:val="0"/>
            <w:vAlign w:val="center"/>
          </w:tcPr>
          <w:p w14:paraId="0C23C16B">
            <w:pPr>
              <w:tabs>
                <w:tab w:val="left" w:pos="1080"/>
              </w:tabs>
              <w:snapToGrid w:val="0"/>
              <w:rPr>
                <w:color w:val="000000"/>
                <w:sz w:val="24"/>
              </w:rPr>
            </w:pPr>
            <w:r>
              <w:rPr>
                <w:color w:val="000000"/>
                <w:sz w:val="24"/>
              </w:rPr>
              <w:t>无须投标人提供，由采购人或采购代理机构查询。</w:t>
            </w:r>
          </w:p>
        </w:tc>
      </w:tr>
      <w:tr w14:paraId="40BE15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noWrap w:val="0"/>
            <w:vAlign w:val="center"/>
          </w:tcPr>
          <w:p w14:paraId="1582F474">
            <w:pPr>
              <w:tabs>
                <w:tab w:val="left" w:pos="1080"/>
              </w:tabs>
              <w:snapToGrid w:val="0"/>
              <w:jc w:val="center"/>
              <w:rPr>
                <w:color w:val="000000"/>
                <w:sz w:val="24"/>
              </w:rPr>
            </w:pPr>
            <w:r>
              <w:rPr>
                <w:color w:val="000000"/>
                <w:sz w:val="24"/>
              </w:rPr>
              <w:t>1-4</w:t>
            </w:r>
          </w:p>
        </w:tc>
        <w:tc>
          <w:tcPr>
            <w:tcW w:w="1982" w:type="dxa"/>
            <w:noWrap w:val="0"/>
            <w:vAlign w:val="center"/>
          </w:tcPr>
          <w:p w14:paraId="233CD93C">
            <w:pPr>
              <w:tabs>
                <w:tab w:val="left" w:pos="1080"/>
              </w:tabs>
              <w:snapToGrid w:val="0"/>
              <w:rPr>
                <w:color w:val="000000"/>
                <w:sz w:val="24"/>
              </w:rPr>
            </w:pPr>
            <w:r>
              <w:rPr>
                <w:color w:val="000000"/>
                <w:sz w:val="24"/>
              </w:rPr>
              <w:t>法律、行政法规规定的其他条件</w:t>
            </w:r>
          </w:p>
        </w:tc>
        <w:tc>
          <w:tcPr>
            <w:tcW w:w="4822" w:type="dxa"/>
            <w:noWrap w:val="0"/>
            <w:vAlign w:val="center"/>
          </w:tcPr>
          <w:p w14:paraId="53522574">
            <w:pPr>
              <w:tabs>
                <w:tab w:val="left" w:pos="1080"/>
              </w:tabs>
              <w:snapToGrid w:val="0"/>
              <w:rPr>
                <w:color w:val="000000"/>
                <w:sz w:val="24"/>
              </w:rPr>
            </w:pPr>
            <w:r>
              <w:rPr>
                <w:color w:val="000000"/>
                <w:sz w:val="24"/>
              </w:rPr>
              <w:t>法律、行政法规规定的其他条件</w:t>
            </w:r>
          </w:p>
        </w:tc>
        <w:tc>
          <w:tcPr>
            <w:tcW w:w="1638" w:type="dxa"/>
            <w:noWrap w:val="0"/>
            <w:vAlign w:val="center"/>
          </w:tcPr>
          <w:p w14:paraId="5EF0B784">
            <w:pPr>
              <w:tabs>
                <w:tab w:val="left" w:pos="1080"/>
              </w:tabs>
              <w:snapToGrid w:val="0"/>
              <w:jc w:val="center"/>
              <w:rPr>
                <w:color w:val="000000"/>
                <w:sz w:val="24"/>
              </w:rPr>
            </w:pPr>
            <w:r>
              <w:rPr>
                <w:color w:val="000000"/>
                <w:sz w:val="24"/>
              </w:rPr>
              <w:t>/</w:t>
            </w:r>
          </w:p>
        </w:tc>
      </w:tr>
      <w:tr w14:paraId="476319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noWrap w:val="0"/>
            <w:vAlign w:val="center"/>
          </w:tcPr>
          <w:p w14:paraId="50EE1DC9">
            <w:pPr>
              <w:tabs>
                <w:tab w:val="left" w:pos="1080"/>
              </w:tabs>
              <w:snapToGrid w:val="0"/>
              <w:jc w:val="center"/>
              <w:rPr>
                <w:color w:val="000000"/>
                <w:sz w:val="24"/>
              </w:rPr>
            </w:pPr>
            <w:r>
              <w:rPr>
                <w:color w:val="000000"/>
                <w:sz w:val="24"/>
              </w:rPr>
              <w:t>2</w:t>
            </w:r>
          </w:p>
        </w:tc>
        <w:tc>
          <w:tcPr>
            <w:tcW w:w="1982" w:type="dxa"/>
            <w:noWrap w:val="0"/>
            <w:vAlign w:val="center"/>
          </w:tcPr>
          <w:p w14:paraId="62CF78E7">
            <w:pPr>
              <w:tabs>
                <w:tab w:val="left" w:pos="1080"/>
              </w:tabs>
              <w:snapToGrid w:val="0"/>
              <w:rPr>
                <w:color w:val="000000"/>
                <w:sz w:val="24"/>
              </w:rPr>
            </w:pPr>
            <w:r>
              <w:rPr>
                <w:color w:val="000000"/>
                <w:sz w:val="24"/>
              </w:rPr>
              <w:t>落实政府采购政策需满足的资格要求</w:t>
            </w:r>
          </w:p>
        </w:tc>
        <w:tc>
          <w:tcPr>
            <w:tcW w:w="4822" w:type="dxa"/>
            <w:noWrap w:val="0"/>
            <w:vAlign w:val="center"/>
          </w:tcPr>
          <w:p w14:paraId="1DE468BC">
            <w:pPr>
              <w:tabs>
                <w:tab w:val="left" w:pos="1080"/>
              </w:tabs>
              <w:snapToGrid w:val="0"/>
              <w:rPr>
                <w:color w:val="000000"/>
                <w:sz w:val="24"/>
              </w:rPr>
            </w:pPr>
            <w:r>
              <w:rPr>
                <w:color w:val="000000"/>
                <w:sz w:val="24"/>
              </w:rPr>
              <w:t>具体要求见第一章《投标邀请》</w:t>
            </w:r>
          </w:p>
        </w:tc>
        <w:tc>
          <w:tcPr>
            <w:tcW w:w="1638" w:type="dxa"/>
            <w:noWrap w:val="0"/>
            <w:vAlign w:val="center"/>
          </w:tcPr>
          <w:p w14:paraId="5B99D225">
            <w:pPr>
              <w:tabs>
                <w:tab w:val="left" w:pos="1080"/>
              </w:tabs>
              <w:snapToGrid w:val="0"/>
              <w:rPr>
                <w:color w:val="000000"/>
                <w:sz w:val="24"/>
              </w:rPr>
            </w:pPr>
          </w:p>
        </w:tc>
      </w:tr>
      <w:tr w14:paraId="11D059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noWrap w:val="0"/>
            <w:vAlign w:val="center"/>
          </w:tcPr>
          <w:p w14:paraId="19BD9DC3">
            <w:pPr>
              <w:tabs>
                <w:tab w:val="left" w:pos="1080"/>
              </w:tabs>
              <w:snapToGrid w:val="0"/>
              <w:jc w:val="center"/>
              <w:rPr>
                <w:color w:val="000000"/>
                <w:sz w:val="24"/>
              </w:rPr>
            </w:pPr>
            <w:r>
              <w:rPr>
                <w:color w:val="000000"/>
                <w:sz w:val="24"/>
              </w:rPr>
              <w:t>2-1</w:t>
            </w:r>
          </w:p>
        </w:tc>
        <w:tc>
          <w:tcPr>
            <w:tcW w:w="1982" w:type="dxa"/>
            <w:noWrap w:val="0"/>
            <w:vAlign w:val="center"/>
          </w:tcPr>
          <w:p w14:paraId="68B2716A">
            <w:pPr>
              <w:tabs>
                <w:tab w:val="left" w:pos="1080"/>
              </w:tabs>
              <w:snapToGrid w:val="0"/>
              <w:rPr>
                <w:color w:val="000000"/>
                <w:sz w:val="24"/>
              </w:rPr>
            </w:pPr>
            <w:r>
              <w:rPr>
                <w:color w:val="000000"/>
                <w:sz w:val="24"/>
              </w:rPr>
              <w:t>中小企业政策证明文件：中小企业证明文件</w:t>
            </w:r>
          </w:p>
        </w:tc>
        <w:tc>
          <w:tcPr>
            <w:tcW w:w="4822" w:type="dxa"/>
            <w:noWrap w:val="0"/>
            <w:vAlign w:val="center"/>
          </w:tcPr>
          <w:p w14:paraId="30B62596">
            <w:pPr>
              <w:tabs>
                <w:tab w:val="left" w:pos="1080"/>
              </w:tabs>
              <w:snapToGrid w:val="0"/>
              <w:rPr>
                <w:color w:val="000000"/>
                <w:sz w:val="24"/>
              </w:rPr>
            </w:pPr>
            <w:r>
              <w:rPr>
                <w:color w:val="000000"/>
                <w:sz w:val="24"/>
              </w:rPr>
              <w:t>当本项目（包）涉及预留份额专门面向中小企业采购，此时建议在《资格证明文件》中提供。</w:t>
            </w:r>
          </w:p>
          <w:p w14:paraId="4114AF18">
            <w:pPr>
              <w:tabs>
                <w:tab w:val="left" w:pos="1080"/>
              </w:tabs>
              <w:snapToGrid w:val="0"/>
              <w:rPr>
                <w:color w:val="000000"/>
                <w:sz w:val="24"/>
              </w:rPr>
            </w:pPr>
            <w:r>
              <w:rPr>
                <w:color w:val="000000"/>
                <w:sz w:val="24"/>
              </w:rPr>
              <w:t>1、投标人单独投标的，应提供《中小企业声明函》或《残疾人福利性单位声明函》或由省级以上监狱管理局、戒毒管理局（含新疆生产建设兵团）出具的属于监狱企业的证明文件。</w:t>
            </w:r>
          </w:p>
          <w:p w14:paraId="11A0F473">
            <w:pPr>
              <w:tabs>
                <w:tab w:val="left" w:pos="1080"/>
              </w:tabs>
              <w:snapToGrid w:val="0"/>
              <w:rPr>
                <w:color w:val="000000"/>
                <w:sz w:val="24"/>
              </w:rPr>
            </w:pPr>
            <w:r>
              <w:rPr>
                <w:color w:val="000000"/>
                <w:sz w:val="24"/>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1638" w:type="dxa"/>
            <w:noWrap w:val="0"/>
            <w:vAlign w:val="center"/>
          </w:tcPr>
          <w:p w14:paraId="72BAF66E">
            <w:pPr>
              <w:tabs>
                <w:tab w:val="left" w:pos="1080"/>
              </w:tabs>
              <w:snapToGrid w:val="0"/>
              <w:rPr>
                <w:color w:val="000000"/>
                <w:sz w:val="24"/>
              </w:rPr>
            </w:pPr>
            <w:r>
              <w:rPr>
                <w:color w:val="000000"/>
                <w:sz w:val="24"/>
              </w:rPr>
              <w:t>格式见《投标文件格式》</w:t>
            </w:r>
          </w:p>
        </w:tc>
      </w:tr>
      <w:tr w14:paraId="64CC2E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noWrap w:val="0"/>
            <w:vAlign w:val="center"/>
          </w:tcPr>
          <w:p w14:paraId="7D57DCC0">
            <w:pPr>
              <w:tabs>
                <w:tab w:val="left" w:pos="1080"/>
              </w:tabs>
              <w:snapToGrid w:val="0"/>
              <w:jc w:val="center"/>
              <w:rPr>
                <w:color w:val="000000"/>
                <w:sz w:val="24"/>
              </w:rPr>
            </w:pPr>
            <w:r>
              <w:rPr>
                <w:color w:val="000000"/>
                <w:sz w:val="24"/>
              </w:rPr>
              <w:t>2-2</w:t>
            </w:r>
          </w:p>
        </w:tc>
        <w:tc>
          <w:tcPr>
            <w:tcW w:w="1982" w:type="dxa"/>
            <w:noWrap w:val="0"/>
            <w:vAlign w:val="center"/>
          </w:tcPr>
          <w:p w14:paraId="1847B584">
            <w:pPr>
              <w:tabs>
                <w:tab w:val="left" w:pos="1080"/>
              </w:tabs>
              <w:snapToGrid w:val="0"/>
              <w:rPr>
                <w:color w:val="000000"/>
                <w:sz w:val="24"/>
              </w:rPr>
            </w:pPr>
            <w:r>
              <w:rPr>
                <w:color w:val="000000"/>
                <w:sz w:val="24"/>
              </w:rPr>
              <w:t>中小企业政策证明文件：拟分包情况说明及分包意向协议</w:t>
            </w:r>
          </w:p>
        </w:tc>
        <w:tc>
          <w:tcPr>
            <w:tcW w:w="4822" w:type="dxa"/>
            <w:noWrap w:val="0"/>
            <w:vAlign w:val="center"/>
          </w:tcPr>
          <w:p w14:paraId="59986481">
            <w:pPr>
              <w:tabs>
                <w:tab w:val="left" w:pos="1080"/>
              </w:tabs>
              <w:snapToGrid w:val="0"/>
              <w:rPr>
                <w:color w:val="000000"/>
                <w:sz w:val="24"/>
              </w:rPr>
            </w:pPr>
            <w:r>
              <w:rPr>
                <w:color w:val="000000"/>
                <w:sz w:val="24"/>
              </w:rPr>
              <w:t>如本项目（包）要求通过分包措施预留部分采购份额面向中小企业采购、且投标人因落实政府采购政策拟进行分包的，必须提供；否则无须提供。</w:t>
            </w:r>
          </w:p>
          <w:p w14:paraId="7C6B1F62">
            <w:pPr>
              <w:tabs>
                <w:tab w:val="left" w:pos="1080"/>
              </w:tabs>
              <w:snapToGrid w:val="0"/>
              <w:rPr>
                <w:b/>
                <w:color w:val="000000"/>
                <w:sz w:val="24"/>
              </w:rPr>
            </w:pPr>
            <w:r>
              <w:rPr>
                <w:color w:val="000000"/>
                <w:sz w:val="24"/>
              </w:rPr>
              <w:t>对于预留份额专门面向中小企业采购的项目（包），组成联合体或者接受分包合同的中小企业与联合体内其他企业、分包企业之间不得存在直接控股、管理关系。</w:t>
            </w:r>
          </w:p>
        </w:tc>
        <w:tc>
          <w:tcPr>
            <w:tcW w:w="1638" w:type="dxa"/>
            <w:noWrap w:val="0"/>
            <w:vAlign w:val="center"/>
          </w:tcPr>
          <w:p w14:paraId="35F7D478">
            <w:pPr>
              <w:tabs>
                <w:tab w:val="left" w:pos="1080"/>
              </w:tabs>
              <w:snapToGrid w:val="0"/>
              <w:rPr>
                <w:color w:val="000000"/>
                <w:sz w:val="24"/>
              </w:rPr>
            </w:pPr>
            <w:r>
              <w:rPr>
                <w:color w:val="000000"/>
                <w:sz w:val="24"/>
              </w:rPr>
              <w:t>格式见《投标文件格式》</w:t>
            </w:r>
          </w:p>
        </w:tc>
      </w:tr>
      <w:tr w14:paraId="3B98A9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noWrap w:val="0"/>
            <w:vAlign w:val="center"/>
          </w:tcPr>
          <w:p w14:paraId="64C42CA4">
            <w:pPr>
              <w:tabs>
                <w:tab w:val="left" w:pos="1080"/>
              </w:tabs>
              <w:snapToGrid w:val="0"/>
              <w:jc w:val="center"/>
              <w:rPr>
                <w:color w:val="000000"/>
                <w:sz w:val="24"/>
              </w:rPr>
            </w:pPr>
            <w:r>
              <w:rPr>
                <w:color w:val="000000"/>
                <w:sz w:val="24"/>
              </w:rPr>
              <w:t>2-3</w:t>
            </w:r>
          </w:p>
        </w:tc>
        <w:tc>
          <w:tcPr>
            <w:tcW w:w="1982" w:type="dxa"/>
            <w:noWrap w:val="0"/>
            <w:vAlign w:val="center"/>
          </w:tcPr>
          <w:p w14:paraId="1CA761F2">
            <w:pPr>
              <w:tabs>
                <w:tab w:val="left" w:pos="1080"/>
              </w:tabs>
              <w:snapToGrid w:val="0"/>
              <w:rPr>
                <w:color w:val="000000"/>
                <w:sz w:val="24"/>
              </w:rPr>
            </w:pPr>
            <w:r>
              <w:rPr>
                <w:color w:val="000000"/>
                <w:sz w:val="24"/>
              </w:rPr>
              <w:t>其它落实政府采购政策的资格要求</w:t>
            </w:r>
          </w:p>
        </w:tc>
        <w:tc>
          <w:tcPr>
            <w:tcW w:w="4822" w:type="dxa"/>
            <w:noWrap w:val="0"/>
            <w:vAlign w:val="center"/>
          </w:tcPr>
          <w:p w14:paraId="76155D04">
            <w:pPr>
              <w:tabs>
                <w:tab w:val="left" w:pos="1080"/>
              </w:tabs>
              <w:snapToGrid w:val="0"/>
              <w:rPr>
                <w:color w:val="000000"/>
                <w:sz w:val="24"/>
              </w:rPr>
            </w:pPr>
            <w:r>
              <w:rPr>
                <w:color w:val="000000"/>
                <w:sz w:val="24"/>
              </w:rPr>
              <w:t>如有，见第一章《投标邀请》</w:t>
            </w:r>
          </w:p>
        </w:tc>
        <w:tc>
          <w:tcPr>
            <w:tcW w:w="1638" w:type="dxa"/>
            <w:noWrap w:val="0"/>
            <w:vAlign w:val="center"/>
          </w:tcPr>
          <w:p w14:paraId="11D395B3">
            <w:pPr>
              <w:tabs>
                <w:tab w:val="left" w:pos="1080"/>
              </w:tabs>
              <w:snapToGrid w:val="0"/>
              <w:rPr>
                <w:color w:val="000000"/>
                <w:sz w:val="24"/>
              </w:rPr>
            </w:pPr>
            <w:r>
              <w:rPr>
                <w:color w:val="000000"/>
                <w:sz w:val="24"/>
              </w:rPr>
              <w:t>提供证明文件的电子件或电子证照</w:t>
            </w:r>
          </w:p>
        </w:tc>
      </w:tr>
      <w:tr w14:paraId="5A8A95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noWrap w:val="0"/>
            <w:vAlign w:val="center"/>
          </w:tcPr>
          <w:p w14:paraId="25F6F018">
            <w:pPr>
              <w:tabs>
                <w:tab w:val="left" w:pos="1080"/>
              </w:tabs>
              <w:snapToGrid w:val="0"/>
              <w:jc w:val="center"/>
              <w:rPr>
                <w:color w:val="000000"/>
                <w:sz w:val="24"/>
              </w:rPr>
            </w:pPr>
            <w:r>
              <w:rPr>
                <w:color w:val="000000"/>
                <w:sz w:val="24"/>
              </w:rPr>
              <w:t>3</w:t>
            </w:r>
          </w:p>
        </w:tc>
        <w:tc>
          <w:tcPr>
            <w:tcW w:w="1982" w:type="dxa"/>
            <w:noWrap w:val="0"/>
            <w:vAlign w:val="center"/>
          </w:tcPr>
          <w:p w14:paraId="2158BF6C">
            <w:pPr>
              <w:tabs>
                <w:tab w:val="left" w:pos="1080"/>
              </w:tabs>
              <w:snapToGrid w:val="0"/>
              <w:rPr>
                <w:color w:val="000000"/>
                <w:sz w:val="24"/>
              </w:rPr>
            </w:pPr>
            <w:r>
              <w:rPr>
                <w:color w:val="000000"/>
                <w:sz w:val="24"/>
              </w:rPr>
              <w:t>本项目的特定资格要求</w:t>
            </w:r>
          </w:p>
        </w:tc>
        <w:tc>
          <w:tcPr>
            <w:tcW w:w="4822" w:type="dxa"/>
            <w:noWrap w:val="0"/>
            <w:vAlign w:val="center"/>
          </w:tcPr>
          <w:p w14:paraId="7C2286D8">
            <w:pPr>
              <w:tabs>
                <w:tab w:val="left" w:pos="1080"/>
              </w:tabs>
              <w:snapToGrid w:val="0"/>
              <w:rPr>
                <w:color w:val="000000"/>
                <w:sz w:val="24"/>
              </w:rPr>
            </w:pPr>
            <w:r>
              <w:rPr>
                <w:color w:val="000000"/>
                <w:sz w:val="24"/>
              </w:rPr>
              <w:t>如有，见第一章《投标邀请》</w:t>
            </w:r>
          </w:p>
        </w:tc>
        <w:tc>
          <w:tcPr>
            <w:tcW w:w="1638" w:type="dxa"/>
            <w:noWrap w:val="0"/>
            <w:vAlign w:val="center"/>
          </w:tcPr>
          <w:p w14:paraId="1362AF28">
            <w:pPr>
              <w:tabs>
                <w:tab w:val="left" w:pos="1080"/>
              </w:tabs>
              <w:snapToGrid w:val="0"/>
              <w:rPr>
                <w:color w:val="000000"/>
                <w:sz w:val="24"/>
              </w:rPr>
            </w:pPr>
          </w:p>
        </w:tc>
      </w:tr>
      <w:tr w14:paraId="648EBE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noWrap w:val="0"/>
            <w:vAlign w:val="center"/>
          </w:tcPr>
          <w:p w14:paraId="51A2736A">
            <w:pPr>
              <w:tabs>
                <w:tab w:val="left" w:pos="1080"/>
              </w:tabs>
              <w:snapToGrid w:val="0"/>
              <w:jc w:val="center"/>
              <w:rPr>
                <w:color w:val="000000"/>
                <w:sz w:val="24"/>
              </w:rPr>
            </w:pPr>
            <w:r>
              <w:rPr>
                <w:color w:val="000000"/>
                <w:sz w:val="24"/>
              </w:rPr>
              <w:t>3-1</w:t>
            </w:r>
          </w:p>
        </w:tc>
        <w:tc>
          <w:tcPr>
            <w:tcW w:w="1982" w:type="dxa"/>
            <w:noWrap w:val="0"/>
            <w:vAlign w:val="center"/>
          </w:tcPr>
          <w:p w14:paraId="4E3A5DCD">
            <w:pPr>
              <w:tabs>
                <w:tab w:val="left" w:pos="1080"/>
              </w:tabs>
              <w:snapToGrid w:val="0"/>
              <w:rPr>
                <w:color w:val="000000"/>
                <w:sz w:val="24"/>
              </w:rPr>
            </w:pPr>
            <w:r>
              <w:rPr>
                <w:color w:val="000000"/>
                <w:sz w:val="24"/>
              </w:rPr>
              <w:t>本项目对于联合体的要求</w:t>
            </w:r>
          </w:p>
        </w:tc>
        <w:tc>
          <w:tcPr>
            <w:tcW w:w="4822" w:type="dxa"/>
            <w:noWrap w:val="0"/>
            <w:vAlign w:val="center"/>
          </w:tcPr>
          <w:p w14:paraId="79A32543">
            <w:pPr>
              <w:tabs>
                <w:tab w:val="left" w:pos="1080"/>
              </w:tabs>
              <w:snapToGrid w:val="0"/>
              <w:rPr>
                <w:color w:val="000000"/>
                <w:sz w:val="24"/>
              </w:rPr>
            </w:pPr>
            <w:r>
              <w:rPr>
                <w:color w:val="000000"/>
                <w:sz w:val="24"/>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7DAA7040">
            <w:pPr>
              <w:tabs>
                <w:tab w:val="left" w:pos="1080"/>
              </w:tabs>
              <w:snapToGrid w:val="0"/>
              <w:rPr>
                <w:color w:val="000000"/>
                <w:sz w:val="24"/>
              </w:rPr>
            </w:pPr>
            <w:r>
              <w:rPr>
                <w:color w:val="000000"/>
                <w:sz w:val="24"/>
              </w:rPr>
              <w:t>2、联合体各成员单位均须提供本表中序号1-1、1-2的证明文件。联合体各成员单位均应满足本表3-2项规定。</w:t>
            </w:r>
          </w:p>
          <w:p w14:paraId="02185E40">
            <w:pPr>
              <w:tabs>
                <w:tab w:val="left" w:pos="1080"/>
              </w:tabs>
              <w:snapToGrid w:val="0"/>
              <w:rPr>
                <w:color w:val="000000"/>
                <w:sz w:val="24"/>
              </w:rPr>
            </w:pPr>
            <w:r>
              <w:rPr>
                <w:color w:val="000000"/>
                <w:sz w:val="24"/>
              </w:rPr>
              <w:t>3、本表序号3-3项规定的其他特定资格要求中的每一小项要求，联合体各方中至少应当有一方符合本表中其他资格要求并提供证明文件。</w:t>
            </w:r>
          </w:p>
          <w:p w14:paraId="34411FF7">
            <w:pPr>
              <w:tabs>
                <w:tab w:val="left" w:pos="1080"/>
              </w:tabs>
              <w:snapToGrid w:val="0"/>
              <w:rPr>
                <w:color w:val="000000"/>
                <w:sz w:val="24"/>
              </w:rPr>
            </w:pPr>
            <w:r>
              <w:rPr>
                <w:color w:val="000000"/>
                <w:sz w:val="24"/>
              </w:rPr>
              <w:t>4、联合体中有同类资质的供应商按照联合体分工承担相同工作的，应当按照资质等级较低的供应商确定资质等级。</w:t>
            </w:r>
          </w:p>
          <w:p w14:paraId="6198BE30">
            <w:pPr>
              <w:tabs>
                <w:tab w:val="left" w:pos="1080"/>
              </w:tabs>
              <w:snapToGrid w:val="0"/>
              <w:rPr>
                <w:color w:val="000000"/>
                <w:sz w:val="24"/>
              </w:rPr>
            </w:pPr>
            <w:r>
              <w:rPr>
                <w:color w:val="000000"/>
                <w:sz w:val="24"/>
              </w:rPr>
              <w:t>5、以联合体形式参加政府采购活动的，联合体各方不得再单独参加或者与其他供应商另外组成联合体参加同一合同项下的政府采购活动。</w:t>
            </w:r>
          </w:p>
          <w:p w14:paraId="3AC250D3">
            <w:pPr>
              <w:tabs>
                <w:tab w:val="left" w:pos="1080"/>
              </w:tabs>
              <w:snapToGrid w:val="0"/>
              <w:rPr>
                <w:color w:val="000000"/>
                <w:sz w:val="24"/>
              </w:rPr>
            </w:pPr>
            <w:r>
              <w:rPr>
                <w:color w:val="000000"/>
                <w:sz w:val="24"/>
              </w:rPr>
              <w:t>6、若联合体中任一成员单位中途退出，则该联合体的</w:t>
            </w:r>
            <w:r>
              <w:rPr>
                <w:b/>
                <w:color w:val="000000"/>
                <w:sz w:val="24"/>
              </w:rPr>
              <w:t>投标无效</w:t>
            </w:r>
            <w:r>
              <w:rPr>
                <w:color w:val="000000"/>
                <w:sz w:val="24"/>
              </w:rPr>
              <w:t>。</w:t>
            </w:r>
          </w:p>
          <w:p w14:paraId="67FE9CD4">
            <w:pPr>
              <w:tabs>
                <w:tab w:val="left" w:pos="1080"/>
              </w:tabs>
              <w:snapToGrid w:val="0"/>
              <w:rPr>
                <w:color w:val="000000"/>
                <w:sz w:val="24"/>
              </w:rPr>
            </w:pPr>
            <w:r>
              <w:rPr>
                <w:color w:val="000000"/>
                <w:sz w:val="24"/>
              </w:rPr>
              <w:t>7、本项目不接受联合体投标时，投标人不得为联合体。</w:t>
            </w:r>
          </w:p>
        </w:tc>
        <w:tc>
          <w:tcPr>
            <w:tcW w:w="1638" w:type="dxa"/>
            <w:noWrap w:val="0"/>
            <w:vAlign w:val="center"/>
          </w:tcPr>
          <w:p w14:paraId="360A5373">
            <w:pPr>
              <w:tabs>
                <w:tab w:val="left" w:pos="1080"/>
              </w:tabs>
              <w:snapToGrid w:val="0"/>
              <w:rPr>
                <w:color w:val="000000"/>
                <w:sz w:val="24"/>
              </w:rPr>
            </w:pPr>
            <w:r>
              <w:rPr>
                <w:color w:val="000000"/>
                <w:sz w:val="24"/>
              </w:rPr>
              <w:t>提供《联合协议》原件的电子件</w:t>
            </w:r>
          </w:p>
          <w:p w14:paraId="4344E9C6">
            <w:pPr>
              <w:tabs>
                <w:tab w:val="left" w:pos="1080"/>
              </w:tabs>
              <w:snapToGrid w:val="0"/>
              <w:rPr>
                <w:color w:val="000000"/>
                <w:sz w:val="24"/>
              </w:rPr>
            </w:pPr>
            <w:r>
              <w:rPr>
                <w:color w:val="000000"/>
                <w:sz w:val="24"/>
              </w:rPr>
              <w:t>格式见《投标文件格式》</w:t>
            </w:r>
          </w:p>
        </w:tc>
      </w:tr>
      <w:tr w14:paraId="1965DC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noWrap w:val="0"/>
            <w:vAlign w:val="center"/>
          </w:tcPr>
          <w:p w14:paraId="74E9D753">
            <w:pPr>
              <w:tabs>
                <w:tab w:val="left" w:pos="1080"/>
              </w:tabs>
              <w:snapToGrid w:val="0"/>
              <w:jc w:val="center"/>
              <w:rPr>
                <w:color w:val="000000"/>
                <w:sz w:val="24"/>
              </w:rPr>
            </w:pPr>
            <w:r>
              <w:rPr>
                <w:color w:val="000000"/>
                <w:sz w:val="24"/>
              </w:rPr>
              <w:t>3-2</w:t>
            </w:r>
          </w:p>
        </w:tc>
        <w:tc>
          <w:tcPr>
            <w:tcW w:w="1982" w:type="dxa"/>
            <w:noWrap w:val="0"/>
            <w:vAlign w:val="center"/>
          </w:tcPr>
          <w:p w14:paraId="248D371E">
            <w:pPr>
              <w:tabs>
                <w:tab w:val="left" w:pos="1080"/>
              </w:tabs>
              <w:snapToGrid w:val="0"/>
              <w:rPr>
                <w:color w:val="000000"/>
                <w:sz w:val="24"/>
              </w:rPr>
            </w:pPr>
            <w:r>
              <w:rPr>
                <w:color w:val="000000"/>
                <w:sz w:val="24"/>
              </w:rPr>
              <w:t>政府购买服务承接主体的要求</w:t>
            </w:r>
          </w:p>
        </w:tc>
        <w:tc>
          <w:tcPr>
            <w:tcW w:w="4822" w:type="dxa"/>
            <w:noWrap w:val="0"/>
            <w:vAlign w:val="center"/>
          </w:tcPr>
          <w:p w14:paraId="118D51F0">
            <w:pPr>
              <w:tabs>
                <w:tab w:val="left" w:pos="1080"/>
              </w:tabs>
              <w:snapToGrid w:val="0"/>
              <w:rPr>
                <w:color w:val="000000"/>
                <w:sz w:val="24"/>
              </w:rPr>
            </w:pPr>
            <w:r>
              <w:rPr>
                <w:color w:val="000000"/>
                <w:sz w:val="24"/>
              </w:rPr>
              <w:t>如本项目属于政府购买服务，投标人不属于公益一类事业单位、使用事业编制且由财政拨款保障的群团组织。</w:t>
            </w:r>
          </w:p>
        </w:tc>
        <w:tc>
          <w:tcPr>
            <w:tcW w:w="1638" w:type="dxa"/>
            <w:noWrap w:val="0"/>
            <w:vAlign w:val="center"/>
          </w:tcPr>
          <w:p w14:paraId="6DFC7A0D">
            <w:pPr>
              <w:tabs>
                <w:tab w:val="left" w:pos="1080"/>
              </w:tabs>
              <w:snapToGrid w:val="0"/>
              <w:jc w:val="center"/>
              <w:rPr>
                <w:color w:val="000000"/>
                <w:sz w:val="24"/>
              </w:rPr>
            </w:pPr>
            <w:r>
              <w:rPr>
                <w:color w:val="000000"/>
                <w:sz w:val="24"/>
              </w:rPr>
              <w:t>格式见《投标文件格式》</w:t>
            </w:r>
            <w:r>
              <w:rPr>
                <w:rFonts w:hint="eastAsia"/>
                <w:color w:val="000000"/>
                <w:sz w:val="24"/>
              </w:rPr>
              <w:t>“1-2 投标人资格声明书”</w:t>
            </w:r>
          </w:p>
        </w:tc>
      </w:tr>
      <w:tr w14:paraId="3E0249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846" w:type="dxa"/>
            <w:noWrap w:val="0"/>
            <w:vAlign w:val="center"/>
          </w:tcPr>
          <w:p w14:paraId="03E07E98">
            <w:pPr>
              <w:tabs>
                <w:tab w:val="left" w:pos="1080"/>
              </w:tabs>
              <w:snapToGrid w:val="0"/>
              <w:jc w:val="center"/>
              <w:rPr>
                <w:color w:val="000000"/>
                <w:sz w:val="24"/>
              </w:rPr>
            </w:pPr>
            <w:r>
              <w:rPr>
                <w:color w:val="000000"/>
                <w:sz w:val="24"/>
              </w:rPr>
              <w:t>3-3</w:t>
            </w:r>
          </w:p>
        </w:tc>
        <w:tc>
          <w:tcPr>
            <w:tcW w:w="1982" w:type="dxa"/>
            <w:noWrap w:val="0"/>
            <w:vAlign w:val="center"/>
          </w:tcPr>
          <w:p w14:paraId="66F19A6E">
            <w:pPr>
              <w:tabs>
                <w:tab w:val="left" w:pos="1080"/>
              </w:tabs>
              <w:snapToGrid w:val="0"/>
              <w:rPr>
                <w:color w:val="000000"/>
                <w:sz w:val="24"/>
              </w:rPr>
            </w:pPr>
            <w:r>
              <w:rPr>
                <w:color w:val="000000"/>
                <w:sz w:val="24"/>
              </w:rPr>
              <w:t>其他特定资格要求</w:t>
            </w:r>
          </w:p>
        </w:tc>
        <w:tc>
          <w:tcPr>
            <w:tcW w:w="4822" w:type="dxa"/>
            <w:noWrap w:val="0"/>
            <w:vAlign w:val="center"/>
          </w:tcPr>
          <w:p w14:paraId="0C126BA2">
            <w:pPr>
              <w:tabs>
                <w:tab w:val="left" w:pos="1080"/>
              </w:tabs>
              <w:snapToGrid w:val="0"/>
              <w:rPr>
                <w:color w:val="000000"/>
                <w:sz w:val="24"/>
              </w:rPr>
            </w:pPr>
            <w:r>
              <w:rPr>
                <w:color w:val="000000"/>
                <w:sz w:val="24"/>
              </w:rPr>
              <w:t>如有，见第一章《投标邀请》</w:t>
            </w:r>
          </w:p>
          <w:p w14:paraId="26881868">
            <w:pPr>
              <w:tabs>
                <w:tab w:val="left" w:pos="1080"/>
              </w:tabs>
              <w:snapToGrid w:val="0"/>
              <w:rPr>
                <w:color w:val="000000"/>
                <w:sz w:val="24"/>
              </w:rPr>
            </w:pPr>
            <w:r>
              <w:rPr>
                <w:color w:val="000000"/>
                <w:sz w:val="24"/>
              </w:rPr>
              <w:t>注：如联合体中有同类资质的供应商按照联合体分工承担相同工作的，均应当提供资质证书电子件或电子证照。</w:t>
            </w:r>
          </w:p>
        </w:tc>
        <w:tc>
          <w:tcPr>
            <w:tcW w:w="1638" w:type="dxa"/>
            <w:noWrap w:val="0"/>
            <w:vAlign w:val="center"/>
          </w:tcPr>
          <w:p w14:paraId="1E160AF3">
            <w:pPr>
              <w:tabs>
                <w:tab w:val="left" w:pos="1080"/>
              </w:tabs>
              <w:snapToGrid w:val="0"/>
              <w:rPr>
                <w:color w:val="000000"/>
                <w:sz w:val="24"/>
              </w:rPr>
            </w:pPr>
            <w:r>
              <w:rPr>
                <w:color w:val="000000"/>
                <w:sz w:val="24"/>
              </w:rPr>
              <w:t>提供证明文件的电子件或电子证照</w:t>
            </w:r>
          </w:p>
        </w:tc>
      </w:tr>
      <w:tr w14:paraId="079137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noWrap w:val="0"/>
            <w:vAlign w:val="center"/>
          </w:tcPr>
          <w:p w14:paraId="0EA63C81">
            <w:pPr>
              <w:tabs>
                <w:tab w:val="left" w:pos="1080"/>
              </w:tabs>
              <w:snapToGrid w:val="0"/>
              <w:jc w:val="center"/>
              <w:rPr>
                <w:color w:val="000000"/>
                <w:sz w:val="24"/>
              </w:rPr>
            </w:pPr>
            <w:r>
              <w:rPr>
                <w:color w:val="000000"/>
                <w:sz w:val="24"/>
              </w:rPr>
              <w:t>4</w:t>
            </w:r>
          </w:p>
        </w:tc>
        <w:tc>
          <w:tcPr>
            <w:tcW w:w="1982" w:type="dxa"/>
            <w:noWrap w:val="0"/>
            <w:vAlign w:val="center"/>
          </w:tcPr>
          <w:p w14:paraId="7F196C73">
            <w:pPr>
              <w:tabs>
                <w:tab w:val="left" w:pos="1080"/>
              </w:tabs>
              <w:snapToGrid w:val="0"/>
              <w:rPr>
                <w:color w:val="000000"/>
                <w:sz w:val="24"/>
              </w:rPr>
            </w:pPr>
            <w:r>
              <w:rPr>
                <w:color w:val="000000"/>
                <w:sz w:val="24"/>
              </w:rPr>
              <w:t>投标保证金</w:t>
            </w:r>
          </w:p>
        </w:tc>
        <w:tc>
          <w:tcPr>
            <w:tcW w:w="4822" w:type="dxa"/>
            <w:noWrap w:val="0"/>
            <w:vAlign w:val="center"/>
          </w:tcPr>
          <w:p w14:paraId="2288C378">
            <w:pPr>
              <w:tabs>
                <w:tab w:val="left" w:pos="1080"/>
              </w:tabs>
              <w:snapToGrid w:val="0"/>
              <w:rPr>
                <w:color w:val="000000"/>
                <w:sz w:val="24"/>
              </w:rPr>
            </w:pPr>
            <w:r>
              <w:rPr>
                <w:color w:val="000000"/>
                <w:kern w:val="0"/>
                <w:sz w:val="24"/>
              </w:rPr>
              <w:t>按照招标文件的规定提交投标保证金。</w:t>
            </w:r>
          </w:p>
        </w:tc>
        <w:tc>
          <w:tcPr>
            <w:tcW w:w="1638" w:type="dxa"/>
            <w:noWrap w:val="0"/>
            <w:vAlign w:val="center"/>
          </w:tcPr>
          <w:p w14:paraId="2E4A9E5E">
            <w:pPr>
              <w:tabs>
                <w:tab w:val="left" w:pos="1080"/>
              </w:tabs>
              <w:snapToGrid w:val="0"/>
              <w:rPr>
                <w:color w:val="000000"/>
                <w:sz w:val="24"/>
              </w:rPr>
            </w:pPr>
          </w:p>
        </w:tc>
      </w:tr>
      <w:tr w14:paraId="574379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noWrap w:val="0"/>
            <w:vAlign w:val="center"/>
          </w:tcPr>
          <w:p w14:paraId="24120C64">
            <w:pPr>
              <w:tabs>
                <w:tab w:val="left" w:pos="1080"/>
              </w:tabs>
              <w:snapToGrid w:val="0"/>
              <w:jc w:val="center"/>
              <w:rPr>
                <w:color w:val="000000"/>
                <w:sz w:val="24"/>
              </w:rPr>
            </w:pPr>
            <w:r>
              <w:rPr>
                <w:color w:val="000000"/>
                <w:sz w:val="24"/>
              </w:rPr>
              <w:t>5</w:t>
            </w:r>
          </w:p>
        </w:tc>
        <w:tc>
          <w:tcPr>
            <w:tcW w:w="1982" w:type="dxa"/>
            <w:noWrap w:val="0"/>
            <w:vAlign w:val="center"/>
          </w:tcPr>
          <w:p w14:paraId="29B32EE1">
            <w:pPr>
              <w:tabs>
                <w:tab w:val="left" w:pos="1080"/>
              </w:tabs>
              <w:snapToGrid w:val="0"/>
              <w:rPr>
                <w:color w:val="000000"/>
                <w:sz w:val="24"/>
              </w:rPr>
            </w:pPr>
            <w:r>
              <w:rPr>
                <w:color w:val="000000"/>
                <w:sz w:val="24"/>
              </w:rPr>
              <w:t>获取招标文件</w:t>
            </w:r>
          </w:p>
        </w:tc>
        <w:tc>
          <w:tcPr>
            <w:tcW w:w="4822" w:type="dxa"/>
            <w:noWrap w:val="0"/>
            <w:vAlign w:val="center"/>
          </w:tcPr>
          <w:p w14:paraId="57D52FAF">
            <w:pPr>
              <w:tabs>
                <w:tab w:val="left" w:pos="1080"/>
              </w:tabs>
              <w:snapToGrid w:val="0"/>
              <w:rPr>
                <w:color w:val="000000"/>
                <w:kern w:val="0"/>
                <w:sz w:val="24"/>
              </w:rPr>
            </w:pPr>
            <w:r>
              <w:rPr>
                <w:color w:val="000000"/>
                <w:kern w:val="0"/>
                <w:sz w:val="24"/>
              </w:rPr>
              <w:t>在规定期限内通过北京市政府采购电子交易平台获取所参与包的招标文件。</w:t>
            </w:r>
          </w:p>
          <w:p w14:paraId="4E1B0643">
            <w:pPr>
              <w:tabs>
                <w:tab w:val="left" w:pos="1080"/>
              </w:tabs>
              <w:snapToGrid w:val="0"/>
              <w:rPr>
                <w:color w:val="000000"/>
                <w:kern w:val="0"/>
                <w:sz w:val="24"/>
              </w:rPr>
            </w:pPr>
            <w:r>
              <w:rPr>
                <w:color w:val="000000"/>
                <w:kern w:val="0"/>
                <w:sz w:val="24"/>
              </w:rPr>
              <w:t>注：如本项目接受联合体，且供应商为联合体时，联合体中任一成员获取文件即视为满足要求。</w:t>
            </w:r>
          </w:p>
        </w:tc>
        <w:tc>
          <w:tcPr>
            <w:tcW w:w="1638" w:type="dxa"/>
            <w:noWrap w:val="0"/>
            <w:vAlign w:val="center"/>
          </w:tcPr>
          <w:p w14:paraId="3C649678">
            <w:pPr>
              <w:tabs>
                <w:tab w:val="left" w:pos="1080"/>
              </w:tabs>
              <w:snapToGrid w:val="0"/>
              <w:rPr>
                <w:color w:val="000000"/>
                <w:sz w:val="24"/>
              </w:rPr>
            </w:pPr>
          </w:p>
        </w:tc>
        <w:bookmarkStart w:id="738" w:name="_Hlt487900425"/>
        <w:bookmarkStart w:id="739" w:name="_Hlt522424701"/>
      </w:tr>
      <w:bookmarkEnd w:id="732"/>
      <w:bookmarkEnd w:id="738"/>
      <w:bookmarkEnd w:id="739"/>
    </w:tbl>
    <w:p w14:paraId="1984C3E1">
      <w:pPr>
        <w:widowControl/>
        <w:jc w:val="left"/>
        <w:rPr>
          <w:sz w:val="24"/>
        </w:rPr>
      </w:pPr>
      <w:r>
        <w:rPr>
          <w:sz w:val="24"/>
        </w:rPr>
        <w:br w:type="page"/>
      </w:r>
    </w:p>
    <w:p w14:paraId="06D23148">
      <w:pPr>
        <w:spacing w:line="360" w:lineRule="auto"/>
        <w:jc w:val="center"/>
        <w:outlineLvl w:val="0"/>
        <w:rPr>
          <w:b/>
          <w:sz w:val="36"/>
          <w:szCs w:val="36"/>
        </w:rPr>
      </w:pPr>
      <w:bookmarkStart w:id="740" w:name="_Toc29185"/>
      <w:r>
        <w:rPr>
          <w:b/>
          <w:sz w:val="36"/>
          <w:szCs w:val="36"/>
        </w:rPr>
        <w:t xml:space="preserve">第四章   </w:t>
      </w:r>
      <w:bookmarkEnd w:id="733"/>
      <w:bookmarkEnd w:id="734"/>
      <w:bookmarkEnd w:id="735"/>
      <w:bookmarkEnd w:id="736"/>
      <w:bookmarkEnd w:id="737"/>
      <w:bookmarkStart w:id="741" w:name="_Hlt164229061"/>
      <w:bookmarkEnd w:id="741"/>
      <w:r>
        <w:rPr>
          <w:b/>
          <w:sz w:val="36"/>
          <w:szCs w:val="36"/>
        </w:rPr>
        <w:t>评标程序、评标方法和评标标准</w:t>
      </w:r>
      <w:bookmarkEnd w:id="740"/>
    </w:p>
    <w:p w14:paraId="79DF7FD4">
      <w:pPr>
        <w:tabs>
          <w:tab w:val="left" w:pos="360"/>
          <w:tab w:val="left" w:pos="900"/>
        </w:tabs>
        <w:snapToGrid w:val="0"/>
        <w:spacing w:line="360" w:lineRule="auto"/>
        <w:jc w:val="center"/>
        <w:outlineLvl w:val="1"/>
        <w:rPr>
          <w:b/>
        </w:rPr>
      </w:pPr>
      <w:r>
        <w:rPr>
          <w:b/>
          <w:sz w:val="24"/>
        </w:rPr>
        <w:t>一、评标方法</w:t>
      </w:r>
    </w:p>
    <w:p w14:paraId="2FE7EFE3">
      <w:pPr>
        <w:numPr>
          <w:ilvl w:val="0"/>
          <w:numId w:val="12"/>
        </w:numPr>
        <w:tabs>
          <w:tab w:val="left" w:pos="360"/>
        </w:tabs>
        <w:snapToGrid w:val="0"/>
        <w:spacing w:line="360" w:lineRule="auto"/>
        <w:outlineLvl w:val="1"/>
        <w:rPr>
          <w:sz w:val="24"/>
        </w:rPr>
      </w:pPr>
      <w:bookmarkStart w:id="742" w:name="_Toc305158883"/>
      <w:bookmarkStart w:id="743" w:name="_Toc151193929"/>
      <w:bookmarkStart w:id="744" w:name="_Toc195842906"/>
      <w:bookmarkStart w:id="745" w:name="_Toc164229236"/>
      <w:bookmarkStart w:id="746" w:name="_Toc164229382"/>
      <w:bookmarkStart w:id="747" w:name="_Toc264969231"/>
      <w:bookmarkStart w:id="748" w:name="_Toc149720834"/>
      <w:bookmarkStart w:id="749" w:name="_Toc226337237"/>
      <w:bookmarkStart w:id="750" w:name="_Toc226965814"/>
      <w:bookmarkStart w:id="751" w:name="_Toc127151742"/>
      <w:bookmarkStart w:id="752" w:name="_Toc151193711"/>
      <w:bookmarkStart w:id="753" w:name="_Toc226965731"/>
      <w:bookmarkStart w:id="754" w:name="_Toc127161455"/>
      <w:bookmarkStart w:id="755" w:name="_Toc127151541"/>
      <w:bookmarkStart w:id="756" w:name="_Toc226309785"/>
      <w:bookmarkStart w:id="757" w:name="_Toc150509292"/>
      <w:bookmarkStart w:id="758" w:name="_Toc150774746"/>
      <w:bookmarkStart w:id="759" w:name="_Toc150774641"/>
      <w:bookmarkStart w:id="760" w:name="_Toc151193855"/>
      <w:bookmarkStart w:id="761" w:name="_Toc164608810"/>
      <w:bookmarkStart w:id="762" w:name="_Toc151193783"/>
      <w:bookmarkStart w:id="763" w:name="_Toc305158809"/>
      <w:bookmarkStart w:id="764" w:name="_Toc142311043"/>
      <w:bookmarkStart w:id="765" w:name="_Toc164351635"/>
      <w:bookmarkStart w:id="766" w:name="_Toc150480779"/>
      <w:bookmarkStart w:id="767" w:name="_Toc265228379"/>
      <w:bookmarkStart w:id="768" w:name="_Toc151193639"/>
      <w:bookmarkStart w:id="769" w:name="_Toc151190168"/>
      <w:bookmarkStart w:id="770" w:name="_Toc164608655"/>
      <w:bookmarkStart w:id="771" w:name="_Toc353825551"/>
      <w:bookmarkStart w:id="772" w:name="_Toc353873941"/>
      <w:bookmarkStart w:id="773" w:name="_Toc150774760"/>
      <w:bookmarkStart w:id="774" w:name="_Toc142311057"/>
      <w:bookmarkStart w:id="775" w:name="_Toc226965828"/>
      <w:bookmarkStart w:id="776" w:name="_Toc127151555"/>
      <w:bookmarkStart w:id="777" w:name="_Toc353873665"/>
      <w:bookmarkStart w:id="778" w:name="_Toc353825545"/>
      <w:bookmarkStart w:id="779" w:name="_Toc305158897"/>
      <w:bookmarkStart w:id="780" w:name="_Toc353873935"/>
      <w:bookmarkStart w:id="781" w:name="_Toc195842920"/>
      <w:bookmarkStart w:id="782" w:name="_Toc264969245"/>
      <w:bookmarkStart w:id="783" w:name="_Toc265228393"/>
      <w:bookmarkStart w:id="784" w:name="_Toc226337251"/>
      <w:bookmarkStart w:id="785" w:name="_Toc150480793"/>
      <w:bookmarkStart w:id="786" w:name="_Toc305158823"/>
      <w:r>
        <w:rPr>
          <w:sz w:val="24"/>
        </w:rPr>
        <w:t>投标文件的符合性审查</w:t>
      </w:r>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p>
    <w:p w14:paraId="121D4D7C">
      <w:pPr>
        <w:numPr>
          <w:ilvl w:val="1"/>
          <w:numId w:val="12"/>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87" w:name="_Toc520356167"/>
    </w:p>
    <w:p w14:paraId="59F7F8EF">
      <w:pPr>
        <w:numPr>
          <w:ilvl w:val="1"/>
          <w:numId w:val="12"/>
        </w:numPr>
        <w:tabs>
          <w:tab w:val="left" w:pos="1080"/>
        </w:tabs>
        <w:snapToGrid w:val="0"/>
        <w:spacing w:line="360" w:lineRule="auto"/>
        <w:ind w:left="1077" w:hanging="720"/>
        <w:rPr>
          <w:sz w:val="24"/>
        </w:rPr>
      </w:pPr>
      <w:r>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7"/>
      <w:r>
        <w:rPr>
          <w:sz w:val="24"/>
        </w:rPr>
        <w:t>要求的，</w:t>
      </w:r>
      <w:r>
        <w:rPr>
          <w:b/>
          <w:sz w:val="24"/>
        </w:rPr>
        <w:t>投标无效</w:t>
      </w:r>
      <w:r>
        <w:rPr>
          <w:sz w:val="24"/>
        </w:rPr>
        <w:t>。</w:t>
      </w:r>
    </w:p>
    <w:p w14:paraId="743707A2">
      <w:pPr>
        <w:tabs>
          <w:tab w:val="left" w:pos="900"/>
          <w:tab w:val="left" w:pos="1080"/>
          <w:tab w:val="left" w:pos="1589"/>
        </w:tabs>
        <w:snapToGrid w:val="0"/>
        <w:spacing w:line="360" w:lineRule="auto"/>
        <w:ind w:leftChars="-170" w:hanging="357" w:hangingChars="148"/>
        <w:jc w:val="center"/>
        <w:rPr>
          <w:b/>
          <w:color w:val="000000"/>
          <w:sz w:val="24"/>
        </w:rPr>
      </w:pPr>
      <w:r>
        <w:rPr>
          <w:b/>
          <w:sz w:val="24"/>
        </w:rPr>
        <w:t>符合性审查要求</w:t>
      </w:r>
    </w:p>
    <w:tbl>
      <w:tblPr>
        <w:tblStyle w:val="4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6"/>
        <w:gridCol w:w="1924"/>
        <w:gridCol w:w="7135"/>
      </w:tblGrid>
      <w:tr w14:paraId="1B38E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4" w:type="pct"/>
            <w:noWrap w:val="0"/>
            <w:vAlign w:val="center"/>
          </w:tcPr>
          <w:p w14:paraId="77ECD0BD">
            <w:pPr>
              <w:widowControl/>
              <w:jc w:val="center"/>
              <w:rPr>
                <w:b/>
                <w:color w:val="000000"/>
                <w:kern w:val="0"/>
                <w:sz w:val="24"/>
              </w:rPr>
            </w:pPr>
            <w:r>
              <w:rPr>
                <w:b/>
                <w:color w:val="000000"/>
                <w:kern w:val="0"/>
                <w:sz w:val="24"/>
              </w:rPr>
              <w:t>序号</w:t>
            </w:r>
          </w:p>
        </w:tc>
        <w:tc>
          <w:tcPr>
            <w:tcW w:w="976" w:type="pct"/>
            <w:noWrap w:val="0"/>
            <w:vAlign w:val="center"/>
          </w:tcPr>
          <w:p w14:paraId="702AC200">
            <w:pPr>
              <w:widowControl/>
              <w:jc w:val="center"/>
              <w:rPr>
                <w:b/>
                <w:color w:val="000000"/>
                <w:kern w:val="0"/>
                <w:sz w:val="24"/>
              </w:rPr>
            </w:pPr>
            <w:r>
              <w:rPr>
                <w:b/>
                <w:color w:val="000000"/>
                <w:kern w:val="0"/>
                <w:sz w:val="24"/>
              </w:rPr>
              <w:t>审查因素</w:t>
            </w:r>
          </w:p>
        </w:tc>
        <w:tc>
          <w:tcPr>
            <w:tcW w:w="3620" w:type="pct"/>
            <w:noWrap w:val="0"/>
            <w:vAlign w:val="center"/>
          </w:tcPr>
          <w:p w14:paraId="09E930BC">
            <w:pPr>
              <w:widowControl/>
              <w:jc w:val="center"/>
              <w:rPr>
                <w:b/>
                <w:color w:val="000000"/>
                <w:kern w:val="0"/>
                <w:sz w:val="24"/>
              </w:rPr>
            </w:pPr>
            <w:r>
              <w:rPr>
                <w:b/>
                <w:color w:val="000000"/>
                <w:kern w:val="0"/>
                <w:sz w:val="24"/>
              </w:rPr>
              <w:t>审查内容</w:t>
            </w:r>
          </w:p>
        </w:tc>
      </w:tr>
      <w:tr w14:paraId="365B2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1D67E61A">
            <w:pPr>
              <w:widowControl/>
              <w:jc w:val="center"/>
              <w:rPr>
                <w:color w:val="000000"/>
                <w:kern w:val="0"/>
                <w:sz w:val="24"/>
              </w:rPr>
            </w:pPr>
            <w:r>
              <w:rPr>
                <w:color w:val="000000"/>
                <w:kern w:val="0"/>
                <w:sz w:val="24"/>
              </w:rPr>
              <w:t>1</w:t>
            </w:r>
          </w:p>
        </w:tc>
        <w:tc>
          <w:tcPr>
            <w:tcW w:w="976" w:type="pct"/>
            <w:noWrap w:val="0"/>
            <w:vAlign w:val="center"/>
          </w:tcPr>
          <w:p w14:paraId="207806B4">
            <w:pPr>
              <w:widowControl/>
              <w:jc w:val="left"/>
              <w:rPr>
                <w:color w:val="000000"/>
                <w:kern w:val="0"/>
                <w:sz w:val="24"/>
              </w:rPr>
            </w:pPr>
            <w:r>
              <w:rPr>
                <w:color w:val="000000"/>
                <w:kern w:val="0"/>
                <w:sz w:val="24"/>
              </w:rPr>
              <w:t>授权委托书</w:t>
            </w:r>
          </w:p>
        </w:tc>
        <w:tc>
          <w:tcPr>
            <w:tcW w:w="3620" w:type="pct"/>
            <w:noWrap w:val="0"/>
            <w:vAlign w:val="center"/>
          </w:tcPr>
          <w:p w14:paraId="217165CD">
            <w:pPr>
              <w:widowControl/>
              <w:jc w:val="left"/>
              <w:rPr>
                <w:color w:val="000000"/>
                <w:kern w:val="0"/>
                <w:sz w:val="24"/>
              </w:rPr>
            </w:pPr>
            <w:r>
              <w:rPr>
                <w:color w:val="000000"/>
                <w:kern w:val="0"/>
                <w:sz w:val="24"/>
              </w:rPr>
              <w:t>按招标文件要求提供授权委托书；</w:t>
            </w:r>
          </w:p>
        </w:tc>
      </w:tr>
      <w:tr w14:paraId="63A16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5E518DB2">
            <w:pPr>
              <w:widowControl/>
              <w:jc w:val="center"/>
              <w:rPr>
                <w:color w:val="000000"/>
                <w:kern w:val="0"/>
                <w:sz w:val="24"/>
              </w:rPr>
            </w:pPr>
            <w:r>
              <w:rPr>
                <w:color w:val="000000"/>
                <w:kern w:val="0"/>
                <w:sz w:val="24"/>
              </w:rPr>
              <w:t>2</w:t>
            </w:r>
          </w:p>
        </w:tc>
        <w:tc>
          <w:tcPr>
            <w:tcW w:w="976" w:type="pct"/>
            <w:noWrap w:val="0"/>
            <w:vAlign w:val="center"/>
          </w:tcPr>
          <w:p w14:paraId="1F122C80">
            <w:pPr>
              <w:widowControl/>
              <w:jc w:val="left"/>
              <w:rPr>
                <w:color w:val="000000"/>
                <w:kern w:val="0"/>
                <w:sz w:val="24"/>
              </w:rPr>
            </w:pPr>
            <w:r>
              <w:rPr>
                <w:color w:val="000000"/>
                <w:kern w:val="0"/>
                <w:sz w:val="24"/>
              </w:rPr>
              <w:t>投标完整性</w:t>
            </w:r>
          </w:p>
        </w:tc>
        <w:tc>
          <w:tcPr>
            <w:tcW w:w="3620" w:type="pct"/>
            <w:noWrap w:val="0"/>
            <w:vAlign w:val="center"/>
          </w:tcPr>
          <w:p w14:paraId="042A8F3C">
            <w:pPr>
              <w:widowControl/>
              <w:jc w:val="left"/>
              <w:rPr>
                <w:color w:val="000000"/>
                <w:kern w:val="0"/>
                <w:sz w:val="24"/>
              </w:rPr>
            </w:pPr>
            <w:r>
              <w:rPr>
                <w:sz w:val="24"/>
              </w:rPr>
              <w:t>未将一个采购包中的内容拆分投标；</w:t>
            </w:r>
          </w:p>
        </w:tc>
      </w:tr>
      <w:tr w14:paraId="14F1D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276D7C57">
            <w:pPr>
              <w:widowControl/>
              <w:jc w:val="center"/>
              <w:rPr>
                <w:color w:val="000000"/>
                <w:kern w:val="0"/>
                <w:sz w:val="24"/>
              </w:rPr>
            </w:pPr>
            <w:r>
              <w:rPr>
                <w:color w:val="000000"/>
                <w:kern w:val="0"/>
                <w:sz w:val="24"/>
              </w:rPr>
              <w:t>3</w:t>
            </w:r>
          </w:p>
        </w:tc>
        <w:tc>
          <w:tcPr>
            <w:tcW w:w="976" w:type="pct"/>
            <w:noWrap w:val="0"/>
            <w:vAlign w:val="center"/>
          </w:tcPr>
          <w:p w14:paraId="16E4B9E6">
            <w:pPr>
              <w:widowControl/>
              <w:jc w:val="left"/>
              <w:rPr>
                <w:color w:val="000000"/>
                <w:kern w:val="0"/>
                <w:sz w:val="24"/>
              </w:rPr>
            </w:pPr>
            <w:r>
              <w:rPr>
                <w:color w:val="000000"/>
                <w:kern w:val="0"/>
                <w:sz w:val="24"/>
              </w:rPr>
              <w:t>投标报价</w:t>
            </w:r>
          </w:p>
        </w:tc>
        <w:tc>
          <w:tcPr>
            <w:tcW w:w="3620" w:type="pct"/>
            <w:noWrap w:val="0"/>
            <w:vAlign w:val="center"/>
          </w:tcPr>
          <w:p w14:paraId="498B5553">
            <w:pPr>
              <w:widowControl/>
              <w:jc w:val="left"/>
              <w:rPr>
                <w:color w:val="000000"/>
                <w:kern w:val="0"/>
                <w:sz w:val="24"/>
              </w:rPr>
            </w:pPr>
            <w:r>
              <w:rPr>
                <w:color w:val="000000"/>
                <w:kern w:val="0"/>
                <w:sz w:val="24"/>
              </w:rPr>
              <w:t>投标报价未</w:t>
            </w:r>
            <w:r>
              <w:rPr>
                <w:color w:val="000000"/>
                <w:sz w:val="24"/>
              </w:rPr>
              <w:t>超过招标文件中规定的项目/采购包预算金额或者项目/采购包最高限价</w:t>
            </w:r>
            <w:r>
              <w:rPr>
                <w:color w:val="000000"/>
                <w:kern w:val="0"/>
                <w:sz w:val="24"/>
              </w:rPr>
              <w:t>；</w:t>
            </w:r>
          </w:p>
        </w:tc>
      </w:tr>
      <w:tr w14:paraId="79928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54BEF061">
            <w:pPr>
              <w:widowControl/>
              <w:jc w:val="center"/>
              <w:rPr>
                <w:color w:val="000000"/>
                <w:kern w:val="0"/>
                <w:sz w:val="24"/>
              </w:rPr>
            </w:pPr>
            <w:r>
              <w:rPr>
                <w:color w:val="000000"/>
                <w:kern w:val="0"/>
                <w:sz w:val="24"/>
              </w:rPr>
              <w:t>4</w:t>
            </w:r>
          </w:p>
        </w:tc>
        <w:tc>
          <w:tcPr>
            <w:tcW w:w="976" w:type="pct"/>
            <w:noWrap w:val="0"/>
            <w:vAlign w:val="center"/>
          </w:tcPr>
          <w:p w14:paraId="6F698A05">
            <w:pPr>
              <w:widowControl/>
              <w:jc w:val="left"/>
              <w:rPr>
                <w:color w:val="000000"/>
                <w:kern w:val="0"/>
                <w:sz w:val="24"/>
              </w:rPr>
            </w:pPr>
            <w:r>
              <w:rPr>
                <w:color w:val="000000"/>
                <w:kern w:val="0"/>
                <w:sz w:val="24"/>
              </w:rPr>
              <w:t>报价唯一性</w:t>
            </w:r>
          </w:p>
        </w:tc>
        <w:tc>
          <w:tcPr>
            <w:tcW w:w="3620" w:type="pct"/>
            <w:noWrap w:val="0"/>
            <w:vAlign w:val="center"/>
          </w:tcPr>
          <w:p w14:paraId="35B7930A">
            <w:pPr>
              <w:widowControl/>
              <w:jc w:val="left"/>
              <w:rPr>
                <w:color w:val="000000"/>
                <w:kern w:val="0"/>
                <w:sz w:val="24"/>
              </w:rPr>
            </w:pPr>
            <w:r>
              <w:rPr>
                <w:color w:val="000000"/>
                <w:kern w:val="0"/>
                <w:sz w:val="24"/>
              </w:rPr>
              <w:t>投标文件未</w:t>
            </w:r>
            <w:r>
              <w:rPr>
                <w:sz w:val="24"/>
              </w:rPr>
              <w:t>出现可选择性或可调整的报价（招标文件另有规定的除外）</w:t>
            </w:r>
            <w:r>
              <w:rPr>
                <w:color w:val="000000"/>
                <w:kern w:val="0"/>
                <w:sz w:val="24"/>
              </w:rPr>
              <w:t>；</w:t>
            </w:r>
          </w:p>
        </w:tc>
      </w:tr>
      <w:tr w14:paraId="16CA8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687DCE4B">
            <w:pPr>
              <w:widowControl/>
              <w:jc w:val="center"/>
              <w:rPr>
                <w:color w:val="000000"/>
                <w:kern w:val="0"/>
                <w:sz w:val="24"/>
              </w:rPr>
            </w:pPr>
            <w:r>
              <w:rPr>
                <w:color w:val="000000"/>
                <w:kern w:val="0"/>
                <w:sz w:val="24"/>
              </w:rPr>
              <w:t>5</w:t>
            </w:r>
          </w:p>
        </w:tc>
        <w:tc>
          <w:tcPr>
            <w:tcW w:w="976" w:type="pct"/>
            <w:noWrap w:val="0"/>
            <w:vAlign w:val="center"/>
          </w:tcPr>
          <w:p w14:paraId="683508D0">
            <w:pPr>
              <w:widowControl/>
              <w:jc w:val="left"/>
              <w:rPr>
                <w:color w:val="000000"/>
                <w:kern w:val="0"/>
                <w:sz w:val="24"/>
              </w:rPr>
            </w:pPr>
            <w:r>
              <w:rPr>
                <w:color w:val="000000"/>
                <w:kern w:val="0"/>
                <w:sz w:val="24"/>
              </w:rPr>
              <w:t>投标有效期</w:t>
            </w:r>
          </w:p>
        </w:tc>
        <w:tc>
          <w:tcPr>
            <w:tcW w:w="3620" w:type="pct"/>
            <w:noWrap w:val="0"/>
            <w:vAlign w:val="center"/>
          </w:tcPr>
          <w:p w14:paraId="30CA7F00">
            <w:pPr>
              <w:widowControl/>
              <w:jc w:val="left"/>
              <w:rPr>
                <w:color w:val="000000"/>
                <w:kern w:val="0"/>
                <w:sz w:val="24"/>
              </w:rPr>
            </w:pPr>
            <w:r>
              <w:rPr>
                <w:color w:val="000000"/>
                <w:kern w:val="0"/>
                <w:sz w:val="24"/>
              </w:rPr>
              <w:t>投标文件中承诺的投标有效期满足招标文件中载明的投标有效期的；</w:t>
            </w:r>
          </w:p>
        </w:tc>
      </w:tr>
      <w:tr w14:paraId="70706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5D962E1E">
            <w:pPr>
              <w:widowControl/>
              <w:jc w:val="center"/>
              <w:rPr>
                <w:color w:val="000000"/>
                <w:kern w:val="0"/>
                <w:sz w:val="24"/>
              </w:rPr>
            </w:pPr>
            <w:r>
              <w:rPr>
                <w:color w:val="000000"/>
                <w:kern w:val="0"/>
                <w:sz w:val="24"/>
              </w:rPr>
              <w:t>6</w:t>
            </w:r>
          </w:p>
        </w:tc>
        <w:tc>
          <w:tcPr>
            <w:tcW w:w="976" w:type="pct"/>
            <w:noWrap w:val="0"/>
            <w:vAlign w:val="center"/>
          </w:tcPr>
          <w:p w14:paraId="4CC42E35">
            <w:pPr>
              <w:widowControl/>
              <w:jc w:val="left"/>
              <w:rPr>
                <w:color w:val="000000"/>
                <w:kern w:val="0"/>
                <w:sz w:val="24"/>
              </w:rPr>
            </w:pPr>
            <w:r>
              <w:rPr>
                <w:color w:val="000000"/>
                <w:kern w:val="0"/>
                <w:sz w:val="24"/>
              </w:rPr>
              <w:t>实质性格式</w:t>
            </w:r>
          </w:p>
        </w:tc>
        <w:tc>
          <w:tcPr>
            <w:tcW w:w="3620" w:type="pct"/>
            <w:noWrap w:val="0"/>
            <w:vAlign w:val="center"/>
          </w:tcPr>
          <w:p w14:paraId="07D9CD1D">
            <w:pPr>
              <w:widowControl/>
              <w:jc w:val="left"/>
              <w:rPr>
                <w:color w:val="000000"/>
                <w:kern w:val="0"/>
                <w:sz w:val="24"/>
              </w:rPr>
            </w:pPr>
            <w:r>
              <w:rPr>
                <w:kern w:val="0"/>
                <w:sz w:val="24"/>
              </w:rPr>
              <w:t>标记为“实质性格式”的文件均按招标文件要求提供且签署、盖章的；</w:t>
            </w:r>
          </w:p>
        </w:tc>
      </w:tr>
      <w:tr w14:paraId="29A00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24A5FBB6">
            <w:pPr>
              <w:widowControl/>
              <w:jc w:val="center"/>
              <w:rPr>
                <w:color w:val="000000"/>
                <w:kern w:val="0"/>
                <w:sz w:val="24"/>
              </w:rPr>
            </w:pPr>
            <w:r>
              <w:rPr>
                <w:color w:val="000000"/>
                <w:kern w:val="0"/>
                <w:sz w:val="24"/>
              </w:rPr>
              <w:t>7</w:t>
            </w:r>
          </w:p>
        </w:tc>
        <w:tc>
          <w:tcPr>
            <w:tcW w:w="976" w:type="pct"/>
            <w:noWrap w:val="0"/>
            <w:vAlign w:val="center"/>
          </w:tcPr>
          <w:p w14:paraId="4B619E73">
            <w:pPr>
              <w:widowControl/>
              <w:jc w:val="left"/>
              <w:rPr>
                <w:color w:val="000000"/>
                <w:kern w:val="0"/>
                <w:sz w:val="24"/>
              </w:rPr>
            </w:pPr>
            <w:r>
              <w:rPr>
                <w:rFonts w:ascii="Segoe UI Symbol" w:hAnsi="Segoe UI Symbol" w:cs="Segoe UI Symbol"/>
                <w:color w:val="000000"/>
                <w:kern w:val="0"/>
                <w:sz w:val="24"/>
              </w:rPr>
              <w:t>★</w:t>
            </w:r>
            <w:r>
              <w:rPr>
                <w:color w:val="000000"/>
                <w:kern w:val="0"/>
                <w:sz w:val="24"/>
              </w:rPr>
              <w:t>号条款响应</w:t>
            </w:r>
          </w:p>
        </w:tc>
        <w:tc>
          <w:tcPr>
            <w:tcW w:w="3620" w:type="pct"/>
            <w:noWrap w:val="0"/>
            <w:vAlign w:val="center"/>
          </w:tcPr>
          <w:p w14:paraId="55DD02FB">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w:t>
            </w:r>
            <w:r>
              <w:rPr>
                <w:rFonts w:ascii="Segoe UI Symbol" w:hAnsi="Segoe UI Symbol" w:cs="Segoe UI Symbol"/>
                <w:color w:val="000000"/>
                <w:kern w:val="0"/>
                <w:sz w:val="24"/>
              </w:rPr>
              <w:t>★</w:t>
            </w:r>
            <w:r>
              <w:rPr>
                <w:color w:val="000000"/>
                <w:kern w:val="0"/>
                <w:sz w:val="24"/>
              </w:rPr>
              <w:t>号条款要求的；</w:t>
            </w:r>
          </w:p>
        </w:tc>
      </w:tr>
      <w:tr w14:paraId="29536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52FDFBA4">
            <w:pPr>
              <w:widowControl/>
              <w:jc w:val="center"/>
              <w:rPr>
                <w:color w:val="000000"/>
                <w:kern w:val="0"/>
                <w:sz w:val="24"/>
              </w:rPr>
            </w:pPr>
            <w:r>
              <w:rPr>
                <w:color w:val="000000"/>
                <w:kern w:val="0"/>
                <w:sz w:val="24"/>
              </w:rPr>
              <w:t>8</w:t>
            </w:r>
          </w:p>
        </w:tc>
        <w:tc>
          <w:tcPr>
            <w:tcW w:w="976" w:type="pct"/>
            <w:noWrap w:val="0"/>
            <w:vAlign w:val="center"/>
          </w:tcPr>
          <w:p w14:paraId="7CE194A3">
            <w:pPr>
              <w:widowControl/>
              <w:jc w:val="left"/>
              <w:rPr>
                <w:color w:val="000000"/>
                <w:kern w:val="0"/>
                <w:sz w:val="24"/>
              </w:rPr>
            </w:pPr>
            <w:r>
              <w:rPr>
                <w:sz w:val="24"/>
              </w:rPr>
              <w:t>拟分包情况说明（如有）</w:t>
            </w:r>
          </w:p>
        </w:tc>
        <w:tc>
          <w:tcPr>
            <w:tcW w:w="3620" w:type="pct"/>
            <w:noWrap w:val="0"/>
            <w:vAlign w:val="center"/>
          </w:tcPr>
          <w:p w14:paraId="6AABB391">
            <w:pPr>
              <w:widowControl/>
              <w:jc w:val="left"/>
              <w:rPr>
                <w:color w:val="000000"/>
                <w:kern w:val="0"/>
                <w:sz w:val="24"/>
              </w:rPr>
            </w:pPr>
            <w:r>
              <w:rPr>
                <w:sz w:val="24"/>
              </w:rPr>
              <w:t>如本项目（包）非因“落实政府采购政策”亦允许分包，且供应商拟进行分包时，必须提供；否则无须提供；</w:t>
            </w:r>
          </w:p>
        </w:tc>
      </w:tr>
      <w:tr w14:paraId="5DDE5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76B44692">
            <w:pPr>
              <w:widowControl/>
              <w:jc w:val="center"/>
              <w:rPr>
                <w:color w:val="000000"/>
                <w:kern w:val="0"/>
                <w:sz w:val="24"/>
              </w:rPr>
            </w:pPr>
            <w:r>
              <w:rPr>
                <w:color w:val="000000"/>
                <w:kern w:val="0"/>
                <w:sz w:val="24"/>
              </w:rPr>
              <w:t>9</w:t>
            </w:r>
          </w:p>
        </w:tc>
        <w:tc>
          <w:tcPr>
            <w:tcW w:w="976" w:type="pct"/>
            <w:noWrap w:val="0"/>
            <w:vAlign w:val="center"/>
          </w:tcPr>
          <w:p w14:paraId="100D3A79">
            <w:pPr>
              <w:widowControl/>
              <w:jc w:val="left"/>
              <w:rPr>
                <w:color w:val="000000"/>
                <w:kern w:val="0"/>
                <w:sz w:val="24"/>
              </w:rPr>
            </w:pPr>
            <w:r>
              <w:rPr>
                <w:color w:val="000000"/>
                <w:kern w:val="0"/>
                <w:sz w:val="24"/>
              </w:rPr>
              <w:t>分包其他要求（如有）</w:t>
            </w:r>
          </w:p>
        </w:tc>
        <w:tc>
          <w:tcPr>
            <w:tcW w:w="3620" w:type="pct"/>
            <w:noWrap w:val="0"/>
            <w:vAlign w:val="center"/>
          </w:tcPr>
          <w:p w14:paraId="229ED735">
            <w:pPr>
              <w:widowControl/>
              <w:jc w:val="left"/>
              <w:rPr>
                <w:sz w:val="24"/>
              </w:rPr>
            </w:pPr>
            <w:r>
              <w:rPr>
                <w:sz w:val="24"/>
              </w:rPr>
              <w:t>分包履行的内容、金额或者比例未超出《投标人须知资料表》中的规定；</w:t>
            </w:r>
          </w:p>
          <w:p w14:paraId="19E4BFD4">
            <w:pPr>
              <w:widowControl/>
              <w:jc w:val="left"/>
              <w:rPr>
                <w:color w:val="000000"/>
                <w:kern w:val="0"/>
                <w:sz w:val="24"/>
              </w:rPr>
            </w:pPr>
            <w:r>
              <w:rPr>
                <w:sz w:val="24"/>
              </w:rPr>
              <w:t>分包承担主体具备《投标人须知资料表》载明的资质条件且提供了资质证书电子件（如有）；</w:t>
            </w:r>
          </w:p>
        </w:tc>
      </w:tr>
      <w:tr w14:paraId="2AEC9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02A1FD78">
            <w:pPr>
              <w:widowControl/>
              <w:jc w:val="center"/>
              <w:rPr>
                <w:color w:val="000000"/>
                <w:kern w:val="0"/>
                <w:sz w:val="24"/>
              </w:rPr>
            </w:pPr>
            <w:r>
              <w:rPr>
                <w:color w:val="000000"/>
                <w:kern w:val="0"/>
                <w:sz w:val="24"/>
              </w:rPr>
              <w:t>10</w:t>
            </w:r>
          </w:p>
        </w:tc>
        <w:tc>
          <w:tcPr>
            <w:tcW w:w="976" w:type="pct"/>
            <w:noWrap w:val="0"/>
            <w:vAlign w:val="center"/>
          </w:tcPr>
          <w:p w14:paraId="707579A7">
            <w:pPr>
              <w:widowControl/>
              <w:jc w:val="left"/>
              <w:rPr>
                <w:color w:val="000000"/>
                <w:kern w:val="0"/>
                <w:sz w:val="24"/>
              </w:rPr>
            </w:pPr>
            <w:r>
              <w:rPr>
                <w:color w:val="000000"/>
                <w:kern w:val="0"/>
                <w:sz w:val="24"/>
              </w:rPr>
              <w:t>报价的修正（如有）</w:t>
            </w:r>
          </w:p>
        </w:tc>
        <w:tc>
          <w:tcPr>
            <w:tcW w:w="3620" w:type="pct"/>
            <w:noWrap w:val="0"/>
            <w:vAlign w:val="center"/>
          </w:tcPr>
          <w:p w14:paraId="5F48B9ED">
            <w:pPr>
              <w:widowControl/>
              <w:jc w:val="left"/>
              <w:rPr>
                <w:color w:val="000000"/>
                <w:kern w:val="0"/>
                <w:sz w:val="24"/>
              </w:rPr>
            </w:pPr>
            <w:r>
              <w:rPr>
                <w:color w:val="000000"/>
                <w:kern w:val="0"/>
                <w:sz w:val="24"/>
              </w:rPr>
              <w:t>不涉及报价修正，或投标文件报价出现前后不一致时，投标人对修正后的报价予以确认；（如有）</w:t>
            </w:r>
          </w:p>
        </w:tc>
      </w:tr>
      <w:tr w14:paraId="425E0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64C368C6">
            <w:pPr>
              <w:widowControl/>
              <w:jc w:val="center"/>
              <w:rPr>
                <w:color w:val="000000"/>
                <w:kern w:val="0"/>
                <w:sz w:val="24"/>
              </w:rPr>
            </w:pPr>
            <w:r>
              <w:rPr>
                <w:color w:val="000000"/>
                <w:kern w:val="0"/>
                <w:sz w:val="24"/>
              </w:rPr>
              <w:t>11</w:t>
            </w:r>
          </w:p>
        </w:tc>
        <w:tc>
          <w:tcPr>
            <w:tcW w:w="976" w:type="pct"/>
            <w:noWrap w:val="0"/>
            <w:vAlign w:val="center"/>
          </w:tcPr>
          <w:p w14:paraId="7AF7CEC3">
            <w:pPr>
              <w:widowControl/>
              <w:jc w:val="left"/>
              <w:rPr>
                <w:color w:val="000000"/>
                <w:kern w:val="0"/>
                <w:sz w:val="24"/>
              </w:rPr>
            </w:pPr>
            <w:r>
              <w:rPr>
                <w:color w:val="000000"/>
                <w:kern w:val="0"/>
                <w:sz w:val="24"/>
              </w:rPr>
              <w:t>报价合理性</w:t>
            </w:r>
          </w:p>
        </w:tc>
        <w:tc>
          <w:tcPr>
            <w:tcW w:w="3620" w:type="pct"/>
            <w:noWrap w:val="0"/>
            <w:vAlign w:val="center"/>
          </w:tcPr>
          <w:p w14:paraId="375225FE">
            <w:pPr>
              <w:widowControl/>
              <w:jc w:val="left"/>
              <w:rPr>
                <w:color w:val="000000"/>
                <w:kern w:val="0"/>
                <w:sz w:val="24"/>
              </w:rPr>
            </w:pPr>
            <w:r>
              <w:rPr>
                <w:color w:val="000000"/>
                <w:kern w:val="0"/>
                <w:sz w:val="24"/>
              </w:rPr>
              <w:t>报价合理，或</w:t>
            </w:r>
            <w:r>
              <w:rPr>
                <w:sz w:val="24"/>
              </w:rPr>
              <w:t>投标人的报价明显低于其他通过符合性审查投标人的报价，有可能影响产品质量或者不能诚信履约的，能够应评标委员会要求在规定时间内证明其报价合理性的</w:t>
            </w:r>
            <w:r>
              <w:rPr>
                <w:color w:val="000000"/>
                <w:kern w:val="0"/>
                <w:sz w:val="24"/>
              </w:rPr>
              <w:t>；</w:t>
            </w:r>
          </w:p>
        </w:tc>
      </w:tr>
      <w:tr w14:paraId="20EA2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3661F17D">
            <w:pPr>
              <w:widowControl/>
              <w:jc w:val="center"/>
              <w:rPr>
                <w:color w:val="000000"/>
                <w:kern w:val="0"/>
                <w:sz w:val="24"/>
              </w:rPr>
            </w:pPr>
            <w:r>
              <w:rPr>
                <w:color w:val="000000"/>
                <w:kern w:val="0"/>
                <w:sz w:val="24"/>
              </w:rPr>
              <w:t>12</w:t>
            </w:r>
          </w:p>
        </w:tc>
        <w:tc>
          <w:tcPr>
            <w:tcW w:w="976" w:type="pct"/>
            <w:noWrap w:val="0"/>
            <w:vAlign w:val="center"/>
          </w:tcPr>
          <w:p w14:paraId="6402B265">
            <w:pPr>
              <w:widowControl/>
              <w:jc w:val="left"/>
              <w:rPr>
                <w:color w:val="000000"/>
                <w:kern w:val="0"/>
                <w:sz w:val="24"/>
              </w:rPr>
            </w:pPr>
            <w:r>
              <w:rPr>
                <w:color w:val="000000"/>
                <w:kern w:val="0"/>
                <w:sz w:val="24"/>
              </w:rPr>
              <w:t>进口产品</w:t>
            </w:r>
          </w:p>
          <w:p w14:paraId="28C61EE0">
            <w:pPr>
              <w:widowControl/>
              <w:jc w:val="left"/>
              <w:rPr>
                <w:color w:val="000000"/>
                <w:kern w:val="0"/>
                <w:sz w:val="24"/>
              </w:rPr>
            </w:pPr>
            <w:r>
              <w:rPr>
                <w:color w:val="000000"/>
                <w:kern w:val="0"/>
                <w:sz w:val="24"/>
              </w:rPr>
              <w:t>（如有）</w:t>
            </w:r>
          </w:p>
        </w:tc>
        <w:tc>
          <w:tcPr>
            <w:tcW w:w="3620" w:type="pct"/>
            <w:noWrap w:val="0"/>
            <w:vAlign w:val="center"/>
          </w:tcPr>
          <w:p w14:paraId="4ADCC3AC">
            <w:pPr>
              <w:widowControl/>
              <w:jc w:val="left"/>
              <w:rPr>
                <w:color w:val="000000"/>
                <w:kern w:val="0"/>
                <w:sz w:val="24"/>
              </w:rPr>
            </w:pPr>
            <w:r>
              <w:rPr>
                <w:sz w:val="24"/>
              </w:rPr>
              <w:t>招标文件不接受进口产品投标的内容时，投标人所投产品不含进口产品；</w:t>
            </w:r>
          </w:p>
        </w:tc>
      </w:tr>
      <w:tr w14:paraId="4572A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69605C3D">
            <w:pPr>
              <w:widowControl/>
              <w:jc w:val="center"/>
              <w:rPr>
                <w:color w:val="000000"/>
                <w:kern w:val="0"/>
                <w:sz w:val="24"/>
              </w:rPr>
            </w:pPr>
            <w:r>
              <w:rPr>
                <w:color w:val="000000"/>
                <w:kern w:val="0"/>
                <w:sz w:val="24"/>
              </w:rPr>
              <w:t>13</w:t>
            </w:r>
          </w:p>
        </w:tc>
        <w:tc>
          <w:tcPr>
            <w:tcW w:w="976" w:type="pct"/>
            <w:noWrap w:val="0"/>
            <w:vAlign w:val="center"/>
          </w:tcPr>
          <w:p w14:paraId="4A331B62">
            <w:pPr>
              <w:widowControl/>
              <w:jc w:val="left"/>
              <w:rPr>
                <w:color w:val="000000"/>
                <w:kern w:val="0"/>
                <w:sz w:val="24"/>
              </w:rPr>
            </w:pPr>
            <w:r>
              <w:rPr>
                <w:color w:val="000000"/>
                <w:kern w:val="0"/>
                <w:sz w:val="24"/>
              </w:rPr>
              <w:t>国家有关部门对投标人的投标产品有强制性规定或要求的</w:t>
            </w:r>
          </w:p>
        </w:tc>
        <w:tc>
          <w:tcPr>
            <w:tcW w:w="3620" w:type="pct"/>
            <w:noWrap w:val="0"/>
            <w:vAlign w:val="center"/>
          </w:tcPr>
          <w:p w14:paraId="48FACBDF">
            <w:pPr>
              <w:widowControl/>
              <w:jc w:val="left"/>
              <w:rPr>
                <w:color w:val="000000"/>
                <w:kern w:val="0"/>
                <w:sz w:val="24"/>
              </w:rPr>
            </w:pPr>
            <w:r>
              <w:rPr>
                <w:color w:val="000000"/>
                <w:kern w:val="0"/>
                <w:sz w:val="24"/>
              </w:rPr>
              <w:t>国家有关部门对投标人的投标产品有强制性规定或要求的（如相应技术、安全、节能和环保等），投标人的投标产品应符合相应规定或要求，并提供证明文件电子件：</w:t>
            </w:r>
          </w:p>
          <w:p w14:paraId="3CD3E13A">
            <w:pPr>
              <w:widowControl/>
              <w:jc w:val="left"/>
              <w:rPr>
                <w:color w:val="000000"/>
                <w:kern w:val="0"/>
                <w:sz w:val="24"/>
              </w:rPr>
            </w:pPr>
            <w:r>
              <w:rPr>
                <w:color w:val="000000"/>
                <w:kern w:val="0"/>
                <w:sz w:val="24"/>
              </w:rPr>
              <w:t>1）采购的产品若属于《节能产品政府采购品目清单》范围中政府强制采购产品，则投标人所报产品必须获得国家确定的认证机构出具的、处于有效期之内的节能产品认证证书；</w:t>
            </w:r>
          </w:p>
          <w:p w14:paraId="40645878">
            <w:pPr>
              <w:widowControl/>
              <w:jc w:val="left"/>
              <w:rPr>
                <w:sz w:val="24"/>
              </w:rPr>
            </w:pPr>
            <w:r>
              <w:rPr>
                <w:color w:val="000000"/>
                <w:kern w:val="0"/>
                <w:sz w:val="24"/>
              </w:rPr>
              <w:t>2）</w:t>
            </w:r>
            <w:r>
              <w:rPr>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color w:val="000000"/>
                <w:kern w:val="0"/>
                <w:sz w:val="24"/>
              </w:rPr>
              <w:t>公安部颁发的计算机信息系统安全专用产品销售许可证</w:t>
            </w:r>
            <w:r>
              <w:rPr>
                <w:sz w:val="24"/>
              </w:rPr>
              <w:t>，且在有效期内，亦视为符合要求）</w:t>
            </w:r>
          </w:p>
          <w:p w14:paraId="6BAD2CC0">
            <w:pPr>
              <w:widowControl/>
              <w:jc w:val="left"/>
              <w:rPr>
                <w:color w:val="000000"/>
                <w:kern w:val="0"/>
                <w:sz w:val="24"/>
              </w:rPr>
            </w:pPr>
            <w:r>
              <w:rPr>
                <w:sz w:val="24"/>
              </w:rPr>
              <w:t>3）项目中涉及涂料、胶黏剂、油墨、清洗剂等挥发性有机物产品，且属于强制性标准的，供应商应执行符合本市和国家的VOCs 含量限制标准。</w:t>
            </w:r>
          </w:p>
        </w:tc>
      </w:tr>
      <w:tr w14:paraId="1BCC0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0A134902">
            <w:pPr>
              <w:widowControl/>
              <w:jc w:val="center"/>
              <w:rPr>
                <w:color w:val="000000"/>
                <w:kern w:val="0"/>
                <w:sz w:val="24"/>
              </w:rPr>
            </w:pPr>
            <w:r>
              <w:rPr>
                <w:color w:val="000000"/>
                <w:kern w:val="0"/>
                <w:sz w:val="24"/>
              </w:rPr>
              <w:t>14</w:t>
            </w:r>
          </w:p>
        </w:tc>
        <w:tc>
          <w:tcPr>
            <w:tcW w:w="976" w:type="pct"/>
            <w:noWrap w:val="0"/>
            <w:vAlign w:val="center"/>
          </w:tcPr>
          <w:p w14:paraId="049FC70A">
            <w:pPr>
              <w:widowControl/>
              <w:jc w:val="left"/>
              <w:rPr>
                <w:color w:val="000000"/>
                <w:kern w:val="0"/>
                <w:sz w:val="24"/>
              </w:rPr>
            </w:pPr>
            <w:r>
              <w:rPr>
                <w:color w:val="000000"/>
                <w:kern w:val="0"/>
                <w:sz w:val="24"/>
              </w:rPr>
              <w:t>公平竞争</w:t>
            </w:r>
          </w:p>
        </w:tc>
        <w:tc>
          <w:tcPr>
            <w:tcW w:w="3620" w:type="pct"/>
            <w:noWrap w:val="0"/>
            <w:vAlign w:val="center"/>
          </w:tcPr>
          <w:p w14:paraId="7B8D4D4A">
            <w:pPr>
              <w:widowControl/>
              <w:jc w:val="left"/>
              <w:rPr>
                <w:color w:val="000000"/>
                <w:kern w:val="0"/>
                <w:sz w:val="24"/>
              </w:rPr>
            </w:pPr>
            <w:r>
              <w:rPr>
                <w:color w:val="000000"/>
                <w:sz w:val="24"/>
              </w:rPr>
              <w:t>投标人遵循公平竞争的原则，不存在恶意串通，妨碍其他投标人的竞争行为，不存在损害采购人或者其他投标人的合法权益情形的；</w:t>
            </w:r>
          </w:p>
        </w:tc>
      </w:tr>
      <w:tr w14:paraId="5112F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6ACF0E17">
            <w:pPr>
              <w:widowControl/>
              <w:jc w:val="center"/>
              <w:rPr>
                <w:color w:val="000000"/>
                <w:kern w:val="0"/>
                <w:sz w:val="24"/>
              </w:rPr>
            </w:pPr>
            <w:r>
              <w:rPr>
                <w:color w:val="000000"/>
                <w:kern w:val="0"/>
                <w:sz w:val="24"/>
              </w:rPr>
              <w:t>15</w:t>
            </w:r>
          </w:p>
        </w:tc>
        <w:tc>
          <w:tcPr>
            <w:tcW w:w="976" w:type="pct"/>
            <w:noWrap w:val="0"/>
            <w:vAlign w:val="center"/>
          </w:tcPr>
          <w:p w14:paraId="4C6E163B">
            <w:pPr>
              <w:widowControl/>
              <w:jc w:val="left"/>
              <w:rPr>
                <w:color w:val="000000"/>
                <w:kern w:val="0"/>
                <w:sz w:val="24"/>
              </w:rPr>
            </w:pPr>
            <w:r>
              <w:rPr>
                <w:color w:val="000000"/>
                <w:kern w:val="0"/>
                <w:sz w:val="24"/>
              </w:rPr>
              <w:t>串通投标</w:t>
            </w:r>
          </w:p>
        </w:tc>
        <w:tc>
          <w:tcPr>
            <w:tcW w:w="3620" w:type="pct"/>
            <w:noWrap w:val="0"/>
            <w:vAlign w:val="center"/>
          </w:tcPr>
          <w:p w14:paraId="5B955232">
            <w:pPr>
              <w:widowControl/>
              <w:jc w:val="left"/>
              <w:rPr>
                <w:color w:val="000000"/>
                <w:kern w:val="0"/>
                <w:sz w:val="24"/>
              </w:rPr>
            </w:pPr>
            <w:r>
              <w:rPr>
                <w:color w:val="000000"/>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33DCE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15AB606F">
            <w:pPr>
              <w:widowControl/>
              <w:jc w:val="center"/>
              <w:rPr>
                <w:color w:val="000000"/>
                <w:kern w:val="0"/>
                <w:sz w:val="24"/>
              </w:rPr>
            </w:pPr>
            <w:r>
              <w:rPr>
                <w:color w:val="000000"/>
                <w:kern w:val="0"/>
                <w:sz w:val="24"/>
              </w:rPr>
              <w:t>16</w:t>
            </w:r>
          </w:p>
        </w:tc>
        <w:tc>
          <w:tcPr>
            <w:tcW w:w="976" w:type="pct"/>
            <w:noWrap w:val="0"/>
            <w:vAlign w:val="center"/>
          </w:tcPr>
          <w:p w14:paraId="4BF49450">
            <w:pPr>
              <w:widowControl/>
              <w:jc w:val="left"/>
              <w:rPr>
                <w:color w:val="000000"/>
                <w:kern w:val="0"/>
                <w:sz w:val="24"/>
              </w:rPr>
            </w:pPr>
            <w:r>
              <w:rPr>
                <w:color w:val="000000"/>
                <w:kern w:val="0"/>
                <w:sz w:val="24"/>
              </w:rPr>
              <w:t>附加条件</w:t>
            </w:r>
          </w:p>
        </w:tc>
        <w:tc>
          <w:tcPr>
            <w:tcW w:w="3620" w:type="pct"/>
            <w:noWrap w:val="0"/>
            <w:vAlign w:val="center"/>
          </w:tcPr>
          <w:p w14:paraId="618272D6">
            <w:pPr>
              <w:widowControl/>
              <w:jc w:val="left"/>
              <w:rPr>
                <w:color w:val="000000"/>
                <w:kern w:val="0"/>
                <w:sz w:val="24"/>
              </w:rPr>
            </w:pPr>
            <w:r>
              <w:rPr>
                <w:color w:val="000000"/>
                <w:kern w:val="0"/>
                <w:sz w:val="24"/>
              </w:rPr>
              <w:t>投标文件未含有采购人不能接受的附加条件的；</w:t>
            </w:r>
          </w:p>
        </w:tc>
      </w:tr>
      <w:tr w14:paraId="74845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4021E34C">
            <w:pPr>
              <w:widowControl/>
              <w:jc w:val="center"/>
              <w:rPr>
                <w:color w:val="000000"/>
                <w:kern w:val="0"/>
                <w:sz w:val="24"/>
              </w:rPr>
            </w:pPr>
            <w:r>
              <w:rPr>
                <w:color w:val="000000"/>
                <w:kern w:val="0"/>
                <w:sz w:val="24"/>
              </w:rPr>
              <w:t>17</w:t>
            </w:r>
          </w:p>
        </w:tc>
        <w:tc>
          <w:tcPr>
            <w:tcW w:w="976" w:type="pct"/>
            <w:noWrap w:val="0"/>
            <w:vAlign w:val="center"/>
          </w:tcPr>
          <w:p w14:paraId="2378C243">
            <w:pPr>
              <w:widowControl/>
              <w:jc w:val="left"/>
              <w:rPr>
                <w:color w:val="000000"/>
                <w:kern w:val="0"/>
                <w:sz w:val="24"/>
              </w:rPr>
            </w:pPr>
            <w:r>
              <w:rPr>
                <w:color w:val="000000"/>
                <w:kern w:val="0"/>
                <w:sz w:val="24"/>
              </w:rPr>
              <w:t>其他无效情形</w:t>
            </w:r>
          </w:p>
        </w:tc>
        <w:tc>
          <w:tcPr>
            <w:tcW w:w="3620" w:type="pct"/>
            <w:noWrap w:val="0"/>
            <w:vAlign w:val="center"/>
          </w:tcPr>
          <w:p w14:paraId="504B9126">
            <w:pPr>
              <w:widowControl/>
              <w:jc w:val="left"/>
              <w:rPr>
                <w:color w:val="000000"/>
                <w:kern w:val="0"/>
                <w:sz w:val="24"/>
              </w:rPr>
            </w:pPr>
            <w:r>
              <w:rPr>
                <w:color w:val="000000"/>
                <w:sz w:val="24"/>
              </w:rPr>
              <w:t>投标人、投标文件不存在不符合法律、法规和招标文件规定的其他无效情形。</w:t>
            </w:r>
          </w:p>
        </w:tc>
      </w:tr>
    </w:tbl>
    <w:p w14:paraId="20CB22C3">
      <w:pPr>
        <w:numPr>
          <w:ilvl w:val="0"/>
          <w:numId w:val="13"/>
        </w:numPr>
        <w:tabs>
          <w:tab w:val="left" w:pos="1080"/>
          <w:tab w:val="left" w:pos="1589"/>
        </w:tabs>
        <w:snapToGrid w:val="0"/>
        <w:spacing w:line="360" w:lineRule="auto"/>
        <w:rPr>
          <w:sz w:val="24"/>
        </w:rPr>
        <w:sectPr>
          <w:headerReference r:id="rId6" w:type="first"/>
          <w:footerReference r:id="rId8" w:type="first"/>
          <w:headerReference r:id="rId5" w:type="even"/>
          <w:footerReference r:id="rId7" w:type="even"/>
          <w:pgSz w:w="11907" w:h="16840"/>
          <w:pgMar w:top="1418" w:right="1134" w:bottom="1134" w:left="1134" w:header="851" w:footer="851" w:gutter="0"/>
          <w:cols w:space="720" w:num="1"/>
          <w:docGrid w:linePitch="462" w:charSpace="0"/>
        </w:sectPr>
      </w:pPr>
    </w:p>
    <w:p w14:paraId="3A67AB18">
      <w:pPr>
        <w:numPr>
          <w:ilvl w:val="0"/>
          <w:numId w:val="12"/>
        </w:numPr>
        <w:tabs>
          <w:tab w:val="left" w:pos="360"/>
        </w:tabs>
        <w:snapToGrid w:val="0"/>
        <w:spacing w:line="360" w:lineRule="auto"/>
        <w:outlineLvl w:val="1"/>
        <w:rPr>
          <w:sz w:val="24"/>
        </w:rPr>
      </w:pPr>
      <w:r>
        <w:rPr>
          <w:sz w:val="24"/>
        </w:rPr>
        <w:t>投标文件有关事项的澄清或者说明</w:t>
      </w:r>
    </w:p>
    <w:p w14:paraId="48EFF60C">
      <w:pPr>
        <w:numPr>
          <w:ilvl w:val="1"/>
          <w:numId w:val="12"/>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788" w:name="_Hlk144225607"/>
      <w:r>
        <w:rPr>
          <w:color w:val="000000"/>
          <w:sz w:val="24"/>
          <w:szCs w:val="20"/>
        </w:rPr>
        <w:t>若投标人为事业单位或其他组织或分支机构，可为单位负责人</w:t>
      </w:r>
      <w:bookmarkEnd w:id="788"/>
      <w:r>
        <w:rPr>
          <w:sz w:val="24"/>
        </w:rPr>
        <w:t>）或其授权的代表签字。投标人的澄清、说明或者补正不得超出投标文件的范围或者改变投标文件的实质性内容。澄清文件将作为投标文件内容的一部分。</w:t>
      </w:r>
    </w:p>
    <w:p w14:paraId="7E3DE744">
      <w:pPr>
        <w:numPr>
          <w:ilvl w:val="1"/>
          <w:numId w:val="12"/>
        </w:numPr>
        <w:tabs>
          <w:tab w:val="left" w:pos="1080"/>
        </w:tabs>
        <w:snapToGrid w:val="0"/>
        <w:spacing w:line="360" w:lineRule="auto"/>
        <w:ind w:left="1077" w:hanging="720"/>
        <w:rPr>
          <w:sz w:val="24"/>
        </w:rPr>
      </w:pPr>
      <w:r>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sz w:val="24"/>
        </w:rPr>
        <w:t>无效投标处理</w:t>
      </w:r>
      <w:r>
        <w:rPr>
          <w:sz w:val="24"/>
        </w:rPr>
        <w:t>。</w:t>
      </w:r>
    </w:p>
    <w:p w14:paraId="112D0A0F">
      <w:pPr>
        <w:numPr>
          <w:ilvl w:val="1"/>
          <w:numId w:val="12"/>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sz w:val="24"/>
        </w:rPr>
        <w:t>投标无效</w:t>
      </w:r>
      <w:r>
        <w:rPr>
          <w:sz w:val="24"/>
        </w:rPr>
        <w:t>。</w:t>
      </w:r>
    </w:p>
    <w:p w14:paraId="564A2AD4">
      <w:pPr>
        <w:numPr>
          <w:ilvl w:val="1"/>
          <w:numId w:val="12"/>
        </w:numPr>
        <w:tabs>
          <w:tab w:val="left" w:pos="1080"/>
        </w:tabs>
        <w:snapToGrid w:val="0"/>
        <w:spacing w:line="360" w:lineRule="auto"/>
        <w:ind w:left="1077" w:hanging="720"/>
        <w:rPr>
          <w:sz w:val="24"/>
        </w:rPr>
      </w:pPr>
      <w:r>
        <w:rPr>
          <w:sz w:val="24"/>
        </w:rPr>
        <w:t>投标文件报价出现前后不一致的，按照下列规定修正：</w:t>
      </w:r>
    </w:p>
    <w:p w14:paraId="73ED648A">
      <w:pPr>
        <w:numPr>
          <w:ilvl w:val="2"/>
          <w:numId w:val="12"/>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14:paraId="084E2196">
      <w:pPr>
        <w:tabs>
          <w:tab w:val="left" w:pos="1080"/>
          <w:tab w:val="left" w:pos="1589"/>
          <w:tab w:val="left" w:pos="2035"/>
          <w:tab w:val="left" w:pos="2114"/>
        </w:tabs>
        <w:snapToGrid w:val="0"/>
        <w:spacing w:line="360" w:lineRule="auto"/>
        <w:ind w:left="2035"/>
        <w:rPr>
          <w:sz w:val="24"/>
          <w:u w:val="single"/>
        </w:rPr>
      </w:pPr>
      <w:r>
        <w:rPr>
          <w:sz w:val="24"/>
        </w:rPr>
        <w:t>□有，具体规定为：______________</w:t>
      </w:r>
    </w:p>
    <w:p w14:paraId="502A84F9">
      <w:pPr>
        <w:tabs>
          <w:tab w:val="left" w:pos="1080"/>
          <w:tab w:val="left" w:pos="1589"/>
          <w:tab w:val="left" w:pos="2035"/>
          <w:tab w:val="left" w:pos="2114"/>
        </w:tabs>
        <w:snapToGrid w:val="0"/>
        <w:spacing w:line="360" w:lineRule="auto"/>
        <w:ind w:left="2035"/>
        <w:rPr>
          <w:sz w:val="24"/>
        </w:rPr>
      </w:pPr>
      <w:r>
        <w:rPr>
          <w:b/>
          <w:color w:val="000000"/>
          <w:sz w:val="24"/>
        </w:rPr>
        <w:t>■</w:t>
      </w:r>
      <w:r>
        <w:rPr>
          <w:sz w:val="24"/>
        </w:rPr>
        <w:t>无，按下述2.4.2-2.4.8项规定修正。</w:t>
      </w:r>
    </w:p>
    <w:p w14:paraId="1F57E492">
      <w:pPr>
        <w:numPr>
          <w:ilvl w:val="2"/>
          <w:numId w:val="12"/>
        </w:numPr>
        <w:tabs>
          <w:tab w:val="left" w:pos="2035"/>
          <w:tab w:val="left" w:pos="2114"/>
          <w:tab w:val="left" w:pos="2977"/>
        </w:tabs>
        <w:snapToGrid w:val="0"/>
        <w:spacing w:line="360" w:lineRule="auto"/>
        <w:ind w:left="2035"/>
        <w:rPr>
          <w:color w:val="000000"/>
          <w:sz w:val="24"/>
        </w:rPr>
      </w:pPr>
      <w:r>
        <w:rPr>
          <w:color w:val="000000"/>
          <w:sz w:val="24"/>
        </w:rPr>
        <w:t>单独递交的开标一览表（报价表）与投标文件中开标一览表（报价表）内容不一致的，以单独递交的开标一览表（报价表）为准；</w:t>
      </w:r>
    </w:p>
    <w:p w14:paraId="09C2EA62">
      <w:pPr>
        <w:numPr>
          <w:ilvl w:val="2"/>
          <w:numId w:val="12"/>
        </w:numPr>
        <w:tabs>
          <w:tab w:val="left" w:pos="2035"/>
          <w:tab w:val="left" w:pos="2114"/>
          <w:tab w:val="left" w:pos="2977"/>
        </w:tabs>
        <w:snapToGrid w:val="0"/>
        <w:spacing w:line="360" w:lineRule="auto"/>
        <w:ind w:left="2035"/>
        <w:rPr>
          <w:color w:val="000000"/>
          <w:sz w:val="24"/>
        </w:rPr>
      </w:pPr>
      <w:r>
        <w:rPr>
          <w:color w:val="000000"/>
          <w:sz w:val="24"/>
        </w:rPr>
        <w:t>投标文件中开标一览表（报价表）内容与投标文件中相应内容不一致的，以开标一览表（报价表）为准；</w:t>
      </w:r>
    </w:p>
    <w:p w14:paraId="36314B1D">
      <w:pPr>
        <w:numPr>
          <w:ilvl w:val="2"/>
          <w:numId w:val="12"/>
        </w:numPr>
        <w:tabs>
          <w:tab w:val="left" w:pos="2035"/>
          <w:tab w:val="left" w:pos="2114"/>
          <w:tab w:val="left" w:pos="2977"/>
        </w:tabs>
        <w:snapToGrid w:val="0"/>
        <w:spacing w:line="360" w:lineRule="auto"/>
        <w:ind w:left="2035"/>
        <w:rPr>
          <w:color w:val="000000"/>
          <w:sz w:val="24"/>
        </w:rPr>
      </w:pPr>
      <w:r>
        <w:rPr>
          <w:color w:val="000000"/>
          <w:sz w:val="24"/>
        </w:rPr>
        <w:t>大写金额和小写金额不一致的，以大写金额为准；</w:t>
      </w:r>
    </w:p>
    <w:p w14:paraId="11690007">
      <w:pPr>
        <w:numPr>
          <w:ilvl w:val="2"/>
          <w:numId w:val="12"/>
        </w:numPr>
        <w:tabs>
          <w:tab w:val="left" w:pos="2035"/>
          <w:tab w:val="left" w:pos="2114"/>
          <w:tab w:val="left" w:pos="2977"/>
        </w:tabs>
        <w:snapToGrid w:val="0"/>
        <w:spacing w:line="360" w:lineRule="auto"/>
        <w:ind w:left="2035"/>
        <w:rPr>
          <w:color w:val="000000"/>
          <w:sz w:val="24"/>
        </w:rPr>
      </w:pPr>
      <w:r>
        <w:rPr>
          <w:color w:val="000000"/>
          <w:sz w:val="24"/>
        </w:rPr>
        <w:t>单价金额小数点或者百分比有明显错位的，以开标一览表的总价为准，并修改单价；</w:t>
      </w:r>
    </w:p>
    <w:p w14:paraId="39783A69">
      <w:pPr>
        <w:numPr>
          <w:ilvl w:val="2"/>
          <w:numId w:val="12"/>
        </w:numPr>
        <w:tabs>
          <w:tab w:val="left" w:pos="2035"/>
          <w:tab w:val="left" w:pos="2114"/>
          <w:tab w:val="left" w:pos="2977"/>
        </w:tabs>
        <w:snapToGrid w:val="0"/>
        <w:spacing w:line="360" w:lineRule="auto"/>
        <w:ind w:left="2035"/>
        <w:rPr>
          <w:color w:val="000000"/>
          <w:sz w:val="24"/>
        </w:rPr>
      </w:pPr>
      <w:r>
        <w:rPr>
          <w:color w:val="000000"/>
          <w:sz w:val="24"/>
        </w:rPr>
        <w:t>总价金额与按单价汇总金额不一致的，以单价金额计算结果为准。</w:t>
      </w:r>
    </w:p>
    <w:p w14:paraId="54556540">
      <w:pPr>
        <w:numPr>
          <w:ilvl w:val="2"/>
          <w:numId w:val="12"/>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w:t>
      </w:r>
    </w:p>
    <w:p w14:paraId="529E8321">
      <w:pPr>
        <w:numPr>
          <w:ilvl w:val="2"/>
          <w:numId w:val="12"/>
        </w:numPr>
        <w:tabs>
          <w:tab w:val="left" w:pos="1080"/>
          <w:tab w:val="left" w:pos="1589"/>
          <w:tab w:val="left" w:pos="2035"/>
          <w:tab w:val="left" w:pos="2114"/>
        </w:tabs>
        <w:snapToGrid w:val="0"/>
        <w:spacing w:line="360" w:lineRule="auto"/>
        <w:ind w:left="2035"/>
        <w:rPr>
          <w:sz w:val="24"/>
        </w:rPr>
      </w:pPr>
      <w:r>
        <w:rPr>
          <w:sz w:val="24"/>
        </w:rPr>
        <w:t>修正后的报价经投标人书面确认后产生约束力，投标人不确认的，其</w:t>
      </w:r>
      <w:r>
        <w:rPr>
          <w:b/>
          <w:sz w:val="24"/>
        </w:rPr>
        <w:t>投标无效</w:t>
      </w:r>
      <w:r>
        <w:rPr>
          <w:sz w:val="24"/>
        </w:rPr>
        <w:t>。</w:t>
      </w:r>
    </w:p>
    <w:p w14:paraId="5F08CAD7">
      <w:pPr>
        <w:numPr>
          <w:ilvl w:val="1"/>
          <w:numId w:val="12"/>
        </w:numPr>
        <w:tabs>
          <w:tab w:val="left" w:pos="1080"/>
        </w:tabs>
        <w:snapToGrid w:val="0"/>
        <w:spacing w:line="360" w:lineRule="auto"/>
        <w:ind w:left="1077" w:hanging="720"/>
        <w:rPr>
          <w:sz w:val="24"/>
        </w:rPr>
      </w:pPr>
      <w:r>
        <w:rPr>
          <w:sz w:val="24"/>
        </w:rPr>
        <w:t>落实政府采购政策的价格调整：只有符合第二章《投标人须知》5.2条规定情形的，可以享受中小企业扶持政策，用扣除后的价格参加评审；否则，评标时价格不予扣除。</w:t>
      </w:r>
    </w:p>
    <w:p w14:paraId="46F92CD0">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sz w:val="24"/>
          <w:u w:val="single"/>
        </w:rPr>
        <w:t xml:space="preserve">10 </w:t>
      </w:r>
      <w:r>
        <w:rPr>
          <w:sz w:val="24"/>
        </w:rPr>
        <w:t>%的扣除，用扣除后的价格参加评审。</w:t>
      </w:r>
    </w:p>
    <w:p w14:paraId="6594D071">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sz w:val="24"/>
          <w:u w:val="single"/>
        </w:rPr>
        <w:t xml:space="preserve"> </w:t>
      </w:r>
      <w:r>
        <w:rPr>
          <w:color w:val="000000"/>
          <w:sz w:val="24"/>
          <w:u w:val="single"/>
        </w:rPr>
        <w:t xml:space="preserve">6 </w:t>
      </w:r>
      <w:r>
        <w:rPr>
          <w:sz w:val="24"/>
        </w:rPr>
        <w:t>%的扣除，用扣除后的价格参加评审。</w:t>
      </w:r>
    </w:p>
    <w:p w14:paraId="7C8AA11D">
      <w:pPr>
        <w:numPr>
          <w:ilvl w:val="2"/>
          <w:numId w:val="12"/>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14:paraId="7CF1D26B">
      <w:pPr>
        <w:numPr>
          <w:ilvl w:val="2"/>
          <w:numId w:val="12"/>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14:paraId="53EEF12E">
      <w:pPr>
        <w:numPr>
          <w:ilvl w:val="2"/>
          <w:numId w:val="12"/>
        </w:numPr>
        <w:tabs>
          <w:tab w:val="left" w:pos="1080"/>
          <w:tab w:val="left" w:pos="1589"/>
          <w:tab w:val="left" w:pos="2035"/>
        </w:tabs>
        <w:snapToGrid w:val="0"/>
        <w:spacing w:line="360" w:lineRule="auto"/>
        <w:ind w:left="2035"/>
        <w:rPr>
          <w:sz w:val="24"/>
        </w:rPr>
      </w:pPr>
      <w:r>
        <w:rPr>
          <w:color w:val="000000"/>
          <w:sz w:val="24"/>
        </w:rPr>
        <w:t>中小企业参加政府采购活动，应当按照招标文件给定的格式出具《中小企业声明函》，否则不得享受相关中小企业扶持政策。</w:t>
      </w:r>
    </w:p>
    <w:p w14:paraId="57C7612D">
      <w:pPr>
        <w:numPr>
          <w:ilvl w:val="2"/>
          <w:numId w:val="12"/>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14:paraId="2F114BB0">
      <w:pPr>
        <w:numPr>
          <w:ilvl w:val="2"/>
          <w:numId w:val="12"/>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残疾人福利性单位按招标文件要求提供了《残疾人福利性单位声明函》的，视同小微企业。</w:t>
      </w:r>
    </w:p>
    <w:p w14:paraId="6C7A3975">
      <w:pPr>
        <w:numPr>
          <w:ilvl w:val="2"/>
          <w:numId w:val="12"/>
        </w:numPr>
        <w:tabs>
          <w:tab w:val="left" w:pos="1080"/>
          <w:tab w:val="left" w:pos="1589"/>
          <w:tab w:val="left" w:pos="2014"/>
          <w:tab w:val="clear" w:pos="1980"/>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14:paraId="0E6FCB87">
      <w:pPr>
        <w:numPr>
          <w:ilvl w:val="0"/>
          <w:numId w:val="12"/>
        </w:numPr>
        <w:tabs>
          <w:tab w:val="left" w:pos="360"/>
        </w:tabs>
        <w:snapToGrid w:val="0"/>
        <w:spacing w:line="360" w:lineRule="auto"/>
        <w:outlineLvl w:val="1"/>
        <w:rPr>
          <w:sz w:val="24"/>
        </w:rPr>
      </w:pPr>
      <w:r>
        <w:rPr>
          <w:sz w:val="24"/>
        </w:rPr>
        <w:t>投标文件的比较和评价</w:t>
      </w:r>
      <w:bookmarkEnd w:id="771"/>
      <w:bookmarkEnd w:id="772"/>
    </w:p>
    <w:p w14:paraId="07BB4E54">
      <w:pPr>
        <w:numPr>
          <w:ilvl w:val="1"/>
          <w:numId w:val="12"/>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14:paraId="3EC2D2A1">
      <w:pPr>
        <w:numPr>
          <w:ilvl w:val="1"/>
          <w:numId w:val="12"/>
        </w:numPr>
        <w:tabs>
          <w:tab w:val="left" w:pos="1080"/>
        </w:tabs>
        <w:snapToGrid w:val="0"/>
        <w:spacing w:line="360" w:lineRule="auto"/>
        <w:ind w:left="1077" w:hanging="720"/>
        <w:rPr>
          <w:sz w:val="24"/>
        </w:rPr>
      </w:pPr>
      <w:r>
        <w:rPr>
          <w:sz w:val="24"/>
        </w:rPr>
        <w:t>评标方法和评标标准</w:t>
      </w:r>
    </w:p>
    <w:p w14:paraId="43FCE345">
      <w:pPr>
        <w:numPr>
          <w:ilvl w:val="2"/>
          <w:numId w:val="12"/>
        </w:numPr>
        <w:tabs>
          <w:tab w:val="left" w:pos="1080"/>
          <w:tab w:val="left" w:pos="1589"/>
          <w:tab w:val="left" w:pos="2035"/>
        </w:tabs>
        <w:snapToGrid w:val="0"/>
        <w:spacing w:line="360" w:lineRule="auto"/>
        <w:ind w:left="2035"/>
        <w:rPr>
          <w:sz w:val="24"/>
        </w:rPr>
      </w:pPr>
      <w:r>
        <w:rPr>
          <w:sz w:val="24"/>
        </w:rPr>
        <w:t>本项目采用的评标方法为：</w:t>
      </w:r>
    </w:p>
    <w:p w14:paraId="45FEB33B">
      <w:pPr>
        <w:tabs>
          <w:tab w:val="left" w:pos="900"/>
          <w:tab w:val="left" w:pos="1589"/>
          <w:tab w:val="left" w:pos="1701"/>
        </w:tabs>
        <w:snapToGrid w:val="0"/>
        <w:spacing w:line="360" w:lineRule="auto"/>
        <w:ind w:left="1985"/>
        <w:rPr>
          <w:sz w:val="24"/>
        </w:rPr>
      </w:pPr>
      <w:r>
        <w:rPr>
          <w:b/>
          <w:color w:val="000000"/>
          <w:sz w:val="24"/>
        </w:rPr>
        <w:t>■</w:t>
      </w:r>
      <w:r>
        <w:rPr>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20817256">
      <w:pPr>
        <w:tabs>
          <w:tab w:val="left" w:pos="900"/>
          <w:tab w:val="left" w:pos="1589"/>
          <w:tab w:val="left" w:pos="1701"/>
        </w:tabs>
        <w:snapToGrid w:val="0"/>
        <w:spacing w:line="360" w:lineRule="auto"/>
        <w:ind w:left="1985"/>
        <w:rPr>
          <w:sz w:val="24"/>
        </w:rPr>
      </w:pPr>
      <w:r>
        <w:rPr>
          <w:sz w:val="24"/>
        </w:rPr>
        <w:t>□最低评标价法，指投标文件满足招标文件全部实质性要求，且投标报价最低的投标人为中标候选人的评标方法。</w:t>
      </w:r>
    </w:p>
    <w:p w14:paraId="3D1EC4B2">
      <w:pPr>
        <w:numPr>
          <w:ilvl w:val="2"/>
          <w:numId w:val="12"/>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14:paraId="7E2D5D5E">
      <w:pPr>
        <w:tabs>
          <w:tab w:val="left" w:pos="1080"/>
          <w:tab w:val="left" w:pos="1589"/>
          <w:tab w:val="left" w:pos="2035"/>
        </w:tabs>
        <w:snapToGrid w:val="0"/>
        <w:spacing w:line="360" w:lineRule="auto"/>
        <w:ind w:left="2035"/>
        <w:rPr>
          <w:sz w:val="24"/>
        </w:rPr>
      </w:pPr>
      <w:r>
        <w:rPr>
          <w:b/>
          <w:color w:val="000000"/>
          <w:sz w:val="24"/>
        </w:rPr>
        <w:t>■</w:t>
      </w:r>
      <w:r>
        <w:rPr>
          <w:sz w:val="24"/>
        </w:rPr>
        <w:t>随机抽取</w:t>
      </w:r>
    </w:p>
    <w:p w14:paraId="546CDE33">
      <w:pPr>
        <w:tabs>
          <w:tab w:val="left" w:pos="1080"/>
          <w:tab w:val="left" w:pos="1589"/>
          <w:tab w:val="left" w:pos="2035"/>
        </w:tabs>
        <w:snapToGrid w:val="0"/>
        <w:spacing w:line="360" w:lineRule="auto"/>
        <w:ind w:left="2035"/>
        <w:rPr>
          <w:sz w:val="24"/>
          <w:u w:val="single"/>
        </w:rPr>
      </w:pPr>
      <w:r>
        <w:rPr>
          <w:sz w:val="24"/>
        </w:rPr>
        <w:t>□其他方式，具体要求：_____</w:t>
      </w:r>
    </w:p>
    <w:p w14:paraId="280619BB">
      <w:pPr>
        <w:numPr>
          <w:ilvl w:val="2"/>
          <w:numId w:val="12"/>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w:t>
      </w:r>
      <w:r>
        <w:rPr>
          <w:rFonts w:hAnsi="宋体" w:cs="Arial"/>
          <w:color w:val="000000"/>
          <w:spacing w:val="-1"/>
          <w:u w:val="single"/>
        </w:rPr>
        <w:t xml:space="preserve">  /  </w:t>
      </w:r>
      <w:r>
        <w:rPr>
          <w:sz w:val="24"/>
        </w:rPr>
        <w:t>。</w:t>
      </w:r>
    </w:p>
    <w:p w14:paraId="6C685308">
      <w:pPr>
        <w:numPr>
          <w:ilvl w:val="0"/>
          <w:numId w:val="12"/>
        </w:numPr>
        <w:tabs>
          <w:tab w:val="left" w:pos="360"/>
        </w:tabs>
        <w:snapToGrid w:val="0"/>
        <w:spacing w:line="360" w:lineRule="auto"/>
        <w:outlineLvl w:val="1"/>
        <w:rPr>
          <w:sz w:val="24"/>
        </w:rPr>
      </w:pPr>
      <w:r>
        <w:rPr>
          <w:sz w:val="24"/>
        </w:rPr>
        <w:t>确定</w:t>
      </w:r>
      <w:bookmarkStart w:id="789" w:name="_Toc226309790"/>
      <w:bookmarkStart w:id="790" w:name="_Toc151193788"/>
      <w:bookmarkStart w:id="791" w:name="_Toc305158814"/>
      <w:bookmarkStart w:id="792" w:name="_Toc151193644"/>
      <w:bookmarkStart w:id="793" w:name="_Toc150774646"/>
      <w:bookmarkStart w:id="794" w:name="_Toc151190173"/>
      <w:bookmarkStart w:id="795" w:name="_Toc150480784"/>
      <w:bookmarkStart w:id="796" w:name="_Toc151193860"/>
      <w:bookmarkStart w:id="797" w:name="_Toc164351640"/>
      <w:bookmarkStart w:id="798" w:name="_Toc127151546"/>
      <w:bookmarkStart w:id="799" w:name="_Toc520356170"/>
      <w:bookmarkStart w:id="800" w:name="_Toc164608660"/>
      <w:bookmarkStart w:id="801" w:name="_Toc264969236"/>
      <w:bookmarkStart w:id="802" w:name="_Toc142311048"/>
      <w:bookmarkStart w:id="803" w:name="_Toc305158888"/>
      <w:bookmarkStart w:id="804" w:name="_Toc149720839"/>
      <w:bookmarkStart w:id="805" w:name="_Toc150509297"/>
      <w:bookmarkStart w:id="806" w:name="_Toc150774751"/>
      <w:bookmarkStart w:id="807" w:name="_Toc164229387"/>
      <w:bookmarkStart w:id="808" w:name="_Toc226965736"/>
      <w:bookmarkStart w:id="809" w:name="_Ref467307010"/>
      <w:bookmarkStart w:id="810" w:name="_Toc164229241"/>
      <w:bookmarkStart w:id="811" w:name="_Toc226965819"/>
      <w:bookmarkStart w:id="812" w:name="_Toc226337242"/>
      <w:bookmarkStart w:id="813" w:name="_Toc127151747"/>
      <w:bookmarkStart w:id="814" w:name="_Toc265228384"/>
      <w:bookmarkStart w:id="815" w:name="_Toc195842911"/>
      <w:bookmarkStart w:id="816" w:name="_Toc127161460"/>
      <w:bookmarkStart w:id="817" w:name="_Toc164608815"/>
      <w:bookmarkStart w:id="818" w:name="_Toc151193934"/>
      <w:bookmarkStart w:id="819" w:name="_Toc151193716"/>
      <w:r>
        <w:rPr>
          <w:sz w:val="24"/>
        </w:rPr>
        <w:t>中标候选人名单</w:t>
      </w:r>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p>
    <w:p w14:paraId="5B99C4BC">
      <w:pPr>
        <w:numPr>
          <w:ilvl w:val="1"/>
          <w:numId w:val="12"/>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78DDE18E">
      <w:pPr>
        <w:pStyle w:val="23"/>
        <w:tabs>
          <w:tab w:val="left" w:pos="900"/>
          <w:tab w:val="left" w:pos="2127"/>
        </w:tabs>
        <w:adjustRightInd w:val="0"/>
        <w:snapToGrid w:val="0"/>
        <w:spacing w:line="360" w:lineRule="auto"/>
        <w:ind w:left="993" w:firstLine="136" w:firstLineChars="57"/>
        <w:rPr>
          <w:rFonts w:hint="default" w:ascii="Times New Roman" w:hAnsi="Times New Roman"/>
          <w:sz w:val="24"/>
          <w:szCs w:val="24"/>
        </w:rPr>
      </w:pPr>
      <w:r>
        <w:rPr>
          <w:rFonts w:hint="default" w:ascii="Times New Roman" w:hAnsi="Times New Roman"/>
          <w:sz w:val="24"/>
          <w:szCs w:val="24"/>
        </w:rPr>
        <w:t>□随机抽取</w:t>
      </w:r>
    </w:p>
    <w:p w14:paraId="3EF6C2AA">
      <w:pPr>
        <w:pStyle w:val="23"/>
        <w:tabs>
          <w:tab w:val="left" w:pos="900"/>
          <w:tab w:val="left" w:pos="2127"/>
        </w:tabs>
        <w:adjustRightInd w:val="0"/>
        <w:snapToGrid w:val="0"/>
        <w:spacing w:line="360" w:lineRule="auto"/>
        <w:ind w:left="993" w:firstLine="137" w:firstLineChars="57"/>
        <w:rPr>
          <w:rFonts w:hint="default" w:ascii="Times New Roman" w:hAnsi="Times New Roman"/>
          <w:sz w:val="24"/>
          <w:szCs w:val="24"/>
        </w:rPr>
      </w:pPr>
      <w:r>
        <w:rPr>
          <w:rFonts w:hint="default" w:ascii="Times New Roman" w:hAnsi="Times New Roman"/>
          <w:b/>
          <w:color w:val="000000"/>
          <w:sz w:val="24"/>
        </w:rPr>
        <w:t>■</w:t>
      </w:r>
      <w:r>
        <w:rPr>
          <w:rFonts w:hint="default" w:ascii="Times New Roman" w:hAnsi="Times New Roman"/>
          <w:sz w:val="24"/>
          <w:szCs w:val="24"/>
        </w:rPr>
        <w:t>其他方式，具体要求：</w:t>
      </w:r>
      <w:r>
        <w:rPr>
          <w:rFonts w:ascii="Times New Roman" w:hAnsi="Times New Roman"/>
          <w:color w:val="000000"/>
          <w:sz w:val="24"/>
          <w:szCs w:val="24"/>
          <w:u w:val="single"/>
        </w:rPr>
        <w:t>按技术部分得分高者获得中标人推荐资格</w:t>
      </w:r>
    </w:p>
    <w:p w14:paraId="1E52A035">
      <w:pPr>
        <w:numPr>
          <w:ilvl w:val="1"/>
          <w:numId w:val="12"/>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45F0092B">
      <w:pPr>
        <w:numPr>
          <w:ilvl w:val="1"/>
          <w:numId w:val="12"/>
        </w:numPr>
        <w:tabs>
          <w:tab w:val="left" w:pos="1080"/>
        </w:tabs>
        <w:snapToGrid w:val="0"/>
        <w:spacing w:line="360" w:lineRule="auto"/>
        <w:ind w:left="1077" w:hanging="720"/>
        <w:rPr>
          <w:sz w:val="24"/>
        </w:rPr>
      </w:pPr>
      <w:r>
        <w:rPr>
          <w:sz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77A60B75">
      <w:pPr>
        <w:numPr>
          <w:ilvl w:val="1"/>
          <w:numId w:val="12"/>
        </w:numPr>
        <w:tabs>
          <w:tab w:val="left" w:pos="1080"/>
        </w:tabs>
        <w:snapToGrid w:val="0"/>
        <w:spacing w:line="360" w:lineRule="auto"/>
        <w:ind w:left="1077" w:hanging="720"/>
        <w:rPr>
          <w:sz w:val="24"/>
        </w:rPr>
      </w:pPr>
      <w:r>
        <w:rPr>
          <w:sz w:val="24"/>
        </w:rPr>
        <w:t>评标委员会要对评分汇总情况进行复核，特别是对排名第一的、报价最低的、投标或响应文件被认定为无效的情形进行重点复核。</w:t>
      </w:r>
    </w:p>
    <w:p w14:paraId="51FD65C5">
      <w:pPr>
        <w:numPr>
          <w:ilvl w:val="1"/>
          <w:numId w:val="12"/>
        </w:numPr>
        <w:tabs>
          <w:tab w:val="left" w:pos="1080"/>
        </w:tabs>
        <w:snapToGrid w:val="0"/>
        <w:spacing w:line="360" w:lineRule="auto"/>
        <w:ind w:left="1077" w:hanging="720"/>
        <w:rPr>
          <w:sz w:val="24"/>
        </w:rPr>
      </w:pPr>
      <w:r>
        <w:rPr>
          <w:sz w:val="24"/>
        </w:rPr>
        <w:t>评标委员会将根据各投标人的评标排序，依次推荐本项目（各采购包）的中标候选人，起草并签署评标报告。本项目（各采购包）评标委员会共（各）推荐</w:t>
      </w:r>
      <w:r>
        <w:rPr>
          <w:rFonts w:hint="eastAsia"/>
          <w:sz w:val="24"/>
          <w:u w:val="single"/>
        </w:rPr>
        <w:t xml:space="preserve"> </w:t>
      </w:r>
      <w:r>
        <w:rPr>
          <w:sz w:val="24"/>
          <w:u w:val="single"/>
        </w:rPr>
        <w:t>3</w:t>
      </w:r>
      <w:r>
        <w:rPr>
          <w:sz w:val="24"/>
        </w:rPr>
        <w:t>名中标候选人。</w:t>
      </w:r>
    </w:p>
    <w:p w14:paraId="6BC67896">
      <w:pPr>
        <w:numPr>
          <w:ilvl w:val="0"/>
          <w:numId w:val="12"/>
        </w:numPr>
        <w:tabs>
          <w:tab w:val="left" w:pos="360"/>
        </w:tabs>
        <w:snapToGrid w:val="0"/>
        <w:spacing w:line="360" w:lineRule="auto"/>
        <w:outlineLvl w:val="1"/>
        <w:rPr>
          <w:sz w:val="24"/>
        </w:rPr>
      </w:pPr>
      <w:r>
        <w:rPr>
          <w:sz w:val="24"/>
        </w:rPr>
        <w:t>报告违法行为</w:t>
      </w:r>
    </w:p>
    <w:p w14:paraId="59503A5B">
      <w:pPr>
        <w:numPr>
          <w:ilvl w:val="1"/>
          <w:numId w:val="12"/>
        </w:numPr>
        <w:tabs>
          <w:tab w:val="left" w:pos="1080"/>
        </w:tabs>
        <w:snapToGrid w:val="0"/>
        <w:spacing w:line="360" w:lineRule="auto"/>
        <w:ind w:left="1077" w:hanging="720"/>
        <w:rPr>
          <w:sz w:val="24"/>
        </w:rPr>
      </w:pPr>
      <w:r>
        <w:rPr>
          <w:sz w:val="24"/>
        </w:rPr>
        <w:t>评标委员会在评标过程中发现投标人有行贿、提供虚假材料或者串通等违法行为时，应当及时向财政部门报告。</w:t>
      </w:r>
    </w:p>
    <w:p w14:paraId="51F6AA83">
      <w:pPr>
        <w:widowControl/>
        <w:jc w:val="left"/>
        <w:rPr>
          <w:b/>
          <w:sz w:val="24"/>
        </w:rPr>
      </w:pPr>
      <w:r>
        <w:rPr>
          <w:b/>
          <w:sz w:val="24"/>
        </w:rPr>
        <w:br w:type="page"/>
      </w:r>
    </w:p>
    <w:p w14:paraId="3390B489">
      <w:pPr>
        <w:tabs>
          <w:tab w:val="left" w:pos="360"/>
          <w:tab w:val="left" w:pos="900"/>
        </w:tabs>
        <w:snapToGrid w:val="0"/>
        <w:spacing w:line="360" w:lineRule="auto"/>
        <w:jc w:val="center"/>
        <w:outlineLvl w:val="1"/>
        <w:rPr>
          <w:b/>
          <w:sz w:val="36"/>
          <w:szCs w:val="36"/>
        </w:rPr>
      </w:pPr>
      <w:r>
        <w:rPr>
          <w:b/>
          <w:sz w:val="24"/>
        </w:rPr>
        <w:t>二、评标标准</w:t>
      </w:r>
    </w:p>
    <w:tbl>
      <w:tblPr>
        <w:tblStyle w:val="42"/>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
        <w:gridCol w:w="1097"/>
        <w:gridCol w:w="583"/>
        <w:gridCol w:w="7488"/>
      </w:tblGrid>
      <w:tr w14:paraId="718BE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blHeader/>
          <w:jc w:val="center"/>
        </w:trPr>
        <w:tc>
          <w:tcPr>
            <w:tcW w:w="892" w:type="dxa"/>
            <w:vAlign w:val="center"/>
          </w:tcPr>
          <w:p w14:paraId="23C6320F">
            <w:pPr>
              <w:jc w:val="center"/>
              <w:rPr>
                <w:rFonts w:ascii="宋体" w:hAnsi="宋体"/>
                <w:b/>
                <w:bCs/>
                <w:sz w:val="24"/>
              </w:rPr>
            </w:pPr>
            <w:r>
              <w:rPr>
                <w:rFonts w:hint="eastAsia" w:ascii="宋体" w:hAnsi="宋体"/>
                <w:b/>
                <w:bCs/>
                <w:sz w:val="24"/>
              </w:rPr>
              <w:t>评审</w:t>
            </w:r>
          </w:p>
          <w:p w14:paraId="057B2432">
            <w:pPr>
              <w:jc w:val="center"/>
              <w:rPr>
                <w:rFonts w:ascii="宋体" w:hAnsi="宋体" w:cs="Tahoma"/>
                <w:b/>
                <w:bCs/>
                <w:sz w:val="24"/>
              </w:rPr>
            </w:pPr>
            <w:r>
              <w:rPr>
                <w:rFonts w:hint="eastAsia" w:ascii="宋体" w:hAnsi="宋体"/>
                <w:b/>
                <w:bCs/>
                <w:sz w:val="24"/>
              </w:rPr>
              <w:t>条款</w:t>
            </w:r>
          </w:p>
        </w:tc>
        <w:tc>
          <w:tcPr>
            <w:tcW w:w="1097" w:type="dxa"/>
            <w:vAlign w:val="center"/>
          </w:tcPr>
          <w:p w14:paraId="60285539">
            <w:pPr>
              <w:jc w:val="center"/>
              <w:rPr>
                <w:rFonts w:ascii="宋体" w:hAnsi="宋体" w:cs="Tahoma"/>
                <w:b/>
                <w:bCs/>
                <w:sz w:val="24"/>
              </w:rPr>
            </w:pPr>
            <w:r>
              <w:rPr>
                <w:rFonts w:hint="eastAsia" w:ascii="宋体" w:hAnsi="宋体"/>
                <w:b/>
                <w:bCs/>
                <w:sz w:val="24"/>
              </w:rPr>
              <w:t>评审内容</w:t>
            </w:r>
          </w:p>
        </w:tc>
        <w:tc>
          <w:tcPr>
            <w:tcW w:w="583" w:type="dxa"/>
            <w:vAlign w:val="center"/>
          </w:tcPr>
          <w:p w14:paraId="065A5B5B">
            <w:pPr>
              <w:jc w:val="center"/>
              <w:rPr>
                <w:rFonts w:ascii="宋体" w:hAnsi="宋体" w:cs="Tahoma"/>
                <w:b/>
                <w:bCs/>
                <w:sz w:val="24"/>
              </w:rPr>
            </w:pPr>
            <w:r>
              <w:rPr>
                <w:rFonts w:hint="eastAsia" w:ascii="宋体" w:hAnsi="宋体"/>
                <w:b/>
                <w:bCs/>
                <w:sz w:val="24"/>
              </w:rPr>
              <w:t>分值</w:t>
            </w:r>
          </w:p>
        </w:tc>
        <w:tc>
          <w:tcPr>
            <w:tcW w:w="7488" w:type="dxa"/>
            <w:vAlign w:val="center"/>
          </w:tcPr>
          <w:p w14:paraId="536F57E6">
            <w:pPr>
              <w:jc w:val="center"/>
              <w:rPr>
                <w:rFonts w:ascii="宋体" w:hAnsi="宋体" w:cs="Tahoma"/>
                <w:b/>
                <w:bCs/>
                <w:sz w:val="24"/>
              </w:rPr>
            </w:pPr>
            <w:r>
              <w:rPr>
                <w:rFonts w:hint="eastAsia" w:ascii="宋体" w:hAnsi="宋体"/>
                <w:b/>
                <w:bCs/>
                <w:sz w:val="24"/>
              </w:rPr>
              <w:t>打分标准</w:t>
            </w:r>
          </w:p>
        </w:tc>
      </w:tr>
      <w:tr w14:paraId="3EC11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892" w:type="dxa"/>
            <w:vAlign w:val="center"/>
          </w:tcPr>
          <w:p w14:paraId="1E692258">
            <w:pPr>
              <w:jc w:val="center"/>
              <w:rPr>
                <w:rFonts w:ascii="宋体" w:hAnsi="宋体"/>
                <w:sz w:val="24"/>
              </w:rPr>
            </w:pPr>
            <w:r>
              <w:rPr>
                <w:rFonts w:hint="eastAsia" w:ascii="宋体" w:hAnsi="宋体"/>
                <w:sz w:val="24"/>
              </w:rPr>
              <w:t>价格</w:t>
            </w:r>
          </w:p>
          <w:p w14:paraId="42573A73">
            <w:pPr>
              <w:jc w:val="center"/>
              <w:rPr>
                <w:rFonts w:ascii="宋体" w:hAnsi="宋体" w:cs="Tahoma"/>
                <w:sz w:val="24"/>
              </w:rPr>
            </w:pPr>
            <w:r>
              <w:rPr>
                <w:rFonts w:hint="eastAsia" w:ascii="宋体" w:hAnsi="宋体"/>
                <w:sz w:val="24"/>
              </w:rPr>
              <w:t>(10分)</w:t>
            </w:r>
          </w:p>
        </w:tc>
        <w:tc>
          <w:tcPr>
            <w:tcW w:w="1097" w:type="dxa"/>
            <w:vAlign w:val="center"/>
          </w:tcPr>
          <w:p w14:paraId="276A1543">
            <w:pPr>
              <w:jc w:val="center"/>
              <w:rPr>
                <w:rFonts w:ascii="宋体" w:hAnsi="宋体" w:cs="Tahoma"/>
                <w:sz w:val="24"/>
              </w:rPr>
            </w:pPr>
            <w:r>
              <w:rPr>
                <w:rFonts w:hint="eastAsia" w:ascii="宋体" w:hAnsi="宋体"/>
                <w:sz w:val="24"/>
              </w:rPr>
              <w:t>价格</w:t>
            </w:r>
          </w:p>
        </w:tc>
        <w:tc>
          <w:tcPr>
            <w:tcW w:w="583" w:type="dxa"/>
            <w:vAlign w:val="center"/>
          </w:tcPr>
          <w:p w14:paraId="2BBE69C2">
            <w:pPr>
              <w:jc w:val="center"/>
              <w:rPr>
                <w:rFonts w:ascii="宋体" w:hAnsi="宋体" w:cs="Tahoma"/>
                <w:sz w:val="24"/>
              </w:rPr>
            </w:pPr>
            <w:r>
              <w:rPr>
                <w:rFonts w:hint="eastAsia" w:ascii="宋体" w:hAnsi="宋体"/>
                <w:sz w:val="24"/>
              </w:rPr>
              <w:t>10</w:t>
            </w:r>
          </w:p>
        </w:tc>
        <w:tc>
          <w:tcPr>
            <w:tcW w:w="7488" w:type="dxa"/>
            <w:vAlign w:val="center"/>
          </w:tcPr>
          <w:p w14:paraId="75221ED3">
            <w:pPr>
              <w:jc w:val="left"/>
              <w:rPr>
                <w:rFonts w:ascii="宋体" w:hAnsi="宋体" w:cs="Tahoma"/>
                <w:sz w:val="24"/>
              </w:rPr>
            </w:pPr>
            <w:r>
              <w:rPr>
                <w:rFonts w:hint="eastAsia" w:ascii="宋体" w:hAnsi="宋体" w:cs="Tahoma"/>
                <w:sz w:val="24"/>
              </w:rPr>
              <w:t>满足招标文件要求且投标价格最低的投标报价为评标基准价，其价格分为满分。其他投标人的价格分统一按照下列公式计算：</w:t>
            </w:r>
          </w:p>
          <w:p w14:paraId="22B6C78B">
            <w:pPr>
              <w:jc w:val="left"/>
              <w:rPr>
                <w:rFonts w:ascii="宋体" w:hAnsi="宋体" w:cs="Tahoma"/>
                <w:sz w:val="24"/>
              </w:rPr>
            </w:pPr>
            <w:r>
              <w:rPr>
                <w:rFonts w:hint="eastAsia" w:ascii="宋体" w:hAnsi="宋体" w:cs="Tahoma"/>
                <w:sz w:val="24"/>
              </w:rPr>
              <w:t>投标报价得分＝（评标基准价/投标报价）×分值。</w:t>
            </w:r>
          </w:p>
          <w:p w14:paraId="7D299DD6">
            <w:pPr>
              <w:jc w:val="left"/>
              <w:rPr>
                <w:rFonts w:ascii="宋体" w:hAnsi="宋体" w:cs="Tahoma"/>
                <w:sz w:val="24"/>
              </w:rPr>
            </w:pPr>
            <w:r>
              <w:rPr>
                <w:rFonts w:hint="eastAsia" w:ascii="宋体" w:hAnsi="宋体" w:cs="Tahoma"/>
                <w:sz w:val="24"/>
              </w:rPr>
              <w:t>注：此处投标报价指经过报价修正，及因落实政府采购政策进行价格调整后的报价，详见第四章《评标程序、评标方法和评标标准》2.4及2.5。</w:t>
            </w:r>
          </w:p>
        </w:tc>
      </w:tr>
      <w:tr w14:paraId="20347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0" w:hRule="atLeast"/>
          <w:jc w:val="center"/>
        </w:trPr>
        <w:tc>
          <w:tcPr>
            <w:tcW w:w="892" w:type="dxa"/>
            <w:vMerge w:val="restart"/>
            <w:vAlign w:val="center"/>
          </w:tcPr>
          <w:p w14:paraId="1140A25A">
            <w:pPr>
              <w:jc w:val="center"/>
              <w:rPr>
                <w:rFonts w:ascii="宋体" w:hAnsi="宋体"/>
                <w:sz w:val="24"/>
              </w:rPr>
            </w:pPr>
            <w:r>
              <w:rPr>
                <w:rFonts w:hint="eastAsia" w:ascii="宋体" w:hAnsi="宋体"/>
                <w:sz w:val="24"/>
              </w:rPr>
              <w:t>商务</w:t>
            </w:r>
          </w:p>
          <w:p w14:paraId="77A12092">
            <w:pPr>
              <w:jc w:val="center"/>
              <w:rPr>
                <w:rFonts w:ascii="宋体" w:hAnsi="宋体" w:cs="Tahoma"/>
                <w:sz w:val="24"/>
              </w:rPr>
            </w:pPr>
            <w:r>
              <w:rPr>
                <w:rFonts w:hint="eastAsia" w:ascii="宋体" w:hAnsi="宋体"/>
                <w:sz w:val="24"/>
              </w:rPr>
              <w:t>部分</w:t>
            </w:r>
          </w:p>
          <w:p w14:paraId="7B6B84FC">
            <w:pPr>
              <w:jc w:val="center"/>
              <w:rPr>
                <w:rFonts w:ascii="宋体" w:hAnsi="宋体" w:cs="Tahoma"/>
                <w:sz w:val="24"/>
              </w:rPr>
            </w:pPr>
            <w:r>
              <w:rPr>
                <w:rFonts w:hint="eastAsia" w:ascii="宋体" w:hAnsi="宋体"/>
                <w:sz w:val="24"/>
              </w:rPr>
              <w:t>(</w:t>
            </w:r>
            <w:r>
              <w:rPr>
                <w:rFonts w:ascii="宋体" w:hAnsi="宋体"/>
                <w:sz w:val="24"/>
              </w:rPr>
              <w:t>20</w:t>
            </w:r>
            <w:r>
              <w:rPr>
                <w:rFonts w:hint="eastAsia" w:ascii="宋体" w:hAnsi="宋体"/>
                <w:sz w:val="24"/>
              </w:rPr>
              <w:t>分)</w:t>
            </w:r>
          </w:p>
        </w:tc>
        <w:tc>
          <w:tcPr>
            <w:tcW w:w="1097" w:type="dxa"/>
            <w:vAlign w:val="center"/>
          </w:tcPr>
          <w:p w14:paraId="66D9B2CD">
            <w:pPr>
              <w:jc w:val="center"/>
              <w:rPr>
                <w:rFonts w:ascii="宋体" w:hAnsi="宋体"/>
                <w:color w:val="000000"/>
                <w:sz w:val="24"/>
              </w:rPr>
            </w:pPr>
            <w:r>
              <w:rPr>
                <w:rFonts w:hint="eastAsia" w:ascii="宋体" w:hAnsi="宋体"/>
                <w:color w:val="000000"/>
                <w:sz w:val="24"/>
              </w:rPr>
              <w:t>项目组织机构与人员配备</w:t>
            </w:r>
          </w:p>
        </w:tc>
        <w:tc>
          <w:tcPr>
            <w:tcW w:w="583" w:type="dxa"/>
            <w:vAlign w:val="center"/>
          </w:tcPr>
          <w:p w14:paraId="48AD5B08">
            <w:pPr>
              <w:jc w:val="center"/>
              <w:rPr>
                <w:rFonts w:ascii="宋体" w:hAnsi="宋体"/>
                <w:color w:val="000000"/>
                <w:sz w:val="24"/>
              </w:rPr>
            </w:pPr>
            <w:r>
              <w:rPr>
                <w:rFonts w:ascii="宋体" w:hAnsi="宋体"/>
                <w:color w:val="000000"/>
                <w:sz w:val="24"/>
              </w:rPr>
              <w:t>10</w:t>
            </w:r>
          </w:p>
        </w:tc>
        <w:tc>
          <w:tcPr>
            <w:tcW w:w="7488" w:type="dxa"/>
            <w:vAlign w:val="center"/>
          </w:tcPr>
          <w:p w14:paraId="3277335C">
            <w:pPr>
              <w:rPr>
                <w:rFonts w:ascii="宋体" w:hAnsi="宋体"/>
                <w:color w:val="000000"/>
                <w:sz w:val="24"/>
              </w:rPr>
            </w:pPr>
            <w:r>
              <w:rPr>
                <w:rFonts w:hint="eastAsia" w:ascii="宋体" w:hAnsi="宋体"/>
                <w:color w:val="000000"/>
                <w:sz w:val="24"/>
              </w:rPr>
              <w:t>人员架构清晰，岗位配备全面，各岗位职责合理清晰,针对性强，完全满足并优于服务要求，得</w:t>
            </w:r>
            <w:r>
              <w:rPr>
                <w:rFonts w:ascii="宋体" w:hAnsi="宋体"/>
                <w:color w:val="000000"/>
                <w:sz w:val="24"/>
              </w:rPr>
              <w:t>10</w:t>
            </w:r>
            <w:r>
              <w:rPr>
                <w:rFonts w:hint="eastAsia" w:ascii="宋体" w:hAnsi="宋体"/>
                <w:color w:val="000000"/>
                <w:sz w:val="24"/>
              </w:rPr>
              <w:t>分；</w:t>
            </w:r>
          </w:p>
          <w:p w14:paraId="21FA143C">
            <w:pPr>
              <w:rPr>
                <w:rFonts w:ascii="宋体" w:hAnsi="宋体"/>
                <w:color w:val="000000"/>
                <w:sz w:val="24"/>
              </w:rPr>
            </w:pPr>
            <w:r>
              <w:rPr>
                <w:rFonts w:hint="eastAsia" w:ascii="宋体" w:hAnsi="宋体"/>
                <w:color w:val="000000"/>
                <w:sz w:val="24"/>
              </w:rPr>
              <w:t xml:space="preserve">人员架构较为清晰,岗位配备较为全面,各岗位职责基本合理清晰,针对性较强,基本满足服务要求，得 </w:t>
            </w:r>
            <w:r>
              <w:rPr>
                <w:rFonts w:ascii="宋体" w:hAnsi="宋体"/>
                <w:color w:val="000000"/>
                <w:sz w:val="24"/>
              </w:rPr>
              <w:t>7</w:t>
            </w:r>
            <w:r>
              <w:rPr>
                <w:rFonts w:hint="eastAsia" w:ascii="宋体" w:hAnsi="宋体"/>
                <w:color w:val="000000"/>
                <w:sz w:val="24"/>
              </w:rPr>
              <w:t>分；</w:t>
            </w:r>
          </w:p>
          <w:p w14:paraId="1BD94D94">
            <w:pPr>
              <w:rPr>
                <w:rFonts w:ascii="宋体" w:hAnsi="宋体"/>
                <w:color w:val="000000"/>
                <w:sz w:val="24"/>
              </w:rPr>
            </w:pPr>
            <w:r>
              <w:rPr>
                <w:rFonts w:hint="eastAsia" w:ascii="宋体" w:hAnsi="宋体"/>
                <w:color w:val="000000"/>
                <w:sz w:val="24"/>
              </w:rPr>
              <w:t>有基本的人员架构,岗位配备简略有缺失,岗位职责针对性较弱,不能满足服务要求，得</w:t>
            </w:r>
            <w:r>
              <w:rPr>
                <w:rFonts w:ascii="宋体" w:hAnsi="宋体"/>
                <w:color w:val="000000"/>
                <w:sz w:val="24"/>
              </w:rPr>
              <w:t>3</w:t>
            </w:r>
            <w:r>
              <w:rPr>
                <w:rFonts w:hint="eastAsia" w:ascii="宋体" w:hAnsi="宋体"/>
                <w:color w:val="000000"/>
                <w:sz w:val="24"/>
              </w:rPr>
              <w:t>分；</w:t>
            </w:r>
          </w:p>
          <w:p w14:paraId="789FA972">
            <w:pPr>
              <w:rPr>
                <w:rFonts w:ascii="宋体" w:hAnsi="宋体"/>
                <w:color w:val="000000"/>
                <w:sz w:val="24"/>
              </w:rPr>
            </w:pPr>
            <w:r>
              <w:rPr>
                <w:rFonts w:hint="eastAsia" w:ascii="宋体" w:hAnsi="宋体"/>
                <w:color w:val="000000"/>
                <w:sz w:val="24"/>
              </w:rPr>
              <w:t>未提供项目组织机构与人员配备，得0分。</w:t>
            </w:r>
          </w:p>
        </w:tc>
      </w:tr>
      <w:tr w14:paraId="671B9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892" w:type="dxa"/>
            <w:vMerge w:val="continue"/>
            <w:vAlign w:val="center"/>
          </w:tcPr>
          <w:p w14:paraId="17177F52">
            <w:pPr>
              <w:jc w:val="center"/>
              <w:rPr>
                <w:rFonts w:ascii="宋体" w:hAnsi="宋体" w:cs="Tahoma"/>
                <w:sz w:val="24"/>
              </w:rPr>
            </w:pPr>
          </w:p>
        </w:tc>
        <w:tc>
          <w:tcPr>
            <w:tcW w:w="1097" w:type="dxa"/>
            <w:vAlign w:val="center"/>
          </w:tcPr>
          <w:p w14:paraId="7B7C2296">
            <w:pPr>
              <w:jc w:val="center"/>
              <w:rPr>
                <w:rFonts w:ascii="宋体" w:hAnsi="宋体" w:cs="Tahoma"/>
                <w:sz w:val="24"/>
              </w:rPr>
            </w:pPr>
            <w:r>
              <w:rPr>
                <w:rFonts w:hint="eastAsia" w:ascii="宋体" w:hAnsi="宋体"/>
                <w:sz w:val="24"/>
              </w:rPr>
              <w:t>同类项目业绩</w:t>
            </w:r>
          </w:p>
        </w:tc>
        <w:tc>
          <w:tcPr>
            <w:tcW w:w="583" w:type="dxa"/>
            <w:vAlign w:val="center"/>
          </w:tcPr>
          <w:p w14:paraId="6447BE5D">
            <w:pPr>
              <w:jc w:val="center"/>
              <w:rPr>
                <w:rFonts w:ascii="宋体" w:hAnsi="宋体" w:cs="Tahoma"/>
                <w:sz w:val="24"/>
              </w:rPr>
            </w:pPr>
            <w:r>
              <w:rPr>
                <w:rFonts w:ascii="宋体" w:hAnsi="宋体"/>
                <w:sz w:val="24"/>
              </w:rPr>
              <w:t>10</w:t>
            </w:r>
          </w:p>
        </w:tc>
        <w:tc>
          <w:tcPr>
            <w:tcW w:w="7488" w:type="dxa"/>
            <w:vAlign w:val="center"/>
          </w:tcPr>
          <w:p w14:paraId="2F5EE8F4">
            <w:pPr>
              <w:jc w:val="left"/>
              <w:rPr>
                <w:rFonts w:ascii="宋体" w:hAnsi="宋体" w:cs="Tahoma"/>
                <w:color w:val="FF0000"/>
                <w:sz w:val="24"/>
              </w:rPr>
            </w:pPr>
            <w:r>
              <w:rPr>
                <w:rFonts w:hint="eastAsia" w:ascii="宋体" w:hAnsi="宋体"/>
                <w:color w:val="000000"/>
                <w:sz w:val="24"/>
              </w:rPr>
              <w:t>评委根据</w:t>
            </w:r>
            <w:r>
              <w:rPr>
                <w:rFonts w:hint="eastAsia" w:ascii="宋体" w:hAnsi="宋体"/>
                <w:sz w:val="24"/>
              </w:rPr>
              <w:t>投标人</w:t>
            </w:r>
            <w:r>
              <w:rPr>
                <w:rFonts w:hint="eastAsia" w:ascii="宋体" w:hAnsi="宋体"/>
                <w:color w:val="000000"/>
                <w:sz w:val="24"/>
              </w:rPr>
              <w:t>的近三年（202</w:t>
            </w:r>
            <w:r>
              <w:rPr>
                <w:rFonts w:hint="eastAsia" w:ascii="宋体" w:hAnsi="宋体"/>
                <w:color w:val="000000"/>
                <w:sz w:val="24"/>
                <w:lang w:val="en-US" w:eastAsia="zh-CN"/>
              </w:rPr>
              <w:t>2</w:t>
            </w:r>
            <w:r>
              <w:rPr>
                <w:rFonts w:hint="eastAsia" w:ascii="宋体" w:hAnsi="宋体"/>
                <w:color w:val="000000"/>
                <w:sz w:val="24"/>
              </w:rPr>
              <w:t>年</w:t>
            </w:r>
            <w:r>
              <w:rPr>
                <w:rFonts w:ascii="宋体" w:hAnsi="宋体"/>
                <w:color w:val="000000"/>
                <w:sz w:val="24"/>
              </w:rPr>
              <w:t>5</w:t>
            </w:r>
            <w:r>
              <w:rPr>
                <w:rFonts w:hint="eastAsia" w:ascii="宋体" w:hAnsi="宋体"/>
                <w:color w:val="000000"/>
                <w:sz w:val="24"/>
              </w:rPr>
              <w:t>月1日至开标截止日前）完成的</w:t>
            </w:r>
            <w:r>
              <w:rPr>
                <w:rFonts w:hint="eastAsia" w:ascii="宋体" w:hAnsi="宋体"/>
                <w:sz w:val="24"/>
              </w:rPr>
              <w:t>类似服务业绩</w:t>
            </w:r>
            <w:r>
              <w:rPr>
                <w:rFonts w:hint="eastAsia" w:ascii="宋体" w:hAnsi="宋体"/>
                <w:color w:val="000000"/>
                <w:sz w:val="24"/>
              </w:rPr>
              <w:t>，提供一份业绩证明材料的得</w:t>
            </w:r>
            <w:r>
              <w:rPr>
                <w:rFonts w:ascii="宋体" w:hAnsi="宋体"/>
                <w:color w:val="000000"/>
                <w:sz w:val="24"/>
              </w:rPr>
              <w:t>2.5</w:t>
            </w:r>
            <w:r>
              <w:rPr>
                <w:rFonts w:hint="eastAsia" w:ascii="宋体" w:hAnsi="宋体"/>
                <w:color w:val="000000"/>
                <w:sz w:val="24"/>
              </w:rPr>
              <w:t>分，满分</w:t>
            </w:r>
            <w:r>
              <w:rPr>
                <w:rFonts w:ascii="宋体" w:hAnsi="宋体"/>
                <w:color w:val="000000"/>
                <w:sz w:val="24"/>
              </w:rPr>
              <w:t>10</w:t>
            </w:r>
            <w:r>
              <w:rPr>
                <w:rFonts w:hint="eastAsia" w:ascii="宋体" w:hAnsi="宋体"/>
                <w:color w:val="000000"/>
                <w:sz w:val="24"/>
              </w:rPr>
              <w:t>分（以合同复印件为依据，提供中标通知书的需附合同）。</w:t>
            </w:r>
          </w:p>
        </w:tc>
      </w:tr>
      <w:tr w14:paraId="2E679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6" w:hRule="atLeast"/>
          <w:jc w:val="center"/>
        </w:trPr>
        <w:tc>
          <w:tcPr>
            <w:tcW w:w="892" w:type="dxa"/>
            <w:vMerge w:val="restart"/>
            <w:vAlign w:val="center"/>
          </w:tcPr>
          <w:p w14:paraId="27E6808B">
            <w:pPr>
              <w:jc w:val="center"/>
              <w:rPr>
                <w:rFonts w:ascii="宋体" w:hAnsi="宋体"/>
                <w:sz w:val="24"/>
              </w:rPr>
            </w:pPr>
            <w:r>
              <w:rPr>
                <w:rFonts w:hint="eastAsia" w:ascii="宋体" w:hAnsi="宋体"/>
                <w:sz w:val="24"/>
              </w:rPr>
              <w:t>技术</w:t>
            </w:r>
          </w:p>
          <w:p w14:paraId="50DE2E42">
            <w:pPr>
              <w:jc w:val="center"/>
              <w:rPr>
                <w:rFonts w:ascii="宋体" w:hAnsi="宋体" w:cs="Tahoma"/>
                <w:sz w:val="24"/>
              </w:rPr>
            </w:pPr>
            <w:r>
              <w:rPr>
                <w:rFonts w:hint="eastAsia" w:ascii="宋体" w:hAnsi="宋体"/>
                <w:sz w:val="24"/>
              </w:rPr>
              <w:t>部分</w:t>
            </w:r>
          </w:p>
          <w:p w14:paraId="76A18B0A">
            <w:pPr>
              <w:widowControl/>
              <w:jc w:val="center"/>
              <w:rPr>
                <w:rFonts w:ascii="宋体" w:hAnsi="宋体" w:cs="Tahoma"/>
                <w:sz w:val="24"/>
              </w:rPr>
            </w:pPr>
            <w:r>
              <w:rPr>
                <w:rFonts w:hint="eastAsia" w:ascii="宋体" w:hAnsi="宋体"/>
                <w:sz w:val="24"/>
              </w:rPr>
              <w:t>(</w:t>
            </w:r>
            <w:r>
              <w:rPr>
                <w:rFonts w:ascii="宋体" w:hAnsi="宋体"/>
                <w:sz w:val="24"/>
              </w:rPr>
              <w:t>70</w:t>
            </w:r>
            <w:r>
              <w:rPr>
                <w:rFonts w:hint="eastAsia" w:ascii="宋体" w:hAnsi="宋体"/>
                <w:sz w:val="24"/>
              </w:rPr>
              <w:t>分)</w:t>
            </w:r>
          </w:p>
        </w:tc>
        <w:tc>
          <w:tcPr>
            <w:tcW w:w="1097" w:type="dxa"/>
            <w:vAlign w:val="center"/>
          </w:tcPr>
          <w:p w14:paraId="2E600282">
            <w:pPr>
              <w:widowControl/>
              <w:jc w:val="center"/>
              <w:rPr>
                <w:rFonts w:ascii="宋体" w:hAnsi="宋体" w:cs="Tahoma"/>
                <w:sz w:val="24"/>
              </w:rPr>
            </w:pPr>
            <w:r>
              <w:rPr>
                <w:rFonts w:hint="eastAsia" w:ascii="宋体" w:hAnsi="宋体"/>
                <w:sz w:val="24"/>
              </w:rPr>
              <w:t>对项目</w:t>
            </w:r>
            <w:r>
              <w:rPr>
                <w:rFonts w:hint="eastAsia" w:ascii="宋体" w:hAnsi="宋体" w:cs="宋体"/>
                <w:kern w:val="0"/>
                <w:sz w:val="24"/>
              </w:rPr>
              <w:t>理解程度</w:t>
            </w:r>
          </w:p>
        </w:tc>
        <w:tc>
          <w:tcPr>
            <w:tcW w:w="583" w:type="dxa"/>
            <w:vAlign w:val="center"/>
          </w:tcPr>
          <w:p w14:paraId="344D0314">
            <w:pPr>
              <w:jc w:val="center"/>
              <w:rPr>
                <w:rFonts w:ascii="宋体" w:hAnsi="宋体"/>
                <w:sz w:val="24"/>
              </w:rPr>
            </w:pPr>
            <w:r>
              <w:rPr>
                <w:rFonts w:ascii="宋体" w:hAnsi="宋体"/>
                <w:sz w:val="24"/>
              </w:rPr>
              <w:t>10</w:t>
            </w:r>
          </w:p>
        </w:tc>
        <w:tc>
          <w:tcPr>
            <w:tcW w:w="7488" w:type="dxa"/>
            <w:vAlign w:val="center"/>
          </w:tcPr>
          <w:p w14:paraId="097BE58B">
            <w:pPr>
              <w:jc w:val="left"/>
              <w:rPr>
                <w:rFonts w:ascii="宋体" w:hAnsi="宋体" w:cs="宋体"/>
                <w:kern w:val="0"/>
                <w:sz w:val="24"/>
              </w:rPr>
            </w:pPr>
            <w:r>
              <w:rPr>
                <w:rFonts w:hint="eastAsia" w:ascii="宋体" w:hAnsi="宋体" w:cs="宋体"/>
                <w:kern w:val="0"/>
                <w:sz w:val="24"/>
              </w:rPr>
              <w:t>对本项目理解进行了详细的阐述，能够正确理解项目需求且全面，思路清晰，重点突出，合理分析现状，</w:t>
            </w:r>
            <w:r>
              <w:rPr>
                <w:rFonts w:hint="eastAsia" w:ascii="宋体" w:hAnsi="宋体"/>
                <w:kern w:val="0"/>
                <w:sz w:val="24"/>
              </w:rPr>
              <w:t>得1</w:t>
            </w:r>
            <w:r>
              <w:rPr>
                <w:rFonts w:ascii="宋体" w:hAnsi="宋体"/>
                <w:kern w:val="0"/>
                <w:sz w:val="24"/>
              </w:rPr>
              <w:t>0</w:t>
            </w:r>
            <w:r>
              <w:rPr>
                <w:rFonts w:hint="eastAsia" w:ascii="宋体" w:hAnsi="宋体"/>
                <w:kern w:val="0"/>
                <w:sz w:val="24"/>
              </w:rPr>
              <w:t>分；</w:t>
            </w:r>
          </w:p>
          <w:p w14:paraId="7121BFB6">
            <w:pPr>
              <w:rPr>
                <w:rFonts w:ascii="宋体" w:hAnsi="宋体"/>
                <w:sz w:val="24"/>
              </w:rPr>
            </w:pPr>
            <w:r>
              <w:rPr>
                <w:rFonts w:hint="eastAsia" w:ascii="宋体" w:hAnsi="宋体" w:cs="宋体"/>
                <w:kern w:val="0"/>
                <w:sz w:val="24"/>
              </w:rPr>
              <w:t>对本项目理解虽进行了阐述但未能贴合项目实际情况进行详细论述，工作理解较全面、基本理解项目需求，思路较清晰，项目重点掌握一般，现状分析一般，</w:t>
            </w:r>
            <w:r>
              <w:rPr>
                <w:rFonts w:hint="eastAsia" w:ascii="宋体" w:hAnsi="宋体"/>
                <w:kern w:val="0"/>
                <w:sz w:val="24"/>
              </w:rPr>
              <w:t>得7分；</w:t>
            </w:r>
          </w:p>
          <w:p w14:paraId="36C4AE7E">
            <w:pPr>
              <w:jc w:val="left"/>
              <w:rPr>
                <w:rFonts w:ascii="宋体" w:hAnsi="宋体"/>
                <w:sz w:val="24"/>
              </w:rPr>
            </w:pPr>
            <w:r>
              <w:rPr>
                <w:rFonts w:hint="eastAsia" w:ascii="宋体" w:hAnsi="宋体"/>
                <w:kern w:val="0"/>
                <w:sz w:val="24"/>
              </w:rPr>
              <w:t>对本项目</w:t>
            </w:r>
            <w:r>
              <w:rPr>
                <w:rFonts w:hint="eastAsia" w:ascii="宋体" w:hAnsi="宋体" w:cs="宋体"/>
                <w:kern w:val="0"/>
                <w:sz w:val="24"/>
              </w:rPr>
              <w:t>理解</w:t>
            </w:r>
            <w:r>
              <w:rPr>
                <w:rFonts w:hint="eastAsia" w:ascii="宋体" w:hAnsi="宋体"/>
                <w:kern w:val="0"/>
                <w:sz w:val="24"/>
              </w:rPr>
              <w:t>虽进行了阐述但未能贴合项目实际情况进行详细论述，工作理解较差，思路不清晰，项目重点未能完全掌握，现状分析较差，得3分；</w:t>
            </w:r>
          </w:p>
          <w:p w14:paraId="3266D78A">
            <w:pPr>
              <w:jc w:val="left"/>
              <w:rPr>
                <w:rFonts w:ascii="宋体" w:hAnsi="宋体"/>
                <w:kern w:val="0"/>
                <w:sz w:val="24"/>
              </w:rPr>
            </w:pPr>
            <w:r>
              <w:rPr>
                <w:rFonts w:hint="eastAsia" w:ascii="宋体" w:hAnsi="宋体"/>
                <w:kern w:val="0"/>
                <w:sz w:val="24"/>
              </w:rPr>
              <w:t>未提供对本项目</w:t>
            </w:r>
            <w:r>
              <w:rPr>
                <w:rFonts w:hint="eastAsia" w:ascii="宋体" w:hAnsi="宋体" w:cs="宋体"/>
                <w:kern w:val="0"/>
                <w:sz w:val="24"/>
              </w:rPr>
              <w:t>理解，</w:t>
            </w:r>
            <w:r>
              <w:rPr>
                <w:rFonts w:hint="eastAsia" w:ascii="宋体" w:hAnsi="宋体"/>
                <w:kern w:val="0"/>
                <w:sz w:val="24"/>
              </w:rPr>
              <w:t>得0分。</w:t>
            </w:r>
          </w:p>
        </w:tc>
      </w:tr>
      <w:tr w14:paraId="269F6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3" w:hRule="atLeast"/>
          <w:jc w:val="center"/>
        </w:trPr>
        <w:tc>
          <w:tcPr>
            <w:tcW w:w="892" w:type="dxa"/>
            <w:vMerge w:val="continue"/>
            <w:vAlign w:val="center"/>
          </w:tcPr>
          <w:p w14:paraId="56743831">
            <w:pPr>
              <w:jc w:val="center"/>
              <w:rPr>
                <w:rFonts w:ascii="宋体" w:hAnsi="宋体"/>
                <w:sz w:val="24"/>
              </w:rPr>
            </w:pPr>
          </w:p>
        </w:tc>
        <w:tc>
          <w:tcPr>
            <w:tcW w:w="1097" w:type="dxa"/>
            <w:vAlign w:val="center"/>
          </w:tcPr>
          <w:p w14:paraId="439C951B">
            <w:pPr>
              <w:widowControl/>
              <w:jc w:val="center"/>
              <w:rPr>
                <w:rFonts w:ascii="宋体" w:hAnsi="宋体" w:cs="Tahoma"/>
                <w:sz w:val="24"/>
              </w:rPr>
            </w:pPr>
            <w:r>
              <w:rPr>
                <w:rFonts w:hint="eastAsia" w:ascii="宋体" w:hAnsi="宋体"/>
                <w:sz w:val="24"/>
              </w:rPr>
              <w:t>项目</w:t>
            </w:r>
            <w:r>
              <w:rPr>
                <w:rFonts w:hint="eastAsia" w:ascii="宋体" w:hAnsi="宋体" w:cs="Tahoma"/>
                <w:sz w:val="24"/>
              </w:rPr>
              <w:t>服务方案</w:t>
            </w:r>
          </w:p>
        </w:tc>
        <w:tc>
          <w:tcPr>
            <w:tcW w:w="583" w:type="dxa"/>
            <w:vAlign w:val="center"/>
          </w:tcPr>
          <w:p w14:paraId="6910F676">
            <w:pPr>
              <w:jc w:val="center"/>
              <w:rPr>
                <w:rFonts w:ascii="宋体" w:hAnsi="宋体"/>
                <w:sz w:val="24"/>
              </w:rPr>
            </w:pPr>
            <w:r>
              <w:rPr>
                <w:rFonts w:ascii="宋体" w:hAnsi="宋体"/>
                <w:sz w:val="24"/>
              </w:rPr>
              <w:t>15</w:t>
            </w:r>
          </w:p>
        </w:tc>
        <w:tc>
          <w:tcPr>
            <w:tcW w:w="7488" w:type="dxa"/>
            <w:vAlign w:val="center"/>
          </w:tcPr>
          <w:p w14:paraId="4932FB8F">
            <w:pPr>
              <w:jc w:val="left"/>
              <w:rPr>
                <w:rFonts w:ascii="宋体" w:hAnsi="宋体"/>
                <w:sz w:val="24"/>
              </w:rPr>
            </w:pPr>
            <w:r>
              <w:rPr>
                <w:rFonts w:hint="eastAsia" w:ascii="宋体" w:hAnsi="宋体"/>
                <w:sz w:val="24"/>
              </w:rPr>
              <w:t>对本项目制定的服务方案</w:t>
            </w:r>
            <w:r>
              <w:rPr>
                <w:rFonts w:hint="eastAsia" w:ascii="宋体" w:hAnsi="宋体"/>
                <w:bCs/>
                <w:sz w:val="24"/>
              </w:rPr>
              <w:t>包括但不限于</w:t>
            </w:r>
            <w:r>
              <w:rPr>
                <w:rFonts w:hint="eastAsia" w:ascii="宋体" w:hAnsi="宋体"/>
                <w:sz w:val="24"/>
              </w:rPr>
              <w:t>整体思路、整体目标、各项工作方案、设备设施维护方案、安全保障方案等内容。</w:t>
            </w:r>
          </w:p>
          <w:p w14:paraId="4ACBFBE9">
            <w:pPr>
              <w:jc w:val="left"/>
              <w:rPr>
                <w:rFonts w:ascii="宋体" w:hAnsi="宋体"/>
                <w:sz w:val="24"/>
              </w:rPr>
            </w:pPr>
            <w:r>
              <w:rPr>
                <w:rFonts w:hint="eastAsia" w:ascii="宋体" w:hAnsi="宋体"/>
                <w:sz w:val="24"/>
              </w:rPr>
              <w:t>项目</w:t>
            </w:r>
            <w:r>
              <w:rPr>
                <w:rFonts w:hint="eastAsia" w:ascii="宋体" w:hAnsi="宋体" w:cs="Tahoma"/>
                <w:sz w:val="24"/>
              </w:rPr>
              <w:t>服务方案</w:t>
            </w:r>
            <w:r>
              <w:rPr>
                <w:rFonts w:hint="eastAsia" w:ascii="宋体" w:hAnsi="宋体"/>
                <w:sz w:val="24"/>
              </w:rPr>
              <w:t>详尽完整，完全满足采购人的服务要求以及本项目的服务特点，</w:t>
            </w:r>
            <w:r>
              <w:rPr>
                <w:rFonts w:hint="eastAsia" w:ascii="宋体" w:hAnsi="宋体"/>
                <w:kern w:val="0"/>
                <w:sz w:val="24"/>
              </w:rPr>
              <w:t>得</w:t>
            </w:r>
            <w:r>
              <w:rPr>
                <w:rFonts w:ascii="宋体" w:hAnsi="宋体"/>
                <w:kern w:val="0"/>
                <w:sz w:val="24"/>
              </w:rPr>
              <w:t>15</w:t>
            </w:r>
            <w:r>
              <w:rPr>
                <w:rFonts w:hint="eastAsia" w:ascii="宋体" w:hAnsi="宋体"/>
                <w:kern w:val="0"/>
                <w:sz w:val="24"/>
              </w:rPr>
              <w:t>分；</w:t>
            </w:r>
          </w:p>
          <w:p w14:paraId="0E8BFAD4">
            <w:pPr>
              <w:jc w:val="left"/>
              <w:rPr>
                <w:rFonts w:ascii="宋体" w:hAnsi="宋体"/>
                <w:sz w:val="24"/>
              </w:rPr>
            </w:pPr>
            <w:r>
              <w:rPr>
                <w:rFonts w:hint="eastAsia" w:ascii="宋体" w:hAnsi="宋体"/>
                <w:sz w:val="24"/>
              </w:rPr>
              <w:t>项目</w:t>
            </w:r>
            <w:r>
              <w:rPr>
                <w:rFonts w:hint="eastAsia" w:ascii="宋体" w:hAnsi="宋体" w:cs="Tahoma"/>
                <w:sz w:val="24"/>
              </w:rPr>
              <w:t>服务方案</w:t>
            </w:r>
            <w:r>
              <w:rPr>
                <w:rFonts w:hint="eastAsia" w:ascii="宋体" w:hAnsi="宋体"/>
                <w:sz w:val="24"/>
              </w:rPr>
              <w:t>较完善，基本满足采购人的服务要求以及本项目的服务特点，得</w:t>
            </w:r>
            <w:r>
              <w:rPr>
                <w:rFonts w:hint="eastAsia" w:ascii="宋体" w:hAnsi="宋体"/>
                <w:kern w:val="0"/>
                <w:sz w:val="24"/>
              </w:rPr>
              <w:t>1</w:t>
            </w:r>
            <w:r>
              <w:rPr>
                <w:rFonts w:ascii="宋体" w:hAnsi="宋体"/>
                <w:kern w:val="0"/>
                <w:sz w:val="24"/>
              </w:rPr>
              <w:t>2</w:t>
            </w:r>
            <w:r>
              <w:rPr>
                <w:rFonts w:hint="eastAsia" w:ascii="宋体" w:hAnsi="宋体"/>
                <w:kern w:val="0"/>
                <w:sz w:val="24"/>
              </w:rPr>
              <w:t>分；</w:t>
            </w:r>
          </w:p>
          <w:p w14:paraId="2B22610C">
            <w:pPr>
              <w:jc w:val="left"/>
              <w:rPr>
                <w:rFonts w:ascii="宋体" w:hAnsi="宋体"/>
                <w:sz w:val="24"/>
              </w:rPr>
            </w:pPr>
            <w:r>
              <w:rPr>
                <w:rFonts w:hint="eastAsia" w:ascii="宋体" w:hAnsi="宋体"/>
                <w:sz w:val="24"/>
              </w:rPr>
              <w:t>项目</w:t>
            </w:r>
            <w:r>
              <w:rPr>
                <w:rFonts w:hint="eastAsia" w:ascii="宋体" w:hAnsi="宋体" w:cs="Tahoma"/>
                <w:sz w:val="24"/>
              </w:rPr>
              <w:t>服务方案</w:t>
            </w:r>
            <w:r>
              <w:rPr>
                <w:rFonts w:hint="eastAsia" w:ascii="宋体" w:hAnsi="宋体"/>
                <w:sz w:val="24"/>
              </w:rPr>
              <w:t>基本完善，但不能完全满足采购人的服务要求以及本项目的服务特点，得</w:t>
            </w:r>
            <w:r>
              <w:rPr>
                <w:rFonts w:ascii="宋体" w:hAnsi="宋体"/>
                <w:kern w:val="0"/>
                <w:sz w:val="24"/>
              </w:rPr>
              <w:t>8</w:t>
            </w:r>
            <w:r>
              <w:rPr>
                <w:rFonts w:hint="eastAsia" w:ascii="宋体" w:hAnsi="宋体"/>
                <w:kern w:val="0"/>
                <w:sz w:val="24"/>
              </w:rPr>
              <w:t>分；</w:t>
            </w:r>
          </w:p>
          <w:p w14:paraId="60F1CE84">
            <w:pPr>
              <w:jc w:val="left"/>
              <w:rPr>
                <w:rFonts w:ascii="宋体" w:hAnsi="宋体"/>
                <w:sz w:val="24"/>
              </w:rPr>
            </w:pPr>
            <w:r>
              <w:rPr>
                <w:rFonts w:hint="eastAsia" w:ascii="宋体" w:hAnsi="宋体"/>
                <w:sz w:val="24"/>
              </w:rPr>
              <w:t>项目</w:t>
            </w:r>
            <w:r>
              <w:rPr>
                <w:rFonts w:hint="eastAsia" w:ascii="宋体" w:hAnsi="宋体" w:cs="Tahoma"/>
                <w:sz w:val="24"/>
              </w:rPr>
              <w:t>服务方案</w:t>
            </w:r>
            <w:r>
              <w:rPr>
                <w:rFonts w:hint="eastAsia" w:ascii="宋体" w:hAnsi="宋体"/>
                <w:sz w:val="24"/>
              </w:rPr>
              <w:t>欠完善，对采购人的服务要求以及本项目的服务特点不能完全响应，得</w:t>
            </w:r>
            <w:r>
              <w:rPr>
                <w:rFonts w:ascii="宋体" w:hAnsi="宋体"/>
                <w:sz w:val="24"/>
              </w:rPr>
              <w:t>4</w:t>
            </w:r>
            <w:r>
              <w:rPr>
                <w:rFonts w:hint="eastAsia" w:ascii="宋体" w:hAnsi="宋体"/>
                <w:kern w:val="0"/>
                <w:sz w:val="24"/>
              </w:rPr>
              <w:t>分；</w:t>
            </w:r>
          </w:p>
          <w:p w14:paraId="378C90E5">
            <w:pPr>
              <w:jc w:val="left"/>
              <w:rPr>
                <w:rFonts w:ascii="宋体" w:hAnsi="宋体"/>
                <w:sz w:val="24"/>
              </w:rPr>
            </w:pPr>
            <w:r>
              <w:rPr>
                <w:rFonts w:hint="eastAsia" w:ascii="宋体" w:hAnsi="宋体"/>
                <w:kern w:val="0"/>
                <w:sz w:val="24"/>
              </w:rPr>
              <w:t>未提供</w:t>
            </w:r>
            <w:r>
              <w:rPr>
                <w:rFonts w:hint="eastAsia" w:ascii="宋体" w:hAnsi="宋体"/>
                <w:sz w:val="24"/>
              </w:rPr>
              <w:t>项目</w:t>
            </w:r>
            <w:r>
              <w:rPr>
                <w:rFonts w:hint="eastAsia" w:ascii="宋体" w:hAnsi="宋体" w:cs="Tahoma"/>
                <w:sz w:val="24"/>
              </w:rPr>
              <w:t>服务方案，</w:t>
            </w:r>
            <w:r>
              <w:rPr>
                <w:rFonts w:hint="eastAsia" w:ascii="宋体" w:hAnsi="宋体"/>
                <w:kern w:val="0"/>
                <w:sz w:val="24"/>
              </w:rPr>
              <w:t>得0分。</w:t>
            </w:r>
          </w:p>
        </w:tc>
      </w:tr>
      <w:tr w14:paraId="526EE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7" w:hRule="atLeast"/>
          <w:jc w:val="center"/>
        </w:trPr>
        <w:tc>
          <w:tcPr>
            <w:tcW w:w="892" w:type="dxa"/>
            <w:vMerge w:val="continue"/>
            <w:vAlign w:val="center"/>
          </w:tcPr>
          <w:p w14:paraId="4D290BA2">
            <w:pPr>
              <w:jc w:val="center"/>
              <w:rPr>
                <w:rFonts w:ascii="宋体" w:hAnsi="宋体"/>
                <w:sz w:val="24"/>
              </w:rPr>
            </w:pPr>
          </w:p>
        </w:tc>
        <w:tc>
          <w:tcPr>
            <w:tcW w:w="1097" w:type="dxa"/>
            <w:vAlign w:val="center"/>
          </w:tcPr>
          <w:p w14:paraId="3AB01E7E">
            <w:pPr>
              <w:widowControl/>
              <w:jc w:val="center"/>
              <w:rPr>
                <w:rFonts w:ascii="宋体" w:hAnsi="宋体" w:cs="Tahoma"/>
                <w:sz w:val="24"/>
              </w:rPr>
            </w:pPr>
            <w:r>
              <w:rPr>
                <w:rFonts w:hint="eastAsia" w:ascii="宋体" w:hAnsi="宋体"/>
                <w:color w:val="000000"/>
                <w:sz w:val="24"/>
              </w:rPr>
              <w:t>保密措施</w:t>
            </w:r>
          </w:p>
        </w:tc>
        <w:tc>
          <w:tcPr>
            <w:tcW w:w="583" w:type="dxa"/>
            <w:vAlign w:val="center"/>
          </w:tcPr>
          <w:p w14:paraId="118E9D0C">
            <w:pPr>
              <w:jc w:val="center"/>
              <w:rPr>
                <w:rFonts w:ascii="宋体" w:hAnsi="宋体"/>
                <w:sz w:val="24"/>
              </w:rPr>
            </w:pPr>
            <w:r>
              <w:rPr>
                <w:rFonts w:hint="eastAsia" w:ascii="宋体" w:hAnsi="宋体"/>
                <w:sz w:val="24"/>
              </w:rPr>
              <w:t>1</w:t>
            </w:r>
            <w:r>
              <w:rPr>
                <w:rFonts w:ascii="宋体" w:hAnsi="宋体"/>
                <w:sz w:val="24"/>
              </w:rPr>
              <w:t>0</w:t>
            </w:r>
          </w:p>
        </w:tc>
        <w:tc>
          <w:tcPr>
            <w:tcW w:w="7488" w:type="dxa"/>
            <w:vAlign w:val="center"/>
          </w:tcPr>
          <w:p w14:paraId="272B7D99">
            <w:pPr>
              <w:rPr>
                <w:rFonts w:ascii="宋体" w:hAnsi="宋体"/>
                <w:sz w:val="24"/>
              </w:rPr>
            </w:pPr>
            <w:r>
              <w:rPr>
                <w:rFonts w:hint="eastAsia" w:ascii="宋体" w:hAnsi="宋体"/>
                <w:sz w:val="24"/>
              </w:rPr>
              <w:t>保密措施详尽完整，完全满足采购人的服务要求以及本项目的服务特点，可行性强的</w:t>
            </w:r>
            <w:r>
              <w:rPr>
                <w:rFonts w:hint="eastAsia" w:ascii="宋体" w:hAnsi="宋体" w:cs="宋体"/>
                <w:kern w:val="0"/>
                <w:sz w:val="24"/>
              </w:rPr>
              <w:t>，</w:t>
            </w:r>
            <w:r>
              <w:rPr>
                <w:rFonts w:hint="eastAsia" w:ascii="宋体" w:hAnsi="宋体"/>
                <w:sz w:val="24"/>
              </w:rPr>
              <w:t>得</w:t>
            </w:r>
            <w:r>
              <w:rPr>
                <w:rFonts w:ascii="宋体" w:hAnsi="宋体"/>
                <w:sz w:val="24"/>
              </w:rPr>
              <w:t>10</w:t>
            </w:r>
            <w:r>
              <w:rPr>
                <w:rFonts w:hint="eastAsia" w:ascii="宋体" w:hAnsi="宋体"/>
                <w:sz w:val="24"/>
              </w:rPr>
              <w:t>分；</w:t>
            </w:r>
          </w:p>
          <w:p w14:paraId="4A7E1ED0">
            <w:pPr>
              <w:rPr>
                <w:rFonts w:ascii="宋体" w:hAnsi="宋体"/>
                <w:sz w:val="24"/>
              </w:rPr>
            </w:pPr>
            <w:r>
              <w:rPr>
                <w:rFonts w:hint="eastAsia" w:ascii="宋体" w:hAnsi="宋体"/>
                <w:sz w:val="24"/>
              </w:rPr>
              <w:t>保密措施较完整，基本满足采购人的服务要求以及本项目的服务特点，可行性较强的</w:t>
            </w:r>
            <w:r>
              <w:rPr>
                <w:rFonts w:hint="eastAsia" w:ascii="宋体" w:hAnsi="宋体" w:cs="宋体"/>
                <w:kern w:val="0"/>
                <w:sz w:val="24"/>
              </w:rPr>
              <w:t>，</w:t>
            </w:r>
            <w:r>
              <w:rPr>
                <w:rFonts w:hint="eastAsia" w:ascii="宋体" w:hAnsi="宋体"/>
                <w:sz w:val="24"/>
              </w:rPr>
              <w:t>得</w:t>
            </w:r>
            <w:r>
              <w:rPr>
                <w:rFonts w:ascii="宋体" w:hAnsi="宋体"/>
                <w:sz w:val="24"/>
              </w:rPr>
              <w:t>7</w:t>
            </w:r>
            <w:r>
              <w:rPr>
                <w:rFonts w:hint="eastAsia" w:ascii="宋体" w:hAnsi="宋体"/>
                <w:sz w:val="24"/>
              </w:rPr>
              <w:t xml:space="preserve">分； </w:t>
            </w:r>
          </w:p>
          <w:p w14:paraId="6370EF4C">
            <w:pPr>
              <w:rPr>
                <w:rFonts w:ascii="宋体" w:hAnsi="宋体"/>
                <w:sz w:val="24"/>
              </w:rPr>
            </w:pPr>
            <w:r>
              <w:rPr>
                <w:rFonts w:hint="eastAsia" w:ascii="宋体" w:hAnsi="宋体"/>
                <w:sz w:val="24"/>
              </w:rPr>
              <w:t>保密措施欠完整，不能完全满足采购人的服务要求以及本项目的服务特点，可行性欠妥的</w:t>
            </w:r>
            <w:r>
              <w:rPr>
                <w:rFonts w:hint="eastAsia" w:ascii="宋体" w:hAnsi="宋体" w:cs="宋体"/>
                <w:kern w:val="0"/>
                <w:sz w:val="24"/>
              </w:rPr>
              <w:t>，</w:t>
            </w:r>
            <w:r>
              <w:rPr>
                <w:rFonts w:hint="eastAsia" w:ascii="宋体" w:hAnsi="宋体"/>
                <w:sz w:val="24"/>
              </w:rPr>
              <w:t xml:space="preserve">得3分； </w:t>
            </w:r>
          </w:p>
          <w:p w14:paraId="7E99195D">
            <w:pPr>
              <w:rPr>
                <w:rFonts w:ascii="宋体" w:hAnsi="宋体"/>
                <w:sz w:val="24"/>
              </w:rPr>
            </w:pPr>
            <w:r>
              <w:rPr>
                <w:rFonts w:hint="eastAsia" w:ascii="宋体" w:hAnsi="宋体"/>
                <w:kern w:val="0"/>
                <w:sz w:val="24"/>
              </w:rPr>
              <w:t>未提供</w:t>
            </w:r>
            <w:r>
              <w:rPr>
                <w:rFonts w:hint="eastAsia" w:ascii="宋体" w:hAnsi="宋体"/>
                <w:sz w:val="24"/>
              </w:rPr>
              <w:t>保密措施</w:t>
            </w:r>
            <w:r>
              <w:rPr>
                <w:rFonts w:hint="eastAsia" w:ascii="宋体" w:hAnsi="宋体"/>
                <w:color w:val="000000"/>
                <w:sz w:val="24"/>
              </w:rPr>
              <w:t>，</w:t>
            </w:r>
            <w:r>
              <w:rPr>
                <w:rFonts w:hint="eastAsia" w:ascii="宋体" w:hAnsi="宋体"/>
                <w:kern w:val="0"/>
                <w:sz w:val="24"/>
              </w:rPr>
              <w:t>得0分。</w:t>
            </w:r>
          </w:p>
        </w:tc>
      </w:tr>
      <w:tr w14:paraId="022FC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7" w:hRule="atLeast"/>
          <w:jc w:val="center"/>
        </w:trPr>
        <w:tc>
          <w:tcPr>
            <w:tcW w:w="892" w:type="dxa"/>
            <w:vMerge w:val="continue"/>
            <w:vAlign w:val="center"/>
          </w:tcPr>
          <w:p w14:paraId="5D5D7ACA">
            <w:pPr>
              <w:jc w:val="center"/>
              <w:rPr>
                <w:rFonts w:ascii="宋体" w:hAnsi="宋体"/>
                <w:sz w:val="24"/>
              </w:rPr>
            </w:pPr>
          </w:p>
        </w:tc>
        <w:tc>
          <w:tcPr>
            <w:tcW w:w="1097" w:type="dxa"/>
            <w:vAlign w:val="center"/>
          </w:tcPr>
          <w:p w14:paraId="663C90FD">
            <w:pPr>
              <w:widowControl/>
              <w:jc w:val="center"/>
              <w:rPr>
                <w:rFonts w:ascii="宋体" w:hAnsi="宋体"/>
                <w:color w:val="000000"/>
                <w:sz w:val="24"/>
              </w:rPr>
            </w:pPr>
            <w:r>
              <w:rPr>
                <w:rFonts w:hint="eastAsia" w:ascii="宋体" w:hAnsi="宋体"/>
                <w:color w:val="000000"/>
                <w:sz w:val="24"/>
              </w:rPr>
              <w:t>资料管理制度</w:t>
            </w:r>
          </w:p>
        </w:tc>
        <w:tc>
          <w:tcPr>
            <w:tcW w:w="583" w:type="dxa"/>
            <w:vAlign w:val="center"/>
          </w:tcPr>
          <w:p w14:paraId="3C93328C">
            <w:pPr>
              <w:jc w:val="center"/>
              <w:rPr>
                <w:rFonts w:ascii="宋体" w:hAnsi="宋体"/>
                <w:sz w:val="24"/>
              </w:rPr>
            </w:pPr>
            <w:r>
              <w:rPr>
                <w:rFonts w:hint="eastAsia" w:ascii="宋体" w:hAnsi="宋体"/>
                <w:sz w:val="24"/>
              </w:rPr>
              <w:t>1</w:t>
            </w:r>
            <w:r>
              <w:rPr>
                <w:rFonts w:ascii="宋体" w:hAnsi="宋体"/>
                <w:sz w:val="24"/>
              </w:rPr>
              <w:t>0</w:t>
            </w:r>
          </w:p>
        </w:tc>
        <w:tc>
          <w:tcPr>
            <w:tcW w:w="7488" w:type="dxa"/>
            <w:vAlign w:val="center"/>
          </w:tcPr>
          <w:p w14:paraId="67FCD1C2">
            <w:pPr>
              <w:jc w:val="left"/>
              <w:rPr>
                <w:rFonts w:ascii="宋体" w:hAnsi="宋体"/>
                <w:sz w:val="24"/>
              </w:rPr>
            </w:pPr>
            <w:r>
              <w:rPr>
                <w:rFonts w:hint="eastAsia" w:ascii="宋体" w:hAnsi="宋体"/>
                <w:sz w:val="24"/>
              </w:rPr>
              <w:t>资料管理制度详尽完整，完全满足采购人的服务要求以及本项目的服务特点，可行性强的</w:t>
            </w:r>
            <w:r>
              <w:rPr>
                <w:rFonts w:hint="eastAsia" w:ascii="宋体" w:hAnsi="宋体" w:cs="宋体"/>
                <w:kern w:val="0"/>
                <w:sz w:val="24"/>
              </w:rPr>
              <w:t>，</w:t>
            </w:r>
            <w:r>
              <w:rPr>
                <w:rFonts w:hint="eastAsia" w:ascii="宋体" w:hAnsi="宋体"/>
                <w:sz w:val="24"/>
              </w:rPr>
              <w:t>得1</w:t>
            </w:r>
            <w:r>
              <w:rPr>
                <w:rFonts w:ascii="宋体" w:hAnsi="宋体"/>
                <w:sz w:val="24"/>
              </w:rPr>
              <w:t>0</w:t>
            </w:r>
            <w:r>
              <w:rPr>
                <w:rFonts w:hint="eastAsia" w:ascii="宋体" w:hAnsi="宋体"/>
                <w:sz w:val="24"/>
              </w:rPr>
              <w:t>分；</w:t>
            </w:r>
          </w:p>
          <w:p w14:paraId="6907F6FC">
            <w:pPr>
              <w:jc w:val="left"/>
              <w:rPr>
                <w:rFonts w:ascii="宋体" w:hAnsi="宋体"/>
                <w:sz w:val="24"/>
              </w:rPr>
            </w:pPr>
            <w:r>
              <w:rPr>
                <w:rFonts w:hint="eastAsia" w:ascii="宋体" w:hAnsi="宋体"/>
                <w:sz w:val="24"/>
              </w:rPr>
              <w:t>资料管理制度较完整，基本满足采购人的服务要求以及本项目的服务特点，可行性较强的</w:t>
            </w:r>
            <w:r>
              <w:rPr>
                <w:rFonts w:hint="eastAsia" w:ascii="宋体" w:hAnsi="宋体" w:cs="宋体"/>
                <w:kern w:val="0"/>
                <w:sz w:val="24"/>
              </w:rPr>
              <w:t>，</w:t>
            </w:r>
            <w:r>
              <w:rPr>
                <w:rFonts w:hint="eastAsia" w:ascii="宋体" w:hAnsi="宋体"/>
                <w:sz w:val="24"/>
              </w:rPr>
              <w:t>得</w:t>
            </w:r>
            <w:r>
              <w:rPr>
                <w:rFonts w:ascii="宋体" w:hAnsi="宋体"/>
                <w:sz w:val="24"/>
              </w:rPr>
              <w:t>7</w:t>
            </w:r>
            <w:r>
              <w:rPr>
                <w:rFonts w:hint="eastAsia" w:ascii="宋体" w:hAnsi="宋体"/>
                <w:sz w:val="24"/>
              </w:rPr>
              <w:t xml:space="preserve">分； </w:t>
            </w:r>
          </w:p>
          <w:p w14:paraId="719B16E2">
            <w:pPr>
              <w:jc w:val="left"/>
              <w:rPr>
                <w:rFonts w:ascii="宋体" w:hAnsi="宋体"/>
                <w:sz w:val="24"/>
              </w:rPr>
            </w:pPr>
            <w:r>
              <w:rPr>
                <w:rFonts w:hint="eastAsia" w:ascii="宋体" w:hAnsi="宋体"/>
                <w:sz w:val="24"/>
              </w:rPr>
              <w:t>资料管理制度欠完整，不能完全满足采购人的服务要求以及本项目的服务特点，可行性欠妥的</w:t>
            </w:r>
            <w:r>
              <w:rPr>
                <w:rFonts w:hint="eastAsia" w:ascii="宋体" w:hAnsi="宋体" w:cs="宋体"/>
                <w:kern w:val="0"/>
                <w:sz w:val="24"/>
              </w:rPr>
              <w:t>，</w:t>
            </w:r>
            <w:r>
              <w:rPr>
                <w:rFonts w:hint="eastAsia" w:ascii="宋体" w:hAnsi="宋体"/>
                <w:sz w:val="24"/>
              </w:rPr>
              <w:t xml:space="preserve">得3分； </w:t>
            </w:r>
          </w:p>
          <w:p w14:paraId="7606E944">
            <w:pPr>
              <w:jc w:val="left"/>
              <w:rPr>
                <w:rFonts w:ascii="宋体" w:hAnsi="宋体"/>
                <w:sz w:val="24"/>
              </w:rPr>
            </w:pPr>
            <w:r>
              <w:rPr>
                <w:rFonts w:hint="eastAsia" w:ascii="宋体" w:hAnsi="宋体"/>
                <w:kern w:val="0"/>
                <w:sz w:val="24"/>
              </w:rPr>
              <w:t>未提供</w:t>
            </w:r>
            <w:r>
              <w:rPr>
                <w:rFonts w:hint="eastAsia" w:ascii="宋体" w:hAnsi="宋体"/>
                <w:sz w:val="24"/>
              </w:rPr>
              <w:t>资料管理制度</w:t>
            </w:r>
            <w:r>
              <w:rPr>
                <w:rFonts w:hint="eastAsia" w:ascii="宋体" w:hAnsi="宋体"/>
                <w:color w:val="000000"/>
                <w:sz w:val="24"/>
              </w:rPr>
              <w:t>，</w:t>
            </w:r>
            <w:r>
              <w:rPr>
                <w:rFonts w:hint="eastAsia" w:ascii="宋体" w:hAnsi="宋体"/>
                <w:kern w:val="0"/>
                <w:sz w:val="24"/>
              </w:rPr>
              <w:t>得0分。</w:t>
            </w:r>
          </w:p>
        </w:tc>
      </w:tr>
      <w:tr w14:paraId="7D0C5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7" w:hRule="atLeast"/>
          <w:jc w:val="center"/>
        </w:trPr>
        <w:tc>
          <w:tcPr>
            <w:tcW w:w="892" w:type="dxa"/>
            <w:vMerge w:val="continue"/>
            <w:vAlign w:val="center"/>
          </w:tcPr>
          <w:p w14:paraId="04AF973C">
            <w:pPr>
              <w:jc w:val="center"/>
              <w:rPr>
                <w:rFonts w:ascii="宋体" w:hAnsi="宋体"/>
                <w:sz w:val="24"/>
              </w:rPr>
            </w:pPr>
          </w:p>
        </w:tc>
        <w:tc>
          <w:tcPr>
            <w:tcW w:w="1097" w:type="dxa"/>
            <w:vAlign w:val="center"/>
          </w:tcPr>
          <w:p w14:paraId="5F498DD8">
            <w:pPr>
              <w:suppressAutoHyphens/>
              <w:jc w:val="center"/>
              <w:rPr>
                <w:rFonts w:ascii="宋体" w:hAnsi="宋体"/>
                <w:bCs/>
                <w:sz w:val="24"/>
              </w:rPr>
            </w:pPr>
            <w:r>
              <w:rPr>
                <w:rFonts w:hint="eastAsia" w:ascii="宋体" w:hAnsi="宋体"/>
                <w:bCs/>
                <w:sz w:val="24"/>
              </w:rPr>
              <w:t>突发事件预案</w:t>
            </w:r>
          </w:p>
        </w:tc>
        <w:tc>
          <w:tcPr>
            <w:tcW w:w="583" w:type="dxa"/>
            <w:vAlign w:val="center"/>
          </w:tcPr>
          <w:p w14:paraId="23D38863">
            <w:pPr>
              <w:jc w:val="center"/>
              <w:rPr>
                <w:rFonts w:ascii="宋体" w:hAnsi="宋体"/>
                <w:sz w:val="24"/>
              </w:rPr>
            </w:pPr>
            <w:r>
              <w:rPr>
                <w:rFonts w:ascii="宋体" w:hAnsi="宋体"/>
                <w:sz w:val="24"/>
              </w:rPr>
              <w:t>10</w:t>
            </w:r>
          </w:p>
        </w:tc>
        <w:tc>
          <w:tcPr>
            <w:tcW w:w="7488" w:type="dxa"/>
            <w:vAlign w:val="center"/>
          </w:tcPr>
          <w:p w14:paraId="0A4D925E">
            <w:pPr>
              <w:jc w:val="left"/>
              <w:rPr>
                <w:rFonts w:ascii="宋体" w:hAnsi="宋体"/>
                <w:bCs/>
                <w:sz w:val="24"/>
              </w:rPr>
            </w:pPr>
            <w:r>
              <w:rPr>
                <w:rFonts w:hint="eastAsia" w:ascii="宋体" w:hAnsi="宋体"/>
                <w:bCs/>
                <w:sz w:val="24"/>
              </w:rPr>
              <w:t>突发事件预案包括但不限于火灾等安全事故应急预案、停水停电应急预案、员工突发伤病或员工集体离职等导致人员不足的预案等。</w:t>
            </w:r>
          </w:p>
          <w:p w14:paraId="05240D8B">
            <w:pPr>
              <w:jc w:val="left"/>
              <w:rPr>
                <w:rFonts w:ascii="宋体" w:hAnsi="宋体"/>
                <w:sz w:val="24"/>
              </w:rPr>
            </w:pPr>
            <w:r>
              <w:rPr>
                <w:rFonts w:hint="eastAsia" w:ascii="宋体" w:hAnsi="宋体"/>
                <w:bCs/>
                <w:sz w:val="24"/>
              </w:rPr>
              <w:t>突发事件预案</w:t>
            </w:r>
            <w:r>
              <w:rPr>
                <w:rFonts w:hint="eastAsia" w:ascii="宋体" w:hAnsi="宋体"/>
                <w:sz w:val="24"/>
              </w:rPr>
              <w:t>详尽完整，完全满足采购人的服务要求以及本项目的服务特点，可行性强的</w:t>
            </w:r>
            <w:r>
              <w:rPr>
                <w:rFonts w:hint="eastAsia" w:ascii="宋体" w:hAnsi="宋体" w:cs="宋体"/>
                <w:kern w:val="0"/>
                <w:sz w:val="24"/>
              </w:rPr>
              <w:t>，</w:t>
            </w:r>
            <w:r>
              <w:rPr>
                <w:rFonts w:hint="eastAsia" w:ascii="宋体" w:hAnsi="宋体"/>
                <w:sz w:val="24"/>
              </w:rPr>
              <w:t>得</w:t>
            </w:r>
            <w:r>
              <w:rPr>
                <w:rFonts w:ascii="宋体" w:hAnsi="宋体"/>
                <w:sz w:val="24"/>
              </w:rPr>
              <w:t>10</w:t>
            </w:r>
            <w:r>
              <w:rPr>
                <w:rFonts w:hint="eastAsia" w:ascii="宋体" w:hAnsi="宋体"/>
                <w:sz w:val="24"/>
              </w:rPr>
              <w:t>分；</w:t>
            </w:r>
          </w:p>
          <w:p w14:paraId="53283D39">
            <w:pPr>
              <w:jc w:val="left"/>
              <w:rPr>
                <w:rFonts w:ascii="宋体" w:hAnsi="宋体"/>
                <w:sz w:val="24"/>
              </w:rPr>
            </w:pPr>
            <w:r>
              <w:rPr>
                <w:rFonts w:hint="eastAsia" w:ascii="宋体" w:hAnsi="宋体"/>
                <w:bCs/>
                <w:sz w:val="24"/>
              </w:rPr>
              <w:t>突发事件预案</w:t>
            </w:r>
            <w:r>
              <w:rPr>
                <w:rFonts w:hint="eastAsia" w:ascii="宋体" w:hAnsi="宋体"/>
                <w:sz w:val="24"/>
              </w:rPr>
              <w:t>较完整，基本满足采购人的服务要求以及本项目的服务特点，可行性较强的</w:t>
            </w:r>
            <w:r>
              <w:rPr>
                <w:rFonts w:hint="eastAsia" w:ascii="宋体" w:hAnsi="宋体" w:cs="宋体"/>
                <w:kern w:val="0"/>
                <w:sz w:val="24"/>
              </w:rPr>
              <w:t>，</w:t>
            </w:r>
            <w:r>
              <w:rPr>
                <w:rFonts w:hint="eastAsia" w:ascii="宋体" w:hAnsi="宋体"/>
                <w:sz w:val="24"/>
              </w:rPr>
              <w:t>得</w:t>
            </w:r>
            <w:r>
              <w:rPr>
                <w:rFonts w:ascii="宋体" w:hAnsi="宋体"/>
                <w:sz w:val="24"/>
              </w:rPr>
              <w:t>7</w:t>
            </w:r>
            <w:r>
              <w:rPr>
                <w:rFonts w:hint="eastAsia" w:ascii="宋体" w:hAnsi="宋体"/>
                <w:sz w:val="24"/>
              </w:rPr>
              <w:t xml:space="preserve">分； </w:t>
            </w:r>
          </w:p>
          <w:p w14:paraId="49C1A898">
            <w:pPr>
              <w:jc w:val="left"/>
              <w:rPr>
                <w:rFonts w:ascii="宋体" w:hAnsi="宋体"/>
                <w:sz w:val="24"/>
              </w:rPr>
            </w:pPr>
            <w:r>
              <w:rPr>
                <w:rFonts w:hint="eastAsia" w:ascii="宋体" w:hAnsi="宋体"/>
                <w:bCs/>
                <w:sz w:val="24"/>
              </w:rPr>
              <w:t>突发事件预案</w:t>
            </w:r>
            <w:r>
              <w:rPr>
                <w:rFonts w:hint="eastAsia" w:ascii="宋体" w:hAnsi="宋体"/>
                <w:sz w:val="24"/>
              </w:rPr>
              <w:t>欠完整，不能完全满足采购人的服务要求以及本项目的服务特点，可行性欠妥的</w:t>
            </w:r>
            <w:r>
              <w:rPr>
                <w:rFonts w:hint="eastAsia" w:ascii="宋体" w:hAnsi="宋体" w:cs="宋体"/>
                <w:kern w:val="0"/>
                <w:sz w:val="24"/>
              </w:rPr>
              <w:t>，</w:t>
            </w:r>
            <w:r>
              <w:rPr>
                <w:rFonts w:hint="eastAsia" w:ascii="宋体" w:hAnsi="宋体"/>
                <w:sz w:val="24"/>
              </w:rPr>
              <w:t>得</w:t>
            </w:r>
            <w:r>
              <w:rPr>
                <w:rFonts w:ascii="宋体" w:hAnsi="宋体"/>
                <w:sz w:val="24"/>
              </w:rPr>
              <w:t>3</w:t>
            </w:r>
            <w:r>
              <w:rPr>
                <w:rFonts w:hint="eastAsia" w:ascii="宋体" w:hAnsi="宋体"/>
                <w:sz w:val="24"/>
              </w:rPr>
              <w:t xml:space="preserve">分； </w:t>
            </w:r>
          </w:p>
          <w:p w14:paraId="256DB6D9">
            <w:pPr>
              <w:jc w:val="left"/>
              <w:rPr>
                <w:rFonts w:ascii="宋体" w:hAnsi="宋体"/>
                <w:bCs/>
                <w:sz w:val="24"/>
              </w:rPr>
            </w:pPr>
            <w:r>
              <w:rPr>
                <w:rFonts w:hint="eastAsia" w:ascii="宋体" w:hAnsi="宋体"/>
                <w:kern w:val="0"/>
                <w:sz w:val="24"/>
              </w:rPr>
              <w:t>未提供</w:t>
            </w:r>
            <w:r>
              <w:rPr>
                <w:rFonts w:hint="eastAsia" w:ascii="宋体" w:hAnsi="宋体"/>
                <w:bCs/>
                <w:sz w:val="24"/>
              </w:rPr>
              <w:t>突发事件预案，</w:t>
            </w:r>
            <w:r>
              <w:rPr>
                <w:rFonts w:hint="eastAsia" w:ascii="宋体" w:hAnsi="宋体"/>
                <w:kern w:val="0"/>
                <w:sz w:val="24"/>
              </w:rPr>
              <w:t>得0分。</w:t>
            </w:r>
          </w:p>
        </w:tc>
      </w:tr>
      <w:tr w14:paraId="5FF68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7" w:hRule="atLeast"/>
          <w:jc w:val="center"/>
        </w:trPr>
        <w:tc>
          <w:tcPr>
            <w:tcW w:w="892" w:type="dxa"/>
            <w:vMerge w:val="continue"/>
            <w:vAlign w:val="center"/>
          </w:tcPr>
          <w:p w14:paraId="5E8B7888">
            <w:pPr>
              <w:jc w:val="center"/>
              <w:rPr>
                <w:rFonts w:ascii="宋体" w:hAnsi="宋体"/>
                <w:sz w:val="24"/>
              </w:rPr>
            </w:pPr>
          </w:p>
        </w:tc>
        <w:tc>
          <w:tcPr>
            <w:tcW w:w="1097" w:type="dxa"/>
            <w:vAlign w:val="center"/>
          </w:tcPr>
          <w:p w14:paraId="279BE647">
            <w:pPr>
              <w:jc w:val="center"/>
              <w:textAlignment w:val="center"/>
              <w:rPr>
                <w:rFonts w:ascii="宋体" w:hAnsi="宋体"/>
                <w:bCs/>
                <w:sz w:val="24"/>
              </w:rPr>
            </w:pPr>
            <w:r>
              <w:rPr>
                <w:rFonts w:hint="eastAsia" w:ascii="宋体" w:hAnsi="宋体"/>
                <w:bCs/>
                <w:sz w:val="24"/>
              </w:rPr>
              <w:t>服务保障方案</w:t>
            </w:r>
          </w:p>
        </w:tc>
        <w:tc>
          <w:tcPr>
            <w:tcW w:w="583" w:type="dxa"/>
            <w:vAlign w:val="center"/>
          </w:tcPr>
          <w:p w14:paraId="22DE08B6">
            <w:pPr>
              <w:jc w:val="center"/>
              <w:rPr>
                <w:rFonts w:ascii="宋体" w:hAnsi="宋体"/>
                <w:sz w:val="24"/>
              </w:rPr>
            </w:pPr>
            <w:r>
              <w:rPr>
                <w:rFonts w:ascii="宋体" w:hAnsi="宋体"/>
                <w:sz w:val="24"/>
              </w:rPr>
              <w:t>10</w:t>
            </w:r>
          </w:p>
        </w:tc>
        <w:tc>
          <w:tcPr>
            <w:tcW w:w="7488" w:type="dxa"/>
            <w:vAlign w:val="center"/>
          </w:tcPr>
          <w:p w14:paraId="52D1467E">
            <w:pPr>
              <w:jc w:val="left"/>
              <w:rPr>
                <w:rFonts w:ascii="宋体" w:hAnsi="宋体"/>
                <w:bCs/>
                <w:sz w:val="24"/>
              </w:rPr>
            </w:pPr>
            <w:r>
              <w:rPr>
                <w:rFonts w:hint="eastAsia" w:ascii="宋体" w:hAnsi="宋体"/>
                <w:bCs/>
                <w:sz w:val="24"/>
              </w:rPr>
              <w:t>服务保障方案包括但不限于质量保障措施、进度保障措施、成本保障措施、风险控制措施等内容。</w:t>
            </w:r>
          </w:p>
          <w:p w14:paraId="2FE62756">
            <w:pPr>
              <w:jc w:val="left"/>
              <w:rPr>
                <w:rFonts w:ascii="宋体" w:hAnsi="宋体"/>
                <w:sz w:val="24"/>
              </w:rPr>
            </w:pPr>
            <w:r>
              <w:rPr>
                <w:rFonts w:hint="eastAsia" w:ascii="宋体" w:hAnsi="宋体"/>
                <w:bCs/>
                <w:sz w:val="24"/>
              </w:rPr>
              <w:t>服务保障方案</w:t>
            </w:r>
            <w:r>
              <w:rPr>
                <w:rFonts w:hint="eastAsia" w:ascii="宋体" w:hAnsi="宋体"/>
                <w:sz w:val="24"/>
              </w:rPr>
              <w:t>详尽完整，完全满足采购人的服务要求以及本项目的服务特点，可行性强的</w:t>
            </w:r>
            <w:r>
              <w:rPr>
                <w:rFonts w:hint="eastAsia" w:ascii="宋体" w:hAnsi="宋体" w:cs="宋体"/>
                <w:kern w:val="0"/>
                <w:sz w:val="24"/>
              </w:rPr>
              <w:t>，</w:t>
            </w:r>
            <w:r>
              <w:rPr>
                <w:rFonts w:hint="eastAsia" w:ascii="宋体" w:hAnsi="宋体"/>
                <w:sz w:val="24"/>
              </w:rPr>
              <w:t>得</w:t>
            </w:r>
            <w:r>
              <w:rPr>
                <w:rFonts w:ascii="宋体" w:hAnsi="宋体"/>
                <w:sz w:val="24"/>
              </w:rPr>
              <w:t>10</w:t>
            </w:r>
            <w:r>
              <w:rPr>
                <w:rFonts w:hint="eastAsia" w:ascii="宋体" w:hAnsi="宋体"/>
                <w:sz w:val="24"/>
              </w:rPr>
              <w:t>分；</w:t>
            </w:r>
          </w:p>
          <w:p w14:paraId="2B7FCDDC">
            <w:pPr>
              <w:jc w:val="left"/>
              <w:rPr>
                <w:rFonts w:ascii="宋体" w:hAnsi="宋体"/>
                <w:sz w:val="24"/>
              </w:rPr>
            </w:pPr>
            <w:r>
              <w:rPr>
                <w:rFonts w:hint="eastAsia" w:ascii="宋体" w:hAnsi="宋体"/>
                <w:bCs/>
                <w:sz w:val="24"/>
              </w:rPr>
              <w:t>服务保障方案</w:t>
            </w:r>
            <w:r>
              <w:rPr>
                <w:rFonts w:hint="eastAsia" w:ascii="宋体" w:hAnsi="宋体"/>
                <w:sz w:val="24"/>
              </w:rPr>
              <w:t>较完整，基本满足采购人的服务要求以及本项目的服务特点，可行性较强的</w:t>
            </w:r>
            <w:r>
              <w:rPr>
                <w:rFonts w:hint="eastAsia" w:ascii="宋体" w:hAnsi="宋体" w:cs="宋体"/>
                <w:kern w:val="0"/>
                <w:sz w:val="24"/>
              </w:rPr>
              <w:t>，</w:t>
            </w:r>
            <w:r>
              <w:rPr>
                <w:rFonts w:hint="eastAsia" w:ascii="宋体" w:hAnsi="宋体"/>
                <w:sz w:val="24"/>
              </w:rPr>
              <w:t>得</w:t>
            </w:r>
            <w:r>
              <w:rPr>
                <w:rFonts w:ascii="宋体" w:hAnsi="宋体"/>
                <w:sz w:val="24"/>
              </w:rPr>
              <w:t>7</w:t>
            </w:r>
            <w:r>
              <w:rPr>
                <w:rFonts w:hint="eastAsia" w:ascii="宋体" w:hAnsi="宋体"/>
                <w:sz w:val="24"/>
              </w:rPr>
              <w:t xml:space="preserve">分； </w:t>
            </w:r>
          </w:p>
          <w:p w14:paraId="61092C90">
            <w:pPr>
              <w:jc w:val="left"/>
              <w:rPr>
                <w:rFonts w:ascii="宋体" w:hAnsi="宋体"/>
                <w:sz w:val="24"/>
              </w:rPr>
            </w:pPr>
            <w:r>
              <w:rPr>
                <w:rFonts w:hint="eastAsia" w:ascii="宋体" w:hAnsi="宋体"/>
                <w:bCs/>
                <w:sz w:val="24"/>
              </w:rPr>
              <w:t>服务保障方案</w:t>
            </w:r>
            <w:r>
              <w:rPr>
                <w:rFonts w:hint="eastAsia" w:ascii="宋体" w:hAnsi="宋体"/>
                <w:sz w:val="24"/>
              </w:rPr>
              <w:t>欠完整，不能完全满足采购人的服务要求以及本项目的服务特点，可行性欠妥的</w:t>
            </w:r>
            <w:r>
              <w:rPr>
                <w:rFonts w:hint="eastAsia" w:ascii="宋体" w:hAnsi="宋体" w:cs="宋体"/>
                <w:kern w:val="0"/>
                <w:sz w:val="24"/>
              </w:rPr>
              <w:t>，</w:t>
            </w:r>
            <w:r>
              <w:rPr>
                <w:rFonts w:hint="eastAsia" w:ascii="宋体" w:hAnsi="宋体"/>
                <w:sz w:val="24"/>
              </w:rPr>
              <w:t xml:space="preserve">得3分； </w:t>
            </w:r>
          </w:p>
          <w:p w14:paraId="37FF80A1">
            <w:pPr>
              <w:jc w:val="left"/>
              <w:rPr>
                <w:rFonts w:ascii="宋体" w:hAnsi="宋体"/>
                <w:sz w:val="24"/>
              </w:rPr>
            </w:pPr>
            <w:r>
              <w:rPr>
                <w:rFonts w:hint="eastAsia" w:ascii="宋体" w:hAnsi="宋体"/>
                <w:kern w:val="0"/>
                <w:sz w:val="24"/>
              </w:rPr>
              <w:t>未提供</w:t>
            </w:r>
            <w:r>
              <w:rPr>
                <w:rFonts w:hint="eastAsia" w:ascii="宋体" w:hAnsi="宋体"/>
                <w:bCs/>
                <w:sz w:val="24"/>
              </w:rPr>
              <w:t>服务保障方案</w:t>
            </w:r>
            <w:r>
              <w:rPr>
                <w:rFonts w:hint="eastAsia" w:ascii="宋体" w:hAnsi="宋体"/>
                <w:color w:val="000000"/>
                <w:sz w:val="24"/>
              </w:rPr>
              <w:t>，</w:t>
            </w:r>
            <w:r>
              <w:rPr>
                <w:rFonts w:hint="eastAsia" w:ascii="宋体" w:hAnsi="宋体"/>
                <w:kern w:val="0"/>
                <w:sz w:val="24"/>
              </w:rPr>
              <w:t>得0分。</w:t>
            </w:r>
          </w:p>
        </w:tc>
      </w:tr>
      <w:tr w14:paraId="6904D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9" w:hRule="atLeast"/>
          <w:jc w:val="center"/>
        </w:trPr>
        <w:tc>
          <w:tcPr>
            <w:tcW w:w="892" w:type="dxa"/>
            <w:vMerge w:val="continue"/>
            <w:vAlign w:val="center"/>
          </w:tcPr>
          <w:p w14:paraId="4267EB2B">
            <w:pPr>
              <w:widowControl/>
              <w:jc w:val="center"/>
              <w:rPr>
                <w:rFonts w:ascii="宋体" w:hAnsi="宋体" w:cs="Tahoma"/>
                <w:sz w:val="24"/>
              </w:rPr>
            </w:pPr>
          </w:p>
        </w:tc>
        <w:tc>
          <w:tcPr>
            <w:tcW w:w="1097" w:type="dxa"/>
            <w:vAlign w:val="center"/>
          </w:tcPr>
          <w:p w14:paraId="27B5A9DD">
            <w:pPr>
              <w:jc w:val="center"/>
              <w:rPr>
                <w:rFonts w:ascii="宋体" w:hAnsi="宋体" w:cs="宋体"/>
                <w:color w:val="000000"/>
                <w:kern w:val="0"/>
                <w:sz w:val="24"/>
              </w:rPr>
            </w:pPr>
            <w:r>
              <w:rPr>
                <w:rFonts w:hint="eastAsia" w:ascii="宋体" w:hAnsi="宋体" w:cs="宋体"/>
                <w:color w:val="000000"/>
                <w:kern w:val="0"/>
                <w:sz w:val="24"/>
              </w:rPr>
              <w:t>服务承诺</w:t>
            </w:r>
          </w:p>
        </w:tc>
        <w:tc>
          <w:tcPr>
            <w:tcW w:w="583" w:type="dxa"/>
            <w:vAlign w:val="center"/>
          </w:tcPr>
          <w:p w14:paraId="7F424392">
            <w:pPr>
              <w:jc w:val="center"/>
              <w:rPr>
                <w:rFonts w:ascii="宋体" w:hAnsi="宋体" w:cs="宋体"/>
                <w:color w:val="000000"/>
                <w:kern w:val="0"/>
                <w:sz w:val="24"/>
              </w:rPr>
            </w:pPr>
            <w:r>
              <w:rPr>
                <w:rFonts w:ascii="宋体" w:hAnsi="宋体" w:cs="宋体"/>
                <w:color w:val="000000"/>
                <w:kern w:val="0"/>
                <w:sz w:val="24"/>
              </w:rPr>
              <w:t>5</w:t>
            </w:r>
          </w:p>
        </w:tc>
        <w:tc>
          <w:tcPr>
            <w:tcW w:w="7488" w:type="dxa"/>
            <w:vAlign w:val="center"/>
          </w:tcPr>
          <w:p w14:paraId="2C273266">
            <w:pPr>
              <w:jc w:val="left"/>
              <w:rPr>
                <w:rFonts w:ascii="宋体" w:hAnsi="宋体" w:cs="宋体"/>
                <w:color w:val="000000"/>
                <w:kern w:val="0"/>
                <w:sz w:val="24"/>
              </w:rPr>
            </w:pPr>
            <w:r>
              <w:rPr>
                <w:rFonts w:hint="eastAsia" w:ascii="宋体" w:hAnsi="宋体" w:cs="宋体"/>
                <w:color w:val="000000"/>
                <w:kern w:val="0"/>
                <w:sz w:val="24"/>
              </w:rPr>
              <w:t>针对本项目提供的服务承诺全面、可行，得</w:t>
            </w:r>
            <w:r>
              <w:rPr>
                <w:rFonts w:ascii="宋体" w:hAnsi="宋体" w:cs="宋体"/>
                <w:color w:val="000000"/>
                <w:kern w:val="0"/>
                <w:sz w:val="24"/>
              </w:rPr>
              <w:t>5</w:t>
            </w:r>
            <w:r>
              <w:rPr>
                <w:rFonts w:hint="eastAsia" w:ascii="宋体" w:hAnsi="宋体" w:cs="宋体"/>
                <w:color w:val="000000"/>
                <w:kern w:val="0"/>
                <w:sz w:val="24"/>
              </w:rPr>
              <w:t>分；</w:t>
            </w:r>
          </w:p>
          <w:p w14:paraId="76C53E5B">
            <w:pPr>
              <w:jc w:val="left"/>
              <w:rPr>
                <w:rFonts w:ascii="宋体" w:hAnsi="宋体" w:cs="宋体"/>
                <w:color w:val="000000"/>
                <w:kern w:val="0"/>
                <w:sz w:val="24"/>
              </w:rPr>
            </w:pPr>
            <w:r>
              <w:rPr>
                <w:rFonts w:hint="eastAsia" w:ascii="宋体" w:hAnsi="宋体" w:cs="宋体"/>
                <w:color w:val="000000"/>
                <w:kern w:val="0"/>
                <w:sz w:val="24"/>
              </w:rPr>
              <w:t>针对本项目提供的服务承诺较为全面、基本可行，得</w:t>
            </w:r>
            <w:r>
              <w:rPr>
                <w:rFonts w:ascii="宋体" w:hAnsi="宋体" w:cs="宋体"/>
                <w:color w:val="000000"/>
                <w:kern w:val="0"/>
                <w:sz w:val="24"/>
              </w:rPr>
              <w:t>3</w:t>
            </w:r>
            <w:r>
              <w:rPr>
                <w:rFonts w:hint="eastAsia" w:ascii="宋体" w:hAnsi="宋体" w:cs="宋体"/>
                <w:color w:val="000000"/>
                <w:kern w:val="0"/>
                <w:sz w:val="24"/>
              </w:rPr>
              <w:t>分；</w:t>
            </w:r>
          </w:p>
          <w:p w14:paraId="07F617F5">
            <w:pPr>
              <w:jc w:val="left"/>
              <w:rPr>
                <w:rFonts w:ascii="宋体" w:hAnsi="宋体" w:cs="宋体"/>
                <w:color w:val="000000"/>
                <w:kern w:val="0"/>
                <w:sz w:val="24"/>
              </w:rPr>
            </w:pPr>
            <w:r>
              <w:rPr>
                <w:rFonts w:hint="eastAsia" w:ascii="宋体" w:hAnsi="宋体" w:cs="宋体"/>
                <w:color w:val="000000"/>
                <w:kern w:val="0"/>
                <w:sz w:val="24"/>
              </w:rPr>
              <w:t>针对本项目提供的服务承诺不够全面，得</w:t>
            </w:r>
            <w:r>
              <w:rPr>
                <w:rFonts w:ascii="宋体" w:hAnsi="宋体" w:cs="宋体"/>
                <w:color w:val="000000"/>
                <w:kern w:val="0"/>
                <w:sz w:val="24"/>
              </w:rPr>
              <w:t>1</w:t>
            </w:r>
            <w:r>
              <w:rPr>
                <w:rFonts w:hint="eastAsia" w:ascii="宋体" w:hAnsi="宋体" w:cs="宋体"/>
                <w:color w:val="000000"/>
                <w:kern w:val="0"/>
                <w:sz w:val="24"/>
              </w:rPr>
              <w:t>分；</w:t>
            </w:r>
          </w:p>
          <w:p w14:paraId="0701BEE4">
            <w:pPr>
              <w:jc w:val="left"/>
              <w:rPr>
                <w:rFonts w:ascii="宋体" w:hAnsi="宋体" w:cs="宋体"/>
                <w:color w:val="000000"/>
                <w:kern w:val="0"/>
                <w:sz w:val="24"/>
              </w:rPr>
            </w:pPr>
            <w:r>
              <w:rPr>
                <w:rFonts w:hint="eastAsia" w:ascii="宋体" w:hAnsi="宋体" w:cs="宋体"/>
                <w:color w:val="000000"/>
                <w:kern w:val="0"/>
                <w:sz w:val="24"/>
              </w:rPr>
              <w:t>未提供服务承诺，得0分。</w:t>
            </w:r>
          </w:p>
        </w:tc>
      </w:tr>
    </w:tbl>
    <w:p w14:paraId="6A63D4CF">
      <w:pPr>
        <w:spacing w:line="360" w:lineRule="auto"/>
        <w:jc w:val="center"/>
        <w:outlineLvl w:val="0"/>
        <w:rPr>
          <w:rFonts w:hint="default" w:hAnsi="宋体"/>
          <w:sz w:val="24"/>
          <w:szCs w:val="24"/>
          <w:highlight w:val="green"/>
          <w:lang w:val="en-US" w:eastAsia="zh-CN"/>
        </w:rPr>
      </w:pPr>
      <w:r>
        <w:rPr>
          <w:b/>
          <w:sz w:val="36"/>
          <w:szCs w:val="36"/>
        </w:rPr>
        <w:br w:type="page"/>
      </w:r>
      <w:bookmarkStart w:id="820" w:name="_Toc12339"/>
      <w:r>
        <w:rPr>
          <w:b/>
          <w:sz w:val="36"/>
          <w:szCs w:val="36"/>
        </w:rPr>
        <w:t>第五章   采购需求</w:t>
      </w:r>
      <w:bookmarkEnd w:id="820"/>
    </w:p>
    <w:p w14:paraId="5DC40E32">
      <w:pPr>
        <w:spacing w:line="360" w:lineRule="auto"/>
        <w:ind w:firstLine="480"/>
        <w:rPr>
          <w:rFonts w:ascii="宋体" w:hAnsi="宋体"/>
          <w:sz w:val="24"/>
          <w:lang w:val="zh-CN"/>
        </w:rPr>
      </w:pPr>
      <w:r>
        <w:rPr>
          <w:rFonts w:hint="eastAsia" w:ascii="宋体" w:hAnsi="宋体"/>
          <w:sz w:val="24"/>
          <w:lang w:val="zh-CN"/>
        </w:rPr>
        <w:t>1、项目概述</w:t>
      </w:r>
    </w:p>
    <w:p w14:paraId="45616A1B">
      <w:pPr>
        <w:spacing w:line="360" w:lineRule="auto"/>
        <w:ind w:firstLine="480"/>
        <w:rPr>
          <w:rFonts w:ascii="宋体" w:hAnsi="宋体"/>
          <w:sz w:val="24"/>
          <w:lang w:val="zh-CN"/>
        </w:rPr>
      </w:pPr>
      <w:r>
        <w:rPr>
          <w:rFonts w:hint="eastAsia" w:ascii="宋体" w:hAnsi="宋体"/>
          <w:sz w:val="24"/>
          <w:lang w:val="zh-CN"/>
        </w:rPr>
        <w:t>1</w:t>
      </w:r>
      <w:r>
        <w:rPr>
          <w:rFonts w:ascii="宋体" w:hAnsi="宋体"/>
          <w:sz w:val="24"/>
          <w:lang w:val="zh-CN"/>
        </w:rPr>
        <w:t>.1</w:t>
      </w:r>
      <w:r>
        <w:rPr>
          <w:rFonts w:hint="eastAsia" w:ascii="宋体" w:hAnsi="宋体"/>
          <w:sz w:val="24"/>
          <w:lang w:val="zh-CN"/>
        </w:rPr>
        <w:t>项目简介</w:t>
      </w:r>
    </w:p>
    <w:p w14:paraId="453074C3">
      <w:pPr>
        <w:spacing w:line="360" w:lineRule="auto"/>
        <w:ind w:firstLine="480"/>
        <w:rPr>
          <w:rFonts w:ascii="宋体" w:hAnsi="宋体"/>
          <w:color w:val="000000"/>
          <w:sz w:val="24"/>
        </w:rPr>
      </w:pPr>
      <w:r>
        <w:rPr>
          <w:rFonts w:hint="eastAsia" w:ascii="宋体" w:hAnsi="宋体"/>
          <w:color w:val="000000"/>
          <w:sz w:val="24"/>
        </w:rPr>
        <w:t>大兴区720积水点治理工程-新城地区防汛应急指挥系统（以下简称：“大兴新城防汛应急指挥系统”）是由大兴区城市管理委员会牵头组织建设，该系统主要用于汛期间大兴新城内的防汛指挥调度工作，其建设内容包含前端硬件采集设备建设、后台软件系统开发建设、防汛大屏指挥中心建设三大部分。</w:t>
      </w:r>
    </w:p>
    <w:p w14:paraId="6EFC2658">
      <w:pPr>
        <w:spacing w:line="360" w:lineRule="auto"/>
        <w:ind w:firstLine="480"/>
        <w:rPr>
          <w:rFonts w:ascii="宋体" w:hAnsi="宋体"/>
          <w:color w:val="000000"/>
          <w:sz w:val="24"/>
        </w:rPr>
      </w:pPr>
      <w:r>
        <w:rPr>
          <w:rFonts w:hint="eastAsia" w:ascii="宋体" w:hAnsi="宋体"/>
          <w:color w:val="000000"/>
          <w:sz w:val="24"/>
        </w:rPr>
        <w:t>防汛应急管理部门通过大兴新城防汛应急指挥系统，可以实时监测各个积水点的详细信息，包括积水的深度、降雨量、实时视频等，并可以通过预警功能及时发布预警信息，安排抗洪抢险的各项工作，大大提高应急指挥工作中的效率，提升抗洪救灾的时效性，对于挽救人民生命安全和财产损失具有重大意义。随着</w:t>
      </w:r>
      <w:r>
        <w:rPr>
          <w:rFonts w:hint="eastAsia" w:ascii="宋体" w:hAnsi="宋体" w:cs="Arial"/>
          <w:sz w:val="24"/>
        </w:rPr>
        <w:t>防汛</w:t>
      </w:r>
      <w:r>
        <w:rPr>
          <w:rFonts w:ascii="宋体" w:hAnsi="宋体" w:cs="Arial"/>
          <w:sz w:val="24"/>
        </w:rPr>
        <w:t>设备</w:t>
      </w:r>
      <w:r>
        <w:rPr>
          <w:rFonts w:hint="eastAsia" w:ascii="宋体" w:hAnsi="宋体" w:cs="Arial"/>
          <w:sz w:val="24"/>
        </w:rPr>
        <w:t>的维保期限将至</w:t>
      </w:r>
      <w:r>
        <w:rPr>
          <w:rFonts w:ascii="宋体" w:hAnsi="宋体" w:cs="Arial"/>
          <w:sz w:val="24"/>
        </w:rPr>
        <w:t>，系统的使用与</w:t>
      </w:r>
      <w:r>
        <w:rPr>
          <w:rFonts w:hint="eastAsia" w:ascii="宋体" w:hAnsi="宋体" w:cs="Arial"/>
          <w:sz w:val="24"/>
        </w:rPr>
        <w:t>区城管委</w:t>
      </w:r>
      <w:r>
        <w:rPr>
          <w:rFonts w:ascii="宋体" w:hAnsi="宋体" w:cs="Arial"/>
          <w:sz w:val="24"/>
        </w:rPr>
        <w:t>本身业务结合越来越紧密,系统的运维工作成为了保障系统稳定运行的必要手段。</w:t>
      </w:r>
    </w:p>
    <w:p w14:paraId="5A57DF13">
      <w:pPr>
        <w:spacing w:line="360" w:lineRule="auto"/>
        <w:ind w:firstLine="480"/>
        <w:rPr>
          <w:rFonts w:ascii="宋体" w:hAnsi="宋体"/>
          <w:sz w:val="24"/>
        </w:rPr>
      </w:pPr>
      <w:r>
        <w:rPr>
          <w:rFonts w:hint="eastAsia" w:ascii="宋体" w:hAnsi="宋体"/>
          <w:sz w:val="24"/>
        </w:rPr>
        <w:t>1</w:t>
      </w:r>
      <w:r>
        <w:rPr>
          <w:rFonts w:ascii="宋体" w:hAnsi="宋体"/>
          <w:sz w:val="24"/>
        </w:rPr>
        <w:t>.2</w:t>
      </w:r>
      <w:r>
        <w:rPr>
          <w:rFonts w:hint="eastAsia" w:ascii="宋体" w:hAnsi="宋体"/>
          <w:sz w:val="24"/>
        </w:rPr>
        <w:t>运维服务目标及范围</w:t>
      </w:r>
    </w:p>
    <w:p w14:paraId="7815C553">
      <w:pPr>
        <w:spacing w:line="360" w:lineRule="auto"/>
        <w:ind w:firstLine="480"/>
        <w:rPr>
          <w:rFonts w:ascii="宋体" w:hAnsi="宋体"/>
          <w:sz w:val="24"/>
        </w:rPr>
      </w:pPr>
      <w:r>
        <w:rPr>
          <w:rFonts w:hint="eastAsia" w:ascii="宋体" w:hAnsi="宋体"/>
          <w:sz w:val="24"/>
        </w:rPr>
        <w:t>1</w:t>
      </w:r>
      <w:r>
        <w:rPr>
          <w:rFonts w:ascii="宋体" w:hAnsi="宋体"/>
          <w:sz w:val="24"/>
        </w:rPr>
        <w:t>.2.1</w:t>
      </w:r>
      <w:r>
        <w:rPr>
          <w:rFonts w:hint="eastAsia" w:ascii="宋体" w:hAnsi="宋体"/>
          <w:sz w:val="24"/>
        </w:rPr>
        <w:t>运维服务目标</w:t>
      </w:r>
    </w:p>
    <w:p w14:paraId="763FF0CB">
      <w:pPr>
        <w:spacing w:line="360" w:lineRule="auto"/>
        <w:ind w:firstLine="480"/>
        <w:rPr>
          <w:rFonts w:ascii="宋体" w:hAnsi="宋体"/>
          <w:sz w:val="24"/>
        </w:rPr>
      </w:pPr>
      <w:r>
        <w:rPr>
          <w:rFonts w:ascii="宋体" w:hAnsi="宋体"/>
          <w:sz w:val="24"/>
        </w:rPr>
        <w:t>1</w:t>
      </w:r>
      <w:r>
        <w:rPr>
          <w:rFonts w:hint="eastAsia" w:ascii="宋体" w:hAnsi="宋体"/>
          <w:sz w:val="24"/>
        </w:rPr>
        <w:t xml:space="preserve">、保障各个系统在维护期内的稳定性和可靠性。 </w:t>
      </w:r>
    </w:p>
    <w:p w14:paraId="0E058E77">
      <w:pPr>
        <w:spacing w:line="360" w:lineRule="auto"/>
        <w:ind w:firstLine="480"/>
        <w:rPr>
          <w:rFonts w:ascii="宋体" w:hAnsi="宋体"/>
          <w:sz w:val="24"/>
        </w:rPr>
      </w:pPr>
      <w:r>
        <w:rPr>
          <w:rFonts w:hint="eastAsia" w:ascii="宋体" w:hAnsi="宋体"/>
          <w:sz w:val="24"/>
        </w:rPr>
        <w:t xml:space="preserve">通过对各系统的巡检和日常维护，保证系统能够稳定、可靠地运转。 </w:t>
      </w:r>
    </w:p>
    <w:p w14:paraId="0637224E">
      <w:pPr>
        <w:spacing w:line="360" w:lineRule="auto"/>
        <w:ind w:firstLine="480"/>
        <w:rPr>
          <w:rFonts w:ascii="宋体" w:hAnsi="宋体"/>
          <w:sz w:val="24"/>
        </w:rPr>
      </w:pPr>
      <w:r>
        <w:rPr>
          <w:rFonts w:ascii="宋体" w:hAnsi="宋体"/>
          <w:sz w:val="24"/>
        </w:rPr>
        <w:t>2</w:t>
      </w:r>
      <w:r>
        <w:rPr>
          <w:rFonts w:hint="eastAsia" w:ascii="宋体" w:hAnsi="宋体"/>
          <w:sz w:val="24"/>
        </w:rPr>
        <w:t>、保证报修现场服务响应及时有效。</w:t>
      </w:r>
    </w:p>
    <w:p w14:paraId="0C2BD139">
      <w:pPr>
        <w:spacing w:line="360" w:lineRule="auto"/>
        <w:ind w:firstLine="480"/>
        <w:rPr>
          <w:rFonts w:ascii="宋体" w:hAnsi="宋体"/>
          <w:sz w:val="24"/>
        </w:rPr>
      </w:pPr>
      <w:r>
        <w:rPr>
          <w:rFonts w:hint="eastAsia" w:ascii="宋体" w:hAnsi="宋体"/>
          <w:sz w:val="24"/>
        </w:rPr>
        <w:t>针对出现的故障，运维方应提供快速及时的维护响应，安排技术能力强，对系统熟悉的技术人员到达现场及时进行故障排查。</w:t>
      </w:r>
    </w:p>
    <w:p w14:paraId="080624BE">
      <w:pPr>
        <w:spacing w:line="360" w:lineRule="auto"/>
        <w:ind w:firstLine="480"/>
        <w:rPr>
          <w:rFonts w:ascii="宋体" w:hAnsi="宋体"/>
          <w:sz w:val="24"/>
        </w:rPr>
      </w:pPr>
      <w:r>
        <w:rPr>
          <w:rFonts w:ascii="宋体" w:hAnsi="宋体"/>
          <w:sz w:val="24"/>
        </w:rPr>
        <w:t>3</w:t>
      </w:r>
      <w:r>
        <w:rPr>
          <w:rFonts w:hint="eastAsia" w:ascii="宋体" w:hAnsi="宋体"/>
          <w:sz w:val="24"/>
        </w:rPr>
        <w:t xml:space="preserve">、做好巡检及养护优化工作。 </w:t>
      </w:r>
    </w:p>
    <w:p w14:paraId="6EBC46DE">
      <w:pPr>
        <w:spacing w:line="360" w:lineRule="auto"/>
        <w:ind w:firstLine="480"/>
        <w:rPr>
          <w:rFonts w:ascii="宋体" w:hAnsi="宋体"/>
          <w:sz w:val="24"/>
        </w:rPr>
      </w:pPr>
      <w:r>
        <w:rPr>
          <w:rFonts w:hint="eastAsia" w:ascii="宋体" w:hAnsi="宋体"/>
          <w:sz w:val="24"/>
        </w:rPr>
        <w:t xml:space="preserve">通过专业的巡检服务，对系统存在的隐患及时排查解决，提高故障的预发现预处理能力，降低突发故障率，在保障系统正常运行的基础上，对系统进行性能优化，使系统在现有硬件环境下能够最大程度的发挥性能。 </w:t>
      </w:r>
    </w:p>
    <w:p w14:paraId="47F7952E">
      <w:pPr>
        <w:spacing w:line="360" w:lineRule="auto"/>
        <w:ind w:firstLine="480"/>
        <w:rPr>
          <w:rFonts w:ascii="宋体" w:hAnsi="宋体"/>
          <w:sz w:val="24"/>
        </w:rPr>
      </w:pPr>
      <w:r>
        <w:rPr>
          <w:rFonts w:ascii="宋体" w:hAnsi="宋体"/>
          <w:sz w:val="24"/>
        </w:rPr>
        <w:t>4</w:t>
      </w:r>
      <w:r>
        <w:rPr>
          <w:rFonts w:hint="eastAsia" w:ascii="宋体" w:hAnsi="宋体"/>
          <w:sz w:val="24"/>
        </w:rPr>
        <w:t xml:space="preserve">、做好技术支持工作 </w:t>
      </w:r>
    </w:p>
    <w:p w14:paraId="0022DA29">
      <w:pPr>
        <w:spacing w:line="360" w:lineRule="auto"/>
        <w:ind w:firstLine="480"/>
        <w:rPr>
          <w:rFonts w:ascii="宋体" w:hAnsi="宋体"/>
          <w:sz w:val="24"/>
        </w:rPr>
      </w:pPr>
      <w:r>
        <w:rPr>
          <w:rFonts w:hint="eastAsia" w:ascii="宋体" w:hAnsi="宋体"/>
          <w:sz w:val="24"/>
        </w:rPr>
        <w:t>通过电话和现场服务等技术支持，与大兴区城市管理委员会管线中心管理人员进行技术交流，加深其对系统的了解，为提高管理处人员管理操作水平提供技术支持。</w:t>
      </w:r>
    </w:p>
    <w:p w14:paraId="5417FF34">
      <w:pPr>
        <w:spacing w:line="360" w:lineRule="auto"/>
        <w:ind w:firstLine="480"/>
        <w:rPr>
          <w:rFonts w:ascii="宋体" w:hAnsi="宋体"/>
          <w:sz w:val="24"/>
        </w:rPr>
      </w:pPr>
      <w:r>
        <w:rPr>
          <w:rFonts w:hint="eastAsia" w:ascii="宋体" w:hAnsi="宋体"/>
          <w:sz w:val="24"/>
        </w:rPr>
        <w:t>5、做好应急服务保障工作</w:t>
      </w:r>
    </w:p>
    <w:p w14:paraId="37A66375">
      <w:pPr>
        <w:spacing w:line="360" w:lineRule="auto"/>
        <w:ind w:firstLine="480"/>
        <w:rPr>
          <w:rFonts w:ascii="宋体" w:hAnsi="宋体"/>
          <w:sz w:val="24"/>
        </w:rPr>
      </w:pPr>
      <w:r>
        <w:rPr>
          <w:rFonts w:hint="eastAsia" w:ascii="宋体" w:hAnsi="宋体"/>
          <w:sz w:val="24"/>
        </w:rPr>
        <w:t>通过对应急预案的制定，严格按照事件的级别进行响应工作，设立应急保障小组，在</w:t>
      </w:r>
      <w:r>
        <w:rPr>
          <w:rFonts w:ascii="宋体" w:hAnsi="宋体"/>
          <w:sz w:val="24"/>
        </w:rPr>
        <w:t>敏感时期、重大节假日</w:t>
      </w:r>
      <w:r>
        <w:rPr>
          <w:rFonts w:hint="eastAsia" w:ascii="宋体" w:hAnsi="宋体"/>
          <w:sz w:val="24"/>
        </w:rPr>
        <w:t>或汛期暴雨时期</w:t>
      </w:r>
      <w:r>
        <w:rPr>
          <w:rFonts w:ascii="宋体" w:hAnsi="宋体"/>
          <w:sz w:val="24"/>
        </w:rPr>
        <w:t>提供技术人员专门现场值守服务</w:t>
      </w:r>
      <w:r>
        <w:rPr>
          <w:rFonts w:hint="eastAsia" w:ascii="宋体" w:hAnsi="宋体"/>
          <w:sz w:val="24"/>
        </w:rPr>
        <w:t>。</w:t>
      </w:r>
    </w:p>
    <w:p w14:paraId="05424125">
      <w:pPr>
        <w:spacing w:line="360" w:lineRule="auto"/>
        <w:ind w:firstLine="480"/>
        <w:rPr>
          <w:rFonts w:ascii="宋体" w:hAnsi="宋体"/>
          <w:sz w:val="24"/>
        </w:rPr>
      </w:pPr>
      <w:r>
        <w:rPr>
          <w:rFonts w:hint="eastAsia" w:ascii="宋体" w:hAnsi="宋体"/>
          <w:sz w:val="24"/>
        </w:rPr>
        <w:t>1</w:t>
      </w:r>
      <w:r>
        <w:rPr>
          <w:rFonts w:ascii="宋体" w:hAnsi="宋体"/>
          <w:sz w:val="24"/>
        </w:rPr>
        <w:t>.2.2</w:t>
      </w:r>
      <w:r>
        <w:rPr>
          <w:rFonts w:hint="eastAsia" w:ascii="宋体" w:hAnsi="宋体"/>
          <w:sz w:val="24"/>
        </w:rPr>
        <w:t>运维服务范围</w:t>
      </w:r>
    </w:p>
    <w:p w14:paraId="59C9E069">
      <w:pPr>
        <w:spacing w:line="360" w:lineRule="auto"/>
        <w:ind w:firstLine="480"/>
        <w:rPr>
          <w:rFonts w:ascii="宋体" w:hAnsi="宋体"/>
          <w:color w:val="000000"/>
          <w:sz w:val="24"/>
        </w:rPr>
      </w:pPr>
      <w:r>
        <w:rPr>
          <w:rFonts w:hint="eastAsia" w:ascii="宋体" w:hAnsi="宋体"/>
          <w:sz w:val="24"/>
        </w:rPr>
        <w:t>对</w:t>
      </w:r>
      <w:r>
        <w:rPr>
          <w:rFonts w:hint="eastAsia" w:ascii="宋体" w:hAnsi="宋体"/>
          <w:color w:val="000000"/>
          <w:sz w:val="24"/>
        </w:rPr>
        <w:t>大兴新城防汛应急指挥系统的软硬件设备进行运行维护保养。</w:t>
      </w:r>
    </w:p>
    <w:p w14:paraId="30B31049">
      <w:pPr>
        <w:spacing w:line="360" w:lineRule="auto"/>
        <w:ind w:firstLine="480"/>
        <w:rPr>
          <w:rFonts w:ascii="宋体" w:hAnsi="宋体"/>
          <w:sz w:val="24"/>
        </w:rPr>
      </w:pPr>
      <w:r>
        <w:rPr>
          <w:rFonts w:hint="eastAsia" w:ascii="宋体" w:hAnsi="宋体"/>
          <w:sz w:val="24"/>
        </w:rPr>
        <w:t>1</w:t>
      </w:r>
      <w:r>
        <w:rPr>
          <w:rFonts w:ascii="宋体" w:hAnsi="宋体"/>
          <w:sz w:val="24"/>
        </w:rPr>
        <w:t>.2.2.1</w:t>
      </w:r>
      <w:r>
        <w:rPr>
          <w:rFonts w:hint="eastAsia" w:ascii="宋体" w:hAnsi="宋体"/>
          <w:sz w:val="24"/>
        </w:rPr>
        <w:t>硬件设备的维护范围</w:t>
      </w:r>
    </w:p>
    <w:p w14:paraId="608488D3">
      <w:pPr>
        <w:spacing w:line="360" w:lineRule="auto"/>
        <w:ind w:firstLine="480"/>
        <w:rPr>
          <w:rFonts w:ascii="宋体" w:hAnsi="宋体"/>
          <w:sz w:val="24"/>
        </w:rPr>
      </w:pPr>
      <w:r>
        <w:rPr>
          <w:rFonts w:hint="eastAsia" w:ascii="宋体" w:hAnsi="宋体"/>
          <w:sz w:val="24"/>
        </w:rPr>
        <w:t>防汛外场硬件设备运维主要包括积水监测设备、指挥中心大屏设备及辅助设施的运维。运维工作内容主要包括日常检查、定期维护、定期检测和故障修复四个方面。具体设备维护范围见下表：</w:t>
      </w:r>
    </w:p>
    <w:p w14:paraId="5781EB5B">
      <w:pPr>
        <w:spacing w:line="360" w:lineRule="auto"/>
        <w:ind w:firstLine="420"/>
        <w:jc w:val="center"/>
        <w:rPr>
          <w:rFonts w:ascii="宋体" w:hAnsi="宋体"/>
          <w:sz w:val="24"/>
        </w:rPr>
      </w:pPr>
      <w:r>
        <w:rPr>
          <w:rFonts w:hint="eastAsia" w:ascii="宋体" w:hAnsi="宋体"/>
          <w:sz w:val="24"/>
        </w:rPr>
        <w:t>表1</w:t>
      </w:r>
      <w:r>
        <w:rPr>
          <w:rFonts w:ascii="宋体" w:hAnsi="宋体"/>
          <w:sz w:val="24"/>
        </w:rPr>
        <w:t>.2.2.1</w:t>
      </w:r>
      <w:r>
        <w:rPr>
          <w:rFonts w:hint="eastAsia" w:ascii="宋体" w:hAnsi="宋体"/>
          <w:sz w:val="24"/>
        </w:rPr>
        <w:t>防汛设备运行维护范围表</w:t>
      </w:r>
    </w:p>
    <w:tbl>
      <w:tblPr>
        <w:tblStyle w:val="42"/>
        <w:tblW w:w="5000" w:type="pct"/>
        <w:tblInd w:w="123"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autofit"/>
        <w:tblCellMar>
          <w:top w:w="0" w:type="dxa"/>
          <w:left w:w="108" w:type="dxa"/>
          <w:bottom w:w="0" w:type="dxa"/>
          <w:right w:w="108" w:type="dxa"/>
        </w:tblCellMar>
      </w:tblPr>
      <w:tblGrid>
        <w:gridCol w:w="1705"/>
        <w:gridCol w:w="1211"/>
        <w:gridCol w:w="2684"/>
        <w:gridCol w:w="1458"/>
        <w:gridCol w:w="1458"/>
      </w:tblGrid>
      <w:tr w14:paraId="7E1F2AF1">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340" w:hRule="atLeast"/>
        </w:trPr>
        <w:tc>
          <w:tcPr>
            <w:tcW w:w="1001" w:type="pct"/>
            <w:shd w:val="clear" w:color="auto" w:fill="auto"/>
            <w:noWrap/>
            <w:vAlign w:val="center"/>
          </w:tcPr>
          <w:p w14:paraId="2E2EE0B2">
            <w:pPr>
              <w:pStyle w:val="254"/>
              <w:spacing w:line="360" w:lineRule="auto"/>
              <w:rPr>
                <w:rFonts w:ascii="宋体" w:hAnsi="宋体"/>
                <w:sz w:val="24"/>
                <w:szCs w:val="24"/>
              </w:rPr>
            </w:pPr>
            <w:r>
              <w:rPr>
                <w:rFonts w:hint="eastAsia" w:ascii="宋体" w:hAnsi="宋体"/>
                <w:sz w:val="24"/>
                <w:szCs w:val="24"/>
              </w:rPr>
              <w:t>运维对象</w:t>
            </w:r>
          </w:p>
        </w:tc>
        <w:tc>
          <w:tcPr>
            <w:tcW w:w="711" w:type="pct"/>
            <w:shd w:val="clear" w:color="auto" w:fill="auto"/>
            <w:noWrap/>
            <w:vAlign w:val="center"/>
          </w:tcPr>
          <w:p w14:paraId="576ECFF3">
            <w:pPr>
              <w:pStyle w:val="254"/>
              <w:spacing w:line="360" w:lineRule="auto"/>
              <w:rPr>
                <w:rFonts w:ascii="宋体" w:hAnsi="宋体"/>
                <w:sz w:val="24"/>
                <w:szCs w:val="24"/>
              </w:rPr>
            </w:pPr>
            <w:r>
              <w:rPr>
                <w:rFonts w:hint="eastAsia" w:ascii="宋体" w:hAnsi="宋体"/>
                <w:sz w:val="24"/>
                <w:szCs w:val="24"/>
              </w:rPr>
              <w:t>主要设备</w:t>
            </w:r>
          </w:p>
        </w:tc>
        <w:tc>
          <w:tcPr>
            <w:tcW w:w="1576" w:type="pct"/>
            <w:shd w:val="clear" w:color="auto" w:fill="auto"/>
            <w:noWrap/>
            <w:vAlign w:val="center"/>
          </w:tcPr>
          <w:p w14:paraId="512C7B76">
            <w:pPr>
              <w:pStyle w:val="254"/>
              <w:spacing w:line="360" w:lineRule="auto"/>
              <w:rPr>
                <w:rFonts w:ascii="宋体" w:hAnsi="宋体"/>
                <w:sz w:val="24"/>
                <w:szCs w:val="24"/>
              </w:rPr>
            </w:pPr>
            <w:r>
              <w:rPr>
                <w:rFonts w:hint="eastAsia" w:ascii="宋体" w:hAnsi="宋体"/>
                <w:sz w:val="24"/>
                <w:szCs w:val="24"/>
              </w:rPr>
              <w:t>设备名称</w:t>
            </w:r>
          </w:p>
        </w:tc>
        <w:tc>
          <w:tcPr>
            <w:tcW w:w="856" w:type="pct"/>
            <w:shd w:val="clear" w:color="auto" w:fill="auto"/>
            <w:noWrap/>
            <w:vAlign w:val="center"/>
          </w:tcPr>
          <w:p w14:paraId="32894412">
            <w:pPr>
              <w:pStyle w:val="254"/>
              <w:spacing w:line="360" w:lineRule="auto"/>
              <w:rPr>
                <w:rFonts w:ascii="宋体" w:hAnsi="宋体"/>
                <w:sz w:val="24"/>
                <w:szCs w:val="24"/>
              </w:rPr>
            </w:pPr>
            <w:r>
              <w:rPr>
                <w:rFonts w:hint="eastAsia" w:ascii="宋体" w:hAnsi="宋体"/>
                <w:sz w:val="24"/>
                <w:szCs w:val="24"/>
              </w:rPr>
              <w:t>单数（个）</w:t>
            </w:r>
          </w:p>
        </w:tc>
        <w:tc>
          <w:tcPr>
            <w:tcW w:w="856" w:type="pct"/>
            <w:shd w:val="clear" w:color="auto" w:fill="auto"/>
            <w:noWrap/>
            <w:vAlign w:val="center"/>
          </w:tcPr>
          <w:p w14:paraId="57053716">
            <w:pPr>
              <w:pStyle w:val="254"/>
              <w:spacing w:line="360" w:lineRule="auto"/>
              <w:rPr>
                <w:rFonts w:ascii="宋体" w:hAnsi="宋体"/>
                <w:sz w:val="24"/>
                <w:szCs w:val="24"/>
              </w:rPr>
            </w:pPr>
            <w:r>
              <w:rPr>
                <w:rFonts w:hint="eastAsia" w:ascii="宋体" w:hAnsi="宋体"/>
                <w:sz w:val="24"/>
                <w:szCs w:val="24"/>
              </w:rPr>
              <w:t>总数（套）</w:t>
            </w:r>
          </w:p>
        </w:tc>
      </w:tr>
      <w:tr w14:paraId="00C57945">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360" w:hRule="atLeast"/>
        </w:trPr>
        <w:tc>
          <w:tcPr>
            <w:tcW w:w="1001" w:type="pct"/>
            <w:vMerge w:val="restart"/>
            <w:shd w:val="clear" w:color="auto" w:fill="auto"/>
            <w:vAlign w:val="center"/>
          </w:tcPr>
          <w:p w14:paraId="0CBF6B98">
            <w:pPr>
              <w:pStyle w:val="254"/>
              <w:spacing w:line="360" w:lineRule="auto"/>
              <w:rPr>
                <w:rFonts w:ascii="宋体" w:hAnsi="宋体"/>
                <w:sz w:val="24"/>
                <w:szCs w:val="24"/>
              </w:rPr>
            </w:pPr>
            <w:r>
              <w:rPr>
                <w:rFonts w:hint="eastAsia" w:ascii="宋体" w:hAnsi="宋体"/>
                <w:sz w:val="24"/>
                <w:szCs w:val="24"/>
              </w:rPr>
              <w:t>积水监测设备</w:t>
            </w:r>
          </w:p>
        </w:tc>
        <w:tc>
          <w:tcPr>
            <w:tcW w:w="711" w:type="pct"/>
            <w:vMerge w:val="restart"/>
            <w:shd w:val="clear" w:color="auto" w:fill="auto"/>
            <w:vAlign w:val="center"/>
          </w:tcPr>
          <w:p w14:paraId="268F6C6E">
            <w:pPr>
              <w:pStyle w:val="254"/>
              <w:spacing w:line="360" w:lineRule="auto"/>
              <w:rPr>
                <w:rFonts w:ascii="宋体" w:hAnsi="宋体"/>
                <w:sz w:val="24"/>
                <w:szCs w:val="24"/>
              </w:rPr>
            </w:pPr>
            <w:r>
              <w:rPr>
                <w:rFonts w:hint="eastAsia" w:ascii="宋体" w:hAnsi="宋体"/>
                <w:sz w:val="24"/>
                <w:szCs w:val="24"/>
              </w:rPr>
              <w:t>桥下电子水尺及其配套器件</w:t>
            </w:r>
          </w:p>
        </w:tc>
        <w:tc>
          <w:tcPr>
            <w:tcW w:w="1576" w:type="pct"/>
            <w:shd w:val="clear" w:color="auto" w:fill="auto"/>
            <w:noWrap/>
            <w:vAlign w:val="center"/>
          </w:tcPr>
          <w:p w14:paraId="673F7301">
            <w:pPr>
              <w:pStyle w:val="254"/>
              <w:spacing w:line="360" w:lineRule="auto"/>
              <w:rPr>
                <w:rFonts w:ascii="宋体" w:hAnsi="宋体"/>
                <w:sz w:val="24"/>
                <w:szCs w:val="24"/>
              </w:rPr>
            </w:pPr>
            <w:r>
              <w:rPr>
                <w:rFonts w:hint="eastAsia" w:ascii="宋体" w:hAnsi="宋体"/>
                <w:sz w:val="24"/>
                <w:szCs w:val="24"/>
              </w:rPr>
              <w:t>电子水尺（3.2m）</w:t>
            </w:r>
          </w:p>
        </w:tc>
        <w:tc>
          <w:tcPr>
            <w:tcW w:w="856" w:type="pct"/>
            <w:shd w:val="clear" w:color="auto" w:fill="auto"/>
            <w:noWrap/>
            <w:vAlign w:val="center"/>
          </w:tcPr>
          <w:p w14:paraId="082BCC4D">
            <w:pPr>
              <w:pStyle w:val="254"/>
              <w:spacing w:line="360" w:lineRule="auto"/>
              <w:rPr>
                <w:rFonts w:ascii="宋体" w:hAnsi="宋体"/>
                <w:sz w:val="24"/>
                <w:szCs w:val="24"/>
              </w:rPr>
            </w:pPr>
            <w:r>
              <w:rPr>
                <w:rFonts w:hint="eastAsia" w:ascii="宋体" w:hAnsi="宋体"/>
                <w:sz w:val="24"/>
                <w:szCs w:val="24"/>
              </w:rPr>
              <w:t>1</w:t>
            </w:r>
          </w:p>
        </w:tc>
        <w:tc>
          <w:tcPr>
            <w:tcW w:w="856" w:type="pct"/>
            <w:vMerge w:val="restart"/>
            <w:shd w:val="clear" w:color="auto" w:fill="auto"/>
            <w:noWrap/>
            <w:vAlign w:val="center"/>
          </w:tcPr>
          <w:p w14:paraId="13495EC5">
            <w:pPr>
              <w:pStyle w:val="254"/>
              <w:spacing w:line="360" w:lineRule="auto"/>
              <w:rPr>
                <w:rFonts w:ascii="宋体" w:hAnsi="宋体"/>
                <w:sz w:val="24"/>
                <w:szCs w:val="24"/>
              </w:rPr>
            </w:pPr>
            <w:r>
              <w:rPr>
                <w:rFonts w:hint="eastAsia" w:ascii="宋体" w:hAnsi="宋体"/>
                <w:sz w:val="24"/>
                <w:szCs w:val="24"/>
              </w:rPr>
              <w:t>11</w:t>
            </w:r>
          </w:p>
        </w:tc>
      </w:tr>
      <w:tr w14:paraId="41AB7D71">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360" w:hRule="atLeast"/>
        </w:trPr>
        <w:tc>
          <w:tcPr>
            <w:tcW w:w="1001" w:type="pct"/>
            <w:vMerge w:val="continue"/>
            <w:vAlign w:val="center"/>
          </w:tcPr>
          <w:p w14:paraId="32CA0D68">
            <w:pPr>
              <w:pStyle w:val="254"/>
              <w:spacing w:line="360" w:lineRule="auto"/>
              <w:rPr>
                <w:rFonts w:ascii="宋体" w:hAnsi="宋体"/>
                <w:sz w:val="24"/>
                <w:szCs w:val="24"/>
              </w:rPr>
            </w:pPr>
          </w:p>
        </w:tc>
        <w:tc>
          <w:tcPr>
            <w:tcW w:w="711" w:type="pct"/>
            <w:vMerge w:val="continue"/>
            <w:vAlign w:val="center"/>
          </w:tcPr>
          <w:p w14:paraId="0C71113F">
            <w:pPr>
              <w:pStyle w:val="254"/>
              <w:spacing w:line="360" w:lineRule="auto"/>
              <w:rPr>
                <w:rFonts w:ascii="宋体" w:hAnsi="宋体"/>
                <w:sz w:val="24"/>
                <w:szCs w:val="24"/>
              </w:rPr>
            </w:pPr>
          </w:p>
        </w:tc>
        <w:tc>
          <w:tcPr>
            <w:tcW w:w="1576" w:type="pct"/>
            <w:shd w:val="clear" w:color="auto" w:fill="auto"/>
            <w:noWrap/>
            <w:vAlign w:val="center"/>
          </w:tcPr>
          <w:p w14:paraId="68AF6148">
            <w:pPr>
              <w:pStyle w:val="254"/>
              <w:spacing w:line="360" w:lineRule="auto"/>
              <w:rPr>
                <w:rFonts w:ascii="宋体" w:hAnsi="宋体"/>
                <w:sz w:val="24"/>
                <w:szCs w:val="24"/>
              </w:rPr>
            </w:pPr>
            <w:r>
              <w:rPr>
                <w:rFonts w:hint="eastAsia" w:ascii="宋体" w:hAnsi="宋体"/>
                <w:sz w:val="24"/>
                <w:szCs w:val="24"/>
              </w:rPr>
              <w:t>遥测终端</w:t>
            </w:r>
          </w:p>
        </w:tc>
        <w:tc>
          <w:tcPr>
            <w:tcW w:w="856" w:type="pct"/>
            <w:shd w:val="clear" w:color="auto" w:fill="auto"/>
            <w:noWrap/>
            <w:vAlign w:val="center"/>
          </w:tcPr>
          <w:p w14:paraId="2B3402FA">
            <w:pPr>
              <w:pStyle w:val="254"/>
              <w:spacing w:line="360" w:lineRule="auto"/>
              <w:rPr>
                <w:rFonts w:ascii="宋体" w:hAnsi="宋体"/>
                <w:sz w:val="24"/>
                <w:szCs w:val="24"/>
              </w:rPr>
            </w:pPr>
            <w:r>
              <w:rPr>
                <w:rFonts w:hint="eastAsia" w:ascii="宋体" w:hAnsi="宋体"/>
                <w:sz w:val="24"/>
                <w:szCs w:val="24"/>
              </w:rPr>
              <w:t>1</w:t>
            </w:r>
          </w:p>
        </w:tc>
        <w:tc>
          <w:tcPr>
            <w:tcW w:w="856" w:type="pct"/>
            <w:vMerge w:val="continue"/>
            <w:vAlign w:val="center"/>
          </w:tcPr>
          <w:p w14:paraId="0562FDB3">
            <w:pPr>
              <w:pStyle w:val="254"/>
              <w:spacing w:line="360" w:lineRule="auto"/>
              <w:rPr>
                <w:rFonts w:ascii="宋体" w:hAnsi="宋体"/>
                <w:sz w:val="24"/>
                <w:szCs w:val="24"/>
              </w:rPr>
            </w:pPr>
          </w:p>
        </w:tc>
      </w:tr>
      <w:tr w14:paraId="0A8EA8C7">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360" w:hRule="atLeast"/>
        </w:trPr>
        <w:tc>
          <w:tcPr>
            <w:tcW w:w="1001" w:type="pct"/>
            <w:vMerge w:val="continue"/>
            <w:vAlign w:val="center"/>
          </w:tcPr>
          <w:p w14:paraId="6AF8217A">
            <w:pPr>
              <w:pStyle w:val="254"/>
              <w:spacing w:line="360" w:lineRule="auto"/>
              <w:rPr>
                <w:rFonts w:ascii="宋体" w:hAnsi="宋体"/>
                <w:sz w:val="24"/>
                <w:szCs w:val="24"/>
              </w:rPr>
            </w:pPr>
          </w:p>
        </w:tc>
        <w:tc>
          <w:tcPr>
            <w:tcW w:w="711" w:type="pct"/>
            <w:vMerge w:val="continue"/>
            <w:vAlign w:val="center"/>
          </w:tcPr>
          <w:p w14:paraId="4C2945D2">
            <w:pPr>
              <w:pStyle w:val="254"/>
              <w:spacing w:line="360" w:lineRule="auto"/>
              <w:rPr>
                <w:rFonts w:ascii="宋体" w:hAnsi="宋体"/>
                <w:sz w:val="24"/>
                <w:szCs w:val="24"/>
              </w:rPr>
            </w:pPr>
          </w:p>
        </w:tc>
        <w:tc>
          <w:tcPr>
            <w:tcW w:w="1576" w:type="pct"/>
            <w:shd w:val="clear" w:color="auto" w:fill="auto"/>
            <w:noWrap/>
            <w:vAlign w:val="center"/>
          </w:tcPr>
          <w:p w14:paraId="666876E8">
            <w:pPr>
              <w:pStyle w:val="254"/>
              <w:spacing w:line="360" w:lineRule="auto"/>
              <w:rPr>
                <w:rFonts w:ascii="宋体" w:hAnsi="宋体"/>
                <w:sz w:val="24"/>
                <w:szCs w:val="24"/>
              </w:rPr>
            </w:pPr>
            <w:r>
              <w:rPr>
                <w:rFonts w:hint="eastAsia" w:ascii="宋体" w:hAnsi="宋体"/>
                <w:sz w:val="24"/>
                <w:szCs w:val="24"/>
              </w:rPr>
              <w:t>蓄电池</w:t>
            </w:r>
          </w:p>
        </w:tc>
        <w:tc>
          <w:tcPr>
            <w:tcW w:w="856" w:type="pct"/>
            <w:shd w:val="clear" w:color="auto" w:fill="auto"/>
            <w:noWrap/>
            <w:vAlign w:val="center"/>
          </w:tcPr>
          <w:p w14:paraId="50A69884">
            <w:pPr>
              <w:pStyle w:val="254"/>
              <w:spacing w:line="360" w:lineRule="auto"/>
              <w:rPr>
                <w:rFonts w:ascii="宋体" w:hAnsi="宋体"/>
                <w:sz w:val="24"/>
                <w:szCs w:val="24"/>
              </w:rPr>
            </w:pPr>
            <w:r>
              <w:rPr>
                <w:rFonts w:hint="eastAsia" w:ascii="宋体" w:hAnsi="宋体"/>
                <w:sz w:val="24"/>
                <w:szCs w:val="24"/>
              </w:rPr>
              <w:t>1</w:t>
            </w:r>
          </w:p>
        </w:tc>
        <w:tc>
          <w:tcPr>
            <w:tcW w:w="856" w:type="pct"/>
            <w:vMerge w:val="continue"/>
            <w:vAlign w:val="center"/>
          </w:tcPr>
          <w:p w14:paraId="2235F1EC">
            <w:pPr>
              <w:pStyle w:val="254"/>
              <w:spacing w:line="360" w:lineRule="auto"/>
              <w:rPr>
                <w:rFonts w:ascii="宋体" w:hAnsi="宋体"/>
                <w:sz w:val="24"/>
                <w:szCs w:val="24"/>
              </w:rPr>
            </w:pPr>
          </w:p>
        </w:tc>
      </w:tr>
      <w:tr w14:paraId="18C8314D">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360" w:hRule="atLeast"/>
        </w:trPr>
        <w:tc>
          <w:tcPr>
            <w:tcW w:w="1001" w:type="pct"/>
            <w:vMerge w:val="continue"/>
            <w:vAlign w:val="center"/>
          </w:tcPr>
          <w:p w14:paraId="1DED9D0E">
            <w:pPr>
              <w:pStyle w:val="254"/>
              <w:spacing w:line="360" w:lineRule="auto"/>
              <w:rPr>
                <w:rFonts w:ascii="宋体" w:hAnsi="宋体"/>
                <w:sz w:val="24"/>
                <w:szCs w:val="24"/>
              </w:rPr>
            </w:pPr>
          </w:p>
        </w:tc>
        <w:tc>
          <w:tcPr>
            <w:tcW w:w="711" w:type="pct"/>
            <w:vMerge w:val="continue"/>
            <w:vAlign w:val="center"/>
          </w:tcPr>
          <w:p w14:paraId="3FAEF5DB">
            <w:pPr>
              <w:pStyle w:val="254"/>
              <w:spacing w:line="360" w:lineRule="auto"/>
              <w:rPr>
                <w:rFonts w:ascii="宋体" w:hAnsi="宋体"/>
                <w:sz w:val="24"/>
                <w:szCs w:val="24"/>
              </w:rPr>
            </w:pPr>
          </w:p>
        </w:tc>
        <w:tc>
          <w:tcPr>
            <w:tcW w:w="1576" w:type="pct"/>
            <w:shd w:val="clear" w:color="auto" w:fill="auto"/>
            <w:noWrap/>
            <w:vAlign w:val="center"/>
          </w:tcPr>
          <w:p w14:paraId="361AAF3F">
            <w:pPr>
              <w:pStyle w:val="254"/>
              <w:spacing w:line="360" w:lineRule="auto"/>
              <w:rPr>
                <w:rFonts w:ascii="宋体" w:hAnsi="宋体"/>
                <w:sz w:val="24"/>
                <w:szCs w:val="24"/>
              </w:rPr>
            </w:pPr>
            <w:r>
              <w:rPr>
                <w:rFonts w:hint="eastAsia" w:ascii="宋体" w:hAnsi="宋体"/>
                <w:sz w:val="24"/>
                <w:szCs w:val="24"/>
              </w:rPr>
              <w:t>信号防雷器</w:t>
            </w:r>
          </w:p>
        </w:tc>
        <w:tc>
          <w:tcPr>
            <w:tcW w:w="856" w:type="pct"/>
            <w:shd w:val="clear" w:color="auto" w:fill="auto"/>
            <w:noWrap/>
            <w:vAlign w:val="center"/>
          </w:tcPr>
          <w:p w14:paraId="38C1D1D0">
            <w:pPr>
              <w:pStyle w:val="254"/>
              <w:spacing w:line="360" w:lineRule="auto"/>
              <w:rPr>
                <w:rFonts w:ascii="宋体" w:hAnsi="宋体"/>
                <w:sz w:val="24"/>
                <w:szCs w:val="24"/>
              </w:rPr>
            </w:pPr>
            <w:r>
              <w:rPr>
                <w:rFonts w:hint="eastAsia" w:ascii="宋体" w:hAnsi="宋体"/>
                <w:sz w:val="24"/>
                <w:szCs w:val="24"/>
              </w:rPr>
              <w:t>1</w:t>
            </w:r>
          </w:p>
        </w:tc>
        <w:tc>
          <w:tcPr>
            <w:tcW w:w="856" w:type="pct"/>
            <w:vMerge w:val="continue"/>
            <w:vAlign w:val="center"/>
          </w:tcPr>
          <w:p w14:paraId="7E9AEECD">
            <w:pPr>
              <w:pStyle w:val="254"/>
              <w:spacing w:line="360" w:lineRule="auto"/>
              <w:rPr>
                <w:rFonts w:ascii="宋体" w:hAnsi="宋体"/>
                <w:sz w:val="24"/>
                <w:szCs w:val="24"/>
              </w:rPr>
            </w:pPr>
          </w:p>
        </w:tc>
      </w:tr>
      <w:tr w14:paraId="3DCFF25C">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360" w:hRule="atLeast"/>
        </w:trPr>
        <w:tc>
          <w:tcPr>
            <w:tcW w:w="1001" w:type="pct"/>
            <w:vMerge w:val="continue"/>
            <w:vAlign w:val="center"/>
          </w:tcPr>
          <w:p w14:paraId="53181024">
            <w:pPr>
              <w:pStyle w:val="254"/>
              <w:spacing w:line="360" w:lineRule="auto"/>
              <w:rPr>
                <w:rFonts w:ascii="宋体" w:hAnsi="宋体"/>
                <w:sz w:val="24"/>
                <w:szCs w:val="24"/>
              </w:rPr>
            </w:pPr>
          </w:p>
        </w:tc>
        <w:tc>
          <w:tcPr>
            <w:tcW w:w="711" w:type="pct"/>
            <w:vMerge w:val="continue"/>
            <w:vAlign w:val="center"/>
          </w:tcPr>
          <w:p w14:paraId="5D30259E">
            <w:pPr>
              <w:pStyle w:val="254"/>
              <w:spacing w:line="360" w:lineRule="auto"/>
              <w:rPr>
                <w:rFonts w:ascii="宋体" w:hAnsi="宋体"/>
                <w:sz w:val="24"/>
                <w:szCs w:val="24"/>
              </w:rPr>
            </w:pPr>
          </w:p>
        </w:tc>
        <w:tc>
          <w:tcPr>
            <w:tcW w:w="1576" w:type="pct"/>
            <w:shd w:val="clear" w:color="auto" w:fill="auto"/>
            <w:noWrap/>
            <w:vAlign w:val="center"/>
          </w:tcPr>
          <w:p w14:paraId="1B2017DC">
            <w:pPr>
              <w:pStyle w:val="254"/>
              <w:spacing w:line="360" w:lineRule="auto"/>
              <w:rPr>
                <w:rFonts w:ascii="宋体" w:hAnsi="宋体"/>
                <w:sz w:val="24"/>
                <w:szCs w:val="24"/>
              </w:rPr>
            </w:pPr>
            <w:r>
              <w:rPr>
                <w:rFonts w:hint="eastAsia" w:ascii="宋体" w:hAnsi="宋体"/>
                <w:sz w:val="24"/>
                <w:szCs w:val="24"/>
              </w:rPr>
              <w:t>变送器</w:t>
            </w:r>
          </w:p>
        </w:tc>
        <w:tc>
          <w:tcPr>
            <w:tcW w:w="856" w:type="pct"/>
            <w:shd w:val="clear" w:color="auto" w:fill="auto"/>
            <w:noWrap/>
            <w:vAlign w:val="center"/>
          </w:tcPr>
          <w:p w14:paraId="39401742">
            <w:pPr>
              <w:pStyle w:val="254"/>
              <w:spacing w:line="360" w:lineRule="auto"/>
              <w:rPr>
                <w:rFonts w:ascii="宋体" w:hAnsi="宋体"/>
                <w:sz w:val="24"/>
                <w:szCs w:val="24"/>
              </w:rPr>
            </w:pPr>
            <w:r>
              <w:rPr>
                <w:rFonts w:hint="eastAsia" w:ascii="宋体" w:hAnsi="宋体"/>
                <w:sz w:val="24"/>
                <w:szCs w:val="24"/>
              </w:rPr>
              <w:t>1</w:t>
            </w:r>
          </w:p>
        </w:tc>
        <w:tc>
          <w:tcPr>
            <w:tcW w:w="856" w:type="pct"/>
            <w:vMerge w:val="continue"/>
            <w:vAlign w:val="center"/>
          </w:tcPr>
          <w:p w14:paraId="6AC90BA0">
            <w:pPr>
              <w:pStyle w:val="254"/>
              <w:spacing w:line="360" w:lineRule="auto"/>
              <w:rPr>
                <w:rFonts w:ascii="宋体" w:hAnsi="宋体"/>
                <w:sz w:val="24"/>
                <w:szCs w:val="24"/>
              </w:rPr>
            </w:pPr>
          </w:p>
        </w:tc>
      </w:tr>
      <w:tr w14:paraId="0CA8719A">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360" w:hRule="atLeast"/>
        </w:trPr>
        <w:tc>
          <w:tcPr>
            <w:tcW w:w="1001" w:type="pct"/>
            <w:vMerge w:val="continue"/>
            <w:vAlign w:val="center"/>
          </w:tcPr>
          <w:p w14:paraId="6D91895D">
            <w:pPr>
              <w:pStyle w:val="254"/>
              <w:spacing w:line="360" w:lineRule="auto"/>
              <w:rPr>
                <w:rFonts w:ascii="宋体" w:hAnsi="宋体"/>
                <w:sz w:val="24"/>
                <w:szCs w:val="24"/>
              </w:rPr>
            </w:pPr>
          </w:p>
        </w:tc>
        <w:tc>
          <w:tcPr>
            <w:tcW w:w="711" w:type="pct"/>
            <w:vMerge w:val="continue"/>
            <w:vAlign w:val="center"/>
          </w:tcPr>
          <w:p w14:paraId="034F9BBE">
            <w:pPr>
              <w:pStyle w:val="254"/>
              <w:spacing w:line="360" w:lineRule="auto"/>
              <w:rPr>
                <w:rFonts w:ascii="宋体" w:hAnsi="宋体"/>
                <w:sz w:val="24"/>
                <w:szCs w:val="24"/>
              </w:rPr>
            </w:pPr>
          </w:p>
        </w:tc>
        <w:tc>
          <w:tcPr>
            <w:tcW w:w="1576" w:type="pct"/>
            <w:shd w:val="clear" w:color="auto" w:fill="auto"/>
            <w:noWrap/>
            <w:vAlign w:val="center"/>
          </w:tcPr>
          <w:p w14:paraId="20166B51">
            <w:pPr>
              <w:pStyle w:val="254"/>
              <w:spacing w:line="360" w:lineRule="auto"/>
              <w:rPr>
                <w:rFonts w:ascii="宋体" w:hAnsi="宋体"/>
                <w:sz w:val="24"/>
                <w:szCs w:val="24"/>
              </w:rPr>
            </w:pPr>
            <w:r>
              <w:rPr>
                <w:rFonts w:hint="eastAsia" w:ascii="宋体" w:hAnsi="宋体"/>
                <w:sz w:val="24"/>
                <w:szCs w:val="24"/>
              </w:rPr>
              <w:t>电源空开</w:t>
            </w:r>
          </w:p>
        </w:tc>
        <w:tc>
          <w:tcPr>
            <w:tcW w:w="856" w:type="pct"/>
            <w:shd w:val="clear" w:color="auto" w:fill="auto"/>
            <w:noWrap/>
            <w:vAlign w:val="center"/>
          </w:tcPr>
          <w:p w14:paraId="171FCB1D">
            <w:pPr>
              <w:pStyle w:val="254"/>
              <w:spacing w:line="360" w:lineRule="auto"/>
              <w:rPr>
                <w:rFonts w:ascii="宋体" w:hAnsi="宋体"/>
                <w:sz w:val="24"/>
                <w:szCs w:val="24"/>
              </w:rPr>
            </w:pPr>
            <w:r>
              <w:rPr>
                <w:rFonts w:hint="eastAsia" w:ascii="宋体" w:hAnsi="宋体"/>
                <w:sz w:val="24"/>
                <w:szCs w:val="24"/>
              </w:rPr>
              <w:t>1</w:t>
            </w:r>
          </w:p>
        </w:tc>
        <w:tc>
          <w:tcPr>
            <w:tcW w:w="856" w:type="pct"/>
            <w:vMerge w:val="continue"/>
            <w:vAlign w:val="center"/>
          </w:tcPr>
          <w:p w14:paraId="39BFC2FF">
            <w:pPr>
              <w:pStyle w:val="254"/>
              <w:spacing w:line="360" w:lineRule="auto"/>
              <w:rPr>
                <w:rFonts w:ascii="宋体" w:hAnsi="宋体"/>
                <w:sz w:val="24"/>
                <w:szCs w:val="24"/>
              </w:rPr>
            </w:pPr>
          </w:p>
        </w:tc>
      </w:tr>
      <w:tr w14:paraId="63447AE1">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360" w:hRule="atLeast"/>
        </w:trPr>
        <w:tc>
          <w:tcPr>
            <w:tcW w:w="1001" w:type="pct"/>
            <w:vMerge w:val="continue"/>
            <w:vAlign w:val="center"/>
          </w:tcPr>
          <w:p w14:paraId="351AE6EE">
            <w:pPr>
              <w:pStyle w:val="254"/>
              <w:spacing w:line="360" w:lineRule="auto"/>
              <w:rPr>
                <w:rFonts w:ascii="宋体" w:hAnsi="宋体"/>
                <w:sz w:val="24"/>
                <w:szCs w:val="24"/>
              </w:rPr>
            </w:pPr>
          </w:p>
        </w:tc>
        <w:tc>
          <w:tcPr>
            <w:tcW w:w="711" w:type="pct"/>
            <w:vMerge w:val="continue"/>
            <w:vAlign w:val="center"/>
          </w:tcPr>
          <w:p w14:paraId="641A04F6">
            <w:pPr>
              <w:pStyle w:val="254"/>
              <w:spacing w:line="360" w:lineRule="auto"/>
              <w:rPr>
                <w:rFonts w:ascii="宋体" w:hAnsi="宋体"/>
                <w:sz w:val="24"/>
                <w:szCs w:val="24"/>
              </w:rPr>
            </w:pPr>
          </w:p>
        </w:tc>
        <w:tc>
          <w:tcPr>
            <w:tcW w:w="1576" w:type="pct"/>
            <w:shd w:val="clear" w:color="auto" w:fill="auto"/>
            <w:noWrap/>
            <w:vAlign w:val="center"/>
          </w:tcPr>
          <w:p w14:paraId="553D3CAA">
            <w:pPr>
              <w:pStyle w:val="254"/>
              <w:spacing w:line="360" w:lineRule="auto"/>
              <w:rPr>
                <w:rFonts w:ascii="宋体" w:hAnsi="宋体"/>
                <w:sz w:val="24"/>
                <w:szCs w:val="24"/>
              </w:rPr>
            </w:pPr>
            <w:r>
              <w:rPr>
                <w:rFonts w:hint="eastAsia" w:ascii="宋体" w:hAnsi="宋体"/>
                <w:sz w:val="24"/>
                <w:szCs w:val="24"/>
              </w:rPr>
              <w:t>设备机箱</w:t>
            </w:r>
          </w:p>
        </w:tc>
        <w:tc>
          <w:tcPr>
            <w:tcW w:w="856" w:type="pct"/>
            <w:shd w:val="clear" w:color="auto" w:fill="auto"/>
            <w:noWrap/>
            <w:vAlign w:val="center"/>
          </w:tcPr>
          <w:p w14:paraId="294D23CB">
            <w:pPr>
              <w:pStyle w:val="254"/>
              <w:spacing w:line="360" w:lineRule="auto"/>
              <w:rPr>
                <w:rFonts w:ascii="宋体" w:hAnsi="宋体"/>
                <w:sz w:val="24"/>
                <w:szCs w:val="24"/>
              </w:rPr>
            </w:pPr>
            <w:r>
              <w:rPr>
                <w:rFonts w:hint="eastAsia" w:ascii="宋体" w:hAnsi="宋体"/>
                <w:sz w:val="24"/>
                <w:szCs w:val="24"/>
              </w:rPr>
              <w:t>1</w:t>
            </w:r>
          </w:p>
        </w:tc>
        <w:tc>
          <w:tcPr>
            <w:tcW w:w="856" w:type="pct"/>
            <w:vMerge w:val="continue"/>
            <w:vAlign w:val="center"/>
          </w:tcPr>
          <w:p w14:paraId="0F62FB04">
            <w:pPr>
              <w:pStyle w:val="254"/>
              <w:spacing w:line="360" w:lineRule="auto"/>
              <w:rPr>
                <w:rFonts w:ascii="宋体" w:hAnsi="宋体"/>
                <w:sz w:val="24"/>
                <w:szCs w:val="24"/>
              </w:rPr>
            </w:pPr>
          </w:p>
        </w:tc>
      </w:tr>
      <w:tr w14:paraId="2E44D41C">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360" w:hRule="atLeast"/>
        </w:trPr>
        <w:tc>
          <w:tcPr>
            <w:tcW w:w="1001" w:type="pct"/>
            <w:vMerge w:val="continue"/>
            <w:vAlign w:val="center"/>
          </w:tcPr>
          <w:p w14:paraId="552AECF1">
            <w:pPr>
              <w:pStyle w:val="254"/>
              <w:spacing w:line="360" w:lineRule="auto"/>
              <w:rPr>
                <w:rFonts w:ascii="宋体" w:hAnsi="宋体"/>
                <w:sz w:val="24"/>
                <w:szCs w:val="24"/>
              </w:rPr>
            </w:pPr>
          </w:p>
        </w:tc>
        <w:tc>
          <w:tcPr>
            <w:tcW w:w="711" w:type="pct"/>
            <w:vMerge w:val="continue"/>
            <w:vAlign w:val="center"/>
          </w:tcPr>
          <w:p w14:paraId="6AD0C645">
            <w:pPr>
              <w:pStyle w:val="254"/>
              <w:spacing w:line="360" w:lineRule="auto"/>
              <w:rPr>
                <w:rFonts w:ascii="宋体" w:hAnsi="宋体"/>
                <w:sz w:val="24"/>
                <w:szCs w:val="24"/>
              </w:rPr>
            </w:pPr>
          </w:p>
        </w:tc>
        <w:tc>
          <w:tcPr>
            <w:tcW w:w="1576" w:type="pct"/>
            <w:shd w:val="clear" w:color="auto" w:fill="auto"/>
            <w:noWrap/>
            <w:vAlign w:val="center"/>
          </w:tcPr>
          <w:p w14:paraId="66533468">
            <w:pPr>
              <w:pStyle w:val="254"/>
              <w:spacing w:line="360" w:lineRule="auto"/>
              <w:rPr>
                <w:rFonts w:ascii="宋体" w:hAnsi="宋体"/>
                <w:sz w:val="24"/>
                <w:szCs w:val="24"/>
              </w:rPr>
            </w:pPr>
            <w:r>
              <w:rPr>
                <w:rFonts w:hint="eastAsia" w:ascii="宋体" w:hAnsi="宋体"/>
                <w:sz w:val="24"/>
                <w:szCs w:val="24"/>
              </w:rPr>
              <w:t>保护管（3.5m）</w:t>
            </w:r>
          </w:p>
        </w:tc>
        <w:tc>
          <w:tcPr>
            <w:tcW w:w="856" w:type="pct"/>
            <w:shd w:val="clear" w:color="auto" w:fill="auto"/>
            <w:noWrap/>
            <w:vAlign w:val="center"/>
          </w:tcPr>
          <w:p w14:paraId="210E76FD">
            <w:pPr>
              <w:pStyle w:val="254"/>
              <w:spacing w:line="360" w:lineRule="auto"/>
              <w:rPr>
                <w:rFonts w:ascii="宋体" w:hAnsi="宋体"/>
                <w:sz w:val="24"/>
                <w:szCs w:val="24"/>
              </w:rPr>
            </w:pPr>
            <w:r>
              <w:rPr>
                <w:rFonts w:hint="eastAsia" w:ascii="宋体" w:hAnsi="宋体"/>
                <w:sz w:val="24"/>
                <w:szCs w:val="24"/>
              </w:rPr>
              <w:t>1</w:t>
            </w:r>
          </w:p>
        </w:tc>
        <w:tc>
          <w:tcPr>
            <w:tcW w:w="856" w:type="pct"/>
            <w:vMerge w:val="continue"/>
            <w:vAlign w:val="center"/>
          </w:tcPr>
          <w:p w14:paraId="42F78F64">
            <w:pPr>
              <w:pStyle w:val="254"/>
              <w:spacing w:line="360" w:lineRule="auto"/>
              <w:rPr>
                <w:rFonts w:ascii="宋体" w:hAnsi="宋体"/>
                <w:sz w:val="24"/>
                <w:szCs w:val="24"/>
              </w:rPr>
            </w:pPr>
          </w:p>
        </w:tc>
      </w:tr>
      <w:tr w14:paraId="0D2A3400">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360" w:hRule="atLeast"/>
        </w:trPr>
        <w:tc>
          <w:tcPr>
            <w:tcW w:w="1001" w:type="pct"/>
            <w:vMerge w:val="continue"/>
            <w:vAlign w:val="center"/>
          </w:tcPr>
          <w:p w14:paraId="2189F56A">
            <w:pPr>
              <w:pStyle w:val="254"/>
              <w:spacing w:line="360" w:lineRule="auto"/>
              <w:rPr>
                <w:rFonts w:ascii="宋体" w:hAnsi="宋体"/>
                <w:sz w:val="24"/>
                <w:szCs w:val="24"/>
              </w:rPr>
            </w:pPr>
          </w:p>
        </w:tc>
        <w:tc>
          <w:tcPr>
            <w:tcW w:w="711" w:type="pct"/>
            <w:vMerge w:val="restart"/>
            <w:shd w:val="clear" w:color="auto" w:fill="auto"/>
            <w:vAlign w:val="center"/>
          </w:tcPr>
          <w:p w14:paraId="4498A2AC">
            <w:pPr>
              <w:pStyle w:val="254"/>
              <w:spacing w:line="360" w:lineRule="auto"/>
              <w:rPr>
                <w:rFonts w:ascii="宋体" w:hAnsi="宋体"/>
                <w:sz w:val="24"/>
                <w:szCs w:val="24"/>
              </w:rPr>
            </w:pPr>
            <w:r>
              <w:rPr>
                <w:rFonts w:hint="eastAsia" w:ascii="宋体" w:hAnsi="宋体"/>
                <w:sz w:val="24"/>
                <w:szCs w:val="24"/>
              </w:rPr>
              <w:t>路段电子水尺及其配套器件</w:t>
            </w:r>
          </w:p>
        </w:tc>
        <w:tc>
          <w:tcPr>
            <w:tcW w:w="1576" w:type="pct"/>
            <w:shd w:val="clear" w:color="auto" w:fill="auto"/>
            <w:noWrap/>
            <w:vAlign w:val="center"/>
          </w:tcPr>
          <w:p w14:paraId="2EA57F0C">
            <w:pPr>
              <w:pStyle w:val="254"/>
              <w:spacing w:line="360" w:lineRule="auto"/>
              <w:rPr>
                <w:rFonts w:ascii="宋体" w:hAnsi="宋体"/>
                <w:sz w:val="24"/>
                <w:szCs w:val="24"/>
              </w:rPr>
            </w:pPr>
            <w:r>
              <w:rPr>
                <w:rFonts w:hint="eastAsia" w:ascii="宋体" w:hAnsi="宋体"/>
                <w:sz w:val="24"/>
                <w:szCs w:val="24"/>
              </w:rPr>
              <w:t>电子水尺（1.2m）</w:t>
            </w:r>
          </w:p>
        </w:tc>
        <w:tc>
          <w:tcPr>
            <w:tcW w:w="856" w:type="pct"/>
            <w:shd w:val="clear" w:color="auto" w:fill="auto"/>
            <w:noWrap/>
            <w:vAlign w:val="center"/>
          </w:tcPr>
          <w:p w14:paraId="1E07ABAE">
            <w:pPr>
              <w:pStyle w:val="254"/>
              <w:spacing w:line="360" w:lineRule="auto"/>
              <w:rPr>
                <w:rFonts w:ascii="宋体" w:hAnsi="宋体"/>
                <w:sz w:val="24"/>
                <w:szCs w:val="24"/>
              </w:rPr>
            </w:pPr>
            <w:r>
              <w:rPr>
                <w:rFonts w:hint="eastAsia" w:ascii="宋体" w:hAnsi="宋体"/>
                <w:sz w:val="24"/>
                <w:szCs w:val="24"/>
              </w:rPr>
              <w:t>1</w:t>
            </w:r>
          </w:p>
        </w:tc>
        <w:tc>
          <w:tcPr>
            <w:tcW w:w="856" w:type="pct"/>
            <w:vMerge w:val="restart"/>
            <w:shd w:val="clear" w:color="auto" w:fill="auto"/>
            <w:noWrap/>
            <w:vAlign w:val="center"/>
          </w:tcPr>
          <w:p w14:paraId="2751EE28">
            <w:pPr>
              <w:pStyle w:val="254"/>
              <w:spacing w:line="360" w:lineRule="auto"/>
              <w:rPr>
                <w:rFonts w:ascii="宋体" w:hAnsi="宋体"/>
                <w:sz w:val="24"/>
                <w:szCs w:val="24"/>
              </w:rPr>
            </w:pPr>
            <w:r>
              <w:rPr>
                <w:rFonts w:hint="eastAsia" w:ascii="宋体" w:hAnsi="宋体"/>
                <w:sz w:val="24"/>
                <w:szCs w:val="24"/>
              </w:rPr>
              <w:t>31</w:t>
            </w:r>
          </w:p>
        </w:tc>
      </w:tr>
      <w:tr w14:paraId="0374A928">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360" w:hRule="atLeast"/>
        </w:trPr>
        <w:tc>
          <w:tcPr>
            <w:tcW w:w="1001" w:type="pct"/>
            <w:vMerge w:val="continue"/>
            <w:vAlign w:val="center"/>
          </w:tcPr>
          <w:p w14:paraId="271991B5">
            <w:pPr>
              <w:pStyle w:val="254"/>
              <w:spacing w:line="360" w:lineRule="auto"/>
              <w:rPr>
                <w:rFonts w:ascii="宋体" w:hAnsi="宋体"/>
                <w:sz w:val="24"/>
                <w:szCs w:val="24"/>
              </w:rPr>
            </w:pPr>
          </w:p>
        </w:tc>
        <w:tc>
          <w:tcPr>
            <w:tcW w:w="711" w:type="pct"/>
            <w:vMerge w:val="continue"/>
            <w:vAlign w:val="center"/>
          </w:tcPr>
          <w:p w14:paraId="1AF79EF4">
            <w:pPr>
              <w:pStyle w:val="254"/>
              <w:spacing w:line="360" w:lineRule="auto"/>
              <w:rPr>
                <w:rFonts w:ascii="宋体" w:hAnsi="宋体"/>
                <w:sz w:val="24"/>
                <w:szCs w:val="24"/>
              </w:rPr>
            </w:pPr>
          </w:p>
        </w:tc>
        <w:tc>
          <w:tcPr>
            <w:tcW w:w="1576" w:type="pct"/>
            <w:shd w:val="clear" w:color="auto" w:fill="auto"/>
            <w:noWrap/>
            <w:vAlign w:val="center"/>
          </w:tcPr>
          <w:p w14:paraId="2899B415">
            <w:pPr>
              <w:pStyle w:val="254"/>
              <w:spacing w:line="360" w:lineRule="auto"/>
              <w:rPr>
                <w:rFonts w:ascii="宋体" w:hAnsi="宋体"/>
                <w:sz w:val="24"/>
                <w:szCs w:val="24"/>
              </w:rPr>
            </w:pPr>
            <w:r>
              <w:rPr>
                <w:rFonts w:hint="eastAsia" w:ascii="宋体" w:hAnsi="宋体"/>
                <w:sz w:val="24"/>
                <w:szCs w:val="24"/>
              </w:rPr>
              <w:t>遥测终端</w:t>
            </w:r>
          </w:p>
        </w:tc>
        <w:tc>
          <w:tcPr>
            <w:tcW w:w="856" w:type="pct"/>
            <w:shd w:val="clear" w:color="auto" w:fill="auto"/>
            <w:noWrap/>
            <w:vAlign w:val="center"/>
          </w:tcPr>
          <w:p w14:paraId="2B9E615F">
            <w:pPr>
              <w:pStyle w:val="254"/>
              <w:spacing w:line="360" w:lineRule="auto"/>
              <w:rPr>
                <w:rFonts w:ascii="宋体" w:hAnsi="宋体"/>
                <w:sz w:val="24"/>
                <w:szCs w:val="24"/>
              </w:rPr>
            </w:pPr>
            <w:r>
              <w:rPr>
                <w:rFonts w:hint="eastAsia" w:ascii="宋体" w:hAnsi="宋体"/>
                <w:sz w:val="24"/>
                <w:szCs w:val="24"/>
              </w:rPr>
              <w:t>1</w:t>
            </w:r>
          </w:p>
        </w:tc>
        <w:tc>
          <w:tcPr>
            <w:tcW w:w="856" w:type="pct"/>
            <w:vMerge w:val="continue"/>
            <w:vAlign w:val="center"/>
          </w:tcPr>
          <w:p w14:paraId="760A47E2">
            <w:pPr>
              <w:pStyle w:val="254"/>
              <w:spacing w:line="360" w:lineRule="auto"/>
              <w:rPr>
                <w:rFonts w:ascii="宋体" w:hAnsi="宋体"/>
                <w:sz w:val="24"/>
                <w:szCs w:val="24"/>
              </w:rPr>
            </w:pPr>
          </w:p>
        </w:tc>
      </w:tr>
      <w:tr w14:paraId="3B89B389">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360" w:hRule="atLeast"/>
        </w:trPr>
        <w:tc>
          <w:tcPr>
            <w:tcW w:w="1001" w:type="pct"/>
            <w:vMerge w:val="continue"/>
            <w:vAlign w:val="center"/>
          </w:tcPr>
          <w:p w14:paraId="2D8A2758">
            <w:pPr>
              <w:pStyle w:val="254"/>
              <w:spacing w:line="360" w:lineRule="auto"/>
              <w:rPr>
                <w:rFonts w:ascii="宋体" w:hAnsi="宋体"/>
                <w:sz w:val="24"/>
                <w:szCs w:val="24"/>
              </w:rPr>
            </w:pPr>
          </w:p>
        </w:tc>
        <w:tc>
          <w:tcPr>
            <w:tcW w:w="711" w:type="pct"/>
            <w:vMerge w:val="continue"/>
            <w:vAlign w:val="center"/>
          </w:tcPr>
          <w:p w14:paraId="28141D35">
            <w:pPr>
              <w:pStyle w:val="254"/>
              <w:spacing w:line="360" w:lineRule="auto"/>
              <w:rPr>
                <w:rFonts w:ascii="宋体" w:hAnsi="宋体"/>
                <w:sz w:val="24"/>
                <w:szCs w:val="24"/>
              </w:rPr>
            </w:pPr>
          </w:p>
        </w:tc>
        <w:tc>
          <w:tcPr>
            <w:tcW w:w="1576" w:type="pct"/>
            <w:shd w:val="clear" w:color="auto" w:fill="auto"/>
            <w:noWrap/>
            <w:vAlign w:val="center"/>
          </w:tcPr>
          <w:p w14:paraId="26B1439C">
            <w:pPr>
              <w:pStyle w:val="254"/>
              <w:spacing w:line="360" w:lineRule="auto"/>
              <w:rPr>
                <w:rFonts w:ascii="宋体" w:hAnsi="宋体"/>
                <w:sz w:val="24"/>
                <w:szCs w:val="24"/>
              </w:rPr>
            </w:pPr>
            <w:r>
              <w:rPr>
                <w:rFonts w:hint="eastAsia" w:ascii="宋体" w:hAnsi="宋体"/>
                <w:sz w:val="24"/>
                <w:szCs w:val="24"/>
              </w:rPr>
              <w:t>信号防雷器</w:t>
            </w:r>
          </w:p>
        </w:tc>
        <w:tc>
          <w:tcPr>
            <w:tcW w:w="856" w:type="pct"/>
            <w:shd w:val="clear" w:color="auto" w:fill="auto"/>
            <w:noWrap/>
            <w:vAlign w:val="center"/>
          </w:tcPr>
          <w:p w14:paraId="797B8AD7">
            <w:pPr>
              <w:pStyle w:val="254"/>
              <w:spacing w:line="360" w:lineRule="auto"/>
              <w:rPr>
                <w:rFonts w:ascii="宋体" w:hAnsi="宋体"/>
                <w:sz w:val="24"/>
                <w:szCs w:val="24"/>
              </w:rPr>
            </w:pPr>
            <w:r>
              <w:rPr>
                <w:rFonts w:hint="eastAsia" w:ascii="宋体" w:hAnsi="宋体"/>
                <w:sz w:val="24"/>
                <w:szCs w:val="24"/>
              </w:rPr>
              <w:t>1</w:t>
            </w:r>
          </w:p>
        </w:tc>
        <w:tc>
          <w:tcPr>
            <w:tcW w:w="856" w:type="pct"/>
            <w:vMerge w:val="continue"/>
            <w:vAlign w:val="center"/>
          </w:tcPr>
          <w:p w14:paraId="138A4BC6">
            <w:pPr>
              <w:pStyle w:val="254"/>
              <w:spacing w:line="360" w:lineRule="auto"/>
              <w:rPr>
                <w:rFonts w:ascii="宋体" w:hAnsi="宋体"/>
                <w:sz w:val="24"/>
                <w:szCs w:val="24"/>
              </w:rPr>
            </w:pPr>
          </w:p>
        </w:tc>
      </w:tr>
      <w:tr w14:paraId="0DDBABF6">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360" w:hRule="atLeast"/>
        </w:trPr>
        <w:tc>
          <w:tcPr>
            <w:tcW w:w="1001" w:type="pct"/>
            <w:vMerge w:val="continue"/>
            <w:vAlign w:val="center"/>
          </w:tcPr>
          <w:p w14:paraId="2CB968FC">
            <w:pPr>
              <w:pStyle w:val="254"/>
              <w:spacing w:line="360" w:lineRule="auto"/>
              <w:rPr>
                <w:rFonts w:ascii="宋体" w:hAnsi="宋体"/>
                <w:sz w:val="24"/>
                <w:szCs w:val="24"/>
              </w:rPr>
            </w:pPr>
          </w:p>
        </w:tc>
        <w:tc>
          <w:tcPr>
            <w:tcW w:w="711" w:type="pct"/>
            <w:vMerge w:val="continue"/>
            <w:vAlign w:val="center"/>
          </w:tcPr>
          <w:p w14:paraId="5FFD59B2">
            <w:pPr>
              <w:pStyle w:val="254"/>
              <w:spacing w:line="360" w:lineRule="auto"/>
              <w:rPr>
                <w:rFonts w:ascii="宋体" w:hAnsi="宋体"/>
                <w:sz w:val="24"/>
                <w:szCs w:val="24"/>
              </w:rPr>
            </w:pPr>
          </w:p>
        </w:tc>
        <w:tc>
          <w:tcPr>
            <w:tcW w:w="1576" w:type="pct"/>
            <w:shd w:val="clear" w:color="auto" w:fill="auto"/>
            <w:noWrap/>
            <w:vAlign w:val="center"/>
          </w:tcPr>
          <w:p w14:paraId="1566ECD0">
            <w:pPr>
              <w:pStyle w:val="254"/>
              <w:spacing w:line="360" w:lineRule="auto"/>
              <w:rPr>
                <w:rFonts w:ascii="宋体" w:hAnsi="宋体"/>
                <w:sz w:val="24"/>
                <w:szCs w:val="24"/>
              </w:rPr>
            </w:pPr>
            <w:r>
              <w:rPr>
                <w:rFonts w:hint="eastAsia" w:ascii="宋体" w:hAnsi="宋体"/>
                <w:sz w:val="24"/>
                <w:szCs w:val="24"/>
              </w:rPr>
              <w:t>蓄电池</w:t>
            </w:r>
          </w:p>
        </w:tc>
        <w:tc>
          <w:tcPr>
            <w:tcW w:w="856" w:type="pct"/>
            <w:shd w:val="clear" w:color="auto" w:fill="auto"/>
            <w:noWrap/>
            <w:vAlign w:val="center"/>
          </w:tcPr>
          <w:p w14:paraId="2897B7AA">
            <w:pPr>
              <w:pStyle w:val="254"/>
              <w:spacing w:line="360" w:lineRule="auto"/>
              <w:rPr>
                <w:rFonts w:ascii="宋体" w:hAnsi="宋体"/>
                <w:sz w:val="24"/>
                <w:szCs w:val="24"/>
              </w:rPr>
            </w:pPr>
            <w:r>
              <w:rPr>
                <w:rFonts w:hint="eastAsia" w:ascii="宋体" w:hAnsi="宋体"/>
                <w:sz w:val="24"/>
                <w:szCs w:val="24"/>
              </w:rPr>
              <w:t>1</w:t>
            </w:r>
          </w:p>
        </w:tc>
        <w:tc>
          <w:tcPr>
            <w:tcW w:w="856" w:type="pct"/>
            <w:vMerge w:val="continue"/>
            <w:vAlign w:val="center"/>
          </w:tcPr>
          <w:p w14:paraId="5F6DAEE7">
            <w:pPr>
              <w:pStyle w:val="254"/>
              <w:spacing w:line="360" w:lineRule="auto"/>
              <w:rPr>
                <w:rFonts w:ascii="宋体" w:hAnsi="宋体"/>
                <w:sz w:val="24"/>
                <w:szCs w:val="24"/>
              </w:rPr>
            </w:pPr>
          </w:p>
        </w:tc>
      </w:tr>
      <w:tr w14:paraId="574C9CA2">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360" w:hRule="atLeast"/>
        </w:trPr>
        <w:tc>
          <w:tcPr>
            <w:tcW w:w="1001" w:type="pct"/>
            <w:vMerge w:val="continue"/>
            <w:vAlign w:val="center"/>
          </w:tcPr>
          <w:p w14:paraId="3F60C041">
            <w:pPr>
              <w:pStyle w:val="254"/>
              <w:spacing w:line="360" w:lineRule="auto"/>
              <w:rPr>
                <w:rFonts w:ascii="宋体" w:hAnsi="宋体"/>
                <w:sz w:val="24"/>
                <w:szCs w:val="24"/>
              </w:rPr>
            </w:pPr>
          </w:p>
        </w:tc>
        <w:tc>
          <w:tcPr>
            <w:tcW w:w="711" w:type="pct"/>
            <w:vMerge w:val="continue"/>
            <w:vAlign w:val="center"/>
          </w:tcPr>
          <w:p w14:paraId="7DBC46D1">
            <w:pPr>
              <w:pStyle w:val="254"/>
              <w:spacing w:line="360" w:lineRule="auto"/>
              <w:rPr>
                <w:rFonts w:ascii="宋体" w:hAnsi="宋体"/>
                <w:sz w:val="24"/>
                <w:szCs w:val="24"/>
              </w:rPr>
            </w:pPr>
          </w:p>
        </w:tc>
        <w:tc>
          <w:tcPr>
            <w:tcW w:w="1576" w:type="pct"/>
            <w:shd w:val="clear" w:color="auto" w:fill="auto"/>
            <w:noWrap/>
            <w:vAlign w:val="center"/>
          </w:tcPr>
          <w:p w14:paraId="3AF5AB86">
            <w:pPr>
              <w:pStyle w:val="254"/>
              <w:spacing w:line="360" w:lineRule="auto"/>
              <w:rPr>
                <w:rFonts w:ascii="宋体" w:hAnsi="宋体"/>
                <w:sz w:val="24"/>
                <w:szCs w:val="24"/>
              </w:rPr>
            </w:pPr>
            <w:r>
              <w:rPr>
                <w:rFonts w:hint="eastAsia" w:ascii="宋体" w:hAnsi="宋体"/>
                <w:sz w:val="24"/>
                <w:szCs w:val="24"/>
              </w:rPr>
              <w:t>变送器</w:t>
            </w:r>
          </w:p>
        </w:tc>
        <w:tc>
          <w:tcPr>
            <w:tcW w:w="856" w:type="pct"/>
            <w:shd w:val="clear" w:color="auto" w:fill="auto"/>
            <w:noWrap/>
            <w:vAlign w:val="center"/>
          </w:tcPr>
          <w:p w14:paraId="7DC20739">
            <w:pPr>
              <w:pStyle w:val="254"/>
              <w:spacing w:line="360" w:lineRule="auto"/>
              <w:rPr>
                <w:rFonts w:ascii="宋体" w:hAnsi="宋体"/>
                <w:sz w:val="24"/>
                <w:szCs w:val="24"/>
              </w:rPr>
            </w:pPr>
            <w:r>
              <w:rPr>
                <w:rFonts w:hint="eastAsia" w:ascii="宋体" w:hAnsi="宋体"/>
                <w:sz w:val="24"/>
                <w:szCs w:val="24"/>
              </w:rPr>
              <w:t>1</w:t>
            </w:r>
          </w:p>
        </w:tc>
        <w:tc>
          <w:tcPr>
            <w:tcW w:w="856" w:type="pct"/>
            <w:vMerge w:val="continue"/>
            <w:vAlign w:val="center"/>
          </w:tcPr>
          <w:p w14:paraId="179C03DB">
            <w:pPr>
              <w:pStyle w:val="254"/>
              <w:spacing w:line="360" w:lineRule="auto"/>
              <w:rPr>
                <w:rFonts w:ascii="宋体" w:hAnsi="宋体"/>
                <w:sz w:val="24"/>
                <w:szCs w:val="24"/>
              </w:rPr>
            </w:pPr>
          </w:p>
        </w:tc>
      </w:tr>
      <w:tr w14:paraId="0668965D">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360" w:hRule="atLeast"/>
        </w:trPr>
        <w:tc>
          <w:tcPr>
            <w:tcW w:w="1001" w:type="pct"/>
            <w:vMerge w:val="continue"/>
            <w:vAlign w:val="center"/>
          </w:tcPr>
          <w:p w14:paraId="3121D5E8">
            <w:pPr>
              <w:pStyle w:val="254"/>
              <w:spacing w:line="360" w:lineRule="auto"/>
              <w:rPr>
                <w:rFonts w:ascii="宋体" w:hAnsi="宋体"/>
                <w:sz w:val="24"/>
                <w:szCs w:val="24"/>
              </w:rPr>
            </w:pPr>
          </w:p>
        </w:tc>
        <w:tc>
          <w:tcPr>
            <w:tcW w:w="711" w:type="pct"/>
            <w:vMerge w:val="continue"/>
            <w:vAlign w:val="center"/>
          </w:tcPr>
          <w:p w14:paraId="7A180410">
            <w:pPr>
              <w:pStyle w:val="254"/>
              <w:spacing w:line="360" w:lineRule="auto"/>
              <w:rPr>
                <w:rFonts w:ascii="宋体" w:hAnsi="宋体"/>
                <w:sz w:val="24"/>
                <w:szCs w:val="24"/>
              </w:rPr>
            </w:pPr>
          </w:p>
        </w:tc>
        <w:tc>
          <w:tcPr>
            <w:tcW w:w="1576" w:type="pct"/>
            <w:shd w:val="clear" w:color="auto" w:fill="auto"/>
            <w:noWrap/>
            <w:vAlign w:val="center"/>
          </w:tcPr>
          <w:p w14:paraId="0660D167">
            <w:pPr>
              <w:pStyle w:val="254"/>
              <w:spacing w:line="360" w:lineRule="auto"/>
              <w:rPr>
                <w:rFonts w:ascii="宋体" w:hAnsi="宋体"/>
                <w:sz w:val="24"/>
                <w:szCs w:val="24"/>
              </w:rPr>
            </w:pPr>
            <w:r>
              <w:rPr>
                <w:rFonts w:hint="eastAsia" w:ascii="宋体" w:hAnsi="宋体"/>
                <w:sz w:val="24"/>
                <w:szCs w:val="24"/>
              </w:rPr>
              <w:t>太阳能电池板</w:t>
            </w:r>
          </w:p>
        </w:tc>
        <w:tc>
          <w:tcPr>
            <w:tcW w:w="856" w:type="pct"/>
            <w:shd w:val="clear" w:color="auto" w:fill="auto"/>
            <w:noWrap/>
            <w:vAlign w:val="center"/>
          </w:tcPr>
          <w:p w14:paraId="4B4E0BFF">
            <w:pPr>
              <w:pStyle w:val="254"/>
              <w:spacing w:line="360" w:lineRule="auto"/>
              <w:rPr>
                <w:rFonts w:ascii="宋体" w:hAnsi="宋体"/>
                <w:sz w:val="24"/>
                <w:szCs w:val="24"/>
              </w:rPr>
            </w:pPr>
            <w:r>
              <w:rPr>
                <w:rFonts w:hint="eastAsia" w:ascii="宋体" w:hAnsi="宋体"/>
                <w:sz w:val="24"/>
                <w:szCs w:val="24"/>
              </w:rPr>
              <w:t>1</w:t>
            </w:r>
          </w:p>
        </w:tc>
        <w:tc>
          <w:tcPr>
            <w:tcW w:w="856" w:type="pct"/>
            <w:vMerge w:val="continue"/>
            <w:vAlign w:val="center"/>
          </w:tcPr>
          <w:p w14:paraId="0C2F1C97">
            <w:pPr>
              <w:pStyle w:val="254"/>
              <w:spacing w:line="360" w:lineRule="auto"/>
              <w:rPr>
                <w:rFonts w:ascii="宋体" w:hAnsi="宋体"/>
                <w:sz w:val="24"/>
                <w:szCs w:val="24"/>
              </w:rPr>
            </w:pPr>
          </w:p>
        </w:tc>
      </w:tr>
      <w:tr w14:paraId="79969E28">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360" w:hRule="atLeast"/>
        </w:trPr>
        <w:tc>
          <w:tcPr>
            <w:tcW w:w="1001" w:type="pct"/>
            <w:vMerge w:val="continue"/>
            <w:vAlign w:val="center"/>
          </w:tcPr>
          <w:p w14:paraId="755D2887">
            <w:pPr>
              <w:pStyle w:val="254"/>
              <w:spacing w:line="360" w:lineRule="auto"/>
              <w:rPr>
                <w:rFonts w:ascii="宋体" w:hAnsi="宋体"/>
                <w:sz w:val="24"/>
                <w:szCs w:val="24"/>
              </w:rPr>
            </w:pPr>
          </w:p>
        </w:tc>
        <w:tc>
          <w:tcPr>
            <w:tcW w:w="711" w:type="pct"/>
            <w:vMerge w:val="continue"/>
            <w:vAlign w:val="center"/>
          </w:tcPr>
          <w:p w14:paraId="11E8AC78">
            <w:pPr>
              <w:pStyle w:val="254"/>
              <w:spacing w:line="360" w:lineRule="auto"/>
              <w:rPr>
                <w:rFonts w:ascii="宋体" w:hAnsi="宋体"/>
                <w:sz w:val="24"/>
                <w:szCs w:val="24"/>
              </w:rPr>
            </w:pPr>
          </w:p>
        </w:tc>
        <w:tc>
          <w:tcPr>
            <w:tcW w:w="1576" w:type="pct"/>
            <w:shd w:val="clear" w:color="auto" w:fill="auto"/>
            <w:noWrap/>
            <w:vAlign w:val="center"/>
          </w:tcPr>
          <w:p w14:paraId="262D40F3">
            <w:pPr>
              <w:pStyle w:val="254"/>
              <w:spacing w:line="360" w:lineRule="auto"/>
              <w:rPr>
                <w:rFonts w:ascii="宋体" w:hAnsi="宋体"/>
                <w:sz w:val="24"/>
                <w:szCs w:val="24"/>
              </w:rPr>
            </w:pPr>
            <w:r>
              <w:rPr>
                <w:rFonts w:hint="eastAsia" w:ascii="宋体" w:hAnsi="宋体"/>
                <w:sz w:val="24"/>
                <w:szCs w:val="24"/>
              </w:rPr>
              <w:t>太阳能控制器</w:t>
            </w:r>
          </w:p>
        </w:tc>
        <w:tc>
          <w:tcPr>
            <w:tcW w:w="856" w:type="pct"/>
            <w:shd w:val="clear" w:color="auto" w:fill="auto"/>
            <w:noWrap/>
            <w:vAlign w:val="center"/>
          </w:tcPr>
          <w:p w14:paraId="31217D73">
            <w:pPr>
              <w:pStyle w:val="254"/>
              <w:spacing w:line="360" w:lineRule="auto"/>
              <w:rPr>
                <w:rFonts w:ascii="宋体" w:hAnsi="宋体"/>
                <w:sz w:val="24"/>
                <w:szCs w:val="24"/>
              </w:rPr>
            </w:pPr>
            <w:r>
              <w:rPr>
                <w:rFonts w:hint="eastAsia" w:ascii="宋体" w:hAnsi="宋体"/>
                <w:sz w:val="24"/>
                <w:szCs w:val="24"/>
              </w:rPr>
              <w:t>1</w:t>
            </w:r>
          </w:p>
        </w:tc>
        <w:tc>
          <w:tcPr>
            <w:tcW w:w="856" w:type="pct"/>
            <w:vMerge w:val="continue"/>
            <w:vAlign w:val="center"/>
          </w:tcPr>
          <w:p w14:paraId="6CD67014">
            <w:pPr>
              <w:pStyle w:val="254"/>
              <w:spacing w:line="360" w:lineRule="auto"/>
              <w:rPr>
                <w:rFonts w:ascii="宋体" w:hAnsi="宋体"/>
                <w:sz w:val="24"/>
                <w:szCs w:val="24"/>
              </w:rPr>
            </w:pPr>
          </w:p>
        </w:tc>
      </w:tr>
      <w:tr w14:paraId="3A5B1EA8">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360" w:hRule="atLeast"/>
        </w:trPr>
        <w:tc>
          <w:tcPr>
            <w:tcW w:w="1001" w:type="pct"/>
            <w:vMerge w:val="continue"/>
            <w:vAlign w:val="center"/>
          </w:tcPr>
          <w:p w14:paraId="223E5E24">
            <w:pPr>
              <w:pStyle w:val="254"/>
              <w:spacing w:line="360" w:lineRule="auto"/>
              <w:rPr>
                <w:rFonts w:ascii="宋体" w:hAnsi="宋体"/>
                <w:sz w:val="24"/>
                <w:szCs w:val="24"/>
              </w:rPr>
            </w:pPr>
          </w:p>
        </w:tc>
        <w:tc>
          <w:tcPr>
            <w:tcW w:w="711" w:type="pct"/>
            <w:vMerge w:val="continue"/>
            <w:vAlign w:val="center"/>
          </w:tcPr>
          <w:p w14:paraId="4DAE5D6C">
            <w:pPr>
              <w:pStyle w:val="254"/>
              <w:spacing w:line="360" w:lineRule="auto"/>
              <w:rPr>
                <w:rFonts w:ascii="宋体" w:hAnsi="宋体"/>
                <w:sz w:val="24"/>
                <w:szCs w:val="24"/>
              </w:rPr>
            </w:pPr>
          </w:p>
        </w:tc>
        <w:tc>
          <w:tcPr>
            <w:tcW w:w="1576" w:type="pct"/>
            <w:shd w:val="clear" w:color="auto" w:fill="auto"/>
            <w:noWrap/>
            <w:vAlign w:val="center"/>
          </w:tcPr>
          <w:p w14:paraId="3542E9FA">
            <w:pPr>
              <w:pStyle w:val="254"/>
              <w:spacing w:line="360" w:lineRule="auto"/>
              <w:rPr>
                <w:rFonts w:ascii="宋体" w:hAnsi="宋体"/>
                <w:sz w:val="24"/>
                <w:szCs w:val="24"/>
              </w:rPr>
            </w:pPr>
            <w:r>
              <w:rPr>
                <w:rFonts w:hint="eastAsia" w:ascii="宋体" w:hAnsi="宋体"/>
                <w:sz w:val="24"/>
                <w:szCs w:val="24"/>
              </w:rPr>
              <w:t>水尺杆件及基础</w:t>
            </w:r>
          </w:p>
        </w:tc>
        <w:tc>
          <w:tcPr>
            <w:tcW w:w="856" w:type="pct"/>
            <w:shd w:val="clear" w:color="auto" w:fill="auto"/>
            <w:noWrap/>
            <w:vAlign w:val="center"/>
          </w:tcPr>
          <w:p w14:paraId="6316EB51">
            <w:pPr>
              <w:pStyle w:val="254"/>
              <w:spacing w:line="360" w:lineRule="auto"/>
              <w:rPr>
                <w:rFonts w:ascii="宋体" w:hAnsi="宋体"/>
                <w:sz w:val="24"/>
                <w:szCs w:val="24"/>
              </w:rPr>
            </w:pPr>
            <w:r>
              <w:rPr>
                <w:rFonts w:hint="eastAsia" w:ascii="宋体" w:hAnsi="宋体"/>
                <w:sz w:val="24"/>
                <w:szCs w:val="24"/>
              </w:rPr>
              <w:t>1</w:t>
            </w:r>
          </w:p>
        </w:tc>
        <w:tc>
          <w:tcPr>
            <w:tcW w:w="856" w:type="pct"/>
            <w:vMerge w:val="continue"/>
            <w:vAlign w:val="center"/>
          </w:tcPr>
          <w:p w14:paraId="014E77EB">
            <w:pPr>
              <w:pStyle w:val="254"/>
              <w:spacing w:line="360" w:lineRule="auto"/>
              <w:rPr>
                <w:rFonts w:ascii="宋体" w:hAnsi="宋体"/>
                <w:sz w:val="24"/>
                <w:szCs w:val="24"/>
              </w:rPr>
            </w:pPr>
          </w:p>
        </w:tc>
      </w:tr>
      <w:tr w14:paraId="518FB311">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360" w:hRule="atLeast"/>
        </w:trPr>
        <w:tc>
          <w:tcPr>
            <w:tcW w:w="1001" w:type="pct"/>
            <w:vMerge w:val="continue"/>
            <w:vAlign w:val="center"/>
          </w:tcPr>
          <w:p w14:paraId="54B3D3EB">
            <w:pPr>
              <w:pStyle w:val="254"/>
              <w:spacing w:line="360" w:lineRule="auto"/>
              <w:rPr>
                <w:rFonts w:ascii="宋体" w:hAnsi="宋体"/>
                <w:sz w:val="24"/>
                <w:szCs w:val="24"/>
              </w:rPr>
            </w:pPr>
          </w:p>
        </w:tc>
        <w:tc>
          <w:tcPr>
            <w:tcW w:w="711" w:type="pct"/>
            <w:vMerge w:val="continue"/>
            <w:vAlign w:val="center"/>
          </w:tcPr>
          <w:p w14:paraId="11D5CF37">
            <w:pPr>
              <w:pStyle w:val="254"/>
              <w:spacing w:line="360" w:lineRule="auto"/>
              <w:rPr>
                <w:rFonts w:ascii="宋体" w:hAnsi="宋体"/>
                <w:sz w:val="24"/>
                <w:szCs w:val="24"/>
              </w:rPr>
            </w:pPr>
          </w:p>
        </w:tc>
        <w:tc>
          <w:tcPr>
            <w:tcW w:w="1576" w:type="pct"/>
            <w:shd w:val="clear" w:color="auto" w:fill="auto"/>
            <w:noWrap/>
            <w:vAlign w:val="center"/>
          </w:tcPr>
          <w:p w14:paraId="527B3996">
            <w:pPr>
              <w:pStyle w:val="254"/>
              <w:spacing w:line="360" w:lineRule="auto"/>
              <w:rPr>
                <w:rFonts w:ascii="宋体" w:hAnsi="宋体"/>
                <w:sz w:val="24"/>
                <w:szCs w:val="24"/>
              </w:rPr>
            </w:pPr>
            <w:r>
              <w:rPr>
                <w:rFonts w:hint="eastAsia" w:ascii="宋体" w:hAnsi="宋体"/>
                <w:sz w:val="24"/>
                <w:szCs w:val="24"/>
              </w:rPr>
              <w:t>设备机箱</w:t>
            </w:r>
          </w:p>
        </w:tc>
        <w:tc>
          <w:tcPr>
            <w:tcW w:w="856" w:type="pct"/>
            <w:shd w:val="clear" w:color="auto" w:fill="auto"/>
            <w:noWrap/>
            <w:vAlign w:val="center"/>
          </w:tcPr>
          <w:p w14:paraId="5C5D09B4">
            <w:pPr>
              <w:pStyle w:val="254"/>
              <w:spacing w:line="360" w:lineRule="auto"/>
              <w:rPr>
                <w:rFonts w:ascii="宋体" w:hAnsi="宋体"/>
                <w:sz w:val="24"/>
                <w:szCs w:val="24"/>
              </w:rPr>
            </w:pPr>
            <w:r>
              <w:rPr>
                <w:rFonts w:hint="eastAsia" w:ascii="宋体" w:hAnsi="宋体"/>
                <w:sz w:val="24"/>
                <w:szCs w:val="24"/>
              </w:rPr>
              <w:t>1</w:t>
            </w:r>
          </w:p>
        </w:tc>
        <w:tc>
          <w:tcPr>
            <w:tcW w:w="856" w:type="pct"/>
            <w:vMerge w:val="continue"/>
            <w:vAlign w:val="center"/>
          </w:tcPr>
          <w:p w14:paraId="784A32E7">
            <w:pPr>
              <w:pStyle w:val="254"/>
              <w:spacing w:line="360" w:lineRule="auto"/>
              <w:rPr>
                <w:rFonts w:ascii="宋体" w:hAnsi="宋体"/>
                <w:sz w:val="24"/>
                <w:szCs w:val="24"/>
              </w:rPr>
            </w:pPr>
          </w:p>
        </w:tc>
      </w:tr>
      <w:tr w14:paraId="18975DB0">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360" w:hRule="atLeast"/>
        </w:trPr>
        <w:tc>
          <w:tcPr>
            <w:tcW w:w="1001" w:type="pct"/>
            <w:vMerge w:val="continue"/>
            <w:vAlign w:val="center"/>
          </w:tcPr>
          <w:p w14:paraId="10D5636D">
            <w:pPr>
              <w:pStyle w:val="254"/>
              <w:spacing w:line="360" w:lineRule="auto"/>
              <w:rPr>
                <w:rFonts w:ascii="宋体" w:hAnsi="宋体"/>
                <w:sz w:val="24"/>
                <w:szCs w:val="24"/>
              </w:rPr>
            </w:pPr>
          </w:p>
        </w:tc>
        <w:tc>
          <w:tcPr>
            <w:tcW w:w="711" w:type="pct"/>
            <w:vMerge w:val="continue"/>
            <w:vAlign w:val="center"/>
          </w:tcPr>
          <w:p w14:paraId="655414AD">
            <w:pPr>
              <w:pStyle w:val="254"/>
              <w:spacing w:line="360" w:lineRule="auto"/>
              <w:rPr>
                <w:rFonts w:ascii="宋体" w:hAnsi="宋体"/>
                <w:sz w:val="24"/>
                <w:szCs w:val="24"/>
              </w:rPr>
            </w:pPr>
          </w:p>
        </w:tc>
        <w:tc>
          <w:tcPr>
            <w:tcW w:w="1576" w:type="pct"/>
            <w:shd w:val="clear" w:color="auto" w:fill="auto"/>
            <w:noWrap/>
            <w:vAlign w:val="center"/>
          </w:tcPr>
          <w:p w14:paraId="65AA2702">
            <w:pPr>
              <w:pStyle w:val="254"/>
              <w:spacing w:line="360" w:lineRule="auto"/>
              <w:rPr>
                <w:rFonts w:ascii="宋体" w:hAnsi="宋体"/>
                <w:sz w:val="24"/>
                <w:szCs w:val="24"/>
              </w:rPr>
            </w:pPr>
            <w:r>
              <w:rPr>
                <w:rFonts w:hint="eastAsia" w:ascii="宋体" w:hAnsi="宋体"/>
                <w:sz w:val="24"/>
                <w:szCs w:val="24"/>
              </w:rPr>
              <w:t>凹槽盖板</w:t>
            </w:r>
          </w:p>
        </w:tc>
        <w:tc>
          <w:tcPr>
            <w:tcW w:w="856" w:type="pct"/>
            <w:shd w:val="clear" w:color="auto" w:fill="auto"/>
            <w:noWrap/>
            <w:vAlign w:val="center"/>
          </w:tcPr>
          <w:p w14:paraId="4BA762B9">
            <w:pPr>
              <w:pStyle w:val="254"/>
              <w:spacing w:line="360" w:lineRule="auto"/>
              <w:rPr>
                <w:rFonts w:ascii="宋体" w:hAnsi="宋体"/>
                <w:sz w:val="24"/>
                <w:szCs w:val="24"/>
              </w:rPr>
            </w:pPr>
            <w:r>
              <w:rPr>
                <w:rFonts w:hint="eastAsia" w:ascii="宋体" w:hAnsi="宋体"/>
                <w:sz w:val="24"/>
                <w:szCs w:val="24"/>
              </w:rPr>
              <w:t>2</w:t>
            </w:r>
          </w:p>
        </w:tc>
        <w:tc>
          <w:tcPr>
            <w:tcW w:w="856" w:type="pct"/>
            <w:vMerge w:val="continue"/>
            <w:vAlign w:val="center"/>
          </w:tcPr>
          <w:p w14:paraId="6F833BBB">
            <w:pPr>
              <w:pStyle w:val="254"/>
              <w:spacing w:line="360" w:lineRule="auto"/>
              <w:rPr>
                <w:rFonts w:ascii="宋体" w:hAnsi="宋体"/>
                <w:sz w:val="24"/>
                <w:szCs w:val="24"/>
              </w:rPr>
            </w:pPr>
          </w:p>
        </w:tc>
      </w:tr>
      <w:tr w14:paraId="33D77A91">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360" w:hRule="atLeast"/>
        </w:trPr>
        <w:tc>
          <w:tcPr>
            <w:tcW w:w="1001" w:type="pct"/>
            <w:vMerge w:val="continue"/>
            <w:vAlign w:val="center"/>
          </w:tcPr>
          <w:p w14:paraId="01F1DA05">
            <w:pPr>
              <w:pStyle w:val="254"/>
              <w:spacing w:line="360" w:lineRule="auto"/>
              <w:rPr>
                <w:rFonts w:ascii="宋体" w:hAnsi="宋体"/>
                <w:sz w:val="24"/>
                <w:szCs w:val="24"/>
              </w:rPr>
            </w:pPr>
          </w:p>
        </w:tc>
        <w:tc>
          <w:tcPr>
            <w:tcW w:w="711" w:type="pct"/>
            <w:vMerge w:val="restart"/>
            <w:shd w:val="clear" w:color="auto" w:fill="auto"/>
            <w:vAlign w:val="center"/>
          </w:tcPr>
          <w:p w14:paraId="3645A452">
            <w:pPr>
              <w:pStyle w:val="254"/>
              <w:spacing w:line="360" w:lineRule="auto"/>
              <w:rPr>
                <w:rFonts w:ascii="宋体" w:hAnsi="宋体"/>
                <w:sz w:val="24"/>
                <w:szCs w:val="24"/>
              </w:rPr>
            </w:pPr>
            <w:r>
              <w:rPr>
                <w:rFonts w:hint="eastAsia" w:ascii="宋体" w:hAnsi="宋体"/>
                <w:sz w:val="24"/>
                <w:szCs w:val="24"/>
              </w:rPr>
              <w:t>雷达水位计及其配套器件</w:t>
            </w:r>
          </w:p>
        </w:tc>
        <w:tc>
          <w:tcPr>
            <w:tcW w:w="1576" w:type="pct"/>
            <w:shd w:val="clear" w:color="auto" w:fill="auto"/>
            <w:noWrap/>
            <w:vAlign w:val="center"/>
          </w:tcPr>
          <w:p w14:paraId="28BDA19A">
            <w:pPr>
              <w:pStyle w:val="254"/>
              <w:spacing w:line="360" w:lineRule="auto"/>
              <w:rPr>
                <w:rFonts w:ascii="宋体" w:hAnsi="宋体"/>
                <w:sz w:val="24"/>
                <w:szCs w:val="24"/>
              </w:rPr>
            </w:pPr>
            <w:r>
              <w:rPr>
                <w:rFonts w:hint="eastAsia" w:ascii="宋体" w:hAnsi="宋体"/>
                <w:sz w:val="24"/>
                <w:szCs w:val="24"/>
              </w:rPr>
              <w:t>雷达水位计</w:t>
            </w:r>
          </w:p>
        </w:tc>
        <w:tc>
          <w:tcPr>
            <w:tcW w:w="856" w:type="pct"/>
            <w:shd w:val="clear" w:color="auto" w:fill="auto"/>
            <w:noWrap/>
            <w:vAlign w:val="center"/>
          </w:tcPr>
          <w:p w14:paraId="0DED6A30">
            <w:pPr>
              <w:pStyle w:val="254"/>
              <w:spacing w:line="360" w:lineRule="auto"/>
              <w:rPr>
                <w:rFonts w:ascii="宋体" w:hAnsi="宋体"/>
                <w:sz w:val="24"/>
                <w:szCs w:val="24"/>
              </w:rPr>
            </w:pPr>
            <w:r>
              <w:rPr>
                <w:rFonts w:hint="eastAsia" w:ascii="宋体" w:hAnsi="宋体"/>
                <w:sz w:val="24"/>
                <w:szCs w:val="24"/>
              </w:rPr>
              <w:t>1</w:t>
            </w:r>
          </w:p>
        </w:tc>
        <w:tc>
          <w:tcPr>
            <w:tcW w:w="856" w:type="pct"/>
            <w:vMerge w:val="restart"/>
            <w:shd w:val="clear" w:color="auto" w:fill="auto"/>
            <w:noWrap/>
            <w:vAlign w:val="center"/>
          </w:tcPr>
          <w:p w14:paraId="680F73B9">
            <w:pPr>
              <w:pStyle w:val="254"/>
              <w:spacing w:line="360" w:lineRule="auto"/>
              <w:rPr>
                <w:rFonts w:ascii="宋体" w:hAnsi="宋体"/>
                <w:sz w:val="24"/>
                <w:szCs w:val="24"/>
              </w:rPr>
            </w:pPr>
            <w:r>
              <w:rPr>
                <w:rFonts w:hint="eastAsia" w:ascii="宋体" w:hAnsi="宋体"/>
                <w:sz w:val="24"/>
                <w:szCs w:val="24"/>
              </w:rPr>
              <w:t>21</w:t>
            </w:r>
          </w:p>
        </w:tc>
      </w:tr>
      <w:tr w14:paraId="39C06666">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400" w:hRule="atLeast"/>
        </w:trPr>
        <w:tc>
          <w:tcPr>
            <w:tcW w:w="1001" w:type="pct"/>
            <w:vMerge w:val="continue"/>
            <w:vAlign w:val="center"/>
          </w:tcPr>
          <w:p w14:paraId="6C85D7E7">
            <w:pPr>
              <w:pStyle w:val="254"/>
              <w:spacing w:line="360" w:lineRule="auto"/>
              <w:rPr>
                <w:rFonts w:ascii="宋体" w:hAnsi="宋体"/>
                <w:sz w:val="24"/>
                <w:szCs w:val="24"/>
              </w:rPr>
            </w:pPr>
          </w:p>
        </w:tc>
        <w:tc>
          <w:tcPr>
            <w:tcW w:w="711" w:type="pct"/>
            <w:vMerge w:val="continue"/>
            <w:vAlign w:val="center"/>
          </w:tcPr>
          <w:p w14:paraId="65B8A0D7">
            <w:pPr>
              <w:pStyle w:val="254"/>
              <w:spacing w:line="360" w:lineRule="auto"/>
              <w:rPr>
                <w:rFonts w:ascii="宋体" w:hAnsi="宋体"/>
                <w:sz w:val="24"/>
                <w:szCs w:val="24"/>
              </w:rPr>
            </w:pPr>
          </w:p>
        </w:tc>
        <w:tc>
          <w:tcPr>
            <w:tcW w:w="1576" w:type="pct"/>
            <w:shd w:val="clear" w:color="auto" w:fill="auto"/>
            <w:noWrap/>
            <w:vAlign w:val="center"/>
          </w:tcPr>
          <w:p w14:paraId="76FF55E8">
            <w:pPr>
              <w:pStyle w:val="254"/>
              <w:spacing w:line="360" w:lineRule="auto"/>
              <w:rPr>
                <w:rFonts w:ascii="宋体" w:hAnsi="宋体"/>
                <w:sz w:val="24"/>
                <w:szCs w:val="24"/>
              </w:rPr>
            </w:pPr>
            <w:r>
              <w:rPr>
                <w:rFonts w:ascii="宋体" w:hAnsi="宋体"/>
                <w:sz w:val="24"/>
                <w:szCs w:val="24"/>
              </w:rPr>
              <w:t>遥测终端</w:t>
            </w:r>
          </w:p>
        </w:tc>
        <w:tc>
          <w:tcPr>
            <w:tcW w:w="856" w:type="pct"/>
            <w:shd w:val="clear" w:color="auto" w:fill="auto"/>
            <w:noWrap/>
            <w:vAlign w:val="center"/>
          </w:tcPr>
          <w:p w14:paraId="3C8FA483">
            <w:pPr>
              <w:pStyle w:val="254"/>
              <w:spacing w:line="360" w:lineRule="auto"/>
              <w:rPr>
                <w:rFonts w:ascii="宋体" w:hAnsi="宋体"/>
                <w:sz w:val="24"/>
                <w:szCs w:val="24"/>
              </w:rPr>
            </w:pPr>
            <w:r>
              <w:rPr>
                <w:rFonts w:hint="eastAsia" w:ascii="宋体" w:hAnsi="宋体"/>
                <w:sz w:val="24"/>
                <w:szCs w:val="24"/>
              </w:rPr>
              <w:t>1</w:t>
            </w:r>
          </w:p>
        </w:tc>
        <w:tc>
          <w:tcPr>
            <w:tcW w:w="856" w:type="pct"/>
            <w:vMerge w:val="continue"/>
            <w:vAlign w:val="center"/>
          </w:tcPr>
          <w:p w14:paraId="6DA6F98C">
            <w:pPr>
              <w:pStyle w:val="254"/>
              <w:spacing w:line="360" w:lineRule="auto"/>
              <w:rPr>
                <w:rFonts w:ascii="宋体" w:hAnsi="宋体"/>
                <w:sz w:val="24"/>
                <w:szCs w:val="24"/>
              </w:rPr>
            </w:pPr>
          </w:p>
        </w:tc>
      </w:tr>
      <w:tr w14:paraId="2E52ABC6">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360" w:hRule="atLeast"/>
        </w:trPr>
        <w:tc>
          <w:tcPr>
            <w:tcW w:w="1001" w:type="pct"/>
            <w:vMerge w:val="continue"/>
            <w:vAlign w:val="center"/>
          </w:tcPr>
          <w:p w14:paraId="25251852">
            <w:pPr>
              <w:pStyle w:val="254"/>
              <w:spacing w:line="360" w:lineRule="auto"/>
              <w:rPr>
                <w:rFonts w:ascii="宋体" w:hAnsi="宋体"/>
                <w:sz w:val="24"/>
                <w:szCs w:val="24"/>
              </w:rPr>
            </w:pPr>
          </w:p>
        </w:tc>
        <w:tc>
          <w:tcPr>
            <w:tcW w:w="711" w:type="pct"/>
            <w:vMerge w:val="continue"/>
            <w:vAlign w:val="center"/>
          </w:tcPr>
          <w:p w14:paraId="1B22BD49">
            <w:pPr>
              <w:pStyle w:val="254"/>
              <w:spacing w:line="360" w:lineRule="auto"/>
              <w:rPr>
                <w:rFonts w:ascii="宋体" w:hAnsi="宋体"/>
                <w:sz w:val="24"/>
                <w:szCs w:val="24"/>
              </w:rPr>
            </w:pPr>
          </w:p>
        </w:tc>
        <w:tc>
          <w:tcPr>
            <w:tcW w:w="1576" w:type="pct"/>
            <w:shd w:val="clear" w:color="auto" w:fill="auto"/>
            <w:noWrap/>
            <w:vAlign w:val="center"/>
          </w:tcPr>
          <w:p w14:paraId="1EC4558A">
            <w:pPr>
              <w:pStyle w:val="254"/>
              <w:spacing w:line="360" w:lineRule="auto"/>
              <w:rPr>
                <w:rFonts w:ascii="宋体" w:hAnsi="宋体"/>
                <w:sz w:val="24"/>
                <w:szCs w:val="24"/>
              </w:rPr>
            </w:pPr>
            <w:r>
              <w:rPr>
                <w:rFonts w:hint="eastAsia" w:ascii="宋体" w:hAnsi="宋体"/>
                <w:sz w:val="24"/>
                <w:szCs w:val="24"/>
              </w:rPr>
              <w:t>信号防雷器</w:t>
            </w:r>
          </w:p>
        </w:tc>
        <w:tc>
          <w:tcPr>
            <w:tcW w:w="856" w:type="pct"/>
            <w:shd w:val="clear" w:color="auto" w:fill="auto"/>
            <w:noWrap/>
            <w:vAlign w:val="center"/>
          </w:tcPr>
          <w:p w14:paraId="6D125590">
            <w:pPr>
              <w:pStyle w:val="254"/>
              <w:spacing w:line="360" w:lineRule="auto"/>
              <w:rPr>
                <w:rFonts w:ascii="宋体" w:hAnsi="宋体"/>
                <w:sz w:val="24"/>
                <w:szCs w:val="24"/>
              </w:rPr>
            </w:pPr>
            <w:r>
              <w:rPr>
                <w:rFonts w:hint="eastAsia" w:ascii="宋体" w:hAnsi="宋体"/>
                <w:sz w:val="24"/>
                <w:szCs w:val="24"/>
              </w:rPr>
              <w:t>1</w:t>
            </w:r>
          </w:p>
        </w:tc>
        <w:tc>
          <w:tcPr>
            <w:tcW w:w="856" w:type="pct"/>
            <w:vMerge w:val="continue"/>
            <w:vAlign w:val="center"/>
          </w:tcPr>
          <w:p w14:paraId="73696B9F">
            <w:pPr>
              <w:pStyle w:val="254"/>
              <w:spacing w:line="360" w:lineRule="auto"/>
              <w:rPr>
                <w:rFonts w:ascii="宋体" w:hAnsi="宋体"/>
                <w:sz w:val="24"/>
                <w:szCs w:val="24"/>
              </w:rPr>
            </w:pPr>
          </w:p>
        </w:tc>
      </w:tr>
      <w:tr w14:paraId="52406672">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360" w:hRule="atLeast"/>
        </w:trPr>
        <w:tc>
          <w:tcPr>
            <w:tcW w:w="1001" w:type="pct"/>
            <w:vMerge w:val="continue"/>
            <w:vAlign w:val="center"/>
          </w:tcPr>
          <w:p w14:paraId="34948BE5">
            <w:pPr>
              <w:pStyle w:val="254"/>
              <w:spacing w:line="360" w:lineRule="auto"/>
              <w:rPr>
                <w:rFonts w:ascii="宋体" w:hAnsi="宋体"/>
                <w:sz w:val="24"/>
                <w:szCs w:val="24"/>
              </w:rPr>
            </w:pPr>
          </w:p>
        </w:tc>
        <w:tc>
          <w:tcPr>
            <w:tcW w:w="711" w:type="pct"/>
            <w:vMerge w:val="continue"/>
            <w:vAlign w:val="center"/>
          </w:tcPr>
          <w:p w14:paraId="41C7962D">
            <w:pPr>
              <w:pStyle w:val="254"/>
              <w:spacing w:line="360" w:lineRule="auto"/>
              <w:rPr>
                <w:rFonts w:ascii="宋体" w:hAnsi="宋体"/>
                <w:sz w:val="24"/>
                <w:szCs w:val="24"/>
              </w:rPr>
            </w:pPr>
          </w:p>
        </w:tc>
        <w:tc>
          <w:tcPr>
            <w:tcW w:w="1576" w:type="pct"/>
            <w:shd w:val="clear" w:color="auto" w:fill="auto"/>
            <w:noWrap/>
            <w:vAlign w:val="center"/>
          </w:tcPr>
          <w:p w14:paraId="20D908DA">
            <w:pPr>
              <w:pStyle w:val="254"/>
              <w:spacing w:line="360" w:lineRule="auto"/>
              <w:rPr>
                <w:rFonts w:ascii="宋体" w:hAnsi="宋体"/>
                <w:sz w:val="24"/>
                <w:szCs w:val="24"/>
              </w:rPr>
            </w:pPr>
            <w:r>
              <w:rPr>
                <w:rFonts w:hint="eastAsia" w:ascii="宋体" w:hAnsi="宋体"/>
                <w:sz w:val="24"/>
                <w:szCs w:val="24"/>
              </w:rPr>
              <w:t>电源空开</w:t>
            </w:r>
          </w:p>
        </w:tc>
        <w:tc>
          <w:tcPr>
            <w:tcW w:w="856" w:type="pct"/>
            <w:shd w:val="clear" w:color="auto" w:fill="auto"/>
            <w:noWrap/>
            <w:vAlign w:val="center"/>
          </w:tcPr>
          <w:p w14:paraId="41355821">
            <w:pPr>
              <w:pStyle w:val="254"/>
              <w:spacing w:line="360" w:lineRule="auto"/>
              <w:rPr>
                <w:rFonts w:ascii="宋体" w:hAnsi="宋体"/>
                <w:sz w:val="24"/>
                <w:szCs w:val="24"/>
              </w:rPr>
            </w:pPr>
            <w:r>
              <w:rPr>
                <w:rFonts w:hint="eastAsia" w:ascii="宋体" w:hAnsi="宋体"/>
                <w:sz w:val="24"/>
                <w:szCs w:val="24"/>
              </w:rPr>
              <w:t>1</w:t>
            </w:r>
          </w:p>
        </w:tc>
        <w:tc>
          <w:tcPr>
            <w:tcW w:w="856" w:type="pct"/>
            <w:vMerge w:val="continue"/>
            <w:vAlign w:val="center"/>
          </w:tcPr>
          <w:p w14:paraId="3682C806">
            <w:pPr>
              <w:pStyle w:val="254"/>
              <w:spacing w:line="360" w:lineRule="auto"/>
              <w:rPr>
                <w:rFonts w:ascii="宋体" w:hAnsi="宋体"/>
                <w:sz w:val="24"/>
                <w:szCs w:val="24"/>
              </w:rPr>
            </w:pPr>
          </w:p>
        </w:tc>
      </w:tr>
      <w:tr w14:paraId="768C3D3B">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360" w:hRule="atLeast"/>
        </w:trPr>
        <w:tc>
          <w:tcPr>
            <w:tcW w:w="1001" w:type="pct"/>
            <w:vMerge w:val="continue"/>
            <w:vAlign w:val="center"/>
          </w:tcPr>
          <w:p w14:paraId="0BA6FC35">
            <w:pPr>
              <w:pStyle w:val="254"/>
              <w:spacing w:line="360" w:lineRule="auto"/>
              <w:rPr>
                <w:rFonts w:ascii="宋体" w:hAnsi="宋体"/>
                <w:sz w:val="24"/>
                <w:szCs w:val="24"/>
              </w:rPr>
            </w:pPr>
          </w:p>
        </w:tc>
        <w:tc>
          <w:tcPr>
            <w:tcW w:w="711" w:type="pct"/>
            <w:vMerge w:val="continue"/>
            <w:vAlign w:val="center"/>
          </w:tcPr>
          <w:p w14:paraId="20263A19">
            <w:pPr>
              <w:pStyle w:val="254"/>
              <w:spacing w:line="360" w:lineRule="auto"/>
              <w:rPr>
                <w:rFonts w:ascii="宋体" w:hAnsi="宋体"/>
                <w:sz w:val="24"/>
                <w:szCs w:val="24"/>
              </w:rPr>
            </w:pPr>
          </w:p>
        </w:tc>
        <w:tc>
          <w:tcPr>
            <w:tcW w:w="1576" w:type="pct"/>
            <w:shd w:val="clear" w:color="auto" w:fill="auto"/>
            <w:noWrap/>
            <w:vAlign w:val="center"/>
          </w:tcPr>
          <w:p w14:paraId="758F9770">
            <w:pPr>
              <w:pStyle w:val="254"/>
              <w:spacing w:line="360" w:lineRule="auto"/>
              <w:rPr>
                <w:rFonts w:ascii="宋体" w:hAnsi="宋体"/>
                <w:sz w:val="24"/>
                <w:szCs w:val="24"/>
              </w:rPr>
            </w:pPr>
            <w:r>
              <w:rPr>
                <w:rFonts w:hint="eastAsia" w:ascii="宋体" w:hAnsi="宋体"/>
                <w:sz w:val="24"/>
                <w:szCs w:val="24"/>
              </w:rPr>
              <w:t>设备机箱</w:t>
            </w:r>
          </w:p>
        </w:tc>
        <w:tc>
          <w:tcPr>
            <w:tcW w:w="856" w:type="pct"/>
            <w:shd w:val="clear" w:color="auto" w:fill="auto"/>
            <w:noWrap/>
            <w:vAlign w:val="center"/>
          </w:tcPr>
          <w:p w14:paraId="20B19308">
            <w:pPr>
              <w:pStyle w:val="254"/>
              <w:spacing w:line="360" w:lineRule="auto"/>
              <w:rPr>
                <w:rFonts w:ascii="宋体" w:hAnsi="宋体"/>
                <w:sz w:val="24"/>
                <w:szCs w:val="24"/>
              </w:rPr>
            </w:pPr>
            <w:r>
              <w:rPr>
                <w:rFonts w:hint="eastAsia" w:ascii="宋体" w:hAnsi="宋体"/>
                <w:sz w:val="24"/>
                <w:szCs w:val="24"/>
              </w:rPr>
              <w:t>1</w:t>
            </w:r>
          </w:p>
        </w:tc>
        <w:tc>
          <w:tcPr>
            <w:tcW w:w="856" w:type="pct"/>
            <w:vMerge w:val="continue"/>
            <w:vAlign w:val="center"/>
          </w:tcPr>
          <w:p w14:paraId="576270BF">
            <w:pPr>
              <w:pStyle w:val="254"/>
              <w:spacing w:line="360" w:lineRule="auto"/>
              <w:rPr>
                <w:rFonts w:ascii="宋体" w:hAnsi="宋体"/>
                <w:sz w:val="24"/>
                <w:szCs w:val="24"/>
              </w:rPr>
            </w:pPr>
          </w:p>
        </w:tc>
      </w:tr>
      <w:tr w14:paraId="2CB5BFB9">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360" w:hRule="atLeast"/>
        </w:trPr>
        <w:tc>
          <w:tcPr>
            <w:tcW w:w="1001" w:type="pct"/>
            <w:vMerge w:val="continue"/>
            <w:vAlign w:val="center"/>
          </w:tcPr>
          <w:p w14:paraId="7D15E535">
            <w:pPr>
              <w:pStyle w:val="254"/>
              <w:spacing w:line="360" w:lineRule="auto"/>
              <w:rPr>
                <w:rFonts w:ascii="宋体" w:hAnsi="宋体"/>
                <w:sz w:val="24"/>
                <w:szCs w:val="24"/>
              </w:rPr>
            </w:pPr>
          </w:p>
        </w:tc>
        <w:tc>
          <w:tcPr>
            <w:tcW w:w="711" w:type="pct"/>
            <w:vMerge w:val="continue"/>
            <w:vAlign w:val="center"/>
          </w:tcPr>
          <w:p w14:paraId="4C072E4B">
            <w:pPr>
              <w:pStyle w:val="254"/>
              <w:spacing w:line="360" w:lineRule="auto"/>
              <w:rPr>
                <w:rFonts w:ascii="宋体" w:hAnsi="宋体"/>
                <w:sz w:val="24"/>
                <w:szCs w:val="24"/>
              </w:rPr>
            </w:pPr>
          </w:p>
        </w:tc>
        <w:tc>
          <w:tcPr>
            <w:tcW w:w="1576" w:type="pct"/>
            <w:shd w:val="clear" w:color="auto" w:fill="auto"/>
            <w:noWrap/>
            <w:vAlign w:val="center"/>
          </w:tcPr>
          <w:p w14:paraId="4A87DFD1">
            <w:pPr>
              <w:pStyle w:val="254"/>
              <w:spacing w:line="360" w:lineRule="auto"/>
              <w:rPr>
                <w:rFonts w:ascii="宋体" w:hAnsi="宋体"/>
                <w:sz w:val="24"/>
                <w:szCs w:val="24"/>
              </w:rPr>
            </w:pPr>
            <w:r>
              <w:rPr>
                <w:rFonts w:hint="eastAsia" w:ascii="宋体" w:hAnsi="宋体"/>
                <w:sz w:val="24"/>
                <w:szCs w:val="24"/>
              </w:rPr>
              <w:t>组件支架</w:t>
            </w:r>
          </w:p>
        </w:tc>
        <w:tc>
          <w:tcPr>
            <w:tcW w:w="856" w:type="pct"/>
            <w:shd w:val="clear" w:color="auto" w:fill="auto"/>
            <w:noWrap/>
            <w:vAlign w:val="center"/>
          </w:tcPr>
          <w:p w14:paraId="59A23655">
            <w:pPr>
              <w:pStyle w:val="254"/>
              <w:spacing w:line="360" w:lineRule="auto"/>
              <w:rPr>
                <w:rFonts w:ascii="宋体" w:hAnsi="宋体"/>
                <w:sz w:val="24"/>
                <w:szCs w:val="24"/>
              </w:rPr>
            </w:pPr>
            <w:r>
              <w:rPr>
                <w:rFonts w:hint="eastAsia" w:ascii="宋体" w:hAnsi="宋体"/>
                <w:sz w:val="24"/>
                <w:szCs w:val="24"/>
              </w:rPr>
              <w:t>1</w:t>
            </w:r>
          </w:p>
        </w:tc>
        <w:tc>
          <w:tcPr>
            <w:tcW w:w="856" w:type="pct"/>
            <w:vMerge w:val="continue"/>
            <w:vAlign w:val="center"/>
          </w:tcPr>
          <w:p w14:paraId="3F0B39D0">
            <w:pPr>
              <w:pStyle w:val="254"/>
              <w:spacing w:line="360" w:lineRule="auto"/>
              <w:rPr>
                <w:rFonts w:ascii="宋体" w:hAnsi="宋体"/>
                <w:sz w:val="24"/>
                <w:szCs w:val="24"/>
              </w:rPr>
            </w:pPr>
          </w:p>
        </w:tc>
      </w:tr>
      <w:tr w14:paraId="3F4A3745">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360" w:hRule="atLeast"/>
        </w:trPr>
        <w:tc>
          <w:tcPr>
            <w:tcW w:w="1001" w:type="pct"/>
            <w:vMerge w:val="continue"/>
            <w:vAlign w:val="center"/>
          </w:tcPr>
          <w:p w14:paraId="5388E9E8">
            <w:pPr>
              <w:pStyle w:val="254"/>
              <w:spacing w:line="360" w:lineRule="auto"/>
              <w:rPr>
                <w:rFonts w:ascii="宋体" w:hAnsi="宋体"/>
                <w:sz w:val="24"/>
                <w:szCs w:val="24"/>
              </w:rPr>
            </w:pPr>
          </w:p>
        </w:tc>
        <w:tc>
          <w:tcPr>
            <w:tcW w:w="711" w:type="pct"/>
            <w:vMerge w:val="restart"/>
            <w:shd w:val="clear" w:color="auto" w:fill="auto"/>
            <w:vAlign w:val="center"/>
          </w:tcPr>
          <w:p w14:paraId="468250FB">
            <w:pPr>
              <w:pStyle w:val="254"/>
              <w:spacing w:line="360" w:lineRule="auto"/>
              <w:rPr>
                <w:rFonts w:ascii="宋体" w:hAnsi="宋体"/>
                <w:sz w:val="24"/>
                <w:szCs w:val="24"/>
              </w:rPr>
            </w:pPr>
            <w:r>
              <w:rPr>
                <w:rFonts w:hint="eastAsia" w:ascii="宋体" w:hAnsi="宋体"/>
                <w:sz w:val="24"/>
                <w:szCs w:val="24"/>
              </w:rPr>
              <w:t>雨量站及其配套器件</w:t>
            </w:r>
          </w:p>
        </w:tc>
        <w:tc>
          <w:tcPr>
            <w:tcW w:w="1576" w:type="pct"/>
            <w:shd w:val="clear" w:color="auto" w:fill="auto"/>
            <w:noWrap/>
            <w:vAlign w:val="center"/>
          </w:tcPr>
          <w:p w14:paraId="10699603">
            <w:pPr>
              <w:pStyle w:val="254"/>
              <w:spacing w:line="360" w:lineRule="auto"/>
              <w:rPr>
                <w:rFonts w:ascii="宋体" w:hAnsi="宋体"/>
                <w:sz w:val="24"/>
                <w:szCs w:val="24"/>
              </w:rPr>
            </w:pPr>
            <w:r>
              <w:rPr>
                <w:rFonts w:hint="eastAsia" w:ascii="宋体" w:hAnsi="宋体"/>
                <w:sz w:val="24"/>
                <w:szCs w:val="24"/>
              </w:rPr>
              <w:t>翻斗式雨量计</w:t>
            </w:r>
          </w:p>
        </w:tc>
        <w:tc>
          <w:tcPr>
            <w:tcW w:w="856" w:type="pct"/>
            <w:shd w:val="clear" w:color="auto" w:fill="auto"/>
            <w:noWrap/>
            <w:vAlign w:val="center"/>
          </w:tcPr>
          <w:p w14:paraId="3DACA8FD">
            <w:pPr>
              <w:pStyle w:val="254"/>
              <w:spacing w:line="360" w:lineRule="auto"/>
              <w:rPr>
                <w:rFonts w:ascii="宋体" w:hAnsi="宋体"/>
                <w:sz w:val="24"/>
                <w:szCs w:val="24"/>
              </w:rPr>
            </w:pPr>
            <w:r>
              <w:rPr>
                <w:rFonts w:hint="eastAsia" w:ascii="宋体" w:hAnsi="宋体"/>
                <w:sz w:val="24"/>
                <w:szCs w:val="24"/>
              </w:rPr>
              <w:t>1</w:t>
            </w:r>
          </w:p>
        </w:tc>
        <w:tc>
          <w:tcPr>
            <w:tcW w:w="856" w:type="pct"/>
            <w:vMerge w:val="restart"/>
            <w:shd w:val="clear" w:color="auto" w:fill="auto"/>
            <w:noWrap/>
            <w:vAlign w:val="center"/>
          </w:tcPr>
          <w:p w14:paraId="23DBB8B8">
            <w:pPr>
              <w:pStyle w:val="254"/>
              <w:spacing w:line="360" w:lineRule="auto"/>
              <w:rPr>
                <w:rFonts w:ascii="宋体" w:hAnsi="宋体"/>
                <w:sz w:val="24"/>
                <w:szCs w:val="24"/>
              </w:rPr>
            </w:pPr>
            <w:r>
              <w:rPr>
                <w:rFonts w:hint="eastAsia" w:ascii="宋体" w:hAnsi="宋体"/>
                <w:sz w:val="24"/>
                <w:szCs w:val="24"/>
              </w:rPr>
              <w:t>7</w:t>
            </w:r>
          </w:p>
        </w:tc>
      </w:tr>
      <w:tr w14:paraId="454A91B0">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360" w:hRule="atLeast"/>
        </w:trPr>
        <w:tc>
          <w:tcPr>
            <w:tcW w:w="1001" w:type="pct"/>
            <w:vMerge w:val="continue"/>
            <w:vAlign w:val="center"/>
          </w:tcPr>
          <w:p w14:paraId="1D373666">
            <w:pPr>
              <w:pStyle w:val="254"/>
              <w:spacing w:line="360" w:lineRule="auto"/>
              <w:rPr>
                <w:rFonts w:ascii="宋体" w:hAnsi="宋体"/>
                <w:sz w:val="24"/>
                <w:szCs w:val="24"/>
              </w:rPr>
            </w:pPr>
          </w:p>
        </w:tc>
        <w:tc>
          <w:tcPr>
            <w:tcW w:w="711" w:type="pct"/>
            <w:vMerge w:val="continue"/>
            <w:vAlign w:val="center"/>
          </w:tcPr>
          <w:p w14:paraId="6A2EA2D8">
            <w:pPr>
              <w:pStyle w:val="254"/>
              <w:spacing w:line="360" w:lineRule="auto"/>
              <w:rPr>
                <w:rFonts w:ascii="宋体" w:hAnsi="宋体"/>
                <w:sz w:val="24"/>
                <w:szCs w:val="24"/>
              </w:rPr>
            </w:pPr>
          </w:p>
        </w:tc>
        <w:tc>
          <w:tcPr>
            <w:tcW w:w="1576" w:type="pct"/>
            <w:shd w:val="clear" w:color="auto" w:fill="auto"/>
            <w:noWrap/>
            <w:vAlign w:val="center"/>
          </w:tcPr>
          <w:p w14:paraId="1A2A36BA">
            <w:pPr>
              <w:pStyle w:val="254"/>
              <w:spacing w:line="360" w:lineRule="auto"/>
              <w:rPr>
                <w:rFonts w:ascii="宋体" w:hAnsi="宋体"/>
                <w:sz w:val="24"/>
                <w:szCs w:val="24"/>
              </w:rPr>
            </w:pPr>
            <w:r>
              <w:rPr>
                <w:rFonts w:hint="eastAsia" w:ascii="宋体" w:hAnsi="宋体"/>
                <w:sz w:val="24"/>
                <w:szCs w:val="24"/>
              </w:rPr>
              <w:t>遥测终端</w:t>
            </w:r>
          </w:p>
        </w:tc>
        <w:tc>
          <w:tcPr>
            <w:tcW w:w="856" w:type="pct"/>
            <w:shd w:val="clear" w:color="auto" w:fill="auto"/>
            <w:noWrap/>
            <w:vAlign w:val="center"/>
          </w:tcPr>
          <w:p w14:paraId="60823384">
            <w:pPr>
              <w:pStyle w:val="254"/>
              <w:spacing w:line="360" w:lineRule="auto"/>
              <w:rPr>
                <w:rFonts w:ascii="宋体" w:hAnsi="宋体"/>
                <w:sz w:val="24"/>
                <w:szCs w:val="24"/>
              </w:rPr>
            </w:pPr>
            <w:r>
              <w:rPr>
                <w:rFonts w:hint="eastAsia" w:ascii="宋体" w:hAnsi="宋体"/>
                <w:sz w:val="24"/>
                <w:szCs w:val="24"/>
              </w:rPr>
              <w:t>1</w:t>
            </w:r>
          </w:p>
        </w:tc>
        <w:tc>
          <w:tcPr>
            <w:tcW w:w="856" w:type="pct"/>
            <w:vMerge w:val="continue"/>
            <w:vAlign w:val="center"/>
          </w:tcPr>
          <w:p w14:paraId="7DFF46C3">
            <w:pPr>
              <w:pStyle w:val="254"/>
              <w:spacing w:line="360" w:lineRule="auto"/>
              <w:rPr>
                <w:rFonts w:ascii="宋体" w:hAnsi="宋体"/>
                <w:sz w:val="24"/>
                <w:szCs w:val="24"/>
              </w:rPr>
            </w:pPr>
          </w:p>
        </w:tc>
      </w:tr>
      <w:tr w14:paraId="1D864C01">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360" w:hRule="atLeast"/>
        </w:trPr>
        <w:tc>
          <w:tcPr>
            <w:tcW w:w="1001" w:type="pct"/>
            <w:vMerge w:val="continue"/>
            <w:vAlign w:val="center"/>
          </w:tcPr>
          <w:p w14:paraId="58C3E7AD">
            <w:pPr>
              <w:pStyle w:val="254"/>
              <w:spacing w:line="360" w:lineRule="auto"/>
              <w:rPr>
                <w:rFonts w:ascii="宋体" w:hAnsi="宋体"/>
                <w:sz w:val="24"/>
                <w:szCs w:val="24"/>
              </w:rPr>
            </w:pPr>
          </w:p>
        </w:tc>
        <w:tc>
          <w:tcPr>
            <w:tcW w:w="711" w:type="pct"/>
            <w:vMerge w:val="continue"/>
            <w:vAlign w:val="center"/>
          </w:tcPr>
          <w:p w14:paraId="6E9BB069">
            <w:pPr>
              <w:pStyle w:val="254"/>
              <w:spacing w:line="360" w:lineRule="auto"/>
              <w:rPr>
                <w:rFonts w:ascii="宋体" w:hAnsi="宋体"/>
                <w:sz w:val="24"/>
                <w:szCs w:val="24"/>
              </w:rPr>
            </w:pPr>
          </w:p>
        </w:tc>
        <w:tc>
          <w:tcPr>
            <w:tcW w:w="1576" w:type="pct"/>
            <w:shd w:val="clear" w:color="auto" w:fill="auto"/>
            <w:noWrap/>
            <w:vAlign w:val="center"/>
          </w:tcPr>
          <w:p w14:paraId="65CBA0CE">
            <w:pPr>
              <w:pStyle w:val="254"/>
              <w:spacing w:line="360" w:lineRule="auto"/>
              <w:rPr>
                <w:rFonts w:ascii="宋体" w:hAnsi="宋体"/>
                <w:sz w:val="24"/>
                <w:szCs w:val="24"/>
              </w:rPr>
            </w:pPr>
            <w:r>
              <w:rPr>
                <w:rFonts w:hint="eastAsia" w:ascii="宋体" w:hAnsi="宋体"/>
                <w:sz w:val="24"/>
                <w:szCs w:val="24"/>
              </w:rPr>
              <w:t>信号防雷器</w:t>
            </w:r>
          </w:p>
        </w:tc>
        <w:tc>
          <w:tcPr>
            <w:tcW w:w="856" w:type="pct"/>
            <w:shd w:val="clear" w:color="auto" w:fill="auto"/>
            <w:noWrap/>
            <w:vAlign w:val="center"/>
          </w:tcPr>
          <w:p w14:paraId="4FE4F7FF">
            <w:pPr>
              <w:pStyle w:val="254"/>
              <w:spacing w:line="360" w:lineRule="auto"/>
              <w:rPr>
                <w:rFonts w:ascii="宋体" w:hAnsi="宋体"/>
                <w:sz w:val="24"/>
                <w:szCs w:val="24"/>
              </w:rPr>
            </w:pPr>
            <w:r>
              <w:rPr>
                <w:rFonts w:hint="eastAsia" w:ascii="宋体" w:hAnsi="宋体"/>
                <w:sz w:val="24"/>
                <w:szCs w:val="24"/>
              </w:rPr>
              <w:t>1</w:t>
            </w:r>
          </w:p>
        </w:tc>
        <w:tc>
          <w:tcPr>
            <w:tcW w:w="856" w:type="pct"/>
            <w:vMerge w:val="continue"/>
            <w:vAlign w:val="center"/>
          </w:tcPr>
          <w:p w14:paraId="1E0AC077">
            <w:pPr>
              <w:pStyle w:val="254"/>
              <w:spacing w:line="360" w:lineRule="auto"/>
              <w:rPr>
                <w:rFonts w:ascii="宋体" w:hAnsi="宋体"/>
                <w:sz w:val="24"/>
                <w:szCs w:val="24"/>
              </w:rPr>
            </w:pPr>
          </w:p>
        </w:tc>
      </w:tr>
      <w:tr w14:paraId="529D38B7">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360" w:hRule="atLeast"/>
        </w:trPr>
        <w:tc>
          <w:tcPr>
            <w:tcW w:w="1001" w:type="pct"/>
            <w:vMerge w:val="continue"/>
            <w:vAlign w:val="center"/>
          </w:tcPr>
          <w:p w14:paraId="441E93BC">
            <w:pPr>
              <w:pStyle w:val="254"/>
              <w:spacing w:line="360" w:lineRule="auto"/>
              <w:rPr>
                <w:rFonts w:ascii="宋体" w:hAnsi="宋体"/>
                <w:sz w:val="24"/>
                <w:szCs w:val="24"/>
              </w:rPr>
            </w:pPr>
          </w:p>
        </w:tc>
        <w:tc>
          <w:tcPr>
            <w:tcW w:w="711" w:type="pct"/>
            <w:vMerge w:val="continue"/>
            <w:vAlign w:val="center"/>
          </w:tcPr>
          <w:p w14:paraId="6416772D">
            <w:pPr>
              <w:pStyle w:val="254"/>
              <w:spacing w:line="360" w:lineRule="auto"/>
              <w:rPr>
                <w:rFonts w:ascii="宋体" w:hAnsi="宋体"/>
                <w:sz w:val="24"/>
                <w:szCs w:val="24"/>
              </w:rPr>
            </w:pPr>
          </w:p>
        </w:tc>
        <w:tc>
          <w:tcPr>
            <w:tcW w:w="1576" w:type="pct"/>
            <w:shd w:val="clear" w:color="auto" w:fill="auto"/>
            <w:noWrap/>
            <w:vAlign w:val="center"/>
          </w:tcPr>
          <w:p w14:paraId="4CE6D80E">
            <w:pPr>
              <w:pStyle w:val="254"/>
              <w:spacing w:line="360" w:lineRule="auto"/>
              <w:rPr>
                <w:rFonts w:ascii="宋体" w:hAnsi="宋体"/>
                <w:sz w:val="24"/>
                <w:szCs w:val="24"/>
              </w:rPr>
            </w:pPr>
            <w:r>
              <w:rPr>
                <w:rFonts w:hint="eastAsia" w:ascii="宋体" w:hAnsi="宋体"/>
                <w:sz w:val="24"/>
                <w:szCs w:val="24"/>
              </w:rPr>
              <w:t>太阳能电池板</w:t>
            </w:r>
          </w:p>
        </w:tc>
        <w:tc>
          <w:tcPr>
            <w:tcW w:w="856" w:type="pct"/>
            <w:shd w:val="clear" w:color="auto" w:fill="auto"/>
            <w:noWrap/>
            <w:vAlign w:val="center"/>
          </w:tcPr>
          <w:p w14:paraId="4EFB81B4">
            <w:pPr>
              <w:pStyle w:val="254"/>
              <w:spacing w:line="360" w:lineRule="auto"/>
              <w:rPr>
                <w:rFonts w:ascii="宋体" w:hAnsi="宋体"/>
                <w:sz w:val="24"/>
                <w:szCs w:val="24"/>
              </w:rPr>
            </w:pPr>
            <w:r>
              <w:rPr>
                <w:rFonts w:hint="eastAsia" w:ascii="宋体" w:hAnsi="宋体"/>
                <w:sz w:val="24"/>
                <w:szCs w:val="24"/>
              </w:rPr>
              <w:t>1</w:t>
            </w:r>
          </w:p>
        </w:tc>
        <w:tc>
          <w:tcPr>
            <w:tcW w:w="856" w:type="pct"/>
            <w:vMerge w:val="continue"/>
            <w:vAlign w:val="center"/>
          </w:tcPr>
          <w:p w14:paraId="21ABB075">
            <w:pPr>
              <w:pStyle w:val="254"/>
              <w:spacing w:line="360" w:lineRule="auto"/>
              <w:rPr>
                <w:rFonts w:ascii="宋体" w:hAnsi="宋体"/>
                <w:sz w:val="24"/>
                <w:szCs w:val="24"/>
              </w:rPr>
            </w:pPr>
          </w:p>
        </w:tc>
      </w:tr>
      <w:tr w14:paraId="0D68EDF6">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360" w:hRule="atLeast"/>
        </w:trPr>
        <w:tc>
          <w:tcPr>
            <w:tcW w:w="1001" w:type="pct"/>
            <w:vMerge w:val="continue"/>
            <w:vAlign w:val="center"/>
          </w:tcPr>
          <w:p w14:paraId="7495B7DE">
            <w:pPr>
              <w:pStyle w:val="254"/>
              <w:spacing w:line="360" w:lineRule="auto"/>
              <w:rPr>
                <w:rFonts w:ascii="宋体" w:hAnsi="宋体"/>
                <w:sz w:val="24"/>
                <w:szCs w:val="24"/>
              </w:rPr>
            </w:pPr>
          </w:p>
        </w:tc>
        <w:tc>
          <w:tcPr>
            <w:tcW w:w="711" w:type="pct"/>
            <w:vMerge w:val="continue"/>
            <w:vAlign w:val="center"/>
          </w:tcPr>
          <w:p w14:paraId="2EBBB55D">
            <w:pPr>
              <w:pStyle w:val="254"/>
              <w:spacing w:line="360" w:lineRule="auto"/>
              <w:rPr>
                <w:rFonts w:ascii="宋体" w:hAnsi="宋体"/>
                <w:sz w:val="24"/>
                <w:szCs w:val="24"/>
              </w:rPr>
            </w:pPr>
          </w:p>
        </w:tc>
        <w:tc>
          <w:tcPr>
            <w:tcW w:w="1576" w:type="pct"/>
            <w:shd w:val="clear" w:color="auto" w:fill="auto"/>
            <w:noWrap/>
            <w:vAlign w:val="center"/>
          </w:tcPr>
          <w:p w14:paraId="7229720C">
            <w:pPr>
              <w:pStyle w:val="254"/>
              <w:spacing w:line="360" w:lineRule="auto"/>
              <w:rPr>
                <w:rFonts w:ascii="宋体" w:hAnsi="宋体"/>
                <w:sz w:val="24"/>
                <w:szCs w:val="24"/>
              </w:rPr>
            </w:pPr>
            <w:r>
              <w:rPr>
                <w:rFonts w:hint="eastAsia" w:ascii="宋体" w:hAnsi="宋体"/>
                <w:sz w:val="24"/>
                <w:szCs w:val="24"/>
              </w:rPr>
              <w:t>太阳能控制器</w:t>
            </w:r>
          </w:p>
        </w:tc>
        <w:tc>
          <w:tcPr>
            <w:tcW w:w="856" w:type="pct"/>
            <w:shd w:val="clear" w:color="auto" w:fill="auto"/>
            <w:noWrap/>
            <w:vAlign w:val="center"/>
          </w:tcPr>
          <w:p w14:paraId="3B091837">
            <w:pPr>
              <w:pStyle w:val="254"/>
              <w:spacing w:line="360" w:lineRule="auto"/>
              <w:rPr>
                <w:rFonts w:ascii="宋体" w:hAnsi="宋体"/>
                <w:sz w:val="24"/>
                <w:szCs w:val="24"/>
              </w:rPr>
            </w:pPr>
            <w:r>
              <w:rPr>
                <w:rFonts w:hint="eastAsia" w:ascii="宋体" w:hAnsi="宋体"/>
                <w:sz w:val="24"/>
                <w:szCs w:val="24"/>
              </w:rPr>
              <w:t>1</w:t>
            </w:r>
          </w:p>
        </w:tc>
        <w:tc>
          <w:tcPr>
            <w:tcW w:w="856" w:type="pct"/>
            <w:vMerge w:val="continue"/>
            <w:vAlign w:val="center"/>
          </w:tcPr>
          <w:p w14:paraId="66F2D882">
            <w:pPr>
              <w:pStyle w:val="254"/>
              <w:spacing w:line="360" w:lineRule="auto"/>
              <w:rPr>
                <w:rFonts w:ascii="宋体" w:hAnsi="宋体"/>
                <w:sz w:val="24"/>
                <w:szCs w:val="24"/>
              </w:rPr>
            </w:pPr>
          </w:p>
        </w:tc>
      </w:tr>
      <w:tr w14:paraId="481D2274">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360" w:hRule="atLeast"/>
        </w:trPr>
        <w:tc>
          <w:tcPr>
            <w:tcW w:w="1001" w:type="pct"/>
            <w:vMerge w:val="continue"/>
            <w:vAlign w:val="center"/>
          </w:tcPr>
          <w:p w14:paraId="0D7DBE14">
            <w:pPr>
              <w:pStyle w:val="254"/>
              <w:spacing w:line="360" w:lineRule="auto"/>
              <w:rPr>
                <w:rFonts w:ascii="宋体" w:hAnsi="宋体"/>
                <w:sz w:val="24"/>
                <w:szCs w:val="24"/>
              </w:rPr>
            </w:pPr>
          </w:p>
        </w:tc>
        <w:tc>
          <w:tcPr>
            <w:tcW w:w="711" w:type="pct"/>
            <w:vMerge w:val="continue"/>
            <w:vAlign w:val="center"/>
          </w:tcPr>
          <w:p w14:paraId="2BF1B239">
            <w:pPr>
              <w:pStyle w:val="254"/>
              <w:spacing w:line="360" w:lineRule="auto"/>
              <w:rPr>
                <w:rFonts w:ascii="宋体" w:hAnsi="宋体"/>
                <w:sz w:val="24"/>
                <w:szCs w:val="24"/>
              </w:rPr>
            </w:pPr>
          </w:p>
        </w:tc>
        <w:tc>
          <w:tcPr>
            <w:tcW w:w="1576" w:type="pct"/>
            <w:shd w:val="clear" w:color="auto" w:fill="auto"/>
            <w:noWrap/>
            <w:vAlign w:val="center"/>
          </w:tcPr>
          <w:p w14:paraId="724F0DF2">
            <w:pPr>
              <w:pStyle w:val="254"/>
              <w:spacing w:line="360" w:lineRule="auto"/>
              <w:rPr>
                <w:rFonts w:ascii="宋体" w:hAnsi="宋体"/>
                <w:sz w:val="24"/>
                <w:szCs w:val="24"/>
              </w:rPr>
            </w:pPr>
            <w:r>
              <w:rPr>
                <w:rFonts w:hint="eastAsia" w:ascii="宋体" w:hAnsi="宋体"/>
                <w:sz w:val="24"/>
                <w:szCs w:val="24"/>
              </w:rPr>
              <w:t>蓄电池</w:t>
            </w:r>
          </w:p>
        </w:tc>
        <w:tc>
          <w:tcPr>
            <w:tcW w:w="856" w:type="pct"/>
            <w:shd w:val="clear" w:color="auto" w:fill="auto"/>
            <w:noWrap/>
            <w:vAlign w:val="center"/>
          </w:tcPr>
          <w:p w14:paraId="5DD6E390">
            <w:pPr>
              <w:pStyle w:val="254"/>
              <w:spacing w:line="360" w:lineRule="auto"/>
              <w:rPr>
                <w:rFonts w:ascii="宋体" w:hAnsi="宋体"/>
                <w:sz w:val="24"/>
                <w:szCs w:val="24"/>
              </w:rPr>
            </w:pPr>
            <w:r>
              <w:rPr>
                <w:rFonts w:hint="eastAsia" w:ascii="宋体" w:hAnsi="宋体"/>
                <w:sz w:val="24"/>
                <w:szCs w:val="24"/>
              </w:rPr>
              <w:t>1</w:t>
            </w:r>
          </w:p>
        </w:tc>
        <w:tc>
          <w:tcPr>
            <w:tcW w:w="856" w:type="pct"/>
            <w:vMerge w:val="continue"/>
            <w:vAlign w:val="center"/>
          </w:tcPr>
          <w:p w14:paraId="17E505D3">
            <w:pPr>
              <w:pStyle w:val="254"/>
              <w:spacing w:line="360" w:lineRule="auto"/>
              <w:rPr>
                <w:rFonts w:ascii="宋体" w:hAnsi="宋体"/>
                <w:sz w:val="24"/>
                <w:szCs w:val="24"/>
              </w:rPr>
            </w:pPr>
          </w:p>
        </w:tc>
      </w:tr>
      <w:tr w14:paraId="09E6EEF9">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360" w:hRule="atLeast"/>
        </w:trPr>
        <w:tc>
          <w:tcPr>
            <w:tcW w:w="1001" w:type="pct"/>
            <w:vMerge w:val="continue"/>
            <w:vAlign w:val="center"/>
          </w:tcPr>
          <w:p w14:paraId="20BF9BD4">
            <w:pPr>
              <w:pStyle w:val="254"/>
              <w:spacing w:line="360" w:lineRule="auto"/>
              <w:rPr>
                <w:rFonts w:ascii="宋体" w:hAnsi="宋体"/>
                <w:sz w:val="24"/>
                <w:szCs w:val="24"/>
              </w:rPr>
            </w:pPr>
          </w:p>
        </w:tc>
        <w:tc>
          <w:tcPr>
            <w:tcW w:w="711" w:type="pct"/>
            <w:vMerge w:val="continue"/>
            <w:vAlign w:val="center"/>
          </w:tcPr>
          <w:p w14:paraId="71C9C5C4">
            <w:pPr>
              <w:pStyle w:val="254"/>
              <w:spacing w:line="360" w:lineRule="auto"/>
              <w:rPr>
                <w:rFonts w:ascii="宋体" w:hAnsi="宋体"/>
                <w:sz w:val="24"/>
                <w:szCs w:val="24"/>
              </w:rPr>
            </w:pPr>
          </w:p>
        </w:tc>
        <w:tc>
          <w:tcPr>
            <w:tcW w:w="1576" w:type="pct"/>
            <w:shd w:val="clear" w:color="auto" w:fill="auto"/>
            <w:noWrap/>
            <w:vAlign w:val="center"/>
          </w:tcPr>
          <w:p w14:paraId="64B4E16B">
            <w:pPr>
              <w:pStyle w:val="254"/>
              <w:spacing w:line="360" w:lineRule="auto"/>
              <w:rPr>
                <w:rFonts w:ascii="宋体" w:hAnsi="宋体"/>
                <w:sz w:val="24"/>
                <w:szCs w:val="24"/>
              </w:rPr>
            </w:pPr>
            <w:r>
              <w:rPr>
                <w:rFonts w:hint="eastAsia" w:ascii="宋体" w:hAnsi="宋体"/>
                <w:sz w:val="24"/>
                <w:szCs w:val="24"/>
              </w:rPr>
              <w:t>设备机箱</w:t>
            </w:r>
          </w:p>
        </w:tc>
        <w:tc>
          <w:tcPr>
            <w:tcW w:w="856" w:type="pct"/>
            <w:shd w:val="clear" w:color="auto" w:fill="auto"/>
            <w:noWrap/>
            <w:vAlign w:val="center"/>
          </w:tcPr>
          <w:p w14:paraId="0A38B166">
            <w:pPr>
              <w:pStyle w:val="254"/>
              <w:spacing w:line="360" w:lineRule="auto"/>
              <w:rPr>
                <w:rFonts w:ascii="宋体" w:hAnsi="宋体"/>
                <w:sz w:val="24"/>
                <w:szCs w:val="24"/>
              </w:rPr>
            </w:pPr>
            <w:r>
              <w:rPr>
                <w:rFonts w:hint="eastAsia" w:ascii="宋体" w:hAnsi="宋体"/>
                <w:sz w:val="24"/>
                <w:szCs w:val="24"/>
              </w:rPr>
              <w:t>1</w:t>
            </w:r>
          </w:p>
        </w:tc>
        <w:tc>
          <w:tcPr>
            <w:tcW w:w="856" w:type="pct"/>
            <w:vMerge w:val="continue"/>
            <w:vAlign w:val="center"/>
          </w:tcPr>
          <w:p w14:paraId="3BFA3C45">
            <w:pPr>
              <w:pStyle w:val="254"/>
              <w:spacing w:line="360" w:lineRule="auto"/>
              <w:rPr>
                <w:rFonts w:ascii="宋体" w:hAnsi="宋体"/>
                <w:sz w:val="24"/>
                <w:szCs w:val="24"/>
              </w:rPr>
            </w:pPr>
          </w:p>
        </w:tc>
      </w:tr>
      <w:tr w14:paraId="2BA4AE1E">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360" w:hRule="atLeast"/>
        </w:trPr>
        <w:tc>
          <w:tcPr>
            <w:tcW w:w="1001" w:type="pct"/>
            <w:vMerge w:val="continue"/>
            <w:vAlign w:val="center"/>
          </w:tcPr>
          <w:p w14:paraId="7B6A7A01">
            <w:pPr>
              <w:pStyle w:val="254"/>
              <w:spacing w:line="360" w:lineRule="auto"/>
              <w:rPr>
                <w:rFonts w:ascii="宋体" w:hAnsi="宋体"/>
                <w:sz w:val="24"/>
                <w:szCs w:val="24"/>
              </w:rPr>
            </w:pPr>
          </w:p>
        </w:tc>
        <w:tc>
          <w:tcPr>
            <w:tcW w:w="711" w:type="pct"/>
            <w:vMerge w:val="continue"/>
            <w:vAlign w:val="center"/>
          </w:tcPr>
          <w:p w14:paraId="3ED7775E">
            <w:pPr>
              <w:pStyle w:val="254"/>
              <w:spacing w:line="360" w:lineRule="auto"/>
              <w:rPr>
                <w:rFonts w:ascii="宋体" w:hAnsi="宋体"/>
                <w:sz w:val="24"/>
                <w:szCs w:val="24"/>
              </w:rPr>
            </w:pPr>
          </w:p>
        </w:tc>
        <w:tc>
          <w:tcPr>
            <w:tcW w:w="1576" w:type="pct"/>
            <w:shd w:val="clear" w:color="auto" w:fill="auto"/>
            <w:noWrap/>
            <w:vAlign w:val="center"/>
          </w:tcPr>
          <w:p w14:paraId="6B0B267D">
            <w:pPr>
              <w:pStyle w:val="254"/>
              <w:spacing w:line="360" w:lineRule="auto"/>
              <w:rPr>
                <w:rFonts w:ascii="宋体" w:hAnsi="宋体"/>
                <w:sz w:val="24"/>
                <w:szCs w:val="24"/>
              </w:rPr>
            </w:pPr>
            <w:r>
              <w:rPr>
                <w:rFonts w:hint="eastAsia" w:ascii="宋体" w:hAnsi="宋体"/>
                <w:sz w:val="24"/>
                <w:szCs w:val="24"/>
              </w:rPr>
              <w:t>雨量计杆件及基础</w:t>
            </w:r>
          </w:p>
        </w:tc>
        <w:tc>
          <w:tcPr>
            <w:tcW w:w="856" w:type="pct"/>
            <w:shd w:val="clear" w:color="auto" w:fill="auto"/>
            <w:noWrap/>
            <w:vAlign w:val="center"/>
          </w:tcPr>
          <w:p w14:paraId="25D08558">
            <w:pPr>
              <w:pStyle w:val="254"/>
              <w:spacing w:line="360" w:lineRule="auto"/>
              <w:rPr>
                <w:rFonts w:ascii="宋体" w:hAnsi="宋体"/>
                <w:sz w:val="24"/>
                <w:szCs w:val="24"/>
              </w:rPr>
            </w:pPr>
            <w:r>
              <w:rPr>
                <w:rFonts w:hint="eastAsia" w:ascii="宋体" w:hAnsi="宋体"/>
                <w:sz w:val="24"/>
                <w:szCs w:val="24"/>
              </w:rPr>
              <w:t>1</w:t>
            </w:r>
          </w:p>
        </w:tc>
        <w:tc>
          <w:tcPr>
            <w:tcW w:w="856" w:type="pct"/>
            <w:vMerge w:val="continue"/>
            <w:vAlign w:val="center"/>
          </w:tcPr>
          <w:p w14:paraId="4B98453A">
            <w:pPr>
              <w:pStyle w:val="254"/>
              <w:spacing w:line="360" w:lineRule="auto"/>
              <w:rPr>
                <w:rFonts w:ascii="宋体" w:hAnsi="宋体"/>
                <w:sz w:val="24"/>
                <w:szCs w:val="24"/>
              </w:rPr>
            </w:pPr>
          </w:p>
        </w:tc>
      </w:tr>
      <w:tr w14:paraId="2E52F789">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360" w:hRule="atLeast"/>
        </w:trPr>
        <w:tc>
          <w:tcPr>
            <w:tcW w:w="1001" w:type="pct"/>
            <w:vMerge w:val="continue"/>
            <w:vAlign w:val="center"/>
          </w:tcPr>
          <w:p w14:paraId="67B88BE3">
            <w:pPr>
              <w:pStyle w:val="254"/>
              <w:spacing w:line="360" w:lineRule="auto"/>
              <w:rPr>
                <w:rFonts w:ascii="宋体" w:hAnsi="宋体"/>
                <w:sz w:val="24"/>
                <w:szCs w:val="24"/>
              </w:rPr>
            </w:pPr>
          </w:p>
        </w:tc>
        <w:tc>
          <w:tcPr>
            <w:tcW w:w="711" w:type="pct"/>
            <w:vMerge w:val="continue"/>
            <w:vAlign w:val="center"/>
          </w:tcPr>
          <w:p w14:paraId="2DDB7F3F">
            <w:pPr>
              <w:pStyle w:val="254"/>
              <w:spacing w:line="360" w:lineRule="auto"/>
              <w:rPr>
                <w:rFonts w:ascii="宋体" w:hAnsi="宋体"/>
                <w:sz w:val="24"/>
                <w:szCs w:val="24"/>
              </w:rPr>
            </w:pPr>
          </w:p>
        </w:tc>
        <w:tc>
          <w:tcPr>
            <w:tcW w:w="1576" w:type="pct"/>
            <w:shd w:val="clear" w:color="auto" w:fill="auto"/>
            <w:noWrap/>
            <w:vAlign w:val="center"/>
          </w:tcPr>
          <w:p w14:paraId="58AD706C">
            <w:pPr>
              <w:pStyle w:val="254"/>
              <w:spacing w:line="360" w:lineRule="auto"/>
              <w:rPr>
                <w:rFonts w:ascii="宋体" w:hAnsi="宋体"/>
                <w:sz w:val="24"/>
                <w:szCs w:val="24"/>
              </w:rPr>
            </w:pPr>
            <w:r>
              <w:rPr>
                <w:rFonts w:hint="eastAsia" w:ascii="宋体" w:hAnsi="宋体"/>
                <w:sz w:val="24"/>
                <w:szCs w:val="24"/>
              </w:rPr>
              <w:t>凹槽盖板</w:t>
            </w:r>
          </w:p>
        </w:tc>
        <w:tc>
          <w:tcPr>
            <w:tcW w:w="856" w:type="pct"/>
            <w:shd w:val="clear" w:color="auto" w:fill="auto"/>
            <w:noWrap/>
            <w:vAlign w:val="center"/>
          </w:tcPr>
          <w:p w14:paraId="10BEC597">
            <w:pPr>
              <w:pStyle w:val="254"/>
              <w:spacing w:line="360" w:lineRule="auto"/>
              <w:rPr>
                <w:rFonts w:ascii="宋体" w:hAnsi="宋体"/>
                <w:sz w:val="24"/>
                <w:szCs w:val="24"/>
              </w:rPr>
            </w:pPr>
            <w:r>
              <w:rPr>
                <w:rFonts w:hint="eastAsia" w:ascii="宋体" w:hAnsi="宋体"/>
                <w:sz w:val="24"/>
                <w:szCs w:val="24"/>
              </w:rPr>
              <w:t>2</w:t>
            </w:r>
          </w:p>
        </w:tc>
        <w:tc>
          <w:tcPr>
            <w:tcW w:w="856" w:type="pct"/>
            <w:vMerge w:val="continue"/>
            <w:vAlign w:val="center"/>
          </w:tcPr>
          <w:p w14:paraId="01AEE9FB">
            <w:pPr>
              <w:pStyle w:val="254"/>
              <w:spacing w:line="360" w:lineRule="auto"/>
              <w:rPr>
                <w:rFonts w:ascii="宋体" w:hAnsi="宋体"/>
                <w:sz w:val="24"/>
                <w:szCs w:val="24"/>
              </w:rPr>
            </w:pPr>
          </w:p>
        </w:tc>
      </w:tr>
      <w:tr w14:paraId="5C86ADAF">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340" w:hRule="atLeast"/>
        </w:trPr>
        <w:tc>
          <w:tcPr>
            <w:tcW w:w="1001" w:type="pct"/>
            <w:vMerge w:val="restart"/>
            <w:shd w:val="clear" w:color="auto" w:fill="auto"/>
            <w:noWrap/>
            <w:vAlign w:val="center"/>
          </w:tcPr>
          <w:p w14:paraId="292F8F88">
            <w:pPr>
              <w:pStyle w:val="254"/>
              <w:spacing w:line="360" w:lineRule="auto"/>
              <w:rPr>
                <w:rFonts w:ascii="宋体" w:hAnsi="宋体"/>
                <w:sz w:val="24"/>
                <w:szCs w:val="24"/>
              </w:rPr>
            </w:pPr>
            <w:r>
              <w:rPr>
                <w:rFonts w:hint="eastAsia" w:ascii="宋体" w:hAnsi="宋体"/>
                <w:sz w:val="24"/>
                <w:szCs w:val="24"/>
              </w:rPr>
              <w:t>指挥中心设备</w:t>
            </w:r>
          </w:p>
        </w:tc>
        <w:tc>
          <w:tcPr>
            <w:tcW w:w="711" w:type="pct"/>
            <w:vMerge w:val="restart"/>
            <w:shd w:val="clear" w:color="auto" w:fill="auto"/>
            <w:vAlign w:val="center"/>
          </w:tcPr>
          <w:p w14:paraId="20A22435">
            <w:pPr>
              <w:pStyle w:val="254"/>
              <w:spacing w:line="360" w:lineRule="auto"/>
              <w:rPr>
                <w:rFonts w:ascii="宋体" w:hAnsi="宋体"/>
                <w:sz w:val="24"/>
                <w:szCs w:val="24"/>
              </w:rPr>
            </w:pPr>
            <w:r>
              <w:rPr>
                <w:rFonts w:hint="eastAsia" w:ascii="宋体" w:hAnsi="宋体"/>
                <w:sz w:val="24"/>
                <w:szCs w:val="24"/>
              </w:rPr>
              <w:t>指挥中心监控大屏及其配套器件</w:t>
            </w:r>
          </w:p>
        </w:tc>
        <w:tc>
          <w:tcPr>
            <w:tcW w:w="1576" w:type="pct"/>
            <w:shd w:val="clear" w:color="auto" w:fill="auto"/>
            <w:vAlign w:val="center"/>
          </w:tcPr>
          <w:p w14:paraId="0753C9E4">
            <w:pPr>
              <w:pStyle w:val="254"/>
              <w:spacing w:line="360" w:lineRule="auto"/>
              <w:rPr>
                <w:rFonts w:ascii="宋体" w:hAnsi="宋体"/>
                <w:sz w:val="24"/>
                <w:szCs w:val="24"/>
              </w:rPr>
            </w:pPr>
            <w:r>
              <w:rPr>
                <w:rFonts w:hint="eastAsia" w:ascii="宋体" w:hAnsi="宋体"/>
                <w:sz w:val="24"/>
                <w:szCs w:val="24"/>
              </w:rPr>
              <w:t>49寸超窄边DID拼接屏</w:t>
            </w:r>
          </w:p>
        </w:tc>
        <w:tc>
          <w:tcPr>
            <w:tcW w:w="856" w:type="pct"/>
            <w:shd w:val="clear" w:color="auto" w:fill="auto"/>
            <w:noWrap/>
            <w:vAlign w:val="center"/>
          </w:tcPr>
          <w:p w14:paraId="3474F1FE">
            <w:pPr>
              <w:pStyle w:val="254"/>
              <w:spacing w:line="360" w:lineRule="auto"/>
              <w:rPr>
                <w:rFonts w:ascii="宋体" w:hAnsi="宋体"/>
                <w:sz w:val="24"/>
                <w:szCs w:val="24"/>
              </w:rPr>
            </w:pPr>
            <w:r>
              <w:rPr>
                <w:rFonts w:hint="eastAsia" w:ascii="宋体" w:hAnsi="宋体"/>
                <w:sz w:val="24"/>
                <w:szCs w:val="24"/>
              </w:rPr>
              <w:t>7.74</w:t>
            </w:r>
          </w:p>
        </w:tc>
        <w:tc>
          <w:tcPr>
            <w:tcW w:w="856" w:type="pct"/>
            <w:vMerge w:val="restart"/>
            <w:shd w:val="clear" w:color="auto" w:fill="auto"/>
            <w:noWrap/>
            <w:vAlign w:val="center"/>
          </w:tcPr>
          <w:p w14:paraId="05745FAA">
            <w:pPr>
              <w:pStyle w:val="254"/>
              <w:spacing w:line="360" w:lineRule="auto"/>
              <w:rPr>
                <w:rFonts w:ascii="宋体" w:hAnsi="宋体"/>
                <w:sz w:val="24"/>
                <w:szCs w:val="24"/>
              </w:rPr>
            </w:pPr>
            <w:r>
              <w:rPr>
                <w:rFonts w:hint="eastAsia" w:ascii="宋体" w:hAnsi="宋体"/>
                <w:sz w:val="24"/>
                <w:szCs w:val="24"/>
              </w:rPr>
              <w:t>1</w:t>
            </w:r>
          </w:p>
        </w:tc>
      </w:tr>
      <w:tr w14:paraId="07252C82">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340" w:hRule="atLeast"/>
        </w:trPr>
        <w:tc>
          <w:tcPr>
            <w:tcW w:w="1001" w:type="pct"/>
            <w:vMerge w:val="continue"/>
            <w:vAlign w:val="center"/>
          </w:tcPr>
          <w:p w14:paraId="35C203DE">
            <w:pPr>
              <w:pStyle w:val="254"/>
              <w:spacing w:line="360" w:lineRule="auto"/>
              <w:rPr>
                <w:rFonts w:ascii="宋体" w:hAnsi="宋体"/>
                <w:sz w:val="24"/>
                <w:szCs w:val="24"/>
              </w:rPr>
            </w:pPr>
          </w:p>
        </w:tc>
        <w:tc>
          <w:tcPr>
            <w:tcW w:w="711" w:type="pct"/>
            <w:vMerge w:val="continue"/>
            <w:vAlign w:val="center"/>
          </w:tcPr>
          <w:p w14:paraId="6F1B27B3">
            <w:pPr>
              <w:pStyle w:val="254"/>
              <w:spacing w:line="360" w:lineRule="auto"/>
              <w:rPr>
                <w:rFonts w:ascii="宋体" w:hAnsi="宋体"/>
                <w:sz w:val="24"/>
                <w:szCs w:val="24"/>
              </w:rPr>
            </w:pPr>
          </w:p>
        </w:tc>
        <w:tc>
          <w:tcPr>
            <w:tcW w:w="1576" w:type="pct"/>
            <w:shd w:val="clear" w:color="auto" w:fill="auto"/>
            <w:vAlign w:val="center"/>
          </w:tcPr>
          <w:p w14:paraId="7FCEE5E0">
            <w:pPr>
              <w:pStyle w:val="254"/>
              <w:spacing w:line="360" w:lineRule="auto"/>
              <w:rPr>
                <w:rFonts w:ascii="宋体" w:hAnsi="宋体"/>
                <w:sz w:val="24"/>
                <w:szCs w:val="24"/>
              </w:rPr>
            </w:pPr>
            <w:r>
              <w:rPr>
                <w:rFonts w:hint="eastAsia" w:ascii="宋体" w:hAnsi="宋体"/>
                <w:sz w:val="24"/>
                <w:szCs w:val="24"/>
              </w:rPr>
              <w:t>拼接控制器</w:t>
            </w:r>
          </w:p>
        </w:tc>
        <w:tc>
          <w:tcPr>
            <w:tcW w:w="856" w:type="pct"/>
            <w:shd w:val="clear" w:color="auto" w:fill="auto"/>
            <w:noWrap/>
            <w:vAlign w:val="center"/>
          </w:tcPr>
          <w:p w14:paraId="3F55B949">
            <w:pPr>
              <w:pStyle w:val="254"/>
              <w:spacing w:line="360" w:lineRule="auto"/>
              <w:rPr>
                <w:rFonts w:ascii="宋体" w:hAnsi="宋体"/>
                <w:sz w:val="24"/>
                <w:szCs w:val="24"/>
              </w:rPr>
            </w:pPr>
            <w:r>
              <w:rPr>
                <w:rFonts w:hint="eastAsia" w:ascii="宋体" w:hAnsi="宋体"/>
                <w:sz w:val="24"/>
                <w:szCs w:val="24"/>
              </w:rPr>
              <w:t>1</w:t>
            </w:r>
          </w:p>
        </w:tc>
        <w:tc>
          <w:tcPr>
            <w:tcW w:w="856" w:type="pct"/>
            <w:vMerge w:val="continue"/>
            <w:vAlign w:val="center"/>
          </w:tcPr>
          <w:p w14:paraId="56B2098C">
            <w:pPr>
              <w:pStyle w:val="254"/>
              <w:spacing w:line="360" w:lineRule="auto"/>
              <w:rPr>
                <w:rFonts w:ascii="宋体" w:hAnsi="宋体"/>
                <w:sz w:val="24"/>
                <w:szCs w:val="24"/>
              </w:rPr>
            </w:pPr>
          </w:p>
        </w:tc>
      </w:tr>
      <w:tr w14:paraId="2EAB617F">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340" w:hRule="atLeast"/>
        </w:trPr>
        <w:tc>
          <w:tcPr>
            <w:tcW w:w="1001" w:type="pct"/>
            <w:vMerge w:val="continue"/>
            <w:vAlign w:val="center"/>
          </w:tcPr>
          <w:p w14:paraId="3829393D">
            <w:pPr>
              <w:pStyle w:val="254"/>
              <w:spacing w:line="360" w:lineRule="auto"/>
              <w:rPr>
                <w:rFonts w:ascii="宋体" w:hAnsi="宋体"/>
                <w:sz w:val="24"/>
                <w:szCs w:val="24"/>
              </w:rPr>
            </w:pPr>
          </w:p>
        </w:tc>
        <w:tc>
          <w:tcPr>
            <w:tcW w:w="711" w:type="pct"/>
            <w:vMerge w:val="continue"/>
            <w:vAlign w:val="center"/>
          </w:tcPr>
          <w:p w14:paraId="2085B3FA">
            <w:pPr>
              <w:pStyle w:val="254"/>
              <w:spacing w:line="360" w:lineRule="auto"/>
              <w:rPr>
                <w:rFonts w:ascii="宋体" w:hAnsi="宋体"/>
                <w:sz w:val="24"/>
                <w:szCs w:val="24"/>
              </w:rPr>
            </w:pPr>
          </w:p>
        </w:tc>
        <w:tc>
          <w:tcPr>
            <w:tcW w:w="1576" w:type="pct"/>
            <w:shd w:val="clear" w:color="auto" w:fill="auto"/>
            <w:vAlign w:val="center"/>
          </w:tcPr>
          <w:p w14:paraId="445636FE">
            <w:pPr>
              <w:pStyle w:val="254"/>
              <w:spacing w:line="360" w:lineRule="auto"/>
              <w:rPr>
                <w:rFonts w:ascii="宋体" w:hAnsi="宋体"/>
                <w:sz w:val="24"/>
                <w:szCs w:val="24"/>
              </w:rPr>
            </w:pPr>
            <w:r>
              <w:rPr>
                <w:rFonts w:hint="eastAsia" w:ascii="宋体" w:hAnsi="宋体"/>
                <w:sz w:val="24"/>
                <w:szCs w:val="24"/>
              </w:rPr>
              <w:t>图像处理器</w:t>
            </w:r>
          </w:p>
        </w:tc>
        <w:tc>
          <w:tcPr>
            <w:tcW w:w="856" w:type="pct"/>
            <w:shd w:val="clear" w:color="auto" w:fill="auto"/>
            <w:noWrap/>
            <w:vAlign w:val="center"/>
          </w:tcPr>
          <w:p w14:paraId="3A887874">
            <w:pPr>
              <w:pStyle w:val="254"/>
              <w:spacing w:line="360" w:lineRule="auto"/>
              <w:rPr>
                <w:rFonts w:ascii="宋体" w:hAnsi="宋体"/>
                <w:sz w:val="24"/>
                <w:szCs w:val="24"/>
              </w:rPr>
            </w:pPr>
            <w:r>
              <w:rPr>
                <w:rFonts w:hint="eastAsia" w:ascii="宋体" w:hAnsi="宋体"/>
                <w:sz w:val="24"/>
                <w:szCs w:val="24"/>
              </w:rPr>
              <w:t>12</w:t>
            </w:r>
          </w:p>
        </w:tc>
        <w:tc>
          <w:tcPr>
            <w:tcW w:w="856" w:type="pct"/>
            <w:vMerge w:val="continue"/>
            <w:vAlign w:val="center"/>
          </w:tcPr>
          <w:p w14:paraId="2081CD3D">
            <w:pPr>
              <w:pStyle w:val="254"/>
              <w:spacing w:line="360" w:lineRule="auto"/>
              <w:rPr>
                <w:rFonts w:ascii="宋体" w:hAnsi="宋体"/>
                <w:sz w:val="24"/>
                <w:szCs w:val="24"/>
              </w:rPr>
            </w:pPr>
          </w:p>
        </w:tc>
      </w:tr>
      <w:tr w14:paraId="6896DB52">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340" w:hRule="atLeast"/>
        </w:trPr>
        <w:tc>
          <w:tcPr>
            <w:tcW w:w="1001" w:type="pct"/>
            <w:vMerge w:val="continue"/>
            <w:vAlign w:val="center"/>
          </w:tcPr>
          <w:p w14:paraId="7FC811C9">
            <w:pPr>
              <w:pStyle w:val="254"/>
              <w:spacing w:line="360" w:lineRule="auto"/>
              <w:rPr>
                <w:rFonts w:ascii="宋体" w:hAnsi="宋体"/>
                <w:sz w:val="24"/>
                <w:szCs w:val="24"/>
              </w:rPr>
            </w:pPr>
          </w:p>
        </w:tc>
        <w:tc>
          <w:tcPr>
            <w:tcW w:w="711" w:type="pct"/>
            <w:vMerge w:val="continue"/>
            <w:vAlign w:val="center"/>
          </w:tcPr>
          <w:p w14:paraId="395F4541">
            <w:pPr>
              <w:pStyle w:val="254"/>
              <w:spacing w:line="360" w:lineRule="auto"/>
              <w:rPr>
                <w:rFonts w:ascii="宋体" w:hAnsi="宋体"/>
                <w:sz w:val="24"/>
                <w:szCs w:val="24"/>
              </w:rPr>
            </w:pPr>
          </w:p>
        </w:tc>
        <w:tc>
          <w:tcPr>
            <w:tcW w:w="1576" w:type="pct"/>
            <w:shd w:val="clear" w:color="auto" w:fill="auto"/>
            <w:vAlign w:val="center"/>
          </w:tcPr>
          <w:p w14:paraId="16F0A48F">
            <w:pPr>
              <w:pStyle w:val="254"/>
              <w:spacing w:line="360" w:lineRule="auto"/>
              <w:rPr>
                <w:rFonts w:ascii="宋体" w:hAnsi="宋体"/>
                <w:sz w:val="24"/>
                <w:szCs w:val="24"/>
              </w:rPr>
            </w:pPr>
            <w:r>
              <w:rPr>
                <w:rFonts w:hint="eastAsia" w:ascii="宋体" w:hAnsi="宋体"/>
                <w:sz w:val="24"/>
                <w:szCs w:val="24"/>
              </w:rPr>
              <w:t>拼接屏专用支架</w:t>
            </w:r>
          </w:p>
        </w:tc>
        <w:tc>
          <w:tcPr>
            <w:tcW w:w="856" w:type="pct"/>
            <w:shd w:val="clear" w:color="auto" w:fill="auto"/>
            <w:noWrap/>
            <w:vAlign w:val="center"/>
          </w:tcPr>
          <w:p w14:paraId="28E5C28A">
            <w:pPr>
              <w:pStyle w:val="254"/>
              <w:spacing w:line="360" w:lineRule="auto"/>
              <w:rPr>
                <w:rFonts w:ascii="宋体" w:hAnsi="宋体"/>
                <w:sz w:val="24"/>
                <w:szCs w:val="24"/>
              </w:rPr>
            </w:pPr>
            <w:r>
              <w:rPr>
                <w:rFonts w:hint="eastAsia" w:ascii="宋体" w:hAnsi="宋体"/>
                <w:sz w:val="24"/>
                <w:szCs w:val="24"/>
              </w:rPr>
              <w:t>12</w:t>
            </w:r>
          </w:p>
        </w:tc>
        <w:tc>
          <w:tcPr>
            <w:tcW w:w="856" w:type="pct"/>
            <w:vMerge w:val="continue"/>
            <w:vAlign w:val="center"/>
          </w:tcPr>
          <w:p w14:paraId="1164F1A4">
            <w:pPr>
              <w:pStyle w:val="254"/>
              <w:spacing w:line="360" w:lineRule="auto"/>
              <w:rPr>
                <w:rFonts w:ascii="宋体" w:hAnsi="宋体"/>
                <w:sz w:val="24"/>
                <w:szCs w:val="24"/>
              </w:rPr>
            </w:pPr>
          </w:p>
        </w:tc>
      </w:tr>
      <w:tr w14:paraId="6B948D00">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340" w:hRule="atLeast"/>
        </w:trPr>
        <w:tc>
          <w:tcPr>
            <w:tcW w:w="1001" w:type="pct"/>
            <w:vMerge w:val="continue"/>
            <w:vAlign w:val="center"/>
          </w:tcPr>
          <w:p w14:paraId="7E68C236">
            <w:pPr>
              <w:pStyle w:val="254"/>
              <w:spacing w:line="360" w:lineRule="auto"/>
              <w:rPr>
                <w:rFonts w:ascii="宋体" w:hAnsi="宋体"/>
                <w:sz w:val="24"/>
                <w:szCs w:val="24"/>
              </w:rPr>
            </w:pPr>
          </w:p>
        </w:tc>
        <w:tc>
          <w:tcPr>
            <w:tcW w:w="711" w:type="pct"/>
            <w:vMerge w:val="continue"/>
            <w:vAlign w:val="center"/>
          </w:tcPr>
          <w:p w14:paraId="13EF8143">
            <w:pPr>
              <w:pStyle w:val="254"/>
              <w:spacing w:line="360" w:lineRule="auto"/>
              <w:rPr>
                <w:rFonts w:ascii="宋体" w:hAnsi="宋体"/>
                <w:sz w:val="24"/>
                <w:szCs w:val="24"/>
              </w:rPr>
            </w:pPr>
          </w:p>
        </w:tc>
        <w:tc>
          <w:tcPr>
            <w:tcW w:w="1576" w:type="pct"/>
            <w:shd w:val="clear" w:color="auto" w:fill="auto"/>
            <w:vAlign w:val="center"/>
          </w:tcPr>
          <w:p w14:paraId="663EB3B1">
            <w:pPr>
              <w:pStyle w:val="254"/>
              <w:spacing w:line="360" w:lineRule="auto"/>
              <w:rPr>
                <w:rFonts w:ascii="宋体" w:hAnsi="宋体"/>
                <w:sz w:val="24"/>
                <w:szCs w:val="24"/>
              </w:rPr>
            </w:pPr>
            <w:r>
              <w:rPr>
                <w:rFonts w:hint="eastAsia" w:ascii="宋体" w:hAnsi="宋体"/>
                <w:sz w:val="24"/>
                <w:szCs w:val="24"/>
              </w:rPr>
              <w:t>视频线缆</w:t>
            </w:r>
          </w:p>
        </w:tc>
        <w:tc>
          <w:tcPr>
            <w:tcW w:w="856" w:type="pct"/>
            <w:shd w:val="clear" w:color="auto" w:fill="auto"/>
            <w:noWrap/>
            <w:vAlign w:val="center"/>
          </w:tcPr>
          <w:p w14:paraId="0E806AAA">
            <w:pPr>
              <w:pStyle w:val="254"/>
              <w:spacing w:line="360" w:lineRule="auto"/>
              <w:rPr>
                <w:rFonts w:ascii="宋体" w:hAnsi="宋体"/>
                <w:sz w:val="24"/>
                <w:szCs w:val="24"/>
              </w:rPr>
            </w:pPr>
            <w:r>
              <w:rPr>
                <w:rFonts w:hint="eastAsia" w:ascii="宋体" w:hAnsi="宋体"/>
                <w:sz w:val="24"/>
                <w:szCs w:val="24"/>
              </w:rPr>
              <w:t>306</w:t>
            </w:r>
          </w:p>
        </w:tc>
        <w:tc>
          <w:tcPr>
            <w:tcW w:w="856" w:type="pct"/>
            <w:vMerge w:val="continue"/>
            <w:vAlign w:val="center"/>
          </w:tcPr>
          <w:p w14:paraId="6F88BBAB">
            <w:pPr>
              <w:pStyle w:val="254"/>
              <w:spacing w:line="360" w:lineRule="auto"/>
              <w:rPr>
                <w:rFonts w:ascii="宋体" w:hAnsi="宋体"/>
                <w:sz w:val="24"/>
                <w:szCs w:val="24"/>
              </w:rPr>
            </w:pPr>
          </w:p>
        </w:tc>
      </w:tr>
      <w:tr w14:paraId="1B0509EF">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340" w:hRule="atLeast"/>
        </w:trPr>
        <w:tc>
          <w:tcPr>
            <w:tcW w:w="1001" w:type="pct"/>
            <w:vMerge w:val="continue"/>
            <w:vAlign w:val="center"/>
          </w:tcPr>
          <w:p w14:paraId="3CF218D5">
            <w:pPr>
              <w:pStyle w:val="254"/>
              <w:spacing w:line="360" w:lineRule="auto"/>
              <w:rPr>
                <w:rFonts w:ascii="宋体" w:hAnsi="宋体"/>
                <w:sz w:val="24"/>
                <w:szCs w:val="24"/>
              </w:rPr>
            </w:pPr>
          </w:p>
        </w:tc>
        <w:tc>
          <w:tcPr>
            <w:tcW w:w="711" w:type="pct"/>
            <w:vMerge w:val="continue"/>
            <w:vAlign w:val="center"/>
          </w:tcPr>
          <w:p w14:paraId="2EAF8982">
            <w:pPr>
              <w:pStyle w:val="254"/>
              <w:spacing w:line="360" w:lineRule="auto"/>
              <w:rPr>
                <w:rFonts w:ascii="宋体" w:hAnsi="宋体"/>
                <w:sz w:val="24"/>
                <w:szCs w:val="24"/>
              </w:rPr>
            </w:pPr>
          </w:p>
        </w:tc>
        <w:tc>
          <w:tcPr>
            <w:tcW w:w="1576" w:type="pct"/>
            <w:shd w:val="clear" w:color="auto" w:fill="auto"/>
            <w:vAlign w:val="center"/>
          </w:tcPr>
          <w:p w14:paraId="1F3B09CF">
            <w:pPr>
              <w:pStyle w:val="254"/>
              <w:spacing w:line="360" w:lineRule="auto"/>
              <w:rPr>
                <w:rFonts w:ascii="宋体" w:hAnsi="宋体"/>
                <w:sz w:val="24"/>
                <w:szCs w:val="24"/>
              </w:rPr>
            </w:pPr>
            <w:r>
              <w:rPr>
                <w:rFonts w:hint="eastAsia" w:ascii="宋体" w:hAnsi="宋体"/>
                <w:sz w:val="24"/>
                <w:szCs w:val="24"/>
              </w:rPr>
              <w:t>台式电脑</w:t>
            </w:r>
          </w:p>
        </w:tc>
        <w:tc>
          <w:tcPr>
            <w:tcW w:w="856" w:type="pct"/>
            <w:shd w:val="clear" w:color="auto" w:fill="auto"/>
            <w:noWrap/>
            <w:vAlign w:val="center"/>
          </w:tcPr>
          <w:p w14:paraId="36F40BEA">
            <w:pPr>
              <w:pStyle w:val="254"/>
              <w:spacing w:line="360" w:lineRule="auto"/>
              <w:rPr>
                <w:rFonts w:ascii="宋体" w:hAnsi="宋体"/>
                <w:sz w:val="24"/>
                <w:szCs w:val="24"/>
              </w:rPr>
            </w:pPr>
            <w:r>
              <w:rPr>
                <w:rFonts w:hint="eastAsia" w:ascii="宋体" w:hAnsi="宋体"/>
                <w:sz w:val="24"/>
                <w:szCs w:val="24"/>
              </w:rPr>
              <w:t>1</w:t>
            </w:r>
          </w:p>
        </w:tc>
        <w:tc>
          <w:tcPr>
            <w:tcW w:w="856" w:type="pct"/>
            <w:vMerge w:val="continue"/>
            <w:vAlign w:val="center"/>
          </w:tcPr>
          <w:p w14:paraId="4B79CEF2">
            <w:pPr>
              <w:pStyle w:val="254"/>
              <w:spacing w:line="360" w:lineRule="auto"/>
              <w:rPr>
                <w:rFonts w:ascii="宋体" w:hAnsi="宋体"/>
                <w:sz w:val="24"/>
                <w:szCs w:val="24"/>
              </w:rPr>
            </w:pPr>
          </w:p>
        </w:tc>
      </w:tr>
    </w:tbl>
    <w:p w14:paraId="2B5ADE82">
      <w:pPr>
        <w:spacing w:line="360" w:lineRule="auto"/>
        <w:ind w:firstLine="480"/>
        <w:rPr>
          <w:rFonts w:ascii="宋体" w:hAnsi="宋体"/>
          <w:sz w:val="24"/>
        </w:rPr>
      </w:pPr>
      <w:r>
        <w:rPr>
          <w:rFonts w:ascii="宋体" w:hAnsi="宋体"/>
          <w:sz w:val="24"/>
        </w:rPr>
        <w:t>1.2.2.2</w:t>
      </w:r>
      <w:r>
        <w:rPr>
          <w:rFonts w:hint="eastAsia" w:ascii="宋体" w:hAnsi="宋体"/>
          <w:sz w:val="24"/>
        </w:rPr>
        <w:t>软件系统的维护范围</w:t>
      </w:r>
    </w:p>
    <w:p w14:paraId="5816DC0B">
      <w:pPr>
        <w:spacing w:line="360" w:lineRule="auto"/>
        <w:ind w:firstLine="480"/>
        <w:rPr>
          <w:rFonts w:ascii="宋体" w:hAnsi="宋体"/>
          <w:sz w:val="24"/>
        </w:rPr>
      </w:pPr>
      <w:r>
        <w:rPr>
          <w:rFonts w:hint="eastAsia" w:ascii="宋体" w:hAnsi="宋体"/>
          <w:sz w:val="24"/>
        </w:rPr>
        <w:t>软件系统运维需要对大兴新城地区防汛应急指挥业务系统及其相关的硬件数据接收软件等后台管理系统、</w:t>
      </w:r>
      <w:r>
        <w:rPr>
          <w:rFonts w:ascii="宋体" w:hAnsi="宋体"/>
          <w:sz w:val="24"/>
        </w:rPr>
        <w:t>其他陆续接入的业务系统的</w:t>
      </w:r>
      <w:r>
        <w:rPr>
          <w:rFonts w:hint="eastAsia" w:ascii="宋体" w:hAnsi="宋体"/>
          <w:sz w:val="24"/>
        </w:rPr>
        <w:t>运维服务。</w:t>
      </w:r>
    </w:p>
    <w:p w14:paraId="00048265">
      <w:pPr>
        <w:spacing w:line="360" w:lineRule="auto"/>
        <w:ind w:firstLine="480"/>
        <w:rPr>
          <w:rFonts w:ascii="宋体" w:hAnsi="宋体"/>
          <w:sz w:val="24"/>
        </w:rPr>
      </w:pPr>
      <w:r>
        <w:rPr>
          <w:rFonts w:hint="eastAsia" w:ascii="宋体" w:hAnsi="宋体"/>
          <w:sz w:val="24"/>
        </w:rPr>
        <w:t>1</w:t>
      </w:r>
      <w:r>
        <w:rPr>
          <w:rFonts w:ascii="宋体" w:hAnsi="宋体"/>
          <w:sz w:val="24"/>
        </w:rPr>
        <w:t>.2.3</w:t>
      </w:r>
      <w:r>
        <w:rPr>
          <w:rFonts w:hint="eastAsia" w:ascii="宋体" w:hAnsi="宋体"/>
          <w:sz w:val="24"/>
        </w:rPr>
        <w:t>积水点位概况</w:t>
      </w:r>
    </w:p>
    <w:p w14:paraId="480AFB7D">
      <w:pPr>
        <w:spacing w:line="360" w:lineRule="auto"/>
        <w:ind w:firstLine="480"/>
        <w:rPr>
          <w:rFonts w:ascii="宋体" w:hAnsi="宋体"/>
          <w:color w:val="000000"/>
          <w:sz w:val="24"/>
        </w:rPr>
      </w:pPr>
      <w:r>
        <w:rPr>
          <w:rFonts w:hint="eastAsia" w:ascii="宋体" w:hAnsi="宋体"/>
          <w:color w:val="000000"/>
          <w:sz w:val="24"/>
        </w:rPr>
        <w:t>根据历年的防汛工作情况，大兴新城主要易积水点位包括</w:t>
      </w:r>
      <w:r>
        <w:rPr>
          <w:rFonts w:ascii="宋体" w:hAnsi="宋体"/>
          <w:color w:val="000000"/>
          <w:sz w:val="24"/>
        </w:rPr>
        <w:t>8</w:t>
      </w:r>
      <w:r>
        <w:rPr>
          <w:rFonts w:hint="eastAsia" w:ascii="宋体" w:hAnsi="宋体"/>
          <w:color w:val="000000"/>
          <w:sz w:val="24"/>
        </w:rPr>
        <w:t>座下凹式立交桥：芦求路地下桥、黄村火车站桥、康庄桥、金星桥、九源桥、九华桥、九林桥、东方时尚桥。主要积水路段包括：清源路、清源西路、兴丰大街、西永路、永华路、黄村西大街、芦求路、鹅黄路、富强路、北兴路、科苑路、广平大街、天华大街、天河西路、新源大街、宏福路、欣宁街等主要道路。流经新城的主要河流包括：老凤河、新凤河、小龙河、大龙河、永兴河。防汛工作面积涵盖黄村镇、西红门镇、新媒体产业基地、生物医药基地、大兴新城区约300平方公里。其中，</w:t>
      </w:r>
      <w:r>
        <w:rPr>
          <w:rFonts w:ascii="宋体" w:hAnsi="宋体"/>
          <w:color w:val="000000"/>
          <w:sz w:val="24"/>
        </w:rPr>
        <w:t>8</w:t>
      </w:r>
      <w:r>
        <w:rPr>
          <w:rFonts w:hint="eastAsia" w:ascii="宋体" w:hAnsi="宋体"/>
          <w:color w:val="000000"/>
          <w:sz w:val="24"/>
        </w:rPr>
        <w:t>处下凹式立交桥、3处积水路段为重点点位。具体见积水点位列表和积水点位分布图。</w:t>
      </w:r>
    </w:p>
    <w:p w14:paraId="685EB6FC">
      <w:pPr>
        <w:spacing w:line="360" w:lineRule="auto"/>
        <w:ind w:firstLine="420"/>
        <w:jc w:val="center"/>
        <w:rPr>
          <w:rFonts w:ascii="宋体" w:hAnsi="宋体"/>
          <w:sz w:val="24"/>
        </w:rPr>
      </w:pPr>
      <w:r>
        <w:rPr>
          <w:rFonts w:hint="eastAsia" w:ascii="宋体" w:hAnsi="宋体"/>
          <w:sz w:val="24"/>
        </w:rPr>
        <w:t>表1</w:t>
      </w:r>
      <w:r>
        <w:rPr>
          <w:rFonts w:ascii="宋体" w:hAnsi="宋体"/>
          <w:sz w:val="24"/>
        </w:rPr>
        <w:t>.2.3.1</w:t>
      </w:r>
      <w:r>
        <w:rPr>
          <w:rFonts w:hint="eastAsia" w:ascii="宋体" w:hAnsi="宋体"/>
          <w:sz w:val="24"/>
        </w:rPr>
        <w:t>防汛设备运行维护范围表</w:t>
      </w:r>
    </w:p>
    <w:tbl>
      <w:tblPr>
        <w:tblStyle w:val="42"/>
        <w:tblW w:w="0" w:type="auto"/>
        <w:tblInd w:w="0" w:type="dxa"/>
        <w:tblLayout w:type="fixed"/>
        <w:tblCellMar>
          <w:top w:w="0" w:type="dxa"/>
          <w:left w:w="108" w:type="dxa"/>
          <w:bottom w:w="0" w:type="dxa"/>
          <w:right w:w="108" w:type="dxa"/>
        </w:tblCellMar>
      </w:tblPr>
      <w:tblGrid>
        <w:gridCol w:w="579"/>
        <w:gridCol w:w="2343"/>
        <w:gridCol w:w="2892"/>
        <w:gridCol w:w="822"/>
        <w:gridCol w:w="944"/>
        <w:gridCol w:w="700"/>
      </w:tblGrid>
      <w:tr w14:paraId="17D130B6">
        <w:tblPrEx>
          <w:tblCellMar>
            <w:top w:w="0" w:type="dxa"/>
            <w:left w:w="108" w:type="dxa"/>
            <w:bottom w:w="0" w:type="dxa"/>
            <w:right w:w="108" w:type="dxa"/>
          </w:tblCellMar>
        </w:tblPrEx>
        <w:trPr>
          <w:trHeight w:val="397" w:hRule="atLeast"/>
        </w:trPr>
        <w:tc>
          <w:tcPr>
            <w:tcW w:w="8280" w:type="dxa"/>
            <w:gridSpan w:val="6"/>
            <w:tcBorders>
              <w:top w:val="single" w:color="auto" w:sz="8" w:space="0"/>
              <w:left w:val="single" w:color="auto" w:sz="8" w:space="0"/>
              <w:bottom w:val="single" w:color="auto" w:sz="8" w:space="0"/>
              <w:right w:val="single" w:color="000000" w:sz="8" w:space="0"/>
            </w:tcBorders>
            <w:shd w:val="clear" w:color="auto" w:fill="auto"/>
            <w:vAlign w:val="center"/>
          </w:tcPr>
          <w:p w14:paraId="17BF0FE3">
            <w:pPr>
              <w:widowControl/>
              <w:rPr>
                <w:rFonts w:ascii="宋体" w:hAnsi="宋体" w:cs="宋体"/>
                <w:color w:val="000000"/>
                <w:kern w:val="0"/>
                <w:sz w:val="24"/>
              </w:rPr>
            </w:pPr>
            <w:bookmarkStart w:id="821" w:name="RANGE!C4"/>
            <w:r>
              <w:rPr>
                <w:rFonts w:hint="eastAsia" w:ascii="宋体" w:hAnsi="宋体" w:cs="宋体"/>
                <w:color w:val="000000"/>
                <w:kern w:val="0"/>
                <w:sz w:val="24"/>
              </w:rPr>
              <w:t>大兴新城积水点列表</w:t>
            </w:r>
            <w:bookmarkEnd w:id="821"/>
          </w:p>
        </w:tc>
      </w:tr>
      <w:tr w14:paraId="5FC00AAD">
        <w:tblPrEx>
          <w:tblCellMar>
            <w:top w:w="0" w:type="dxa"/>
            <w:left w:w="108" w:type="dxa"/>
            <w:bottom w:w="0" w:type="dxa"/>
            <w:right w:w="108" w:type="dxa"/>
          </w:tblCellMar>
        </w:tblPrEx>
        <w:trPr>
          <w:trHeight w:val="397" w:hRule="atLeast"/>
        </w:trPr>
        <w:tc>
          <w:tcPr>
            <w:tcW w:w="8280" w:type="dxa"/>
            <w:gridSpan w:val="6"/>
            <w:tcBorders>
              <w:top w:val="single" w:color="auto" w:sz="8" w:space="0"/>
              <w:left w:val="single" w:color="auto" w:sz="8" w:space="0"/>
              <w:bottom w:val="single" w:color="auto" w:sz="8" w:space="0"/>
              <w:right w:val="single" w:color="auto" w:sz="8" w:space="0"/>
            </w:tcBorders>
            <w:shd w:val="clear" w:color="auto" w:fill="auto"/>
            <w:vAlign w:val="center"/>
          </w:tcPr>
          <w:p w14:paraId="4F468744">
            <w:pPr>
              <w:widowControl/>
              <w:rPr>
                <w:rFonts w:ascii="宋体" w:hAnsi="宋体" w:cs="宋体"/>
                <w:color w:val="000000"/>
                <w:kern w:val="0"/>
                <w:sz w:val="24"/>
              </w:rPr>
            </w:pPr>
            <w:r>
              <w:rPr>
                <w:rFonts w:hint="eastAsia" w:ascii="宋体" w:hAnsi="宋体" w:cs="宋体"/>
                <w:color w:val="000000"/>
                <w:kern w:val="0"/>
                <w:sz w:val="24"/>
              </w:rPr>
              <w:t>（带“#”表示为重点点位，即汛期需要重点巡查的点位）</w:t>
            </w:r>
          </w:p>
        </w:tc>
      </w:tr>
      <w:tr w14:paraId="7FF6E4F4">
        <w:tblPrEx>
          <w:tblCellMar>
            <w:top w:w="0" w:type="dxa"/>
            <w:left w:w="108" w:type="dxa"/>
            <w:bottom w:w="0" w:type="dxa"/>
            <w:right w:w="108" w:type="dxa"/>
          </w:tblCellMar>
        </w:tblPrEx>
        <w:trPr>
          <w:trHeight w:val="624" w:hRule="atLeast"/>
        </w:trPr>
        <w:tc>
          <w:tcPr>
            <w:tcW w:w="579" w:type="dxa"/>
            <w:tcBorders>
              <w:top w:val="nil"/>
              <w:left w:val="single" w:color="auto" w:sz="8" w:space="0"/>
              <w:bottom w:val="single" w:color="auto" w:sz="8" w:space="0"/>
              <w:right w:val="single" w:color="auto" w:sz="8" w:space="0"/>
            </w:tcBorders>
            <w:shd w:val="clear" w:color="auto" w:fill="auto"/>
            <w:vAlign w:val="center"/>
          </w:tcPr>
          <w:p w14:paraId="656679EB">
            <w:pPr>
              <w:widowControl/>
              <w:jc w:val="center"/>
              <w:rPr>
                <w:rFonts w:ascii="宋体" w:hAnsi="宋体" w:cs="宋体"/>
                <w:color w:val="000000"/>
                <w:kern w:val="0"/>
                <w:sz w:val="24"/>
              </w:rPr>
            </w:pPr>
            <w:r>
              <w:rPr>
                <w:rFonts w:hint="eastAsia" w:ascii="宋体" w:hAnsi="宋体" w:cs="宋体"/>
                <w:color w:val="000000"/>
                <w:kern w:val="0"/>
                <w:sz w:val="24"/>
              </w:rPr>
              <w:t>序号</w:t>
            </w:r>
          </w:p>
        </w:tc>
        <w:tc>
          <w:tcPr>
            <w:tcW w:w="2343" w:type="dxa"/>
            <w:tcBorders>
              <w:top w:val="nil"/>
              <w:left w:val="nil"/>
              <w:bottom w:val="single" w:color="auto" w:sz="8" w:space="0"/>
              <w:right w:val="single" w:color="auto" w:sz="8" w:space="0"/>
            </w:tcBorders>
            <w:shd w:val="clear" w:color="auto" w:fill="auto"/>
            <w:vAlign w:val="center"/>
          </w:tcPr>
          <w:p w14:paraId="27601BDE">
            <w:pPr>
              <w:widowControl/>
              <w:jc w:val="center"/>
              <w:rPr>
                <w:rFonts w:ascii="宋体" w:hAnsi="宋体" w:cs="宋体"/>
                <w:color w:val="000000"/>
                <w:kern w:val="0"/>
                <w:sz w:val="24"/>
              </w:rPr>
            </w:pPr>
            <w:r>
              <w:rPr>
                <w:rFonts w:hint="eastAsia" w:ascii="宋体" w:hAnsi="宋体" w:cs="宋体"/>
                <w:color w:val="000000"/>
                <w:kern w:val="0"/>
                <w:sz w:val="24"/>
              </w:rPr>
              <w:t>点位名称</w:t>
            </w:r>
          </w:p>
        </w:tc>
        <w:tc>
          <w:tcPr>
            <w:tcW w:w="2892" w:type="dxa"/>
            <w:tcBorders>
              <w:top w:val="nil"/>
              <w:left w:val="nil"/>
              <w:bottom w:val="single" w:color="auto" w:sz="8" w:space="0"/>
              <w:right w:val="single" w:color="auto" w:sz="8" w:space="0"/>
            </w:tcBorders>
            <w:shd w:val="clear" w:color="auto" w:fill="auto"/>
            <w:vAlign w:val="center"/>
          </w:tcPr>
          <w:p w14:paraId="2D19D1EA">
            <w:pPr>
              <w:widowControl/>
              <w:jc w:val="center"/>
              <w:rPr>
                <w:rFonts w:ascii="宋体" w:hAnsi="宋体" w:cs="宋体"/>
                <w:color w:val="000000"/>
                <w:kern w:val="0"/>
                <w:sz w:val="24"/>
              </w:rPr>
            </w:pPr>
            <w:r>
              <w:rPr>
                <w:rFonts w:hint="eastAsia" w:ascii="宋体" w:hAnsi="宋体" w:cs="宋体"/>
                <w:color w:val="000000"/>
                <w:kern w:val="0"/>
                <w:sz w:val="24"/>
              </w:rPr>
              <w:t>点位位置</w:t>
            </w:r>
          </w:p>
        </w:tc>
        <w:tc>
          <w:tcPr>
            <w:tcW w:w="822" w:type="dxa"/>
            <w:tcBorders>
              <w:top w:val="nil"/>
              <w:left w:val="nil"/>
              <w:bottom w:val="single" w:color="auto" w:sz="8" w:space="0"/>
              <w:right w:val="single" w:color="auto" w:sz="8" w:space="0"/>
            </w:tcBorders>
            <w:shd w:val="clear" w:color="auto" w:fill="auto"/>
            <w:vAlign w:val="center"/>
          </w:tcPr>
          <w:p w14:paraId="5296D5AC">
            <w:pPr>
              <w:widowControl/>
              <w:jc w:val="center"/>
              <w:rPr>
                <w:rFonts w:ascii="宋体" w:hAnsi="宋体" w:cs="宋体"/>
                <w:color w:val="000000"/>
                <w:kern w:val="0"/>
                <w:sz w:val="24"/>
              </w:rPr>
            </w:pPr>
            <w:r>
              <w:rPr>
                <w:rFonts w:hint="eastAsia" w:ascii="宋体" w:hAnsi="宋体" w:cs="宋体"/>
                <w:color w:val="000000"/>
                <w:kern w:val="0"/>
                <w:sz w:val="24"/>
              </w:rPr>
              <w:t>电子水尺</w:t>
            </w:r>
          </w:p>
        </w:tc>
        <w:tc>
          <w:tcPr>
            <w:tcW w:w="944" w:type="dxa"/>
            <w:tcBorders>
              <w:top w:val="nil"/>
              <w:left w:val="nil"/>
              <w:bottom w:val="single" w:color="auto" w:sz="8" w:space="0"/>
              <w:right w:val="single" w:color="auto" w:sz="8" w:space="0"/>
            </w:tcBorders>
            <w:shd w:val="clear" w:color="auto" w:fill="auto"/>
            <w:vAlign w:val="center"/>
          </w:tcPr>
          <w:p w14:paraId="7F901540">
            <w:pPr>
              <w:widowControl/>
              <w:jc w:val="center"/>
              <w:rPr>
                <w:rFonts w:ascii="宋体" w:hAnsi="宋体" w:cs="宋体"/>
                <w:color w:val="000000"/>
                <w:kern w:val="0"/>
                <w:sz w:val="24"/>
              </w:rPr>
            </w:pPr>
            <w:r>
              <w:rPr>
                <w:rFonts w:hint="eastAsia" w:ascii="宋体" w:hAnsi="宋体" w:cs="宋体"/>
                <w:color w:val="000000"/>
                <w:kern w:val="0"/>
                <w:sz w:val="24"/>
              </w:rPr>
              <w:t>雷达水位计</w:t>
            </w:r>
          </w:p>
        </w:tc>
        <w:tc>
          <w:tcPr>
            <w:tcW w:w="700" w:type="dxa"/>
            <w:tcBorders>
              <w:top w:val="nil"/>
              <w:left w:val="nil"/>
              <w:bottom w:val="single" w:color="auto" w:sz="8" w:space="0"/>
              <w:right w:val="single" w:color="auto" w:sz="8" w:space="0"/>
            </w:tcBorders>
            <w:shd w:val="clear" w:color="auto" w:fill="auto"/>
            <w:vAlign w:val="center"/>
          </w:tcPr>
          <w:p w14:paraId="558C3C6C">
            <w:pPr>
              <w:widowControl/>
              <w:jc w:val="center"/>
              <w:rPr>
                <w:rFonts w:ascii="宋体" w:hAnsi="宋体" w:cs="宋体"/>
                <w:color w:val="000000"/>
                <w:kern w:val="0"/>
                <w:sz w:val="24"/>
              </w:rPr>
            </w:pPr>
            <w:r>
              <w:rPr>
                <w:rFonts w:hint="eastAsia" w:ascii="宋体" w:hAnsi="宋体" w:cs="宋体"/>
                <w:color w:val="000000"/>
                <w:kern w:val="0"/>
                <w:sz w:val="24"/>
              </w:rPr>
              <w:t>雨量计</w:t>
            </w:r>
          </w:p>
        </w:tc>
      </w:tr>
      <w:tr w14:paraId="53383E79">
        <w:tblPrEx>
          <w:tblCellMar>
            <w:top w:w="0" w:type="dxa"/>
            <w:left w:w="108" w:type="dxa"/>
            <w:bottom w:w="0" w:type="dxa"/>
            <w:right w:w="108" w:type="dxa"/>
          </w:tblCellMar>
        </w:tblPrEx>
        <w:trPr>
          <w:trHeight w:val="624" w:hRule="atLeast"/>
        </w:trPr>
        <w:tc>
          <w:tcPr>
            <w:tcW w:w="579" w:type="dxa"/>
            <w:tcBorders>
              <w:top w:val="nil"/>
              <w:left w:val="single" w:color="auto" w:sz="8" w:space="0"/>
              <w:bottom w:val="single" w:color="auto" w:sz="8" w:space="0"/>
              <w:right w:val="single" w:color="auto" w:sz="8" w:space="0"/>
            </w:tcBorders>
            <w:shd w:val="clear" w:color="auto" w:fill="auto"/>
            <w:vAlign w:val="center"/>
          </w:tcPr>
          <w:p w14:paraId="3DBA7028">
            <w:pPr>
              <w:widowControl/>
              <w:jc w:val="center"/>
              <w:rPr>
                <w:rFonts w:ascii="宋体" w:hAnsi="宋体" w:cs="宋体"/>
                <w:color w:val="000000"/>
                <w:kern w:val="0"/>
                <w:sz w:val="24"/>
              </w:rPr>
            </w:pPr>
            <w:r>
              <w:rPr>
                <w:rFonts w:hint="eastAsia" w:ascii="宋体" w:hAnsi="宋体" w:cs="宋体"/>
                <w:color w:val="000000"/>
                <w:kern w:val="0"/>
                <w:sz w:val="24"/>
              </w:rPr>
              <w:t>1</w:t>
            </w:r>
          </w:p>
        </w:tc>
        <w:tc>
          <w:tcPr>
            <w:tcW w:w="2343" w:type="dxa"/>
            <w:tcBorders>
              <w:top w:val="nil"/>
              <w:left w:val="nil"/>
              <w:bottom w:val="single" w:color="auto" w:sz="8" w:space="0"/>
              <w:right w:val="single" w:color="auto" w:sz="8" w:space="0"/>
            </w:tcBorders>
            <w:shd w:val="clear" w:color="auto" w:fill="auto"/>
            <w:vAlign w:val="center"/>
          </w:tcPr>
          <w:p w14:paraId="346D90C3">
            <w:pPr>
              <w:widowControl/>
              <w:jc w:val="center"/>
              <w:rPr>
                <w:rFonts w:ascii="宋体" w:hAnsi="宋体" w:cs="宋体"/>
                <w:color w:val="000000"/>
                <w:kern w:val="0"/>
                <w:sz w:val="24"/>
              </w:rPr>
            </w:pPr>
            <w:r>
              <w:rPr>
                <w:rFonts w:hint="eastAsia" w:ascii="宋体" w:hAnsi="宋体" w:cs="宋体"/>
                <w:color w:val="000000"/>
                <w:kern w:val="0"/>
                <w:sz w:val="24"/>
              </w:rPr>
              <w:t>#芦求路地下桥</w:t>
            </w:r>
          </w:p>
        </w:tc>
        <w:tc>
          <w:tcPr>
            <w:tcW w:w="2892" w:type="dxa"/>
            <w:tcBorders>
              <w:top w:val="nil"/>
              <w:left w:val="nil"/>
              <w:bottom w:val="single" w:color="auto" w:sz="8" w:space="0"/>
              <w:right w:val="single" w:color="auto" w:sz="8" w:space="0"/>
            </w:tcBorders>
            <w:shd w:val="clear" w:color="auto" w:fill="auto"/>
            <w:vAlign w:val="center"/>
          </w:tcPr>
          <w:p w14:paraId="6A5767B2">
            <w:pPr>
              <w:widowControl/>
              <w:jc w:val="center"/>
              <w:rPr>
                <w:rFonts w:ascii="宋体" w:hAnsi="宋体" w:cs="宋体"/>
                <w:color w:val="000000"/>
                <w:kern w:val="0"/>
                <w:sz w:val="24"/>
              </w:rPr>
            </w:pPr>
            <w:r>
              <w:rPr>
                <w:rFonts w:hint="eastAsia" w:ascii="宋体" w:hAnsi="宋体" w:cs="宋体"/>
                <w:color w:val="000000"/>
                <w:kern w:val="0"/>
                <w:sz w:val="24"/>
              </w:rPr>
              <w:t>燕山铁路桥-芦求路</w:t>
            </w:r>
          </w:p>
        </w:tc>
        <w:tc>
          <w:tcPr>
            <w:tcW w:w="822" w:type="dxa"/>
            <w:tcBorders>
              <w:top w:val="nil"/>
              <w:left w:val="nil"/>
              <w:bottom w:val="single" w:color="auto" w:sz="8" w:space="0"/>
              <w:right w:val="single" w:color="auto" w:sz="8" w:space="0"/>
            </w:tcBorders>
            <w:shd w:val="clear" w:color="auto" w:fill="auto"/>
            <w:noWrap/>
            <w:vAlign w:val="center"/>
          </w:tcPr>
          <w:p w14:paraId="36321638">
            <w:pPr>
              <w:widowControl/>
              <w:jc w:val="center"/>
              <w:rPr>
                <w:rFonts w:ascii="宋体" w:hAnsi="宋体" w:cs="宋体"/>
                <w:color w:val="000000"/>
                <w:kern w:val="0"/>
                <w:sz w:val="24"/>
              </w:rPr>
            </w:pPr>
            <w:r>
              <w:rPr>
                <w:rFonts w:hint="eastAsia" w:ascii="宋体" w:hAnsi="宋体" w:cs="宋体"/>
                <w:color w:val="000000"/>
                <w:kern w:val="0"/>
                <w:sz w:val="24"/>
              </w:rPr>
              <w:t>1</w:t>
            </w:r>
          </w:p>
        </w:tc>
        <w:tc>
          <w:tcPr>
            <w:tcW w:w="944" w:type="dxa"/>
            <w:tcBorders>
              <w:top w:val="nil"/>
              <w:left w:val="nil"/>
              <w:bottom w:val="single" w:color="auto" w:sz="8" w:space="0"/>
              <w:right w:val="single" w:color="auto" w:sz="8" w:space="0"/>
            </w:tcBorders>
            <w:shd w:val="clear" w:color="auto" w:fill="auto"/>
            <w:vAlign w:val="center"/>
          </w:tcPr>
          <w:p w14:paraId="3A8B342B">
            <w:pPr>
              <w:widowControl/>
              <w:jc w:val="center"/>
              <w:rPr>
                <w:rFonts w:ascii="宋体" w:hAnsi="宋体" w:cs="宋体"/>
                <w:color w:val="000000"/>
                <w:kern w:val="0"/>
                <w:sz w:val="24"/>
              </w:rPr>
            </w:pPr>
            <w:r>
              <w:rPr>
                <w:rFonts w:hint="eastAsia" w:ascii="宋体" w:hAnsi="宋体" w:cs="宋体"/>
                <w:color w:val="000000"/>
                <w:kern w:val="0"/>
                <w:sz w:val="24"/>
              </w:rPr>
              <w:t>1</w:t>
            </w:r>
          </w:p>
        </w:tc>
        <w:tc>
          <w:tcPr>
            <w:tcW w:w="700" w:type="dxa"/>
            <w:tcBorders>
              <w:top w:val="nil"/>
              <w:left w:val="nil"/>
              <w:bottom w:val="single" w:color="auto" w:sz="8" w:space="0"/>
              <w:right w:val="single" w:color="auto" w:sz="8" w:space="0"/>
            </w:tcBorders>
            <w:shd w:val="clear" w:color="auto" w:fill="auto"/>
            <w:noWrap/>
            <w:vAlign w:val="center"/>
          </w:tcPr>
          <w:p w14:paraId="095D1696">
            <w:pPr>
              <w:widowControl/>
              <w:jc w:val="center"/>
              <w:rPr>
                <w:rFonts w:ascii="宋体" w:hAnsi="宋体" w:cs="宋体"/>
                <w:color w:val="000000"/>
                <w:kern w:val="0"/>
                <w:sz w:val="24"/>
              </w:rPr>
            </w:pPr>
            <w:r>
              <w:rPr>
                <w:rFonts w:hint="eastAsia" w:ascii="宋体" w:hAnsi="宋体" w:cs="宋体"/>
                <w:color w:val="000000"/>
                <w:kern w:val="0"/>
                <w:sz w:val="24"/>
              </w:rPr>
              <w:t>0</w:t>
            </w:r>
          </w:p>
        </w:tc>
      </w:tr>
      <w:tr w14:paraId="233D28C2">
        <w:tblPrEx>
          <w:tblCellMar>
            <w:top w:w="0" w:type="dxa"/>
            <w:left w:w="108" w:type="dxa"/>
            <w:bottom w:w="0" w:type="dxa"/>
            <w:right w:w="108" w:type="dxa"/>
          </w:tblCellMar>
        </w:tblPrEx>
        <w:trPr>
          <w:trHeight w:val="624" w:hRule="atLeast"/>
        </w:trPr>
        <w:tc>
          <w:tcPr>
            <w:tcW w:w="579" w:type="dxa"/>
            <w:tcBorders>
              <w:top w:val="nil"/>
              <w:left w:val="single" w:color="auto" w:sz="8" w:space="0"/>
              <w:bottom w:val="single" w:color="auto" w:sz="8" w:space="0"/>
              <w:right w:val="single" w:color="auto" w:sz="8" w:space="0"/>
            </w:tcBorders>
            <w:shd w:val="clear" w:color="auto" w:fill="auto"/>
            <w:vAlign w:val="center"/>
          </w:tcPr>
          <w:p w14:paraId="2FC19AD3">
            <w:pPr>
              <w:widowControl/>
              <w:jc w:val="center"/>
              <w:rPr>
                <w:rFonts w:ascii="宋体" w:hAnsi="宋体" w:cs="宋体"/>
                <w:color w:val="000000"/>
                <w:kern w:val="0"/>
                <w:sz w:val="24"/>
              </w:rPr>
            </w:pPr>
            <w:r>
              <w:rPr>
                <w:rFonts w:hint="eastAsia" w:ascii="宋体" w:hAnsi="宋体" w:cs="宋体"/>
                <w:color w:val="000000"/>
                <w:kern w:val="0"/>
                <w:sz w:val="24"/>
              </w:rPr>
              <w:t>2</w:t>
            </w:r>
          </w:p>
        </w:tc>
        <w:tc>
          <w:tcPr>
            <w:tcW w:w="2343" w:type="dxa"/>
            <w:tcBorders>
              <w:top w:val="nil"/>
              <w:left w:val="nil"/>
              <w:bottom w:val="single" w:color="auto" w:sz="8" w:space="0"/>
              <w:right w:val="single" w:color="auto" w:sz="8" w:space="0"/>
            </w:tcBorders>
            <w:shd w:val="clear" w:color="auto" w:fill="auto"/>
            <w:vAlign w:val="center"/>
          </w:tcPr>
          <w:p w14:paraId="315D5596">
            <w:pPr>
              <w:widowControl/>
              <w:jc w:val="center"/>
              <w:rPr>
                <w:rFonts w:ascii="宋体" w:hAnsi="宋体" w:cs="宋体"/>
                <w:color w:val="000000"/>
                <w:kern w:val="0"/>
                <w:sz w:val="24"/>
              </w:rPr>
            </w:pPr>
            <w:r>
              <w:rPr>
                <w:rFonts w:hint="eastAsia" w:ascii="宋体" w:hAnsi="宋体" w:cs="宋体"/>
                <w:color w:val="000000"/>
                <w:kern w:val="0"/>
                <w:sz w:val="24"/>
              </w:rPr>
              <w:t>#火车站桥</w:t>
            </w:r>
          </w:p>
        </w:tc>
        <w:tc>
          <w:tcPr>
            <w:tcW w:w="2892" w:type="dxa"/>
            <w:tcBorders>
              <w:top w:val="nil"/>
              <w:left w:val="nil"/>
              <w:bottom w:val="single" w:color="auto" w:sz="8" w:space="0"/>
              <w:right w:val="single" w:color="auto" w:sz="8" w:space="0"/>
            </w:tcBorders>
            <w:shd w:val="clear" w:color="auto" w:fill="auto"/>
            <w:vAlign w:val="center"/>
          </w:tcPr>
          <w:p w14:paraId="64A93986">
            <w:pPr>
              <w:widowControl/>
              <w:jc w:val="center"/>
              <w:rPr>
                <w:rFonts w:ascii="宋体" w:hAnsi="宋体" w:cs="宋体"/>
                <w:color w:val="000000"/>
                <w:kern w:val="0"/>
                <w:sz w:val="24"/>
              </w:rPr>
            </w:pPr>
            <w:r>
              <w:rPr>
                <w:rFonts w:hint="eastAsia" w:ascii="宋体" w:hAnsi="宋体" w:cs="宋体"/>
                <w:color w:val="000000"/>
                <w:kern w:val="0"/>
                <w:sz w:val="24"/>
              </w:rPr>
              <w:t>兴华大街-京九铁路</w:t>
            </w:r>
          </w:p>
        </w:tc>
        <w:tc>
          <w:tcPr>
            <w:tcW w:w="822" w:type="dxa"/>
            <w:tcBorders>
              <w:top w:val="nil"/>
              <w:left w:val="nil"/>
              <w:bottom w:val="single" w:color="auto" w:sz="8" w:space="0"/>
              <w:right w:val="single" w:color="auto" w:sz="8" w:space="0"/>
            </w:tcBorders>
            <w:shd w:val="clear" w:color="auto" w:fill="auto"/>
            <w:noWrap/>
            <w:vAlign w:val="center"/>
          </w:tcPr>
          <w:p w14:paraId="4B10C84F">
            <w:pPr>
              <w:widowControl/>
              <w:jc w:val="center"/>
              <w:rPr>
                <w:rFonts w:ascii="宋体" w:hAnsi="宋体" w:cs="宋体"/>
                <w:color w:val="000000"/>
                <w:kern w:val="0"/>
                <w:sz w:val="24"/>
              </w:rPr>
            </w:pPr>
            <w:r>
              <w:rPr>
                <w:rFonts w:hint="eastAsia" w:ascii="宋体" w:hAnsi="宋体" w:cs="宋体"/>
                <w:color w:val="000000"/>
                <w:kern w:val="0"/>
                <w:sz w:val="24"/>
              </w:rPr>
              <w:t>1</w:t>
            </w:r>
          </w:p>
        </w:tc>
        <w:tc>
          <w:tcPr>
            <w:tcW w:w="944" w:type="dxa"/>
            <w:tcBorders>
              <w:top w:val="nil"/>
              <w:left w:val="nil"/>
              <w:bottom w:val="single" w:color="auto" w:sz="8" w:space="0"/>
              <w:right w:val="single" w:color="auto" w:sz="8" w:space="0"/>
            </w:tcBorders>
            <w:shd w:val="clear" w:color="auto" w:fill="auto"/>
            <w:vAlign w:val="center"/>
          </w:tcPr>
          <w:p w14:paraId="5DE1577D">
            <w:pPr>
              <w:widowControl/>
              <w:jc w:val="center"/>
              <w:rPr>
                <w:rFonts w:ascii="宋体" w:hAnsi="宋体" w:cs="宋体"/>
                <w:color w:val="000000"/>
                <w:kern w:val="0"/>
                <w:sz w:val="24"/>
              </w:rPr>
            </w:pPr>
            <w:r>
              <w:rPr>
                <w:rFonts w:hint="eastAsia" w:ascii="宋体" w:hAnsi="宋体" w:cs="宋体"/>
                <w:color w:val="000000"/>
                <w:kern w:val="0"/>
                <w:sz w:val="24"/>
              </w:rPr>
              <w:t>1</w:t>
            </w:r>
          </w:p>
        </w:tc>
        <w:tc>
          <w:tcPr>
            <w:tcW w:w="700" w:type="dxa"/>
            <w:tcBorders>
              <w:top w:val="nil"/>
              <w:left w:val="nil"/>
              <w:bottom w:val="single" w:color="auto" w:sz="8" w:space="0"/>
              <w:right w:val="single" w:color="auto" w:sz="8" w:space="0"/>
            </w:tcBorders>
            <w:shd w:val="clear" w:color="auto" w:fill="auto"/>
            <w:noWrap/>
            <w:vAlign w:val="center"/>
          </w:tcPr>
          <w:p w14:paraId="28E6399E">
            <w:pPr>
              <w:widowControl/>
              <w:jc w:val="center"/>
              <w:rPr>
                <w:rFonts w:ascii="宋体" w:hAnsi="宋体" w:cs="宋体"/>
                <w:color w:val="000000"/>
                <w:kern w:val="0"/>
                <w:sz w:val="24"/>
              </w:rPr>
            </w:pPr>
            <w:r>
              <w:rPr>
                <w:rFonts w:hint="eastAsia" w:ascii="宋体" w:hAnsi="宋体" w:cs="宋体"/>
                <w:color w:val="000000"/>
                <w:kern w:val="0"/>
                <w:sz w:val="24"/>
              </w:rPr>
              <w:t>0</w:t>
            </w:r>
          </w:p>
        </w:tc>
      </w:tr>
      <w:tr w14:paraId="51C228C5">
        <w:tblPrEx>
          <w:tblCellMar>
            <w:top w:w="0" w:type="dxa"/>
            <w:left w:w="108" w:type="dxa"/>
            <w:bottom w:w="0" w:type="dxa"/>
            <w:right w:w="108" w:type="dxa"/>
          </w:tblCellMar>
        </w:tblPrEx>
        <w:trPr>
          <w:trHeight w:val="624" w:hRule="atLeast"/>
        </w:trPr>
        <w:tc>
          <w:tcPr>
            <w:tcW w:w="579" w:type="dxa"/>
            <w:tcBorders>
              <w:top w:val="nil"/>
              <w:left w:val="single" w:color="auto" w:sz="8" w:space="0"/>
              <w:bottom w:val="single" w:color="auto" w:sz="8" w:space="0"/>
              <w:right w:val="single" w:color="auto" w:sz="8" w:space="0"/>
            </w:tcBorders>
            <w:shd w:val="clear" w:color="auto" w:fill="auto"/>
            <w:vAlign w:val="center"/>
          </w:tcPr>
          <w:p w14:paraId="7C516374">
            <w:pPr>
              <w:widowControl/>
              <w:jc w:val="center"/>
              <w:rPr>
                <w:rFonts w:ascii="宋体" w:hAnsi="宋体" w:cs="宋体"/>
                <w:color w:val="000000"/>
                <w:kern w:val="0"/>
                <w:sz w:val="24"/>
              </w:rPr>
            </w:pPr>
            <w:r>
              <w:rPr>
                <w:rFonts w:hint="eastAsia" w:ascii="宋体" w:hAnsi="宋体" w:cs="宋体"/>
                <w:color w:val="000000"/>
                <w:kern w:val="0"/>
                <w:sz w:val="24"/>
              </w:rPr>
              <w:t>3</w:t>
            </w:r>
          </w:p>
        </w:tc>
        <w:tc>
          <w:tcPr>
            <w:tcW w:w="2343" w:type="dxa"/>
            <w:tcBorders>
              <w:top w:val="nil"/>
              <w:left w:val="nil"/>
              <w:bottom w:val="single" w:color="auto" w:sz="8" w:space="0"/>
              <w:right w:val="single" w:color="auto" w:sz="8" w:space="0"/>
            </w:tcBorders>
            <w:shd w:val="clear" w:color="auto" w:fill="auto"/>
            <w:vAlign w:val="center"/>
          </w:tcPr>
          <w:p w14:paraId="59615632">
            <w:pPr>
              <w:widowControl/>
              <w:jc w:val="center"/>
              <w:rPr>
                <w:rFonts w:ascii="宋体" w:hAnsi="宋体" w:cs="宋体"/>
                <w:color w:val="000000"/>
                <w:kern w:val="0"/>
                <w:sz w:val="24"/>
              </w:rPr>
            </w:pPr>
            <w:r>
              <w:rPr>
                <w:rFonts w:hint="eastAsia" w:ascii="宋体" w:hAnsi="宋体" w:cs="宋体"/>
                <w:color w:val="000000"/>
                <w:kern w:val="0"/>
                <w:sz w:val="24"/>
              </w:rPr>
              <w:t>#九林桥</w:t>
            </w:r>
          </w:p>
        </w:tc>
        <w:tc>
          <w:tcPr>
            <w:tcW w:w="2892" w:type="dxa"/>
            <w:tcBorders>
              <w:top w:val="nil"/>
              <w:left w:val="nil"/>
              <w:bottom w:val="single" w:color="auto" w:sz="8" w:space="0"/>
              <w:right w:val="single" w:color="auto" w:sz="8" w:space="0"/>
            </w:tcBorders>
            <w:shd w:val="clear" w:color="auto" w:fill="auto"/>
            <w:vAlign w:val="center"/>
          </w:tcPr>
          <w:p w14:paraId="06349C27">
            <w:pPr>
              <w:widowControl/>
              <w:jc w:val="center"/>
              <w:rPr>
                <w:rFonts w:ascii="宋体" w:hAnsi="宋体" w:cs="宋体"/>
                <w:color w:val="000000"/>
                <w:kern w:val="0"/>
                <w:sz w:val="24"/>
              </w:rPr>
            </w:pPr>
            <w:r>
              <w:rPr>
                <w:rFonts w:hint="eastAsia" w:ascii="宋体" w:hAnsi="宋体" w:cs="宋体"/>
                <w:color w:val="000000"/>
                <w:kern w:val="0"/>
                <w:sz w:val="24"/>
              </w:rPr>
              <w:t>林校路-京九铁路</w:t>
            </w:r>
          </w:p>
        </w:tc>
        <w:tc>
          <w:tcPr>
            <w:tcW w:w="822" w:type="dxa"/>
            <w:tcBorders>
              <w:top w:val="nil"/>
              <w:left w:val="nil"/>
              <w:bottom w:val="single" w:color="auto" w:sz="8" w:space="0"/>
              <w:right w:val="single" w:color="auto" w:sz="8" w:space="0"/>
            </w:tcBorders>
            <w:shd w:val="clear" w:color="auto" w:fill="auto"/>
            <w:noWrap/>
            <w:vAlign w:val="center"/>
          </w:tcPr>
          <w:p w14:paraId="2B572B6F">
            <w:pPr>
              <w:widowControl/>
              <w:jc w:val="center"/>
              <w:rPr>
                <w:rFonts w:ascii="宋体" w:hAnsi="宋体" w:cs="宋体"/>
                <w:color w:val="000000"/>
                <w:kern w:val="0"/>
                <w:sz w:val="24"/>
              </w:rPr>
            </w:pPr>
            <w:r>
              <w:rPr>
                <w:rFonts w:hint="eastAsia" w:ascii="宋体" w:hAnsi="宋体" w:cs="宋体"/>
                <w:color w:val="000000"/>
                <w:kern w:val="0"/>
                <w:sz w:val="24"/>
              </w:rPr>
              <w:t>1</w:t>
            </w:r>
          </w:p>
        </w:tc>
        <w:tc>
          <w:tcPr>
            <w:tcW w:w="944" w:type="dxa"/>
            <w:tcBorders>
              <w:top w:val="nil"/>
              <w:left w:val="nil"/>
              <w:bottom w:val="single" w:color="auto" w:sz="8" w:space="0"/>
              <w:right w:val="single" w:color="auto" w:sz="8" w:space="0"/>
            </w:tcBorders>
            <w:shd w:val="clear" w:color="auto" w:fill="auto"/>
            <w:vAlign w:val="center"/>
          </w:tcPr>
          <w:p w14:paraId="4A29FBB1">
            <w:pPr>
              <w:widowControl/>
              <w:jc w:val="center"/>
              <w:rPr>
                <w:rFonts w:ascii="宋体" w:hAnsi="宋体" w:cs="宋体"/>
                <w:color w:val="000000"/>
                <w:kern w:val="0"/>
                <w:sz w:val="24"/>
              </w:rPr>
            </w:pPr>
            <w:r>
              <w:rPr>
                <w:rFonts w:hint="eastAsia" w:ascii="宋体" w:hAnsi="宋体" w:cs="宋体"/>
                <w:color w:val="000000"/>
                <w:kern w:val="0"/>
                <w:sz w:val="24"/>
              </w:rPr>
              <w:t>1</w:t>
            </w:r>
          </w:p>
        </w:tc>
        <w:tc>
          <w:tcPr>
            <w:tcW w:w="700" w:type="dxa"/>
            <w:tcBorders>
              <w:top w:val="nil"/>
              <w:left w:val="nil"/>
              <w:bottom w:val="single" w:color="auto" w:sz="8" w:space="0"/>
              <w:right w:val="single" w:color="auto" w:sz="8" w:space="0"/>
            </w:tcBorders>
            <w:shd w:val="clear" w:color="auto" w:fill="auto"/>
            <w:noWrap/>
            <w:vAlign w:val="center"/>
          </w:tcPr>
          <w:p w14:paraId="47A9A23F">
            <w:pPr>
              <w:widowControl/>
              <w:jc w:val="center"/>
              <w:rPr>
                <w:rFonts w:ascii="宋体" w:hAnsi="宋体" w:cs="宋体"/>
                <w:color w:val="000000"/>
                <w:kern w:val="0"/>
                <w:sz w:val="24"/>
              </w:rPr>
            </w:pPr>
            <w:r>
              <w:rPr>
                <w:rFonts w:hint="eastAsia" w:ascii="宋体" w:hAnsi="宋体" w:cs="宋体"/>
                <w:color w:val="000000"/>
                <w:kern w:val="0"/>
                <w:sz w:val="24"/>
              </w:rPr>
              <w:t>0</w:t>
            </w:r>
          </w:p>
        </w:tc>
      </w:tr>
      <w:tr w14:paraId="74811082">
        <w:tblPrEx>
          <w:tblCellMar>
            <w:top w:w="0" w:type="dxa"/>
            <w:left w:w="108" w:type="dxa"/>
            <w:bottom w:w="0" w:type="dxa"/>
            <w:right w:w="108" w:type="dxa"/>
          </w:tblCellMar>
        </w:tblPrEx>
        <w:trPr>
          <w:trHeight w:val="624" w:hRule="atLeast"/>
        </w:trPr>
        <w:tc>
          <w:tcPr>
            <w:tcW w:w="579" w:type="dxa"/>
            <w:tcBorders>
              <w:top w:val="nil"/>
              <w:left w:val="single" w:color="auto" w:sz="8" w:space="0"/>
              <w:bottom w:val="single" w:color="auto" w:sz="8" w:space="0"/>
              <w:right w:val="single" w:color="auto" w:sz="8" w:space="0"/>
            </w:tcBorders>
            <w:shd w:val="clear" w:color="auto" w:fill="auto"/>
            <w:vAlign w:val="center"/>
          </w:tcPr>
          <w:p w14:paraId="20A2FE43">
            <w:pPr>
              <w:widowControl/>
              <w:jc w:val="center"/>
              <w:rPr>
                <w:rFonts w:ascii="宋体" w:hAnsi="宋体" w:cs="宋体"/>
                <w:color w:val="000000"/>
                <w:kern w:val="0"/>
                <w:sz w:val="24"/>
              </w:rPr>
            </w:pPr>
            <w:r>
              <w:rPr>
                <w:rFonts w:hint="eastAsia" w:ascii="宋体" w:hAnsi="宋体" w:cs="宋体"/>
                <w:color w:val="000000"/>
                <w:kern w:val="0"/>
                <w:sz w:val="24"/>
              </w:rPr>
              <w:t>4</w:t>
            </w:r>
          </w:p>
        </w:tc>
        <w:tc>
          <w:tcPr>
            <w:tcW w:w="2343" w:type="dxa"/>
            <w:tcBorders>
              <w:top w:val="nil"/>
              <w:left w:val="nil"/>
              <w:bottom w:val="single" w:color="auto" w:sz="8" w:space="0"/>
              <w:right w:val="single" w:color="auto" w:sz="8" w:space="0"/>
            </w:tcBorders>
            <w:shd w:val="clear" w:color="auto" w:fill="auto"/>
            <w:vAlign w:val="center"/>
          </w:tcPr>
          <w:p w14:paraId="28010B03">
            <w:pPr>
              <w:widowControl/>
              <w:jc w:val="center"/>
              <w:rPr>
                <w:rFonts w:ascii="宋体" w:hAnsi="宋体" w:cs="宋体"/>
                <w:color w:val="000000"/>
                <w:kern w:val="0"/>
                <w:sz w:val="24"/>
              </w:rPr>
            </w:pPr>
            <w:r>
              <w:rPr>
                <w:rFonts w:hint="eastAsia" w:ascii="宋体" w:hAnsi="宋体" w:cs="宋体"/>
                <w:color w:val="000000"/>
                <w:kern w:val="0"/>
                <w:sz w:val="24"/>
              </w:rPr>
              <w:t>#九华桥</w:t>
            </w:r>
          </w:p>
        </w:tc>
        <w:tc>
          <w:tcPr>
            <w:tcW w:w="2892" w:type="dxa"/>
            <w:tcBorders>
              <w:top w:val="nil"/>
              <w:left w:val="nil"/>
              <w:bottom w:val="single" w:color="auto" w:sz="8" w:space="0"/>
              <w:right w:val="single" w:color="auto" w:sz="8" w:space="0"/>
            </w:tcBorders>
            <w:shd w:val="clear" w:color="auto" w:fill="auto"/>
            <w:vAlign w:val="center"/>
          </w:tcPr>
          <w:p w14:paraId="4B102E2F">
            <w:pPr>
              <w:widowControl/>
              <w:jc w:val="center"/>
              <w:rPr>
                <w:rFonts w:ascii="宋体" w:hAnsi="宋体" w:cs="宋体"/>
                <w:color w:val="000000"/>
                <w:kern w:val="0"/>
                <w:sz w:val="24"/>
              </w:rPr>
            </w:pPr>
            <w:r>
              <w:rPr>
                <w:rFonts w:hint="eastAsia" w:ascii="宋体" w:hAnsi="宋体" w:cs="宋体"/>
                <w:color w:val="000000"/>
                <w:kern w:val="0"/>
                <w:sz w:val="24"/>
              </w:rPr>
              <w:t>永华路-京九铁路</w:t>
            </w:r>
          </w:p>
        </w:tc>
        <w:tc>
          <w:tcPr>
            <w:tcW w:w="822" w:type="dxa"/>
            <w:tcBorders>
              <w:top w:val="nil"/>
              <w:left w:val="nil"/>
              <w:bottom w:val="single" w:color="auto" w:sz="8" w:space="0"/>
              <w:right w:val="single" w:color="auto" w:sz="8" w:space="0"/>
            </w:tcBorders>
            <w:shd w:val="clear" w:color="auto" w:fill="auto"/>
            <w:noWrap/>
            <w:vAlign w:val="center"/>
          </w:tcPr>
          <w:p w14:paraId="46C88E7A">
            <w:pPr>
              <w:widowControl/>
              <w:jc w:val="center"/>
              <w:rPr>
                <w:rFonts w:ascii="宋体" w:hAnsi="宋体" w:cs="宋体"/>
                <w:color w:val="000000"/>
                <w:kern w:val="0"/>
                <w:sz w:val="24"/>
              </w:rPr>
            </w:pPr>
            <w:r>
              <w:rPr>
                <w:rFonts w:hint="eastAsia" w:ascii="宋体" w:hAnsi="宋体" w:cs="宋体"/>
                <w:color w:val="000000"/>
                <w:kern w:val="0"/>
                <w:sz w:val="24"/>
              </w:rPr>
              <w:t>1</w:t>
            </w:r>
          </w:p>
        </w:tc>
        <w:tc>
          <w:tcPr>
            <w:tcW w:w="944" w:type="dxa"/>
            <w:tcBorders>
              <w:top w:val="nil"/>
              <w:left w:val="nil"/>
              <w:bottom w:val="single" w:color="auto" w:sz="8" w:space="0"/>
              <w:right w:val="single" w:color="auto" w:sz="8" w:space="0"/>
            </w:tcBorders>
            <w:shd w:val="clear" w:color="auto" w:fill="auto"/>
            <w:vAlign w:val="center"/>
          </w:tcPr>
          <w:p w14:paraId="170EAA27">
            <w:pPr>
              <w:widowControl/>
              <w:jc w:val="center"/>
              <w:rPr>
                <w:rFonts w:ascii="宋体" w:hAnsi="宋体" w:cs="宋体"/>
                <w:color w:val="000000"/>
                <w:kern w:val="0"/>
                <w:sz w:val="24"/>
              </w:rPr>
            </w:pPr>
            <w:r>
              <w:rPr>
                <w:rFonts w:hint="eastAsia" w:ascii="宋体" w:hAnsi="宋体" w:cs="宋体"/>
                <w:color w:val="000000"/>
                <w:kern w:val="0"/>
                <w:sz w:val="24"/>
              </w:rPr>
              <w:t>1</w:t>
            </w:r>
          </w:p>
        </w:tc>
        <w:tc>
          <w:tcPr>
            <w:tcW w:w="700" w:type="dxa"/>
            <w:tcBorders>
              <w:top w:val="nil"/>
              <w:left w:val="nil"/>
              <w:bottom w:val="single" w:color="auto" w:sz="8" w:space="0"/>
              <w:right w:val="single" w:color="auto" w:sz="8" w:space="0"/>
            </w:tcBorders>
            <w:shd w:val="clear" w:color="auto" w:fill="auto"/>
            <w:noWrap/>
            <w:vAlign w:val="center"/>
          </w:tcPr>
          <w:p w14:paraId="28A246C1">
            <w:pPr>
              <w:widowControl/>
              <w:jc w:val="center"/>
              <w:rPr>
                <w:rFonts w:ascii="宋体" w:hAnsi="宋体" w:cs="宋体"/>
                <w:color w:val="000000"/>
                <w:kern w:val="0"/>
                <w:sz w:val="24"/>
              </w:rPr>
            </w:pPr>
            <w:r>
              <w:rPr>
                <w:rFonts w:hint="eastAsia" w:ascii="宋体" w:hAnsi="宋体" w:cs="宋体"/>
                <w:color w:val="000000"/>
                <w:kern w:val="0"/>
                <w:sz w:val="24"/>
              </w:rPr>
              <w:t>0</w:t>
            </w:r>
          </w:p>
        </w:tc>
      </w:tr>
      <w:tr w14:paraId="6E017EB3">
        <w:tblPrEx>
          <w:tblCellMar>
            <w:top w:w="0" w:type="dxa"/>
            <w:left w:w="108" w:type="dxa"/>
            <w:bottom w:w="0" w:type="dxa"/>
            <w:right w:w="108" w:type="dxa"/>
          </w:tblCellMar>
        </w:tblPrEx>
        <w:trPr>
          <w:trHeight w:val="624" w:hRule="atLeast"/>
        </w:trPr>
        <w:tc>
          <w:tcPr>
            <w:tcW w:w="579" w:type="dxa"/>
            <w:tcBorders>
              <w:top w:val="nil"/>
              <w:left w:val="single" w:color="auto" w:sz="8" w:space="0"/>
              <w:bottom w:val="single" w:color="auto" w:sz="8" w:space="0"/>
              <w:right w:val="single" w:color="auto" w:sz="8" w:space="0"/>
            </w:tcBorders>
            <w:shd w:val="clear" w:color="auto" w:fill="auto"/>
            <w:vAlign w:val="center"/>
          </w:tcPr>
          <w:p w14:paraId="1663467D">
            <w:pPr>
              <w:widowControl/>
              <w:jc w:val="center"/>
              <w:rPr>
                <w:rFonts w:ascii="宋体" w:hAnsi="宋体" w:cs="宋体"/>
                <w:color w:val="000000"/>
                <w:kern w:val="0"/>
                <w:sz w:val="24"/>
              </w:rPr>
            </w:pPr>
            <w:r>
              <w:rPr>
                <w:rFonts w:hint="eastAsia" w:ascii="宋体" w:hAnsi="宋体" w:cs="宋体"/>
                <w:color w:val="000000"/>
                <w:kern w:val="0"/>
                <w:sz w:val="24"/>
              </w:rPr>
              <w:t>5</w:t>
            </w:r>
          </w:p>
        </w:tc>
        <w:tc>
          <w:tcPr>
            <w:tcW w:w="2343" w:type="dxa"/>
            <w:tcBorders>
              <w:top w:val="nil"/>
              <w:left w:val="nil"/>
              <w:bottom w:val="single" w:color="auto" w:sz="8" w:space="0"/>
              <w:right w:val="single" w:color="auto" w:sz="8" w:space="0"/>
            </w:tcBorders>
            <w:shd w:val="clear" w:color="auto" w:fill="auto"/>
            <w:vAlign w:val="center"/>
          </w:tcPr>
          <w:p w14:paraId="7993D53D">
            <w:pPr>
              <w:widowControl/>
              <w:jc w:val="center"/>
              <w:rPr>
                <w:rFonts w:ascii="宋体" w:hAnsi="宋体" w:cs="宋体"/>
                <w:color w:val="000000"/>
                <w:kern w:val="0"/>
                <w:sz w:val="24"/>
              </w:rPr>
            </w:pPr>
            <w:r>
              <w:rPr>
                <w:rFonts w:hint="eastAsia" w:ascii="宋体" w:hAnsi="宋体" w:cs="宋体"/>
                <w:color w:val="000000"/>
                <w:kern w:val="0"/>
                <w:sz w:val="24"/>
              </w:rPr>
              <w:t>#九源桥</w:t>
            </w:r>
          </w:p>
        </w:tc>
        <w:tc>
          <w:tcPr>
            <w:tcW w:w="2892" w:type="dxa"/>
            <w:tcBorders>
              <w:top w:val="nil"/>
              <w:left w:val="nil"/>
              <w:bottom w:val="single" w:color="auto" w:sz="8" w:space="0"/>
              <w:right w:val="single" w:color="auto" w:sz="8" w:space="0"/>
            </w:tcBorders>
            <w:shd w:val="clear" w:color="auto" w:fill="auto"/>
            <w:vAlign w:val="center"/>
          </w:tcPr>
          <w:p w14:paraId="37688F54">
            <w:pPr>
              <w:widowControl/>
              <w:jc w:val="center"/>
              <w:rPr>
                <w:rFonts w:ascii="宋体" w:hAnsi="宋体" w:cs="宋体"/>
                <w:color w:val="000000"/>
                <w:kern w:val="0"/>
                <w:sz w:val="24"/>
              </w:rPr>
            </w:pPr>
            <w:r>
              <w:rPr>
                <w:rFonts w:hint="eastAsia" w:ascii="宋体" w:hAnsi="宋体" w:cs="宋体"/>
                <w:color w:val="000000"/>
                <w:kern w:val="0"/>
                <w:sz w:val="24"/>
              </w:rPr>
              <w:t>清源路-京九铁路</w:t>
            </w:r>
          </w:p>
        </w:tc>
        <w:tc>
          <w:tcPr>
            <w:tcW w:w="822" w:type="dxa"/>
            <w:tcBorders>
              <w:top w:val="nil"/>
              <w:left w:val="nil"/>
              <w:bottom w:val="single" w:color="auto" w:sz="8" w:space="0"/>
              <w:right w:val="single" w:color="auto" w:sz="8" w:space="0"/>
            </w:tcBorders>
            <w:shd w:val="clear" w:color="auto" w:fill="auto"/>
            <w:noWrap/>
            <w:vAlign w:val="center"/>
          </w:tcPr>
          <w:p w14:paraId="414F6142">
            <w:pPr>
              <w:widowControl/>
              <w:jc w:val="center"/>
              <w:rPr>
                <w:rFonts w:ascii="宋体" w:hAnsi="宋体" w:cs="宋体"/>
                <w:color w:val="000000"/>
                <w:kern w:val="0"/>
                <w:sz w:val="24"/>
              </w:rPr>
            </w:pPr>
            <w:r>
              <w:rPr>
                <w:rFonts w:hint="eastAsia" w:ascii="宋体" w:hAnsi="宋体" w:cs="宋体"/>
                <w:color w:val="000000"/>
                <w:kern w:val="0"/>
                <w:sz w:val="24"/>
              </w:rPr>
              <w:t>1</w:t>
            </w:r>
          </w:p>
        </w:tc>
        <w:tc>
          <w:tcPr>
            <w:tcW w:w="944" w:type="dxa"/>
            <w:tcBorders>
              <w:top w:val="nil"/>
              <w:left w:val="nil"/>
              <w:bottom w:val="single" w:color="auto" w:sz="8" w:space="0"/>
              <w:right w:val="single" w:color="auto" w:sz="8" w:space="0"/>
            </w:tcBorders>
            <w:shd w:val="clear" w:color="auto" w:fill="auto"/>
            <w:vAlign w:val="center"/>
          </w:tcPr>
          <w:p w14:paraId="1D52EF5B">
            <w:pPr>
              <w:widowControl/>
              <w:jc w:val="center"/>
              <w:rPr>
                <w:rFonts w:ascii="宋体" w:hAnsi="宋体" w:cs="宋体"/>
                <w:color w:val="000000"/>
                <w:kern w:val="0"/>
                <w:sz w:val="24"/>
              </w:rPr>
            </w:pPr>
            <w:r>
              <w:rPr>
                <w:rFonts w:hint="eastAsia" w:ascii="宋体" w:hAnsi="宋体" w:cs="宋体"/>
                <w:color w:val="000000"/>
                <w:kern w:val="0"/>
                <w:sz w:val="24"/>
              </w:rPr>
              <w:t>1</w:t>
            </w:r>
          </w:p>
        </w:tc>
        <w:tc>
          <w:tcPr>
            <w:tcW w:w="700" w:type="dxa"/>
            <w:tcBorders>
              <w:top w:val="nil"/>
              <w:left w:val="nil"/>
              <w:bottom w:val="single" w:color="auto" w:sz="8" w:space="0"/>
              <w:right w:val="single" w:color="auto" w:sz="8" w:space="0"/>
            </w:tcBorders>
            <w:shd w:val="clear" w:color="auto" w:fill="auto"/>
            <w:noWrap/>
            <w:vAlign w:val="center"/>
          </w:tcPr>
          <w:p w14:paraId="11B52963">
            <w:pPr>
              <w:widowControl/>
              <w:jc w:val="center"/>
              <w:rPr>
                <w:rFonts w:ascii="宋体" w:hAnsi="宋体" w:cs="宋体"/>
                <w:color w:val="000000"/>
                <w:kern w:val="0"/>
                <w:sz w:val="24"/>
              </w:rPr>
            </w:pPr>
            <w:r>
              <w:rPr>
                <w:rFonts w:hint="eastAsia" w:ascii="宋体" w:hAnsi="宋体" w:cs="宋体"/>
                <w:color w:val="000000"/>
                <w:kern w:val="0"/>
                <w:sz w:val="24"/>
              </w:rPr>
              <w:t>0</w:t>
            </w:r>
          </w:p>
        </w:tc>
      </w:tr>
      <w:tr w14:paraId="0B52F2E6">
        <w:tblPrEx>
          <w:tblCellMar>
            <w:top w:w="0" w:type="dxa"/>
            <w:left w:w="108" w:type="dxa"/>
            <w:bottom w:w="0" w:type="dxa"/>
            <w:right w:w="108" w:type="dxa"/>
          </w:tblCellMar>
        </w:tblPrEx>
        <w:trPr>
          <w:trHeight w:val="624" w:hRule="atLeast"/>
        </w:trPr>
        <w:tc>
          <w:tcPr>
            <w:tcW w:w="579" w:type="dxa"/>
            <w:tcBorders>
              <w:top w:val="nil"/>
              <w:left w:val="single" w:color="auto" w:sz="8" w:space="0"/>
              <w:bottom w:val="single" w:color="auto" w:sz="8" w:space="0"/>
              <w:right w:val="single" w:color="auto" w:sz="8" w:space="0"/>
            </w:tcBorders>
            <w:shd w:val="clear" w:color="auto" w:fill="auto"/>
            <w:vAlign w:val="center"/>
          </w:tcPr>
          <w:p w14:paraId="4A667AA9">
            <w:pPr>
              <w:widowControl/>
              <w:jc w:val="center"/>
              <w:rPr>
                <w:rFonts w:ascii="宋体" w:hAnsi="宋体" w:cs="宋体"/>
                <w:color w:val="000000"/>
                <w:kern w:val="0"/>
                <w:sz w:val="24"/>
              </w:rPr>
            </w:pPr>
            <w:r>
              <w:rPr>
                <w:rFonts w:hint="eastAsia" w:ascii="宋体" w:hAnsi="宋体" w:cs="宋体"/>
                <w:color w:val="000000"/>
                <w:kern w:val="0"/>
                <w:sz w:val="24"/>
              </w:rPr>
              <w:t>6</w:t>
            </w:r>
          </w:p>
        </w:tc>
        <w:tc>
          <w:tcPr>
            <w:tcW w:w="2343" w:type="dxa"/>
            <w:tcBorders>
              <w:top w:val="nil"/>
              <w:left w:val="nil"/>
              <w:bottom w:val="single" w:color="auto" w:sz="8" w:space="0"/>
              <w:right w:val="single" w:color="auto" w:sz="8" w:space="0"/>
            </w:tcBorders>
            <w:shd w:val="clear" w:color="auto" w:fill="auto"/>
            <w:vAlign w:val="center"/>
          </w:tcPr>
          <w:p w14:paraId="587C72F2">
            <w:pPr>
              <w:widowControl/>
              <w:jc w:val="center"/>
              <w:rPr>
                <w:rFonts w:ascii="宋体" w:hAnsi="宋体" w:cs="宋体"/>
                <w:color w:val="000000"/>
                <w:kern w:val="0"/>
                <w:sz w:val="24"/>
              </w:rPr>
            </w:pPr>
            <w:r>
              <w:rPr>
                <w:rFonts w:hint="eastAsia" w:ascii="宋体" w:hAnsi="宋体" w:cs="宋体"/>
                <w:color w:val="000000"/>
                <w:kern w:val="0"/>
                <w:sz w:val="24"/>
              </w:rPr>
              <w:t>#康庄桥</w:t>
            </w:r>
          </w:p>
        </w:tc>
        <w:tc>
          <w:tcPr>
            <w:tcW w:w="2892" w:type="dxa"/>
            <w:tcBorders>
              <w:top w:val="nil"/>
              <w:left w:val="nil"/>
              <w:bottom w:val="single" w:color="auto" w:sz="8" w:space="0"/>
              <w:right w:val="single" w:color="auto" w:sz="8" w:space="0"/>
            </w:tcBorders>
            <w:shd w:val="clear" w:color="auto" w:fill="auto"/>
            <w:vAlign w:val="center"/>
          </w:tcPr>
          <w:p w14:paraId="395287AE">
            <w:pPr>
              <w:widowControl/>
              <w:jc w:val="center"/>
              <w:rPr>
                <w:rFonts w:ascii="宋体" w:hAnsi="宋体" w:cs="宋体"/>
                <w:color w:val="000000"/>
                <w:kern w:val="0"/>
                <w:sz w:val="24"/>
              </w:rPr>
            </w:pPr>
            <w:r>
              <w:rPr>
                <w:rFonts w:hint="eastAsia" w:ascii="宋体" w:hAnsi="宋体" w:cs="宋体"/>
                <w:color w:val="000000"/>
                <w:kern w:val="0"/>
                <w:sz w:val="24"/>
              </w:rPr>
              <w:t>康庄路-京九铁路</w:t>
            </w:r>
          </w:p>
        </w:tc>
        <w:tc>
          <w:tcPr>
            <w:tcW w:w="822" w:type="dxa"/>
            <w:tcBorders>
              <w:top w:val="nil"/>
              <w:left w:val="nil"/>
              <w:bottom w:val="single" w:color="auto" w:sz="8" w:space="0"/>
              <w:right w:val="single" w:color="auto" w:sz="8" w:space="0"/>
            </w:tcBorders>
            <w:shd w:val="clear" w:color="auto" w:fill="auto"/>
            <w:noWrap/>
            <w:vAlign w:val="center"/>
          </w:tcPr>
          <w:p w14:paraId="2E2BE8EA">
            <w:pPr>
              <w:widowControl/>
              <w:jc w:val="center"/>
              <w:rPr>
                <w:rFonts w:ascii="宋体" w:hAnsi="宋体" w:cs="宋体"/>
                <w:color w:val="000000"/>
                <w:kern w:val="0"/>
                <w:sz w:val="24"/>
              </w:rPr>
            </w:pPr>
            <w:r>
              <w:rPr>
                <w:rFonts w:hint="eastAsia" w:ascii="宋体" w:hAnsi="宋体" w:cs="宋体"/>
                <w:color w:val="000000"/>
                <w:kern w:val="0"/>
                <w:sz w:val="24"/>
              </w:rPr>
              <w:t>1</w:t>
            </w:r>
          </w:p>
        </w:tc>
        <w:tc>
          <w:tcPr>
            <w:tcW w:w="944" w:type="dxa"/>
            <w:tcBorders>
              <w:top w:val="nil"/>
              <w:left w:val="nil"/>
              <w:bottom w:val="single" w:color="auto" w:sz="8" w:space="0"/>
              <w:right w:val="single" w:color="auto" w:sz="8" w:space="0"/>
            </w:tcBorders>
            <w:shd w:val="clear" w:color="auto" w:fill="auto"/>
            <w:vAlign w:val="center"/>
          </w:tcPr>
          <w:p w14:paraId="65933684">
            <w:pPr>
              <w:widowControl/>
              <w:jc w:val="center"/>
              <w:rPr>
                <w:rFonts w:ascii="宋体" w:hAnsi="宋体" w:cs="宋体"/>
                <w:color w:val="000000"/>
                <w:kern w:val="0"/>
                <w:sz w:val="24"/>
              </w:rPr>
            </w:pPr>
            <w:r>
              <w:rPr>
                <w:rFonts w:hint="eastAsia" w:ascii="宋体" w:hAnsi="宋体" w:cs="宋体"/>
                <w:color w:val="000000"/>
                <w:kern w:val="0"/>
                <w:sz w:val="24"/>
              </w:rPr>
              <w:t>1</w:t>
            </w:r>
          </w:p>
        </w:tc>
        <w:tc>
          <w:tcPr>
            <w:tcW w:w="700" w:type="dxa"/>
            <w:tcBorders>
              <w:top w:val="nil"/>
              <w:left w:val="nil"/>
              <w:bottom w:val="single" w:color="auto" w:sz="8" w:space="0"/>
              <w:right w:val="single" w:color="auto" w:sz="8" w:space="0"/>
            </w:tcBorders>
            <w:shd w:val="clear" w:color="auto" w:fill="auto"/>
            <w:noWrap/>
            <w:vAlign w:val="center"/>
          </w:tcPr>
          <w:p w14:paraId="5B9F5A2A">
            <w:pPr>
              <w:widowControl/>
              <w:jc w:val="center"/>
              <w:rPr>
                <w:rFonts w:ascii="宋体" w:hAnsi="宋体" w:cs="宋体"/>
                <w:color w:val="000000"/>
                <w:kern w:val="0"/>
                <w:sz w:val="24"/>
              </w:rPr>
            </w:pPr>
            <w:r>
              <w:rPr>
                <w:rFonts w:hint="eastAsia" w:ascii="宋体" w:hAnsi="宋体" w:cs="宋体"/>
                <w:color w:val="000000"/>
                <w:kern w:val="0"/>
                <w:sz w:val="24"/>
              </w:rPr>
              <w:t>0</w:t>
            </w:r>
          </w:p>
        </w:tc>
      </w:tr>
      <w:tr w14:paraId="2D5423EE">
        <w:tblPrEx>
          <w:tblCellMar>
            <w:top w:w="0" w:type="dxa"/>
            <w:left w:w="108" w:type="dxa"/>
            <w:bottom w:w="0" w:type="dxa"/>
            <w:right w:w="108" w:type="dxa"/>
          </w:tblCellMar>
        </w:tblPrEx>
        <w:trPr>
          <w:trHeight w:val="624" w:hRule="atLeast"/>
        </w:trPr>
        <w:tc>
          <w:tcPr>
            <w:tcW w:w="579" w:type="dxa"/>
            <w:tcBorders>
              <w:top w:val="nil"/>
              <w:left w:val="single" w:color="auto" w:sz="8" w:space="0"/>
              <w:bottom w:val="single" w:color="auto" w:sz="8" w:space="0"/>
              <w:right w:val="single" w:color="auto" w:sz="8" w:space="0"/>
            </w:tcBorders>
            <w:shd w:val="clear" w:color="auto" w:fill="auto"/>
            <w:vAlign w:val="center"/>
          </w:tcPr>
          <w:p w14:paraId="083D1BC7">
            <w:pPr>
              <w:widowControl/>
              <w:jc w:val="center"/>
              <w:rPr>
                <w:rFonts w:ascii="宋体" w:hAnsi="宋体" w:cs="宋体"/>
                <w:color w:val="000000"/>
                <w:kern w:val="0"/>
                <w:sz w:val="24"/>
              </w:rPr>
            </w:pPr>
            <w:r>
              <w:rPr>
                <w:rFonts w:hint="eastAsia" w:ascii="宋体" w:hAnsi="宋体" w:cs="宋体"/>
                <w:color w:val="000000"/>
                <w:kern w:val="0"/>
                <w:sz w:val="24"/>
              </w:rPr>
              <w:t>7</w:t>
            </w:r>
          </w:p>
        </w:tc>
        <w:tc>
          <w:tcPr>
            <w:tcW w:w="2343" w:type="dxa"/>
            <w:tcBorders>
              <w:top w:val="nil"/>
              <w:left w:val="nil"/>
              <w:bottom w:val="single" w:color="auto" w:sz="8" w:space="0"/>
              <w:right w:val="single" w:color="auto" w:sz="8" w:space="0"/>
            </w:tcBorders>
            <w:shd w:val="clear" w:color="auto" w:fill="auto"/>
            <w:vAlign w:val="center"/>
          </w:tcPr>
          <w:p w14:paraId="2B5F59F1">
            <w:pPr>
              <w:widowControl/>
              <w:jc w:val="center"/>
              <w:rPr>
                <w:rFonts w:ascii="宋体" w:hAnsi="宋体" w:cs="宋体"/>
                <w:color w:val="000000"/>
                <w:kern w:val="0"/>
                <w:sz w:val="24"/>
              </w:rPr>
            </w:pPr>
            <w:r>
              <w:rPr>
                <w:rFonts w:hint="eastAsia" w:ascii="宋体" w:hAnsi="宋体" w:cs="宋体"/>
                <w:color w:val="000000"/>
                <w:kern w:val="0"/>
                <w:sz w:val="24"/>
              </w:rPr>
              <w:t>#金星桥</w:t>
            </w:r>
          </w:p>
        </w:tc>
        <w:tc>
          <w:tcPr>
            <w:tcW w:w="2892" w:type="dxa"/>
            <w:tcBorders>
              <w:top w:val="nil"/>
              <w:left w:val="nil"/>
              <w:bottom w:val="single" w:color="auto" w:sz="8" w:space="0"/>
              <w:right w:val="single" w:color="auto" w:sz="8" w:space="0"/>
            </w:tcBorders>
            <w:shd w:val="clear" w:color="auto" w:fill="auto"/>
            <w:vAlign w:val="center"/>
          </w:tcPr>
          <w:p w14:paraId="040A3252">
            <w:pPr>
              <w:widowControl/>
              <w:jc w:val="center"/>
              <w:rPr>
                <w:rFonts w:ascii="宋体" w:hAnsi="宋体" w:cs="宋体"/>
                <w:color w:val="000000"/>
                <w:kern w:val="0"/>
                <w:sz w:val="24"/>
              </w:rPr>
            </w:pPr>
            <w:r>
              <w:rPr>
                <w:rFonts w:hint="eastAsia" w:ascii="宋体" w:hAnsi="宋体" w:cs="宋体"/>
                <w:color w:val="000000"/>
                <w:kern w:val="0"/>
                <w:sz w:val="24"/>
              </w:rPr>
              <w:t>金星路-京九铁路</w:t>
            </w:r>
          </w:p>
        </w:tc>
        <w:tc>
          <w:tcPr>
            <w:tcW w:w="822" w:type="dxa"/>
            <w:tcBorders>
              <w:top w:val="nil"/>
              <w:left w:val="nil"/>
              <w:bottom w:val="single" w:color="auto" w:sz="8" w:space="0"/>
              <w:right w:val="single" w:color="auto" w:sz="8" w:space="0"/>
            </w:tcBorders>
            <w:shd w:val="clear" w:color="auto" w:fill="auto"/>
            <w:noWrap/>
            <w:vAlign w:val="center"/>
          </w:tcPr>
          <w:p w14:paraId="16391702">
            <w:pPr>
              <w:widowControl/>
              <w:jc w:val="center"/>
              <w:rPr>
                <w:rFonts w:ascii="宋体" w:hAnsi="宋体" w:cs="宋体"/>
                <w:color w:val="000000"/>
                <w:kern w:val="0"/>
                <w:sz w:val="24"/>
              </w:rPr>
            </w:pPr>
            <w:r>
              <w:rPr>
                <w:rFonts w:hint="eastAsia" w:ascii="宋体" w:hAnsi="宋体" w:cs="宋体"/>
                <w:color w:val="000000"/>
                <w:kern w:val="0"/>
                <w:sz w:val="24"/>
              </w:rPr>
              <w:t>1</w:t>
            </w:r>
          </w:p>
        </w:tc>
        <w:tc>
          <w:tcPr>
            <w:tcW w:w="944" w:type="dxa"/>
            <w:tcBorders>
              <w:top w:val="nil"/>
              <w:left w:val="nil"/>
              <w:bottom w:val="single" w:color="auto" w:sz="8" w:space="0"/>
              <w:right w:val="single" w:color="auto" w:sz="8" w:space="0"/>
            </w:tcBorders>
            <w:shd w:val="clear" w:color="auto" w:fill="auto"/>
            <w:vAlign w:val="center"/>
          </w:tcPr>
          <w:p w14:paraId="27346971">
            <w:pPr>
              <w:widowControl/>
              <w:jc w:val="center"/>
              <w:rPr>
                <w:rFonts w:ascii="宋体" w:hAnsi="宋体" w:cs="宋体"/>
                <w:color w:val="000000"/>
                <w:kern w:val="0"/>
                <w:sz w:val="24"/>
              </w:rPr>
            </w:pPr>
            <w:r>
              <w:rPr>
                <w:rFonts w:hint="eastAsia" w:ascii="宋体" w:hAnsi="宋体" w:cs="宋体"/>
                <w:color w:val="000000"/>
                <w:kern w:val="0"/>
                <w:sz w:val="24"/>
              </w:rPr>
              <w:t>1</w:t>
            </w:r>
          </w:p>
        </w:tc>
        <w:tc>
          <w:tcPr>
            <w:tcW w:w="700" w:type="dxa"/>
            <w:tcBorders>
              <w:top w:val="nil"/>
              <w:left w:val="nil"/>
              <w:bottom w:val="single" w:color="auto" w:sz="8" w:space="0"/>
              <w:right w:val="single" w:color="auto" w:sz="8" w:space="0"/>
            </w:tcBorders>
            <w:shd w:val="clear" w:color="auto" w:fill="auto"/>
            <w:noWrap/>
            <w:vAlign w:val="center"/>
          </w:tcPr>
          <w:p w14:paraId="20BDD2FE">
            <w:pPr>
              <w:widowControl/>
              <w:jc w:val="center"/>
              <w:rPr>
                <w:rFonts w:ascii="宋体" w:hAnsi="宋体" w:cs="宋体"/>
                <w:color w:val="000000"/>
                <w:kern w:val="0"/>
                <w:sz w:val="24"/>
              </w:rPr>
            </w:pPr>
            <w:r>
              <w:rPr>
                <w:rFonts w:hint="eastAsia" w:ascii="宋体" w:hAnsi="宋体" w:cs="宋体"/>
                <w:color w:val="000000"/>
                <w:kern w:val="0"/>
                <w:sz w:val="24"/>
              </w:rPr>
              <w:t>1</w:t>
            </w:r>
          </w:p>
        </w:tc>
      </w:tr>
      <w:tr w14:paraId="6C337F64">
        <w:tblPrEx>
          <w:tblCellMar>
            <w:top w:w="0" w:type="dxa"/>
            <w:left w:w="108" w:type="dxa"/>
            <w:bottom w:w="0" w:type="dxa"/>
            <w:right w:w="108" w:type="dxa"/>
          </w:tblCellMar>
        </w:tblPrEx>
        <w:trPr>
          <w:trHeight w:val="624" w:hRule="atLeast"/>
        </w:trPr>
        <w:tc>
          <w:tcPr>
            <w:tcW w:w="579" w:type="dxa"/>
            <w:tcBorders>
              <w:top w:val="nil"/>
              <w:left w:val="single" w:color="auto" w:sz="8" w:space="0"/>
              <w:bottom w:val="single" w:color="auto" w:sz="8" w:space="0"/>
              <w:right w:val="single" w:color="auto" w:sz="8" w:space="0"/>
            </w:tcBorders>
            <w:shd w:val="clear" w:color="auto" w:fill="auto"/>
            <w:vAlign w:val="center"/>
          </w:tcPr>
          <w:p w14:paraId="0FF32A25">
            <w:pPr>
              <w:widowControl/>
              <w:jc w:val="center"/>
              <w:rPr>
                <w:rFonts w:ascii="宋体" w:hAnsi="宋体" w:cs="宋体"/>
                <w:color w:val="000000"/>
                <w:kern w:val="0"/>
                <w:sz w:val="24"/>
              </w:rPr>
            </w:pPr>
            <w:r>
              <w:rPr>
                <w:rFonts w:hint="eastAsia" w:ascii="宋体" w:hAnsi="宋体" w:cs="宋体"/>
                <w:color w:val="000000"/>
                <w:kern w:val="0"/>
                <w:sz w:val="24"/>
              </w:rPr>
              <w:t>8</w:t>
            </w:r>
          </w:p>
        </w:tc>
        <w:tc>
          <w:tcPr>
            <w:tcW w:w="2343" w:type="dxa"/>
            <w:tcBorders>
              <w:top w:val="nil"/>
              <w:left w:val="nil"/>
              <w:bottom w:val="single" w:color="auto" w:sz="8" w:space="0"/>
              <w:right w:val="single" w:color="auto" w:sz="8" w:space="0"/>
            </w:tcBorders>
            <w:shd w:val="clear" w:color="auto" w:fill="auto"/>
            <w:vAlign w:val="center"/>
          </w:tcPr>
          <w:p w14:paraId="7EA48842">
            <w:pPr>
              <w:widowControl/>
              <w:jc w:val="center"/>
              <w:rPr>
                <w:rFonts w:ascii="宋体" w:hAnsi="宋体" w:cs="宋体"/>
                <w:color w:val="000000"/>
                <w:kern w:val="0"/>
                <w:sz w:val="24"/>
              </w:rPr>
            </w:pPr>
            <w:r>
              <w:rPr>
                <w:rFonts w:hint="eastAsia" w:ascii="宋体" w:hAnsi="宋体" w:cs="宋体"/>
                <w:color w:val="000000"/>
                <w:kern w:val="0"/>
                <w:sz w:val="24"/>
              </w:rPr>
              <w:t>#东方时尚桥</w:t>
            </w:r>
          </w:p>
        </w:tc>
        <w:tc>
          <w:tcPr>
            <w:tcW w:w="2892" w:type="dxa"/>
            <w:tcBorders>
              <w:top w:val="nil"/>
              <w:left w:val="nil"/>
              <w:bottom w:val="single" w:color="auto" w:sz="8" w:space="0"/>
              <w:right w:val="single" w:color="auto" w:sz="8" w:space="0"/>
            </w:tcBorders>
            <w:shd w:val="clear" w:color="auto" w:fill="auto"/>
            <w:vAlign w:val="center"/>
          </w:tcPr>
          <w:p w14:paraId="090C3C5F">
            <w:pPr>
              <w:widowControl/>
              <w:jc w:val="center"/>
              <w:rPr>
                <w:rFonts w:ascii="宋体" w:hAnsi="宋体" w:cs="宋体"/>
                <w:color w:val="000000"/>
                <w:kern w:val="0"/>
                <w:sz w:val="24"/>
              </w:rPr>
            </w:pPr>
            <w:r>
              <w:rPr>
                <w:rFonts w:hint="eastAsia" w:ascii="宋体" w:hAnsi="宋体" w:cs="宋体"/>
                <w:color w:val="000000"/>
                <w:kern w:val="0"/>
                <w:sz w:val="24"/>
              </w:rPr>
              <w:t>京山铁路-金星西路</w:t>
            </w:r>
          </w:p>
        </w:tc>
        <w:tc>
          <w:tcPr>
            <w:tcW w:w="822" w:type="dxa"/>
            <w:tcBorders>
              <w:top w:val="nil"/>
              <w:left w:val="nil"/>
              <w:bottom w:val="single" w:color="auto" w:sz="8" w:space="0"/>
              <w:right w:val="single" w:color="auto" w:sz="8" w:space="0"/>
            </w:tcBorders>
            <w:shd w:val="clear" w:color="auto" w:fill="auto"/>
            <w:noWrap/>
            <w:vAlign w:val="center"/>
          </w:tcPr>
          <w:p w14:paraId="3574CDAC">
            <w:pPr>
              <w:widowControl/>
              <w:jc w:val="center"/>
              <w:rPr>
                <w:rFonts w:ascii="宋体" w:hAnsi="宋体" w:cs="宋体"/>
                <w:color w:val="000000"/>
                <w:kern w:val="0"/>
                <w:sz w:val="24"/>
              </w:rPr>
            </w:pPr>
            <w:r>
              <w:rPr>
                <w:rFonts w:hint="eastAsia" w:ascii="宋体" w:hAnsi="宋体" w:cs="宋体"/>
                <w:color w:val="000000"/>
                <w:kern w:val="0"/>
                <w:sz w:val="24"/>
              </w:rPr>
              <w:t>1</w:t>
            </w:r>
          </w:p>
        </w:tc>
        <w:tc>
          <w:tcPr>
            <w:tcW w:w="944" w:type="dxa"/>
            <w:tcBorders>
              <w:top w:val="nil"/>
              <w:left w:val="nil"/>
              <w:bottom w:val="single" w:color="auto" w:sz="8" w:space="0"/>
              <w:right w:val="single" w:color="auto" w:sz="8" w:space="0"/>
            </w:tcBorders>
            <w:shd w:val="clear" w:color="auto" w:fill="auto"/>
            <w:vAlign w:val="center"/>
          </w:tcPr>
          <w:p w14:paraId="5D030C0F">
            <w:pPr>
              <w:widowControl/>
              <w:jc w:val="center"/>
              <w:rPr>
                <w:rFonts w:ascii="宋体" w:hAnsi="宋体" w:cs="宋体"/>
                <w:color w:val="000000"/>
                <w:kern w:val="0"/>
                <w:sz w:val="24"/>
              </w:rPr>
            </w:pPr>
            <w:r>
              <w:rPr>
                <w:rFonts w:hint="eastAsia" w:ascii="宋体" w:hAnsi="宋体" w:cs="宋体"/>
                <w:color w:val="000000"/>
                <w:kern w:val="0"/>
                <w:sz w:val="24"/>
              </w:rPr>
              <w:t>1</w:t>
            </w:r>
          </w:p>
        </w:tc>
        <w:tc>
          <w:tcPr>
            <w:tcW w:w="700" w:type="dxa"/>
            <w:tcBorders>
              <w:top w:val="nil"/>
              <w:left w:val="nil"/>
              <w:bottom w:val="single" w:color="auto" w:sz="8" w:space="0"/>
              <w:right w:val="single" w:color="auto" w:sz="8" w:space="0"/>
            </w:tcBorders>
            <w:shd w:val="clear" w:color="auto" w:fill="auto"/>
            <w:noWrap/>
            <w:vAlign w:val="center"/>
          </w:tcPr>
          <w:p w14:paraId="58F28DB7">
            <w:pPr>
              <w:widowControl/>
              <w:jc w:val="center"/>
              <w:rPr>
                <w:rFonts w:ascii="宋体" w:hAnsi="宋体" w:cs="宋体"/>
                <w:color w:val="000000"/>
                <w:kern w:val="0"/>
                <w:sz w:val="24"/>
              </w:rPr>
            </w:pPr>
            <w:r>
              <w:rPr>
                <w:rFonts w:hint="eastAsia" w:ascii="宋体" w:hAnsi="宋体" w:cs="宋体"/>
                <w:color w:val="000000"/>
                <w:kern w:val="0"/>
                <w:sz w:val="24"/>
              </w:rPr>
              <w:t>0</w:t>
            </w:r>
          </w:p>
        </w:tc>
      </w:tr>
      <w:tr w14:paraId="6B3046DA">
        <w:tblPrEx>
          <w:tblCellMar>
            <w:top w:w="0" w:type="dxa"/>
            <w:left w:w="108" w:type="dxa"/>
            <w:bottom w:w="0" w:type="dxa"/>
            <w:right w:w="108" w:type="dxa"/>
          </w:tblCellMar>
        </w:tblPrEx>
        <w:trPr>
          <w:trHeight w:val="624" w:hRule="atLeast"/>
        </w:trPr>
        <w:tc>
          <w:tcPr>
            <w:tcW w:w="579" w:type="dxa"/>
            <w:tcBorders>
              <w:top w:val="nil"/>
              <w:left w:val="single" w:color="auto" w:sz="8" w:space="0"/>
              <w:bottom w:val="single" w:color="auto" w:sz="8" w:space="0"/>
              <w:right w:val="single" w:color="auto" w:sz="8" w:space="0"/>
            </w:tcBorders>
            <w:shd w:val="clear" w:color="auto" w:fill="auto"/>
            <w:vAlign w:val="center"/>
          </w:tcPr>
          <w:p w14:paraId="0EAB1E56">
            <w:pPr>
              <w:widowControl/>
              <w:jc w:val="center"/>
              <w:rPr>
                <w:rFonts w:ascii="宋体" w:hAnsi="宋体" w:cs="宋体"/>
                <w:color w:val="000000"/>
                <w:kern w:val="0"/>
                <w:sz w:val="24"/>
              </w:rPr>
            </w:pPr>
            <w:r>
              <w:rPr>
                <w:rFonts w:hint="eastAsia" w:ascii="宋体" w:hAnsi="宋体" w:cs="宋体"/>
                <w:color w:val="000000"/>
                <w:kern w:val="0"/>
                <w:sz w:val="24"/>
              </w:rPr>
              <w:t>9</w:t>
            </w:r>
          </w:p>
        </w:tc>
        <w:tc>
          <w:tcPr>
            <w:tcW w:w="2343" w:type="dxa"/>
            <w:tcBorders>
              <w:top w:val="nil"/>
              <w:left w:val="nil"/>
              <w:bottom w:val="single" w:color="auto" w:sz="8" w:space="0"/>
              <w:right w:val="single" w:color="auto" w:sz="8" w:space="0"/>
            </w:tcBorders>
            <w:shd w:val="clear" w:color="auto" w:fill="auto"/>
            <w:vAlign w:val="center"/>
          </w:tcPr>
          <w:p w14:paraId="55B77839">
            <w:pPr>
              <w:widowControl/>
              <w:jc w:val="center"/>
              <w:rPr>
                <w:rFonts w:ascii="宋体" w:hAnsi="宋体" w:cs="宋体"/>
                <w:color w:val="000000"/>
                <w:kern w:val="0"/>
                <w:sz w:val="24"/>
              </w:rPr>
            </w:pPr>
            <w:r>
              <w:rPr>
                <w:rFonts w:hint="eastAsia" w:ascii="宋体" w:hAnsi="宋体" w:cs="宋体"/>
                <w:color w:val="000000"/>
                <w:kern w:val="0"/>
                <w:sz w:val="24"/>
              </w:rPr>
              <w:t>#清源公园北门</w:t>
            </w:r>
          </w:p>
        </w:tc>
        <w:tc>
          <w:tcPr>
            <w:tcW w:w="2892" w:type="dxa"/>
            <w:tcBorders>
              <w:top w:val="nil"/>
              <w:left w:val="nil"/>
              <w:bottom w:val="single" w:color="auto" w:sz="8" w:space="0"/>
              <w:right w:val="single" w:color="auto" w:sz="8" w:space="0"/>
            </w:tcBorders>
            <w:shd w:val="clear" w:color="auto" w:fill="auto"/>
            <w:vAlign w:val="center"/>
          </w:tcPr>
          <w:p w14:paraId="7A8BF846">
            <w:pPr>
              <w:widowControl/>
              <w:jc w:val="center"/>
              <w:rPr>
                <w:rFonts w:ascii="宋体" w:hAnsi="宋体" w:cs="宋体"/>
                <w:color w:val="000000"/>
                <w:kern w:val="0"/>
                <w:sz w:val="24"/>
              </w:rPr>
            </w:pPr>
            <w:r>
              <w:rPr>
                <w:rFonts w:hint="eastAsia" w:ascii="宋体" w:hAnsi="宋体" w:cs="宋体"/>
                <w:color w:val="000000"/>
                <w:kern w:val="0"/>
                <w:sz w:val="24"/>
              </w:rPr>
              <w:t>清源西路清源公园北门口</w:t>
            </w:r>
          </w:p>
        </w:tc>
        <w:tc>
          <w:tcPr>
            <w:tcW w:w="822" w:type="dxa"/>
            <w:tcBorders>
              <w:top w:val="nil"/>
              <w:left w:val="nil"/>
              <w:bottom w:val="single" w:color="auto" w:sz="8" w:space="0"/>
              <w:right w:val="single" w:color="auto" w:sz="8" w:space="0"/>
            </w:tcBorders>
            <w:shd w:val="clear" w:color="auto" w:fill="auto"/>
            <w:noWrap/>
            <w:vAlign w:val="center"/>
          </w:tcPr>
          <w:p w14:paraId="66C07FE7">
            <w:pPr>
              <w:widowControl/>
              <w:jc w:val="center"/>
              <w:rPr>
                <w:rFonts w:ascii="宋体" w:hAnsi="宋体" w:cs="宋体"/>
                <w:color w:val="000000"/>
                <w:kern w:val="0"/>
                <w:sz w:val="24"/>
              </w:rPr>
            </w:pPr>
            <w:r>
              <w:rPr>
                <w:rFonts w:hint="eastAsia" w:ascii="宋体" w:hAnsi="宋体" w:cs="宋体"/>
                <w:color w:val="000000"/>
                <w:kern w:val="0"/>
                <w:sz w:val="24"/>
              </w:rPr>
              <w:t>1</w:t>
            </w:r>
          </w:p>
        </w:tc>
        <w:tc>
          <w:tcPr>
            <w:tcW w:w="944" w:type="dxa"/>
            <w:tcBorders>
              <w:top w:val="nil"/>
              <w:left w:val="nil"/>
              <w:bottom w:val="single" w:color="auto" w:sz="8" w:space="0"/>
              <w:right w:val="single" w:color="auto" w:sz="8" w:space="0"/>
            </w:tcBorders>
            <w:shd w:val="clear" w:color="auto" w:fill="auto"/>
            <w:vAlign w:val="center"/>
          </w:tcPr>
          <w:p w14:paraId="01F79F1B">
            <w:pPr>
              <w:widowControl/>
              <w:jc w:val="center"/>
              <w:rPr>
                <w:rFonts w:ascii="宋体" w:hAnsi="宋体" w:cs="宋体"/>
                <w:color w:val="000000"/>
                <w:kern w:val="0"/>
                <w:sz w:val="24"/>
              </w:rPr>
            </w:pPr>
            <w:r>
              <w:rPr>
                <w:rFonts w:hint="eastAsia" w:ascii="宋体" w:hAnsi="宋体" w:cs="宋体"/>
                <w:color w:val="000000"/>
                <w:kern w:val="0"/>
                <w:sz w:val="24"/>
              </w:rPr>
              <w:t>0</w:t>
            </w:r>
          </w:p>
        </w:tc>
        <w:tc>
          <w:tcPr>
            <w:tcW w:w="700" w:type="dxa"/>
            <w:tcBorders>
              <w:top w:val="nil"/>
              <w:left w:val="nil"/>
              <w:bottom w:val="single" w:color="auto" w:sz="8" w:space="0"/>
              <w:right w:val="single" w:color="auto" w:sz="8" w:space="0"/>
            </w:tcBorders>
            <w:shd w:val="clear" w:color="auto" w:fill="auto"/>
            <w:vAlign w:val="center"/>
          </w:tcPr>
          <w:p w14:paraId="139F8EA7">
            <w:pPr>
              <w:widowControl/>
              <w:jc w:val="center"/>
              <w:rPr>
                <w:rFonts w:ascii="宋体" w:hAnsi="宋体" w:cs="宋体"/>
                <w:color w:val="000000"/>
                <w:kern w:val="0"/>
                <w:sz w:val="24"/>
              </w:rPr>
            </w:pPr>
            <w:r>
              <w:rPr>
                <w:rFonts w:hint="eastAsia" w:ascii="宋体" w:hAnsi="宋体" w:cs="宋体"/>
                <w:color w:val="000000"/>
                <w:kern w:val="0"/>
                <w:sz w:val="24"/>
              </w:rPr>
              <w:t>1</w:t>
            </w:r>
          </w:p>
        </w:tc>
      </w:tr>
      <w:tr w14:paraId="13D31B4E">
        <w:tblPrEx>
          <w:tblCellMar>
            <w:top w:w="0" w:type="dxa"/>
            <w:left w:w="108" w:type="dxa"/>
            <w:bottom w:w="0" w:type="dxa"/>
            <w:right w:w="108" w:type="dxa"/>
          </w:tblCellMar>
        </w:tblPrEx>
        <w:trPr>
          <w:trHeight w:val="624" w:hRule="atLeast"/>
        </w:trPr>
        <w:tc>
          <w:tcPr>
            <w:tcW w:w="579" w:type="dxa"/>
            <w:tcBorders>
              <w:top w:val="nil"/>
              <w:left w:val="single" w:color="auto" w:sz="8" w:space="0"/>
              <w:bottom w:val="single" w:color="auto" w:sz="8" w:space="0"/>
              <w:right w:val="single" w:color="auto" w:sz="8" w:space="0"/>
            </w:tcBorders>
            <w:shd w:val="clear" w:color="auto" w:fill="auto"/>
            <w:vAlign w:val="center"/>
          </w:tcPr>
          <w:p w14:paraId="361B1427">
            <w:pPr>
              <w:widowControl/>
              <w:jc w:val="center"/>
              <w:rPr>
                <w:rFonts w:ascii="宋体" w:hAnsi="宋体" w:cs="宋体"/>
                <w:color w:val="000000"/>
                <w:kern w:val="0"/>
                <w:sz w:val="24"/>
              </w:rPr>
            </w:pPr>
            <w:r>
              <w:rPr>
                <w:rFonts w:hint="eastAsia" w:ascii="宋体" w:hAnsi="宋体" w:cs="宋体"/>
                <w:color w:val="000000"/>
                <w:kern w:val="0"/>
                <w:sz w:val="24"/>
              </w:rPr>
              <w:t>10</w:t>
            </w:r>
          </w:p>
        </w:tc>
        <w:tc>
          <w:tcPr>
            <w:tcW w:w="2343" w:type="dxa"/>
            <w:tcBorders>
              <w:top w:val="nil"/>
              <w:left w:val="nil"/>
              <w:bottom w:val="single" w:color="auto" w:sz="8" w:space="0"/>
              <w:right w:val="single" w:color="auto" w:sz="8" w:space="0"/>
            </w:tcBorders>
            <w:shd w:val="clear" w:color="auto" w:fill="auto"/>
            <w:vAlign w:val="center"/>
          </w:tcPr>
          <w:p w14:paraId="47E0F8DB">
            <w:pPr>
              <w:widowControl/>
              <w:jc w:val="center"/>
              <w:rPr>
                <w:rFonts w:ascii="宋体" w:hAnsi="宋体" w:cs="宋体"/>
                <w:color w:val="000000"/>
                <w:kern w:val="0"/>
                <w:sz w:val="24"/>
              </w:rPr>
            </w:pPr>
            <w:r>
              <w:rPr>
                <w:rFonts w:hint="eastAsia" w:ascii="宋体" w:hAnsi="宋体" w:cs="宋体"/>
                <w:color w:val="000000"/>
                <w:kern w:val="0"/>
                <w:sz w:val="24"/>
              </w:rPr>
              <w:t>清源西路</w:t>
            </w:r>
          </w:p>
        </w:tc>
        <w:tc>
          <w:tcPr>
            <w:tcW w:w="2892" w:type="dxa"/>
            <w:tcBorders>
              <w:top w:val="nil"/>
              <w:left w:val="nil"/>
              <w:bottom w:val="single" w:color="auto" w:sz="8" w:space="0"/>
              <w:right w:val="single" w:color="auto" w:sz="8" w:space="0"/>
            </w:tcBorders>
            <w:shd w:val="clear" w:color="auto" w:fill="auto"/>
            <w:vAlign w:val="center"/>
          </w:tcPr>
          <w:p w14:paraId="1CB7B77D">
            <w:pPr>
              <w:widowControl/>
              <w:jc w:val="center"/>
              <w:rPr>
                <w:rFonts w:ascii="宋体" w:hAnsi="宋体" w:cs="宋体"/>
                <w:color w:val="000000"/>
                <w:kern w:val="0"/>
                <w:sz w:val="24"/>
              </w:rPr>
            </w:pPr>
            <w:r>
              <w:rPr>
                <w:rFonts w:hint="eastAsia" w:ascii="宋体" w:hAnsi="宋体" w:cs="宋体"/>
                <w:color w:val="000000"/>
                <w:kern w:val="0"/>
                <w:sz w:val="24"/>
              </w:rPr>
              <w:t>清源西路与西永路交口</w:t>
            </w:r>
          </w:p>
        </w:tc>
        <w:tc>
          <w:tcPr>
            <w:tcW w:w="822" w:type="dxa"/>
            <w:tcBorders>
              <w:top w:val="nil"/>
              <w:left w:val="nil"/>
              <w:bottom w:val="single" w:color="auto" w:sz="8" w:space="0"/>
              <w:right w:val="single" w:color="auto" w:sz="8" w:space="0"/>
            </w:tcBorders>
            <w:shd w:val="clear" w:color="auto" w:fill="auto"/>
            <w:noWrap/>
            <w:vAlign w:val="center"/>
          </w:tcPr>
          <w:p w14:paraId="4F06E64A">
            <w:pPr>
              <w:widowControl/>
              <w:jc w:val="center"/>
              <w:rPr>
                <w:rFonts w:ascii="宋体" w:hAnsi="宋体" w:cs="宋体"/>
                <w:color w:val="000000"/>
                <w:kern w:val="0"/>
                <w:sz w:val="24"/>
              </w:rPr>
            </w:pPr>
            <w:r>
              <w:rPr>
                <w:rFonts w:hint="eastAsia" w:ascii="宋体" w:hAnsi="宋体" w:cs="宋体"/>
                <w:color w:val="000000"/>
                <w:kern w:val="0"/>
                <w:sz w:val="24"/>
              </w:rPr>
              <w:t>0</w:t>
            </w:r>
          </w:p>
        </w:tc>
        <w:tc>
          <w:tcPr>
            <w:tcW w:w="944" w:type="dxa"/>
            <w:tcBorders>
              <w:top w:val="nil"/>
              <w:left w:val="nil"/>
              <w:bottom w:val="single" w:color="auto" w:sz="8" w:space="0"/>
              <w:right w:val="single" w:color="auto" w:sz="8" w:space="0"/>
            </w:tcBorders>
            <w:shd w:val="clear" w:color="auto" w:fill="auto"/>
            <w:noWrap/>
            <w:vAlign w:val="center"/>
          </w:tcPr>
          <w:p w14:paraId="56BD8158">
            <w:pPr>
              <w:widowControl/>
              <w:jc w:val="center"/>
              <w:rPr>
                <w:rFonts w:ascii="宋体" w:hAnsi="宋体" w:cs="宋体"/>
                <w:color w:val="000000"/>
                <w:kern w:val="0"/>
                <w:sz w:val="24"/>
              </w:rPr>
            </w:pPr>
            <w:r>
              <w:rPr>
                <w:rFonts w:hint="eastAsia" w:ascii="宋体" w:hAnsi="宋体" w:cs="宋体"/>
                <w:color w:val="000000"/>
                <w:kern w:val="0"/>
                <w:sz w:val="24"/>
              </w:rPr>
              <w:t>0</w:t>
            </w:r>
          </w:p>
        </w:tc>
        <w:tc>
          <w:tcPr>
            <w:tcW w:w="700" w:type="dxa"/>
            <w:tcBorders>
              <w:top w:val="nil"/>
              <w:left w:val="nil"/>
              <w:bottom w:val="single" w:color="auto" w:sz="8" w:space="0"/>
              <w:right w:val="single" w:color="auto" w:sz="8" w:space="0"/>
            </w:tcBorders>
            <w:shd w:val="clear" w:color="auto" w:fill="auto"/>
            <w:noWrap/>
            <w:vAlign w:val="center"/>
          </w:tcPr>
          <w:p w14:paraId="3F17EC5A">
            <w:pPr>
              <w:widowControl/>
              <w:jc w:val="center"/>
              <w:rPr>
                <w:rFonts w:ascii="宋体" w:hAnsi="宋体" w:cs="宋体"/>
                <w:color w:val="000000"/>
                <w:kern w:val="0"/>
                <w:sz w:val="24"/>
              </w:rPr>
            </w:pPr>
            <w:r>
              <w:rPr>
                <w:rFonts w:hint="eastAsia" w:ascii="宋体" w:hAnsi="宋体" w:cs="宋体"/>
                <w:color w:val="000000"/>
                <w:kern w:val="0"/>
                <w:sz w:val="24"/>
              </w:rPr>
              <w:t>0</w:t>
            </w:r>
          </w:p>
        </w:tc>
      </w:tr>
      <w:tr w14:paraId="20A301A6">
        <w:tblPrEx>
          <w:tblCellMar>
            <w:top w:w="0" w:type="dxa"/>
            <w:left w:w="108" w:type="dxa"/>
            <w:bottom w:w="0" w:type="dxa"/>
            <w:right w:w="108" w:type="dxa"/>
          </w:tblCellMar>
        </w:tblPrEx>
        <w:trPr>
          <w:trHeight w:val="624" w:hRule="atLeast"/>
        </w:trPr>
        <w:tc>
          <w:tcPr>
            <w:tcW w:w="579" w:type="dxa"/>
            <w:tcBorders>
              <w:top w:val="nil"/>
              <w:left w:val="single" w:color="auto" w:sz="8" w:space="0"/>
              <w:bottom w:val="single" w:color="auto" w:sz="8" w:space="0"/>
              <w:right w:val="single" w:color="auto" w:sz="8" w:space="0"/>
            </w:tcBorders>
            <w:shd w:val="clear" w:color="auto" w:fill="auto"/>
            <w:vAlign w:val="center"/>
          </w:tcPr>
          <w:p w14:paraId="24CB3450">
            <w:pPr>
              <w:widowControl/>
              <w:jc w:val="center"/>
              <w:rPr>
                <w:rFonts w:ascii="宋体" w:hAnsi="宋体" w:cs="宋体"/>
                <w:color w:val="000000"/>
                <w:kern w:val="0"/>
                <w:sz w:val="24"/>
              </w:rPr>
            </w:pPr>
            <w:r>
              <w:rPr>
                <w:rFonts w:hint="eastAsia" w:ascii="宋体" w:hAnsi="宋体" w:cs="宋体"/>
                <w:color w:val="000000"/>
                <w:kern w:val="0"/>
                <w:sz w:val="24"/>
              </w:rPr>
              <w:t>11</w:t>
            </w:r>
          </w:p>
        </w:tc>
        <w:tc>
          <w:tcPr>
            <w:tcW w:w="2343" w:type="dxa"/>
            <w:tcBorders>
              <w:top w:val="nil"/>
              <w:left w:val="nil"/>
              <w:bottom w:val="single" w:color="auto" w:sz="8" w:space="0"/>
              <w:right w:val="single" w:color="auto" w:sz="8" w:space="0"/>
            </w:tcBorders>
            <w:shd w:val="clear" w:color="auto" w:fill="auto"/>
            <w:vAlign w:val="center"/>
          </w:tcPr>
          <w:p w14:paraId="22A2A4A6">
            <w:pPr>
              <w:widowControl/>
              <w:jc w:val="center"/>
              <w:rPr>
                <w:rFonts w:ascii="宋体" w:hAnsi="宋体" w:cs="宋体"/>
                <w:color w:val="000000"/>
                <w:kern w:val="0"/>
                <w:sz w:val="24"/>
              </w:rPr>
            </w:pPr>
            <w:r>
              <w:rPr>
                <w:rFonts w:hint="eastAsia" w:ascii="宋体" w:hAnsi="宋体" w:cs="宋体"/>
                <w:color w:val="000000"/>
                <w:kern w:val="0"/>
                <w:sz w:val="24"/>
              </w:rPr>
              <w:t>绿邦北门</w:t>
            </w:r>
          </w:p>
        </w:tc>
        <w:tc>
          <w:tcPr>
            <w:tcW w:w="2892" w:type="dxa"/>
            <w:tcBorders>
              <w:top w:val="nil"/>
              <w:left w:val="nil"/>
              <w:bottom w:val="single" w:color="auto" w:sz="8" w:space="0"/>
              <w:right w:val="single" w:color="auto" w:sz="8" w:space="0"/>
            </w:tcBorders>
            <w:shd w:val="clear" w:color="auto" w:fill="auto"/>
            <w:vAlign w:val="center"/>
          </w:tcPr>
          <w:p w14:paraId="54934800">
            <w:pPr>
              <w:widowControl/>
              <w:jc w:val="center"/>
              <w:rPr>
                <w:rFonts w:ascii="宋体" w:hAnsi="宋体" w:cs="宋体"/>
                <w:color w:val="000000"/>
                <w:kern w:val="0"/>
                <w:sz w:val="24"/>
              </w:rPr>
            </w:pPr>
            <w:r>
              <w:rPr>
                <w:rFonts w:hint="eastAsia" w:ascii="宋体" w:hAnsi="宋体" w:cs="宋体"/>
                <w:color w:val="000000"/>
                <w:kern w:val="0"/>
                <w:sz w:val="24"/>
              </w:rPr>
              <w:t>绿邦门口</w:t>
            </w:r>
          </w:p>
        </w:tc>
        <w:tc>
          <w:tcPr>
            <w:tcW w:w="822" w:type="dxa"/>
            <w:tcBorders>
              <w:top w:val="nil"/>
              <w:left w:val="nil"/>
              <w:bottom w:val="single" w:color="auto" w:sz="8" w:space="0"/>
              <w:right w:val="single" w:color="auto" w:sz="8" w:space="0"/>
            </w:tcBorders>
            <w:shd w:val="clear" w:color="auto" w:fill="auto"/>
            <w:noWrap/>
            <w:vAlign w:val="center"/>
          </w:tcPr>
          <w:p w14:paraId="313DFDB8">
            <w:pPr>
              <w:widowControl/>
              <w:jc w:val="center"/>
              <w:rPr>
                <w:rFonts w:ascii="宋体" w:hAnsi="宋体" w:cs="宋体"/>
                <w:color w:val="000000"/>
                <w:kern w:val="0"/>
                <w:sz w:val="24"/>
              </w:rPr>
            </w:pPr>
            <w:r>
              <w:rPr>
                <w:rFonts w:hint="eastAsia" w:ascii="宋体" w:hAnsi="宋体" w:cs="宋体"/>
                <w:color w:val="000000"/>
                <w:kern w:val="0"/>
                <w:sz w:val="24"/>
              </w:rPr>
              <w:t>1</w:t>
            </w:r>
          </w:p>
        </w:tc>
        <w:tc>
          <w:tcPr>
            <w:tcW w:w="944" w:type="dxa"/>
            <w:tcBorders>
              <w:top w:val="nil"/>
              <w:left w:val="nil"/>
              <w:bottom w:val="single" w:color="auto" w:sz="8" w:space="0"/>
              <w:right w:val="single" w:color="auto" w:sz="8" w:space="0"/>
            </w:tcBorders>
            <w:shd w:val="clear" w:color="auto" w:fill="auto"/>
            <w:vAlign w:val="center"/>
          </w:tcPr>
          <w:p w14:paraId="323B4DE4">
            <w:pPr>
              <w:widowControl/>
              <w:jc w:val="center"/>
              <w:rPr>
                <w:rFonts w:ascii="宋体" w:hAnsi="宋体" w:cs="宋体"/>
                <w:color w:val="000000"/>
                <w:kern w:val="0"/>
                <w:sz w:val="24"/>
              </w:rPr>
            </w:pPr>
            <w:r>
              <w:rPr>
                <w:rFonts w:hint="eastAsia" w:ascii="宋体" w:hAnsi="宋体" w:cs="宋体"/>
                <w:color w:val="000000"/>
                <w:kern w:val="0"/>
                <w:sz w:val="24"/>
              </w:rPr>
              <w:t>0</w:t>
            </w:r>
          </w:p>
        </w:tc>
        <w:tc>
          <w:tcPr>
            <w:tcW w:w="700" w:type="dxa"/>
            <w:tcBorders>
              <w:top w:val="nil"/>
              <w:left w:val="nil"/>
              <w:bottom w:val="single" w:color="auto" w:sz="8" w:space="0"/>
              <w:right w:val="single" w:color="auto" w:sz="8" w:space="0"/>
            </w:tcBorders>
            <w:shd w:val="clear" w:color="auto" w:fill="auto"/>
            <w:noWrap/>
            <w:vAlign w:val="center"/>
          </w:tcPr>
          <w:p w14:paraId="2827F9B3">
            <w:pPr>
              <w:widowControl/>
              <w:jc w:val="center"/>
              <w:rPr>
                <w:rFonts w:ascii="宋体" w:hAnsi="宋体" w:cs="宋体"/>
                <w:color w:val="000000"/>
                <w:kern w:val="0"/>
                <w:sz w:val="24"/>
              </w:rPr>
            </w:pPr>
            <w:r>
              <w:rPr>
                <w:rFonts w:hint="eastAsia" w:ascii="宋体" w:hAnsi="宋体" w:cs="宋体"/>
                <w:color w:val="000000"/>
                <w:kern w:val="0"/>
                <w:sz w:val="24"/>
              </w:rPr>
              <w:t>0</w:t>
            </w:r>
          </w:p>
        </w:tc>
      </w:tr>
      <w:tr w14:paraId="477101AF">
        <w:tblPrEx>
          <w:tblCellMar>
            <w:top w:w="0" w:type="dxa"/>
            <w:left w:w="108" w:type="dxa"/>
            <w:bottom w:w="0" w:type="dxa"/>
            <w:right w:w="108" w:type="dxa"/>
          </w:tblCellMar>
        </w:tblPrEx>
        <w:trPr>
          <w:trHeight w:val="624" w:hRule="atLeast"/>
        </w:trPr>
        <w:tc>
          <w:tcPr>
            <w:tcW w:w="579" w:type="dxa"/>
            <w:tcBorders>
              <w:top w:val="nil"/>
              <w:left w:val="single" w:color="auto" w:sz="8" w:space="0"/>
              <w:bottom w:val="single" w:color="auto" w:sz="8" w:space="0"/>
              <w:right w:val="single" w:color="auto" w:sz="8" w:space="0"/>
            </w:tcBorders>
            <w:shd w:val="clear" w:color="auto" w:fill="auto"/>
            <w:vAlign w:val="center"/>
          </w:tcPr>
          <w:p w14:paraId="28830AEF">
            <w:pPr>
              <w:widowControl/>
              <w:jc w:val="center"/>
              <w:rPr>
                <w:rFonts w:ascii="宋体" w:hAnsi="宋体" w:cs="宋体"/>
                <w:color w:val="000000"/>
                <w:kern w:val="0"/>
                <w:sz w:val="24"/>
              </w:rPr>
            </w:pPr>
            <w:r>
              <w:rPr>
                <w:rFonts w:hint="eastAsia" w:ascii="宋体" w:hAnsi="宋体" w:cs="宋体"/>
                <w:color w:val="000000"/>
                <w:kern w:val="0"/>
                <w:sz w:val="24"/>
              </w:rPr>
              <w:t>12</w:t>
            </w:r>
          </w:p>
        </w:tc>
        <w:tc>
          <w:tcPr>
            <w:tcW w:w="2343" w:type="dxa"/>
            <w:tcBorders>
              <w:top w:val="nil"/>
              <w:left w:val="nil"/>
              <w:bottom w:val="single" w:color="auto" w:sz="8" w:space="0"/>
              <w:right w:val="single" w:color="auto" w:sz="8" w:space="0"/>
            </w:tcBorders>
            <w:shd w:val="clear" w:color="auto" w:fill="auto"/>
            <w:vAlign w:val="center"/>
          </w:tcPr>
          <w:p w14:paraId="46472D31">
            <w:pPr>
              <w:widowControl/>
              <w:jc w:val="center"/>
              <w:rPr>
                <w:rFonts w:ascii="宋体" w:hAnsi="宋体" w:cs="宋体"/>
                <w:color w:val="000000"/>
                <w:kern w:val="0"/>
                <w:sz w:val="24"/>
              </w:rPr>
            </w:pPr>
            <w:r>
              <w:rPr>
                <w:rFonts w:hint="eastAsia" w:ascii="宋体" w:hAnsi="宋体" w:cs="宋体"/>
                <w:color w:val="000000"/>
                <w:kern w:val="0"/>
                <w:sz w:val="24"/>
              </w:rPr>
              <w:t>#绿苑酒店</w:t>
            </w:r>
          </w:p>
        </w:tc>
        <w:tc>
          <w:tcPr>
            <w:tcW w:w="2892" w:type="dxa"/>
            <w:tcBorders>
              <w:top w:val="nil"/>
              <w:left w:val="nil"/>
              <w:bottom w:val="single" w:color="auto" w:sz="8" w:space="0"/>
              <w:right w:val="single" w:color="auto" w:sz="8" w:space="0"/>
            </w:tcBorders>
            <w:shd w:val="clear" w:color="auto" w:fill="auto"/>
            <w:vAlign w:val="center"/>
          </w:tcPr>
          <w:p w14:paraId="339D9DBF">
            <w:pPr>
              <w:widowControl/>
              <w:jc w:val="center"/>
              <w:rPr>
                <w:rFonts w:ascii="宋体" w:hAnsi="宋体" w:cs="宋体"/>
                <w:color w:val="000000"/>
                <w:kern w:val="0"/>
                <w:sz w:val="24"/>
              </w:rPr>
            </w:pPr>
            <w:r>
              <w:rPr>
                <w:rFonts w:hint="eastAsia" w:ascii="宋体" w:hAnsi="宋体" w:cs="宋体"/>
                <w:color w:val="000000"/>
                <w:kern w:val="0"/>
                <w:sz w:val="24"/>
              </w:rPr>
              <w:t>绿苑酒店门口</w:t>
            </w:r>
          </w:p>
        </w:tc>
        <w:tc>
          <w:tcPr>
            <w:tcW w:w="822" w:type="dxa"/>
            <w:tcBorders>
              <w:top w:val="nil"/>
              <w:left w:val="nil"/>
              <w:bottom w:val="single" w:color="auto" w:sz="8" w:space="0"/>
              <w:right w:val="single" w:color="auto" w:sz="8" w:space="0"/>
            </w:tcBorders>
            <w:shd w:val="clear" w:color="auto" w:fill="auto"/>
            <w:noWrap/>
            <w:vAlign w:val="center"/>
          </w:tcPr>
          <w:p w14:paraId="40B98646">
            <w:pPr>
              <w:widowControl/>
              <w:jc w:val="center"/>
              <w:rPr>
                <w:rFonts w:ascii="宋体" w:hAnsi="宋体" w:cs="宋体"/>
                <w:color w:val="000000"/>
                <w:kern w:val="0"/>
                <w:sz w:val="24"/>
              </w:rPr>
            </w:pPr>
            <w:r>
              <w:rPr>
                <w:rFonts w:hint="eastAsia" w:ascii="宋体" w:hAnsi="宋体" w:cs="宋体"/>
                <w:color w:val="000000"/>
                <w:kern w:val="0"/>
                <w:sz w:val="24"/>
              </w:rPr>
              <w:t>1</w:t>
            </w:r>
          </w:p>
        </w:tc>
        <w:tc>
          <w:tcPr>
            <w:tcW w:w="944" w:type="dxa"/>
            <w:tcBorders>
              <w:top w:val="nil"/>
              <w:left w:val="nil"/>
              <w:bottom w:val="single" w:color="auto" w:sz="8" w:space="0"/>
              <w:right w:val="single" w:color="auto" w:sz="8" w:space="0"/>
            </w:tcBorders>
            <w:shd w:val="clear" w:color="auto" w:fill="auto"/>
            <w:noWrap/>
            <w:vAlign w:val="center"/>
          </w:tcPr>
          <w:p w14:paraId="2860F5C3">
            <w:pPr>
              <w:widowControl/>
              <w:jc w:val="center"/>
              <w:rPr>
                <w:rFonts w:ascii="宋体" w:hAnsi="宋体" w:cs="宋体"/>
                <w:color w:val="000000"/>
                <w:kern w:val="0"/>
                <w:sz w:val="24"/>
              </w:rPr>
            </w:pPr>
            <w:r>
              <w:rPr>
                <w:rFonts w:hint="eastAsia" w:ascii="宋体" w:hAnsi="宋体" w:cs="宋体"/>
                <w:color w:val="000000"/>
                <w:kern w:val="0"/>
                <w:sz w:val="24"/>
              </w:rPr>
              <w:t>0</w:t>
            </w:r>
          </w:p>
        </w:tc>
        <w:tc>
          <w:tcPr>
            <w:tcW w:w="700" w:type="dxa"/>
            <w:tcBorders>
              <w:top w:val="nil"/>
              <w:left w:val="nil"/>
              <w:bottom w:val="single" w:color="auto" w:sz="8" w:space="0"/>
              <w:right w:val="single" w:color="auto" w:sz="8" w:space="0"/>
            </w:tcBorders>
            <w:shd w:val="clear" w:color="auto" w:fill="auto"/>
            <w:noWrap/>
            <w:vAlign w:val="center"/>
          </w:tcPr>
          <w:p w14:paraId="2AC0F483">
            <w:pPr>
              <w:widowControl/>
              <w:jc w:val="center"/>
              <w:rPr>
                <w:rFonts w:ascii="宋体" w:hAnsi="宋体" w:cs="宋体"/>
                <w:color w:val="000000"/>
                <w:kern w:val="0"/>
                <w:sz w:val="24"/>
              </w:rPr>
            </w:pPr>
            <w:r>
              <w:rPr>
                <w:rFonts w:hint="eastAsia" w:ascii="宋体" w:hAnsi="宋体" w:cs="宋体"/>
                <w:color w:val="000000"/>
                <w:kern w:val="0"/>
                <w:sz w:val="24"/>
              </w:rPr>
              <w:t>0</w:t>
            </w:r>
          </w:p>
        </w:tc>
      </w:tr>
      <w:tr w14:paraId="0C9B88F6">
        <w:tblPrEx>
          <w:tblCellMar>
            <w:top w:w="0" w:type="dxa"/>
            <w:left w:w="108" w:type="dxa"/>
            <w:bottom w:w="0" w:type="dxa"/>
            <w:right w:w="108" w:type="dxa"/>
          </w:tblCellMar>
        </w:tblPrEx>
        <w:trPr>
          <w:trHeight w:val="624" w:hRule="atLeast"/>
        </w:trPr>
        <w:tc>
          <w:tcPr>
            <w:tcW w:w="579" w:type="dxa"/>
            <w:tcBorders>
              <w:top w:val="nil"/>
              <w:left w:val="single" w:color="auto" w:sz="8" w:space="0"/>
              <w:bottom w:val="single" w:color="auto" w:sz="8" w:space="0"/>
              <w:right w:val="single" w:color="auto" w:sz="8" w:space="0"/>
            </w:tcBorders>
            <w:shd w:val="clear" w:color="auto" w:fill="auto"/>
            <w:vAlign w:val="center"/>
          </w:tcPr>
          <w:p w14:paraId="555A63F9">
            <w:pPr>
              <w:widowControl/>
              <w:jc w:val="center"/>
              <w:rPr>
                <w:rFonts w:ascii="宋体" w:hAnsi="宋体" w:cs="宋体"/>
                <w:color w:val="000000"/>
                <w:kern w:val="0"/>
                <w:sz w:val="24"/>
              </w:rPr>
            </w:pPr>
            <w:r>
              <w:rPr>
                <w:rFonts w:hint="eastAsia" w:ascii="宋体" w:hAnsi="宋体" w:cs="宋体"/>
                <w:color w:val="000000"/>
                <w:kern w:val="0"/>
                <w:sz w:val="24"/>
              </w:rPr>
              <w:t>13</w:t>
            </w:r>
          </w:p>
        </w:tc>
        <w:tc>
          <w:tcPr>
            <w:tcW w:w="2343" w:type="dxa"/>
            <w:tcBorders>
              <w:top w:val="nil"/>
              <w:left w:val="nil"/>
              <w:bottom w:val="single" w:color="auto" w:sz="8" w:space="0"/>
              <w:right w:val="single" w:color="auto" w:sz="8" w:space="0"/>
            </w:tcBorders>
            <w:shd w:val="clear" w:color="auto" w:fill="auto"/>
            <w:vAlign w:val="center"/>
          </w:tcPr>
          <w:p w14:paraId="07BA39A7">
            <w:pPr>
              <w:widowControl/>
              <w:jc w:val="center"/>
              <w:rPr>
                <w:rFonts w:ascii="宋体" w:hAnsi="宋体" w:cs="宋体"/>
                <w:color w:val="000000"/>
                <w:kern w:val="0"/>
                <w:sz w:val="24"/>
              </w:rPr>
            </w:pPr>
            <w:r>
              <w:rPr>
                <w:rFonts w:hint="eastAsia" w:ascii="宋体" w:hAnsi="宋体" w:cs="宋体"/>
                <w:color w:val="000000"/>
                <w:kern w:val="0"/>
                <w:sz w:val="24"/>
              </w:rPr>
              <w:t>党校路口</w:t>
            </w:r>
          </w:p>
        </w:tc>
        <w:tc>
          <w:tcPr>
            <w:tcW w:w="2892" w:type="dxa"/>
            <w:tcBorders>
              <w:top w:val="nil"/>
              <w:left w:val="nil"/>
              <w:bottom w:val="single" w:color="auto" w:sz="8" w:space="0"/>
              <w:right w:val="single" w:color="auto" w:sz="8" w:space="0"/>
            </w:tcBorders>
            <w:shd w:val="clear" w:color="auto" w:fill="auto"/>
            <w:vAlign w:val="center"/>
          </w:tcPr>
          <w:p w14:paraId="0E426841">
            <w:pPr>
              <w:widowControl/>
              <w:jc w:val="center"/>
              <w:rPr>
                <w:rFonts w:ascii="宋体" w:hAnsi="宋体" w:cs="宋体"/>
                <w:color w:val="000000"/>
                <w:kern w:val="0"/>
                <w:sz w:val="24"/>
              </w:rPr>
            </w:pPr>
            <w:r>
              <w:rPr>
                <w:rFonts w:hint="eastAsia" w:ascii="宋体" w:hAnsi="宋体" w:cs="宋体"/>
                <w:color w:val="000000"/>
                <w:kern w:val="0"/>
                <w:sz w:val="24"/>
              </w:rPr>
              <w:t>西永路与党校路交口</w:t>
            </w:r>
          </w:p>
        </w:tc>
        <w:tc>
          <w:tcPr>
            <w:tcW w:w="822" w:type="dxa"/>
            <w:tcBorders>
              <w:top w:val="nil"/>
              <w:left w:val="nil"/>
              <w:bottom w:val="single" w:color="auto" w:sz="8" w:space="0"/>
              <w:right w:val="single" w:color="auto" w:sz="8" w:space="0"/>
            </w:tcBorders>
            <w:shd w:val="clear" w:color="auto" w:fill="auto"/>
            <w:noWrap/>
            <w:vAlign w:val="center"/>
          </w:tcPr>
          <w:p w14:paraId="24A63C03">
            <w:pPr>
              <w:widowControl/>
              <w:jc w:val="center"/>
              <w:rPr>
                <w:rFonts w:ascii="宋体" w:hAnsi="宋体" w:cs="宋体"/>
                <w:color w:val="000000"/>
                <w:kern w:val="0"/>
                <w:sz w:val="24"/>
              </w:rPr>
            </w:pPr>
            <w:r>
              <w:rPr>
                <w:rFonts w:hint="eastAsia" w:ascii="宋体" w:hAnsi="宋体" w:cs="宋体"/>
                <w:color w:val="000000"/>
                <w:kern w:val="0"/>
                <w:sz w:val="24"/>
              </w:rPr>
              <w:t>1</w:t>
            </w:r>
          </w:p>
        </w:tc>
        <w:tc>
          <w:tcPr>
            <w:tcW w:w="944" w:type="dxa"/>
            <w:tcBorders>
              <w:top w:val="nil"/>
              <w:left w:val="nil"/>
              <w:bottom w:val="single" w:color="auto" w:sz="8" w:space="0"/>
              <w:right w:val="single" w:color="auto" w:sz="8" w:space="0"/>
            </w:tcBorders>
            <w:shd w:val="clear" w:color="auto" w:fill="auto"/>
            <w:vAlign w:val="center"/>
          </w:tcPr>
          <w:p w14:paraId="185913FD">
            <w:pPr>
              <w:widowControl/>
              <w:jc w:val="center"/>
              <w:rPr>
                <w:rFonts w:ascii="宋体" w:hAnsi="宋体" w:cs="宋体"/>
                <w:color w:val="000000"/>
                <w:kern w:val="0"/>
                <w:sz w:val="24"/>
              </w:rPr>
            </w:pPr>
            <w:r>
              <w:rPr>
                <w:rFonts w:hint="eastAsia" w:ascii="宋体" w:hAnsi="宋体" w:cs="宋体"/>
                <w:color w:val="000000"/>
                <w:kern w:val="0"/>
                <w:sz w:val="24"/>
              </w:rPr>
              <w:t>0</w:t>
            </w:r>
          </w:p>
        </w:tc>
        <w:tc>
          <w:tcPr>
            <w:tcW w:w="700" w:type="dxa"/>
            <w:tcBorders>
              <w:top w:val="nil"/>
              <w:left w:val="nil"/>
              <w:bottom w:val="single" w:color="auto" w:sz="8" w:space="0"/>
              <w:right w:val="single" w:color="auto" w:sz="8" w:space="0"/>
            </w:tcBorders>
            <w:shd w:val="clear" w:color="auto" w:fill="auto"/>
            <w:noWrap/>
            <w:vAlign w:val="center"/>
          </w:tcPr>
          <w:p w14:paraId="2C607CAB">
            <w:pPr>
              <w:widowControl/>
              <w:jc w:val="center"/>
              <w:rPr>
                <w:rFonts w:ascii="宋体" w:hAnsi="宋体" w:cs="宋体"/>
                <w:color w:val="000000"/>
                <w:kern w:val="0"/>
                <w:sz w:val="24"/>
              </w:rPr>
            </w:pPr>
            <w:r>
              <w:rPr>
                <w:rFonts w:hint="eastAsia" w:ascii="宋体" w:hAnsi="宋体" w:cs="宋体"/>
                <w:color w:val="000000"/>
                <w:kern w:val="0"/>
                <w:sz w:val="24"/>
              </w:rPr>
              <w:t>0</w:t>
            </w:r>
          </w:p>
        </w:tc>
      </w:tr>
      <w:tr w14:paraId="7C7C1982">
        <w:tblPrEx>
          <w:tblCellMar>
            <w:top w:w="0" w:type="dxa"/>
            <w:left w:w="108" w:type="dxa"/>
            <w:bottom w:w="0" w:type="dxa"/>
            <w:right w:w="108" w:type="dxa"/>
          </w:tblCellMar>
        </w:tblPrEx>
        <w:trPr>
          <w:trHeight w:val="624" w:hRule="atLeast"/>
        </w:trPr>
        <w:tc>
          <w:tcPr>
            <w:tcW w:w="579" w:type="dxa"/>
            <w:tcBorders>
              <w:top w:val="nil"/>
              <w:left w:val="single" w:color="auto" w:sz="8" w:space="0"/>
              <w:bottom w:val="single" w:color="auto" w:sz="8" w:space="0"/>
              <w:right w:val="single" w:color="auto" w:sz="8" w:space="0"/>
            </w:tcBorders>
            <w:shd w:val="clear" w:color="auto" w:fill="auto"/>
            <w:vAlign w:val="center"/>
          </w:tcPr>
          <w:p w14:paraId="45E1FADE">
            <w:pPr>
              <w:widowControl/>
              <w:jc w:val="center"/>
              <w:rPr>
                <w:rFonts w:ascii="宋体" w:hAnsi="宋体" w:cs="宋体"/>
                <w:color w:val="000000"/>
                <w:kern w:val="0"/>
                <w:sz w:val="24"/>
              </w:rPr>
            </w:pPr>
            <w:r>
              <w:rPr>
                <w:rFonts w:hint="eastAsia" w:ascii="宋体" w:hAnsi="宋体" w:cs="宋体"/>
                <w:color w:val="000000"/>
                <w:kern w:val="0"/>
                <w:sz w:val="24"/>
              </w:rPr>
              <w:t>14</w:t>
            </w:r>
          </w:p>
        </w:tc>
        <w:tc>
          <w:tcPr>
            <w:tcW w:w="2343" w:type="dxa"/>
            <w:tcBorders>
              <w:top w:val="nil"/>
              <w:left w:val="nil"/>
              <w:bottom w:val="single" w:color="auto" w:sz="8" w:space="0"/>
              <w:right w:val="single" w:color="auto" w:sz="8" w:space="0"/>
            </w:tcBorders>
            <w:shd w:val="clear" w:color="auto" w:fill="auto"/>
            <w:vAlign w:val="center"/>
          </w:tcPr>
          <w:p w14:paraId="0961E4A7">
            <w:pPr>
              <w:widowControl/>
              <w:jc w:val="center"/>
              <w:rPr>
                <w:rFonts w:ascii="宋体" w:hAnsi="宋体" w:cs="宋体"/>
                <w:color w:val="000000"/>
                <w:kern w:val="0"/>
                <w:sz w:val="24"/>
              </w:rPr>
            </w:pPr>
            <w:r>
              <w:rPr>
                <w:rFonts w:hint="eastAsia" w:ascii="宋体" w:hAnsi="宋体" w:cs="宋体"/>
                <w:color w:val="000000"/>
                <w:kern w:val="0"/>
                <w:sz w:val="24"/>
              </w:rPr>
              <w:t>永华路与西永路交口</w:t>
            </w:r>
          </w:p>
        </w:tc>
        <w:tc>
          <w:tcPr>
            <w:tcW w:w="2892" w:type="dxa"/>
            <w:tcBorders>
              <w:top w:val="nil"/>
              <w:left w:val="nil"/>
              <w:bottom w:val="single" w:color="auto" w:sz="8" w:space="0"/>
              <w:right w:val="single" w:color="auto" w:sz="8" w:space="0"/>
            </w:tcBorders>
            <w:shd w:val="clear" w:color="auto" w:fill="auto"/>
            <w:vAlign w:val="center"/>
          </w:tcPr>
          <w:p w14:paraId="0B8D9185">
            <w:pPr>
              <w:widowControl/>
              <w:jc w:val="center"/>
              <w:rPr>
                <w:rFonts w:ascii="宋体" w:hAnsi="宋体" w:cs="宋体"/>
                <w:color w:val="000000"/>
                <w:kern w:val="0"/>
                <w:sz w:val="24"/>
              </w:rPr>
            </w:pPr>
            <w:r>
              <w:rPr>
                <w:rFonts w:hint="eastAsia" w:ascii="宋体" w:hAnsi="宋体" w:cs="宋体"/>
                <w:color w:val="000000"/>
                <w:kern w:val="0"/>
                <w:sz w:val="24"/>
              </w:rPr>
              <w:t>永华路与西永路交口</w:t>
            </w:r>
          </w:p>
        </w:tc>
        <w:tc>
          <w:tcPr>
            <w:tcW w:w="822" w:type="dxa"/>
            <w:tcBorders>
              <w:top w:val="nil"/>
              <w:left w:val="nil"/>
              <w:bottom w:val="single" w:color="auto" w:sz="8" w:space="0"/>
              <w:right w:val="single" w:color="auto" w:sz="8" w:space="0"/>
            </w:tcBorders>
            <w:shd w:val="clear" w:color="auto" w:fill="auto"/>
            <w:noWrap/>
            <w:vAlign w:val="center"/>
          </w:tcPr>
          <w:p w14:paraId="51144D4B">
            <w:pPr>
              <w:widowControl/>
              <w:jc w:val="center"/>
              <w:rPr>
                <w:rFonts w:ascii="宋体" w:hAnsi="宋体" w:cs="宋体"/>
                <w:color w:val="000000"/>
                <w:kern w:val="0"/>
                <w:sz w:val="24"/>
              </w:rPr>
            </w:pPr>
            <w:r>
              <w:rPr>
                <w:rFonts w:hint="eastAsia" w:ascii="宋体" w:hAnsi="宋体" w:cs="宋体"/>
                <w:color w:val="000000"/>
                <w:kern w:val="0"/>
                <w:sz w:val="24"/>
              </w:rPr>
              <w:t>1</w:t>
            </w:r>
          </w:p>
        </w:tc>
        <w:tc>
          <w:tcPr>
            <w:tcW w:w="944" w:type="dxa"/>
            <w:tcBorders>
              <w:top w:val="nil"/>
              <w:left w:val="nil"/>
              <w:bottom w:val="single" w:color="auto" w:sz="8" w:space="0"/>
              <w:right w:val="single" w:color="auto" w:sz="8" w:space="0"/>
            </w:tcBorders>
            <w:shd w:val="clear" w:color="auto" w:fill="auto"/>
            <w:noWrap/>
            <w:vAlign w:val="center"/>
          </w:tcPr>
          <w:p w14:paraId="12E61602">
            <w:pPr>
              <w:widowControl/>
              <w:jc w:val="center"/>
              <w:rPr>
                <w:rFonts w:ascii="宋体" w:hAnsi="宋体" w:cs="宋体"/>
                <w:color w:val="000000"/>
                <w:kern w:val="0"/>
                <w:sz w:val="24"/>
              </w:rPr>
            </w:pPr>
            <w:r>
              <w:rPr>
                <w:rFonts w:hint="eastAsia" w:ascii="宋体" w:hAnsi="宋体" w:cs="宋体"/>
                <w:color w:val="000000"/>
                <w:kern w:val="0"/>
                <w:sz w:val="24"/>
              </w:rPr>
              <w:t>0</w:t>
            </w:r>
          </w:p>
        </w:tc>
        <w:tc>
          <w:tcPr>
            <w:tcW w:w="700" w:type="dxa"/>
            <w:tcBorders>
              <w:top w:val="nil"/>
              <w:left w:val="nil"/>
              <w:bottom w:val="single" w:color="auto" w:sz="8" w:space="0"/>
              <w:right w:val="single" w:color="auto" w:sz="8" w:space="0"/>
            </w:tcBorders>
            <w:shd w:val="clear" w:color="auto" w:fill="auto"/>
            <w:noWrap/>
            <w:vAlign w:val="center"/>
          </w:tcPr>
          <w:p w14:paraId="1FE70373">
            <w:pPr>
              <w:widowControl/>
              <w:jc w:val="center"/>
              <w:rPr>
                <w:rFonts w:ascii="宋体" w:hAnsi="宋体" w:cs="宋体"/>
                <w:color w:val="000000"/>
                <w:kern w:val="0"/>
                <w:sz w:val="24"/>
              </w:rPr>
            </w:pPr>
            <w:r>
              <w:rPr>
                <w:rFonts w:hint="eastAsia" w:ascii="宋体" w:hAnsi="宋体" w:cs="宋体"/>
                <w:color w:val="000000"/>
                <w:kern w:val="0"/>
                <w:sz w:val="24"/>
              </w:rPr>
              <w:t>0</w:t>
            </w:r>
          </w:p>
        </w:tc>
      </w:tr>
      <w:tr w14:paraId="02AD9BE3">
        <w:tblPrEx>
          <w:tblCellMar>
            <w:top w:w="0" w:type="dxa"/>
            <w:left w:w="108" w:type="dxa"/>
            <w:bottom w:w="0" w:type="dxa"/>
            <w:right w:w="108" w:type="dxa"/>
          </w:tblCellMar>
        </w:tblPrEx>
        <w:trPr>
          <w:trHeight w:val="624" w:hRule="atLeast"/>
        </w:trPr>
        <w:tc>
          <w:tcPr>
            <w:tcW w:w="579" w:type="dxa"/>
            <w:tcBorders>
              <w:top w:val="nil"/>
              <w:left w:val="single" w:color="auto" w:sz="8" w:space="0"/>
              <w:bottom w:val="single" w:color="auto" w:sz="8" w:space="0"/>
              <w:right w:val="single" w:color="auto" w:sz="8" w:space="0"/>
            </w:tcBorders>
            <w:shd w:val="clear" w:color="auto" w:fill="auto"/>
            <w:vAlign w:val="center"/>
          </w:tcPr>
          <w:p w14:paraId="3FEB7C0C">
            <w:pPr>
              <w:widowControl/>
              <w:jc w:val="center"/>
              <w:rPr>
                <w:rFonts w:ascii="宋体" w:hAnsi="宋体" w:cs="宋体"/>
                <w:color w:val="000000"/>
                <w:kern w:val="0"/>
                <w:sz w:val="24"/>
              </w:rPr>
            </w:pPr>
            <w:r>
              <w:rPr>
                <w:rFonts w:hint="eastAsia" w:ascii="宋体" w:hAnsi="宋体" w:cs="宋体"/>
                <w:color w:val="000000"/>
                <w:kern w:val="0"/>
                <w:sz w:val="24"/>
              </w:rPr>
              <w:t>15</w:t>
            </w:r>
          </w:p>
        </w:tc>
        <w:tc>
          <w:tcPr>
            <w:tcW w:w="2343" w:type="dxa"/>
            <w:tcBorders>
              <w:top w:val="nil"/>
              <w:left w:val="nil"/>
              <w:bottom w:val="single" w:color="auto" w:sz="8" w:space="0"/>
              <w:right w:val="single" w:color="auto" w:sz="8" w:space="0"/>
            </w:tcBorders>
            <w:shd w:val="clear" w:color="auto" w:fill="auto"/>
            <w:vAlign w:val="center"/>
          </w:tcPr>
          <w:p w14:paraId="4802C0E2">
            <w:pPr>
              <w:widowControl/>
              <w:jc w:val="center"/>
              <w:rPr>
                <w:rFonts w:ascii="宋体" w:hAnsi="宋体" w:cs="宋体"/>
                <w:color w:val="000000"/>
                <w:kern w:val="0"/>
                <w:sz w:val="24"/>
              </w:rPr>
            </w:pPr>
            <w:r>
              <w:rPr>
                <w:rFonts w:hint="eastAsia" w:ascii="宋体" w:hAnsi="宋体" w:cs="宋体"/>
                <w:color w:val="000000"/>
                <w:kern w:val="0"/>
                <w:sz w:val="24"/>
              </w:rPr>
              <w:t>芦求路与黄鹅路交口</w:t>
            </w:r>
          </w:p>
        </w:tc>
        <w:tc>
          <w:tcPr>
            <w:tcW w:w="2892" w:type="dxa"/>
            <w:tcBorders>
              <w:top w:val="nil"/>
              <w:left w:val="nil"/>
              <w:bottom w:val="single" w:color="auto" w:sz="8" w:space="0"/>
              <w:right w:val="single" w:color="auto" w:sz="8" w:space="0"/>
            </w:tcBorders>
            <w:shd w:val="clear" w:color="auto" w:fill="auto"/>
            <w:vAlign w:val="center"/>
          </w:tcPr>
          <w:p w14:paraId="2CAE86DA">
            <w:pPr>
              <w:widowControl/>
              <w:jc w:val="center"/>
              <w:rPr>
                <w:rFonts w:ascii="宋体" w:hAnsi="宋体" w:cs="宋体"/>
                <w:color w:val="000000"/>
                <w:kern w:val="0"/>
                <w:sz w:val="24"/>
              </w:rPr>
            </w:pPr>
            <w:r>
              <w:rPr>
                <w:rFonts w:hint="eastAsia" w:ascii="宋体" w:hAnsi="宋体" w:cs="宋体"/>
                <w:color w:val="000000"/>
                <w:kern w:val="0"/>
                <w:sz w:val="24"/>
              </w:rPr>
              <w:t>芦求路-黄鹅路</w:t>
            </w:r>
          </w:p>
        </w:tc>
        <w:tc>
          <w:tcPr>
            <w:tcW w:w="822" w:type="dxa"/>
            <w:tcBorders>
              <w:top w:val="nil"/>
              <w:left w:val="nil"/>
              <w:bottom w:val="single" w:color="auto" w:sz="8" w:space="0"/>
              <w:right w:val="single" w:color="auto" w:sz="8" w:space="0"/>
            </w:tcBorders>
            <w:shd w:val="clear" w:color="auto" w:fill="auto"/>
            <w:noWrap/>
            <w:vAlign w:val="center"/>
          </w:tcPr>
          <w:p w14:paraId="3E78307D">
            <w:pPr>
              <w:widowControl/>
              <w:jc w:val="center"/>
              <w:rPr>
                <w:rFonts w:ascii="宋体" w:hAnsi="宋体" w:cs="宋体"/>
                <w:color w:val="000000"/>
                <w:kern w:val="0"/>
                <w:sz w:val="24"/>
              </w:rPr>
            </w:pPr>
            <w:r>
              <w:rPr>
                <w:rFonts w:hint="eastAsia" w:ascii="宋体" w:hAnsi="宋体" w:cs="宋体"/>
                <w:color w:val="000000"/>
                <w:kern w:val="0"/>
                <w:sz w:val="24"/>
              </w:rPr>
              <w:t>1</w:t>
            </w:r>
          </w:p>
        </w:tc>
        <w:tc>
          <w:tcPr>
            <w:tcW w:w="944" w:type="dxa"/>
            <w:tcBorders>
              <w:top w:val="nil"/>
              <w:left w:val="nil"/>
              <w:bottom w:val="single" w:color="auto" w:sz="8" w:space="0"/>
              <w:right w:val="single" w:color="auto" w:sz="8" w:space="0"/>
            </w:tcBorders>
            <w:shd w:val="clear" w:color="auto" w:fill="auto"/>
            <w:vAlign w:val="center"/>
          </w:tcPr>
          <w:p w14:paraId="23E8F657">
            <w:pPr>
              <w:widowControl/>
              <w:jc w:val="center"/>
              <w:rPr>
                <w:rFonts w:ascii="宋体" w:hAnsi="宋体" w:cs="宋体"/>
                <w:color w:val="000000"/>
                <w:kern w:val="0"/>
                <w:sz w:val="24"/>
              </w:rPr>
            </w:pPr>
            <w:r>
              <w:rPr>
                <w:rFonts w:hint="eastAsia" w:ascii="宋体" w:hAnsi="宋体" w:cs="宋体"/>
                <w:color w:val="000000"/>
                <w:kern w:val="0"/>
                <w:sz w:val="24"/>
              </w:rPr>
              <w:t>0</w:t>
            </w:r>
          </w:p>
        </w:tc>
        <w:tc>
          <w:tcPr>
            <w:tcW w:w="700" w:type="dxa"/>
            <w:tcBorders>
              <w:top w:val="nil"/>
              <w:left w:val="nil"/>
              <w:bottom w:val="single" w:color="auto" w:sz="8" w:space="0"/>
              <w:right w:val="single" w:color="auto" w:sz="8" w:space="0"/>
            </w:tcBorders>
            <w:shd w:val="clear" w:color="auto" w:fill="auto"/>
            <w:noWrap/>
            <w:vAlign w:val="center"/>
          </w:tcPr>
          <w:p w14:paraId="3B3F33A9">
            <w:pPr>
              <w:widowControl/>
              <w:jc w:val="center"/>
              <w:rPr>
                <w:rFonts w:ascii="宋体" w:hAnsi="宋体" w:cs="宋体"/>
                <w:color w:val="000000"/>
                <w:kern w:val="0"/>
                <w:sz w:val="24"/>
              </w:rPr>
            </w:pPr>
            <w:r>
              <w:rPr>
                <w:rFonts w:hint="eastAsia" w:ascii="宋体" w:hAnsi="宋体" w:cs="宋体"/>
                <w:color w:val="000000"/>
                <w:kern w:val="0"/>
                <w:sz w:val="24"/>
              </w:rPr>
              <w:t>0</w:t>
            </w:r>
          </w:p>
        </w:tc>
      </w:tr>
      <w:tr w14:paraId="0ECA38AE">
        <w:tblPrEx>
          <w:tblCellMar>
            <w:top w:w="0" w:type="dxa"/>
            <w:left w:w="108" w:type="dxa"/>
            <w:bottom w:w="0" w:type="dxa"/>
            <w:right w:w="108" w:type="dxa"/>
          </w:tblCellMar>
        </w:tblPrEx>
        <w:trPr>
          <w:trHeight w:val="624" w:hRule="atLeast"/>
        </w:trPr>
        <w:tc>
          <w:tcPr>
            <w:tcW w:w="579" w:type="dxa"/>
            <w:tcBorders>
              <w:top w:val="nil"/>
              <w:left w:val="single" w:color="auto" w:sz="8" w:space="0"/>
              <w:bottom w:val="single" w:color="auto" w:sz="8" w:space="0"/>
              <w:right w:val="single" w:color="auto" w:sz="8" w:space="0"/>
            </w:tcBorders>
            <w:shd w:val="clear" w:color="auto" w:fill="auto"/>
            <w:vAlign w:val="center"/>
          </w:tcPr>
          <w:p w14:paraId="5941FD80">
            <w:pPr>
              <w:widowControl/>
              <w:jc w:val="center"/>
              <w:rPr>
                <w:rFonts w:ascii="宋体" w:hAnsi="宋体" w:cs="宋体"/>
                <w:color w:val="000000"/>
                <w:kern w:val="0"/>
                <w:sz w:val="24"/>
              </w:rPr>
            </w:pPr>
            <w:r>
              <w:rPr>
                <w:rFonts w:hint="eastAsia" w:ascii="宋体" w:hAnsi="宋体" w:cs="宋体"/>
                <w:color w:val="000000"/>
                <w:kern w:val="0"/>
                <w:sz w:val="24"/>
              </w:rPr>
              <w:t>16</w:t>
            </w:r>
          </w:p>
        </w:tc>
        <w:tc>
          <w:tcPr>
            <w:tcW w:w="2343" w:type="dxa"/>
            <w:tcBorders>
              <w:top w:val="nil"/>
              <w:left w:val="nil"/>
              <w:bottom w:val="single" w:color="auto" w:sz="8" w:space="0"/>
              <w:right w:val="single" w:color="auto" w:sz="8" w:space="0"/>
            </w:tcBorders>
            <w:shd w:val="clear" w:color="auto" w:fill="auto"/>
            <w:vAlign w:val="center"/>
          </w:tcPr>
          <w:p w14:paraId="53A6ED85">
            <w:pPr>
              <w:widowControl/>
              <w:jc w:val="center"/>
              <w:rPr>
                <w:rFonts w:ascii="宋体" w:hAnsi="宋体" w:cs="宋体"/>
                <w:color w:val="000000"/>
                <w:kern w:val="0"/>
                <w:sz w:val="24"/>
              </w:rPr>
            </w:pPr>
            <w:r>
              <w:rPr>
                <w:rFonts w:hint="eastAsia" w:ascii="宋体" w:hAnsi="宋体" w:cs="宋体"/>
                <w:color w:val="000000"/>
                <w:kern w:val="0"/>
                <w:sz w:val="24"/>
              </w:rPr>
              <w:t>印刷学院南门</w:t>
            </w:r>
          </w:p>
        </w:tc>
        <w:tc>
          <w:tcPr>
            <w:tcW w:w="2892" w:type="dxa"/>
            <w:tcBorders>
              <w:top w:val="nil"/>
              <w:left w:val="nil"/>
              <w:bottom w:val="single" w:color="auto" w:sz="8" w:space="0"/>
              <w:right w:val="single" w:color="auto" w:sz="8" w:space="0"/>
            </w:tcBorders>
            <w:shd w:val="clear" w:color="auto" w:fill="auto"/>
            <w:vAlign w:val="center"/>
          </w:tcPr>
          <w:p w14:paraId="45F2E5E0">
            <w:pPr>
              <w:widowControl/>
              <w:jc w:val="center"/>
              <w:rPr>
                <w:rFonts w:ascii="宋体" w:hAnsi="宋体" w:cs="宋体"/>
                <w:color w:val="000000"/>
                <w:kern w:val="0"/>
                <w:sz w:val="24"/>
              </w:rPr>
            </w:pPr>
            <w:r>
              <w:rPr>
                <w:rFonts w:hint="eastAsia" w:ascii="宋体" w:hAnsi="宋体" w:cs="宋体"/>
                <w:color w:val="000000"/>
                <w:kern w:val="0"/>
                <w:sz w:val="24"/>
              </w:rPr>
              <w:t>印刷学院南门</w:t>
            </w:r>
          </w:p>
        </w:tc>
        <w:tc>
          <w:tcPr>
            <w:tcW w:w="822" w:type="dxa"/>
            <w:tcBorders>
              <w:top w:val="nil"/>
              <w:left w:val="nil"/>
              <w:bottom w:val="single" w:color="auto" w:sz="8" w:space="0"/>
              <w:right w:val="single" w:color="auto" w:sz="8" w:space="0"/>
            </w:tcBorders>
            <w:shd w:val="clear" w:color="auto" w:fill="auto"/>
            <w:noWrap/>
            <w:vAlign w:val="center"/>
          </w:tcPr>
          <w:p w14:paraId="1269A50F">
            <w:pPr>
              <w:widowControl/>
              <w:jc w:val="center"/>
              <w:rPr>
                <w:rFonts w:ascii="宋体" w:hAnsi="宋体" w:cs="宋体"/>
                <w:color w:val="000000"/>
                <w:kern w:val="0"/>
                <w:sz w:val="24"/>
              </w:rPr>
            </w:pPr>
            <w:r>
              <w:rPr>
                <w:rFonts w:hint="eastAsia" w:ascii="宋体" w:hAnsi="宋体" w:cs="宋体"/>
                <w:color w:val="000000"/>
                <w:kern w:val="0"/>
                <w:sz w:val="24"/>
              </w:rPr>
              <w:t>1</w:t>
            </w:r>
          </w:p>
        </w:tc>
        <w:tc>
          <w:tcPr>
            <w:tcW w:w="944" w:type="dxa"/>
            <w:tcBorders>
              <w:top w:val="nil"/>
              <w:left w:val="nil"/>
              <w:bottom w:val="single" w:color="auto" w:sz="8" w:space="0"/>
              <w:right w:val="single" w:color="auto" w:sz="8" w:space="0"/>
            </w:tcBorders>
            <w:shd w:val="clear" w:color="auto" w:fill="auto"/>
            <w:vAlign w:val="center"/>
          </w:tcPr>
          <w:p w14:paraId="79EDEC63">
            <w:pPr>
              <w:widowControl/>
              <w:jc w:val="center"/>
              <w:rPr>
                <w:rFonts w:ascii="宋体" w:hAnsi="宋体" w:cs="宋体"/>
                <w:color w:val="000000"/>
                <w:kern w:val="0"/>
                <w:sz w:val="24"/>
              </w:rPr>
            </w:pPr>
            <w:r>
              <w:rPr>
                <w:rFonts w:hint="eastAsia" w:ascii="宋体" w:hAnsi="宋体" w:cs="宋体"/>
                <w:color w:val="000000"/>
                <w:kern w:val="0"/>
                <w:sz w:val="24"/>
              </w:rPr>
              <w:t>0</w:t>
            </w:r>
          </w:p>
        </w:tc>
        <w:tc>
          <w:tcPr>
            <w:tcW w:w="700" w:type="dxa"/>
            <w:tcBorders>
              <w:top w:val="nil"/>
              <w:left w:val="nil"/>
              <w:bottom w:val="single" w:color="auto" w:sz="8" w:space="0"/>
              <w:right w:val="single" w:color="auto" w:sz="8" w:space="0"/>
            </w:tcBorders>
            <w:shd w:val="clear" w:color="auto" w:fill="auto"/>
            <w:noWrap/>
            <w:vAlign w:val="center"/>
          </w:tcPr>
          <w:p w14:paraId="37929E28">
            <w:pPr>
              <w:widowControl/>
              <w:jc w:val="center"/>
              <w:rPr>
                <w:rFonts w:ascii="宋体" w:hAnsi="宋体" w:cs="宋体"/>
                <w:color w:val="000000"/>
                <w:kern w:val="0"/>
                <w:sz w:val="24"/>
              </w:rPr>
            </w:pPr>
            <w:r>
              <w:rPr>
                <w:rFonts w:hint="eastAsia" w:ascii="宋体" w:hAnsi="宋体" w:cs="宋体"/>
                <w:color w:val="000000"/>
                <w:kern w:val="0"/>
                <w:sz w:val="24"/>
              </w:rPr>
              <w:t>0</w:t>
            </w:r>
          </w:p>
        </w:tc>
      </w:tr>
      <w:tr w14:paraId="21B295B6">
        <w:tblPrEx>
          <w:tblCellMar>
            <w:top w:w="0" w:type="dxa"/>
            <w:left w:w="108" w:type="dxa"/>
            <w:bottom w:w="0" w:type="dxa"/>
            <w:right w:w="108" w:type="dxa"/>
          </w:tblCellMar>
        </w:tblPrEx>
        <w:trPr>
          <w:trHeight w:val="624" w:hRule="atLeast"/>
        </w:trPr>
        <w:tc>
          <w:tcPr>
            <w:tcW w:w="579" w:type="dxa"/>
            <w:tcBorders>
              <w:top w:val="nil"/>
              <w:left w:val="single" w:color="auto" w:sz="8" w:space="0"/>
              <w:bottom w:val="single" w:color="auto" w:sz="8" w:space="0"/>
              <w:right w:val="single" w:color="auto" w:sz="8" w:space="0"/>
            </w:tcBorders>
            <w:shd w:val="clear" w:color="auto" w:fill="auto"/>
            <w:vAlign w:val="center"/>
          </w:tcPr>
          <w:p w14:paraId="7EED1E02">
            <w:pPr>
              <w:widowControl/>
              <w:jc w:val="center"/>
              <w:rPr>
                <w:rFonts w:ascii="宋体" w:hAnsi="宋体" w:cs="宋体"/>
                <w:color w:val="000000"/>
                <w:kern w:val="0"/>
                <w:sz w:val="24"/>
              </w:rPr>
            </w:pPr>
            <w:r>
              <w:rPr>
                <w:rFonts w:hint="eastAsia" w:ascii="宋体" w:hAnsi="宋体" w:cs="宋体"/>
                <w:color w:val="000000"/>
                <w:kern w:val="0"/>
                <w:sz w:val="24"/>
              </w:rPr>
              <w:t>17</w:t>
            </w:r>
          </w:p>
        </w:tc>
        <w:tc>
          <w:tcPr>
            <w:tcW w:w="2343" w:type="dxa"/>
            <w:tcBorders>
              <w:top w:val="nil"/>
              <w:left w:val="nil"/>
              <w:bottom w:val="single" w:color="auto" w:sz="8" w:space="0"/>
              <w:right w:val="single" w:color="auto" w:sz="8" w:space="0"/>
            </w:tcBorders>
            <w:shd w:val="clear" w:color="auto" w:fill="auto"/>
            <w:vAlign w:val="center"/>
          </w:tcPr>
          <w:p w14:paraId="69A538C5">
            <w:pPr>
              <w:widowControl/>
              <w:jc w:val="center"/>
              <w:rPr>
                <w:rFonts w:ascii="宋体" w:hAnsi="宋体" w:cs="宋体"/>
                <w:color w:val="000000"/>
                <w:kern w:val="0"/>
                <w:sz w:val="24"/>
              </w:rPr>
            </w:pPr>
            <w:r>
              <w:rPr>
                <w:rFonts w:hint="eastAsia" w:ascii="宋体" w:hAnsi="宋体" w:cs="宋体"/>
                <w:color w:val="000000"/>
                <w:kern w:val="0"/>
                <w:sz w:val="24"/>
              </w:rPr>
              <w:t>欣雅街</w:t>
            </w:r>
          </w:p>
        </w:tc>
        <w:tc>
          <w:tcPr>
            <w:tcW w:w="2892" w:type="dxa"/>
            <w:tcBorders>
              <w:top w:val="nil"/>
              <w:left w:val="nil"/>
              <w:bottom w:val="single" w:color="auto" w:sz="8" w:space="0"/>
              <w:right w:val="single" w:color="auto" w:sz="8" w:space="0"/>
            </w:tcBorders>
            <w:shd w:val="clear" w:color="auto" w:fill="auto"/>
            <w:vAlign w:val="center"/>
          </w:tcPr>
          <w:p w14:paraId="027FDC20">
            <w:pPr>
              <w:widowControl/>
              <w:jc w:val="center"/>
              <w:rPr>
                <w:rFonts w:ascii="宋体" w:hAnsi="宋体" w:cs="宋体"/>
                <w:color w:val="000000"/>
                <w:kern w:val="0"/>
                <w:sz w:val="24"/>
              </w:rPr>
            </w:pPr>
            <w:r>
              <w:rPr>
                <w:rFonts w:hint="eastAsia" w:ascii="宋体" w:hAnsi="宋体" w:cs="宋体"/>
                <w:color w:val="000000"/>
                <w:kern w:val="0"/>
                <w:sz w:val="24"/>
              </w:rPr>
              <w:t>欣雅街嘉悦广场北侧</w:t>
            </w:r>
          </w:p>
        </w:tc>
        <w:tc>
          <w:tcPr>
            <w:tcW w:w="822" w:type="dxa"/>
            <w:tcBorders>
              <w:top w:val="nil"/>
              <w:left w:val="nil"/>
              <w:bottom w:val="single" w:color="auto" w:sz="8" w:space="0"/>
              <w:right w:val="single" w:color="auto" w:sz="8" w:space="0"/>
            </w:tcBorders>
            <w:shd w:val="clear" w:color="auto" w:fill="auto"/>
            <w:noWrap/>
            <w:vAlign w:val="center"/>
          </w:tcPr>
          <w:p w14:paraId="7E2C6314">
            <w:pPr>
              <w:widowControl/>
              <w:jc w:val="center"/>
              <w:rPr>
                <w:rFonts w:ascii="宋体" w:hAnsi="宋体" w:cs="宋体"/>
                <w:color w:val="000000"/>
                <w:kern w:val="0"/>
                <w:sz w:val="24"/>
              </w:rPr>
            </w:pPr>
            <w:r>
              <w:rPr>
                <w:rFonts w:hint="eastAsia" w:ascii="宋体" w:hAnsi="宋体" w:cs="宋体"/>
                <w:color w:val="000000"/>
                <w:kern w:val="0"/>
                <w:sz w:val="24"/>
              </w:rPr>
              <w:t>1</w:t>
            </w:r>
          </w:p>
        </w:tc>
        <w:tc>
          <w:tcPr>
            <w:tcW w:w="944" w:type="dxa"/>
            <w:tcBorders>
              <w:top w:val="nil"/>
              <w:left w:val="nil"/>
              <w:bottom w:val="single" w:color="auto" w:sz="8" w:space="0"/>
              <w:right w:val="single" w:color="auto" w:sz="8" w:space="0"/>
            </w:tcBorders>
            <w:shd w:val="clear" w:color="auto" w:fill="auto"/>
            <w:vAlign w:val="center"/>
          </w:tcPr>
          <w:p w14:paraId="07E203F6">
            <w:pPr>
              <w:widowControl/>
              <w:jc w:val="center"/>
              <w:rPr>
                <w:rFonts w:ascii="宋体" w:hAnsi="宋体" w:cs="宋体"/>
                <w:color w:val="000000"/>
                <w:kern w:val="0"/>
                <w:sz w:val="24"/>
              </w:rPr>
            </w:pPr>
            <w:r>
              <w:rPr>
                <w:rFonts w:hint="eastAsia" w:ascii="宋体" w:hAnsi="宋体" w:cs="宋体"/>
                <w:color w:val="000000"/>
                <w:kern w:val="0"/>
                <w:sz w:val="24"/>
              </w:rPr>
              <w:t>0</w:t>
            </w:r>
          </w:p>
        </w:tc>
        <w:tc>
          <w:tcPr>
            <w:tcW w:w="700" w:type="dxa"/>
            <w:tcBorders>
              <w:top w:val="nil"/>
              <w:left w:val="nil"/>
              <w:bottom w:val="single" w:color="auto" w:sz="8" w:space="0"/>
              <w:right w:val="single" w:color="auto" w:sz="8" w:space="0"/>
            </w:tcBorders>
            <w:shd w:val="clear" w:color="auto" w:fill="auto"/>
            <w:noWrap/>
            <w:vAlign w:val="center"/>
          </w:tcPr>
          <w:p w14:paraId="04BEAAFE">
            <w:pPr>
              <w:widowControl/>
              <w:jc w:val="center"/>
              <w:rPr>
                <w:rFonts w:ascii="宋体" w:hAnsi="宋体" w:cs="宋体"/>
                <w:color w:val="000000"/>
                <w:kern w:val="0"/>
                <w:sz w:val="24"/>
              </w:rPr>
            </w:pPr>
            <w:r>
              <w:rPr>
                <w:rFonts w:hint="eastAsia" w:ascii="宋体" w:hAnsi="宋体" w:cs="宋体"/>
                <w:color w:val="000000"/>
                <w:kern w:val="0"/>
                <w:sz w:val="24"/>
              </w:rPr>
              <w:t>0</w:t>
            </w:r>
          </w:p>
        </w:tc>
      </w:tr>
      <w:tr w14:paraId="48E646C7">
        <w:tblPrEx>
          <w:tblCellMar>
            <w:top w:w="0" w:type="dxa"/>
            <w:left w:w="108" w:type="dxa"/>
            <w:bottom w:w="0" w:type="dxa"/>
            <w:right w:w="108" w:type="dxa"/>
          </w:tblCellMar>
        </w:tblPrEx>
        <w:trPr>
          <w:trHeight w:val="624" w:hRule="atLeast"/>
        </w:trPr>
        <w:tc>
          <w:tcPr>
            <w:tcW w:w="579" w:type="dxa"/>
            <w:tcBorders>
              <w:top w:val="nil"/>
              <w:left w:val="single" w:color="auto" w:sz="8" w:space="0"/>
              <w:bottom w:val="single" w:color="auto" w:sz="8" w:space="0"/>
              <w:right w:val="single" w:color="auto" w:sz="8" w:space="0"/>
            </w:tcBorders>
            <w:shd w:val="clear" w:color="auto" w:fill="auto"/>
            <w:vAlign w:val="center"/>
          </w:tcPr>
          <w:p w14:paraId="5B262CE0">
            <w:pPr>
              <w:widowControl/>
              <w:jc w:val="center"/>
              <w:rPr>
                <w:rFonts w:ascii="宋体" w:hAnsi="宋体" w:cs="宋体"/>
                <w:color w:val="000000"/>
                <w:kern w:val="0"/>
                <w:sz w:val="24"/>
              </w:rPr>
            </w:pPr>
            <w:r>
              <w:rPr>
                <w:rFonts w:hint="eastAsia" w:ascii="宋体" w:hAnsi="宋体" w:cs="宋体"/>
                <w:color w:val="000000"/>
                <w:kern w:val="0"/>
                <w:sz w:val="24"/>
              </w:rPr>
              <w:t>18</w:t>
            </w:r>
          </w:p>
        </w:tc>
        <w:tc>
          <w:tcPr>
            <w:tcW w:w="2343" w:type="dxa"/>
            <w:tcBorders>
              <w:top w:val="nil"/>
              <w:left w:val="nil"/>
              <w:bottom w:val="single" w:color="auto" w:sz="8" w:space="0"/>
              <w:right w:val="single" w:color="auto" w:sz="8" w:space="0"/>
            </w:tcBorders>
            <w:shd w:val="clear" w:color="auto" w:fill="auto"/>
            <w:vAlign w:val="center"/>
          </w:tcPr>
          <w:p w14:paraId="62946B55">
            <w:pPr>
              <w:widowControl/>
              <w:jc w:val="center"/>
              <w:rPr>
                <w:rFonts w:ascii="宋体" w:hAnsi="宋体" w:cs="宋体"/>
                <w:color w:val="000000"/>
                <w:kern w:val="0"/>
                <w:sz w:val="24"/>
              </w:rPr>
            </w:pPr>
            <w:r>
              <w:rPr>
                <w:rFonts w:hint="eastAsia" w:ascii="宋体" w:hAnsi="宋体" w:cs="宋体"/>
                <w:color w:val="000000"/>
                <w:kern w:val="0"/>
                <w:sz w:val="24"/>
              </w:rPr>
              <w:t>#兴海公园北门</w:t>
            </w:r>
          </w:p>
        </w:tc>
        <w:tc>
          <w:tcPr>
            <w:tcW w:w="2892" w:type="dxa"/>
            <w:tcBorders>
              <w:top w:val="nil"/>
              <w:left w:val="nil"/>
              <w:bottom w:val="single" w:color="auto" w:sz="8" w:space="0"/>
              <w:right w:val="single" w:color="auto" w:sz="8" w:space="0"/>
            </w:tcBorders>
            <w:shd w:val="clear" w:color="auto" w:fill="auto"/>
            <w:vAlign w:val="center"/>
          </w:tcPr>
          <w:p w14:paraId="72E69389">
            <w:pPr>
              <w:widowControl/>
              <w:jc w:val="center"/>
              <w:rPr>
                <w:rFonts w:ascii="宋体" w:hAnsi="宋体" w:cs="宋体"/>
                <w:color w:val="000000"/>
                <w:kern w:val="0"/>
                <w:sz w:val="24"/>
              </w:rPr>
            </w:pPr>
            <w:r>
              <w:rPr>
                <w:rFonts w:hint="eastAsia" w:ascii="宋体" w:hAnsi="宋体" w:cs="宋体"/>
                <w:color w:val="000000"/>
                <w:kern w:val="0"/>
                <w:sz w:val="24"/>
              </w:rPr>
              <w:t>兴海公园北门</w:t>
            </w:r>
          </w:p>
        </w:tc>
        <w:tc>
          <w:tcPr>
            <w:tcW w:w="822" w:type="dxa"/>
            <w:tcBorders>
              <w:top w:val="nil"/>
              <w:left w:val="nil"/>
              <w:bottom w:val="single" w:color="auto" w:sz="8" w:space="0"/>
              <w:right w:val="single" w:color="auto" w:sz="8" w:space="0"/>
            </w:tcBorders>
            <w:shd w:val="clear" w:color="auto" w:fill="auto"/>
            <w:noWrap/>
            <w:vAlign w:val="center"/>
          </w:tcPr>
          <w:p w14:paraId="12B6F20C">
            <w:pPr>
              <w:widowControl/>
              <w:jc w:val="center"/>
              <w:rPr>
                <w:rFonts w:ascii="宋体" w:hAnsi="宋体" w:cs="宋体"/>
                <w:color w:val="000000"/>
                <w:kern w:val="0"/>
                <w:sz w:val="24"/>
              </w:rPr>
            </w:pPr>
            <w:r>
              <w:rPr>
                <w:rFonts w:hint="eastAsia" w:ascii="宋体" w:hAnsi="宋体" w:cs="宋体"/>
                <w:color w:val="000000"/>
                <w:kern w:val="0"/>
                <w:sz w:val="24"/>
              </w:rPr>
              <w:t>1</w:t>
            </w:r>
          </w:p>
        </w:tc>
        <w:tc>
          <w:tcPr>
            <w:tcW w:w="944" w:type="dxa"/>
            <w:tcBorders>
              <w:top w:val="nil"/>
              <w:left w:val="nil"/>
              <w:bottom w:val="single" w:color="auto" w:sz="8" w:space="0"/>
              <w:right w:val="single" w:color="auto" w:sz="8" w:space="0"/>
            </w:tcBorders>
            <w:shd w:val="clear" w:color="auto" w:fill="auto"/>
            <w:noWrap/>
            <w:vAlign w:val="center"/>
          </w:tcPr>
          <w:p w14:paraId="0F7072D4">
            <w:pPr>
              <w:widowControl/>
              <w:jc w:val="center"/>
              <w:rPr>
                <w:rFonts w:ascii="宋体" w:hAnsi="宋体" w:cs="宋体"/>
                <w:color w:val="000000"/>
                <w:kern w:val="0"/>
                <w:sz w:val="24"/>
              </w:rPr>
            </w:pPr>
            <w:r>
              <w:rPr>
                <w:rFonts w:hint="eastAsia" w:ascii="宋体" w:hAnsi="宋体" w:cs="宋体"/>
                <w:color w:val="000000"/>
                <w:kern w:val="0"/>
                <w:sz w:val="24"/>
              </w:rPr>
              <w:t>0</w:t>
            </w:r>
          </w:p>
        </w:tc>
        <w:tc>
          <w:tcPr>
            <w:tcW w:w="700" w:type="dxa"/>
            <w:tcBorders>
              <w:top w:val="nil"/>
              <w:left w:val="nil"/>
              <w:bottom w:val="single" w:color="auto" w:sz="8" w:space="0"/>
              <w:right w:val="single" w:color="auto" w:sz="8" w:space="0"/>
            </w:tcBorders>
            <w:shd w:val="clear" w:color="auto" w:fill="auto"/>
            <w:noWrap/>
            <w:vAlign w:val="center"/>
          </w:tcPr>
          <w:p w14:paraId="67F1F8E5">
            <w:pPr>
              <w:widowControl/>
              <w:jc w:val="center"/>
              <w:rPr>
                <w:rFonts w:ascii="宋体" w:hAnsi="宋体" w:cs="宋体"/>
                <w:color w:val="000000"/>
                <w:kern w:val="0"/>
                <w:sz w:val="24"/>
              </w:rPr>
            </w:pPr>
            <w:r>
              <w:rPr>
                <w:rFonts w:hint="eastAsia" w:ascii="宋体" w:hAnsi="宋体" w:cs="宋体"/>
                <w:color w:val="000000"/>
                <w:kern w:val="0"/>
                <w:sz w:val="24"/>
              </w:rPr>
              <w:t>1</w:t>
            </w:r>
          </w:p>
        </w:tc>
      </w:tr>
      <w:tr w14:paraId="46D9551C">
        <w:tblPrEx>
          <w:tblCellMar>
            <w:top w:w="0" w:type="dxa"/>
            <w:left w:w="108" w:type="dxa"/>
            <w:bottom w:w="0" w:type="dxa"/>
            <w:right w:w="108" w:type="dxa"/>
          </w:tblCellMar>
        </w:tblPrEx>
        <w:trPr>
          <w:trHeight w:val="624" w:hRule="atLeast"/>
        </w:trPr>
        <w:tc>
          <w:tcPr>
            <w:tcW w:w="579" w:type="dxa"/>
            <w:tcBorders>
              <w:top w:val="nil"/>
              <w:left w:val="single" w:color="auto" w:sz="8" w:space="0"/>
              <w:bottom w:val="single" w:color="auto" w:sz="8" w:space="0"/>
              <w:right w:val="single" w:color="auto" w:sz="8" w:space="0"/>
            </w:tcBorders>
            <w:shd w:val="clear" w:color="auto" w:fill="auto"/>
            <w:vAlign w:val="center"/>
          </w:tcPr>
          <w:p w14:paraId="4536151D">
            <w:pPr>
              <w:widowControl/>
              <w:jc w:val="center"/>
              <w:rPr>
                <w:rFonts w:ascii="宋体" w:hAnsi="宋体" w:cs="宋体"/>
                <w:color w:val="000000"/>
                <w:kern w:val="0"/>
                <w:sz w:val="24"/>
              </w:rPr>
            </w:pPr>
            <w:r>
              <w:rPr>
                <w:rFonts w:hint="eastAsia" w:ascii="宋体" w:hAnsi="宋体" w:cs="宋体"/>
                <w:color w:val="000000"/>
                <w:kern w:val="0"/>
                <w:sz w:val="24"/>
              </w:rPr>
              <w:t>19</w:t>
            </w:r>
          </w:p>
        </w:tc>
        <w:tc>
          <w:tcPr>
            <w:tcW w:w="2343" w:type="dxa"/>
            <w:tcBorders>
              <w:top w:val="nil"/>
              <w:left w:val="nil"/>
              <w:bottom w:val="single" w:color="auto" w:sz="8" w:space="0"/>
              <w:right w:val="single" w:color="auto" w:sz="8" w:space="0"/>
            </w:tcBorders>
            <w:shd w:val="clear" w:color="auto" w:fill="auto"/>
            <w:vAlign w:val="center"/>
          </w:tcPr>
          <w:p w14:paraId="46D4C4B0">
            <w:pPr>
              <w:widowControl/>
              <w:jc w:val="center"/>
              <w:rPr>
                <w:rFonts w:ascii="宋体" w:hAnsi="宋体" w:cs="宋体"/>
                <w:color w:val="000000"/>
                <w:kern w:val="0"/>
                <w:sz w:val="24"/>
              </w:rPr>
            </w:pPr>
            <w:r>
              <w:rPr>
                <w:rFonts w:hint="eastAsia" w:ascii="宋体" w:hAnsi="宋体" w:cs="宋体"/>
                <w:color w:val="000000"/>
                <w:kern w:val="0"/>
                <w:sz w:val="24"/>
              </w:rPr>
              <w:t>欣清巷</w:t>
            </w:r>
          </w:p>
        </w:tc>
        <w:tc>
          <w:tcPr>
            <w:tcW w:w="2892" w:type="dxa"/>
            <w:tcBorders>
              <w:top w:val="nil"/>
              <w:left w:val="nil"/>
              <w:bottom w:val="single" w:color="auto" w:sz="8" w:space="0"/>
              <w:right w:val="single" w:color="auto" w:sz="8" w:space="0"/>
            </w:tcBorders>
            <w:shd w:val="clear" w:color="auto" w:fill="auto"/>
            <w:vAlign w:val="center"/>
          </w:tcPr>
          <w:p w14:paraId="6B8A74E4">
            <w:pPr>
              <w:widowControl/>
              <w:jc w:val="center"/>
              <w:rPr>
                <w:rFonts w:ascii="宋体" w:hAnsi="宋体" w:cs="宋体"/>
                <w:color w:val="000000"/>
                <w:kern w:val="0"/>
                <w:sz w:val="24"/>
              </w:rPr>
            </w:pPr>
            <w:r>
              <w:rPr>
                <w:rFonts w:hint="eastAsia" w:ascii="宋体" w:hAnsi="宋体" w:cs="宋体"/>
                <w:color w:val="000000"/>
                <w:kern w:val="0"/>
                <w:sz w:val="24"/>
              </w:rPr>
              <w:t>鸿坤广场与欣清巷交口</w:t>
            </w:r>
          </w:p>
        </w:tc>
        <w:tc>
          <w:tcPr>
            <w:tcW w:w="822" w:type="dxa"/>
            <w:tcBorders>
              <w:top w:val="nil"/>
              <w:left w:val="nil"/>
              <w:bottom w:val="single" w:color="auto" w:sz="8" w:space="0"/>
              <w:right w:val="single" w:color="auto" w:sz="8" w:space="0"/>
            </w:tcBorders>
            <w:shd w:val="clear" w:color="auto" w:fill="auto"/>
            <w:noWrap/>
            <w:vAlign w:val="center"/>
          </w:tcPr>
          <w:p w14:paraId="39B350AE">
            <w:pPr>
              <w:widowControl/>
              <w:jc w:val="center"/>
              <w:rPr>
                <w:rFonts w:ascii="宋体" w:hAnsi="宋体" w:cs="宋体"/>
                <w:color w:val="000000"/>
                <w:kern w:val="0"/>
                <w:sz w:val="24"/>
              </w:rPr>
            </w:pPr>
            <w:r>
              <w:rPr>
                <w:rFonts w:hint="eastAsia" w:ascii="宋体" w:hAnsi="宋体" w:cs="宋体"/>
                <w:color w:val="000000"/>
                <w:kern w:val="0"/>
                <w:sz w:val="24"/>
              </w:rPr>
              <w:t>1</w:t>
            </w:r>
          </w:p>
        </w:tc>
        <w:tc>
          <w:tcPr>
            <w:tcW w:w="944" w:type="dxa"/>
            <w:tcBorders>
              <w:top w:val="nil"/>
              <w:left w:val="nil"/>
              <w:bottom w:val="single" w:color="auto" w:sz="8" w:space="0"/>
              <w:right w:val="single" w:color="auto" w:sz="8" w:space="0"/>
            </w:tcBorders>
            <w:shd w:val="clear" w:color="auto" w:fill="auto"/>
            <w:vAlign w:val="center"/>
          </w:tcPr>
          <w:p w14:paraId="2F2AF4CF">
            <w:pPr>
              <w:widowControl/>
              <w:jc w:val="center"/>
              <w:rPr>
                <w:rFonts w:ascii="宋体" w:hAnsi="宋体" w:cs="宋体"/>
                <w:color w:val="000000"/>
                <w:kern w:val="0"/>
                <w:sz w:val="24"/>
              </w:rPr>
            </w:pPr>
            <w:r>
              <w:rPr>
                <w:rFonts w:hint="eastAsia" w:ascii="宋体" w:hAnsi="宋体" w:cs="宋体"/>
                <w:color w:val="000000"/>
                <w:kern w:val="0"/>
                <w:sz w:val="24"/>
              </w:rPr>
              <w:t>0</w:t>
            </w:r>
          </w:p>
        </w:tc>
        <w:tc>
          <w:tcPr>
            <w:tcW w:w="700" w:type="dxa"/>
            <w:tcBorders>
              <w:top w:val="nil"/>
              <w:left w:val="nil"/>
              <w:bottom w:val="single" w:color="auto" w:sz="8" w:space="0"/>
              <w:right w:val="single" w:color="auto" w:sz="8" w:space="0"/>
            </w:tcBorders>
            <w:shd w:val="clear" w:color="auto" w:fill="auto"/>
            <w:noWrap/>
            <w:vAlign w:val="center"/>
          </w:tcPr>
          <w:p w14:paraId="1DFE7B9F">
            <w:pPr>
              <w:widowControl/>
              <w:jc w:val="center"/>
              <w:rPr>
                <w:rFonts w:ascii="宋体" w:hAnsi="宋体" w:cs="宋体"/>
                <w:color w:val="000000"/>
                <w:kern w:val="0"/>
                <w:sz w:val="24"/>
              </w:rPr>
            </w:pPr>
            <w:r>
              <w:rPr>
                <w:rFonts w:hint="eastAsia" w:ascii="宋体" w:hAnsi="宋体" w:cs="宋体"/>
                <w:color w:val="000000"/>
                <w:kern w:val="0"/>
                <w:sz w:val="24"/>
              </w:rPr>
              <w:t>0</w:t>
            </w:r>
          </w:p>
        </w:tc>
      </w:tr>
      <w:tr w14:paraId="6238BFBA">
        <w:tblPrEx>
          <w:tblCellMar>
            <w:top w:w="0" w:type="dxa"/>
            <w:left w:w="108" w:type="dxa"/>
            <w:bottom w:w="0" w:type="dxa"/>
            <w:right w:w="108" w:type="dxa"/>
          </w:tblCellMar>
        </w:tblPrEx>
        <w:trPr>
          <w:trHeight w:val="624" w:hRule="atLeast"/>
        </w:trPr>
        <w:tc>
          <w:tcPr>
            <w:tcW w:w="579" w:type="dxa"/>
            <w:tcBorders>
              <w:top w:val="nil"/>
              <w:left w:val="single" w:color="auto" w:sz="8" w:space="0"/>
              <w:bottom w:val="single" w:color="auto" w:sz="8" w:space="0"/>
              <w:right w:val="single" w:color="auto" w:sz="8" w:space="0"/>
            </w:tcBorders>
            <w:shd w:val="clear" w:color="auto" w:fill="auto"/>
            <w:vAlign w:val="center"/>
          </w:tcPr>
          <w:p w14:paraId="1AA2DE8D">
            <w:pPr>
              <w:widowControl/>
              <w:jc w:val="center"/>
              <w:rPr>
                <w:rFonts w:ascii="宋体" w:hAnsi="宋体" w:cs="宋体"/>
                <w:color w:val="000000"/>
                <w:kern w:val="0"/>
                <w:sz w:val="24"/>
              </w:rPr>
            </w:pPr>
            <w:r>
              <w:rPr>
                <w:rFonts w:hint="eastAsia" w:ascii="宋体" w:hAnsi="宋体" w:cs="宋体"/>
                <w:color w:val="000000"/>
                <w:kern w:val="0"/>
                <w:sz w:val="24"/>
              </w:rPr>
              <w:t>20</w:t>
            </w:r>
          </w:p>
        </w:tc>
        <w:tc>
          <w:tcPr>
            <w:tcW w:w="2343" w:type="dxa"/>
            <w:tcBorders>
              <w:top w:val="nil"/>
              <w:left w:val="nil"/>
              <w:bottom w:val="single" w:color="auto" w:sz="8" w:space="0"/>
              <w:right w:val="single" w:color="auto" w:sz="8" w:space="0"/>
            </w:tcBorders>
            <w:shd w:val="clear" w:color="auto" w:fill="auto"/>
            <w:vAlign w:val="center"/>
          </w:tcPr>
          <w:p w14:paraId="754096B8">
            <w:pPr>
              <w:widowControl/>
              <w:jc w:val="center"/>
              <w:rPr>
                <w:rFonts w:ascii="宋体" w:hAnsi="宋体" w:cs="宋体"/>
                <w:color w:val="000000"/>
                <w:kern w:val="0"/>
                <w:sz w:val="24"/>
              </w:rPr>
            </w:pPr>
            <w:r>
              <w:rPr>
                <w:rFonts w:hint="eastAsia" w:ascii="宋体" w:hAnsi="宋体" w:cs="宋体"/>
                <w:color w:val="000000"/>
                <w:kern w:val="0"/>
                <w:sz w:val="24"/>
              </w:rPr>
              <w:t>西红门桥</w:t>
            </w:r>
          </w:p>
        </w:tc>
        <w:tc>
          <w:tcPr>
            <w:tcW w:w="2892" w:type="dxa"/>
            <w:tcBorders>
              <w:top w:val="nil"/>
              <w:left w:val="nil"/>
              <w:bottom w:val="single" w:color="auto" w:sz="8" w:space="0"/>
              <w:right w:val="single" w:color="auto" w:sz="8" w:space="0"/>
            </w:tcBorders>
            <w:shd w:val="clear" w:color="auto" w:fill="auto"/>
            <w:vAlign w:val="center"/>
          </w:tcPr>
          <w:p w14:paraId="49E30655">
            <w:pPr>
              <w:widowControl/>
              <w:jc w:val="center"/>
              <w:rPr>
                <w:rFonts w:ascii="宋体" w:hAnsi="宋体" w:cs="宋体"/>
                <w:color w:val="000000"/>
                <w:kern w:val="0"/>
                <w:sz w:val="24"/>
              </w:rPr>
            </w:pPr>
            <w:r>
              <w:rPr>
                <w:rFonts w:hint="eastAsia" w:ascii="宋体" w:hAnsi="宋体" w:cs="宋体"/>
                <w:color w:val="000000"/>
                <w:kern w:val="0"/>
                <w:sz w:val="24"/>
              </w:rPr>
              <w:t>京开辅路西红门桥下</w:t>
            </w:r>
          </w:p>
        </w:tc>
        <w:tc>
          <w:tcPr>
            <w:tcW w:w="822" w:type="dxa"/>
            <w:tcBorders>
              <w:top w:val="nil"/>
              <w:left w:val="nil"/>
              <w:bottom w:val="single" w:color="auto" w:sz="8" w:space="0"/>
              <w:right w:val="single" w:color="auto" w:sz="8" w:space="0"/>
            </w:tcBorders>
            <w:shd w:val="clear" w:color="auto" w:fill="auto"/>
            <w:noWrap/>
            <w:vAlign w:val="center"/>
          </w:tcPr>
          <w:p w14:paraId="2576BD87">
            <w:pPr>
              <w:widowControl/>
              <w:jc w:val="center"/>
              <w:rPr>
                <w:rFonts w:ascii="宋体" w:hAnsi="宋体" w:cs="宋体"/>
                <w:color w:val="000000"/>
                <w:kern w:val="0"/>
                <w:sz w:val="24"/>
              </w:rPr>
            </w:pPr>
            <w:r>
              <w:rPr>
                <w:rFonts w:hint="eastAsia" w:ascii="宋体" w:hAnsi="宋体" w:cs="宋体"/>
                <w:color w:val="000000"/>
                <w:kern w:val="0"/>
                <w:sz w:val="24"/>
              </w:rPr>
              <w:t>1</w:t>
            </w:r>
          </w:p>
        </w:tc>
        <w:tc>
          <w:tcPr>
            <w:tcW w:w="944" w:type="dxa"/>
            <w:tcBorders>
              <w:top w:val="nil"/>
              <w:left w:val="nil"/>
              <w:bottom w:val="single" w:color="auto" w:sz="8" w:space="0"/>
              <w:right w:val="single" w:color="auto" w:sz="8" w:space="0"/>
            </w:tcBorders>
            <w:shd w:val="clear" w:color="auto" w:fill="auto"/>
            <w:noWrap/>
            <w:vAlign w:val="center"/>
          </w:tcPr>
          <w:p w14:paraId="5751A4EE">
            <w:pPr>
              <w:widowControl/>
              <w:jc w:val="center"/>
              <w:rPr>
                <w:rFonts w:ascii="宋体" w:hAnsi="宋体" w:cs="宋体"/>
                <w:color w:val="000000"/>
                <w:kern w:val="0"/>
                <w:sz w:val="24"/>
              </w:rPr>
            </w:pPr>
            <w:r>
              <w:rPr>
                <w:rFonts w:hint="eastAsia" w:ascii="宋体" w:hAnsi="宋体" w:cs="宋体"/>
                <w:color w:val="000000"/>
                <w:kern w:val="0"/>
                <w:sz w:val="24"/>
              </w:rPr>
              <w:t>0</w:t>
            </w:r>
          </w:p>
        </w:tc>
        <w:tc>
          <w:tcPr>
            <w:tcW w:w="700" w:type="dxa"/>
            <w:tcBorders>
              <w:top w:val="nil"/>
              <w:left w:val="nil"/>
              <w:bottom w:val="single" w:color="auto" w:sz="8" w:space="0"/>
              <w:right w:val="single" w:color="auto" w:sz="8" w:space="0"/>
            </w:tcBorders>
            <w:shd w:val="clear" w:color="auto" w:fill="auto"/>
            <w:noWrap/>
            <w:vAlign w:val="center"/>
          </w:tcPr>
          <w:p w14:paraId="723123D6">
            <w:pPr>
              <w:widowControl/>
              <w:jc w:val="center"/>
              <w:rPr>
                <w:rFonts w:ascii="宋体" w:hAnsi="宋体" w:cs="宋体"/>
                <w:color w:val="000000"/>
                <w:kern w:val="0"/>
                <w:sz w:val="24"/>
              </w:rPr>
            </w:pPr>
            <w:r>
              <w:rPr>
                <w:rFonts w:hint="eastAsia" w:ascii="宋体" w:hAnsi="宋体" w:cs="宋体"/>
                <w:color w:val="000000"/>
                <w:kern w:val="0"/>
                <w:sz w:val="24"/>
              </w:rPr>
              <w:t>0</w:t>
            </w:r>
          </w:p>
        </w:tc>
      </w:tr>
      <w:tr w14:paraId="1B1E6A2E">
        <w:tblPrEx>
          <w:tblCellMar>
            <w:top w:w="0" w:type="dxa"/>
            <w:left w:w="108" w:type="dxa"/>
            <w:bottom w:w="0" w:type="dxa"/>
            <w:right w:w="108" w:type="dxa"/>
          </w:tblCellMar>
        </w:tblPrEx>
        <w:trPr>
          <w:trHeight w:val="624" w:hRule="atLeast"/>
        </w:trPr>
        <w:tc>
          <w:tcPr>
            <w:tcW w:w="579" w:type="dxa"/>
            <w:tcBorders>
              <w:top w:val="nil"/>
              <w:left w:val="single" w:color="auto" w:sz="8" w:space="0"/>
              <w:bottom w:val="single" w:color="auto" w:sz="8" w:space="0"/>
              <w:right w:val="single" w:color="auto" w:sz="8" w:space="0"/>
            </w:tcBorders>
            <w:shd w:val="clear" w:color="auto" w:fill="auto"/>
            <w:vAlign w:val="center"/>
          </w:tcPr>
          <w:p w14:paraId="36202D7E">
            <w:pPr>
              <w:widowControl/>
              <w:jc w:val="center"/>
              <w:rPr>
                <w:rFonts w:ascii="宋体" w:hAnsi="宋体" w:cs="宋体"/>
                <w:color w:val="000000"/>
                <w:kern w:val="0"/>
                <w:sz w:val="24"/>
              </w:rPr>
            </w:pPr>
            <w:r>
              <w:rPr>
                <w:rFonts w:hint="eastAsia" w:ascii="宋体" w:hAnsi="宋体" w:cs="宋体"/>
                <w:color w:val="000000"/>
                <w:kern w:val="0"/>
                <w:sz w:val="24"/>
              </w:rPr>
              <w:t>21</w:t>
            </w:r>
          </w:p>
        </w:tc>
        <w:tc>
          <w:tcPr>
            <w:tcW w:w="2343" w:type="dxa"/>
            <w:tcBorders>
              <w:top w:val="nil"/>
              <w:left w:val="nil"/>
              <w:bottom w:val="single" w:color="auto" w:sz="8" w:space="0"/>
              <w:right w:val="single" w:color="auto" w:sz="8" w:space="0"/>
            </w:tcBorders>
            <w:shd w:val="clear" w:color="auto" w:fill="auto"/>
            <w:vAlign w:val="center"/>
          </w:tcPr>
          <w:p w14:paraId="0B7E1C55">
            <w:pPr>
              <w:widowControl/>
              <w:jc w:val="center"/>
              <w:rPr>
                <w:rFonts w:ascii="宋体" w:hAnsi="宋体" w:cs="宋体"/>
                <w:color w:val="000000"/>
                <w:kern w:val="0"/>
                <w:sz w:val="24"/>
              </w:rPr>
            </w:pPr>
            <w:r>
              <w:rPr>
                <w:rFonts w:hint="eastAsia" w:ascii="宋体" w:hAnsi="宋体" w:cs="宋体"/>
                <w:color w:val="000000"/>
                <w:kern w:val="0"/>
                <w:sz w:val="24"/>
              </w:rPr>
              <w:t>街心公园东门</w:t>
            </w:r>
          </w:p>
        </w:tc>
        <w:tc>
          <w:tcPr>
            <w:tcW w:w="2892" w:type="dxa"/>
            <w:tcBorders>
              <w:top w:val="nil"/>
              <w:left w:val="nil"/>
              <w:bottom w:val="single" w:color="auto" w:sz="8" w:space="0"/>
              <w:right w:val="single" w:color="auto" w:sz="8" w:space="0"/>
            </w:tcBorders>
            <w:shd w:val="clear" w:color="auto" w:fill="auto"/>
            <w:vAlign w:val="center"/>
          </w:tcPr>
          <w:p w14:paraId="0011AF64">
            <w:pPr>
              <w:widowControl/>
              <w:jc w:val="center"/>
              <w:rPr>
                <w:rFonts w:ascii="宋体" w:hAnsi="宋体" w:cs="宋体"/>
                <w:color w:val="000000"/>
                <w:kern w:val="0"/>
                <w:sz w:val="24"/>
              </w:rPr>
            </w:pPr>
            <w:r>
              <w:rPr>
                <w:rFonts w:hint="eastAsia" w:ascii="宋体" w:hAnsi="宋体" w:cs="宋体"/>
                <w:color w:val="000000"/>
                <w:kern w:val="0"/>
                <w:sz w:val="24"/>
              </w:rPr>
              <w:t>街心公园东门</w:t>
            </w:r>
          </w:p>
        </w:tc>
        <w:tc>
          <w:tcPr>
            <w:tcW w:w="822" w:type="dxa"/>
            <w:tcBorders>
              <w:top w:val="nil"/>
              <w:left w:val="nil"/>
              <w:bottom w:val="single" w:color="auto" w:sz="8" w:space="0"/>
              <w:right w:val="single" w:color="auto" w:sz="8" w:space="0"/>
            </w:tcBorders>
            <w:shd w:val="clear" w:color="auto" w:fill="auto"/>
            <w:noWrap/>
            <w:vAlign w:val="center"/>
          </w:tcPr>
          <w:p w14:paraId="41823FE2">
            <w:pPr>
              <w:widowControl/>
              <w:jc w:val="center"/>
              <w:rPr>
                <w:rFonts w:ascii="宋体" w:hAnsi="宋体" w:cs="宋体"/>
                <w:color w:val="000000"/>
                <w:kern w:val="0"/>
                <w:sz w:val="24"/>
              </w:rPr>
            </w:pPr>
            <w:r>
              <w:rPr>
                <w:rFonts w:hint="eastAsia" w:ascii="宋体" w:hAnsi="宋体" w:cs="宋体"/>
                <w:color w:val="000000"/>
                <w:kern w:val="0"/>
                <w:sz w:val="24"/>
              </w:rPr>
              <w:t>1</w:t>
            </w:r>
          </w:p>
        </w:tc>
        <w:tc>
          <w:tcPr>
            <w:tcW w:w="944" w:type="dxa"/>
            <w:tcBorders>
              <w:top w:val="nil"/>
              <w:left w:val="nil"/>
              <w:bottom w:val="single" w:color="auto" w:sz="8" w:space="0"/>
              <w:right w:val="single" w:color="auto" w:sz="8" w:space="0"/>
            </w:tcBorders>
            <w:shd w:val="clear" w:color="auto" w:fill="auto"/>
            <w:vAlign w:val="center"/>
          </w:tcPr>
          <w:p w14:paraId="3CD98F8E">
            <w:pPr>
              <w:widowControl/>
              <w:jc w:val="center"/>
              <w:rPr>
                <w:rFonts w:ascii="宋体" w:hAnsi="宋体" w:cs="宋体"/>
                <w:color w:val="000000"/>
                <w:kern w:val="0"/>
                <w:sz w:val="24"/>
              </w:rPr>
            </w:pPr>
            <w:r>
              <w:rPr>
                <w:rFonts w:hint="eastAsia" w:ascii="宋体" w:hAnsi="宋体" w:cs="宋体"/>
                <w:color w:val="000000"/>
                <w:kern w:val="0"/>
                <w:sz w:val="24"/>
              </w:rPr>
              <w:t>0</w:t>
            </w:r>
          </w:p>
        </w:tc>
        <w:tc>
          <w:tcPr>
            <w:tcW w:w="700" w:type="dxa"/>
            <w:tcBorders>
              <w:top w:val="nil"/>
              <w:left w:val="nil"/>
              <w:bottom w:val="single" w:color="auto" w:sz="8" w:space="0"/>
              <w:right w:val="single" w:color="auto" w:sz="8" w:space="0"/>
            </w:tcBorders>
            <w:shd w:val="clear" w:color="auto" w:fill="auto"/>
            <w:noWrap/>
            <w:vAlign w:val="center"/>
          </w:tcPr>
          <w:p w14:paraId="01650285">
            <w:pPr>
              <w:widowControl/>
              <w:jc w:val="center"/>
              <w:rPr>
                <w:rFonts w:ascii="宋体" w:hAnsi="宋体" w:cs="宋体"/>
                <w:color w:val="000000"/>
                <w:kern w:val="0"/>
                <w:sz w:val="24"/>
              </w:rPr>
            </w:pPr>
            <w:r>
              <w:rPr>
                <w:rFonts w:hint="eastAsia" w:ascii="宋体" w:hAnsi="宋体" w:cs="宋体"/>
                <w:color w:val="000000"/>
                <w:kern w:val="0"/>
                <w:sz w:val="24"/>
              </w:rPr>
              <w:t>0</w:t>
            </w:r>
          </w:p>
        </w:tc>
      </w:tr>
      <w:tr w14:paraId="19484C5C">
        <w:tblPrEx>
          <w:tblCellMar>
            <w:top w:w="0" w:type="dxa"/>
            <w:left w:w="108" w:type="dxa"/>
            <w:bottom w:w="0" w:type="dxa"/>
            <w:right w:w="108" w:type="dxa"/>
          </w:tblCellMar>
        </w:tblPrEx>
        <w:trPr>
          <w:trHeight w:val="624" w:hRule="atLeast"/>
        </w:trPr>
        <w:tc>
          <w:tcPr>
            <w:tcW w:w="579" w:type="dxa"/>
            <w:tcBorders>
              <w:top w:val="nil"/>
              <w:left w:val="single" w:color="auto" w:sz="8" w:space="0"/>
              <w:bottom w:val="single" w:color="auto" w:sz="8" w:space="0"/>
              <w:right w:val="single" w:color="auto" w:sz="8" w:space="0"/>
            </w:tcBorders>
            <w:shd w:val="clear" w:color="auto" w:fill="auto"/>
            <w:vAlign w:val="center"/>
          </w:tcPr>
          <w:p w14:paraId="78DC3396">
            <w:pPr>
              <w:widowControl/>
              <w:jc w:val="center"/>
              <w:rPr>
                <w:rFonts w:ascii="宋体" w:hAnsi="宋体" w:cs="宋体"/>
                <w:color w:val="000000"/>
                <w:kern w:val="0"/>
                <w:sz w:val="24"/>
              </w:rPr>
            </w:pPr>
            <w:r>
              <w:rPr>
                <w:rFonts w:hint="eastAsia" w:ascii="宋体" w:hAnsi="宋体" w:cs="宋体"/>
                <w:color w:val="000000"/>
                <w:kern w:val="0"/>
                <w:sz w:val="24"/>
              </w:rPr>
              <w:t>22</w:t>
            </w:r>
          </w:p>
        </w:tc>
        <w:tc>
          <w:tcPr>
            <w:tcW w:w="2343" w:type="dxa"/>
            <w:tcBorders>
              <w:top w:val="nil"/>
              <w:left w:val="nil"/>
              <w:bottom w:val="single" w:color="auto" w:sz="8" w:space="0"/>
              <w:right w:val="single" w:color="auto" w:sz="8" w:space="0"/>
            </w:tcBorders>
            <w:shd w:val="clear" w:color="auto" w:fill="auto"/>
            <w:vAlign w:val="center"/>
          </w:tcPr>
          <w:p w14:paraId="32B3F4C5">
            <w:pPr>
              <w:widowControl/>
              <w:jc w:val="center"/>
              <w:rPr>
                <w:rFonts w:ascii="宋体" w:hAnsi="宋体" w:cs="宋体"/>
                <w:color w:val="000000"/>
                <w:kern w:val="0"/>
                <w:sz w:val="24"/>
              </w:rPr>
            </w:pPr>
            <w:r>
              <w:rPr>
                <w:rFonts w:hint="eastAsia" w:ascii="宋体" w:hAnsi="宋体" w:cs="宋体"/>
                <w:color w:val="000000"/>
                <w:kern w:val="0"/>
                <w:sz w:val="24"/>
              </w:rPr>
              <w:t>玉林烤鸭店南侧</w:t>
            </w:r>
          </w:p>
        </w:tc>
        <w:tc>
          <w:tcPr>
            <w:tcW w:w="2892" w:type="dxa"/>
            <w:tcBorders>
              <w:top w:val="nil"/>
              <w:left w:val="nil"/>
              <w:bottom w:val="single" w:color="auto" w:sz="8" w:space="0"/>
              <w:right w:val="single" w:color="auto" w:sz="8" w:space="0"/>
            </w:tcBorders>
            <w:shd w:val="clear" w:color="auto" w:fill="auto"/>
            <w:vAlign w:val="center"/>
          </w:tcPr>
          <w:p w14:paraId="3CC201C2">
            <w:pPr>
              <w:widowControl/>
              <w:jc w:val="center"/>
              <w:rPr>
                <w:rFonts w:ascii="宋体" w:hAnsi="宋体" w:cs="宋体"/>
                <w:color w:val="000000"/>
                <w:kern w:val="0"/>
                <w:sz w:val="24"/>
              </w:rPr>
            </w:pPr>
            <w:r>
              <w:rPr>
                <w:rFonts w:hint="eastAsia" w:ascii="宋体" w:hAnsi="宋体" w:cs="宋体"/>
                <w:color w:val="000000"/>
                <w:kern w:val="0"/>
                <w:sz w:val="24"/>
              </w:rPr>
              <w:t>黄村西里东四门</w:t>
            </w:r>
          </w:p>
        </w:tc>
        <w:tc>
          <w:tcPr>
            <w:tcW w:w="822" w:type="dxa"/>
            <w:tcBorders>
              <w:top w:val="nil"/>
              <w:left w:val="nil"/>
              <w:bottom w:val="single" w:color="auto" w:sz="8" w:space="0"/>
              <w:right w:val="single" w:color="auto" w:sz="8" w:space="0"/>
            </w:tcBorders>
            <w:shd w:val="clear" w:color="auto" w:fill="auto"/>
            <w:noWrap/>
            <w:vAlign w:val="center"/>
          </w:tcPr>
          <w:p w14:paraId="79CA414C">
            <w:pPr>
              <w:widowControl/>
              <w:jc w:val="center"/>
              <w:rPr>
                <w:rFonts w:ascii="宋体" w:hAnsi="宋体" w:cs="宋体"/>
                <w:color w:val="000000"/>
                <w:kern w:val="0"/>
                <w:sz w:val="24"/>
              </w:rPr>
            </w:pPr>
            <w:r>
              <w:rPr>
                <w:rFonts w:hint="eastAsia" w:ascii="宋体" w:hAnsi="宋体" w:cs="宋体"/>
                <w:color w:val="000000"/>
                <w:kern w:val="0"/>
                <w:sz w:val="24"/>
              </w:rPr>
              <w:t>1</w:t>
            </w:r>
          </w:p>
        </w:tc>
        <w:tc>
          <w:tcPr>
            <w:tcW w:w="944" w:type="dxa"/>
            <w:tcBorders>
              <w:top w:val="nil"/>
              <w:left w:val="nil"/>
              <w:bottom w:val="single" w:color="auto" w:sz="8" w:space="0"/>
              <w:right w:val="single" w:color="auto" w:sz="8" w:space="0"/>
            </w:tcBorders>
            <w:shd w:val="clear" w:color="auto" w:fill="auto"/>
            <w:noWrap/>
            <w:vAlign w:val="center"/>
          </w:tcPr>
          <w:p w14:paraId="5F37E7EF">
            <w:pPr>
              <w:widowControl/>
              <w:jc w:val="center"/>
              <w:rPr>
                <w:rFonts w:ascii="宋体" w:hAnsi="宋体" w:cs="宋体"/>
                <w:color w:val="000000"/>
                <w:kern w:val="0"/>
                <w:sz w:val="24"/>
              </w:rPr>
            </w:pPr>
            <w:r>
              <w:rPr>
                <w:rFonts w:hint="eastAsia" w:ascii="宋体" w:hAnsi="宋体" w:cs="宋体"/>
                <w:color w:val="000000"/>
                <w:kern w:val="0"/>
                <w:sz w:val="24"/>
              </w:rPr>
              <w:t>0</w:t>
            </w:r>
          </w:p>
        </w:tc>
        <w:tc>
          <w:tcPr>
            <w:tcW w:w="700" w:type="dxa"/>
            <w:tcBorders>
              <w:top w:val="nil"/>
              <w:left w:val="nil"/>
              <w:bottom w:val="single" w:color="auto" w:sz="8" w:space="0"/>
              <w:right w:val="single" w:color="auto" w:sz="8" w:space="0"/>
            </w:tcBorders>
            <w:shd w:val="clear" w:color="auto" w:fill="auto"/>
            <w:noWrap/>
            <w:vAlign w:val="center"/>
          </w:tcPr>
          <w:p w14:paraId="7EC9A83E">
            <w:pPr>
              <w:widowControl/>
              <w:jc w:val="center"/>
              <w:rPr>
                <w:rFonts w:ascii="宋体" w:hAnsi="宋体" w:cs="宋体"/>
                <w:color w:val="000000"/>
                <w:kern w:val="0"/>
                <w:sz w:val="24"/>
              </w:rPr>
            </w:pPr>
            <w:r>
              <w:rPr>
                <w:rFonts w:hint="eastAsia" w:ascii="宋体" w:hAnsi="宋体" w:cs="宋体"/>
                <w:color w:val="000000"/>
                <w:kern w:val="0"/>
                <w:sz w:val="24"/>
              </w:rPr>
              <w:t>1</w:t>
            </w:r>
          </w:p>
        </w:tc>
      </w:tr>
      <w:tr w14:paraId="71133EB8">
        <w:tblPrEx>
          <w:tblCellMar>
            <w:top w:w="0" w:type="dxa"/>
            <w:left w:w="108" w:type="dxa"/>
            <w:bottom w:w="0" w:type="dxa"/>
            <w:right w:w="108" w:type="dxa"/>
          </w:tblCellMar>
        </w:tblPrEx>
        <w:trPr>
          <w:trHeight w:val="624" w:hRule="atLeast"/>
        </w:trPr>
        <w:tc>
          <w:tcPr>
            <w:tcW w:w="579" w:type="dxa"/>
            <w:tcBorders>
              <w:top w:val="nil"/>
              <w:left w:val="single" w:color="auto" w:sz="8" w:space="0"/>
              <w:bottom w:val="single" w:color="auto" w:sz="8" w:space="0"/>
              <w:right w:val="single" w:color="auto" w:sz="8" w:space="0"/>
            </w:tcBorders>
            <w:shd w:val="clear" w:color="auto" w:fill="auto"/>
            <w:vAlign w:val="center"/>
          </w:tcPr>
          <w:p w14:paraId="05A62663">
            <w:pPr>
              <w:widowControl/>
              <w:jc w:val="center"/>
              <w:rPr>
                <w:rFonts w:ascii="宋体" w:hAnsi="宋体" w:cs="宋体"/>
                <w:color w:val="000000"/>
                <w:kern w:val="0"/>
                <w:sz w:val="24"/>
              </w:rPr>
            </w:pPr>
            <w:r>
              <w:rPr>
                <w:rFonts w:hint="eastAsia" w:ascii="宋体" w:hAnsi="宋体" w:cs="宋体"/>
                <w:color w:val="000000"/>
                <w:kern w:val="0"/>
                <w:sz w:val="24"/>
              </w:rPr>
              <w:t>23</w:t>
            </w:r>
          </w:p>
        </w:tc>
        <w:tc>
          <w:tcPr>
            <w:tcW w:w="2343" w:type="dxa"/>
            <w:tcBorders>
              <w:top w:val="nil"/>
              <w:left w:val="nil"/>
              <w:bottom w:val="single" w:color="auto" w:sz="8" w:space="0"/>
              <w:right w:val="single" w:color="auto" w:sz="8" w:space="0"/>
            </w:tcBorders>
            <w:shd w:val="clear" w:color="auto" w:fill="auto"/>
            <w:vAlign w:val="center"/>
          </w:tcPr>
          <w:p w14:paraId="521B69F2">
            <w:pPr>
              <w:widowControl/>
              <w:jc w:val="center"/>
              <w:rPr>
                <w:rFonts w:ascii="宋体" w:hAnsi="宋体" w:cs="宋体"/>
                <w:color w:val="000000"/>
                <w:kern w:val="0"/>
                <w:sz w:val="24"/>
              </w:rPr>
            </w:pPr>
            <w:r>
              <w:rPr>
                <w:rFonts w:hint="eastAsia" w:ascii="宋体" w:hAnsi="宋体" w:cs="宋体"/>
                <w:color w:val="000000"/>
                <w:kern w:val="0"/>
                <w:sz w:val="24"/>
              </w:rPr>
              <w:t>永华北里北门</w:t>
            </w:r>
          </w:p>
        </w:tc>
        <w:tc>
          <w:tcPr>
            <w:tcW w:w="2892" w:type="dxa"/>
            <w:tcBorders>
              <w:top w:val="nil"/>
              <w:left w:val="nil"/>
              <w:bottom w:val="single" w:color="auto" w:sz="8" w:space="0"/>
              <w:right w:val="single" w:color="auto" w:sz="8" w:space="0"/>
            </w:tcBorders>
            <w:shd w:val="clear" w:color="auto" w:fill="auto"/>
            <w:vAlign w:val="center"/>
          </w:tcPr>
          <w:p w14:paraId="00BC5BC9">
            <w:pPr>
              <w:widowControl/>
              <w:jc w:val="center"/>
              <w:rPr>
                <w:rFonts w:ascii="宋体" w:hAnsi="宋体" w:cs="宋体"/>
                <w:color w:val="000000"/>
                <w:kern w:val="0"/>
                <w:sz w:val="24"/>
              </w:rPr>
            </w:pPr>
            <w:r>
              <w:rPr>
                <w:rFonts w:hint="eastAsia" w:ascii="宋体" w:hAnsi="宋体" w:cs="宋体"/>
                <w:color w:val="000000"/>
                <w:kern w:val="0"/>
                <w:sz w:val="24"/>
              </w:rPr>
              <w:t>大兴市政工程公司附近</w:t>
            </w:r>
          </w:p>
        </w:tc>
        <w:tc>
          <w:tcPr>
            <w:tcW w:w="822" w:type="dxa"/>
            <w:tcBorders>
              <w:top w:val="nil"/>
              <w:left w:val="nil"/>
              <w:bottom w:val="single" w:color="auto" w:sz="8" w:space="0"/>
              <w:right w:val="single" w:color="auto" w:sz="8" w:space="0"/>
            </w:tcBorders>
            <w:shd w:val="clear" w:color="auto" w:fill="auto"/>
            <w:noWrap/>
            <w:vAlign w:val="center"/>
          </w:tcPr>
          <w:p w14:paraId="5519CC97">
            <w:pPr>
              <w:widowControl/>
              <w:jc w:val="center"/>
              <w:rPr>
                <w:rFonts w:ascii="宋体" w:hAnsi="宋体" w:cs="宋体"/>
                <w:color w:val="000000"/>
                <w:kern w:val="0"/>
                <w:sz w:val="24"/>
              </w:rPr>
            </w:pPr>
            <w:r>
              <w:rPr>
                <w:rFonts w:hint="eastAsia" w:ascii="宋体" w:hAnsi="宋体" w:cs="宋体"/>
                <w:color w:val="000000"/>
                <w:kern w:val="0"/>
                <w:sz w:val="24"/>
              </w:rPr>
              <w:t>1</w:t>
            </w:r>
          </w:p>
        </w:tc>
        <w:tc>
          <w:tcPr>
            <w:tcW w:w="944" w:type="dxa"/>
            <w:tcBorders>
              <w:top w:val="nil"/>
              <w:left w:val="nil"/>
              <w:bottom w:val="single" w:color="auto" w:sz="8" w:space="0"/>
              <w:right w:val="single" w:color="auto" w:sz="8" w:space="0"/>
            </w:tcBorders>
            <w:shd w:val="clear" w:color="auto" w:fill="auto"/>
            <w:vAlign w:val="center"/>
          </w:tcPr>
          <w:p w14:paraId="59CA9AE4">
            <w:pPr>
              <w:widowControl/>
              <w:jc w:val="center"/>
              <w:rPr>
                <w:rFonts w:ascii="宋体" w:hAnsi="宋体" w:cs="宋体"/>
                <w:color w:val="000000"/>
                <w:kern w:val="0"/>
                <w:sz w:val="24"/>
              </w:rPr>
            </w:pPr>
            <w:r>
              <w:rPr>
                <w:rFonts w:hint="eastAsia" w:ascii="宋体" w:hAnsi="宋体" w:cs="宋体"/>
                <w:color w:val="000000"/>
                <w:kern w:val="0"/>
                <w:sz w:val="24"/>
              </w:rPr>
              <w:t>0</w:t>
            </w:r>
          </w:p>
        </w:tc>
        <w:tc>
          <w:tcPr>
            <w:tcW w:w="700" w:type="dxa"/>
            <w:tcBorders>
              <w:top w:val="nil"/>
              <w:left w:val="nil"/>
              <w:bottom w:val="single" w:color="auto" w:sz="8" w:space="0"/>
              <w:right w:val="single" w:color="auto" w:sz="8" w:space="0"/>
            </w:tcBorders>
            <w:shd w:val="clear" w:color="auto" w:fill="auto"/>
            <w:noWrap/>
            <w:vAlign w:val="center"/>
          </w:tcPr>
          <w:p w14:paraId="4CA5008F">
            <w:pPr>
              <w:widowControl/>
              <w:jc w:val="center"/>
              <w:rPr>
                <w:rFonts w:ascii="宋体" w:hAnsi="宋体" w:cs="宋体"/>
                <w:color w:val="000000"/>
                <w:kern w:val="0"/>
                <w:sz w:val="24"/>
              </w:rPr>
            </w:pPr>
            <w:r>
              <w:rPr>
                <w:rFonts w:hint="eastAsia" w:ascii="宋体" w:hAnsi="宋体" w:cs="宋体"/>
                <w:color w:val="000000"/>
                <w:kern w:val="0"/>
                <w:sz w:val="24"/>
              </w:rPr>
              <w:t>0</w:t>
            </w:r>
          </w:p>
        </w:tc>
      </w:tr>
      <w:tr w14:paraId="20A9EE30">
        <w:tblPrEx>
          <w:tblCellMar>
            <w:top w:w="0" w:type="dxa"/>
            <w:left w:w="108" w:type="dxa"/>
            <w:bottom w:w="0" w:type="dxa"/>
            <w:right w:w="108" w:type="dxa"/>
          </w:tblCellMar>
        </w:tblPrEx>
        <w:trPr>
          <w:trHeight w:val="624" w:hRule="atLeast"/>
        </w:trPr>
        <w:tc>
          <w:tcPr>
            <w:tcW w:w="579" w:type="dxa"/>
            <w:tcBorders>
              <w:top w:val="nil"/>
              <w:left w:val="single" w:color="auto" w:sz="8" w:space="0"/>
              <w:bottom w:val="single" w:color="auto" w:sz="8" w:space="0"/>
              <w:right w:val="single" w:color="auto" w:sz="8" w:space="0"/>
            </w:tcBorders>
            <w:shd w:val="clear" w:color="auto" w:fill="auto"/>
            <w:vAlign w:val="center"/>
          </w:tcPr>
          <w:p w14:paraId="0A5A11B5">
            <w:pPr>
              <w:widowControl/>
              <w:jc w:val="center"/>
              <w:rPr>
                <w:rFonts w:ascii="宋体" w:hAnsi="宋体" w:cs="宋体"/>
                <w:color w:val="000000"/>
                <w:kern w:val="0"/>
                <w:sz w:val="24"/>
              </w:rPr>
            </w:pPr>
            <w:r>
              <w:rPr>
                <w:rFonts w:hint="eastAsia" w:ascii="宋体" w:hAnsi="宋体" w:cs="宋体"/>
                <w:color w:val="000000"/>
                <w:kern w:val="0"/>
                <w:sz w:val="24"/>
              </w:rPr>
              <w:t>24</w:t>
            </w:r>
          </w:p>
        </w:tc>
        <w:tc>
          <w:tcPr>
            <w:tcW w:w="2343" w:type="dxa"/>
            <w:tcBorders>
              <w:top w:val="nil"/>
              <w:left w:val="nil"/>
              <w:bottom w:val="single" w:color="auto" w:sz="8" w:space="0"/>
              <w:right w:val="single" w:color="auto" w:sz="8" w:space="0"/>
            </w:tcBorders>
            <w:shd w:val="clear" w:color="auto" w:fill="auto"/>
            <w:vAlign w:val="center"/>
          </w:tcPr>
          <w:p w14:paraId="3C65FFC8">
            <w:pPr>
              <w:widowControl/>
              <w:jc w:val="center"/>
              <w:rPr>
                <w:rFonts w:ascii="宋体" w:hAnsi="宋体" w:cs="宋体"/>
                <w:color w:val="000000"/>
                <w:kern w:val="0"/>
                <w:sz w:val="24"/>
              </w:rPr>
            </w:pPr>
            <w:r>
              <w:rPr>
                <w:rFonts w:hint="eastAsia" w:ascii="宋体" w:hAnsi="宋体" w:cs="宋体"/>
                <w:color w:val="000000"/>
                <w:kern w:val="0"/>
                <w:sz w:val="24"/>
              </w:rPr>
              <w:t>阳光乐府</w:t>
            </w:r>
          </w:p>
        </w:tc>
        <w:tc>
          <w:tcPr>
            <w:tcW w:w="2892" w:type="dxa"/>
            <w:tcBorders>
              <w:top w:val="nil"/>
              <w:left w:val="nil"/>
              <w:bottom w:val="single" w:color="auto" w:sz="8" w:space="0"/>
              <w:right w:val="single" w:color="auto" w:sz="8" w:space="0"/>
            </w:tcBorders>
            <w:shd w:val="clear" w:color="auto" w:fill="auto"/>
            <w:vAlign w:val="center"/>
          </w:tcPr>
          <w:p w14:paraId="301269E2">
            <w:pPr>
              <w:widowControl/>
              <w:jc w:val="center"/>
              <w:rPr>
                <w:rFonts w:ascii="宋体" w:hAnsi="宋体" w:cs="宋体"/>
                <w:color w:val="000000"/>
                <w:kern w:val="0"/>
                <w:sz w:val="24"/>
              </w:rPr>
            </w:pPr>
            <w:r>
              <w:rPr>
                <w:rFonts w:hint="eastAsia" w:ascii="宋体" w:hAnsi="宋体" w:cs="宋体"/>
                <w:color w:val="000000"/>
                <w:kern w:val="0"/>
                <w:sz w:val="24"/>
              </w:rPr>
              <w:t>阳光乐府</w:t>
            </w:r>
          </w:p>
        </w:tc>
        <w:tc>
          <w:tcPr>
            <w:tcW w:w="822" w:type="dxa"/>
            <w:tcBorders>
              <w:top w:val="nil"/>
              <w:left w:val="nil"/>
              <w:bottom w:val="single" w:color="auto" w:sz="8" w:space="0"/>
              <w:right w:val="single" w:color="auto" w:sz="8" w:space="0"/>
            </w:tcBorders>
            <w:shd w:val="clear" w:color="auto" w:fill="auto"/>
            <w:noWrap/>
            <w:vAlign w:val="center"/>
          </w:tcPr>
          <w:p w14:paraId="4D74CEDB">
            <w:pPr>
              <w:widowControl/>
              <w:jc w:val="center"/>
              <w:rPr>
                <w:rFonts w:ascii="宋体" w:hAnsi="宋体" w:cs="宋体"/>
                <w:color w:val="000000"/>
                <w:kern w:val="0"/>
                <w:sz w:val="24"/>
              </w:rPr>
            </w:pPr>
            <w:r>
              <w:rPr>
                <w:rFonts w:hint="eastAsia" w:ascii="宋体" w:hAnsi="宋体" w:cs="宋体"/>
                <w:color w:val="000000"/>
                <w:kern w:val="0"/>
                <w:sz w:val="24"/>
              </w:rPr>
              <w:t>1</w:t>
            </w:r>
          </w:p>
        </w:tc>
        <w:tc>
          <w:tcPr>
            <w:tcW w:w="944" w:type="dxa"/>
            <w:tcBorders>
              <w:top w:val="nil"/>
              <w:left w:val="nil"/>
              <w:bottom w:val="single" w:color="auto" w:sz="8" w:space="0"/>
              <w:right w:val="single" w:color="auto" w:sz="8" w:space="0"/>
            </w:tcBorders>
            <w:shd w:val="clear" w:color="auto" w:fill="auto"/>
            <w:noWrap/>
            <w:vAlign w:val="center"/>
          </w:tcPr>
          <w:p w14:paraId="1530738A">
            <w:pPr>
              <w:widowControl/>
              <w:jc w:val="center"/>
              <w:rPr>
                <w:rFonts w:ascii="宋体" w:hAnsi="宋体" w:cs="宋体"/>
                <w:color w:val="000000"/>
                <w:kern w:val="0"/>
                <w:sz w:val="24"/>
              </w:rPr>
            </w:pPr>
            <w:r>
              <w:rPr>
                <w:rFonts w:hint="eastAsia" w:ascii="宋体" w:hAnsi="宋体" w:cs="宋体"/>
                <w:color w:val="000000"/>
                <w:kern w:val="0"/>
                <w:sz w:val="24"/>
              </w:rPr>
              <w:t>0</w:t>
            </w:r>
          </w:p>
        </w:tc>
        <w:tc>
          <w:tcPr>
            <w:tcW w:w="700" w:type="dxa"/>
            <w:tcBorders>
              <w:top w:val="nil"/>
              <w:left w:val="nil"/>
              <w:bottom w:val="single" w:color="auto" w:sz="8" w:space="0"/>
              <w:right w:val="single" w:color="auto" w:sz="8" w:space="0"/>
            </w:tcBorders>
            <w:shd w:val="clear" w:color="auto" w:fill="auto"/>
            <w:noWrap/>
            <w:vAlign w:val="center"/>
          </w:tcPr>
          <w:p w14:paraId="7ECD2FA6">
            <w:pPr>
              <w:widowControl/>
              <w:jc w:val="center"/>
              <w:rPr>
                <w:rFonts w:ascii="宋体" w:hAnsi="宋体" w:cs="宋体"/>
                <w:color w:val="000000"/>
                <w:kern w:val="0"/>
                <w:sz w:val="24"/>
              </w:rPr>
            </w:pPr>
            <w:r>
              <w:rPr>
                <w:rFonts w:hint="eastAsia" w:ascii="宋体" w:hAnsi="宋体" w:cs="宋体"/>
                <w:color w:val="000000"/>
                <w:kern w:val="0"/>
                <w:sz w:val="24"/>
              </w:rPr>
              <w:t>0</w:t>
            </w:r>
          </w:p>
        </w:tc>
      </w:tr>
      <w:tr w14:paraId="3BAD4F88">
        <w:tblPrEx>
          <w:tblCellMar>
            <w:top w:w="0" w:type="dxa"/>
            <w:left w:w="108" w:type="dxa"/>
            <w:bottom w:w="0" w:type="dxa"/>
            <w:right w:w="108" w:type="dxa"/>
          </w:tblCellMar>
        </w:tblPrEx>
        <w:trPr>
          <w:trHeight w:val="624" w:hRule="atLeast"/>
        </w:trPr>
        <w:tc>
          <w:tcPr>
            <w:tcW w:w="579" w:type="dxa"/>
            <w:tcBorders>
              <w:top w:val="nil"/>
              <w:left w:val="single" w:color="auto" w:sz="8" w:space="0"/>
              <w:bottom w:val="single" w:color="auto" w:sz="8" w:space="0"/>
              <w:right w:val="single" w:color="auto" w:sz="8" w:space="0"/>
            </w:tcBorders>
            <w:shd w:val="clear" w:color="auto" w:fill="auto"/>
            <w:vAlign w:val="center"/>
          </w:tcPr>
          <w:p w14:paraId="32237D15">
            <w:pPr>
              <w:widowControl/>
              <w:jc w:val="center"/>
              <w:rPr>
                <w:rFonts w:ascii="宋体" w:hAnsi="宋体" w:cs="宋体"/>
                <w:color w:val="000000"/>
                <w:kern w:val="0"/>
                <w:sz w:val="24"/>
              </w:rPr>
            </w:pPr>
            <w:r>
              <w:rPr>
                <w:rFonts w:hint="eastAsia" w:ascii="宋体" w:hAnsi="宋体" w:cs="宋体"/>
                <w:color w:val="000000"/>
                <w:kern w:val="0"/>
                <w:sz w:val="24"/>
              </w:rPr>
              <w:t>25</w:t>
            </w:r>
          </w:p>
        </w:tc>
        <w:tc>
          <w:tcPr>
            <w:tcW w:w="2343" w:type="dxa"/>
            <w:tcBorders>
              <w:top w:val="nil"/>
              <w:left w:val="nil"/>
              <w:bottom w:val="single" w:color="auto" w:sz="8" w:space="0"/>
              <w:right w:val="single" w:color="auto" w:sz="8" w:space="0"/>
            </w:tcBorders>
            <w:shd w:val="clear" w:color="auto" w:fill="auto"/>
            <w:vAlign w:val="center"/>
          </w:tcPr>
          <w:p w14:paraId="168259B6">
            <w:pPr>
              <w:widowControl/>
              <w:jc w:val="center"/>
              <w:rPr>
                <w:rFonts w:ascii="宋体" w:hAnsi="宋体" w:cs="宋体"/>
                <w:color w:val="000000"/>
                <w:kern w:val="0"/>
                <w:sz w:val="24"/>
              </w:rPr>
            </w:pPr>
            <w:r>
              <w:rPr>
                <w:rFonts w:hint="eastAsia" w:ascii="宋体" w:hAnsi="宋体" w:cs="宋体"/>
                <w:color w:val="000000"/>
                <w:kern w:val="0"/>
                <w:sz w:val="24"/>
              </w:rPr>
              <w:t>黄村西大街与兴业大街交口</w:t>
            </w:r>
          </w:p>
        </w:tc>
        <w:tc>
          <w:tcPr>
            <w:tcW w:w="2892" w:type="dxa"/>
            <w:tcBorders>
              <w:top w:val="nil"/>
              <w:left w:val="nil"/>
              <w:bottom w:val="single" w:color="auto" w:sz="8" w:space="0"/>
              <w:right w:val="single" w:color="auto" w:sz="8" w:space="0"/>
            </w:tcBorders>
            <w:shd w:val="clear" w:color="auto" w:fill="auto"/>
            <w:vAlign w:val="center"/>
          </w:tcPr>
          <w:p w14:paraId="21B84EBF">
            <w:pPr>
              <w:widowControl/>
              <w:jc w:val="center"/>
              <w:rPr>
                <w:rFonts w:ascii="宋体" w:hAnsi="宋体" w:cs="宋体"/>
                <w:color w:val="000000"/>
                <w:kern w:val="0"/>
                <w:sz w:val="24"/>
              </w:rPr>
            </w:pPr>
            <w:r>
              <w:rPr>
                <w:rFonts w:hint="eastAsia" w:ascii="宋体" w:hAnsi="宋体" w:cs="宋体"/>
                <w:color w:val="000000"/>
                <w:kern w:val="0"/>
                <w:sz w:val="24"/>
              </w:rPr>
              <w:t>黄村西大街与兴业大街交口</w:t>
            </w:r>
          </w:p>
        </w:tc>
        <w:tc>
          <w:tcPr>
            <w:tcW w:w="822" w:type="dxa"/>
            <w:tcBorders>
              <w:top w:val="nil"/>
              <w:left w:val="nil"/>
              <w:bottom w:val="single" w:color="auto" w:sz="8" w:space="0"/>
              <w:right w:val="single" w:color="auto" w:sz="8" w:space="0"/>
            </w:tcBorders>
            <w:shd w:val="clear" w:color="auto" w:fill="auto"/>
            <w:noWrap/>
            <w:vAlign w:val="center"/>
          </w:tcPr>
          <w:p w14:paraId="36B1AEA2">
            <w:pPr>
              <w:widowControl/>
              <w:jc w:val="center"/>
              <w:rPr>
                <w:rFonts w:ascii="宋体" w:hAnsi="宋体" w:cs="宋体"/>
                <w:color w:val="000000"/>
                <w:kern w:val="0"/>
                <w:sz w:val="24"/>
              </w:rPr>
            </w:pPr>
            <w:r>
              <w:rPr>
                <w:rFonts w:hint="eastAsia" w:ascii="宋体" w:hAnsi="宋体" w:cs="宋体"/>
                <w:color w:val="000000"/>
                <w:kern w:val="0"/>
                <w:sz w:val="24"/>
              </w:rPr>
              <w:t>1</w:t>
            </w:r>
          </w:p>
        </w:tc>
        <w:tc>
          <w:tcPr>
            <w:tcW w:w="944" w:type="dxa"/>
            <w:tcBorders>
              <w:top w:val="nil"/>
              <w:left w:val="nil"/>
              <w:bottom w:val="single" w:color="auto" w:sz="8" w:space="0"/>
              <w:right w:val="single" w:color="auto" w:sz="8" w:space="0"/>
            </w:tcBorders>
            <w:shd w:val="clear" w:color="auto" w:fill="auto"/>
            <w:vAlign w:val="center"/>
          </w:tcPr>
          <w:p w14:paraId="59854DFF">
            <w:pPr>
              <w:widowControl/>
              <w:jc w:val="center"/>
              <w:rPr>
                <w:rFonts w:ascii="宋体" w:hAnsi="宋体" w:cs="宋体"/>
                <w:color w:val="000000"/>
                <w:kern w:val="0"/>
                <w:sz w:val="24"/>
              </w:rPr>
            </w:pPr>
            <w:r>
              <w:rPr>
                <w:rFonts w:hint="eastAsia" w:ascii="宋体" w:hAnsi="宋体" w:cs="宋体"/>
                <w:color w:val="000000"/>
                <w:kern w:val="0"/>
                <w:sz w:val="24"/>
              </w:rPr>
              <w:t>0</w:t>
            </w:r>
          </w:p>
        </w:tc>
        <w:tc>
          <w:tcPr>
            <w:tcW w:w="700" w:type="dxa"/>
            <w:tcBorders>
              <w:top w:val="nil"/>
              <w:left w:val="nil"/>
              <w:bottom w:val="single" w:color="auto" w:sz="8" w:space="0"/>
              <w:right w:val="single" w:color="auto" w:sz="8" w:space="0"/>
            </w:tcBorders>
            <w:shd w:val="clear" w:color="auto" w:fill="auto"/>
            <w:noWrap/>
            <w:vAlign w:val="center"/>
          </w:tcPr>
          <w:p w14:paraId="6A0E24F9">
            <w:pPr>
              <w:widowControl/>
              <w:jc w:val="center"/>
              <w:rPr>
                <w:rFonts w:ascii="宋体" w:hAnsi="宋体" w:cs="宋体"/>
                <w:color w:val="000000"/>
                <w:kern w:val="0"/>
                <w:sz w:val="24"/>
              </w:rPr>
            </w:pPr>
            <w:r>
              <w:rPr>
                <w:rFonts w:hint="eastAsia" w:ascii="宋体" w:hAnsi="宋体" w:cs="宋体"/>
                <w:color w:val="000000"/>
                <w:kern w:val="0"/>
                <w:sz w:val="24"/>
              </w:rPr>
              <w:t>1</w:t>
            </w:r>
          </w:p>
        </w:tc>
      </w:tr>
      <w:tr w14:paraId="6BF94833">
        <w:tblPrEx>
          <w:tblCellMar>
            <w:top w:w="0" w:type="dxa"/>
            <w:left w:w="108" w:type="dxa"/>
            <w:bottom w:w="0" w:type="dxa"/>
            <w:right w:w="108" w:type="dxa"/>
          </w:tblCellMar>
        </w:tblPrEx>
        <w:trPr>
          <w:trHeight w:val="624" w:hRule="atLeast"/>
        </w:trPr>
        <w:tc>
          <w:tcPr>
            <w:tcW w:w="579" w:type="dxa"/>
            <w:tcBorders>
              <w:top w:val="nil"/>
              <w:left w:val="single" w:color="auto" w:sz="8" w:space="0"/>
              <w:bottom w:val="single" w:color="auto" w:sz="8" w:space="0"/>
              <w:right w:val="single" w:color="auto" w:sz="8" w:space="0"/>
            </w:tcBorders>
            <w:shd w:val="clear" w:color="auto" w:fill="auto"/>
            <w:vAlign w:val="center"/>
          </w:tcPr>
          <w:p w14:paraId="02D0DD8A">
            <w:pPr>
              <w:widowControl/>
              <w:jc w:val="center"/>
              <w:rPr>
                <w:rFonts w:ascii="宋体" w:hAnsi="宋体" w:cs="宋体"/>
                <w:color w:val="000000"/>
                <w:kern w:val="0"/>
                <w:sz w:val="24"/>
              </w:rPr>
            </w:pPr>
            <w:r>
              <w:rPr>
                <w:rFonts w:hint="eastAsia" w:ascii="宋体" w:hAnsi="宋体" w:cs="宋体"/>
                <w:color w:val="000000"/>
                <w:kern w:val="0"/>
                <w:sz w:val="24"/>
              </w:rPr>
              <w:t>26</w:t>
            </w:r>
          </w:p>
        </w:tc>
        <w:tc>
          <w:tcPr>
            <w:tcW w:w="2343" w:type="dxa"/>
            <w:tcBorders>
              <w:top w:val="nil"/>
              <w:left w:val="nil"/>
              <w:bottom w:val="single" w:color="auto" w:sz="8" w:space="0"/>
              <w:right w:val="single" w:color="auto" w:sz="8" w:space="0"/>
            </w:tcBorders>
            <w:shd w:val="clear" w:color="auto" w:fill="auto"/>
            <w:vAlign w:val="center"/>
          </w:tcPr>
          <w:p w14:paraId="21CFB567">
            <w:pPr>
              <w:widowControl/>
              <w:jc w:val="center"/>
              <w:rPr>
                <w:rFonts w:ascii="宋体" w:hAnsi="宋体" w:cs="宋体"/>
                <w:color w:val="000000"/>
                <w:kern w:val="0"/>
                <w:sz w:val="24"/>
              </w:rPr>
            </w:pPr>
            <w:r>
              <w:rPr>
                <w:rFonts w:hint="eastAsia" w:ascii="宋体" w:hAnsi="宋体" w:cs="宋体"/>
                <w:color w:val="000000"/>
                <w:kern w:val="0"/>
                <w:sz w:val="24"/>
              </w:rPr>
              <w:t>兴业大街与三中西巷交口</w:t>
            </w:r>
          </w:p>
        </w:tc>
        <w:tc>
          <w:tcPr>
            <w:tcW w:w="2892" w:type="dxa"/>
            <w:tcBorders>
              <w:top w:val="nil"/>
              <w:left w:val="nil"/>
              <w:bottom w:val="single" w:color="auto" w:sz="8" w:space="0"/>
              <w:right w:val="single" w:color="auto" w:sz="8" w:space="0"/>
            </w:tcBorders>
            <w:shd w:val="clear" w:color="auto" w:fill="auto"/>
            <w:vAlign w:val="center"/>
          </w:tcPr>
          <w:p w14:paraId="386EE1B9">
            <w:pPr>
              <w:widowControl/>
              <w:jc w:val="center"/>
              <w:rPr>
                <w:rFonts w:ascii="宋体" w:hAnsi="宋体" w:cs="宋体"/>
                <w:color w:val="000000"/>
                <w:kern w:val="0"/>
                <w:sz w:val="24"/>
              </w:rPr>
            </w:pPr>
            <w:r>
              <w:rPr>
                <w:rFonts w:hint="eastAsia" w:ascii="宋体" w:hAnsi="宋体" w:cs="宋体"/>
                <w:color w:val="000000"/>
                <w:kern w:val="0"/>
                <w:sz w:val="24"/>
              </w:rPr>
              <w:t>兴业大街与三中西巷交口</w:t>
            </w:r>
          </w:p>
        </w:tc>
        <w:tc>
          <w:tcPr>
            <w:tcW w:w="822" w:type="dxa"/>
            <w:tcBorders>
              <w:top w:val="nil"/>
              <w:left w:val="nil"/>
              <w:bottom w:val="single" w:color="auto" w:sz="8" w:space="0"/>
              <w:right w:val="single" w:color="auto" w:sz="8" w:space="0"/>
            </w:tcBorders>
            <w:shd w:val="clear" w:color="auto" w:fill="auto"/>
            <w:noWrap/>
            <w:vAlign w:val="center"/>
          </w:tcPr>
          <w:p w14:paraId="10D6549F">
            <w:pPr>
              <w:widowControl/>
              <w:jc w:val="center"/>
              <w:rPr>
                <w:rFonts w:ascii="宋体" w:hAnsi="宋体" w:cs="宋体"/>
                <w:color w:val="000000"/>
                <w:kern w:val="0"/>
                <w:sz w:val="24"/>
              </w:rPr>
            </w:pPr>
            <w:r>
              <w:rPr>
                <w:rFonts w:hint="eastAsia" w:ascii="宋体" w:hAnsi="宋体" w:cs="宋体"/>
                <w:color w:val="000000"/>
                <w:kern w:val="0"/>
                <w:sz w:val="24"/>
              </w:rPr>
              <w:t>1</w:t>
            </w:r>
          </w:p>
        </w:tc>
        <w:tc>
          <w:tcPr>
            <w:tcW w:w="944" w:type="dxa"/>
            <w:tcBorders>
              <w:top w:val="nil"/>
              <w:left w:val="nil"/>
              <w:bottom w:val="single" w:color="auto" w:sz="8" w:space="0"/>
              <w:right w:val="single" w:color="auto" w:sz="8" w:space="0"/>
            </w:tcBorders>
            <w:shd w:val="clear" w:color="auto" w:fill="auto"/>
            <w:noWrap/>
            <w:vAlign w:val="center"/>
          </w:tcPr>
          <w:p w14:paraId="09790625">
            <w:pPr>
              <w:widowControl/>
              <w:jc w:val="center"/>
              <w:rPr>
                <w:rFonts w:ascii="宋体" w:hAnsi="宋体" w:cs="宋体"/>
                <w:color w:val="000000"/>
                <w:kern w:val="0"/>
                <w:sz w:val="24"/>
              </w:rPr>
            </w:pPr>
            <w:r>
              <w:rPr>
                <w:rFonts w:hint="eastAsia" w:ascii="宋体" w:hAnsi="宋体" w:cs="宋体"/>
                <w:color w:val="000000"/>
                <w:kern w:val="0"/>
                <w:sz w:val="24"/>
              </w:rPr>
              <w:t>0</w:t>
            </w:r>
          </w:p>
        </w:tc>
        <w:tc>
          <w:tcPr>
            <w:tcW w:w="700" w:type="dxa"/>
            <w:tcBorders>
              <w:top w:val="nil"/>
              <w:left w:val="nil"/>
              <w:bottom w:val="single" w:color="auto" w:sz="8" w:space="0"/>
              <w:right w:val="single" w:color="auto" w:sz="8" w:space="0"/>
            </w:tcBorders>
            <w:shd w:val="clear" w:color="auto" w:fill="auto"/>
            <w:noWrap/>
            <w:vAlign w:val="center"/>
          </w:tcPr>
          <w:p w14:paraId="02ED7DA1">
            <w:pPr>
              <w:widowControl/>
              <w:jc w:val="center"/>
              <w:rPr>
                <w:rFonts w:ascii="宋体" w:hAnsi="宋体" w:cs="宋体"/>
                <w:color w:val="000000"/>
                <w:kern w:val="0"/>
                <w:sz w:val="24"/>
              </w:rPr>
            </w:pPr>
            <w:r>
              <w:rPr>
                <w:rFonts w:hint="eastAsia" w:ascii="宋体" w:hAnsi="宋体" w:cs="宋体"/>
                <w:color w:val="000000"/>
                <w:kern w:val="0"/>
                <w:sz w:val="24"/>
              </w:rPr>
              <w:t>0</w:t>
            </w:r>
          </w:p>
        </w:tc>
      </w:tr>
      <w:tr w14:paraId="2E30A235">
        <w:tblPrEx>
          <w:tblCellMar>
            <w:top w:w="0" w:type="dxa"/>
            <w:left w:w="108" w:type="dxa"/>
            <w:bottom w:w="0" w:type="dxa"/>
            <w:right w:w="108" w:type="dxa"/>
          </w:tblCellMar>
        </w:tblPrEx>
        <w:trPr>
          <w:trHeight w:val="624" w:hRule="atLeast"/>
        </w:trPr>
        <w:tc>
          <w:tcPr>
            <w:tcW w:w="579" w:type="dxa"/>
            <w:tcBorders>
              <w:top w:val="nil"/>
              <w:left w:val="single" w:color="auto" w:sz="8" w:space="0"/>
              <w:bottom w:val="single" w:color="auto" w:sz="8" w:space="0"/>
              <w:right w:val="single" w:color="auto" w:sz="8" w:space="0"/>
            </w:tcBorders>
            <w:shd w:val="clear" w:color="auto" w:fill="auto"/>
            <w:vAlign w:val="center"/>
          </w:tcPr>
          <w:p w14:paraId="5553CE01">
            <w:pPr>
              <w:widowControl/>
              <w:jc w:val="center"/>
              <w:rPr>
                <w:rFonts w:ascii="宋体" w:hAnsi="宋体" w:cs="宋体"/>
                <w:color w:val="000000"/>
                <w:kern w:val="0"/>
                <w:sz w:val="24"/>
              </w:rPr>
            </w:pPr>
            <w:r>
              <w:rPr>
                <w:rFonts w:hint="eastAsia" w:ascii="宋体" w:hAnsi="宋体" w:cs="宋体"/>
                <w:color w:val="000000"/>
                <w:kern w:val="0"/>
                <w:sz w:val="24"/>
              </w:rPr>
              <w:t>27</w:t>
            </w:r>
          </w:p>
        </w:tc>
        <w:tc>
          <w:tcPr>
            <w:tcW w:w="2343" w:type="dxa"/>
            <w:tcBorders>
              <w:top w:val="nil"/>
              <w:left w:val="nil"/>
              <w:bottom w:val="single" w:color="auto" w:sz="8" w:space="0"/>
              <w:right w:val="single" w:color="auto" w:sz="8" w:space="0"/>
            </w:tcBorders>
            <w:shd w:val="clear" w:color="auto" w:fill="auto"/>
            <w:vAlign w:val="center"/>
          </w:tcPr>
          <w:p w14:paraId="0B12E87D">
            <w:pPr>
              <w:widowControl/>
              <w:jc w:val="center"/>
              <w:rPr>
                <w:rFonts w:ascii="宋体" w:hAnsi="宋体" w:cs="宋体"/>
                <w:color w:val="000000"/>
                <w:kern w:val="0"/>
                <w:sz w:val="24"/>
              </w:rPr>
            </w:pPr>
            <w:r>
              <w:rPr>
                <w:rFonts w:hint="eastAsia" w:ascii="宋体" w:hAnsi="宋体" w:cs="宋体"/>
                <w:color w:val="000000"/>
                <w:kern w:val="0"/>
                <w:sz w:val="24"/>
              </w:rPr>
              <w:t>清城服务中心北门</w:t>
            </w:r>
          </w:p>
        </w:tc>
        <w:tc>
          <w:tcPr>
            <w:tcW w:w="2892" w:type="dxa"/>
            <w:tcBorders>
              <w:top w:val="nil"/>
              <w:left w:val="nil"/>
              <w:bottom w:val="single" w:color="auto" w:sz="8" w:space="0"/>
              <w:right w:val="single" w:color="auto" w:sz="8" w:space="0"/>
            </w:tcBorders>
            <w:shd w:val="clear" w:color="auto" w:fill="auto"/>
            <w:vAlign w:val="center"/>
          </w:tcPr>
          <w:p w14:paraId="6F6DBB01">
            <w:pPr>
              <w:widowControl/>
              <w:jc w:val="center"/>
              <w:rPr>
                <w:rFonts w:ascii="宋体" w:hAnsi="宋体" w:cs="宋体"/>
                <w:color w:val="000000"/>
                <w:kern w:val="0"/>
                <w:sz w:val="24"/>
              </w:rPr>
            </w:pPr>
            <w:r>
              <w:rPr>
                <w:rFonts w:hint="eastAsia" w:ascii="宋体" w:hAnsi="宋体" w:cs="宋体"/>
                <w:color w:val="000000"/>
                <w:kern w:val="0"/>
                <w:sz w:val="24"/>
              </w:rPr>
              <w:t>大兴管委门口</w:t>
            </w:r>
          </w:p>
        </w:tc>
        <w:tc>
          <w:tcPr>
            <w:tcW w:w="822" w:type="dxa"/>
            <w:tcBorders>
              <w:top w:val="nil"/>
              <w:left w:val="nil"/>
              <w:bottom w:val="single" w:color="auto" w:sz="8" w:space="0"/>
              <w:right w:val="single" w:color="auto" w:sz="8" w:space="0"/>
            </w:tcBorders>
            <w:shd w:val="clear" w:color="auto" w:fill="auto"/>
            <w:noWrap/>
            <w:vAlign w:val="center"/>
          </w:tcPr>
          <w:p w14:paraId="5FAC0D06">
            <w:pPr>
              <w:widowControl/>
              <w:jc w:val="center"/>
              <w:rPr>
                <w:rFonts w:ascii="宋体" w:hAnsi="宋体" w:cs="宋体"/>
                <w:color w:val="000000"/>
                <w:kern w:val="0"/>
                <w:sz w:val="24"/>
              </w:rPr>
            </w:pPr>
            <w:r>
              <w:rPr>
                <w:rFonts w:hint="eastAsia" w:ascii="宋体" w:hAnsi="宋体" w:cs="宋体"/>
                <w:color w:val="000000"/>
                <w:kern w:val="0"/>
                <w:sz w:val="24"/>
              </w:rPr>
              <w:t>1</w:t>
            </w:r>
          </w:p>
        </w:tc>
        <w:tc>
          <w:tcPr>
            <w:tcW w:w="944" w:type="dxa"/>
            <w:tcBorders>
              <w:top w:val="nil"/>
              <w:left w:val="nil"/>
              <w:bottom w:val="single" w:color="auto" w:sz="8" w:space="0"/>
              <w:right w:val="single" w:color="auto" w:sz="8" w:space="0"/>
            </w:tcBorders>
            <w:shd w:val="clear" w:color="auto" w:fill="auto"/>
            <w:vAlign w:val="center"/>
          </w:tcPr>
          <w:p w14:paraId="667C7C2A">
            <w:pPr>
              <w:widowControl/>
              <w:jc w:val="center"/>
              <w:rPr>
                <w:rFonts w:ascii="宋体" w:hAnsi="宋体" w:cs="宋体"/>
                <w:color w:val="000000"/>
                <w:kern w:val="0"/>
                <w:sz w:val="24"/>
              </w:rPr>
            </w:pPr>
            <w:r>
              <w:rPr>
                <w:rFonts w:hint="eastAsia" w:ascii="宋体" w:hAnsi="宋体" w:cs="宋体"/>
                <w:color w:val="000000"/>
                <w:kern w:val="0"/>
                <w:sz w:val="24"/>
              </w:rPr>
              <w:t>0</w:t>
            </w:r>
          </w:p>
        </w:tc>
        <w:tc>
          <w:tcPr>
            <w:tcW w:w="700" w:type="dxa"/>
            <w:tcBorders>
              <w:top w:val="nil"/>
              <w:left w:val="nil"/>
              <w:bottom w:val="single" w:color="auto" w:sz="8" w:space="0"/>
              <w:right w:val="single" w:color="auto" w:sz="8" w:space="0"/>
            </w:tcBorders>
            <w:shd w:val="clear" w:color="auto" w:fill="auto"/>
            <w:noWrap/>
            <w:vAlign w:val="center"/>
          </w:tcPr>
          <w:p w14:paraId="50B4410E">
            <w:pPr>
              <w:widowControl/>
              <w:jc w:val="center"/>
              <w:rPr>
                <w:rFonts w:ascii="宋体" w:hAnsi="宋体" w:cs="宋体"/>
                <w:color w:val="000000"/>
                <w:kern w:val="0"/>
                <w:sz w:val="24"/>
              </w:rPr>
            </w:pPr>
            <w:r>
              <w:rPr>
                <w:rFonts w:hint="eastAsia" w:ascii="宋体" w:hAnsi="宋体" w:cs="宋体"/>
                <w:color w:val="000000"/>
                <w:kern w:val="0"/>
                <w:sz w:val="24"/>
              </w:rPr>
              <w:t>0</w:t>
            </w:r>
          </w:p>
        </w:tc>
      </w:tr>
      <w:tr w14:paraId="16C6F016">
        <w:tblPrEx>
          <w:tblCellMar>
            <w:top w:w="0" w:type="dxa"/>
            <w:left w:w="108" w:type="dxa"/>
            <w:bottom w:w="0" w:type="dxa"/>
            <w:right w:w="108" w:type="dxa"/>
          </w:tblCellMar>
        </w:tblPrEx>
        <w:trPr>
          <w:trHeight w:val="624" w:hRule="atLeast"/>
        </w:trPr>
        <w:tc>
          <w:tcPr>
            <w:tcW w:w="579" w:type="dxa"/>
            <w:tcBorders>
              <w:top w:val="nil"/>
              <w:left w:val="single" w:color="auto" w:sz="8" w:space="0"/>
              <w:bottom w:val="single" w:color="auto" w:sz="8" w:space="0"/>
              <w:right w:val="single" w:color="auto" w:sz="8" w:space="0"/>
            </w:tcBorders>
            <w:shd w:val="clear" w:color="auto" w:fill="auto"/>
            <w:vAlign w:val="center"/>
          </w:tcPr>
          <w:p w14:paraId="1ACBA937">
            <w:pPr>
              <w:widowControl/>
              <w:jc w:val="center"/>
              <w:rPr>
                <w:rFonts w:ascii="宋体" w:hAnsi="宋体" w:cs="宋体"/>
                <w:color w:val="000000"/>
                <w:kern w:val="0"/>
                <w:sz w:val="24"/>
              </w:rPr>
            </w:pPr>
            <w:r>
              <w:rPr>
                <w:rFonts w:hint="eastAsia" w:ascii="宋体" w:hAnsi="宋体" w:cs="宋体"/>
                <w:color w:val="000000"/>
                <w:kern w:val="0"/>
                <w:sz w:val="24"/>
              </w:rPr>
              <w:t>28</w:t>
            </w:r>
          </w:p>
        </w:tc>
        <w:tc>
          <w:tcPr>
            <w:tcW w:w="2343" w:type="dxa"/>
            <w:tcBorders>
              <w:top w:val="nil"/>
              <w:left w:val="nil"/>
              <w:bottom w:val="single" w:color="auto" w:sz="8" w:space="0"/>
              <w:right w:val="single" w:color="auto" w:sz="8" w:space="0"/>
            </w:tcBorders>
            <w:shd w:val="clear" w:color="auto" w:fill="auto"/>
            <w:vAlign w:val="center"/>
          </w:tcPr>
          <w:p w14:paraId="12277448">
            <w:pPr>
              <w:widowControl/>
              <w:jc w:val="center"/>
              <w:rPr>
                <w:rFonts w:ascii="宋体" w:hAnsi="宋体" w:cs="宋体"/>
                <w:color w:val="000000"/>
                <w:kern w:val="0"/>
                <w:sz w:val="24"/>
              </w:rPr>
            </w:pPr>
            <w:r>
              <w:rPr>
                <w:rFonts w:hint="eastAsia" w:ascii="宋体" w:hAnsi="宋体" w:cs="宋体"/>
                <w:color w:val="000000"/>
                <w:kern w:val="0"/>
                <w:sz w:val="24"/>
              </w:rPr>
              <w:t>富强路</w:t>
            </w:r>
          </w:p>
        </w:tc>
        <w:tc>
          <w:tcPr>
            <w:tcW w:w="2892" w:type="dxa"/>
            <w:tcBorders>
              <w:top w:val="nil"/>
              <w:left w:val="nil"/>
              <w:bottom w:val="single" w:color="auto" w:sz="8" w:space="0"/>
              <w:right w:val="single" w:color="auto" w:sz="8" w:space="0"/>
            </w:tcBorders>
            <w:shd w:val="clear" w:color="auto" w:fill="auto"/>
            <w:vAlign w:val="center"/>
          </w:tcPr>
          <w:p w14:paraId="0EA4A4B5">
            <w:pPr>
              <w:widowControl/>
              <w:jc w:val="center"/>
              <w:rPr>
                <w:rFonts w:ascii="宋体" w:hAnsi="宋体" w:cs="宋体"/>
                <w:color w:val="000000"/>
                <w:kern w:val="0"/>
                <w:sz w:val="24"/>
              </w:rPr>
            </w:pPr>
            <w:r>
              <w:rPr>
                <w:rFonts w:hint="eastAsia" w:ascii="宋体" w:hAnsi="宋体" w:cs="宋体"/>
                <w:color w:val="000000"/>
                <w:kern w:val="0"/>
                <w:sz w:val="24"/>
              </w:rPr>
              <w:t>富强路黄村西里2号楼</w:t>
            </w:r>
          </w:p>
        </w:tc>
        <w:tc>
          <w:tcPr>
            <w:tcW w:w="822" w:type="dxa"/>
            <w:tcBorders>
              <w:top w:val="nil"/>
              <w:left w:val="nil"/>
              <w:bottom w:val="single" w:color="auto" w:sz="8" w:space="0"/>
              <w:right w:val="single" w:color="auto" w:sz="8" w:space="0"/>
            </w:tcBorders>
            <w:shd w:val="clear" w:color="auto" w:fill="auto"/>
            <w:noWrap/>
            <w:vAlign w:val="center"/>
          </w:tcPr>
          <w:p w14:paraId="5D4F7038">
            <w:pPr>
              <w:widowControl/>
              <w:jc w:val="center"/>
              <w:rPr>
                <w:rFonts w:ascii="宋体" w:hAnsi="宋体" w:cs="宋体"/>
                <w:color w:val="000000"/>
                <w:kern w:val="0"/>
                <w:sz w:val="24"/>
              </w:rPr>
            </w:pPr>
            <w:r>
              <w:rPr>
                <w:rFonts w:hint="eastAsia" w:ascii="宋体" w:hAnsi="宋体" w:cs="宋体"/>
                <w:color w:val="000000"/>
                <w:kern w:val="0"/>
                <w:sz w:val="24"/>
              </w:rPr>
              <w:t>1</w:t>
            </w:r>
          </w:p>
        </w:tc>
        <w:tc>
          <w:tcPr>
            <w:tcW w:w="944" w:type="dxa"/>
            <w:tcBorders>
              <w:top w:val="nil"/>
              <w:left w:val="nil"/>
              <w:bottom w:val="single" w:color="auto" w:sz="8" w:space="0"/>
              <w:right w:val="single" w:color="auto" w:sz="8" w:space="0"/>
            </w:tcBorders>
            <w:shd w:val="clear" w:color="auto" w:fill="auto"/>
            <w:noWrap/>
            <w:vAlign w:val="center"/>
          </w:tcPr>
          <w:p w14:paraId="4B910496">
            <w:pPr>
              <w:widowControl/>
              <w:jc w:val="center"/>
              <w:rPr>
                <w:rFonts w:ascii="宋体" w:hAnsi="宋体" w:cs="宋体"/>
                <w:color w:val="000000"/>
                <w:kern w:val="0"/>
                <w:sz w:val="24"/>
              </w:rPr>
            </w:pPr>
            <w:r>
              <w:rPr>
                <w:rFonts w:hint="eastAsia" w:ascii="宋体" w:hAnsi="宋体" w:cs="宋体"/>
                <w:color w:val="000000"/>
                <w:kern w:val="0"/>
                <w:sz w:val="24"/>
              </w:rPr>
              <w:t>0</w:t>
            </w:r>
          </w:p>
        </w:tc>
        <w:tc>
          <w:tcPr>
            <w:tcW w:w="700" w:type="dxa"/>
            <w:tcBorders>
              <w:top w:val="nil"/>
              <w:left w:val="nil"/>
              <w:bottom w:val="single" w:color="auto" w:sz="8" w:space="0"/>
              <w:right w:val="single" w:color="auto" w:sz="8" w:space="0"/>
            </w:tcBorders>
            <w:shd w:val="clear" w:color="auto" w:fill="auto"/>
            <w:noWrap/>
            <w:vAlign w:val="center"/>
          </w:tcPr>
          <w:p w14:paraId="1569CC15">
            <w:pPr>
              <w:widowControl/>
              <w:jc w:val="center"/>
              <w:rPr>
                <w:rFonts w:ascii="宋体" w:hAnsi="宋体" w:cs="宋体"/>
                <w:color w:val="000000"/>
                <w:kern w:val="0"/>
                <w:sz w:val="24"/>
              </w:rPr>
            </w:pPr>
            <w:r>
              <w:rPr>
                <w:rFonts w:hint="eastAsia" w:ascii="宋体" w:hAnsi="宋体" w:cs="宋体"/>
                <w:color w:val="000000"/>
                <w:kern w:val="0"/>
                <w:sz w:val="24"/>
              </w:rPr>
              <w:t>0</w:t>
            </w:r>
          </w:p>
        </w:tc>
      </w:tr>
      <w:tr w14:paraId="594B5BC6">
        <w:tblPrEx>
          <w:tblCellMar>
            <w:top w:w="0" w:type="dxa"/>
            <w:left w:w="108" w:type="dxa"/>
            <w:bottom w:w="0" w:type="dxa"/>
            <w:right w:w="108" w:type="dxa"/>
          </w:tblCellMar>
        </w:tblPrEx>
        <w:trPr>
          <w:trHeight w:val="624" w:hRule="atLeast"/>
        </w:trPr>
        <w:tc>
          <w:tcPr>
            <w:tcW w:w="579" w:type="dxa"/>
            <w:tcBorders>
              <w:top w:val="nil"/>
              <w:left w:val="single" w:color="auto" w:sz="8" w:space="0"/>
              <w:bottom w:val="single" w:color="auto" w:sz="8" w:space="0"/>
              <w:right w:val="single" w:color="auto" w:sz="8" w:space="0"/>
            </w:tcBorders>
            <w:shd w:val="clear" w:color="auto" w:fill="auto"/>
            <w:vAlign w:val="center"/>
          </w:tcPr>
          <w:p w14:paraId="68F54725">
            <w:pPr>
              <w:widowControl/>
              <w:jc w:val="center"/>
              <w:rPr>
                <w:rFonts w:ascii="宋体" w:hAnsi="宋体" w:cs="宋体"/>
                <w:color w:val="000000"/>
                <w:kern w:val="0"/>
                <w:sz w:val="24"/>
              </w:rPr>
            </w:pPr>
            <w:r>
              <w:rPr>
                <w:rFonts w:hint="eastAsia" w:ascii="宋体" w:hAnsi="宋体" w:cs="宋体"/>
                <w:color w:val="000000"/>
                <w:kern w:val="0"/>
                <w:sz w:val="24"/>
              </w:rPr>
              <w:t>29</w:t>
            </w:r>
          </w:p>
        </w:tc>
        <w:tc>
          <w:tcPr>
            <w:tcW w:w="2343" w:type="dxa"/>
            <w:tcBorders>
              <w:top w:val="nil"/>
              <w:left w:val="nil"/>
              <w:bottom w:val="single" w:color="auto" w:sz="8" w:space="0"/>
              <w:right w:val="single" w:color="auto" w:sz="8" w:space="0"/>
            </w:tcBorders>
            <w:shd w:val="clear" w:color="auto" w:fill="auto"/>
            <w:vAlign w:val="center"/>
          </w:tcPr>
          <w:p w14:paraId="24B73767">
            <w:pPr>
              <w:widowControl/>
              <w:jc w:val="center"/>
              <w:rPr>
                <w:rFonts w:ascii="宋体" w:hAnsi="宋体" w:cs="宋体"/>
                <w:color w:val="000000"/>
                <w:kern w:val="0"/>
                <w:sz w:val="24"/>
              </w:rPr>
            </w:pPr>
            <w:r>
              <w:rPr>
                <w:rFonts w:hint="eastAsia" w:ascii="宋体" w:hAnsi="宋体" w:cs="宋体"/>
                <w:color w:val="000000"/>
                <w:kern w:val="0"/>
                <w:sz w:val="24"/>
              </w:rPr>
              <w:t>兴旺路南延</w:t>
            </w:r>
          </w:p>
        </w:tc>
        <w:tc>
          <w:tcPr>
            <w:tcW w:w="2892" w:type="dxa"/>
            <w:tcBorders>
              <w:top w:val="nil"/>
              <w:left w:val="nil"/>
              <w:bottom w:val="single" w:color="auto" w:sz="8" w:space="0"/>
              <w:right w:val="single" w:color="auto" w:sz="8" w:space="0"/>
            </w:tcBorders>
            <w:shd w:val="clear" w:color="auto" w:fill="auto"/>
            <w:vAlign w:val="center"/>
          </w:tcPr>
          <w:p w14:paraId="23D51F8B">
            <w:pPr>
              <w:widowControl/>
              <w:jc w:val="center"/>
              <w:rPr>
                <w:rFonts w:ascii="宋体" w:hAnsi="宋体" w:cs="宋体"/>
                <w:color w:val="000000"/>
                <w:kern w:val="0"/>
                <w:sz w:val="24"/>
              </w:rPr>
            </w:pPr>
            <w:r>
              <w:rPr>
                <w:rFonts w:hint="eastAsia" w:ascii="宋体" w:hAnsi="宋体" w:cs="宋体"/>
                <w:color w:val="000000"/>
                <w:kern w:val="0"/>
                <w:sz w:val="24"/>
              </w:rPr>
              <w:t>兴旺路南延</w:t>
            </w:r>
          </w:p>
        </w:tc>
        <w:tc>
          <w:tcPr>
            <w:tcW w:w="822" w:type="dxa"/>
            <w:tcBorders>
              <w:top w:val="nil"/>
              <w:left w:val="nil"/>
              <w:bottom w:val="single" w:color="auto" w:sz="8" w:space="0"/>
              <w:right w:val="single" w:color="auto" w:sz="8" w:space="0"/>
            </w:tcBorders>
            <w:shd w:val="clear" w:color="auto" w:fill="auto"/>
            <w:noWrap/>
            <w:vAlign w:val="center"/>
          </w:tcPr>
          <w:p w14:paraId="4227E905">
            <w:pPr>
              <w:widowControl/>
              <w:jc w:val="center"/>
              <w:rPr>
                <w:rFonts w:ascii="宋体" w:hAnsi="宋体" w:cs="宋体"/>
                <w:color w:val="000000"/>
                <w:kern w:val="0"/>
                <w:sz w:val="24"/>
              </w:rPr>
            </w:pPr>
            <w:r>
              <w:rPr>
                <w:rFonts w:hint="eastAsia" w:ascii="宋体" w:hAnsi="宋体" w:cs="宋体"/>
                <w:color w:val="000000"/>
                <w:kern w:val="0"/>
                <w:sz w:val="24"/>
              </w:rPr>
              <w:t>1</w:t>
            </w:r>
          </w:p>
        </w:tc>
        <w:tc>
          <w:tcPr>
            <w:tcW w:w="944" w:type="dxa"/>
            <w:tcBorders>
              <w:top w:val="nil"/>
              <w:left w:val="nil"/>
              <w:bottom w:val="single" w:color="auto" w:sz="8" w:space="0"/>
              <w:right w:val="single" w:color="auto" w:sz="8" w:space="0"/>
            </w:tcBorders>
            <w:shd w:val="clear" w:color="auto" w:fill="auto"/>
            <w:vAlign w:val="center"/>
          </w:tcPr>
          <w:p w14:paraId="10233046">
            <w:pPr>
              <w:widowControl/>
              <w:jc w:val="center"/>
              <w:rPr>
                <w:rFonts w:ascii="宋体" w:hAnsi="宋体" w:cs="宋体"/>
                <w:color w:val="000000"/>
                <w:kern w:val="0"/>
                <w:sz w:val="24"/>
              </w:rPr>
            </w:pPr>
            <w:r>
              <w:rPr>
                <w:rFonts w:hint="eastAsia" w:ascii="宋体" w:hAnsi="宋体" w:cs="宋体"/>
                <w:color w:val="000000"/>
                <w:kern w:val="0"/>
                <w:sz w:val="24"/>
              </w:rPr>
              <w:t>0</w:t>
            </w:r>
          </w:p>
        </w:tc>
        <w:tc>
          <w:tcPr>
            <w:tcW w:w="700" w:type="dxa"/>
            <w:tcBorders>
              <w:top w:val="nil"/>
              <w:left w:val="nil"/>
              <w:bottom w:val="single" w:color="auto" w:sz="8" w:space="0"/>
              <w:right w:val="single" w:color="auto" w:sz="8" w:space="0"/>
            </w:tcBorders>
            <w:shd w:val="clear" w:color="auto" w:fill="auto"/>
            <w:noWrap/>
            <w:vAlign w:val="center"/>
          </w:tcPr>
          <w:p w14:paraId="30FF9D89">
            <w:pPr>
              <w:widowControl/>
              <w:jc w:val="center"/>
              <w:rPr>
                <w:rFonts w:ascii="宋体" w:hAnsi="宋体" w:cs="宋体"/>
                <w:color w:val="000000"/>
                <w:kern w:val="0"/>
                <w:sz w:val="24"/>
              </w:rPr>
            </w:pPr>
            <w:r>
              <w:rPr>
                <w:rFonts w:hint="eastAsia" w:ascii="宋体" w:hAnsi="宋体" w:cs="宋体"/>
                <w:color w:val="000000"/>
                <w:kern w:val="0"/>
                <w:sz w:val="24"/>
              </w:rPr>
              <w:t>0</w:t>
            </w:r>
          </w:p>
        </w:tc>
      </w:tr>
      <w:tr w14:paraId="3584B1A7">
        <w:tblPrEx>
          <w:tblCellMar>
            <w:top w:w="0" w:type="dxa"/>
            <w:left w:w="108" w:type="dxa"/>
            <w:bottom w:w="0" w:type="dxa"/>
            <w:right w:w="108" w:type="dxa"/>
          </w:tblCellMar>
        </w:tblPrEx>
        <w:trPr>
          <w:trHeight w:val="624" w:hRule="atLeast"/>
        </w:trPr>
        <w:tc>
          <w:tcPr>
            <w:tcW w:w="579" w:type="dxa"/>
            <w:tcBorders>
              <w:top w:val="nil"/>
              <w:left w:val="single" w:color="auto" w:sz="8" w:space="0"/>
              <w:bottom w:val="single" w:color="auto" w:sz="8" w:space="0"/>
              <w:right w:val="single" w:color="auto" w:sz="8" w:space="0"/>
            </w:tcBorders>
            <w:shd w:val="clear" w:color="auto" w:fill="auto"/>
            <w:vAlign w:val="center"/>
          </w:tcPr>
          <w:p w14:paraId="3B0C8DF3">
            <w:pPr>
              <w:widowControl/>
              <w:jc w:val="center"/>
              <w:rPr>
                <w:rFonts w:ascii="宋体" w:hAnsi="宋体" w:cs="宋体"/>
                <w:color w:val="000000"/>
                <w:kern w:val="0"/>
                <w:sz w:val="24"/>
              </w:rPr>
            </w:pPr>
            <w:r>
              <w:rPr>
                <w:rFonts w:hint="eastAsia" w:ascii="宋体" w:hAnsi="宋体" w:cs="宋体"/>
                <w:color w:val="000000"/>
                <w:kern w:val="0"/>
                <w:sz w:val="24"/>
              </w:rPr>
              <w:t>30</w:t>
            </w:r>
          </w:p>
        </w:tc>
        <w:tc>
          <w:tcPr>
            <w:tcW w:w="2343" w:type="dxa"/>
            <w:tcBorders>
              <w:top w:val="nil"/>
              <w:left w:val="nil"/>
              <w:bottom w:val="single" w:color="auto" w:sz="8" w:space="0"/>
              <w:right w:val="single" w:color="auto" w:sz="8" w:space="0"/>
            </w:tcBorders>
            <w:shd w:val="clear" w:color="auto" w:fill="auto"/>
            <w:vAlign w:val="center"/>
          </w:tcPr>
          <w:p w14:paraId="6BAE8701">
            <w:pPr>
              <w:widowControl/>
              <w:jc w:val="center"/>
              <w:rPr>
                <w:rFonts w:ascii="宋体" w:hAnsi="宋体" w:cs="宋体"/>
                <w:color w:val="000000"/>
                <w:kern w:val="0"/>
                <w:sz w:val="24"/>
              </w:rPr>
            </w:pPr>
            <w:r>
              <w:rPr>
                <w:rFonts w:hint="eastAsia" w:ascii="宋体" w:hAnsi="宋体" w:cs="宋体"/>
                <w:color w:val="000000"/>
                <w:kern w:val="0"/>
                <w:sz w:val="24"/>
              </w:rPr>
              <w:t>西红门镇政府</w:t>
            </w:r>
          </w:p>
        </w:tc>
        <w:tc>
          <w:tcPr>
            <w:tcW w:w="2892" w:type="dxa"/>
            <w:tcBorders>
              <w:top w:val="nil"/>
              <w:left w:val="nil"/>
              <w:bottom w:val="single" w:color="auto" w:sz="8" w:space="0"/>
              <w:right w:val="single" w:color="auto" w:sz="8" w:space="0"/>
            </w:tcBorders>
            <w:shd w:val="clear" w:color="auto" w:fill="auto"/>
            <w:vAlign w:val="center"/>
          </w:tcPr>
          <w:p w14:paraId="217E2880">
            <w:pPr>
              <w:widowControl/>
              <w:jc w:val="center"/>
              <w:rPr>
                <w:rFonts w:ascii="宋体" w:hAnsi="宋体" w:cs="宋体"/>
                <w:color w:val="000000"/>
                <w:kern w:val="0"/>
                <w:sz w:val="24"/>
              </w:rPr>
            </w:pPr>
            <w:r>
              <w:rPr>
                <w:rFonts w:hint="eastAsia" w:ascii="宋体" w:hAnsi="宋体" w:cs="宋体"/>
                <w:color w:val="000000"/>
                <w:kern w:val="0"/>
                <w:sz w:val="24"/>
              </w:rPr>
              <w:t>西红门镇政府南门</w:t>
            </w:r>
          </w:p>
        </w:tc>
        <w:tc>
          <w:tcPr>
            <w:tcW w:w="822" w:type="dxa"/>
            <w:tcBorders>
              <w:top w:val="nil"/>
              <w:left w:val="nil"/>
              <w:bottom w:val="single" w:color="auto" w:sz="8" w:space="0"/>
              <w:right w:val="single" w:color="auto" w:sz="8" w:space="0"/>
            </w:tcBorders>
            <w:shd w:val="clear" w:color="auto" w:fill="auto"/>
            <w:noWrap/>
            <w:vAlign w:val="center"/>
          </w:tcPr>
          <w:p w14:paraId="7FE48924">
            <w:pPr>
              <w:widowControl/>
              <w:jc w:val="center"/>
              <w:rPr>
                <w:rFonts w:ascii="宋体" w:hAnsi="宋体" w:cs="宋体"/>
                <w:color w:val="000000"/>
                <w:kern w:val="0"/>
                <w:sz w:val="24"/>
              </w:rPr>
            </w:pPr>
            <w:r>
              <w:rPr>
                <w:rFonts w:hint="eastAsia" w:ascii="宋体" w:hAnsi="宋体" w:cs="宋体"/>
                <w:color w:val="000000"/>
                <w:kern w:val="0"/>
                <w:sz w:val="24"/>
              </w:rPr>
              <w:t>1</w:t>
            </w:r>
          </w:p>
        </w:tc>
        <w:tc>
          <w:tcPr>
            <w:tcW w:w="944" w:type="dxa"/>
            <w:tcBorders>
              <w:top w:val="nil"/>
              <w:left w:val="nil"/>
              <w:bottom w:val="single" w:color="auto" w:sz="8" w:space="0"/>
              <w:right w:val="single" w:color="auto" w:sz="8" w:space="0"/>
            </w:tcBorders>
            <w:shd w:val="clear" w:color="auto" w:fill="auto"/>
            <w:noWrap/>
            <w:vAlign w:val="center"/>
          </w:tcPr>
          <w:p w14:paraId="7D6E37B0">
            <w:pPr>
              <w:widowControl/>
              <w:jc w:val="center"/>
              <w:rPr>
                <w:rFonts w:ascii="宋体" w:hAnsi="宋体" w:cs="宋体"/>
                <w:color w:val="000000"/>
                <w:kern w:val="0"/>
                <w:sz w:val="24"/>
              </w:rPr>
            </w:pPr>
            <w:r>
              <w:rPr>
                <w:rFonts w:hint="eastAsia" w:ascii="宋体" w:hAnsi="宋体" w:cs="宋体"/>
                <w:color w:val="000000"/>
                <w:kern w:val="0"/>
                <w:sz w:val="24"/>
              </w:rPr>
              <w:t>0</w:t>
            </w:r>
          </w:p>
        </w:tc>
        <w:tc>
          <w:tcPr>
            <w:tcW w:w="700" w:type="dxa"/>
            <w:tcBorders>
              <w:top w:val="nil"/>
              <w:left w:val="nil"/>
              <w:bottom w:val="single" w:color="auto" w:sz="8" w:space="0"/>
              <w:right w:val="single" w:color="auto" w:sz="8" w:space="0"/>
            </w:tcBorders>
            <w:shd w:val="clear" w:color="auto" w:fill="auto"/>
            <w:noWrap/>
            <w:vAlign w:val="center"/>
          </w:tcPr>
          <w:p w14:paraId="085B66D5">
            <w:pPr>
              <w:widowControl/>
              <w:jc w:val="center"/>
              <w:rPr>
                <w:rFonts w:ascii="宋体" w:hAnsi="宋体" w:cs="宋体"/>
                <w:color w:val="000000"/>
                <w:kern w:val="0"/>
                <w:sz w:val="24"/>
              </w:rPr>
            </w:pPr>
            <w:r>
              <w:rPr>
                <w:rFonts w:hint="eastAsia" w:ascii="宋体" w:hAnsi="宋体" w:cs="宋体"/>
                <w:color w:val="000000"/>
                <w:kern w:val="0"/>
                <w:sz w:val="24"/>
              </w:rPr>
              <w:t>0</w:t>
            </w:r>
          </w:p>
        </w:tc>
      </w:tr>
      <w:tr w14:paraId="739AEB30">
        <w:tblPrEx>
          <w:tblCellMar>
            <w:top w:w="0" w:type="dxa"/>
            <w:left w:w="108" w:type="dxa"/>
            <w:bottom w:w="0" w:type="dxa"/>
            <w:right w:w="108" w:type="dxa"/>
          </w:tblCellMar>
        </w:tblPrEx>
        <w:trPr>
          <w:trHeight w:val="624" w:hRule="atLeast"/>
        </w:trPr>
        <w:tc>
          <w:tcPr>
            <w:tcW w:w="579" w:type="dxa"/>
            <w:tcBorders>
              <w:top w:val="nil"/>
              <w:left w:val="single" w:color="auto" w:sz="8" w:space="0"/>
              <w:bottom w:val="single" w:color="auto" w:sz="8" w:space="0"/>
              <w:right w:val="single" w:color="auto" w:sz="8" w:space="0"/>
            </w:tcBorders>
            <w:shd w:val="clear" w:color="auto" w:fill="auto"/>
            <w:vAlign w:val="center"/>
          </w:tcPr>
          <w:p w14:paraId="3EA016F4">
            <w:pPr>
              <w:widowControl/>
              <w:jc w:val="center"/>
              <w:rPr>
                <w:rFonts w:ascii="宋体" w:hAnsi="宋体" w:cs="宋体"/>
                <w:color w:val="000000"/>
                <w:kern w:val="0"/>
                <w:sz w:val="24"/>
              </w:rPr>
            </w:pPr>
            <w:r>
              <w:rPr>
                <w:rFonts w:hint="eastAsia" w:ascii="宋体" w:hAnsi="宋体" w:cs="宋体"/>
                <w:color w:val="000000"/>
                <w:kern w:val="0"/>
                <w:sz w:val="24"/>
              </w:rPr>
              <w:t>31</w:t>
            </w:r>
          </w:p>
        </w:tc>
        <w:tc>
          <w:tcPr>
            <w:tcW w:w="2343" w:type="dxa"/>
            <w:tcBorders>
              <w:top w:val="nil"/>
              <w:left w:val="nil"/>
              <w:bottom w:val="single" w:color="auto" w:sz="8" w:space="0"/>
              <w:right w:val="single" w:color="auto" w:sz="8" w:space="0"/>
            </w:tcBorders>
            <w:shd w:val="clear" w:color="auto" w:fill="auto"/>
            <w:vAlign w:val="center"/>
          </w:tcPr>
          <w:p w14:paraId="1E9D6CD4">
            <w:pPr>
              <w:widowControl/>
              <w:jc w:val="center"/>
              <w:rPr>
                <w:rFonts w:ascii="宋体" w:hAnsi="宋体" w:cs="宋体"/>
                <w:color w:val="000000"/>
                <w:kern w:val="0"/>
                <w:sz w:val="24"/>
              </w:rPr>
            </w:pPr>
            <w:r>
              <w:rPr>
                <w:rFonts w:hint="eastAsia" w:ascii="宋体" w:hAnsi="宋体" w:cs="宋体"/>
                <w:color w:val="000000"/>
                <w:kern w:val="0"/>
                <w:sz w:val="24"/>
              </w:rPr>
              <w:t>新源大街与盛源桥交口</w:t>
            </w:r>
          </w:p>
        </w:tc>
        <w:tc>
          <w:tcPr>
            <w:tcW w:w="2892" w:type="dxa"/>
            <w:tcBorders>
              <w:top w:val="nil"/>
              <w:left w:val="nil"/>
              <w:bottom w:val="single" w:color="auto" w:sz="8" w:space="0"/>
              <w:right w:val="single" w:color="auto" w:sz="8" w:space="0"/>
            </w:tcBorders>
            <w:shd w:val="clear" w:color="auto" w:fill="auto"/>
            <w:vAlign w:val="center"/>
          </w:tcPr>
          <w:p w14:paraId="1864C0DB">
            <w:pPr>
              <w:widowControl/>
              <w:jc w:val="center"/>
              <w:rPr>
                <w:rFonts w:ascii="宋体" w:hAnsi="宋体" w:cs="宋体"/>
                <w:color w:val="000000"/>
                <w:kern w:val="0"/>
                <w:sz w:val="24"/>
              </w:rPr>
            </w:pPr>
            <w:r>
              <w:rPr>
                <w:rFonts w:hint="eastAsia" w:ascii="宋体" w:hAnsi="宋体" w:cs="宋体"/>
                <w:color w:val="000000"/>
                <w:kern w:val="0"/>
                <w:sz w:val="24"/>
              </w:rPr>
              <w:t>新源大街-盛源桥</w:t>
            </w:r>
          </w:p>
        </w:tc>
        <w:tc>
          <w:tcPr>
            <w:tcW w:w="822" w:type="dxa"/>
            <w:tcBorders>
              <w:top w:val="nil"/>
              <w:left w:val="nil"/>
              <w:bottom w:val="single" w:color="auto" w:sz="8" w:space="0"/>
              <w:right w:val="single" w:color="auto" w:sz="8" w:space="0"/>
            </w:tcBorders>
            <w:shd w:val="clear" w:color="auto" w:fill="auto"/>
            <w:noWrap/>
            <w:vAlign w:val="center"/>
          </w:tcPr>
          <w:p w14:paraId="6C47621B">
            <w:pPr>
              <w:widowControl/>
              <w:jc w:val="center"/>
              <w:rPr>
                <w:rFonts w:ascii="宋体" w:hAnsi="宋体" w:cs="宋体"/>
                <w:color w:val="000000"/>
                <w:kern w:val="0"/>
                <w:sz w:val="24"/>
              </w:rPr>
            </w:pPr>
            <w:r>
              <w:rPr>
                <w:rFonts w:hint="eastAsia" w:ascii="宋体" w:hAnsi="宋体" w:cs="宋体"/>
                <w:color w:val="000000"/>
                <w:kern w:val="0"/>
                <w:sz w:val="24"/>
              </w:rPr>
              <w:t>1</w:t>
            </w:r>
          </w:p>
        </w:tc>
        <w:tc>
          <w:tcPr>
            <w:tcW w:w="944" w:type="dxa"/>
            <w:tcBorders>
              <w:top w:val="nil"/>
              <w:left w:val="nil"/>
              <w:bottom w:val="single" w:color="auto" w:sz="8" w:space="0"/>
              <w:right w:val="single" w:color="auto" w:sz="8" w:space="0"/>
            </w:tcBorders>
            <w:shd w:val="clear" w:color="auto" w:fill="auto"/>
            <w:noWrap/>
            <w:vAlign w:val="center"/>
          </w:tcPr>
          <w:p w14:paraId="098B89C4">
            <w:pPr>
              <w:widowControl/>
              <w:jc w:val="center"/>
              <w:rPr>
                <w:rFonts w:ascii="宋体" w:hAnsi="宋体" w:cs="宋体"/>
                <w:color w:val="000000"/>
                <w:kern w:val="0"/>
                <w:sz w:val="24"/>
              </w:rPr>
            </w:pPr>
            <w:r>
              <w:rPr>
                <w:rFonts w:hint="eastAsia" w:ascii="宋体" w:hAnsi="宋体" w:cs="宋体"/>
                <w:color w:val="000000"/>
                <w:kern w:val="0"/>
                <w:sz w:val="24"/>
              </w:rPr>
              <w:t>0</w:t>
            </w:r>
          </w:p>
        </w:tc>
        <w:tc>
          <w:tcPr>
            <w:tcW w:w="700" w:type="dxa"/>
            <w:tcBorders>
              <w:top w:val="nil"/>
              <w:left w:val="nil"/>
              <w:bottom w:val="single" w:color="auto" w:sz="8" w:space="0"/>
              <w:right w:val="single" w:color="auto" w:sz="8" w:space="0"/>
            </w:tcBorders>
            <w:shd w:val="clear" w:color="auto" w:fill="auto"/>
            <w:noWrap/>
            <w:vAlign w:val="center"/>
          </w:tcPr>
          <w:p w14:paraId="4930E3AB">
            <w:pPr>
              <w:widowControl/>
              <w:jc w:val="center"/>
              <w:rPr>
                <w:rFonts w:ascii="宋体" w:hAnsi="宋体" w:cs="宋体"/>
                <w:color w:val="000000"/>
                <w:kern w:val="0"/>
                <w:sz w:val="24"/>
              </w:rPr>
            </w:pPr>
            <w:r>
              <w:rPr>
                <w:rFonts w:hint="eastAsia" w:ascii="宋体" w:hAnsi="宋体" w:cs="宋体"/>
                <w:color w:val="000000"/>
                <w:kern w:val="0"/>
                <w:sz w:val="24"/>
              </w:rPr>
              <w:t>0</w:t>
            </w:r>
          </w:p>
        </w:tc>
      </w:tr>
      <w:tr w14:paraId="3BB6DB28">
        <w:tblPrEx>
          <w:tblCellMar>
            <w:top w:w="0" w:type="dxa"/>
            <w:left w:w="108" w:type="dxa"/>
            <w:bottom w:w="0" w:type="dxa"/>
            <w:right w:w="108" w:type="dxa"/>
          </w:tblCellMar>
        </w:tblPrEx>
        <w:trPr>
          <w:trHeight w:val="624" w:hRule="atLeast"/>
        </w:trPr>
        <w:tc>
          <w:tcPr>
            <w:tcW w:w="579" w:type="dxa"/>
            <w:tcBorders>
              <w:top w:val="nil"/>
              <w:left w:val="single" w:color="auto" w:sz="8" w:space="0"/>
              <w:bottom w:val="single" w:color="auto" w:sz="8" w:space="0"/>
              <w:right w:val="single" w:color="auto" w:sz="8" w:space="0"/>
            </w:tcBorders>
            <w:shd w:val="clear" w:color="auto" w:fill="auto"/>
            <w:vAlign w:val="center"/>
          </w:tcPr>
          <w:p w14:paraId="193D8900">
            <w:pPr>
              <w:widowControl/>
              <w:jc w:val="center"/>
              <w:rPr>
                <w:rFonts w:ascii="宋体" w:hAnsi="宋体" w:cs="宋体"/>
                <w:color w:val="000000"/>
                <w:kern w:val="0"/>
                <w:sz w:val="24"/>
              </w:rPr>
            </w:pPr>
            <w:r>
              <w:rPr>
                <w:rFonts w:hint="eastAsia" w:ascii="宋体" w:hAnsi="宋体" w:cs="宋体"/>
                <w:color w:val="000000"/>
                <w:kern w:val="0"/>
                <w:sz w:val="24"/>
              </w:rPr>
              <w:t>32</w:t>
            </w:r>
          </w:p>
        </w:tc>
        <w:tc>
          <w:tcPr>
            <w:tcW w:w="2343" w:type="dxa"/>
            <w:tcBorders>
              <w:top w:val="nil"/>
              <w:left w:val="nil"/>
              <w:bottom w:val="single" w:color="auto" w:sz="8" w:space="0"/>
              <w:right w:val="single" w:color="auto" w:sz="8" w:space="0"/>
            </w:tcBorders>
            <w:shd w:val="clear" w:color="auto" w:fill="auto"/>
            <w:vAlign w:val="center"/>
          </w:tcPr>
          <w:p w14:paraId="68BD8284">
            <w:pPr>
              <w:widowControl/>
              <w:jc w:val="center"/>
              <w:rPr>
                <w:rFonts w:ascii="宋体" w:hAnsi="宋体" w:cs="宋体"/>
                <w:color w:val="000000"/>
                <w:kern w:val="0"/>
                <w:sz w:val="24"/>
              </w:rPr>
            </w:pPr>
            <w:r>
              <w:rPr>
                <w:rFonts w:hint="eastAsia" w:ascii="宋体" w:hAnsi="宋体" w:cs="宋体"/>
                <w:color w:val="000000"/>
                <w:kern w:val="0"/>
                <w:sz w:val="24"/>
              </w:rPr>
              <w:t>兴华大街五环桥下</w:t>
            </w:r>
          </w:p>
        </w:tc>
        <w:tc>
          <w:tcPr>
            <w:tcW w:w="2892" w:type="dxa"/>
            <w:tcBorders>
              <w:top w:val="nil"/>
              <w:left w:val="nil"/>
              <w:bottom w:val="single" w:color="auto" w:sz="8" w:space="0"/>
              <w:right w:val="single" w:color="auto" w:sz="8" w:space="0"/>
            </w:tcBorders>
            <w:shd w:val="clear" w:color="auto" w:fill="auto"/>
            <w:vAlign w:val="center"/>
          </w:tcPr>
          <w:p w14:paraId="4944E0AA">
            <w:pPr>
              <w:widowControl/>
              <w:jc w:val="center"/>
              <w:rPr>
                <w:rFonts w:ascii="宋体" w:hAnsi="宋体" w:cs="宋体"/>
                <w:color w:val="000000"/>
                <w:kern w:val="0"/>
                <w:sz w:val="24"/>
              </w:rPr>
            </w:pPr>
            <w:r>
              <w:rPr>
                <w:rFonts w:hint="eastAsia" w:ascii="宋体" w:hAnsi="宋体" w:cs="宋体"/>
                <w:color w:val="000000"/>
                <w:kern w:val="0"/>
                <w:sz w:val="24"/>
              </w:rPr>
              <w:t>兴华大街五环桥下</w:t>
            </w:r>
          </w:p>
        </w:tc>
        <w:tc>
          <w:tcPr>
            <w:tcW w:w="822" w:type="dxa"/>
            <w:tcBorders>
              <w:top w:val="nil"/>
              <w:left w:val="nil"/>
              <w:bottom w:val="single" w:color="auto" w:sz="8" w:space="0"/>
              <w:right w:val="single" w:color="auto" w:sz="8" w:space="0"/>
            </w:tcBorders>
            <w:shd w:val="clear" w:color="auto" w:fill="auto"/>
            <w:noWrap/>
            <w:vAlign w:val="center"/>
          </w:tcPr>
          <w:p w14:paraId="726BA402">
            <w:pPr>
              <w:widowControl/>
              <w:jc w:val="center"/>
              <w:rPr>
                <w:rFonts w:ascii="宋体" w:hAnsi="宋体" w:cs="宋体"/>
                <w:color w:val="000000"/>
                <w:kern w:val="0"/>
                <w:sz w:val="24"/>
              </w:rPr>
            </w:pPr>
            <w:r>
              <w:rPr>
                <w:rFonts w:hint="eastAsia" w:ascii="宋体" w:hAnsi="宋体" w:cs="宋体"/>
                <w:color w:val="000000"/>
                <w:kern w:val="0"/>
                <w:sz w:val="24"/>
              </w:rPr>
              <w:t>1</w:t>
            </w:r>
          </w:p>
        </w:tc>
        <w:tc>
          <w:tcPr>
            <w:tcW w:w="944" w:type="dxa"/>
            <w:tcBorders>
              <w:top w:val="nil"/>
              <w:left w:val="nil"/>
              <w:bottom w:val="single" w:color="auto" w:sz="8" w:space="0"/>
              <w:right w:val="single" w:color="auto" w:sz="8" w:space="0"/>
            </w:tcBorders>
            <w:shd w:val="clear" w:color="auto" w:fill="auto"/>
            <w:vAlign w:val="center"/>
          </w:tcPr>
          <w:p w14:paraId="267FE128">
            <w:pPr>
              <w:widowControl/>
              <w:jc w:val="center"/>
              <w:rPr>
                <w:rFonts w:ascii="宋体" w:hAnsi="宋体" w:cs="宋体"/>
                <w:color w:val="000000"/>
                <w:kern w:val="0"/>
                <w:sz w:val="24"/>
              </w:rPr>
            </w:pPr>
            <w:r>
              <w:rPr>
                <w:rFonts w:hint="eastAsia" w:ascii="宋体" w:hAnsi="宋体" w:cs="宋体"/>
                <w:color w:val="000000"/>
                <w:kern w:val="0"/>
                <w:sz w:val="24"/>
              </w:rPr>
              <w:t>0</w:t>
            </w:r>
          </w:p>
        </w:tc>
        <w:tc>
          <w:tcPr>
            <w:tcW w:w="700" w:type="dxa"/>
            <w:tcBorders>
              <w:top w:val="nil"/>
              <w:left w:val="nil"/>
              <w:bottom w:val="single" w:color="auto" w:sz="8" w:space="0"/>
              <w:right w:val="single" w:color="auto" w:sz="8" w:space="0"/>
            </w:tcBorders>
            <w:shd w:val="clear" w:color="auto" w:fill="auto"/>
            <w:noWrap/>
            <w:vAlign w:val="center"/>
          </w:tcPr>
          <w:p w14:paraId="12ED7BE6">
            <w:pPr>
              <w:widowControl/>
              <w:jc w:val="center"/>
              <w:rPr>
                <w:rFonts w:ascii="宋体" w:hAnsi="宋体" w:cs="宋体"/>
                <w:color w:val="000000"/>
                <w:kern w:val="0"/>
                <w:sz w:val="24"/>
              </w:rPr>
            </w:pPr>
            <w:r>
              <w:rPr>
                <w:rFonts w:hint="eastAsia" w:ascii="宋体" w:hAnsi="宋体" w:cs="宋体"/>
                <w:color w:val="000000"/>
                <w:kern w:val="0"/>
                <w:sz w:val="24"/>
              </w:rPr>
              <w:t>0</w:t>
            </w:r>
          </w:p>
        </w:tc>
      </w:tr>
      <w:tr w14:paraId="7E5D980F">
        <w:tblPrEx>
          <w:tblCellMar>
            <w:top w:w="0" w:type="dxa"/>
            <w:left w:w="108" w:type="dxa"/>
            <w:bottom w:w="0" w:type="dxa"/>
            <w:right w:w="108" w:type="dxa"/>
          </w:tblCellMar>
        </w:tblPrEx>
        <w:trPr>
          <w:trHeight w:val="624" w:hRule="atLeast"/>
        </w:trPr>
        <w:tc>
          <w:tcPr>
            <w:tcW w:w="579" w:type="dxa"/>
            <w:tcBorders>
              <w:top w:val="nil"/>
              <w:left w:val="single" w:color="auto" w:sz="8" w:space="0"/>
              <w:bottom w:val="single" w:color="auto" w:sz="8" w:space="0"/>
              <w:right w:val="single" w:color="auto" w:sz="8" w:space="0"/>
            </w:tcBorders>
            <w:shd w:val="clear" w:color="auto" w:fill="auto"/>
            <w:vAlign w:val="center"/>
          </w:tcPr>
          <w:p w14:paraId="710254A3">
            <w:pPr>
              <w:widowControl/>
              <w:jc w:val="center"/>
              <w:rPr>
                <w:rFonts w:ascii="宋体" w:hAnsi="宋体" w:cs="宋体"/>
                <w:color w:val="000000"/>
                <w:kern w:val="0"/>
                <w:sz w:val="24"/>
              </w:rPr>
            </w:pPr>
            <w:r>
              <w:rPr>
                <w:rFonts w:hint="eastAsia" w:ascii="宋体" w:hAnsi="宋体" w:cs="宋体"/>
                <w:color w:val="000000"/>
                <w:kern w:val="0"/>
                <w:sz w:val="24"/>
              </w:rPr>
              <w:t>33</w:t>
            </w:r>
          </w:p>
        </w:tc>
        <w:tc>
          <w:tcPr>
            <w:tcW w:w="2343" w:type="dxa"/>
            <w:tcBorders>
              <w:top w:val="nil"/>
              <w:left w:val="nil"/>
              <w:bottom w:val="single" w:color="auto" w:sz="8" w:space="0"/>
              <w:right w:val="single" w:color="auto" w:sz="8" w:space="0"/>
            </w:tcBorders>
            <w:shd w:val="clear" w:color="auto" w:fill="auto"/>
            <w:vAlign w:val="center"/>
          </w:tcPr>
          <w:p w14:paraId="0175D985">
            <w:pPr>
              <w:widowControl/>
              <w:jc w:val="center"/>
              <w:rPr>
                <w:rFonts w:ascii="宋体" w:hAnsi="宋体" w:cs="宋体"/>
                <w:color w:val="000000"/>
                <w:kern w:val="0"/>
                <w:sz w:val="24"/>
              </w:rPr>
            </w:pPr>
            <w:r>
              <w:rPr>
                <w:rFonts w:hint="eastAsia" w:ascii="宋体" w:hAnsi="宋体" w:cs="宋体"/>
                <w:color w:val="000000"/>
                <w:kern w:val="0"/>
                <w:sz w:val="24"/>
              </w:rPr>
              <w:t>天河西路与祥瑞大街交口</w:t>
            </w:r>
          </w:p>
        </w:tc>
        <w:tc>
          <w:tcPr>
            <w:tcW w:w="2892" w:type="dxa"/>
            <w:tcBorders>
              <w:top w:val="nil"/>
              <w:left w:val="nil"/>
              <w:bottom w:val="single" w:color="auto" w:sz="8" w:space="0"/>
              <w:right w:val="single" w:color="auto" w:sz="8" w:space="0"/>
            </w:tcBorders>
            <w:shd w:val="clear" w:color="auto" w:fill="auto"/>
            <w:vAlign w:val="center"/>
          </w:tcPr>
          <w:p w14:paraId="212670CD">
            <w:pPr>
              <w:widowControl/>
              <w:jc w:val="center"/>
              <w:rPr>
                <w:rFonts w:ascii="宋体" w:hAnsi="宋体" w:cs="宋体"/>
                <w:color w:val="000000"/>
                <w:kern w:val="0"/>
                <w:sz w:val="24"/>
              </w:rPr>
            </w:pPr>
            <w:r>
              <w:rPr>
                <w:rFonts w:hint="eastAsia" w:ascii="宋体" w:hAnsi="宋体" w:cs="宋体"/>
                <w:color w:val="000000"/>
                <w:kern w:val="0"/>
                <w:sz w:val="24"/>
              </w:rPr>
              <w:t>天河西路-祥瑞大街</w:t>
            </w:r>
          </w:p>
        </w:tc>
        <w:tc>
          <w:tcPr>
            <w:tcW w:w="822" w:type="dxa"/>
            <w:tcBorders>
              <w:top w:val="nil"/>
              <w:left w:val="nil"/>
              <w:bottom w:val="single" w:color="auto" w:sz="8" w:space="0"/>
              <w:right w:val="single" w:color="auto" w:sz="8" w:space="0"/>
            </w:tcBorders>
            <w:shd w:val="clear" w:color="auto" w:fill="auto"/>
            <w:noWrap/>
            <w:vAlign w:val="center"/>
          </w:tcPr>
          <w:p w14:paraId="5AC225C4">
            <w:pPr>
              <w:widowControl/>
              <w:jc w:val="center"/>
              <w:rPr>
                <w:rFonts w:ascii="宋体" w:hAnsi="宋体" w:cs="宋体"/>
                <w:color w:val="000000"/>
                <w:kern w:val="0"/>
                <w:sz w:val="24"/>
              </w:rPr>
            </w:pPr>
            <w:r>
              <w:rPr>
                <w:rFonts w:hint="eastAsia" w:ascii="宋体" w:hAnsi="宋体" w:cs="宋体"/>
                <w:color w:val="000000"/>
                <w:kern w:val="0"/>
                <w:sz w:val="24"/>
              </w:rPr>
              <w:t>1</w:t>
            </w:r>
          </w:p>
        </w:tc>
        <w:tc>
          <w:tcPr>
            <w:tcW w:w="944" w:type="dxa"/>
            <w:tcBorders>
              <w:top w:val="nil"/>
              <w:left w:val="nil"/>
              <w:bottom w:val="single" w:color="auto" w:sz="8" w:space="0"/>
              <w:right w:val="single" w:color="auto" w:sz="8" w:space="0"/>
            </w:tcBorders>
            <w:shd w:val="clear" w:color="auto" w:fill="auto"/>
            <w:noWrap/>
            <w:vAlign w:val="center"/>
          </w:tcPr>
          <w:p w14:paraId="652FA582">
            <w:pPr>
              <w:widowControl/>
              <w:jc w:val="center"/>
              <w:rPr>
                <w:rFonts w:ascii="宋体" w:hAnsi="宋体" w:cs="宋体"/>
                <w:color w:val="000000"/>
                <w:kern w:val="0"/>
                <w:sz w:val="24"/>
              </w:rPr>
            </w:pPr>
            <w:r>
              <w:rPr>
                <w:rFonts w:hint="eastAsia" w:ascii="宋体" w:hAnsi="宋体" w:cs="宋体"/>
                <w:color w:val="000000"/>
                <w:kern w:val="0"/>
                <w:sz w:val="24"/>
              </w:rPr>
              <w:t>0</w:t>
            </w:r>
          </w:p>
        </w:tc>
        <w:tc>
          <w:tcPr>
            <w:tcW w:w="700" w:type="dxa"/>
            <w:tcBorders>
              <w:top w:val="nil"/>
              <w:left w:val="nil"/>
              <w:bottom w:val="single" w:color="auto" w:sz="8" w:space="0"/>
              <w:right w:val="single" w:color="auto" w:sz="8" w:space="0"/>
            </w:tcBorders>
            <w:shd w:val="clear" w:color="auto" w:fill="auto"/>
            <w:noWrap/>
            <w:vAlign w:val="center"/>
          </w:tcPr>
          <w:p w14:paraId="6FED5187">
            <w:pPr>
              <w:widowControl/>
              <w:jc w:val="center"/>
              <w:rPr>
                <w:rFonts w:ascii="宋体" w:hAnsi="宋体" w:cs="宋体"/>
                <w:color w:val="000000"/>
                <w:kern w:val="0"/>
                <w:sz w:val="24"/>
              </w:rPr>
            </w:pPr>
            <w:r>
              <w:rPr>
                <w:rFonts w:hint="eastAsia" w:ascii="宋体" w:hAnsi="宋体" w:cs="宋体"/>
                <w:color w:val="000000"/>
                <w:kern w:val="0"/>
                <w:sz w:val="24"/>
              </w:rPr>
              <w:t>0</w:t>
            </w:r>
          </w:p>
        </w:tc>
      </w:tr>
      <w:tr w14:paraId="434B8752">
        <w:tblPrEx>
          <w:tblCellMar>
            <w:top w:w="0" w:type="dxa"/>
            <w:left w:w="108" w:type="dxa"/>
            <w:bottom w:w="0" w:type="dxa"/>
            <w:right w:w="108" w:type="dxa"/>
          </w:tblCellMar>
        </w:tblPrEx>
        <w:trPr>
          <w:trHeight w:val="624" w:hRule="atLeast"/>
        </w:trPr>
        <w:tc>
          <w:tcPr>
            <w:tcW w:w="579" w:type="dxa"/>
            <w:tcBorders>
              <w:top w:val="nil"/>
              <w:left w:val="single" w:color="auto" w:sz="8" w:space="0"/>
              <w:bottom w:val="single" w:color="auto" w:sz="8" w:space="0"/>
              <w:right w:val="single" w:color="auto" w:sz="8" w:space="0"/>
            </w:tcBorders>
            <w:shd w:val="clear" w:color="auto" w:fill="auto"/>
            <w:vAlign w:val="center"/>
          </w:tcPr>
          <w:p w14:paraId="679F6691">
            <w:pPr>
              <w:widowControl/>
              <w:jc w:val="center"/>
              <w:rPr>
                <w:rFonts w:ascii="宋体" w:hAnsi="宋体" w:cs="宋体"/>
                <w:color w:val="000000"/>
                <w:kern w:val="0"/>
                <w:sz w:val="24"/>
              </w:rPr>
            </w:pPr>
            <w:r>
              <w:rPr>
                <w:rFonts w:hint="eastAsia" w:ascii="宋体" w:hAnsi="宋体" w:cs="宋体"/>
                <w:color w:val="000000"/>
                <w:kern w:val="0"/>
                <w:sz w:val="24"/>
              </w:rPr>
              <w:t>34</w:t>
            </w:r>
          </w:p>
        </w:tc>
        <w:tc>
          <w:tcPr>
            <w:tcW w:w="2343" w:type="dxa"/>
            <w:tcBorders>
              <w:top w:val="nil"/>
              <w:left w:val="nil"/>
              <w:bottom w:val="single" w:color="auto" w:sz="8" w:space="0"/>
              <w:right w:val="single" w:color="auto" w:sz="8" w:space="0"/>
            </w:tcBorders>
            <w:shd w:val="clear" w:color="auto" w:fill="auto"/>
            <w:vAlign w:val="center"/>
          </w:tcPr>
          <w:p w14:paraId="692EB0E6">
            <w:pPr>
              <w:widowControl/>
              <w:jc w:val="center"/>
              <w:rPr>
                <w:rFonts w:ascii="宋体" w:hAnsi="宋体" w:cs="宋体"/>
                <w:color w:val="000000"/>
                <w:kern w:val="0"/>
                <w:sz w:val="24"/>
              </w:rPr>
            </w:pPr>
            <w:r>
              <w:rPr>
                <w:rFonts w:hint="eastAsia" w:ascii="宋体" w:hAnsi="宋体" w:cs="宋体"/>
                <w:color w:val="000000"/>
                <w:kern w:val="0"/>
                <w:sz w:val="24"/>
              </w:rPr>
              <w:t>天河西路与天荣大街交口</w:t>
            </w:r>
          </w:p>
        </w:tc>
        <w:tc>
          <w:tcPr>
            <w:tcW w:w="2892" w:type="dxa"/>
            <w:tcBorders>
              <w:top w:val="nil"/>
              <w:left w:val="nil"/>
              <w:bottom w:val="single" w:color="auto" w:sz="8" w:space="0"/>
              <w:right w:val="single" w:color="auto" w:sz="8" w:space="0"/>
            </w:tcBorders>
            <w:shd w:val="clear" w:color="auto" w:fill="auto"/>
            <w:vAlign w:val="center"/>
          </w:tcPr>
          <w:p w14:paraId="3F455ACB">
            <w:pPr>
              <w:widowControl/>
              <w:jc w:val="center"/>
              <w:rPr>
                <w:rFonts w:ascii="宋体" w:hAnsi="宋体" w:cs="宋体"/>
                <w:color w:val="000000"/>
                <w:kern w:val="0"/>
                <w:sz w:val="24"/>
              </w:rPr>
            </w:pPr>
            <w:r>
              <w:rPr>
                <w:rFonts w:hint="eastAsia" w:ascii="宋体" w:hAnsi="宋体" w:cs="宋体"/>
                <w:color w:val="000000"/>
                <w:kern w:val="0"/>
                <w:sz w:val="24"/>
              </w:rPr>
              <w:t>天河西路-天荣大街</w:t>
            </w:r>
          </w:p>
        </w:tc>
        <w:tc>
          <w:tcPr>
            <w:tcW w:w="822" w:type="dxa"/>
            <w:tcBorders>
              <w:top w:val="nil"/>
              <w:left w:val="nil"/>
              <w:bottom w:val="single" w:color="auto" w:sz="8" w:space="0"/>
              <w:right w:val="single" w:color="auto" w:sz="8" w:space="0"/>
            </w:tcBorders>
            <w:shd w:val="clear" w:color="auto" w:fill="auto"/>
            <w:noWrap/>
            <w:vAlign w:val="center"/>
          </w:tcPr>
          <w:p w14:paraId="62B90585">
            <w:pPr>
              <w:widowControl/>
              <w:jc w:val="center"/>
              <w:rPr>
                <w:rFonts w:ascii="宋体" w:hAnsi="宋体" w:cs="宋体"/>
                <w:color w:val="000000"/>
                <w:kern w:val="0"/>
                <w:sz w:val="24"/>
              </w:rPr>
            </w:pPr>
            <w:r>
              <w:rPr>
                <w:rFonts w:hint="eastAsia" w:ascii="宋体" w:hAnsi="宋体" w:cs="宋体"/>
                <w:color w:val="000000"/>
                <w:kern w:val="0"/>
                <w:sz w:val="24"/>
              </w:rPr>
              <w:t>1</w:t>
            </w:r>
          </w:p>
        </w:tc>
        <w:tc>
          <w:tcPr>
            <w:tcW w:w="944" w:type="dxa"/>
            <w:tcBorders>
              <w:top w:val="nil"/>
              <w:left w:val="nil"/>
              <w:bottom w:val="single" w:color="auto" w:sz="8" w:space="0"/>
              <w:right w:val="single" w:color="auto" w:sz="8" w:space="0"/>
            </w:tcBorders>
            <w:shd w:val="clear" w:color="auto" w:fill="auto"/>
            <w:vAlign w:val="center"/>
          </w:tcPr>
          <w:p w14:paraId="6F15AF1B">
            <w:pPr>
              <w:widowControl/>
              <w:jc w:val="center"/>
              <w:rPr>
                <w:rFonts w:ascii="宋体" w:hAnsi="宋体" w:cs="宋体"/>
                <w:color w:val="000000"/>
                <w:kern w:val="0"/>
                <w:sz w:val="24"/>
              </w:rPr>
            </w:pPr>
            <w:r>
              <w:rPr>
                <w:rFonts w:hint="eastAsia" w:ascii="宋体" w:hAnsi="宋体" w:cs="宋体"/>
                <w:color w:val="000000"/>
                <w:kern w:val="0"/>
                <w:sz w:val="24"/>
              </w:rPr>
              <w:t>0</w:t>
            </w:r>
          </w:p>
        </w:tc>
        <w:tc>
          <w:tcPr>
            <w:tcW w:w="700" w:type="dxa"/>
            <w:tcBorders>
              <w:top w:val="nil"/>
              <w:left w:val="nil"/>
              <w:bottom w:val="single" w:color="auto" w:sz="8" w:space="0"/>
              <w:right w:val="single" w:color="auto" w:sz="8" w:space="0"/>
            </w:tcBorders>
            <w:shd w:val="clear" w:color="auto" w:fill="auto"/>
            <w:noWrap/>
            <w:vAlign w:val="center"/>
          </w:tcPr>
          <w:p w14:paraId="2DEB9F50">
            <w:pPr>
              <w:widowControl/>
              <w:jc w:val="center"/>
              <w:rPr>
                <w:rFonts w:ascii="宋体" w:hAnsi="宋体" w:cs="宋体"/>
                <w:color w:val="000000"/>
                <w:kern w:val="0"/>
                <w:sz w:val="24"/>
              </w:rPr>
            </w:pPr>
            <w:r>
              <w:rPr>
                <w:rFonts w:hint="eastAsia" w:ascii="宋体" w:hAnsi="宋体" w:cs="宋体"/>
                <w:color w:val="000000"/>
                <w:kern w:val="0"/>
                <w:sz w:val="24"/>
              </w:rPr>
              <w:t>0</w:t>
            </w:r>
          </w:p>
        </w:tc>
      </w:tr>
      <w:tr w14:paraId="6EF2916C">
        <w:tblPrEx>
          <w:tblCellMar>
            <w:top w:w="0" w:type="dxa"/>
            <w:left w:w="108" w:type="dxa"/>
            <w:bottom w:w="0" w:type="dxa"/>
            <w:right w:w="108" w:type="dxa"/>
          </w:tblCellMar>
        </w:tblPrEx>
        <w:trPr>
          <w:trHeight w:val="624" w:hRule="atLeast"/>
        </w:trPr>
        <w:tc>
          <w:tcPr>
            <w:tcW w:w="579" w:type="dxa"/>
            <w:tcBorders>
              <w:top w:val="nil"/>
              <w:left w:val="single" w:color="auto" w:sz="8" w:space="0"/>
              <w:bottom w:val="single" w:color="auto" w:sz="8" w:space="0"/>
              <w:right w:val="single" w:color="auto" w:sz="8" w:space="0"/>
            </w:tcBorders>
            <w:shd w:val="clear" w:color="auto" w:fill="auto"/>
            <w:vAlign w:val="center"/>
          </w:tcPr>
          <w:p w14:paraId="439324AA">
            <w:pPr>
              <w:widowControl/>
              <w:jc w:val="center"/>
              <w:rPr>
                <w:rFonts w:ascii="宋体" w:hAnsi="宋体" w:cs="宋体"/>
                <w:color w:val="000000"/>
                <w:kern w:val="0"/>
                <w:sz w:val="24"/>
              </w:rPr>
            </w:pPr>
            <w:r>
              <w:rPr>
                <w:rFonts w:hint="eastAsia" w:ascii="宋体" w:hAnsi="宋体" w:cs="宋体"/>
                <w:color w:val="000000"/>
                <w:kern w:val="0"/>
                <w:sz w:val="24"/>
              </w:rPr>
              <w:t>35</w:t>
            </w:r>
          </w:p>
        </w:tc>
        <w:tc>
          <w:tcPr>
            <w:tcW w:w="2343" w:type="dxa"/>
            <w:tcBorders>
              <w:top w:val="nil"/>
              <w:left w:val="nil"/>
              <w:bottom w:val="single" w:color="auto" w:sz="8" w:space="0"/>
              <w:right w:val="single" w:color="auto" w:sz="8" w:space="0"/>
            </w:tcBorders>
            <w:shd w:val="clear" w:color="auto" w:fill="auto"/>
            <w:vAlign w:val="center"/>
          </w:tcPr>
          <w:p w14:paraId="7EF2595B">
            <w:pPr>
              <w:widowControl/>
              <w:jc w:val="center"/>
              <w:rPr>
                <w:rFonts w:ascii="宋体" w:hAnsi="宋体" w:cs="宋体"/>
                <w:color w:val="000000"/>
                <w:kern w:val="0"/>
                <w:sz w:val="24"/>
              </w:rPr>
            </w:pPr>
            <w:r>
              <w:rPr>
                <w:rFonts w:hint="eastAsia" w:ascii="宋体" w:hAnsi="宋体" w:cs="宋体"/>
                <w:color w:val="000000"/>
                <w:kern w:val="0"/>
                <w:sz w:val="24"/>
              </w:rPr>
              <w:t>天华大街与永大路交口</w:t>
            </w:r>
          </w:p>
        </w:tc>
        <w:tc>
          <w:tcPr>
            <w:tcW w:w="2892" w:type="dxa"/>
            <w:tcBorders>
              <w:top w:val="nil"/>
              <w:left w:val="nil"/>
              <w:bottom w:val="single" w:color="auto" w:sz="8" w:space="0"/>
              <w:right w:val="single" w:color="auto" w:sz="8" w:space="0"/>
            </w:tcBorders>
            <w:shd w:val="clear" w:color="auto" w:fill="auto"/>
            <w:vAlign w:val="center"/>
          </w:tcPr>
          <w:p w14:paraId="325B02D4">
            <w:pPr>
              <w:widowControl/>
              <w:jc w:val="center"/>
              <w:rPr>
                <w:rFonts w:ascii="宋体" w:hAnsi="宋体" w:cs="宋体"/>
                <w:color w:val="000000"/>
                <w:kern w:val="0"/>
                <w:sz w:val="24"/>
              </w:rPr>
            </w:pPr>
            <w:r>
              <w:rPr>
                <w:rFonts w:hint="eastAsia" w:ascii="宋体" w:hAnsi="宋体" w:cs="宋体"/>
                <w:color w:val="000000"/>
                <w:kern w:val="0"/>
                <w:sz w:val="24"/>
              </w:rPr>
              <w:t>天华大街-永大路</w:t>
            </w:r>
          </w:p>
        </w:tc>
        <w:tc>
          <w:tcPr>
            <w:tcW w:w="822" w:type="dxa"/>
            <w:tcBorders>
              <w:top w:val="nil"/>
              <w:left w:val="nil"/>
              <w:bottom w:val="single" w:color="auto" w:sz="8" w:space="0"/>
              <w:right w:val="single" w:color="auto" w:sz="8" w:space="0"/>
            </w:tcBorders>
            <w:shd w:val="clear" w:color="auto" w:fill="auto"/>
            <w:noWrap/>
            <w:vAlign w:val="center"/>
          </w:tcPr>
          <w:p w14:paraId="688841C6">
            <w:pPr>
              <w:widowControl/>
              <w:jc w:val="center"/>
              <w:rPr>
                <w:rFonts w:ascii="宋体" w:hAnsi="宋体" w:cs="宋体"/>
                <w:color w:val="000000"/>
                <w:kern w:val="0"/>
                <w:sz w:val="24"/>
              </w:rPr>
            </w:pPr>
            <w:r>
              <w:rPr>
                <w:rFonts w:hint="eastAsia" w:ascii="宋体" w:hAnsi="宋体" w:cs="宋体"/>
                <w:color w:val="000000"/>
                <w:kern w:val="0"/>
                <w:sz w:val="24"/>
              </w:rPr>
              <w:t>1</w:t>
            </w:r>
          </w:p>
        </w:tc>
        <w:tc>
          <w:tcPr>
            <w:tcW w:w="944" w:type="dxa"/>
            <w:tcBorders>
              <w:top w:val="nil"/>
              <w:left w:val="nil"/>
              <w:bottom w:val="single" w:color="auto" w:sz="8" w:space="0"/>
              <w:right w:val="single" w:color="auto" w:sz="8" w:space="0"/>
            </w:tcBorders>
            <w:shd w:val="clear" w:color="auto" w:fill="auto"/>
            <w:noWrap/>
            <w:vAlign w:val="center"/>
          </w:tcPr>
          <w:p w14:paraId="4E504310">
            <w:pPr>
              <w:widowControl/>
              <w:jc w:val="center"/>
              <w:rPr>
                <w:rFonts w:ascii="宋体" w:hAnsi="宋体" w:cs="宋体"/>
                <w:color w:val="000000"/>
                <w:kern w:val="0"/>
                <w:sz w:val="24"/>
              </w:rPr>
            </w:pPr>
            <w:r>
              <w:rPr>
                <w:rFonts w:hint="eastAsia" w:ascii="宋体" w:hAnsi="宋体" w:cs="宋体"/>
                <w:color w:val="000000"/>
                <w:kern w:val="0"/>
                <w:sz w:val="24"/>
              </w:rPr>
              <w:t>0</w:t>
            </w:r>
          </w:p>
        </w:tc>
        <w:tc>
          <w:tcPr>
            <w:tcW w:w="700" w:type="dxa"/>
            <w:tcBorders>
              <w:top w:val="nil"/>
              <w:left w:val="nil"/>
              <w:bottom w:val="single" w:color="auto" w:sz="8" w:space="0"/>
              <w:right w:val="single" w:color="auto" w:sz="8" w:space="0"/>
            </w:tcBorders>
            <w:shd w:val="clear" w:color="auto" w:fill="auto"/>
            <w:noWrap/>
            <w:vAlign w:val="center"/>
          </w:tcPr>
          <w:p w14:paraId="7829997F">
            <w:pPr>
              <w:widowControl/>
              <w:jc w:val="center"/>
              <w:rPr>
                <w:rFonts w:ascii="宋体" w:hAnsi="宋体" w:cs="宋体"/>
                <w:color w:val="000000"/>
                <w:kern w:val="0"/>
                <w:sz w:val="24"/>
              </w:rPr>
            </w:pPr>
            <w:r>
              <w:rPr>
                <w:rFonts w:hint="eastAsia" w:ascii="宋体" w:hAnsi="宋体" w:cs="宋体"/>
                <w:color w:val="000000"/>
                <w:kern w:val="0"/>
                <w:sz w:val="24"/>
              </w:rPr>
              <w:t>1</w:t>
            </w:r>
          </w:p>
        </w:tc>
      </w:tr>
      <w:tr w14:paraId="168ECAAE">
        <w:tblPrEx>
          <w:tblCellMar>
            <w:top w:w="0" w:type="dxa"/>
            <w:left w:w="108" w:type="dxa"/>
            <w:bottom w:w="0" w:type="dxa"/>
            <w:right w:w="108" w:type="dxa"/>
          </w:tblCellMar>
        </w:tblPrEx>
        <w:trPr>
          <w:trHeight w:val="624" w:hRule="atLeast"/>
        </w:trPr>
        <w:tc>
          <w:tcPr>
            <w:tcW w:w="579" w:type="dxa"/>
            <w:tcBorders>
              <w:top w:val="nil"/>
              <w:left w:val="single" w:color="auto" w:sz="8" w:space="0"/>
              <w:bottom w:val="single" w:color="auto" w:sz="8" w:space="0"/>
              <w:right w:val="single" w:color="auto" w:sz="8" w:space="0"/>
            </w:tcBorders>
            <w:shd w:val="clear" w:color="auto" w:fill="auto"/>
            <w:vAlign w:val="center"/>
          </w:tcPr>
          <w:p w14:paraId="6AC1D8D6">
            <w:pPr>
              <w:widowControl/>
              <w:jc w:val="center"/>
              <w:rPr>
                <w:rFonts w:ascii="宋体" w:hAnsi="宋体" w:cs="宋体"/>
                <w:color w:val="000000"/>
                <w:kern w:val="0"/>
                <w:sz w:val="24"/>
              </w:rPr>
            </w:pPr>
            <w:r>
              <w:rPr>
                <w:rFonts w:hint="eastAsia" w:ascii="宋体" w:hAnsi="宋体" w:cs="宋体"/>
                <w:color w:val="000000"/>
                <w:kern w:val="0"/>
                <w:sz w:val="24"/>
              </w:rPr>
              <w:t>36</w:t>
            </w:r>
          </w:p>
        </w:tc>
        <w:tc>
          <w:tcPr>
            <w:tcW w:w="2343" w:type="dxa"/>
            <w:tcBorders>
              <w:top w:val="nil"/>
              <w:left w:val="nil"/>
              <w:bottom w:val="single" w:color="auto" w:sz="8" w:space="0"/>
              <w:right w:val="single" w:color="auto" w:sz="8" w:space="0"/>
            </w:tcBorders>
            <w:shd w:val="clear" w:color="auto" w:fill="auto"/>
            <w:vAlign w:val="center"/>
          </w:tcPr>
          <w:p w14:paraId="29A88CA5">
            <w:pPr>
              <w:widowControl/>
              <w:jc w:val="center"/>
              <w:rPr>
                <w:rFonts w:ascii="宋体" w:hAnsi="宋体" w:cs="宋体"/>
                <w:color w:val="000000"/>
                <w:kern w:val="0"/>
                <w:sz w:val="24"/>
              </w:rPr>
            </w:pPr>
            <w:r>
              <w:rPr>
                <w:rFonts w:hint="eastAsia" w:ascii="宋体" w:hAnsi="宋体" w:cs="宋体"/>
                <w:color w:val="000000"/>
                <w:kern w:val="0"/>
                <w:sz w:val="24"/>
              </w:rPr>
              <w:t>科苑路与广阳大街交口</w:t>
            </w:r>
          </w:p>
        </w:tc>
        <w:tc>
          <w:tcPr>
            <w:tcW w:w="2892" w:type="dxa"/>
            <w:tcBorders>
              <w:top w:val="nil"/>
              <w:left w:val="nil"/>
              <w:bottom w:val="single" w:color="auto" w:sz="8" w:space="0"/>
              <w:right w:val="single" w:color="auto" w:sz="8" w:space="0"/>
            </w:tcBorders>
            <w:shd w:val="clear" w:color="auto" w:fill="auto"/>
            <w:vAlign w:val="center"/>
          </w:tcPr>
          <w:p w14:paraId="422855EE">
            <w:pPr>
              <w:widowControl/>
              <w:jc w:val="center"/>
              <w:rPr>
                <w:rFonts w:ascii="宋体" w:hAnsi="宋体" w:cs="宋体"/>
                <w:color w:val="000000"/>
                <w:kern w:val="0"/>
                <w:sz w:val="24"/>
              </w:rPr>
            </w:pPr>
            <w:r>
              <w:rPr>
                <w:rFonts w:hint="eastAsia" w:ascii="宋体" w:hAnsi="宋体" w:cs="宋体"/>
                <w:color w:val="000000"/>
                <w:kern w:val="0"/>
                <w:sz w:val="24"/>
              </w:rPr>
              <w:t>科苑路-广阳大街</w:t>
            </w:r>
          </w:p>
        </w:tc>
        <w:tc>
          <w:tcPr>
            <w:tcW w:w="822" w:type="dxa"/>
            <w:tcBorders>
              <w:top w:val="nil"/>
              <w:left w:val="nil"/>
              <w:bottom w:val="single" w:color="auto" w:sz="8" w:space="0"/>
              <w:right w:val="single" w:color="auto" w:sz="8" w:space="0"/>
            </w:tcBorders>
            <w:shd w:val="clear" w:color="auto" w:fill="auto"/>
            <w:noWrap/>
            <w:vAlign w:val="center"/>
          </w:tcPr>
          <w:p w14:paraId="207569F3">
            <w:pPr>
              <w:widowControl/>
              <w:jc w:val="center"/>
              <w:rPr>
                <w:rFonts w:ascii="宋体" w:hAnsi="宋体" w:cs="宋体"/>
                <w:color w:val="000000"/>
                <w:kern w:val="0"/>
                <w:sz w:val="24"/>
              </w:rPr>
            </w:pPr>
            <w:r>
              <w:rPr>
                <w:rFonts w:hint="eastAsia" w:ascii="宋体" w:hAnsi="宋体" w:cs="宋体"/>
                <w:color w:val="000000"/>
                <w:kern w:val="0"/>
                <w:sz w:val="24"/>
              </w:rPr>
              <w:t>1</w:t>
            </w:r>
          </w:p>
        </w:tc>
        <w:tc>
          <w:tcPr>
            <w:tcW w:w="944" w:type="dxa"/>
            <w:tcBorders>
              <w:top w:val="nil"/>
              <w:left w:val="nil"/>
              <w:bottom w:val="single" w:color="auto" w:sz="8" w:space="0"/>
              <w:right w:val="single" w:color="auto" w:sz="8" w:space="0"/>
            </w:tcBorders>
            <w:shd w:val="clear" w:color="auto" w:fill="auto"/>
            <w:vAlign w:val="center"/>
          </w:tcPr>
          <w:p w14:paraId="536E44A0">
            <w:pPr>
              <w:widowControl/>
              <w:jc w:val="center"/>
              <w:rPr>
                <w:rFonts w:ascii="宋体" w:hAnsi="宋体" w:cs="宋体"/>
                <w:color w:val="000000"/>
                <w:kern w:val="0"/>
                <w:sz w:val="24"/>
              </w:rPr>
            </w:pPr>
            <w:r>
              <w:rPr>
                <w:rFonts w:hint="eastAsia" w:ascii="宋体" w:hAnsi="宋体" w:cs="宋体"/>
                <w:color w:val="000000"/>
                <w:kern w:val="0"/>
                <w:sz w:val="24"/>
              </w:rPr>
              <w:t>0</w:t>
            </w:r>
          </w:p>
        </w:tc>
        <w:tc>
          <w:tcPr>
            <w:tcW w:w="700" w:type="dxa"/>
            <w:tcBorders>
              <w:top w:val="nil"/>
              <w:left w:val="nil"/>
              <w:bottom w:val="single" w:color="auto" w:sz="8" w:space="0"/>
              <w:right w:val="single" w:color="auto" w:sz="8" w:space="0"/>
            </w:tcBorders>
            <w:shd w:val="clear" w:color="auto" w:fill="auto"/>
            <w:noWrap/>
            <w:vAlign w:val="center"/>
          </w:tcPr>
          <w:p w14:paraId="484B948D">
            <w:pPr>
              <w:widowControl/>
              <w:jc w:val="center"/>
              <w:rPr>
                <w:rFonts w:ascii="宋体" w:hAnsi="宋体" w:cs="宋体"/>
                <w:color w:val="000000"/>
                <w:kern w:val="0"/>
                <w:sz w:val="24"/>
              </w:rPr>
            </w:pPr>
            <w:r>
              <w:rPr>
                <w:rFonts w:hint="eastAsia" w:ascii="宋体" w:hAnsi="宋体" w:cs="宋体"/>
                <w:color w:val="000000"/>
                <w:kern w:val="0"/>
                <w:sz w:val="24"/>
              </w:rPr>
              <w:t>0</w:t>
            </w:r>
          </w:p>
        </w:tc>
      </w:tr>
      <w:tr w14:paraId="4B197CCD">
        <w:tblPrEx>
          <w:tblCellMar>
            <w:top w:w="0" w:type="dxa"/>
            <w:left w:w="108" w:type="dxa"/>
            <w:bottom w:w="0" w:type="dxa"/>
            <w:right w:w="108" w:type="dxa"/>
          </w:tblCellMar>
        </w:tblPrEx>
        <w:trPr>
          <w:trHeight w:val="624" w:hRule="atLeast"/>
        </w:trPr>
        <w:tc>
          <w:tcPr>
            <w:tcW w:w="579" w:type="dxa"/>
            <w:tcBorders>
              <w:top w:val="nil"/>
              <w:left w:val="single" w:color="auto" w:sz="8" w:space="0"/>
              <w:bottom w:val="single" w:color="auto" w:sz="8" w:space="0"/>
              <w:right w:val="single" w:color="auto" w:sz="8" w:space="0"/>
            </w:tcBorders>
            <w:shd w:val="clear" w:color="auto" w:fill="auto"/>
            <w:vAlign w:val="center"/>
          </w:tcPr>
          <w:p w14:paraId="7F02266F">
            <w:pPr>
              <w:widowControl/>
              <w:jc w:val="center"/>
              <w:rPr>
                <w:rFonts w:ascii="宋体" w:hAnsi="宋体" w:cs="宋体"/>
                <w:color w:val="000000"/>
                <w:kern w:val="0"/>
                <w:sz w:val="24"/>
              </w:rPr>
            </w:pPr>
            <w:r>
              <w:rPr>
                <w:rFonts w:hint="eastAsia" w:ascii="宋体" w:hAnsi="宋体" w:cs="宋体"/>
                <w:color w:val="000000"/>
                <w:kern w:val="0"/>
                <w:sz w:val="24"/>
              </w:rPr>
              <w:t>37</w:t>
            </w:r>
          </w:p>
        </w:tc>
        <w:tc>
          <w:tcPr>
            <w:tcW w:w="2343" w:type="dxa"/>
            <w:tcBorders>
              <w:top w:val="nil"/>
              <w:left w:val="nil"/>
              <w:bottom w:val="single" w:color="auto" w:sz="8" w:space="0"/>
              <w:right w:val="single" w:color="auto" w:sz="8" w:space="0"/>
            </w:tcBorders>
            <w:shd w:val="clear" w:color="auto" w:fill="auto"/>
            <w:vAlign w:val="center"/>
          </w:tcPr>
          <w:p w14:paraId="10897D7E">
            <w:pPr>
              <w:widowControl/>
              <w:jc w:val="center"/>
              <w:rPr>
                <w:rFonts w:ascii="宋体" w:hAnsi="宋体" w:cs="宋体"/>
                <w:color w:val="000000"/>
                <w:kern w:val="0"/>
                <w:sz w:val="24"/>
              </w:rPr>
            </w:pPr>
            <w:r>
              <w:rPr>
                <w:rFonts w:hint="eastAsia" w:ascii="宋体" w:hAnsi="宋体" w:cs="宋体"/>
                <w:color w:val="000000"/>
                <w:kern w:val="0"/>
                <w:sz w:val="24"/>
              </w:rPr>
              <w:t>科苑路与广平大街交口</w:t>
            </w:r>
          </w:p>
        </w:tc>
        <w:tc>
          <w:tcPr>
            <w:tcW w:w="2892" w:type="dxa"/>
            <w:tcBorders>
              <w:top w:val="nil"/>
              <w:left w:val="nil"/>
              <w:bottom w:val="single" w:color="auto" w:sz="8" w:space="0"/>
              <w:right w:val="single" w:color="auto" w:sz="8" w:space="0"/>
            </w:tcBorders>
            <w:shd w:val="clear" w:color="auto" w:fill="auto"/>
            <w:vAlign w:val="center"/>
          </w:tcPr>
          <w:p w14:paraId="05A00658">
            <w:pPr>
              <w:widowControl/>
              <w:jc w:val="center"/>
              <w:rPr>
                <w:rFonts w:ascii="宋体" w:hAnsi="宋体" w:cs="宋体"/>
                <w:color w:val="000000"/>
                <w:kern w:val="0"/>
                <w:sz w:val="24"/>
              </w:rPr>
            </w:pPr>
            <w:r>
              <w:rPr>
                <w:rFonts w:hint="eastAsia" w:ascii="宋体" w:hAnsi="宋体" w:cs="宋体"/>
                <w:color w:val="000000"/>
                <w:kern w:val="0"/>
                <w:sz w:val="24"/>
              </w:rPr>
              <w:t>科苑路-广平大街</w:t>
            </w:r>
          </w:p>
        </w:tc>
        <w:tc>
          <w:tcPr>
            <w:tcW w:w="822" w:type="dxa"/>
            <w:tcBorders>
              <w:top w:val="nil"/>
              <w:left w:val="nil"/>
              <w:bottom w:val="single" w:color="auto" w:sz="8" w:space="0"/>
              <w:right w:val="single" w:color="auto" w:sz="8" w:space="0"/>
            </w:tcBorders>
            <w:shd w:val="clear" w:color="auto" w:fill="auto"/>
            <w:noWrap/>
            <w:vAlign w:val="center"/>
          </w:tcPr>
          <w:p w14:paraId="672020F4">
            <w:pPr>
              <w:widowControl/>
              <w:jc w:val="center"/>
              <w:rPr>
                <w:rFonts w:ascii="宋体" w:hAnsi="宋体" w:cs="宋体"/>
                <w:color w:val="000000"/>
                <w:kern w:val="0"/>
                <w:sz w:val="24"/>
              </w:rPr>
            </w:pPr>
            <w:r>
              <w:rPr>
                <w:rFonts w:hint="eastAsia" w:ascii="宋体" w:hAnsi="宋体" w:cs="宋体"/>
                <w:color w:val="000000"/>
                <w:kern w:val="0"/>
                <w:sz w:val="24"/>
              </w:rPr>
              <w:t>1</w:t>
            </w:r>
          </w:p>
        </w:tc>
        <w:tc>
          <w:tcPr>
            <w:tcW w:w="944" w:type="dxa"/>
            <w:tcBorders>
              <w:top w:val="nil"/>
              <w:left w:val="nil"/>
              <w:bottom w:val="single" w:color="auto" w:sz="8" w:space="0"/>
              <w:right w:val="single" w:color="auto" w:sz="8" w:space="0"/>
            </w:tcBorders>
            <w:shd w:val="clear" w:color="auto" w:fill="auto"/>
            <w:noWrap/>
            <w:vAlign w:val="center"/>
          </w:tcPr>
          <w:p w14:paraId="569D1950">
            <w:pPr>
              <w:widowControl/>
              <w:jc w:val="center"/>
              <w:rPr>
                <w:rFonts w:ascii="宋体" w:hAnsi="宋体" w:cs="宋体"/>
                <w:color w:val="000000"/>
                <w:kern w:val="0"/>
                <w:sz w:val="24"/>
              </w:rPr>
            </w:pPr>
            <w:r>
              <w:rPr>
                <w:rFonts w:hint="eastAsia" w:ascii="宋体" w:hAnsi="宋体" w:cs="宋体"/>
                <w:color w:val="000000"/>
                <w:kern w:val="0"/>
                <w:sz w:val="24"/>
              </w:rPr>
              <w:t>0</w:t>
            </w:r>
          </w:p>
        </w:tc>
        <w:tc>
          <w:tcPr>
            <w:tcW w:w="700" w:type="dxa"/>
            <w:tcBorders>
              <w:top w:val="nil"/>
              <w:left w:val="nil"/>
              <w:bottom w:val="single" w:color="auto" w:sz="8" w:space="0"/>
              <w:right w:val="single" w:color="auto" w:sz="8" w:space="0"/>
            </w:tcBorders>
            <w:shd w:val="clear" w:color="auto" w:fill="auto"/>
            <w:noWrap/>
            <w:vAlign w:val="center"/>
          </w:tcPr>
          <w:p w14:paraId="63E108BF">
            <w:pPr>
              <w:widowControl/>
              <w:jc w:val="center"/>
              <w:rPr>
                <w:rFonts w:ascii="宋体" w:hAnsi="宋体" w:cs="宋体"/>
                <w:color w:val="000000"/>
                <w:kern w:val="0"/>
                <w:sz w:val="24"/>
              </w:rPr>
            </w:pPr>
            <w:r>
              <w:rPr>
                <w:rFonts w:hint="eastAsia" w:ascii="宋体" w:hAnsi="宋体" w:cs="宋体"/>
                <w:color w:val="000000"/>
                <w:kern w:val="0"/>
                <w:sz w:val="24"/>
              </w:rPr>
              <w:t>0</w:t>
            </w:r>
          </w:p>
        </w:tc>
      </w:tr>
      <w:tr w14:paraId="258EA0DE">
        <w:tblPrEx>
          <w:tblCellMar>
            <w:top w:w="0" w:type="dxa"/>
            <w:left w:w="108" w:type="dxa"/>
            <w:bottom w:w="0" w:type="dxa"/>
            <w:right w:w="108" w:type="dxa"/>
          </w:tblCellMar>
        </w:tblPrEx>
        <w:trPr>
          <w:trHeight w:val="624" w:hRule="atLeast"/>
        </w:trPr>
        <w:tc>
          <w:tcPr>
            <w:tcW w:w="579" w:type="dxa"/>
            <w:tcBorders>
              <w:top w:val="nil"/>
              <w:left w:val="single" w:color="auto" w:sz="8" w:space="0"/>
              <w:bottom w:val="single" w:color="auto" w:sz="8" w:space="0"/>
              <w:right w:val="single" w:color="auto" w:sz="8" w:space="0"/>
            </w:tcBorders>
            <w:shd w:val="clear" w:color="auto" w:fill="auto"/>
            <w:vAlign w:val="center"/>
          </w:tcPr>
          <w:p w14:paraId="2BD59027">
            <w:pPr>
              <w:widowControl/>
              <w:jc w:val="center"/>
              <w:rPr>
                <w:rFonts w:ascii="宋体" w:hAnsi="宋体" w:cs="宋体"/>
                <w:color w:val="000000"/>
                <w:kern w:val="0"/>
                <w:sz w:val="24"/>
              </w:rPr>
            </w:pPr>
            <w:r>
              <w:rPr>
                <w:rFonts w:hint="eastAsia" w:ascii="宋体" w:hAnsi="宋体" w:cs="宋体"/>
                <w:color w:val="000000"/>
                <w:kern w:val="0"/>
                <w:sz w:val="24"/>
              </w:rPr>
              <w:t>38</w:t>
            </w:r>
          </w:p>
        </w:tc>
        <w:tc>
          <w:tcPr>
            <w:tcW w:w="2343" w:type="dxa"/>
            <w:tcBorders>
              <w:top w:val="nil"/>
              <w:left w:val="nil"/>
              <w:bottom w:val="single" w:color="auto" w:sz="8" w:space="0"/>
              <w:right w:val="single" w:color="auto" w:sz="8" w:space="0"/>
            </w:tcBorders>
            <w:shd w:val="clear" w:color="auto" w:fill="auto"/>
            <w:vAlign w:val="center"/>
          </w:tcPr>
          <w:p w14:paraId="3B07ED2D">
            <w:pPr>
              <w:widowControl/>
              <w:jc w:val="center"/>
              <w:rPr>
                <w:rFonts w:ascii="宋体" w:hAnsi="宋体" w:cs="宋体"/>
                <w:color w:val="000000"/>
                <w:kern w:val="0"/>
                <w:sz w:val="24"/>
              </w:rPr>
            </w:pPr>
            <w:r>
              <w:rPr>
                <w:rFonts w:hint="eastAsia" w:ascii="宋体" w:hAnsi="宋体" w:cs="宋体"/>
                <w:color w:val="000000"/>
                <w:kern w:val="0"/>
                <w:sz w:val="24"/>
              </w:rPr>
              <w:t>广平大街与盛坊路交口</w:t>
            </w:r>
          </w:p>
        </w:tc>
        <w:tc>
          <w:tcPr>
            <w:tcW w:w="2892" w:type="dxa"/>
            <w:tcBorders>
              <w:top w:val="nil"/>
              <w:left w:val="nil"/>
              <w:bottom w:val="single" w:color="auto" w:sz="8" w:space="0"/>
              <w:right w:val="single" w:color="auto" w:sz="8" w:space="0"/>
            </w:tcBorders>
            <w:shd w:val="clear" w:color="auto" w:fill="auto"/>
            <w:vAlign w:val="center"/>
          </w:tcPr>
          <w:p w14:paraId="3A22BC5A">
            <w:pPr>
              <w:widowControl/>
              <w:jc w:val="center"/>
              <w:rPr>
                <w:rFonts w:ascii="宋体" w:hAnsi="宋体" w:cs="宋体"/>
                <w:color w:val="000000"/>
                <w:kern w:val="0"/>
                <w:sz w:val="24"/>
              </w:rPr>
            </w:pPr>
            <w:r>
              <w:rPr>
                <w:rFonts w:hint="eastAsia" w:ascii="宋体" w:hAnsi="宋体" w:cs="宋体"/>
                <w:color w:val="000000"/>
                <w:kern w:val="0"/>
                <w:sz w:val="24"/>
              </w:rPr>
              <w:t>盛坊路-广平大街（天恒世界集）</w:t>
            </w:r>
          </w:p>
        </w:tc>
        <w:tc>
          <w:tcPr>
            <w:tcW w:w="822" w:type="dxa"/>
            <w:tcBorders>
              <w:top w:val="nil"/>
              <w:left w:val="nil"/>
              <w:bottom w:val="single" w:color="auto" w:sz="8" w:space="0"/>
              <w:right w:val="single" w:color="auto" w:sz="8" w:space="0"/>
            </w:tcBorders>
            <w:shd w:val="clear" w:color="auto" w:fill="auto"/>
            <w:noWrap/>
            <w:vAlign w:val="center"/>
          </w:tcPr>
          <w:p w14:paraId="61A09CD7">
            <w:pPr>
              <w:widowControl/>
              <w:jc w:val="center"/>
              <w:rPr>
                <w:rFonts w:ascii="宋体" w:hAnsi="宋体" w:cs="宋体"/>
                <w:color w:val="000000"/>
                <w:kern w:val="0"/>
                <w:sz w:val="24"/>
              </w:rPr>
            </w:pPr>
            <w:r>
              <w:rPr>
                <w:rFonts w:hint="eastAsia" w:ascii="宋体" w:hAnsi="宋体" w:cs="宋体"/>
                <w:color w:val="000000"/>
                <w:kern w:val="0"/>
                <w:sz w:val="24"/>
              </w:rPr>
              <w:t>1</w:t>
            </w:r>
          </w:p>
        </w:tc>
        <w:tc>
          <w:tcPr>
            <w:tcW w:w="944" w:type="dxa"/>
            <w:tcBorders>
              <w:top w:val="nil"/>
              <w:left w:val="nil"/>
              <w:bottom w:val="single" w:color="auto" w:sz="8" w:space="0"/>
              <w:right w:val="single" w:color="auto" w:sz="8" w:space="0"/>
            </w:tcBorders>
            <w:shd w:val="clear" w:color="auto" w:fill="auto"/>
            <w:vAlign w:val="center"/>
          </w:tcPr>
          <w:p w14:paraId="69ADBD45">
            <w:pPr>
              <w:widowControl/>
              <w:jc w:val="center"/>
              <w:rPr>
                <w:rFonts w:ascii="宋体" w:hAnsi="宋体" w:cs="宋体"/>
                <w:color w:val="000000"/>
                <w:kern w:val="0"/>
                <w:sz w:val="24"/>
              </w:rPr>
            </w:pPr>
            <w:r>
              <w:rPr>
                <w:rFonts w:hint="eastAsia" w:ascii="宋体" w:hAnsi="宋体" w:cs="宋体"/>
                <w:color w:val="000000"/>
                <w:kern w:val="0"/>
                <w:sz w:val="24"/>
              </w:rPr>
              <w:t>0</w:t>
            </w:r>
          </w:p>
        </w:tc>
        <w:tc>
          <w:tcPr>
            <w:tcW w:w="700" w:type="dxa"/>
            <w:tcBorders>
              <w:top w:val="nil"/>
              <w:left w:val="nil"/>
              <w:bottom w:val="single" w:color="auto" w:sz="8" w:space="0"/>
              <w:right w:val="single" w:color="auto" w:sz="8" w:space="0"/>
            </w:tcBorders>
            <w:shd w:val="clear" w:color="auto" w:fill="auto"/>
            <w:noWrap/>
            <w:vAlign w:val="center"/>
          </w:tcPr>
          <w:p w14:paraId="4942DFC0">
            <w:pPr>
              <w:widowControl/>
              <w:jc w:val="center"/>
              <w:rPr>
                <w:rFonts w:ascii="宋体" w:hAnsi="宋体" w:cs="宋体"/>
                <w:color w:val="000000"/>
                <w:kern w:val="0"/>
                <w:sz w:val="24"/>
              </w:rPr>
            </w:pPr>
            <w:r>
              <w:rPr>
                <w:rFonts w:hint="eastAsia" w:ascii="宋体" w:hAnsi="宋体" w:cs="宋体"/>
                <w:color w:val="000000"/>
                <w:kern w:val="0"/>
                <w:sz w:val="24"/>
              </w:rPr>
              <w:t>1</w:t>
            </w:r>
          </w:p>
        </w:tc>
      </w:tr>
      <w:tr w14:paraId="3F759281">
        <w:tblPrEx>
          <w:tblCellMar>
            <w:top w:w="0" w:type="dxa"/>
            <w:left w:w="108" w:type="dxa"/>
            <w:bottom w:w="0" w:type="dxa"/>
            <w:right w:w="108" w:type="dxa"/>
          </w:tblCellMar>
        </w:tblPrEx>
        <w:trPr>
          <w:trHeight w:val="624" w:hRule="atLeast"/>
        </w:trPr>
        <w:tc>
          <w:tcPr>
            <w:tcW w:w="579" w:type="dxa"/>
            <w:tcBorders>
              <w:top w:val="nil"/>
              <w:left w:val="single" w:color="auto" w:sz="8" w:space="0"/>
              <w:bottom w:val="single" w:color="auto" w:sz="8" w:space="0"/>
              <w:right w:val="single" w:color="auto" w:sz="8" w:space="0"/>
            </w:tcBorders>
            <w:shd w:val="clear" w:color="auto" w:fill="auto"/>
            <w:vAlign w:val="center"/>
          </w:tcPr>
          <w:p w14:paraId="6BBE2F80">
            <w:pPr>
              <w:widowControl/>
              <w:jc w:val="center"/>
              <w:rPr>
                <w:rFonts w:ascii="宋体" w:hAnsi="宋体" w:cs="宋体"/>
                <w:color w:val="000000"/>
                <w:kern w:val="0"/>
                <w:sz w:val="24"/>
              </w:rPr>
            </w:pPr>
            <w:r>
              <w:rPr>
                <w:rFonts w:hint="eastAsia" w:ascii="宋体" w:hAnsi="宋体" w:cs="宋体"/>
                <w:color w:val="000000"/>
                <w:kern w:val="0"/>
                <w:sz w:val="24"/>
              </w:rPr>
              <w:t>39</w:t>
            </w:r>
          </w:p>
        </w:tc>
        <w:tc>
          <w:tcPr>
            <w:tcW w:w="2343" w:type="dxa"/>
            <w:tcBorders>
              <w:top w:val="nil"/>
              <w:left w:val="nil"/>
              <w:bottom w:val="single" w:color="auto" w:sz="8" w:space="0"/>
              <w:right w:val="single" w:color="auto" w:sz="8" w:space="0"/>
            </w:tcBorders>
            <w:shd w:val="clear" w:color="auto" w:fill="auto"/>
            <w:vAlign w:val="center"/>
          </w:tcPr>
          <w:p w14:paraId="7A312CF2">
            <w:pPr>
              <w:widowControl/>
              <w:jc w:val="center"/>
              <w:rPr>
                <w:rFonts w:ascii="宋体" w:hAnsi="宋体" w:cs="宋体"/>
                <w:color w:val="000000"/>
                <w:kern w:val="0"/>
                <w:sz w:val="24"/>
              </w:rPr>
            </w:pPr>
            <w:r>
              <w:rPr>
                <w:rFonts w:hint="eastAsia" w:ascii="宋体" w:hAnsi="宋体" w:cs="宋体"/>
                <w:color w:val="000000"/>
                <w:kern w:val="0"/>
                <w:sz w:val="24"/>
              </w:rPr>
              <w:t>北兴路与广平大街交口</w:t>
            </w:r>
          </w:p>
        </w:tc>
        <w:tc>
          <w:tcPr>
            <w:tcW w:w="2892" w:type="dxa"/>
            <w:tcBorders>
              <w:top w:val="nil"/>
              <w:left w:val="nil"/>
              <w:bottom w:val="single" w:color="auto" w:sz="8" w:space="0"/>
              <w:right w:val="single" w:color="auto" w:sz="8" w:space="0"/>
            </w:tcBorders>
            <w:shd w:val="clear" w:color="auto" w:fill="auto"/>
            <w:vAlign w:val="center"/>
          </w:tcPr>
          <w:p w14:paraId="4B962C09">
            <w:pPr>
              <w:widowControl/>
              <w:jc w:val="center"/>
              <w:rPr>
                <w:rFonts w:ascii="宋体" w:hAnsi="宋体" w:cs="宋体"/>
                <w:color w:val="000000"/>
                <w:kern w:val="0"/>
                <w:sz w:val="24"/>
              </w:rPr>
            </w:pPr>
            <w:r>
              <w:rPr>
                <w:rFonts w:hint="eastAsia" w:ascii="宋体" w:hAnsi="宋体" w:cs="宋体"/>
                <w:color w:val="000000"/>
                <w:kern w:val="0"/>
                <w:sz w:val="24"/>
              </w:rPr>
              <w:t>北兴路-广平大街</w:t>
            </w:r>
          </w:p>
        </w:tc>
        <w:tc>
          <w:tcPr>
            <w:tcW w:w="822" w:type="dxa"/>
            <w:tcBorders>
              <w:top w:val="nil"/>
              <w:left w:val="nil"/>
              <w:bottom w:val="single" w:color="auto" w:sz="8" w:space="0"/>
              <w:right w:val="single" w:color="auto" w:sz="8" w:space="0"/>
            </w:tcBorders>
            <w:shd w:val="clear" w:color="auto" w:fill="auto"/>
            <w:noWrap/>
            <w:vAlign w:val="center"/>
          </w:tcPr>
          <w:p w14:paraId="5B24334E">
            <w:pPr>
              <w:widowControl/>
              <w:jc w:val="center"/>
              <w:rPr>
                <w:rFonts w:ascii="宋体" w:hAnsi="宋体" w:cs="宋体"/>
                <w:color w:val="000000"/>
                <w:kern w:val="0"/>
                <w:sz w:val="24"/>
              </w:rPr>
            </w:pPr>
            <w:r>
              <w:rPr>
                <w:rFonts w:hint="eastAsia" w:ascii="宋体" w:hAnsi="宋体" w:cs="宋体"/>
                <w:color w:val="000000"/>
                <w:kern w:val="0"/>
                <w:sz w:val="24"/>
              </w:rPr>
              <w:t>1</w:t>
            </w:r>
          </w:p>
        </w:tc>
        <w:tc>
          <w:tcPr>
            <w:tcW w:w="944" w:type="dxa"/>
            <w:tcBorders>
              <w:top w:val="nil"/>
              <w:left w:val="nil"/>
              <w:bottom w:val="single" w:color="auto" w:sz="8" w:space="0"/>
              <w:right w:val="single" w:color="auto" w:sz="8" w:space="0"/>
            </w:tcBorders>
            <w:shd w:val="clear" w:color="auto" w:fill="auto"/>
            <w:noWrap/>
            <w:vAlign w:val="center"/>
          </w:tcPr>
          <w:p w14:paraId="16D10F9B">
            <w:pPr>
              <w:widowControl/>
              <w:jc w:val="center"/>
              <w:rPr>
                <w:rFonts w:ascii="宋体" w:hAnsi="宋体" w:cs="宋体"/>
                <w:color w:val="000000"/>
                <w:kern w:val="0"/>
                <w:sz w:val="24"/>
              </w:rPr>
            </w:pPr>
            <w:r>
              <w:rPr>
                <w:rFonts w:hint="eastAsia" w:ascii="宋体" w:hAnsi="宋体" w:cs="宋体"/>
                <w:color w:val="000000"/>
                <w:kern w:val="0"/>
                <w:sz w:val="24"/>
              </w:rPr>
              <w:t>0</w:t>
            </w:r>
          </w:p>
        </w:tc>
        <w:tc>
          <w:tcPr>
            <w:tcW w:w="700" w:type="dxa"/>
            <w:tcBorders>
              <w:top w:val="nil"/>
              <w:left w:val="nil"/>
              <w:bottom w:val="single" w:color="auto" w:sz="8" w:space="0"/>
              <w:right w:val="single" w:color="auto" w:sz="8" w:space="0"/>
            </w:tcBorders>
            <w:shd w:val="clear" w:color="auto" w:fill="auto"/>
            <w:noWrap/>
            <w:vAlign w:val="center"/>
          </w:tcPr>
          <w:p w14:paraId="6D505FBC">
            <w:pPr>
              <w:widowControl/>
              <w:jc w:val="center"/>
              <w:rPr>
                <w:rFonts w:ascii="宋体" w:hAnsi="宋体" w:cs="宋体"/>
                <w:color w:val="000000"/>
                <w:kern w:val="0"/>
                <w:sz w:val="24"/>
              </w:rPr>
            </w:pPr>
            <w:r>
              <w:rPr>
                <w:rFonts w:hint="eastAsia" w:ascii="宋体" w:hAnsi="宋体" w:cs="宋体"/>
                <w:color w:val="000000"/>
                <w:kern w:val="0"/>
                <w:sz w:val="24"/>
              </w:rPr>
              <w:t>0</w:t>
            </w:r>
          </w:p>
        </w:tc>
      </w:tr>
      <w:tr w14:paraId="2710898A">
        <w:tblPrEx>
          <w:tblCellMar>
            <w:top w:w="0" w:type="dxa"/>
            <w:left w:w="108" w:type="dxa"/>
            <w:bottom w:w="0" w:type="dxa"/>
            <w:right w:w="108" w:type="dxa"/>
          </w:tblCellMar>
        </w:tblPrEx>
        <w:trPr>
          <w:trHeight w:val="624" w:hRule="atLeast"/>
        </w:trPr>
        <w:tc>
          <w:tcPr>
            <w:tcW w:w="579" w:type="dxa"/>
            <w:tcBorders>
              <w:top w:val="nil"/>
              <w:left w:val="single" w:color="auto" w:sz="8" w:space="0"/>
              <w:bottom w:val="single" w:color="auto" w:sz="8" w:space="0"/>
              <w:right w:val="single" w:color="auto" w:sz="8" w:space="0"/>
            </w:tcBorders>
            <w:shd w:val="clear" w:color="auto" w:fill="auto"/>
            <w:vAlign w:val="center"/>
          </w:tcPr>
          <w:p w14:paraId="1C822539">
            <w:pPr>
              <w:widowControl/>
              <w:jc w:val="center"/>
              <w:rPr>
                <w:rFonts w:ascii="宋体" w:hAnsi="宋体" w:cs="宋体"/>
                <w:color w:val="000000"/>
                <w:kern w:val="0"/>
                <w:sz w:val="24"/>
              </w:rPr>
            </w:pPr>
            <w:r>
              <w:rPr>
                <w:rFonts w:hint="eastAsia" w:ascii="宋体" w:hAnsi="宋体" w:cs="宋体"/>
                <w:color w:val="000000"/>
                <w:kern w:val="0"/>
                <w:sz w:val="24"/>
              </w:rPr>
              <w:t>40</w:t>
            </w:r>
          </w:p>
        </w:tc>
        <w:tc>
          <w:tcPr>
            <w:tcW w:w="2343" w:type="dxa"/>
            <w:tcBorders>
              <w:top w:val="nil"/>
              <w:left w:val="nil"/>
              <w:bottom w:val="single" w:color="auto" w:sz="8" w:space="0"/>
              <w:right w:val="single" w:color="auto" w:sz="8" w:space="0"/>
            </w:tcBorders>
            <w:shd w:val="clear" w:color="auto" w:fill="auto"/>
            <w:vAlign w:val="center"/>
          </w:tcPr>
          <w:p w14:paraId="47DAC4B0">
            <w:pPr>
              <w:widowControl/>
              <w:jc w:val="center"/>
              <w:rPr>
                <w:rFonts w:ascii="宋体" w:hAnsi="宋体" w:cs="宋体"/>
                <w:color w:val="000000"/>
                <w:kern w:val="0"/>
                <w:sz w:val="24"/>
              </w:rPr>
            </w:pPr>
            <w:r>
              <w:rPr>
                <w:rFonts w:hint="eastAsia" w:ascii="宋体" w:hAnsi="宋体" w:cs="宋体"/>
                <w:color w:val="000000"/>
                <w:kern w:val="0"/>
                <w:sz w:val="24"/>
              </w:rPr>
              <w:t>北兴路</w:t>
            </w:r>
          </w:p>
        </w:tc>
        <w:tc>
          <w:tcPr>
            <w:tcW w:w="2892" w:type="dxa"/>
            <w:tcBorders>
              <w:top w:val="nil"/>
              <w:left w:val="nil"/>
              <w:bottom w:val="single" w:color="auto" w:sz="8" w:space="0"/>
              <w:right w:val="single" w:color="auto" w:sz="8" w:space="0"/>
            </w:tcBorders>
            <w:shd w:val="clear" w:color="auto" w:fill="auto"/>
            <w:vAlign w:val="center"/>
          </w:tcPr>
          <w:p w14:paraId="2EB86AA2">
            <w:pPr>
              <w:widowControl/>
              <w:jc w:val="center"/>
              <w:rPr>
                <w:rFonts w:ascii="宋体" w:hAnsi="宋体" w:cs="宋体"/>
                <w:color w:val="000000"/>
                <w:kern w:val="0"/>
                <w:sz w:val="24"/>
              </w:rPr>
            </w:pPr>
            <w:r>
              <w:rPr>
                <w:rFonts w:hint="eastAsia" w:ascii="宋体" w:hAnsi="宋体" w:cs="宋体"/>
                <w:color w:val="000000"/>
                <w:kern w:val="0"/>
                <w:sz w:val="24"/>
              </w:rPr>
              <w:t>北兴路百年义利西北门</w:t>
            </w:r>
          </w:p>
        </w:tc>
        <w:tc>
          <w:tcPr>
            <w:tcW w:w="822" w:type="dxa"/>
            <w:tcBorders>
              <w:top w:val="nil"/>
              <w:left w:val="nil"/>
              <w:bottom w:val="single" w:color="auto" w:sz="8" w:space="0"/>
              <w:right w:val="single" w:color="auto" w:sz="8" w:space="0"/>
            </w:tcBorders>
            <w:shd w:val="clear" w:color="auto" w:fill="auto"/>
            <w:noWrap/>
            <w:vAlign w:val="center"/>
          </w:tcPr>
          <w:p w14:paraId="73DF8265">
            <w:pPr>
              <w:widowControl/>
              <w:jc w:val="center"/>
              <w:rPr>
                <w:rFonts w:ascii="宋体" w:hAnsi="宋体" w:cs="宋体"/>
                <w:color w:val="000000"/>
                <w:kern w:val="0"/>
                <w:sz w:val="24"/>
              </w:rPr>
            </w:pPr>
            <w:r>
              <w:rPr>
                <w:rFonts w:hint="eastAsia" w:ascii="宋体" w:hAnsi="宋体" w:cs="宋体"/>
                <w:color w:val="000000"/>
                <w:kern w:val="0"/>
                <w:sz w:val="24"/>
              </w:rPr>
              <w:t>1</w:t>
            </w:r>
          </w:p>
        </w:tc>
        <w:tc>
          <w:tcPr>
            <w:tcW w:w="944" w:type="dxa"/>
            <w:tcBorders>
              <w:top w:val="nil"/>
              <w:left w:val="nil"/>
              <w:bottom w:val="single" w:color="auto" w:sz="8" w:space="0"/>
              <w:right w:val="single" w:color="auto" w:sz="8" w:space="0"/>
            </w:tcBorders>
            <w:shd w:val="clear" w:color="auto" w:fill="auto"/>
            <w:vAlign w:val="center"/>
          </w:tcPr>
          <w:p w14:paraId="609A49B6">
            <w:pPr>
              <w:widowControl/>
              <w:jc w:val="center"/>
              <w:rPr>
                <w:rFonts w:ascii="宋体" w:hAnsi="宋体" w:cs="宋体"/>
                <w:color w:val="000000"/>
                <w:kern w:val="0"/>
                <w:sz w:val="24"/>
              </w:rPr>
            </w:pPr>
            <w:r>
              <w:rPr>
                <w:rFonts w:hint="eastAsia" w:ascii="宋体" w:hAnsi="宋体" w:cs="宋体"/>
                <w:color w:val="000000"/>
                <w:kern w:val="0"/>
                <w:sz w:val="24"/>
              </w:rPr>
              <w:t>0</w:t>
            </w:r>
          </w:p>
        </w:tc>
        <w:tc>
          <w:tcPr>
            <w:tcW w:w="700" w:type="dxa"/>
            <w:tcBorders>
              <w:top w:val="nil"/>
              <w:left w:val="nil"/>
              <w:bottom w:val="single" w:color="auto" w:sz="8" w:space="0"/>
              <w:right w:val="single" w:color="auto" w:sz="8" w:space="0"/>
            </w:tcBorders>
            <w:shd w:val="clear" w:color="auto" w:fill="auto"/>
            <w:noWrap/>
            <w:vAlign w:val="center"/>
          </w:tcPr>
          <w:p w14:paraId="1A0AB00C">
            <w:pPr>
              <w:widowControl/>
              <w:jc w:val="center"/>
              <w:rPr>
                <w:rFonts w:ascii="宋体" w:hAnsi="宋体" w:cs="宋体"/>
                <w:color w:val="000000"/>
                <w:kern w:val="0"/>
                <w:sz w:val="24"/>
              </w:rPr>
            </w:pPr>
            <w:r>
              <w:rPr>
                <w:rFonts w:hint="eastAsia" w:ascii="宋体" w:hAnsi="宋体" w:cs="宋体"/>
                <w:color w:val="000000"/>
                <w:kern w:val="0"/>
                <w:sz w:val="24"/>
              </w:rPr>
              <w:t>0</w:t>
            </w:r>
          </w:p>
        </w:tc>
      </w:tr>
      <w:tr w14:paraId="223E1118">
        <w:tblPrEx>
          <w:tblCellMar>
            <w:top w:w="0" w:type="dxa"/>
            <w:left w:w="108" w:type="dxa"/>
            <w:bottom w:w="0" w:type="dxa"/>
            <w:right w:w="108" w:type="dxa"/>
          </w:tblCellMar>
        </w:tblPrEx>
        <w:trPr>
          <w:trHeight w:val="624" w:hRule="atLeast"/>
        </w:trPr>
        <w:tc>
          <w:tcPr>
            <w:tcW w:w="579" w:type="dxa"/>
            <w:tcBorders>
              <w:top w:val="nil"/>
              <w:left w:val="single" w:color="auto" w:sz="8" w:space="0"/>
              <w:bottom w:val="single" w:color="auto" w:sz="8" w:space="0"/>
              <w:right w:val="single" w:color="auto" w:sz="8" w:space="0"/>
            </w:tcBorders>
            <w:shd w:val="clear" w:color="auto" w:fill="auto"/>
            <w:vAlign w:val="center"/>
          </w:tcPr>
          <w:p w14:paraId="40792A0E">
            <w:pPr>
              <w:widowControl/>
              <w:jc w:val="center"/>
              <w:rPr>
                <w:rFonts w:ascii="宋体" w:hAnsi="宋体" w:cs="宋体"/>
                <w:color w:val="000000"/>
                <w:kern w:val="0"/>
                <w:sz w:val="24"/>
              </w:rPr>
            </w:pPr>
            <w:r>
              <w:rPr>
                <w:rFonts w:hint="eastAsia" w:ascii="宋体" w:hAnsi="宋体" w:cs="宋体"/>
                <w:color w:val="000000"/>
                <w:kern w:val="0"/>
                <w:sz w:val="24"/>
              </w:rPr>
              <w:t>41</w:t>
            </w:r>
          </w:p>
        </w:tc>
        <w:tc>
          <w:tcPr>
            <w:tcW w:w="2343" w:type="dxa"/>
            <w:tcBorders>
              <w:top w:val="nil"/>
              <w:left w:val="nil"/>
              <w:bottom w:val="single" w:color="auto" w:sz="8" w:space="0"/>
              <w:right w:val="single" w:color="auto" w:sz="8" w:space="0"/>
            </w:tcBorders>
            <w:shd w:val="clear" w:color="auto" w:fill="auto"/>
            <w:vAlign w:val="center"/>
          </w:tcPr>
          <w:p w14:paraId="034F3A66">
            <w:pPr>
              <w:widowControl/>
              <w:jc w:val="center"/>
              <w:rPr>
                <w:rFonts w:ascii="宋体" w:hAnsi="宋体" w:cs="宋体"/>
                <w:color w:val="000000"/>
                <w:kern w:val="0"/>
                <w:sz w:val="24"/>
              </w:rPr>
            </w:pPr>
            <w:r>
              <w:rPr>
                <w:rFonts w:hint="eastAsia" w:ascii="宋体" w:hAnsi="宋体" w:cs="宋体"/>
                <w:color w:val="000000"/>
                <w:kern w:val="0"/>
                <w:sz w:val="24"/>
              </w:rPr>
              <w:t>葆李沟出水口</w:t>
            </w:r>
          </w:p>
        </w:tc>
        <w:tc>
          <w:tcPr>
            <w:tcW w:w="2892" w:type="dxa"/>
            <w:tcBorders>
              <w:top w:val="nil"/>
              <w:left w:val="nil"/>
              <w:bottom w:val="single" w:color="auto" w:sz="8" w:space="0"/>
              <w:right w:val="single" w:color="auto" w:sz="8" w:space="0"/>
            </w:tcBorders>
            <w:shd w:val="clear" w:color="auto" w:fill="auto"/>
            <w:vAlign w:val="center"/>
          </w:tcPr>
          <w:p w14:paraId="11801055">
            <w:pPr>
              <w:widowControl/>
              <w:jc w:val="center"/>
              <w:rPr>
                <w:rFonts w:ascii="宋体" w:hAnsi="宋体" w:cs="宋体"/>
                <w:color w:val="000000"/>
                <w:kern w:val="0"/>
                <w:sz w:val="24"/>
              </w:rPr>
            </w:pPr>
            <w:r>
              <w:rPr>
                <w:rFonts w:hint="eastAsia" w:ascii="宋体" w:hAnsi="宋体" w:cs="宋体"/>
                <w:color w:val="000000"/>
                <w:kern w:val="0"/>
                <w:sz w:val="24"/>
              </w:rPr>
              <w:t>宜家西侧石桥南葆李沟东岸</w:t>
            </w:r>
          </w:p>
        </w:tc>
        <w:tc>
          <w:tcPr>
            <w:tcW w:w="822" w:type="dxa"/>
            <w:tcBorders>
              <w:top w:val="nil"/>
              <w:left w:val="nil"/>
              <w:bottom w:val="single" w:color="auto" w:sz="8" w:space="0"/>
              <w:right w:val="single" w:color="auto" w:sz="8" w:space="0"/>
            </w:tcBorders>
            <w:shd w:val="clear" w:color="auto" w:fill="auto"/>
            <w:noWrap/>
            <w:vAlign w:val="center"/>
          </w:tcPr>
          <w:p w14:paraId="78FF45F9">
            <w:pPr>
              <w:widowControl/>
              <w:jc w:val="center"/>
              <w:rPr>
                <w:rFonts w:ascii="宋体" w:hAnsi="宋体" w:cs="宋体"/>
                <w:color w:val="000000"/>
                <w:kern w:val="0"/>
                <w:sz w:val="24"/>
              </w:rPr>
            </w:pPr>
            <w:r>
              <w:rPr>
                <w:rFonts w:hint="eastAsia" w:ascii="宋体" w:hAnsi="宋体" w:cs="宋体"/>
                <w:color w:val="000000"/>
                <w:kern w:val="0"/>
                <w:sz w:val="24"/>
              </w:rPr>
              <w:t>0</w:t>
            </w:r>
          </w:p>
        </w:tc>
        <w:tc>
          <w:tcPr>
            <w:tcW w:w="944" w:type="dxa"/>
            <w:tcBorders>
              <w:top w:val="nil"/>
              <w:left w:val="nil"/>
              <w:bottom w:val="single" w:color="auto" w:sz="8" w:space="0"/>
              <w:right w:val="single" w:color="auto" w:sz="8" w:space="0"/>
            </w:tcBorders>
            <w:shd w:val="clear" w:color="auto" w:fill="auto"/>
            <w:noWrap/>
            <w:vAlign w:val="center"/>
          </w:tcPr>
          <w:p w14:paraId="742C6208">
            <w:pPr>
              <w:widowControl/>
              <w:jc w:val="center"/>
              <w:rPr>
                <w:rFonts w:ascii="宋体" w:hAnsi="宋体" w:cs="宋体"/>
                <w:color w:val="000000"/>
                <w:kern w:val="0"/>
                <w:sz w:val="24"/>
              </w:rPr>
            </w:pPr>
            <w:r>
              <w:rPr>
                <w:rFonts w:hint="eastAsia" w:ascii="宋体" w:hAnsi="宋体" w:cs="宋体"/>
                <w:color w:val="000000"/>
                <w:kern w:val="0"/>
                <w:sz w:val="24"/>
              </w:rPr>
              <w:t>1</w:t>
            </w:r>
          </w:p>
        </w:tc>
        <w:tc>
          <w:tcPr>
            <w:tcW w:w="700" w:type="dxa"/>
            <w:tcBorders>
              <w:top w:val="nil"/>
              <w:left w:val="nil"/>
              <w:bottom w:val="single" w:color="auto" w:sz="8" w:space="0"/>
              <w:right w:val="single" w:color="auto" w:sz="8" w:space="0"/>
            </w:tcBorders>
            <w:shd w:val="clear" w:color="auto" w:fill="auto"/>
            <w:noWrap/>
            <w:vAlign w:val="center"/>
          </w:tcPr>
          <w:p w14:paraId="65B9C16B">
            <w:pPr>
              <w:widowControl/>
              <w:jc w:val="center"/>
              <w:rPr>
                <w:rFonts w:ascii="宋体" w:hAnsi="宋体" w:cs="宋体"/>
                <w:color w:val="000000"/>
                <w:kern w:val="0"/>
                <w:sz w:val="24"/>
              </w:rPr>
            </w:pPr>
            <w:r>
              <w:rPr>
                <w:rFonts w:hint="eastAsia" w:ascii="宋体" w:hAnsi="宋体" w:cs="宋体"/>
                <w:color w:val="000000"/>
                <w:kern w:val="0"/>
                <w:sz w:val="24"/>
              </w:rPr>
              <w:t>0</w:t>
            </w:r>
          </w:p>
        </w:tc>
      </w:tr>
      <w:tr w14:paraId="5224077F">
        <w:tblPrEx>
          <w:tblCellMar>
            <w:top w:w="0" w:type="dxa"/>
            <w:left w:w="108" w:type="dxa"/>
            <w:bottom w:w="0" w:type="dxa"/>
            <w:right w:w="108" w:type="dxa"/>
          </w:tblCellMar>
        </w:tblPrEx>
        <w:trPr>
          <w:trHeight w:val="624" w:hRule="atLeast"/>
        </w:trPr>
        <w:tc>
          <w:tcPr>
            <w:tcW w:w="579" w:type="dxa"/>
            <w:tcBorders>
              <w:top w:val="nil"/>
              <w:left w:val="single" w:color="auto" w:sz="8" w:space="0"/>
              <w:bottom w:val="single" w:color="auto" w:sz="8" w:space="0"/>
              <w:right w:val="single" w:color="auto" w:sz="8" w:space="0"/>
            </w:tcBorders>
            <w:shd w:val="clear" w:color="auto" w:fill="auto"/>
            <w:vAlign w:val="center"/>
          </w:tcPr>
          <w:p w14:paraId="42229CC9">
            <w:pPr>
              <w:widowControl/>
              <w:jc w:val="center"/>
              <w:rPr>
                <w:rFonts w:ascii="宋体" w:hAnsi="宋体" w:cs="宋体"/>
                <w:color w:val="000000"/>
                <w:kern w:val="0"/>
                <w:sz w:val="24"/>
              </w:rPr>
            </w:pPr>
            <w:r>
              <w:rPr>
                <w:rFonts w:hint="eastAsia" w:ascii="宋体" w:hAnsi="宋体" w:cs="宋体"/>
                <w:color w:val="000000"/>
                <w:kern w:val="0"/>
                <w:sz w:val="24"/>
              </w:rPr>
              <w:t>42</w:t>
            </w:r>
          </w:p>
        </w:tc>
        <w:tc>
          <w:tcPr>
            <w:tcW w:w="2343" w:type="dxa"/>
            <w:tcBorders>
              <w:top w:val="nil"/>
              <w:left w:val="nil"/>
              <w:bottom w:val="single" w:color="auto" w:sz="8" w:space="0"/>
              <w:right w:val="single" w:color="auto" w:sz="8" w:space="0"/>
            </w:tcBorders>
            <w:shd w:val="clear" w:color="auto" w:fill="auto"/>
            <w:vAlign w:val="center"/>
          </w:tcPr>
          <w:p w14:paraId="44E5A768">
            <w:pPr>
              <w:widowControl/>
              <w:jc w:val="center"/>
              <w:rPr>
                <w:rFonts w:ascii="宋体" w:hAnsi="宋体" w:cs="宋体"/>
                <w:color w:val="000000"/>
                <w:kern w:val="0"/>
                <w:sz w:val="24"/>
              </w:rPr>
            </w:pPr>
            <w:r>
              <w:rPr>
                <w:rFonts w:hint="eastAsia" w:ascii="宋体" w:hAnsi="宋体" w:cs="宋体"/>
                <w:color w:val="000000"/>
                <w:kern w:val="0"/>
                <w:sz w:val="24"/>
              </w:rPr>
              <w:t>京开辅路方涵</w:t>
            </w:r>
          </w:p>
        </w:tc>
        <w:tc>
          <w:tcPr>
            <w:tcW w:w="2892" w:type="dxa"/>
            <w:tcBorders>
              <w:top w:val="nil"/>
              <w:left w:val="nil"/>
              <w:bottom w:val="single" w:color="auto" w:sz="8" w:space="0"/>
              <w:right w:val="single" w:color="auto" w:sz="8" w:space="0"/>
            </w:tcBorders>
            <w:shd w:val="clear" w:color="auto" w:fill="auto"/>
            <w:vAlign w:val="center"/>
          </w:tcPr>
          <w:p w14:paraId="39541933">
            <w:pPr>
              <w:widowControl/>
              <w:jc w:val="center"/>
              <w:rPr>
                <w:rFonts w:ascii="宋体" w:hAnsi="宋体" w:cs="宋体"/>
                <w:color w:val="000000"/>
                <w:kern w:val="0"/>
                <w:sz w:val="24"/>
              </w:rPr>
            </w:pPr>
            <w:r>
              <w:rPr>
                <w:rFonts w:hint="eastAsia" w:ascii="宋体" w:hAnsi="宋体" w:cs="宋体"/>
                <w:color w:val="000000"/>
                <w:kern w:val="0"/>
                <w:sz w:val="24"/>
              </w:rPr>
              <w:t>西红门桥京开西辅路北兴路北侧</w:t>
            </w:r>
          </w:p>
        </w:tc>
        <w:tc>
          <w:tcPr>
            <w:tcW w:w="822" w:type="dxa"/>
            <w:tcBorders>
              <w:top w:val="nil"/>
              <w:left w:val="nil"/>
              <w:bottom w:val="single" w:color="auto" w:sz="8" w:space="0"/>
              <w:right w:val="single" w:color="auto" w:sz="8" w:space="0"/>
            </w:tcBorders>
            <w:shd w:val="clear" w:color="auto" w:fill="auto"/>
            <w:noWrap/>
            <w:vAlign w:val="center"/>
          </w:tcPr>
          <w:p w14:paraId="6A5779E3">
            <w:pPr>
              <w:widowControl/>
              <w:jc w:val="center"/>
              <w:rPr>
                <w:rFonts w:ascii="宋体" w:hAnsi="宋体" w:cs="宋体"/>
                <w:color w:val="000000"/>
                <w:kern w:val="0"/>
                <w:sz w:val="24"/>
              </w:rPr>
            </w:pPr>
            <w:r>
              <w:rPr>
                <w:rFonts w:hint="eastAsia" w:ascii="宋体" w:hAnsi="宋体" w:cs="宋体"/>
                <w:color w:val="000000"/>
                <w:kern w:val="0"/>
                <w:sz w:val="24"/>
              </w:rPr>
              <w:t>0</w:t>
            </w:r>
          </w:p>
        </w:tc>
        <w:tc>
          <w:tcPr>
            <w:tcW w:w="944" w:type="dxa"/>
            <w:tcBorders>
              <w:top w:val="nil"/>
              <w:left w:val="nil"/>
              <w:bottom w:val="single" w:color="auto" w:sz="8" w:space="0"/>
              <w:right w:val="single" w:color="auto" w:sz="8" w:space="0"/>
            </w:tcBorders>
            <w:shd w:val="clear" w:color="auto" w:fill="auto"/>
            <w:noWrap/>
            <w:vAlign w:val="center"/>
          </w:tcPr>
          <w:p w14:paraId="38EBFACB">
            <w:pPr>
              <w:widowControl/>
              <w:jc w:val="center"/>
              <w:rPr>
                <w:rFonts w:ascii="宋体" w:hAnsi="宋体" w:cs="宋体"/>
                <w:color w:val="000000"/>
                <w:kern w:val="0"/>
                <w:sz w:val="24"/>
              </w:rPr>
            </w:pPr>
            <w:r>
              <w:rPr>
                <w:rFonts w:hint="eastAsia" w:ascii="宋体" w:hAnsi="宋体" w:cs="宋体"/>
                <w:color w:val="000000"/>
                <w:kern w:val="0"/>
                <w:sz w:val="24"/>
              </w:rPr>
              <w:t>1</w:t>
            </w:r>
          </w:p>
        </w:tc>
        <w:tc>
          <w:tcPr>
            <w:tcW w:w="700" w:type="dxa"/>
            <w:tcBorders>
              <w:top w:val="nil"/>
              <w:left w:val="nil"/>
              <w:bottom w:val="single" w:color="auto" w:sz="8" w:space="0"/>
              <w:right w:val="single" w:color="auto" w:sz="8" w:space="0"/>
            </w:tcBorders>
            <w:shd w:val="clear" w:color="auto" w:fill="auto"/>
            <w:noWrap/>
            <w:vAlign w:val="center"/>
          </w:tcPr>
          <w:p w14:paraId="500104DA">
            <w:pPr>
              <w:widowControl/>
              <w:jc w:val="center"/>
              <w:rPr>
                <w:rFonts w:ascii="宋体" w:hAnsi="宋体" w:cs="宋体"/>
                <w:color w:val="000000"/>
                <w:kern w:val="0"/>
                <w:sz w:val="24"/>
              </w:rPr>
            </w:pPr>
            <w:r>
              <w:rPr>
                <w:rFonts w:hint="eastAsia" w:ascii="宋体" w:hAnsi="宋体" w:cs="宋体"/>
                <w:color w:val="000000"/>
                <w:kern w:val="0"/>
                <w:sz w:val="24"/>
              </w:rPr>
              <w:t>0</w:t>
            </w:r>
          </w:p>
        </w:tc>
      </w:tr>
      <w:tr w14:paraId="252409A7">
        <w:tblPrEx>
          <w:tblCellMar>
            <w:top w:w="0" w:type="dxa"/>
            <w:left w:w="108" w:type="dxa"/>
            <w:bottom w:w="0" w:type="dxa"/>
            <w:right w:w="108" w:type="dxa"/>
          </w:tblCellMar>
        </w:tblPrEx>
        <w:trPr>
          <w:trHeight w:val="624" w:hRule="atLeast"/>
        </w:trPr>
        <w:tc>
          <w:tcPr>
            <w:tcW w:w="579" w:type="dxa"/>
            <w:tcBorders>
              <w:top w:val="nil"/>
              <w:left w:val="single" w:color="auto" w:sz="8" w:space="0"/>
              <w:bottom w:val="single" w:color="auto" w:sz="8" w:space="0"/>
              <w:right w:val="single" w:color="auto" w:sz="8" w:space="0"/>
            </w:tcBorders>
            <w:shd w:val="clear" w:color="auto" w:fill="auto"/>
            <w:vAlign w:val="center"/>
          </w:tcPr>
          <w:p w14:paraId="4B4066FB">
            <w:pPr>
              <w:widowControl/>
              <w:jc w:val="center"/>
              <w:rPr>
                <w:rFonts w:ascii="宋体" w:hAnsi="宋体" w:cs="宋体"/>
                <w:color w:val="000000"/>
                <w:kern w:val="0"/>
                <w:sz w:val="24"/>
              </w:rPr>
            </w:pPr>
            <w:r>
              <w:rPr>
                <w:rFonts w:hint="eastAsia" w:ascii="宋体" w:hAnsi="宋体" w:cs="宋体"/>
                <w:color w:val="000000"/>
                <w:kern w:val="0"/>
                <w:sz w:val="24"/>
              </w:rPr>
              <w:t>43</w:t>
            </w:r>
          </w:p>
        </w:tc>
        <w:tc>
          <w:tcPr>
            <w:tcW w:w="2343" w:type="dxa"/>
            <w:tcBorders>
              <w:top w:val="nil"/>
              <w:left w:val="nil"/>
              <w:bottom w:val="single" w:color="auto" w:sz="8" w:space="0"/>
              <w:right w:val="single" w:color="auto" w:sz="8" w:space="0"/>
            </w:tcBorders>
            <w:shd w:val="clear" w:color="auto" w:fill="auto"/>
            <w:vAlign w:val="center"/>
          </w:tcPr>
          <w:p w14:paraId="00BB8ED8">
            <w:pPr>
              <w:widowControl/>
              <w:jc w:val="center"/>
              <w:rPr>
                <w:rFonts w:ascii="宋体" w:hAnsi="宋体" w:cs="宋体"/>
                <w:color w:val="000000"/>
                <w:kern w:val="0"/>
                <w:sz w:val="24"/>
              </w:rPr>
            </w:pPr>
            <w:r>
              <w:rPr>
                <w:rFonts w:hint="eastAsia" w:ascii="宋体" w:hAnsi="宋体" w:cs="宋体"/>
                <w:color w:val="000000"/>
                <w:kern w:val="0"/>
                <w:sz w:val="24"/>
              </w:rPr>
              <w:t>新凤河出水口（全聚德）</w:t>
            </w:r>
          </w:p>
        </w:tc>
        <w:tc>
          <w:tcPr>
            <w:tcW w:w="2892" w:type="dxa"/>
            <w:tcBorders>
              <w:top w:val="nil"/>
              <w:left w:val="nil"/>
              <w:bottom w:val="single" w:color="auto" w:sz="8" w:space="0"/>
              <w:right w:val="single" w:color="auto" w:sz="8" w:space="0"/>
            </w:tcBorders>
            <w:shd w:val="clear" w:color="auto" w:fill="auto"/>
            <w:vAlign w:val="center"/>
          </w:tcPr>
          <w:p w14:paraId="366397E9">
            <w:pPr>
              <w:widowControl/>
              <w:jc w:val="center"/>
              <w:rPr>
                <w:rFonts w:ascii="宋体" w:hAnsi="宋体" w:cs="宋体"/>
                <w:color w:val="000000"/>
                <w:kern w:val="0"/>
                <w:sz w:val="24"/>
              </w:rPr>
            </w:pPr>
            <w:r>
              <w:rPr>
                <w:rFonts w:hint="eastAsia" w:ascii="宋体" w:hAnsi="宋体" w:cs="宋体"/>
                <w:color w:val="000000"/>
                <w:kern w:val="0"/>
                <w:sz w:val="24"/>
              </w:rPr>
              <w:t>双高路南，兴业大街东西侧河南北岸</w:t>
            </w:r>
          </w:p>
        </w:tc>
        <w:tc>
          <w:tcPr>
            <w:tcW w:w="822" w:type="dxa"/>
            <w:tcBorders>
              <w:top w:val="nil"/>
              <w:left w:val="nil"/>
              <w:bottom w:val="single" w:color="auto" w:sz="8" w:space="0"/>
              <w:right w:val="single" w:color="auto" w:sz="8" w:space="0"/>
            </w:tcBorders>
            <w:shd w:val="clear" w:color="auto" w:fill="auto"/>
            <w:noWrap/>
            <w:vAlign w:val="center"/>
          </w:tcPr>
          <w:p w14:paraId="25C79C44">
            <w:pPr>
              <w:widowControl/>
              <w:jc w:val="center"/>
              <w:rPr>
                <w:rFonts w:ascii="宋体" w:hAnsi="宋体" w:cs="宋体"/>
                <w:color w:val="000000"/>
                <w:kern w:val="0"/>
                <w:sz w:val="24"/>
              </w:rPr>
            </w:pPr>
            <w:r>
              <w:rPr>
                <w:rFonts w:hint="eastAsia" w:ascii="宋体" w:hAnsi="宋体" w:cs="宋体"/>
                <w:color w:val="000000"/>
                <w:kern w:val="0"/>
                <w:sz w:val="24"/>
              </w:rPr>
              <w:t>0</w:t>
            </w:r>
          </w:p>
        </w:tc>
        <w:tc>
          <w:tcPr>
            <w:tcW w:w="944" w:type="dxa"/>
            <w:tcBorders>
              <w:top w:val="nil"/>
              <w:left w:val="nil"/>
              <w:bottom w:val="single" w:color="auto" w:sz="8" w:space="0"/>
              <w:right w:val="single" w:color="auto" w:sz="8" w:space="0"/>
            </w:tcBorders>
            <w:shd w:val="clear" w:color="auto" w:fill="auto"/>
            <w:noWrap/>
            <w:vAlign w:val="center"/>
          </w:tcPr>
          <w:p w14:paraId="75C29ABE">
            <w:pPr>
              <w:widowControl/>
              <w:jc w:val="center"/>
              <w:rPr>
                <w:rFonts w:ascii="宋体" w:hAnsi="宋体" w:cs="宋体"/>
                <w:color w:val="000000"/>
                <w:kern w:val="0"/>
                <w:sz w:val="24"/>
              </w:rPr>
            </w:pPr>
            <w:r>
              <w:rPr>
                <w:rFonts w:hint="eastAsia" w:ascii="宋体" w:hAnsi="宋体" w:cs="宋体"/>
                <w:color w:val="000000"/>
                <w:kern w:val="0"/>
                <w:sz w:val="24"/>
              </w:rPr>
              <w:t>1</w:t>
            </w:r>
          </w:p>
        </w:tc>
        <w:tc>
          <w:tcPr>
            <w:tcW w:w="700" w:type="dxa"/>
            <w:tcBorders>
              <w:top w:val="nil"/>
              <w:left w:val="nil"/>
              <w:bottom w:val="single" w:color="auto" w:sz="8" w:space="0"/>
              <w:right w:val="single" w:color="auto" w:sz="8" w:space="0"/>
            </w:tcBorders>
            <w:shd w:val="clear" w:color="auto" w:fill="auto"/>
            <w:noWrap/>
            <w:vAlign w:val="center"/>
          </w:tcPr>
          <w:p w14:paraId="45B75426">
            <w:pPr>
              <w:widowControl/>
              <w:jc w:val="center"/>
              <w:rPr>
                <w:rFonts w:ascii="宋体" w:hAnsi="宋体" w:cs="宋体"/>
                <w:color w:val="000000"/>
                <w:kern w:val="0"/>
                <w:sz w:val="24"/>
              </w:rPr>
            </w:pPr>
            <w:r>
              <w:rPr>
                <w:rFonts w:hint="eastAsia" w:ascii="宋体" w:hAnsi="宋体" w:cs="宋体"/>
                <w:color w:val="000000"/>
                <w:kern w:val="0"/>
                <w:sz w:val="24"/>
              </w:rPr>
              <w:t>0</w:t>
            </w:r>
          </w:p>
        </w:tc>
      </w:tr>
      <w:tr w14:paraId="57F42E76">
        <w:tblPrEx>
          <w:tblCellMar>
            <w:top w:w="0" w:type="dxa"/>
            <w:left w:w="108" w:type="dxa"/>
            <w:bottom w:w="0" w:type="dxa"/>
            <w:right w:w="108" w:type="dxa"/>
          </w:tblCellMar>
        </w:tblPrEx>
        <w:trPr>
          <w:trHeight w:val="624" w:hRule="atLeast"/>
        </w:trPr>
        <w:tc>
          <w:tcPr>
            <w:tcW w:w="579" w:type="dxa"/>
            <w:tcBorders>
              <w:top w:val="nil"/>
              <w:left w:val="single" w:color="auto" w:sz="8" w:space="0"/>
              <w:bottom w:val="single" w:color="auto" w:sz="8" w:space="0"/>
              <w:right w:val="single" w:color="auto" w:sz="8" w:space="0"/>
            </w:tcBorders>
            <w:shd w:val="clear" w:color="auto" w:fill="auto"/>
            <w:vAlign w:val="center"/>
          </w:tcPr>
          <w:p w14:paraId="729308F5">
            <w:pPr>
              <w:widowControl/>
              <w:jc w:val="center"/>
              <w:rPr>
                <w:rFonts w:ascii="宋体" w:hAnsi="宋体" w:cs="宋体"/>
                <w:color w:val="000000"/>
                <w:kern w:val="0"/>
                <w:sz w:val="24"/>
              </w:rPr>
            </w:pPr>
            <w:r>
              <w:rPr>
                <w:rFonts w:hint="eastAsia" w:ascii="宋体" w:hAnsi="宋体" w:cs="宋体"/>
                <w:color w:val="000000"/>
                <w:kern w:val="0"/>
                <w:sz w:val="24"/>
              </w:rPr>
              <w:t>44</w:t>
            </w:r>
          </w:p>
        </w:tc>
        <w:tc>
          <w:tcPr>
            <w:tcW w:w="2343" w:type="dxa"/>
            <w:tcBorders>
              <w:top w:val="nil"/>
              <w:left w:val="nil"/>
              <w:bottom w:val="single" w:color="auto" w:sz="8" w:space="0"/>
              <w:right w:val="single" w:color="auto" w:sz="8" w:space="0"/>
            </w:tcBorders>
            <w:shd w:val="clear" w:color="auto" w:fill="auto"/>
            <w:vAlign w:val="center"/>
          </w:tcPr>
          <w:p w14:paraId="0DCB8F2D">
            <w:pPr>
              <w:widowControl/>
              <w:jc w:val="center"/>
              <w:rPr>
                <w:rFonts w:ascii="宋体" w:hAnsi="宋体" w:cs="宋体"/>
                <w:color w:val="000000"/>
                <w:kern w:val="0"/>
                <w:sz w:val="24"/>
              </w:rPr>
            </w:pPr>
            <w:r>
              <w:rPr>
                <w:rFonts w:hint="eastAsia" w:ascii="宋体" w:hAnsi="宋体" w:cs="宋体"/>
                <w:color w:val="000000"/>
                <w:kern w:val="0"/>
                <w:sz w:val="24"/>
              </w:rPr>
              <w:t>新凤河出水口（体育场）</w:t>
            </w:r>
          </w:p>
        </w:tc>
        <w:tc>
          <w:tcPr>
            <w:tcW w:w="2892" w:type="dxa"/>
            <w:tcBorders>
              <w:top w:val="nil"/>
              <w:left w:val="nil"/>
              <w:bottom w:val="single" w:color="auto" w:sz="8" w:space="0"/>
              <w:right w:val="single" w:color="auto" w:sz="8" w:space="0"/>
            </w:tcBorders>
            <w:shd w:val="clear" w:color="auto" w:fill="auto"/>
            <w:vAlign w:val="center"/>
          </w:tcPr>
          <w:p w14:paraId="554061AD">
            <w:pPr>
              <w:widowControl/>
              <w:jc w:val="center"/>
              <w:rPr>
                <w:rFonts w:ascii="宋体" w:hAnsi="宋体" w:cs="宋体"/>
                <w:color w:val="000000"/>
                <w:kern w:val="0"/>
                <w:sz w:val="24"/>
              </w:rPr>
            </w:pPr>
            <w:r>
              <w:rPr>
                <w:rFonts w:hint="eastAsia" w:ascii="宋体" w:hAnsi="宋体" w:cs="宋体"/>
                <w:color w:val="000000"/>
                <w:kern w:val="0"/>
                <w:sz w:val="24"/>
              </w:rPr>
              <w:t>双高南路，兴华大街西侧河北岸</w:t>
            </w:r>
          </w:p>
        </w:tc>
        <w:tc>
          <w:tcPr>
            <w:tcW w:w="822" w:type="dxa"/>
            <w:tcBorders>
              <w:top w:val="nil"/>
              <w:left w:val="nil"/>
              <w:bottom w:val="single" w:color="auto" w:sz="8" w:space="0"/>
              <w:right w:val="single" w:color="auto" w:sz="8" w:space="0"/>
            </w:tcBorders>
            <w:shd w:val="clear" w:color="auto" w:fill="auto"/>
            <w:noWrap/>
            <w:vAlign w:val="center"/>
          </w:tcPr>
          <w:p w14:paraId="21F009C2">
            <w:pPr>
              <w:widowControl/>
              <w:jc w:val="center"/>
              <w:rPr>
                <w:rFonts w:ascii="宋体" w:hAnsi="宋体" w:cs="宋体"/>
                <w:color w:val="000000"/>
                <w:kern w:val="0"/>
                <w:sz w:val="24"/>
              </w:rPr>
            </w:pPr>
            <w:r>
              <w:rPr>
                <w:rFonts w:hint="eastAsia" w:ascii="宋体" w:hAnsi="宋体" w:cs="宋体"/>
                <w:color w:val="000000"/>
                <w:kern w:val="0"/>
                <w:sz w:val="24"/>
              </w:rPr>
              <w:t>0</w:t>
            </w:r>
          </w:p>
        </w:tc>
        <w:tc>
          <w:tcPr>
            <w:tcW w:w="944" w:type="dxa"/>
            <w:tcBorders>
              <w:top w:val="nil"/>
              <w:left w:val="nil"/>
              <w:bottom w:val="single" w:color="auto" w:sz="8" w:space="0"/>
              <w:right w:val="single" w:color="auto" w:sz="8" w:space="0"/>
            </w:tcBorders>
            <w:shd w:val="clear" w:color="auto" w:fill="auto"/>
            <w:noWrap/>
            <w:vAlign w:val="center"/>
          </w:tcPr>
          <w:p w14:paraId="10B31E23">
            <w:pPr>
              <w:widowControl/>
              <w:jc w:val="center"/>
              <w:rPr>
                <w:rFonts w:ascii="宋体" w:hAnsi="宋体" w:cs="宋体"/>
                <w:color w:val="000000"/>
                <w:kern w:val="0"/>
                <w:sz w:val="24"/>
              </w:rPr>
            </w:pPr>
            <w:r>
              <w:rPr>
                <w:rFonts w:hint="eastAsia" w:ascii="宋体" w:hAnsi="宋体" w:cs="宋体"/>
                <w:color w:val="000000"/>
                <w:kern w:val="0"/>
                <w:sz w:val="24"/>
              </w:rPr>
              <w:t>1</w:t>
            </w:r>
          </w:p>
        </w:tc>
        <w:tc>
          <w:tcPr>
            <w:tcW w:w="700" w:type="dxa"/>
            <w:tcBorders>
              <w:top w:val="nil"/>
              <w:left w:val="nil"/>
              <w:bottom w:val="single" w:color="auto" w:sz="8" w:space="0"/>
              <w:right w:val="single" w:color="auto" w:sz="8" w:space="0"/>
            </w:tcBorders>
            <w:shd w:val="clear" w:color="auto" w:fill="auto"/>
            <w:noWrap/>
            <w:vAlign w:val="center"/>
          </w:tcPr>
          <w:p w14:paraId="4297E335">
            <w:pPr>
              <w:widowControl/>
              <w:jc w:val="center"/>
              <w:rPr>
                <w:rFonts w:ascii="宋体" w:hAnsi="宋体" w:cs="宋体"/>
                <w:color w:val="000000"/>
                <w:kern w:val="0"/>
                <w:sz w:val="24"/>
              </w:rPr>
            </w:pPr>
            <w:r>
              <w:rPr>
                <w:rFonts w:hint="eastAsia" w:ascii="宋体" w:hAnsi="宋体" w:cs="宋体"/>
                <w:color w:val="000000"/>
                <w:kern w:val="0"/>
                <w:sz w:val="24"/>
              </w:rPr>
              <w:t>0</w:t>
            </w:r>
          </w:p>
        </w:tc>
      </w:tr>
      <w:tr w14:paraId="03540787">
        <w:tblPrEx>
          <w:tblCellMar>
            <w:top w:w="0" w:type="dxa"/>
            <w:left w:w="108" w:type="dxa"/>
            <w:bottom w:w="0" w:type="dxa"/>
            <w:right w:w="108" w:type="dxa"/>
          </w:tblCellMar>
        </w:tblPrEx>
        <w:trPr>
          <w:trHeight w:val="624" w:hRule="atLeast"/>
        </w:trPr>
        <w:tc>
          <w:tcPr>
            <w:tcW w:w="579" w:type="dxa"/>
            <w:tcBorders>
              <w:top w:val="nil"/>
              <w:left w:val="single" w:color="auto" w:sz="8" w:space="0"/>
              <w:bottom w:val="single" w:color="auto" w:sz="8" w:space="0"/>
              <w:right w:val="single" w:color="auto" w:sz="8" w:space="0"/>
            </w:tcBorders>
            <w:shd w:val="clear" w:color="auto" w:fill="auto"/>
            <w:vAlign w:val="center"/>
          </w:tcPr>
          <w:p w14:paraId="4DA74646">
            <w:pPr>
              <w:widowControl/>
              <w:jc w:val="center"/>
              <w:rPr>
                <w:rFonts w:ascii="宋体" w:hAnsi="宋体" w:cs="宋体"/>
                <w:color w:val="000000"/>
                <w:kern w:val="0"/>
                <w:sz w:val="24"/>
              </w:rPr>
            </w:pPr>
            <w:r>
              <w:rPr>
                <w:rFonts w:hint="eastAsia" w:ascii="宋体" w:hAnsi="宋体" w:cs="宋体"/>
                <w:color w:val="000000"/>
                <w:kern w:val="0"/>
                <w:sz w:val="24"/>
              </w:rPr>
              <w:t>45</w:t>
            </w:r>
          </w:p>
        </w:tc>
        <w:tc>
          <w:tcPr>
            <w:tcW w:w="2343" w:type="dxa"/>
            <w:tcBorders>
              <w:top w:val="nil"/>
              <w:left w:val="nil"/>
              <w:bottom w:val="single" w:color="auto" w:sz="8" w:space="0"/>
              <w:right w:val="single" w:color="auto" w:sz="8" w:space="0"/>
            </w:tcBorders>
            <w:shd w:val="clear" w:color="auto" w:fill="auto"/>
            <w:vAlign w:val="center"/>
          </w:tcPr>
          <w:p w14:paraId="253FCA5E">
            <w:pPr>
              <w:widowControl/>
              <w:jc w:val="center"/>
              <w:rPr>
                <w:rFonts w:ascii="宋体" w:hAnsi="宋体" w:cs="宋体"/>
                <w:color w:val="000000"/>
                <w:kern w:val="0"/>
                <w:sz w:val="24"/>
              </w:rPr>
            </w:pPr>
            <w:r>
              <w:rPr>
                <w:rFonts w:hint="eastAsia" w:ascii="宋体" w:hAnsi="宋体" w:cs="宋体"/>
                <w:color w:val="000000"/>
                <w:kern w:val="0"/>
                <w:sz w:val="24"/>
              </w:rPr>
              <w:t>新凤河出水口（高米店南站）</w:t>
            </w:r>
          </w:p>
        </w:tc>
        <w:tc>
          <w:tcPr>
            <w:tcW w:w="2892" w:type="dxa"/>
            <w:tcBorders>
              <w:top w:val="nil"/>
              <w:left w:val="nil"/>
              <w:bottom w:val="single" w:color="auto" w:sz="8" w:space="0"/>
              <w:right w:val="single" w:color="auto" w:sz="8" w:space="0"/>
            </w:tcBorders>
            <w:shd w:val="clear" w:color="auto" w:fill="auto"/>
            <w:vAlign w:val="center"/>
          </w:tcPr>
          <w:p w14:paraId="1B4330F2">
            <w:pPr>
              <w:widowControl/>
              <w:jc w:val="center"/>
              <w:rPr>
                <w:rFonts w:ascii="宋体" w:hAnsi="宋体" w:cs="宋体"/>
                <w:color w:val="000000"/>
                <w:kern w:val="0"/>
                <w:sz w:val="24"/>
              </w:rPr>
            </w:pPr>
            <w:r>
              <w:rPr>
                <w:rFonts w:hint="eastAsia" w:ascii="宋体" w:hAnsi="宋体" w:cs="宋体"/>
                <w:color w:val="000000"/>
                <w:kern w:val="0"/>
                <w:sz w:val="24"/>
              </w:rPr>
              <w:t>金星南路，地铁4号线高米店南站东侧河西岸</w:t>
            </w:r>
          </w:p>
        </w:tc>
        <w:tc>
          <w:tcPr>
            <w:tcW w:w="822" w:type="dxa"/>
            <w:tcBorders>
              <w:top w:val="nil"/>
              <w:left w:val="nil"/>
              <w:bottom w:val="single" w:color="auto" w:sz="8" w:space="0"/>
              <w:right w:val="single" w:color="auto" w:sz="8" w:space="0"/>
            </w:tcBorders>
            <w:shd w:val="clear" w:color="auto" w:fill="auto"/>
            <w:noWrap/>
            <w:vAlign w:val="center"/>
          </w:tcPr>
          <w:p w14:paraId="7BB9819D">
            <w:pPr>
              <w:widowControl/>
              <w:jc w:val="center"/>
              <w:rPr>
                <w:rFonts w:ascii="宋体" w:hAnsi="宋体" w:cs="宋体"/>
                <w:color w:val="000000"/>
                <w:kern w:val="0"/>
                <w:sz w:val="24"/>
              </w:rPr>
            </w:pPr>
            <w:r>
              <w:rPr>
                <w:rFonts w:hint="eastAsia" w:ascii="宋体" w:hAnsi="宋体" w:cs="宋体"/>
                <w:color w:val="000000"/>
                <w:kern w:val="0"/>
                <w:sz w:val="24"/>
              </w:rPr>
              <w:t>0</w:t>
            </w:r>
          </w:p>
        </w:tc>
        <w:tc>
          <w:tcPr>
            <w:tcW w:w="944" w:type="dxa"/>
            <w:tcBorders>
              <w:top w:val="nil"/>
              <w:left w:val="nil"/>
              <w:bottom w:val="single" w:color="auto" w:sz="8" w:space="0"/>
              <w:right w:val="single" w:color="auto" w:sz="8" w:space="0"/>
            </w:tcBorders>
            <w:shd w:val="clear" w:color="auto" w:fill="auto"/>
            <w:noWrap/>
            <w:vAlign w:val="center"/>
          </w:tcPr>
          <w:p w14:paraId="16AE4BBD">
            <w:pPr>
              <w:widowControl/>
              <w:jc w:val="center"/>
              <w:rPr>
                <w:rFonts w:ascii="宋体" w:hAnsi="宋体" w:cs="宋体"/>
                <w:color w:val="000000"/>
                <w:kern w:val="0"/>
                <w:sz w:val="24"/>
              </w:rPr>
            </w:pPr>
            <w:r>
              <w:rPr>
                <w:rFonts w:hint="eastAsia" w:ascii="宋体" w:hAnsi="宋体" w:cs="宋体"/>
                <w:color w:val="000000"/>
                <w:kern w:val="0"/>
                <w:sz w:val="24"/>
              </w:rPr>
              <w:t>1</w:t>
            </w:r>
          </w:p>
        </w:tc>
        <w:tc>
          <w:tcPr>
            <w:tcW w:w="700" w:type="dxa"/>
            <w:tcBorders>
              <w:top w:val="nil"/>
              <w:left w:val="nil"/>
              <w:bottom w:val="single" w:color="auto" w:sz="8" w:space="0"/>
              <w:right w:val="single" w:color="auto" w:sz="8" w:space="0"/>
            </w:tcBorders>
            <w:shd w:val="clear" w:color="auto" w:fill="auto"/>
            <w:noWrap/>
            <w:vAlign w:val="center"/>
          </w:tcPr>
          <w:p w14:paraId="379C541F">
            <w:pPr>
              <w:widowControl/>
              <w:jc w:val="center"/>
              <w:rPr>
                <w:rFonts w:ascii="宋体" w:hAnsi="宋体" w:cs="宋体"/>
                <w:color w:val="000000"/>
                <w:kern w:val="0"/>
                <w:sz w:val="24"/>
              </w:rPr>
            </w:pPr>
            <w:r>
              <w:rPr>
                <w:rFonts w:hint="eastAsia" w:ascii="宋体" w:hAnsi="宋体" w:cs="宋体"/>
                <w:color w:val="000000"/>
                <w:kern w:val="0"/>
                <w:sz w:val="24"/>
              </w:rPr>
              <w:t>0</w:t>
            </w:r>
          </w:p>
        </w:tc>
      </w:tr>
      <w:tr w14:paraId="0348954A">
        <w:tblPrEx>
          <w:tblCellMar>
            <w:top w:w="0" w:type="dxa"/>
            <w:left w:w="108" w:type="dxa"/>
            <w:bottom w:w="0" w:type="dxa"/>
            <w:right w:w="108" w:type="dxa"/>
          </w:tblCellMar>
        </w:tblPrEx>
        <w:trPr>
          <w:trHeight w:val="624" w:hRule="atLeast"/>
        </w:trPr>
        <w:tc>
          <w:tcPr>
            <w:tcW w:w="579" w:type="dxa"/>
            <w:tcBorders>
              <w:top w:val="nil"/>
              <w:left w:val="single" w:color="auto" w:sz="8" w:space="0"/>
              <w:bottom w:val="single" w:color="auto" w:sz="8" w:space="0"/>
              <w:right w:val="single" w:color="auto" w:sz="8" w:space="0"/>
            </w:tcBorders>
            <w:shd w:val="clear" w:color="auto" w:fill="auto"/>
            <w:vAlign w:val="center"/>
          </w:tcPr>
          <w:p w14:paraId="49B1667D">
            <w:pPr>
              <w:widowControl/>
              <w:jc w:val="center"/>
              <w:rPr>
                <w:rFonts w:ascii="宋体" w:hAnsi="宋体" w:cs="宋体"/>
                <w:color w:val="000000"/>
                <w:kern w:val="0"/>
                <w:sz w:val="24"/>
              </w:rPr>
            </w:pPr>
            <w:r>
              <w:rPr>
                <w:rFonts w:hint="eastAsia" w:ascii="宋体" w:hAnsi="宋体" w:cs="宋体"/>
                <w:color w:val="000000"/>
                <w:kern w:val="0"/>
                <w:sz w:val="24"/>
              </w:rPr>
              <w:t>46</w:t>
            </w:r>
          </w:p>
        </w:tc>
        <w:tc>
          <w:tcPr>
            <w:tcW w:w="2343" w:type="dxa"/>
            <w:tcBorders>
              <w:top w:val="nil"/>
              <w:left w:val="nil"/>
              <w:bottom w:val="single" w:color="auto" w:sz="8" w:space="0"/>
              <w:right w:val="single" w:color="auto" w:sz="8" w:space="0"/>
            </w:tcBorders>
            <w:shd w:val="clear" w:color="auto" w:fill="auto"/>
            <w:vAlign w:val="center"/>
          </w:tcPr>
          <w:p w14:paraId="35B595D7">
            <w:pPr>
              <w:widowControl/>
              <w:jc w:val="center"/>
              <w:rPr>
                <w:rFonts w:ascii="宋体" w:hAnsi="宋体" w:cs="宋体"/>
                <w:color w:val="000000"/>
                <w:kern w:val="0"/>
                <w:sz w:val="24"/>
              </w:rPr>
            </w:pPr>
            <w:r>
              <w:rPr>
                <w:rFonts w:hint="eastAsia" w:ascii="宋体" w:hAnsi="宋体" w:cs="宋体"/>
                <w:color w:val="000000"/>
                <w:kern w:val="0"/>
                <w:sz w:val="24"/>
              </w:rPr>
              <w:t>新凤河出水口（铁五院）</w:t>
            </w:r>
          </w:p>
        </w:tc>
        <w:tc>
          <w:tcPr>
            <w:tcW w:w="2892" w:type="dxa"/>
            <w:tcBorders>
              <w:top w:val="nil"/>
              <w:left w:val="nil"/>
              <w:bottom w:val="single" w:color="auto" w:sz="8" w:space="0"/>
              <w:right w:val="single" w:color="auto" w:sz="8" w:space="0"/>
            </w:tcBorders>
            <w:shd w:val="clear" w:color="auto" w:fill="auto"/>
            <w:vAlign w:val="center"/>
          </w:tcPr>
          <w:p w14:paraId="12422E14">
            <w:pPr>
              <w:widowControl/>
              <w:jc w:val="center"/>
              <w:rPr>
                <w:rFonts w:ascii="宋体" w:hAnsi="宋体" w:cs="宋体"/>
                <w:color w:val="000000"/>
                <w:kern w:val="0"/>
                <w:sz w:val="24"/>
              </w:rPr>
            </w:pPr>
            <w:r>
              <w:rPr>
                <w:rFonts w:hint="eastAsia" w:ascii="宋体" w:hAnsi="宋体" w:cs="宋体"/>
                <w:color w:val="000000"/>
                <w:kern w:val="0"/>
                <w:sz w:val="24"/>
              </w:rPr>
              <w:t>兴丰大街东侧，铁五院北河两岸</w:t>
            </w:r>
          </w:p>
        </w:tc>
        <w:tc>
          <w:tcPr>
            <w:tcW w:w="822" w:type="dxa"/>
            <w:tcBorders>
              <w:top w:val="nil"/>
              <w:left w:val="nil"/>
              <w:bottom w:val="single" w:color="auto" w:sz="8" w:space="0"/>
              <w:right w:val="single" w:color="auto" w:sz="8" w:space="0"/>
            </w:tcBorders>
            <w:shd w:val="clear" w:color="auto" w:fill="auto"/>
            <w:noWrap/>
            <w:vAlign w:val="center"/>
          </w:tcPr>
          <w:p w14:paraId="0FEE67FF">
            <w:pPr>
              <w:widowControl/>
              <w:jc w:val="center"/>
              <w:rPr>
                <w:rFonts w:ascii="宋体" w:hAnsi="宋体" w:cs="宋体"/>
                <w:color w:val="000000"/>
                <w:kern w:val="0"/>
                <w:sz w:val="24"/>
              </w:rPr>
            </w:pPr>
            <w:r>
              <w:rPr>
                <w:rFonts w:hint="eastAsia" w:ascii="宋体" w:hAnsi="宋体" w:cs="宋体"/>
                <w:color w:val="000000"/>
                <w:kern w:val="0"/>
                <w:sz w:val="24"/>
              </w:rPr>
              <w:t>0</w:t>
            </w:r>
          </w:p>
        </w:tc>
        <w:tc>
          <w:tcPr>
            <w:tcW w:w="944" w:type="dxa"/>
            <w:tcBorders>
              <w:top w:val="nil"/>
              <w:left w:val="nil"/>
              <w:bottom w:val="single" w:color="auto" w:sz="8" w:space="0"/>
              <w:right w:val="single" w:color="auto" w:sz="8" w:space="0"/>
            </w:tcBorders>
            <w:shd w:val="clear" w:color="auto" w:fill="auto"/>
            <w:noWrap/>
            <w:vAlign w:val="center"/>
          </w:tcPr>
          <w:p w14:paraId="481853FD">
            <w:pPr>
              <w:widowControl/>
              <w:jc w:val="center"/>
              <w:rPr>
                <w:rFonts w:ascii="宋体" w:hAnsi="宋体" w:cs="宋体"/>
                <w:color w:val="000000"/>
                <w:kern w:val="0"/>
                <w:sz w:val="24"/>
              </w:rPr>
            </w:pPr>
            <w:r>
              <w:rPr>
                <w:rFonts w:hint="eastAsia" w:ascii="宋体" w:hAnsi="宋体" w:cs="宋体"/>
                <w:color w:val="000000"/>
                <w:kern w:val="0"/>
                <w:sz w:val="24"/>
              </w:rPr>
              <w:t>1</w:t>
            </w:r>
          </w:p>
        </w:tc>
        <w:tc>
          <w:tcPr>
            <w:tcW w:w="700" w:type="dxa"/>
            <w:tcBorders>
              <w:top w:val="nil"/>
              <w:left w:val="nil"/>
              <w:bottom w:val="single" w:color="auto" w:sz="8" w:space="0"/>
              <w:right w:val="single" w:color="auto" w:sz="8" w:space="0"/>
            </w:tcBorders>
            <w:shd w:val="clear" w:color="auto" w:fill="auto"/>
            <w:noWrap/>
            <w:vAlign w:val="center"/>
          </w:tcPr>
          <w:p w14:paraId="685AED25">
            <w:pPr>
              <w:widowControl/>
              <w:jc w:val="center"/>
              <w:rPr>
                <w:rFonts w:ascii="宋体" w:hAnsi="宋体" w:cs="宋体"/>
                <w:color w:val="000000"/>
                <w:kern w:val="0"/>
                <w:sz w:val="24"/>
              </w:rPr>
            </w:pPr>
            <w:r>
              <w:rPr>
                <w:rFonts w:hint="eastAsia" w:ascii="宋体" w:hAnsi="宋体" w:cs="宋体"/>
                <w:color w:val="000000"/>
                <w:kern w:val="0"/>
                <w:sz w:val="24"/>
              </w:rPr>
              <w:t>0</w:t>
            </w:r>
          </w:p>
        </w:tc>
      </w:tr>
      <w:tr w14:paraId="0ECFD0E1">
        <w:tblPrEx>
          <w:tblCellMar>
            <w:top w:w="0" w:type="dxa"/>
            <w:left w:w="108" w:type="dxa"/>
            <w:bottom w:w="0" w:type="dxa"/>
            <w:right w:w="108" w:type="dxa"/>
          </w:tblCellMar>
        </w:tblPrEx>
        <w:trPr>
          <w:trHeight w:val="624" w:hRule="atLeast"/>
        </w:trPr>
        <w:tc>
          <w:tcPr>
            <w:tcW w:w="579" w:type="dxa"/>
            <w:tcBorders>
              <w:top w:val="nil"/>
              <w:left w:val="single" w:color="auto" w:sz="8" w:space="0"/>
              <w:bottom w:val="single" w:color="auto" w:sz="8" w:space="0"/>
              <w:right w:val="single" w:color="auto" w:sz="8" w:space="0"/>
            </w:tcBorders>
            <w:shd w:val="clear" w:color="auto" w:fill="auto"/>
            <w:vAlign w:val="center"/>
          </w:tcPr>
          <w:p w14:paraId="1293DA21">
            <w:pPr>
              <w:widowControl/>
              <w:jc w:val="center"/>
              <w:rPr>
                <w:rFonts w:ascii="宋体" w:hAnsi="宋体" w:cs="宋体"/>
                <w:color w:val="000000"/>
                <w:kern w:val="0"/>
                <w:sz w:val="24"/>
              </w:rPr>
            </w:pPr>
            <w:r>
              <w:rPr>
                <w:rFonts w:hint="eastAsia" w:ascii="宋体" w:hAnsi="宋体" w:cs="宋体"/>
                <w:color w:val="000000"/>
                <w:kern w:val="0"/>
                <w:sz w:val="24"/>
              </w:rPr>
              <w:t>47</w:t>
            </w:r>
          </w:p>
        </w:tc>
        <w:tc>
          <w:tcPr>
            <w:tcW w:w="2343" w:type="dxa"/>
            <w:tcBorders>
              <w:top w:val="nil"/>
              <w:left w:val="nil"/>
              <w:bottom w:val="single" w:color="auto" w:sz="8" w:space="0"/>
              <w:right w:val="single" w:color="auto" w:sz="8" w:space="0"/>
            </w:tcBorders>
            <w:shd w:val="clear" w:color="auto" w:fill="auto"/>
            <w:vAlign w:val="center"/>
          </w:tcPr>
          <w:p w14:paraId="4D23D7D7">
            <w:pPr>
              <w:widowControl/>
              <w:jc w:val="center"/>
              <w:rPr>
                <w:rFonts w:ascii="宋体" w:hAnsi="宋体" w:cs="宋体"/>
                <w:color w:val="000000"/>
                <w:kern w:val="0"/>
                <w:sz w:val="24"/>
              </w:rPr>
            </w:pPr>
            <w:r>
              <w:rPr>
                <w:rFonts w:hint="eastAsia" w:ascii="宋体" w:hAnsi="宋体" w:cs="宋体"/>
                <w:color w:val="000000"/>
                <w:kern w:val="0"/>
                <w:sz w:val="24"/>
              </w:rPr>
              <w:t>小龙河出水口</w:t>
            </w:r>
          </w:p>
        </w:tc>
        <w:tc>
          <w:tcPr>
            <w:tcW w:w="2892" w:type="dxa"/>
            <w:tcBorders>
              <w:top w:val="nil"/>
              <w:left w:val="nil"/>
              <w:bottom w:val="single" w:color="auto" w:sz="8" w:space="0"/>
              <w:right w:val="single" w:color="auto" w:sz="8" w:space="0"/>
            </w:tcBorders>
            <w:shd w:val="clear" w:color="auto" w:fill="auto"/>
            <w:vAlign w:val="center"/>
          </w:tcPr>
          <w:p w14:paraId="731C3842">
            <w:pPr>
              <w:widowControl/>
              <w:jc w:val="center"/>
              <w:rPr>
                <w:rFonts w:ascii="宋体" w:hAnsi="宋体" w:cs="宋体"/>
                <w:color w:val="000000"/>
                <w:kern w:val="0"/>
                <w:sz w:val="24"/>
              </w:rPr>
            </w:pPr>
            <w:r>
              <w:rPr>
                <w:rFonts w:hint="eastAsia" w:ascii="宋体" w:hAnsi="宋体" w:cs="宋体"/>
                <w:color w:val="000000"/>
                <w:kern w:val="0"/>
                <w:sz w:val="24"/>
              </w:rPr>
              <w:t>清源西路南侧清源公园内</w:t>
            </w:r>
          </w:p>
        </w:tc>
        <w:tc>
          <w:tcPr>
            <w:tcW w:w="822" w:type="dxa"/>
            <w:tcBorders>
              <w:top w:val="nil"/>
              <w:left w:val="nil"/>
              <w:bottom w:val="single" w:color="auto" w:sz="8" w:space="0"/>
              <w:right w:val="single" w:color="auto" w:sz="8" w:space="0"/>
            </w:tcBorders>
            <w:shd w:val="clear" w:color="auto" w:fill="auto"/>
            <w:noWrap/>
            <w:vAlign w:val="center"/>
          </w:tcPr>
          <w:p w14:paraId="1CA71E0F">
            <w:pPr>
              <w:widowControl/>
              <w:jc w:val="center"/>
              <w:rPr>
                <w:rFonts w:ascii="宋体" w:hAnsi="宋体" w:cs="宋体"/>
                <w:color w:val="000000"/>
                <w:kern w:val="0"/>
                <w:sz w:val="24"/>
              </w:rPr>
            </w:pPr>
            <w:r>
              <w:rPr>
                <w:rFonts w:hint="eastAsia" w:ascii="宋体" w:hAnsi="宋体" w:cs="宋体"/>
                <w:color w:val="000000"/>
                <w:kern w:val="0"/>
                <w:sz w:val="24"/>
              </w:rPr>
              <w:t>0</w:t>
            </w:r>
          </w:p>
        </w:tc>
        <w:tc>
          <w:tcPr>
            <w:tcW w:w="944" w:type="dxa"/>
            <w:tcBorders>
              <w:top w:val="nil"/>
              <w:left w:val="nil"/>
              <w:bottom w:val="single" w:color="auto" w:sz="8" w:space="0"/>
              <w:right w:val="single" w:color="auto" w:sz="8" w:space="0"/>
            </w:tcBorders>
            <w:shd w:val="clear" w:color="auto" w:fill="auto"/>
            <w:noWrap/>
            <w:vAlign w:val="center"/>
          </w:tcPr>
          <w:p w14:paraId="5238F672">
            <w:pPr>
              <w:widowControl/>
              <w:jc w:val="center"/>
              <w:rPr>
                <w:rFonts w:ascii="宋体" w:hAnsi="宋体" w:cs="宋体"/>
                <w:color w:val="000000"/>
                <w:kern w:val="0"/>
                <w:sz w:val="24"/>
              </w:rPr>
            </w:pPr>
            <w:r>
              <w:rPr>
                <w:rFonts w:hint="eastAsia" w:ascii="宋体" w:hAnsi="宋体" w:cs="宋体"/>
                <w:color w:val="000000"/>
                <w:kern w:val="0"/>
                <w:sz w:val="24"/>
              </w:rPr>
              <w:t>1</w:t>
            </w:r>
          </w:p>
        </w:tc>
        <w:tc>
          <w:tcPr>
            <w:tcW w:w="700" w:type="dxa"/>
            <w:tcBorders>
              <w:top w:val="nil"/>
              <w:left w:val="nil"/>
              <w:bottom w:val="single" w:color="auto" w:sz="8" w:space="0"/>
              <w:right w:val="single" w:color="auto" w:sz="8" w:space="0"/>
            </w:tcBorders>
            <w:shd w:val="clear" w:color="auto" w:fill="auto"/>
            <w:noWrap/>
            <w:vAlign w:val="center"/>
          </w:tcPr>
          <w:p w14:paraId="6E535AD0">
            <w:pPr>
              <w:widowControl/>
              <w:jc w:val="center"/>
              <w:rPr>
                <w:rFonts w:ascii="宋体" w:hAnsi="宋体" w:cs="宋体"/>
                <w:color w:val="000000"/>
                <w:kern w:val="0"/>
                <w:sz w:val="24"/>
              </w:rPr>
            </w:pPr>
            <w:r>
              <w:rPr>
                <w:rFonts w:hint="eastAsia" w:ascii="宋体" w:hAnsi="宋体" w:cs="宋体"/>
                <w:color w:val="000000"/>
                <w:kern w:val="0"/>
                <w:sz w:val="24"/>
              </w:rPr>
              <w:t>0</w:t>
            </w:r>
          </w:p>
        </w:tc>
      </w:tr>
      <w:tr w14:paraId="08F96BDE">
        <w:tblPrEx>
          <w:tblCellMar>
            <w:top w:w="0" w:type="dxa"/>
            <w:left w:w="108" w:type="dxa"/>
            <w:bottom w:w="0" w:type="dxa"/>
            <w:right w:w="108" w:type="dxa"/>
          </w:tblCellMar>
        </w:tblPrEx>
        <w:trPr>
          <w:trHeight w:val="624" w:hRule="atLeast"/>
        </w:trPr>
        <w:tc>
          <w:tcPr>
            <w:tcW w:w="579" w:type="dxa"/>
            <w:tcBorders>
              <w:top w:val="nil"/>
              <w:left w:val="single" w:color="auto" w:sz="8" w:space="0"/>
              <w:bottom w:val="single" w:color="auto" w:sz="8" w:space="0"/>
              <w:right w:val="single" w:color="auto" w:sz="8" w:space="0"/>
            </w:tcBorders>
            <w:shd w:val="clear" w:color="auto" w:fill="auto"/>
            <w:vAlign w:val="center"/>
          </w:tcPr>
          <w:p w14:paraId="558D1031">
            <w:pPr>
              <w:widowControl/>
              <w:jc w:val="center"/>
              <w:rPr>
                <w:rFonts w:ascii="宋体" w:hAnsi="宋体" w:cs="宋体"/>
                <w:color w:val="000000"/>
                <w:kern w:val="0"/>
                <w:sz w:val="24"/>
              </w:rPr>
            </w:pPr>
            <w:r>
              <w:rPr>
                <w:rFonts w:hint="eastAsia" w:ascii="宋体" w:hAnsi="宋体" w:cs="宋体"/>
                <w:color w:val="000000"/>
                <w:kern w:val="0"/>
                <w:sz w:val="24"/>
              </w:rPr>
              <w:t>48</w:t>
            </w:r>
          </w:p>
        </w:tc>
        <w:tc>
          <w:tcPr>
            <w:tcW w:w="2343" w:type="dxa"/>
            <w:tcBorders>
              <w:top w:val="nil"/>
              <w:left w:val="nil"/>
              <w:bottom w:val="single" w:color="auto" w:sz="8" w:space="0"/>
              <w:right w:val="single" w:color="auto" w:sz="8" w:space="0"/>
            </w:tcBorders>
            <w:shd w:val="clear" w:color="auto" w:fill="auto"/>
            <w:vAlign w:val="center"/>
          </w:tcPr>
          <w:p w14:paraId="1FB31A72">
            <w:pPr>
              <w:widowControl/>
              <w:jc w:val="center"/>
              <w:rPr>
                <w:rFonts w:ascii="宋体" w:hAnsi="宋体" w:cs="宋体"/>
                <w:color w:val="000000"/>
                <w:kern w:val="0"/>
                <w:sz w:val="24"/>
              </w:rPr>
            </w:pPr>
            <w:r>
              <w:rPr>
                <w:rFonts w:hint="eastAsia" w:ascii="宋体" w:hAnsi="宋体" w:cs="宋体"/>
                <w:color w:val="000000"/>
                <w:kern w:val="0"/>
                <w:sz w:val="24"/>
              </w:rPr>
              <w:t>新风河出水口（双河南里17栋楼）</w:t>
            </w:r>
          </w:p>
        </w:tc>
        <w:tc>
          <w:tcPr>
            <w:tcW w:w="2892" w:type="dxa"/>
            <w:tcBorders>
              <w:top w:val="nil"/>
              <w:left w:val="nil"/>
              <w:bottom w:val="single" w:color="auto" w:sz="8" w:space="0"/>
              <w:right w:val="single" w:color="auto" w:sz="8" w:space="0"/>
            </w:tcBorders>
            <w:shd w:val="clear" w:color="auto" w:fill="auto"/>
            <w:vAlign w:val="center"/>
          </w:tcPr>
          <w:p w14:paraId="350A3772">
            <w:pPr>
              <w:widowControl/>
              <w:jc w:val="center"/>
              <w:rPr>
                <w:rFonts w:ascii="宋体" w:hAnsi="宋体" w:cs="宋体"/>
                <w:color w:val="000000"/>
                <w:kern w:val="0"/>
                <w:sz w:val="24"/>
              </w:rPr>
            </w:pPr>
            <w:r>
              <w:rPr>
                <w:rFonts w:hint="eastAsia" w:ascii="宋体" w:hAnsi="宋体" w:cs="宋体"/>
                <w:color w:val="000000"/>
                <w:kern w:val="0"/>
                <w:sz w:val="24"/>
              </w:rPr>
              <w:t>双河南里甲17号楼附近</w:t>
            </w:r>
          </w:p>
        </w:tc>
        <w:tc>
          <w:tcPr>
            <w:tcW w:w="822" w:type="dxa"/>
            <w:tcBorders>
              <w:top w:val="nil"/>
              <w:left w:val="nil"/>
              <w:bottom w:val="single" w:color="auto" w:sz="8" w:space="0"/>
              <w:right w:val="single" w:color="auto" w:sz="8" w:space="0"/>
            </w:tcBorders>
            <w:shd w:val="clear" w:color="auto" w:fill="auto"/>
            <w:noWrap/>
            <w:vAlign w:val="center"/>
          </w:tcPr>
          <w:p w14:paraId="63FDD472">
            <w:pPr>
              <w:widowControl/>
              <w:jc w:val="center"/>
              <w:rPr>
                <w:rFonts w:ascii="宋体" w:hAnsi="宋体" w:cs="宋体"/>
                <w:color w:val="000000"/>
                <w:kern w:val="0"/>
                <w:sz w:val="24"/>
              </w:rPr>
            </w:pPr>
            <w:r>
              <w:rPr>
                <w:rFonts w:hint="eastAsia" w:ascii="宋体" w:hAnsi="宋体" w:cs="宋体"/>
                <w:color w:val="000000"/>
                <w:kern w:val="0"/>
                <w:sz w:val="24"/>
              </w:rPr>
              <w:t>0</w:t>
            </w:r>
          </w:p>
        </w:tc>
        <w:tc>
          <w:tcPr>
            <w:tcW w:w="944" w:type="dxa"/>
            <w:tcBorders>
              <w:top w:val="nil"/>
              <w:left w:val="nil"/>
              <w:bottom w:val="single" w:color="auto" w:sz="8" w:space="0"/>
              <w:right w:val="single" w:color="auto" w:sz="8" w:space="0"/>
            </w:tcBorders>
            <w:shd w:val="clear" w:color="auto" w:fill="auto"/>
            <w:noWrap/>
            <w:vAlign w:val="center"/>
          </w:tcPr>
          <w:p w14:paraId="1BCC16EC">
            <w:pPr>
              <w:widowControl/>
              <w:jc w:val="center"/>
              <w:rPr>
                <w:rFonts w:ascii="宋体" w:hAnsi="宋体" w:cs="宋体"/>
                <w:color w:val="000000"/>
                <w:kern w:val="0"/>
                <w:sz w:val="24"/>
              </w:rPr>
            </w:pPr>
            <w:r>
              <w:rPr>
                <w:rFonts w:hint="eastAsia" w:ascii="宋体" w:hAnsi="宋体" w:cs="宋体"/>
                <w:color w:val="000000"/>
                <w:kern w:val="0"/>
                <w:sz w:val="24"/>
              </w:rPr>
              <w:t>1</w:t>
            </w:r>
          </w:p>
        </w:tc>
        <w:tc>
          <w:tcPr>
            <w:tcW w:w="700" w:type="dxa"/>
            <w:tcBorders>
              <w:top w:val="nil"/>
              <w:left w:val="nil"/>
              <w:bottom w:val="single" w:color="auto" w:sz="8" w:space="0"/>
              <w:right w:val="single" w:color="auto" w:sz="8" w:space="0"/>
            </w:tcBorders>
            <w:shd w:val="clear" w:color="auto" w:fill="auto"/>
            <w:noWrap/>
            <w:vAlign w:val="center"/>
          </w:tcPr>
          <w:p w14:paraId="7F9818B9">
            <w:pPr>
              <w:widowControl/>
              <w:jc w:val="center"/>
              <w:rPr>
                <w:rFonts w:ascii="宋体" w:hAnsi="宋体" w:cs="宋体"/>
                <w:color w:val="000000"/>
                <w:kern w:val="0"/>
                <w:sz w:val="24"/>
              </w:rPr>
            </w:pPr>
            <w:r>
              <w:rPr>
                <w:rFonts w:hint="eastAsia" w:ascii="宋体" w:hAnsi="宋体" w:cs="宋体"/>
                <w:color w:val="000000"/>
                <w:kern w:val="0"/>
                <w:sz w:val="24"/>
              </w:rPr>
              <w:t>0</w:t>
            </w:r>
          </w:p>
        </w:tc>
      </w:tr>
      <w:tr w14:paraId="5E72A5DD">
        <w:tblPrEx>
          <w:tblCellMar>
            <w:top w:w="0" w:type="dxa"/>
            <w:left w:w="108" w:type="dxa"/>
            <w:bottom w:w="0" w:type="dxa"/>
            <w:right w:w="108" w:type="dxa"/>
          </w:tblCellMar>
        </w:tblPrEx>
        <w:trPr>
          <w:trHeight w:val="624" w:hRule="atLeast"/>
        </w:trPr>
        <w:tc>
          <w:tcPr>
            <w:tcW w:w="579" w:type="dxa"/>
            <w:tcBorders>
              <w:top w:val="nil"/>
              <w:left w:val="single" w:color="auto" w:sz="8" w:space="0"/>
              <w:bottom w:val="single" w:color="auto" w:sz="8" w:space="0"/>
              <w:right w:val="single" w:color="auto" w:sz="8" w:space="0"/>
            </w:tcBorders>
            <w:shd w:val="clear" w:color="auto" w:fill="auto"/>
            <w:vAlign w:val="center"/>
          </w:tcPr>
          <w:p w14:paraId="63ABE476">
            <w:pPr>
              <w:widowControl/>
              <w:jc w:val="center"/>
              <w:rPr>
                <w:rFonts w:ascii="宋体" w:hAnsi="宋体" w:cs="宋体"/>
                <w:color w:val="000000"/>
                <w:kern w:val="0"/>
                <w:sz w:val="24"/>
              </w:rPr>
            </w:pPr>
            <w:r>
              <w:rPr>
                <w:rFonts w:hint="eastAsia" w:ascii="宋体" w:hAnsi="宋体" w:cs="宋体"/>
                <w:color w:val="000000"/>
                <w:kern w:val="0"/>
                <w:sz w:val="24"/>
              </w:rPr>
              <w:t>49</w:t>
            </w:r>
          </w:p>
        </w:tc>
        <w:tc>
          <w:tcPr>
            <w:tcW w:w="2343" w:type="dxa"/>
            <w:tcBorders>
              <w:top w:val="nil"/>
              <w:left w:val="nil"/>
              <w:bottom w:val="single" w:color="auto" w:sz="8" w:space="0"/>
              <w:right w:val="single" w:color="auto" w:sz="8" w:space="0"/>
            </w:tcBorders>
            <w:shd w:val="clear" w:color="auto" w:fill="auto"/>
            <w:vAlign w:val="center"/>
          </w:tcPr>
          <w:p w14:paraId="54686147">
            <w:pPr>
              <w:widowControl/>
              <w:jc w:val="center"/>
              <w:rPr>
                <w:rFonts w:ascii="宋体" w:hAnsi="宋体" w:cs="宋体"/>
                <w:color w:val="000000"/>
                <w:kern w:val="0"/>
                <w:sz w:val="24"/>
              </w:rPr>
            </w:pPr>
            <w:r>
              <w:rPr>
                <w:rFonts w:hint="eastAsia" w:ascii="宋体" w:hAnsi="宋体" w:cs="宋体"/>
                <w:color w:val="000000"/>
                <w:kern w:val="0"/>
                <w:sz w:val="24"/>
              </w:rPr>
              <w:t>新风河出水口（兴亦路南侧）</w:t>
            </w:r>
          </w:p>
        </w:tc>
        <w:tc>
          <w:tcPr>
            <w:tcW w:w="2892" w:type="dxa"/>
            <w:tcBorders>
              <w:top w:val="nil"/>
              <w:left w:val="nil"/>
              <w:bottom w:val="single" w:color="auto" w:sz="8" w:space="0"/>
              <w:right w:val="single" w:color="auto" w:sz="8" w:space="0"/>
            </w:tcBorders>
            <w:shd w:val="clear" w:color="auto" w:fill="auto"/>
            <w:vAlign w:val="center"/>
          </w:tcPr>
          <w:p w14:paraId="4368B589">
            <w:pPr>
              <w:widowControl/>
              <w:jc w:val="center"/>
              <w:rPr>
                <w:rFonts w:ascii="宋体" w:hAnsi="宋体" w:cs="宋体"/>
                <w:color w:val="000000"/>
                <w:kern w:val="0"/>
                <w:sz w:val="24"/>
              </w:rPr>
            </w:pPr>
            <w:r>
              <w:rPr>
                <w:rFonts w:hint="eastAsia" w:ascii="宋体" w:hAnsi="宋体" w:cs="宋体"/>
                <w:color w:val="000000"/>
                <w:kern w:val="0"/>
                <w:sz w:val="24"/>
              </w:rPr>
              <w:t>兴亦路与双河北里东街交口桥南侧岸西</w:t>
            </w:r>
          </w:p>
        </w:tc>
        <w:tc>
          <w:tcPr>
            <w:tcW w:w="822" w:type="dxa"/>
            <w:tcBorders>
              <w:top w:val="nil"/>
              <w:left w:val="nil"/>
              <w:bottom w:val="single" w:color="auto" w:sz="8" w:space="0"/>
              <w:right w:val="single" w:color="auto" w:sz="8" w:space="0"/>
            </w:tcBorders>
            <w:shd w:val="clear" w:color="auto" w:fill="auto"/>
            <w:noWrap/>
            <w:vAlign w:val="center"/>
          </w:tcPr>
          <w:p w14:paraId="23093352">
            <w:pPr>
              <w:widowControl/>
              <w:jc w:val="center"/>
              <w:rPr>
                <w:rFonts w:ascii="宋体" w:hAnsi="宋体" w:cs="宋体"/>
                <w:color w:val="000000"/>
                <w:kern w:val="0"/>
                <w:sz w:val="24"/>
              </w:rPr>
            </w:pPr>
            <w:r>
              <w:rPr>
                <w:rFonts w:hint="eastAsia" w:ascii="宋体" w:hAnsi="宋体" w:cs="宋体"/>
                <w:color w:val="000000"/>
                <w:kern w:val="0"/>
                <w:sz w:val="24"/>
              </w:rPr>
              <w:t>0</w:t>
            </w:r>
          </w:p>
        </w:tc>
        <w:tc>
          <w:tcPr>
            <w:tcW w:w="944" w:type="dxa"/>
            <w:tcBorders>
              <w:top w:val="nil"/>
              <w:left w:val="nil"/>
              <w:bottom w:val="single" w:color="auto" w:sz="8" w:space="0"/>
              <w:right w:val="single" w:color="auto" w:sz="8" w:space="0"/>
            </w:tcBorders>
            <w:shd w:val="clear" w:color="auto" w:fill="auto"/>
            <w:noWrap/>
            <w:vAlign w:val="center"/>
          </w:tcPr>
          <w:p w14:paraId="33028F81">
            <w:pPr>
              <w:widowControl/>
              <w:jc w:val="center"/>
              <w:rPr>
                <w:rFonts w:ascii="宋体" w:hAnsi="宋体" w:cs="宋体"/>
                <w:color w:val="000000"/>
                <w:kern w:val="0"/>
                <w:sz w:val="24"/>
              </w:rPr>
            </w:pPr>
            <w:r>
              <w:rPr>
                <w:rFonts w:hint="eastAsia" w:ascii="宋体" w:hAnsi="宋体" w:cs="宋体"/>
                <w:color w:val="000000"/>
                <w:kern w:val="0"/>
                <w:sz w:val="24"/>
              </w:rPr>
              <w:t>1</w:t>
            </w:r>
          </w:p>
        </w:tc>
        <w:tc>
          <w:tcPr>
            <w:tcW w:w="700" w:type="dxa"/>
            <w:tcBorders>
              <w:top w:val="nil"/>
              <w:left w:val="nil"/>
              <w:bottom w:val="single" w:color="auto" w:sz="8" w:space="0"/>
              <w:right w:val="single" w:color="auto" w:sz="8" w:space="0"/>
            </w:tcBorders>
            <w:shd w:val="clear" w:color="auto" w:fill="auto"/>
            <w:noWrap/>
            <w:vAlign w:val="center"/>
          </w:tcPr>
          <w:p w14:paraId="044822FB">
            <w:pPr>
              <w:widowControl/>
              <w:jc w:val="center"/>
              <w:rPr>
                <w:rFonts w:ascii="宋体" w:hAnsi="宋体" w:cs="宋体"/>
                <w:color w:val="000000"/>
                <w:kern w:val="0"/>
                <w:sz w:val="24"/>
              </w:rPr>
            </w:pPr>
            <w:r>
              <w:rPr>
                <w:rFonts w:hint="eastAsia" w:ascii="宋体" w:hAnsi="宋体" w:cs="宋体"/>
                <w:color w:val="000000"/>
                <w:kern w:val="0"/>
                <w:sz w:val="24"/>
              </w:rPr>
              <w:t>0</w:t>
            </w:r>
          </w:p>
        </w:tc>
      </w:tr>
      <w:tr w14:paraId="2437F090">
        <w:tblPrEx>
          <w:tblCellMar>
            <w:top w:w="0" w:type="dxa"/>
            <w:left w:w="108" w:type="dxa"/>
            <w:bottom w:w="0" w:type="dxa"/>
            <w:right w:w="108" w:type="dxa"/>
          </w:tblCellMar>
        </w:tblPrEx>
        <w:trPr>
          <w:trHeight w:val="624" w:hRule="atLeast"/>
        </w:trPr>
        <w:tc>
          <w:tcPr>
            <w:tcW w:w="579" w:type="dxa"/>
            <w:tcBorders>
              <w:top w:val="nil"/>
              <w:left w:val="single" w:color="auto" w:sz="8" w:space="0"/>
              <w:bottom w:val="single" w:color="auto" w:sz="8" w:space="0"/>
              <w:right w:val="single" w:color="auto" w:sz="8" w:space="0"/>
            </w:tcBorders>
            <w:shd w:val="clear" w:color="auto" w:fill="auto"/>
            <w:vAlign w:val="center"/>
          </w:tcPr>
          <w:p w14:paraId="6F51EF57">
            <w:pPr>
              <w:widowControl/>
              <w:jc w:val="center"/>
              <w:rPr>
                <w:rFonts w:ascii="宋体" w:hAnsi="宋体" w:cs="宋体"/>
                <w:color w:val="000000"/>
                <w:kern w:val="0"/>
                <w:sz w:val="24"/>
              </w:rPr>
            </w:pPr>
            <w:r>
              <w:rPr>
                <w:rFonts w:hint="eastAsia" w:ascii="宋体" w:hAnsi="宋体" w:cs="宋体"/>
                <w:color w:val="000000"/>
                <w:kern w:val="0"/>
                <w:sz w:val="24"/>
              </w:rPr>
              <w:t>50</w:t>
            </w:r>
          </w:p>
        </w:tc>
        <w:tc>
          <w:tcPr>
            <w:tcW w:w="2343" w:type="dxa"/>
            <w:tcBorders>
              <w:top w:val="nil"/>
              <w:left w:val="nil"/>
              <w:bottom w:val="single" w:color="auto" w:sz="8" w:space="0"/>
              <w:right w:val="single" w:color="auto" w:sz="8" w:space="0"/>
            </w:tcBorders>
            <w:shd w:val="clear" w:color="auto" w:fill="auto"/>
            <w:vAlign w:val="center"/>
          </w:tcPr>
          <w:p w14:paraId="3557D790">
            <w:pPr>
              <w:widowControl/>
              <w:jc w:val="center"/>
              <w:rPr>
                <w:rFonts w:ascii="宋体" w:hAnsi="宋体" w:cs="宋体"/>
                <w:color w:val="000000"/>
                <w:kern w:val="0"/>
                <w:sz w:val="24"/>
              </w:rPr>
            </w:pPr>
            <w:r>
              <w:rPr>
                <w:rFonts w:hint="eastAsia" w:ascii="宋体" w:hAnsi="宋体" w:cs="宋体"/>
                <w:color w:val="000000"/>
                <w:kern w:val="0"/>
                <w:sz w:val="24"/>
              </w:rPr>
              <w:t>天堂河出水口（庆丰桥）</w:t>
            </w:r>
          </w:p>
        </w:tc>
        <w:tc>
          <w:tcPr>
            <w:tcW w:w="2892" w:type="dxa"/>
            <w:tcBorders>
              <w:top w:val="nil"/>
              <w:left w:val="nil"/>
              <w:bottom w:val="single" w:color="auto" w:sz="8" w:space="0"/>
              <w:right w:val="single" w:color="auto" w:sz="8" w:space="0"/>
            </w:tcBorders>
            <w:shd w:val="clear" w:color="auto" w:fill="auto"/>
            <w:vAlign w:val="center"/>
          </w:tcPr>
          <w:p w14:paraId="05F58C01">
            <w:pPr>
              <w:widowControl/>
              <w:jc w:val="center"/>
              <w:rPr>
                <w:rFonts w:ascii="宋体" w:hAnsi="宋体" w:cs="宋体"/>
                <w:color w:val="000000"/>
                <w:kern w:val="0"/>
                <w:sz w:val="24"/>
              </w:rPr>
            </w:pPr>
            <w:r>
              <w:rPr>
                <w:rFonts w:hint="eastAsia" w:ascii="宋体" w:hAnsi="宋体" w:cs="宋体"/>
                <w:color w:val="000000"/>
                <w:kern w:val="0"/>
                <w:sz w:val="24"/>
              </w:rPr>
              <w:t>永兴河与庆丰路交口</w:t>
            </w:r>
          </w:p>
        </w:tc>
        <w:tc>
          <w:tcPr>
            <w:tcW w:w="822" w:type="dxa"/>
            <w:tcBorders>
              <w:top w:val="nil"/>
              <w:left w:val="nil"/>
              <w:bottom w:val="single" w:color="auto" w:sz="8" w:space="0"/>
              <w:right w:val="single" w:color="auto" w:sz="8" w:space="0"/>
            </w:tcBorders>
            <w:shd w:val="clear" w:color="auto" w:fill="auto"/>
            <w:noWrap/>
            <w:vAlign w:val="center"/>
          </w:tcPr>
          <w:p w14:paraId="3808A9ED">
            <w:pPr>
              <w:widowControl/>
              <w:jc w:val="center"/>
              <w:rPr>
                <w:rFonts w:ascii="宋体" w:hAnsi="宋体" w:cs="宋体"/>
                <w:color w:val="000000"/>
                <w:kern w:val="0"/>
                <w:sz w:val="24"/>
              </w:rPr>
            </w:pPr>
            <w:r>
              <w:rPr>
                <w:rFonts w:hint="eastAsia" w:ascii="宋体" w:hAnsi="宋体" w:cs="宋体"/>
                <w:color w:val="000000"/>
                <w:kern w:val="0"/>
                <w:sz w:val="24"/>
              </w:rPr>
              <w:t>0</w:t>
            </w:r>
          </w:p>
        </w:tc>
        <w:tc>
          <w:tcPr>
            <w:tcW w:w="944" w:type="dxa"/>
            <w:tcBorders>
              <w:top w:val="nil"/>
              <w:left w:val="nil"/>
              <w:bottom w:val="single" w:color="auto" w:sz="8" w:space="0"/>
              <w:right w:val="single" w:color="auto" w:sz="8" w:space="0"/>
            </w:tcBorders>
            <w:shd w:val="clear" w:color="auto" w:fill="auto"/>
            <w:noWrap/>
            <w:vAlign w:val="center"/>
          </w:tcPr>
          <w:p w14:paraId="3F6BBF57">
            <w:pPr>
              <w:widowControl/>
              <w:jc w:val="center"/>
              <w:rPr>
                <w:rFonts w:ascii="宋体" w:hAnsi="宋体" w:cs="宋体"/>
                <w:color w:val="000000"/>
                <w:kern w:val="0"/>
                <w:sz w:val="24"/>
              </w:rPr>
            </w:pPr>
            <w:r>
              <w:rPr>
                <w:rFonts w:hint="eastAsia" w:ascii="宋体" w:hAnsi="宋体" w:cs="宋体"/>
                <w:color w:val="000000"/>
                <w:kern w:val="0"/>
                <w:sz w:val="24"/>
              </w:rPr>
              <w:t>1</w:t>
            </w:r>
          </w:p>
        </w:tc>
        <w:tc>
          <w:tcPr>
            <w:tcW w:w="700" w:type="dxa"/>
            <w:tcBorders>
              <w:top w:val="nil"/>
              <w:left w:val="nil"/>
              <w:bottom w:val="single" w:color="auto" w:sz="8" w:space="0"/>
              <w:right w:val="single" w:color="auto" w:sz="8" w:space="0"/>
            </w:tcBorders>
            <w:shd w:val="clear" w:color="auto" w:fill="auto"/>
            <w:noWrap/>
            <w:vAlign w:val="center"/>
          </w:tcPr>
          <w:p w14:paraId="23984912">
            <w:pPr>
              <w:widowControl/>
              <w:jc w:val="center"/>
              <w:rPr>
                <w:rFonts w:ascii="宋体" w:hAnsi="宋体" w:cs="宋体"/>
                <w:color w:val="000000"/>
                <w:kern w:val="0"/>
                <w:sz w:val="24"/>
              </w:rPr>
            </w:pPr>
            <w:r>
              <w:rPr>
                <w:rFonts w:hint="eastAsia" w:ascii="宋体" w:hAnsi="宋体" w:cs="宋体"/>
                <w:color w:val="000000"/>
                <w:kern w:val="0"/>
                <w:sz w:val="24"/>
              </w:rPr>
              <w:t>0</w:t>
            </w:r>
          </w:p>
        </w:tc>
      </w:tr>
      <w:tr w14:paraId="6C94AD0B">
        <w:tblPrEx>
          <w:tblCellMar>
            <w:top w:w="0" w:type="dxa"/>
            <w:left w:w="108" w:type="dxa"/>
            <w:bottom w:w="0" w:type="dxa"/>
            <w:right w:w="108" w:type="dxa"/>
          </w:tblCellMar>
        </w:tblPrEx>
        <w:trPr>
          <w:trHeight w:val="624" w:hRule="atLeast"/>
        </w:trPr>
        <w:tc>
          <w:tcPr>
            <w:tcW w:w="579" w:type="dxa"/>
            <w:tcBorders>
              <w:top w:val="nil"/>
              <w:left w:val="single" w:color="auto" w:sz="8" w:space="0"/>
              <w:bottom w:val="single" w:color="auto" w:sz="8" w:space="0"/>
              <w:right w:val="single" w:color="auto" w:sz="8" w:space="0"/>
            </w:tcBorders>
            <w:shd w:val="clear" w:color="auto" w:fill="auto"/>
            <w:vAlign w:val="center"/>
          </w:tcPr>
          <w:p w14:paraId="1114808F">
            <w:pPr>
              <w:widowControl/>
              <w:jc w:val="center"/>
              <w:rPr>
                <w:rFonts w:ascii="宋体" w:hAnsi="宋体" w:cs="宋体"/>
                <w:color w:val="000000"/>
                <w:kern w:val="0"/>
                <w:sz w:val="24"/>
              </w:rPr>
            </w:pPr>
            <w:r>
              <w:rPr>
                <w:rFonts w:hint="eastAsia" w:ascii="宋体" w:hAnsi="宋体" w:cs="宋体"/>
                <w:color w:val="000000"/>
                <w:kern w:val="0"/>
                <w:sz w:val="24"/>
              </w:rPr>
              <w:t>51</w:t>
            </w:r>
          </w:p>
        </w:tc>
        <w:tc>
          <w:tcPr>
            <w:tcW w:w="2343" w:type="dxa"/>
            <w:tcBorders>
              <w:top w:val="nil"/>
              <w:left w:val="nil"/>
              <w:bottom w:val="single" w:color="auto" w:sz="8" w:space="0"/>
              <w:right w:val="single" w:color="auto" w:sz="8" w:space="0"/>
            </w:tcBorders>
            <w:shd w:val="clear" w:color="auto" w:fill="auto"/>
            <w:vAlign w:val="center"/>
          </w:tcPr>
          <w:p w14:paraId="5A94A2EC">
            <w:pPr>
              <w:widowControl/>
              <w:jc w:val="center"/>
              <w:rPr>
                <w:rFonts w:ascii="宋体" w:hAnsi="宋体" w:cs="宋体"/>
                <w:color w:val="000000"/>
                <w:kern w:val="0"/>
                <w:sz w:val="24"/>
              </w:rPr>
            </w:pPr>
            <w:r>
              <w:rPr>
                <w:rFonts w:hint="eastAsia" w:ascii="宋体" w:hAnsi="宋体" w:cs="宋体"/>
                <w:color w:val="000000"/>
                <w:kern w:val="0"/>
                <w:sz w:val="24"/>
              </w:rPr>
              <w:t>路侧边沟出口</w:t>
            </w:r>
          </w:p>
        </w:tc>
        <w:tc>
          <w:tcPr>
            <w:tcW w:w="2892" w:type="dxa"/>
            <w:tcBorders>
              <w:top w:val="nil"/>
              <w:left w:val="nil"/>
              <w:bottom w:val="single" w:color="auto" w:sz="8" w:space="0"/>
              <w:right w:val="single" w:color="auto" w:sz="8" w:space="0"/>
            </w:tcBorders>
            <w:shd w:val="clear" w:color="auto" w:fill="auto"/>
            <w:vAlign w:val="center"/>
          </w:tcPr>
          <w:p w14:paraId="133B21B0">
            <w:pPr>
              <w:widowControl/>
              <w:jc w:val="center"/>
              <w:rPr>
                <w:rFonts w:ascii="宋体" w:hAnsi="宋体" w:cs="宋体"/>
                <w:color w:val="000000"/>
                <w:kern w:val="0"/>
                <w:sz w:val="24"/>
              </w:rPr>
            </w:pPr>
            <w:r>
              <w:rPr>
                <w:rFonts w:hint="eastAsia" w:ascii="宋体" w:hAnsi="宋体" w:cs="宋体"/>
                <w:color w:val="000000"/>
                <w:kern w:val="0"/>
                <w:sz w:val="24"/>
              </w:rPr>
              <w:t>魏永路与祥瑞大街交口河北边</w:t>
            </w:r>
          </w:p>
        </w:tc>
        <w:tc>
          <w:tcPr>
            <w:tcW w:w="822" w:type="dxa"/>
            <w:tcBorders>
              <w:top w:val="nil"/>
              <w:left w:val="nil"/>
              <w:bottom w:val="single" w:color="auto" w:sz="8" w:space="0"/>
              <w:right w:val="single" w:color="auto" w:sz="8" w:space="0"/>
            </w:tcBorders>
            <w:shd w:val="clear" w:color="auto" w:fill="auto"/>
            <w:noWrap/>
            <w:vAlign w:val="center"/>
          </w:tcPr>
          <w:p w14:paraId="5E880A45">
            <w:pPr>
              <w:widowControl/>
              <w:jc w:val="center"/>
              <w:rPr>
                <w:rFonts w:ascii="宋体" w:hAnsi="宋体" w:cs="宋体"/>
                <w:color w:val="000000"/>
                <w:kern w:val="0"/>
                <w:sz w:val="24"/>
              </w:rPr>
            </w:pPr>
            <w:r>
              <w:rPr>
                <w:rFonts w:hint="eastAsia" w:ascii="宋体" w:hAnsi="宋体" w:cs="宋体"/>
                <w:color w:val="000000"/>
                <w:kern w:val="0"/>
                <w:sz w:val="24"/>
              </w:rPr>
              <w:t>0</w:t>
            </w:r>
          </w:p>
        </w:tc>
        <w:tc>
          <w:tcPr>
            <w:tcW w:w="944" w:type="dxa"/>
            <w:tcBorders>
              <w:top w:val="nil"/>
              <w:left w:val="nil"/>
              <w:bottom w:val="single" w:color="auto" w:sz="8" w:space="0"/>
              <w:right w:val="single" w:color="auto" w:sz="8" w:space="0"/>
            </w:tcBorders>
            <w:shd w:val="clear" w:color="auto" w:fill="auto"/>
            <w:noWrap/>
            <w:vAlign w:val="center"/>
          </w:tcPr>
          <w:p w14:paraId="23FECEC9">
            <w:pPr>
              <w:widowControl/>
              <w:jc w:val="center"/>
              <w:rPr>
                <w:rFonts w:ascii="宋体" w:hAnsi="宋体" w:cs="宋体"/>
                <w:color w:val="000000"/>
                <w:kern w:val="0"/>
                <w:sz w:val="24"/>
              </w:rPr>
            </w:pPr>
            <w:r>
              <w:rPr>
                <w:rFonts w:hint="eastAsia" w:ascii="宋体" w:hAnsi="宋体" w:cs="宋体"/>
                <w:color w:val="000000"/>
                <w:kern w:val="0"/>
                <w:sz w:val="24"/>
              </w:rPr>
              <w:t>1</w:t>
            </w:r>
          </w:p>
        </w:tc>
        <w:tc>
          <w:tcPr>
            <w:tcW w:w="700" w:type="dxa"/>
            <w:tcBorders>
              <w:top w:val="nil"/>
              <w:left w:val="nil"/>
              <w:bottom w:val="single" w:color="auto" w:sz="8" w:space="0"/>
              <w:right w:val="single" w:color="auto" w:sz="8" w:space="0"/>
            </w:tcBorders>
            <w:shd w:val="clear" w:color="auto" w:fill="auto"/>
            <w:noWrap/>
            <w:vAlign w:val="center"/>
          </w:tcPr>
          <w:p w14:paraId="014FC712">
            <w:pPr>
              <w:widowControl/>
              <w:jc w:val="center"/>
              <w:rPr>
                <w:rFonts w:ascii="宋体" w:hAnsi="宋体" w:cs="宋体"/>
                <w:color w:val="000000"/>
                <w:kern w:val="0"/>
                <w:sz w:val="24"/>
              </w:rPr>
            </w:pPr>
            <w:r>
              <w:rPr>
                <w:rFonts w:hint="eastAsia" w:ascii="宋体" w:hAnsi="宋体" w:cs="宋体"/>
                <w:color w:val="000000"/>
                <w:kern w:val="0"/>
                <w:sz w:val="24"/>
              </w:rPr>
              <w:t>0</w:t>
            </w:r>
          </w:p>
        </w:tc>
      </w:tr>
      <w:tr w14:paraId="166EAFED">
        <w:tblPrEx>
          <w:tblCellMar>
            <w:top w:w="0" w:type="dxa"/>
            <w:left w:w="108" w:type="dxa"/>
            <w:bottom w:w="0" w:type="dxa"/>
            <w:right w:w="108" w:type="dxa"/>
          </w:tblCellMar>
        </w:tblPrEx>
        <w:trPr>
          <w:trHeight w:val="624" w:hRule="atLeast"/>
        </w:trPr>
        <w:tc>
          <w:tcPr>
            <w:tcW w:w="579" w:type="dxa"/>
            <w:tcBorders>
              <w:top w:val="nil"/>
              <w:left w:val="single" w:color="auto" w:sz="8" w:space="0"/>
              <w:bottom w:val="single" w:color="auto" w:sz="8" w:space="0"/>
              <w:right w:val="single" w:color="auto" w:sz="8" w:space="0"/>
            </w:tcBorders>
            <w:shd w:val="clear" w:color="auto" w:fill="auto"/>
            <w:vAlign w:val="center"/>
          </w:tcPr>
          <w:p w14:paraId="1EBF5EFC">
            <w:pPr>
              <w:widowControl/>
              <w:jc w:val="center"/>
              <w:rPr>
                <w:rFonts w:ascii="宋体" w:hAnsi="宋体" w:cs="宋体"/>
                <w:color w:val="000000"/>
                <w:kern w:val="0"/>
                <w:sz w:val="24"/>
              </w:rPr>
            </w:pPr>
            <w:r>
              <w:rPr>
                <w:rFonts w:hint="eastAsia" w:ascii="宋体" w:hAnsi="宋体" w:cs="宋体"/>
                <w:color w:val="000000"/>
                <w:kern w:val="0"/>
                <w:sz w:val="24"/>
              </w:rPr>
              <w:t>52</w:t>
            </w:r>
          </w:p>
        </w:tc>
        <w:tc>
          <w:tcPr>
            <w:tcW w:w="2343" w:type="dxa"/>
            <w:tcBorders>
              <w:top w:val="nil"/>
              <w:left w:val="nil"/>
              <w:bottom w:val="single" w:color="auto" w:sz="8" w:space="0"/>
              <w:right w:val="single" w:color="auto" w:sz="8" w:space="0"/>
            </w:tcBorders>
            <w:shd w:val="clear" w:color="auto" w:fill="auto"/>
            <w:vAlign w:val="center"/>
          </w:tcPr>
          <w:p w14:paraId="2EAB9C6D">
            <w:pPr>
              <w:widowControl/>
              <w:jc w:val="center"/>
              <w:rPr>
                <w:rFonts w:ascii="宋体" w:hAnsi="宋体" w:cs="宋体"/>
                <w:color w:val="000000"/>
                <w:kern w:val="0"/>
                <w:sz w:val="24"/>
              </w:rPr>
            </w:pPr>
            <w:r>
              <w:rPr>
                <w:rFonts w:hint="eastAsia" w:ascii="宋体" w:hAnsi="宋体" w:cs="宋体"/>
                <w:color w:val="000000"/>
                <w:kern w:val="0"/>
                <w:sz w:val="24"/>
              </w:rPr>
              <w:t>新风河出水口（兴亦路北侧）</w:t>
            </w:r>
          </w:p>
        </w:tc>
        <w:tc>
          <w:tcPr>
            <w:tcW w:w="2892" w:type="dxa"/>
            <w:tcBorders>
              <w:top w:val="nil"/>
              <w:left w:val="nil"/>
              <w:bottom w:val="single" w:color="auto" w:sz="8" w:space="0"/>
              <w:right w:val="single" w:color="auto" w:sz="8" w:space="0"/>
            </w:tcBorders>
            <w:shd w:val="clear" w:color="auto" w:fill="auto"/>
            <w:vAlign w:val="center"/>
          </w:tcPr>
          <w:p w14:paraId="089CC1E4">
            <w:pPr>
              <w:widowControl/>
              <w:jc w:val="center"/>
              <w:rPr>
                <w:rFonts w:ascii="宋体" w:hAnsi="宋体" w:cs="宋体"/>
                <w:color w:val="000000"/>
                <w:kern w:val="0"/>
                <w:sz w:val="24"/>
              </w:rPr>
            </w:pPr>
            <w:r>
              <w:rPr>
                <w:rFonts w:hint="eastAsia" w:ascii="宋体" w:hAnsi="宋体" w:cs="宋体"/>
                <w:color w:val="000000"/>
                <w:kern w:val="0"/>
                <w:sz w:val="24"/>
              </w:rPr>
              <w:t>兴亦路与双河北里东街交口桥北侧</w:t>
            </w:r>
          </w:p>
        </w:tc>
        <w:tc>
          <w:tcPr>
            <w:tcW w:w="822" w:type="dxa"/>
            <w:tcBorders>
              <w:top w:val="nil"/>
              <w:left w:val="nil"/>
              <w:bottom w:val="single" w:color="auto" w:sz="8" w:space="0"/>
              <w:right w:val="single" w:color="auto" w:sz="8" w:space="0"/>
            </w:tcBorders>
            <w:shd w:val="clear" w:color="auto" w:fill="auto"/>
            <w:noWrap/>
            <w:vAlign w:val="center"/>
          </w:tcPr>
          <w:p w14:paraId="00C6F577">
            <w:pPr>
              <w:widowControl/>
              <w:jc w:val="center"/>
              <w:rPr>
                <w:rFonts w:ascii="宋体" w:hAnsi="宋体" w:cs="宋体"/>
                <w:color w:val="000000"/>
                <w:kern w:val="0"/>
                <w:sz w:val="24"/>
              </w:rPr>
            </w:pPr>
            <w:r>
              <w:rPr>
                <w:rFonts w:hint="eastAsia" w:ascii="宋体" w:hAnsi="宋体" w:cs="宋体"/>
                <w:color w:val="000000"/>
                <w:kern w:val="0"/>
                <w:sz w:val="24"/>
              </w:rPr>
              <w:t>0</w:t>
            </w:r>
          </w:p>
        </w:tc>
        <w:tc>
          <w:tcPr>
            <w:tcW w:w="944" w:type="dxa"/>
            <w:tcBorders>
              <w:top w:val="nil"/>
              <w:left w:val="nil"/>
              <w:bottom w:val="single" w:color="auto" w:sz="8" w:space="0"/>
              <w:right w:val="single" w:color="auto" w:sz="8" w:space="0"/>
            </w:tcBorders>
            <w:shd w:val="clear" w:color="auto" w:fill="auto"/>
            <w:noWrap/>
            <w:vAlign w:val="center"/>
          </w:tcPr>
          <w:p w14:paraId="6BC37B18">
            <w:pPr>
              <w:widowControl/>
              <w:jc w:val="center"/>
              <w:rPr>
                <w:rFonts w:ascii="宋体" w:hAnsi="宋体" w:cs="宋体"/>
                <w:color w:val="000000"/>
                <w:kern w:val="0"/>
                <w:sz w:val="24"/>
              </w:rPr>
            </w:pPr>
            <w:r>
              <w:rPr>
                <w:rFonts w:hint="eastAsia" w:ascii="宋体" w:hAnsi="宋体" w:cs="宋体"/>
                <w:color w:val="000000"/>
                <w:kern w:val="0"/>
                <w:sz w:val="24"/>
              </w:rPr>
              <w:t>1</w:t>
            </w:r>
          </w:p>
        </w:tc>
        <w:tc>
          <w:tcPr>
            <w:tcW w:w="700" w:type="dxa"/>
            <w:tcBorders>
              <w:top w:val="nil"/>
              <w:left w:val="nil"/>
              <w:bottom w:val="single" w:color="auto" w:sz="8" w:space="0"/>
              <w:right w:val="single" w:color="auto" w:sz="8" w:space="0"/>
            </w:tcBorders>
            <w:shd w:val="clear" w:color="auto" w:fill="auto"/>
            <w:noWrap/>
            <w:vAlign w:val="center"/>
          </w:tcPr>
          <w:p w14:paraId="45562FA5">
            <w:pPr>
              <w:widowControl/>
              <w:jc w:val="center"/>
              <w:rPr>
                <w:rFonts w:ascii="宋体" w:hAnsi="宋体" w:cs="宋体"/>
                <w:color w:val="000000"/>
                <w:kern w:val="0"/>
                <w:sz w:val="24"/>
              </w:rPr>
            </w:pPr>
            <w:r>
              <w:rPr>
                <w:rFonts w:hint="eastAsia" w:ascii="宋体" w:hAnsi="宋体" w:cs="宋体"/>
                <w:color w:val="000000"/>
                <w:kern w:val="0"/>
                <w:sz w:val="24"/>
              </w:rPr>
              <w:t>0</w:t>
            </w:r>
          </w:p>
        </w:tc>
      </w:tr>
      <w:tr w14:paraId="07F3FC6F">
        <w:tblPrEx>
          <w:tblCellMar>
            <w:top w:w="0" w:type="dxa"/>
            <w:left w:w="108" w:type="dxa"/>
            <w:bottom w:w="0" w:type="dxa"/>
            <w:right w:w="108" w:type="dxa"/>
          </w:tblCellMar>
        </w:tblPrEx>
        <w:trPr>
          <w:trHeight w:val="624" w:hRule="atLeast"/>
        </w:trPr>
        <w:tc>
          <w:tcPr>
            <w:tcW w:w="579" w:type="dxa"/>
            <w:tcBorders>
              <w:top w:val="nil"/>
              <w:left w:val="single" w:color="auto" w:sz="8" w:space="0"/>
              <w:bottom w:val="single" w:color="auto" w:sz="8" w:space="0"/>
              <w:right w:val="single" w:color="auto" w:sz="8" w:space="0"/>
            </w:tcBorders>
            <w:shd w:val="clear" w:color="auto" w:fill="auto"/>
            <w:vAlign w:val="center"/>
          </w:tcPr>
          <w:p w14:paraId="2F5FC88D">
            <w:pPr>
              <w:widowControl/>
              <w:jc w:val="center"/>
              <w:rPr>
                <w:rFonts w:ascii="宋体" w:hAnsi="宋体" w:cs="宋体"/>
                <w:color w:val="000000"/>
                <w:kern w:val="0"/>
                <w:sz w:val="24"/>
              </w:rPr>
            </w:pPr>
            <w:r>
              <w:rPr>
                <w:rFonts w:hint="eastAsia" w:ascii="宋体" w:hAnsi="宋体" w:cs="宋体"/>
                <w:color w:val="000000"/>
                <w:kern w:val="0"/>
                <w:sz w:val="24"/>
              </w:rPr>
              <w:t>53</w:t>
            </w:r>
          </w:p>
        </w:tc>
        <w:tc>
          <w:tcPr>
            <w:tcW w:w="2343" w:type="dxa"/>
            <w:tcBorders>
              <w:top w:val="nil"/>
              <w:left w:val="nil"/>
              <w:bottom w:val="single" w:color="auto" w:sz="8" w:space="0"/>
              <w:right w:val="single" w:color="auto" w:sz="8" w:space="0"/>
            </w:tcBorders>
            <w:shd w:val="clear" w:color="auto" w:fill="auto"/>
            <w:vAlign w:val="center"/>
          </w:tcPr>
          <w:p w14:paraId="089D9E92">
            <w:pPr>
              <w:widowControl/>
              <w:jc w:val="center"/>
              <w:rPr>
                <w:rFonts w:ascii="宋体" w:hAnsi="宋体" w:cs="宋体"/>
                <w:color w:val="000000"/>
                <w:kern w:val="0"/>
                <w:sz w:val="24"/>
              </w:rPr>
            </w:pPr>
            <w:r>
              <w:rPr>
                <w:rFonts w:hint="eastAsia" w:ascii="宋体" w:hAnsi="宋体" w:cs="宋体"/>
                <w:color w:val="000000"/>
                <w:kern w:val="0"/>
                <w:sz w:val="24"/>
              </w:rPr>
              <w:t>东方时尚蓄水池</w:t>
            </w:r>
          </w:p>
        </w:tc>
        <w:tc>
          <w:tcPr>
            <w:tcW w:w="2892" w:type="dxa"/>
            <w:tcBorders>
              <w:top w:val="nil"/>
              <w:left w:val="nil"/>
              <w:bottom w:val="single" w:color="auto" w:sz="8" w:space="0"/>
              <w:right w:val="single" w:color="auto" w:sz="8" w:space="0"/>
            </w:tcBorders>
            <w:shd w:val="clear" w:color="auto" w:fill="auto"/>
            <w:vAlign w:val="center"/>
          </w:tcPr>
          <w:p w14:paraId="21D8F63F">
            <w:pPr>
              <w:widowControl/>
              <w:jc w:val="center"/>
              <w:rPr>
                <w:rFonts w:ascii="宋体" w:hAnsi="宋体" w:cs="宋体"/>
                <w:color w:val="000000"/>
                <w:kern w:val="0"/>
                <w:sz w:val="24"/>
              </w:rPr>
            </w:pPr>
            <w:r>
              <w:rPr>
                <w:rFonts w:hint="eastAsia" w:ascii="宋体" w:hAnsi="宋体" w:cs="宋体"/>
                <w:color w:val="000000"/>
                <w:kern w:val="0"/>
                <w:sz w:val="24"/>
              </w:rPr>
              <w:t>京山铁路-金星西路</w:t>
            </w:r>
          </w:p>
        </w:tc>
        <w:tc>
          <w:tcPr>
            <w:tcW w:w="822" w:type="dxa"/>
            <w:tcBorders>
              <w:top w:val="nil"/>
              <w:left w:val="nil"/>
              <w:bottom w:val="single" w:color="auto" w:sz="8" w:space="0"/>
              <w:right w:val="single" w:color="auto" w:sz="8" w:space="0"/>
            </w:tcBorders>
            <w:shd w:val="clear" w:color="auto" w:fill="auto"/>
            <w:noWrap/>
            <w:vAlign w:val="center"/>
          </w:tcPr>
          <w:p w14:paraId="1B6B9300">
            <w:pPr>
              <w:widowControl/>
              <w:jc w:val="center"/>
              <w:rPr>
                <w:rFonts w:ascii="宋体" w:hAnsi="宋体" w:cs="宋体"/>
                <w:color w:val="000000"/>
                <w:kern w:val="0"/>
                <w:sz w:val="24"/>
              </w:rPr>
            </w:pPr>
            <w:r>
              <w:rPr>
                <w:rFonts w:hint="eastAsia" w:ascii="宋体" w:hAnsi="宋体" w:cs="宋体"/>
                <w:color w:val="000000"/>
                <w:kern w:val="0"/>
                <w:sz w:val="24"/>
              </w:rPr>
              <w:t>0</w:t>
            </w:r>
          </w:p>
        </w:tc>
        <w:tc>
          <w:tcPr>
            <w:tcW w:w="944" w:type="dxa"/>
            <w:tcBorders>
              <w:top w:val="nil"/>
              <w:left w:val="nil"/>
              <w:bottom w:val="single" w:color="auto" w:sz="8" w:space="0"/>
              <w:right w:val="single" w:color="auto" w:sz="8" w:space="0"/>
            </w:tcBorders>
            <w:shd w:val="clear" w:color="auto" w:fill="auto"/>
            <w:noWrap/>
            <w:vAlign w:val="center"/>
          </w:tcPr>
          <w:p w14:paraId="08F31EC0">
            <w:pPr>
              <w:widowControl/>
              <w:jc w:val="center"/>
              <w:rPr>
                <w:rFonts w:ascii="宋体" w:hAnsi="宋体" w:cs="宋体"/>
                <w:color w:val="000000"/>
                <w:kern w:val="0"/>
                <w:sz w:val="24"/>
              </w:rPr>
            </w:pPr>
            <w:r>
              <w:rPr>
                <w:rFonts w:hint="eastAsia" w:ascii="宋体" w:hAnsi="宋体" w:cs="宋体"/>
                <w:color w:val="000000"/>
                <w:kern w:val="0"/>
                <w:sz w:val="24"/>
              </w:rPr>
              <w:t>1</w:t>
            </w:r>
          </w:p>
        </w:tc>
        <w:tc>
          <w:tcPr>
            <w:tcW w:w="700" w:type="dxa"/>
            <w:tcBorders>
              <w:top w:val="nil"/>
              <w:left w:val="nil"/>
              <w:bottom w:val="single" w:color="auto" w:sz="8" w:space="0"/>
              <w:right w:val="single" w:color="auto" w:sz="8" w:space="0"/>
            </w:tcBorders>
            <w:shd w:val="clear" w:color="auto" w:fill="auto"/>
            <w:noWrap/>
            <w:vAlign w:val="center"/>
          </w:tcPr>
          <w:p w14:paraId="71EF649E">
            <w:pPr>
              <w:widowControl/>
              <w:jc w:val="center"/>
              <w:rPr>
                <w:rFonts w:ascii="宋体" w:hAnsi="宋体" w:cs="宋体"/>
                <w:color w:val="000000"/>
                <w:kern w:val="0"/>
                <w:sz w:val="24"/>
              </w:rPr>
            </w:pPr>
            <w:r>
              <w:rPr>
                <w:rFonts w:hint="eastAsia" w:ascii="宋体" w:hAnsi="宋体" w:cs="宋体"/>
                <w:color w:val="000000"/>
                <w:kern w:val="0"/>
                <w:sz w:val="24"/>
              </w:rPr>
              <w:t>0</w:t>
            </w:r>
          </w:p>
        </w:tc>
      </w:tr>
      <w:tr w14:paraId="25CC2EC5">
        <w:tblPrEx>
          <w:tblCellMar>
            <w:top w:w="0" w:type="dxa"/>
            <w:left w:w="108" w:type="dxa"/>
            <w:bottom w:w="0" w:type="dxa"/>
            <w:right w:w="108" w:type="dxa"/>
          </w:tblCellMar>
        </w:tblPrEx>
        <w:trPr>
          <w:trHeight w:val="624" w:hRule="atLeast"/>
        </w:trPr>
        <w:tc>
          <w:tcPr>
            <w:tcW w:w="5814" w:type="dxa"/>
            <w:gridSpan w:val="3"/>
            <w:tcBorders>
              <w:top w:val="single" w:color="auto" w:sz="8" w:space="0"/>
              <w:left w:val="single" w:color="auto" w:sz="8" w:space="0"/>
              <w:bottom w:val="single" w:color="auto" w:sz="8" w:space="0"/>
              <w:right w:val="single" w:color="auto" w:sz="8" w:space="0"/>
            </w:tcBorders>
            <w:shd w:val="clear" w:color="auto" w:fill="auto"/>
            <w:noWrap/>
            <w:vAlign w:val="center"/>
          </w:tcPr>
          <w:p w14:paraId="3627EBB1">
            <w:pPr>
              <w:widowControl/>
              <w:jc w:val="center"/>
              <w:rPr>
                <w:rFonts w:ascii="宋体" w:hAnsi="宋体" w:cs="宋体"/>
                <w:color w:val="000000"/>
                <w:kern w:val="0"/>
                <w:sz w:val="24"/>
              </w:rPr>
            </w:pPr>
            <w:r>
              <w:rPr>
                <w:rFonts w:hint="eastAsia" w:ascii="宋体" w:hAnsi="宋体" w:cs="宋体"/>
                <w:color w:val="000000"/>
                <w:kern w:val="0"/>
                <w:sz w:val="24"/>
              </w:rPr>
              <w:t>合计</w:t>
            </w:r>
          </w:p>
        </w:tc>
        <w:tc>
          <w:tcPr>
            <w:tcW w:w="822" w:type="dxa"/>
            <w:tcBorders>
              <w:top w:val="nil"/>
              <w:left w:val="nil"/>
              <w:bottom w:val="single" w:color="auto" w:sz="8" w:space="0"/>
              <w:right w:val="single" w:color="auto" w:sz="8" w:space="0"/>
            </w:tcBorders>
            <w:shd w:val="clear" w:color="auto" w:fill="auto"/>
            <w:noWrap/>
            <w:vAlign w:val="center"/>
          </w:tcPr>
          <w:p w14:paraId="3489B613">
            <w:pPr>
              <w:widowControl/>
              <w:jc w:val="center"/>
              <w:rPr>
                <w:rFonts w:ascii="宋体" w:hAnsi="宋体" w:cs="宋体"/>
                <w:color w:val="000000"/>
                <w:kern w:val="0"/>
                <w:sz w:val="24"/>
              </w:rPr>
            </w:pPr>
            <w:r>
              <w:rPr>
                <w:rFonts w:hint="eastAsia" w:ascii="宋体" w:hAnsi="宋体" w:cs="宋体"/>
                <w:color w:val="000000"/>
                <w:kern w:val="0"/>
                <w:sz w:val="24"/>
              </w:rPr>
              <w:t>39</w:t>
            </w:r>
          </w:p>
        </w:tc>
        <w:tc>
          <w:tcPr>
            <w:tcW w:w="944" w:type="dxa"/>
            <w:tcBorders>
              <w:top w:val="nil"/>
              <w:left w:val="nil"/>
              <w:bottom w:val="single" w:color="auto" w:sz="8" w:space="0"/>
              <w:right w:val="single" w:color="auto" w:sz="8" w:space="0"/>
            </w:tcBorders>
            <w:shd w:val="clear" w:color="auto" w:fill="auto"/>
            <w:noWrap/>
            <w:vAlign w:val="center"/>
          </w:tcPr>
          <w:p w14:paraId="221AC967">
            <w:pPr>
              <w:widowControl/>
              <w:jc w:val="center"/>
              <w:rPr>
                <w:rFonts w:ascii="宋体" w:hAnsi="宋体" w:cs="宋体"/>
                <w:color w:val="000000"/>
                <w:kern w:val="0"/>
                <w:sz w:val="24"/>
              </w:rPr>
            </w:pPr>
            <w:r>
              <w:rPr>
                <w:rFonts w:hint="eastAsia" w:ascii="宋体" w:hAnsi="宋体" w:cs="宋体"/>
                <w:color w:val="000000"/>
                <w:kern w:val="0"/>
                <w:sz w:val="24"/>
              </w:rPr>
              <w:t>21</w:t>
            </w:r>
          </w:p>
        </w:tc>
        <w:tc>
          <w:tcPr>
            <w:tcW w:w="700" w:type="dxa"/>
            <w:tcBorders>
              <w:top w:val="nil"/>
              <w:left w:val="nil"/>
              <w:bottom w:val="single" w:color="auto" w:sz="8" w:space="0"/>
              <w:right w:val="single" w:color="auto" w:sz="8" w:space="0"/>
            </w:tcBorders>
            <w:shd w:val="clear" w:color="auto" w:fill="auto"/>
            <w:noWrap/>
            <w:vAlign w:val="center"/>
          </w:tcPr>
          <w:p w14:paraId="78AD275E">
            <w:pPr>
              <w:widowControl/>
              <w:jc w:val="center"/>
              <w:rPr>
                <w:rFonts w:ascii="宋体" w:hAnsi="宋体" w:cs="宋体"/>
                <w:color w:val="000000"/>
                <w:kern w:val="0"/>
                <w:sz w:val="24"/>
              </w:rPr>
            </w:pPr>
            <w:r>
              <w:rPr>
                <w:rFonts w:hint="eastAsia" w:ascii="宋体" w:hAnsi="宋体" w:cs="宋体"/>
                <w:color w:val="000000"/>
                <w:kern w:val="0"/>
                <w:sz w:val="24"/>
              </w:rPr>
              <w:t>7</w:t>
            </w:r>
          </w:p>
        </w:tc>
      </w:tr>
    </w:tbl>
    <w:p w14:paraId="1696451E">
      <w:pPr>
        <w:spacing w:line="360" w:lineRule="auto"/>
        <w:rPr>
          <w:rFonts w:ascii="宋体" w:hAnsi="宋体"/>
          <w:sz w:val="24"/>
        </w:rPr>
      </w:pPr>
    </w:p>
    <w:p w14:paraId="1DE6464C">
      <w:pPr>
        <w:spacing w:line="360" w:lineRule="auto"/>
        <w:ind w:firstLine="480"/>
        <w:rPr>
          <w:rFonts w:ascii="宋体" w:hAnsi="宋体"/>
          <w:sz w:val="24"/>
        </w:rPr>
      </w:pPr>
      <w:r>
        <w:rPr>
          <w:rFonts w:hint="eastAsia" w:ascii="宋体" w:hAnsi="宋体"/>
          <w:sz w:val="24"/>
        </w:rPr>
        <w:t>2</w:t>
      </w:r>
      <w:r>
        <w:rPr>
          <w:rFonts w:ascii="宋体" w:hAnsi="宋体"/>
          <w:sz w:val="24"/>
        </w:rPr>
        <w:t>.</w:t>
      </w:r>
      <w:r>
        <w:rPr>
          <w:rFonts w:hint="eastAsia" w:ascii="宋体" w:hAnsi="宋体"/>
          <w:sz w:val="24"/>
        </w:rPr>
        <w:t>运维服务具体要求</w:t>
      </w:r>
    </w:p>
    <w:p w14:paraId="2623A681">
      <w:pPr>
        <w:spacing w:line="360" w:lineRule="auto"/>
        <w:ind w:firstLine="480"/>
        <w:rPr>
          <w:rFonts w:ascii="宋体" w:hAnsi="宋体"/>
          <w:sz w:val="24"/>
        </w:rPr>
      </w:pPr>
      <w:r>
        <w:rPr>
          <w:rFonts w:hint="eastAsia" w:ascii="宋体" w:hAnsi="宋体"/>
          <w:sz w:val="24"/>
        </w:rPr>
        <w:t>2</w:t>
      </w:r>
      <w:r>
        <w:rPr>
          <w:rFonts w:ascii="宋体" w:hAnsi="宋体"/>
          <w:sz w:val="24"/>
        </w:rPr>
        <w:t>.1</w:t>
      </w:r>
      <w:r>
        <w:rPr>
          <w:rFonts w:hint="eastAsia" w:ascii="宋体" w:hAnsi="宋体"/>
          <w:sz w:val="24"/>
        </w:rPr>
        <w:t>服务对象</w:t>
      </w:r>
    </w:p>
    <w:p w14:paraId="40B774FC">
      <w:pPr>
        <w:spacing w:line="360" w:lineRule="auto"/>
        <w:ind w:firstLine="480"/>
        <w:rPr>
          <w:rFonts w:ascii="宋体" w:hAnsi="宋体"/>
          <w:sz w:val="24"/>
        </w:rPr>
      </w:pPr>
      <w:r>
        <w:rPr>
          <w:rFonts w:hint="eastAsia" w:ascii="宋体" w:hAnsi="宋体"/>
          <w:sz w:val="24"/>
        </w:rPr>
        <w:t>主要运维服务对象包括：</w:t>
      </w:r>
    </w:p>
    <w:p w14:paraId="590FC462">
      <w:pPr>
        <w:spacing w:line="360" w:lineRule="auto"/>
        <w:ind w:firstLine="480"/>
        <w:rPr>
          <w:rFonts w:ascii="宋体" w:hAnsi="宋体"/>
          <w:sz w:val="24"/>
        </w:rPr>
      </w:pPr>
      <w:r>
        <w:rPr>
          <w:rFonts w:hint="eastAsia" w:ascii="宋体" w:hAnsi="宋体"/>
          <w:sz w:val="24"/>
        </w:rPr>
        <w:t>1、防汛设施设备：积水监测相关设备及基础和</w:t>
      </w:r>
      <w:r>
        <w:rPr>
          <w:rFonts w:hint="eastAsia" w:ascii="宋体" w:hAnsi="宋体"/>
          <w:color w:val="000000"/>
          <w:sz w:val="24"/>
        </w:rPr>
        <w:t>其他类支持设施设备。</w:t>
      </w:r>
    </w:p>
    <w:p w14:paraId="4CEDBF77">
      <w:pPr>
        <w:spacing w:line="360" w:lineRule="auto"/>
        <w:ind w:firstLine="480"/>
        <w:rPr>
          <w:rFonts w:ascii="宋体" w:hAnsi="宋体"/>
          <w:sz w:val="24"/>
        </w:rPr>
      </w:pPr>
      <w:r>
        <w:rPr>
          <w:rFonts w:hint="eastAsia" w:ascii="宋体" w:hAnsi="宋体"/>
          <w:sz w:val="24"/>
        </w:rPr>
        <w:t>2、防汛相关系统软件：大兴新城防汛应急指挥系统业务软件，硬件数据接收服务软件。</w:t>
      </w:r>
    </w:p>
    <w:p w14:paraId="57D7063B">
      <w:pPr>
        <w:spacing w:line="360" w:lineRule="auto"/>
        <w:ind w:firstLine="480"/>
        <w:rPr>
          <w:rFonts w:ascii="宋体" w:hAnsi="宋体"/>
          <w:sz w:val="24"/>
        </w:rPr>
      </w:pPr>
      <w:r>
        <w:rPr>
          <w:rFonts w:hint="eastAsia" w:ascii="宋体" w:hAnsi="宋体"/>
          <w:sz w:val="24"/>
        </w:rPr>
        <w:t>2</w:t>
      </w:r>
      <w:r>
        <w:rPr>
          <w:rFonts w:ascii="宋体" w:hAnsi="宋体"/>
          <w:sz w:val="24"/>
        </w:rPr>
        <w:t>.2</w:t>
      </w:r>
      <w:r>
        <w:rPr>
          <w:rFonts w:hint="eastAsia" w:ascii="宋体" w:hAnsi="宋体"/>
          <w:sz w:val="24"/>
        </w:rPr>
        <w:t>运维服务要求</w:t>
      </w:r>
    </w:p>
    <w:p w14:paraId="6F16E2A4">
      <w:pPr>
        <w:spacing w:line="360" w:lineRule="auto"/>
        <w:ind w:firstLine="480"/>
        <w:rPr>
          <w:rFonts w:ascii="宋体" w:hAnsi="宋体"/>
          <w:sz w:val="24"/>
        </w:rPr>
      </w:pPr>
      <w:r>
        <w:rPr>
          <w:rFonts w:hint="eastAsia" w:ascii="宋体" w:hAnsi="宋体"/>
          <w:sz w:val="24"/>
        </w:rPr>
        <w:t>2</w:t>
      </w:r>
      <w:r>
        <w:rPr>
          <w:rFonts w:ascii="宋体" w:hAnsi="宋体"/>
          <w:sz w:val="24"/>
        </w:rPr>
        <w:t>.2.1</w:t>
      </w:r>
      <w:r>
        <w:rPr>
          <w:rFonts w:hint="eastAsia" w:ascii="宋体" w:hAnsi="宋体"/>
          <w:sz w:val="24"/>
        </w:rPr>
        <w:t>通用要求</w:t>
      </w:r>
    </w:p>
    <w:p w14:paraId="5C01AC48">
      <w:pPr>
        <w:spacing w:line="360" w:lineRule="auto"/>
        <w:ind w:firstLine="480"/>
        <w:rPr>
          <w:rFonts w:ascii="宋体" w:hAnsi="宋体"/>
          <w:sz w:val="24"/>
        </w:rPr>
      </w:pPr>
      <w:r>
        <w:rPr>
          <w:rFonts w:hint="eastAsia" w:ascii="宋体" w:hAnsi="宋体"/>
          <w:sz w:val="24"/>
        </w:rPr>
        <w:t>2</w:t>
      </w:r>
      <w:r>
        <w:rPr>
          <w:rFonts w:ascii="宋体" w:hAnsi="宋体"/>
          <w:sz w:val="24"/>
        </w:rPr>
        <w:t>.2.1.1</w:t>
      </w:r>
      <w:r>
        <w:rPr>
          <w:rFonts w:hint="eastAsia" w:ascii="宋体" w:hAnsi="宋体"/>
          <w:sz w:val="24"/>
        </w:rPr>
        <w:t>完整性要求</w:t>
      </w:r>
    </w:p>
    <w:p w14:paraId="473B25FD">
      <w:pPr>
        <w:spacing w:line="360" w:lineRule="auto"/>
        <w:ind w:firstLine="480"/>
        <w:rPr>
          <w:rFonts w:ascii="宋体" w:hAnsi="宋体"/>
          <w:sz w:val="24"/>
        </w:rPr>
      </w:pPr>
      <w:r>
        <w:rPr>
          <w:rFonts w:hint="eastAsia" w:ascii="宋体" w:hAnsi="宋体"/>
          <w:sz w:val="24"/>
        </w:rPr>
        <w:t>防汛设施</w:t>
      </w:r>
      <w:r>
        <w:rPr>
          <w:rFonts w:ascii="宋体" w:hAnsi="宋体"/>
          <w:sz w:val="24"/>
        </w:rPr>
        <w:t>部件应齐全、完整，不缺损、不丢失部件。</w:t>
      </w:r>
    </w:p>
    <w:p w14:paraId="432D40F6">
      <w:pPr>
        <w:spacing w:line="360" w:lineRule="auto"/>
        <w:ind w:firstLine="480"/>
        <w:rPr>
          <w:rFonts w:ascii="宋体" w:hAnsi="宋体"/>
          <w:sz w:val="24"/>
        </w:rPr>
      </w:pPr>
      <w:r>
        <w:rPr>
          <w:rFonts w:hint="eastAsia" w:ascii="宋体" w:hAnsi="宋体"/>
          <w:sz w:val="24"/>
        </w:rPr>
        <w:t>2</w:t>
      </w:r>
      <w:r>
        <w:rPr>
          <w:rFonts w:ascii="宋体" w:hAnsi="宋体"/>
          <w:sz w:val="24"/>
        </w:rPr>
        <w:t>.2.1.2</w:t>
      </w:r>
      <w:r>
        <w:rPr>
          <w:rFonts w:hint="eastAsia" w:ascii="宋体" w:hAnsi="宋体"/>
          <w:sz w:val="24"/>
        </w:rPr>
        <w:t>基础与支撑结构要求</w:t>
      </w:r>
    </w:p>
    <w:p w14:paraId="3A220658">
      <w:pPr>
        <w:spacing w:line="360" w:lineRule="auto"/>
        <w:ind w:firstLine="480"/>
        <w:rPr>
          <w:rFonts w:ascii="宋体" w:hAnsi="宋体"/>
          <w:sz w:val="24"/>
        </w:rPr>
      </w:pPr>
      <w:r>
        <w:rPr>
          <w:rFonts w:hint="eastAsia" w:ascii="宋体" w:hAnsi="宋体"/>
          <w:sz w:val="24"/>
        </w:rPr>
        <w:t>具有支撑基础和支撑结构的防汛设施，其通用要求如下：</w:t>
      </w:r>
    </w:p>
    <w:p w14:paraId="465A23CD">
      <w:pPr>
        <w:numPr>
          <w:ilvl w:val="0"/>
          <w:numId w:val="14"/>
        </w:numPr>
        <w:adjustRightInd w:val="0"/>
        <w:spacing w:line="360" w:lineRule="auto"/>
        <w:rPr>
          <w:rFonts w:ascii="宋体" w:hAnsi="宋体"/>
          <w:color w:val="000000"/>
          <w:sz w:val="24"/>
        </w:rPr>
      </w:pPr>
      <w:r>
        <w:rPr>
          <w:rFonts w:ascii="宋体" w:hAnsi="宋体"/>
          <w:color w:val="000000"/>
          <w:sz w:val="24"/>
        </w:rPr>
        <w:t>基础应完整、不碎裂、无掉角和无影响强度的裂纹，基础配筋不裸露，表面无损边、无积水。</w:t>
      </w:r>
    </w:p>
    <w:p w14:paraId="0B1C5468">
      <w:pPr>
        <w:numPr>
          <w:ilvl w:val="0"/>
          <w:numId w:val="14"/>
        </w:numPr>
        <w:adjustRightInd w:val="0"/>
        <w:spacing w:line="360" w:lineRule="auto"/>
        <w:rPr>
          <w:rFonts w:ascii="宋体" w:hAnsi="宋体"/>
          <w:color w:val="000000"/>
          <w:sz w:val="24"/>
        </w:rPr>
      </w:pPr>
      <w:r>
        <w:rPr>
          <w:rFonts w:ascii="宋体" w:hAnsi="宋体"/>
          <w:color w:val="000000"/>
          <w:sz w:val="24"/>
        </w:rPr>
        <w:t>支撑结构应无明显歪斜，立柱防腐层无剥落、无锈蚀。</w:t>
      </w:r>
    </w:p>
    <w:p w14:paraId="58DEC098">
      <w:pPr>
        <w:numPr>
          <w:ilvl w:val="0"/>
          <w:numId w:val="14"/>
        </w:numPr>
        <w:adjustRightInd w:val="0"/>
        <w:spacing w:line="360" w:lineRule="auto"/>
        <w:rPr>
          <w:rFonts w:ascii="宋体" w:hAnsi="宋体"/>
          <w:color w:val="000000"/>
          <w:sz w:val="24"/>
        </w:rPr>
      </w:pPr>
      <w:r>
        <w:rPr>
          <w:rFonts w:ascii="宋体" w:hAnsi="宋体"/>
          <w:color w:val="000000"/>
          <w:sz w:val="24"/>
        </w:rPr>
        <w:t>支撑结构上避雷针、接闪器部件完整，并与接地极可靠连接。</w:t>
      </w:r>
    </w:p>
    <w:p w14:paraId="748F6480">
      <w:pPr>
        <w:spacing w:line="360" w:lineRule="auto"/>
        <w:ind w:firstLine="480"/>
        <w:rPr>
          <w:rFonts w:ascii="宋体" w:hAnsi="宋体"/>
          <w:sz w:val="24"/>
        </w:rPr>
      </w:pPr>
      <w:r>
        <w:rPr>
          <w:rFonts w:hint="eastAsia" w:ascii="宋体" w:hAnsi="宋体"/>
          <w:sz w:val="24"/>
        </w:rPr>
        <w:t>2</w:t>
      </w:r>
      <w:r>
        <w:rPr>
          <w:rFonts w:ascii="宋体" w:hAnsi="宋体"/>
          <w:sz w:val="24"/>
        </w:rPr>
        <w:t>.2.1.3</w:t>
      </w:r>
      <w:r>
        <w:rPr>
          <w:rFonts w:hint="eastAsia" w:ascii="宋体" w:hAnsi="宋体"/>
          <w:sz w:val="24"/>
        </w:rPr>
        <w:t>机箱质量外观要求</w:t>
      </w:r>
    </w:p>
    <w:p w14:paraId="3C0F882C">
      <w:pPr>
        <w:numPr>
          <w:ilvl w:val="0"/>
          <w:numId w:val="15"/>
        </w:numPr>
        <w:adjustRightInd w:val="0"/>
        <w:spacing w:line="360" w:lineRule="auto"/>
        <w:rPr>
          <w:rFonts w:ascii="宋体" w:hAnsi="宋体"/>
          <w:sz w:val="24"/>
        </w:rPr>
      </w:pPr>
      <w:r>
        <w:rPr>
          <w:rFonts w:ascii="宋体" w:hAnsi="宋体"/>
          <w:sz w:val="24"/>
        </w:rPr>
        <w:t>机箱外壳无溅落物等污渍及寄生动物巢穴，底部无明显泥土及水渍。</w:t>
      </w:r>
    </w:p>
    <w:p w14:paraId="3AE7DB9F">
      <w:pPr>
        <w:numPr>
          <w:ilvl w:val="0"/>
          <w:numId w:val="15"/>
        </w:numPr>
        <w:adjustRightInd w:val="0"/>
        <w:spacing w:line="360" w:lineRule="auto"/>
        <w:rPr>
          <w:rFonts w:ascii="宋体" w:hAnsi="宋体"/>
          <w:sz w:val="24"/>
        </w:rPr>
      </w:pPr>
      <w:r>
        <w:rPr>
          <w:rFonts w:ascii="宋体" w:hAnsi="宋体"/>
          <w:sz w:val="24"/>
        </w:rPr>
        <w:t>表面防腐层无剥落、无锈蚀，门锁不锈蚀、开闭灵活。</w:t>
      </w:r>
    </w:p>
    <w:p w14:paraId="6BE14238">
      <w:pPr>
        <w:numPr>
          <w:ilvl w:val="0"/>
          <w:numId w:val="15"/>
        </w:numPr>
        <w:adjustRightInd w:val="0"/>
        <w:spacing w:line="360" w:lineRule="auto"/>
        <w:rPr>
          <w:rFonts w:ascii="宋体" w:hAnsi="宋体"/>
          <w:sz w:val="24"/>
        </w:rPr>
      </w:pPr>
      <w:r>
        <w:rPr>
          <w:rFonts w:ascii="宋体" w:hAnsi="宋体"/>
          <w:sz w:val="24"/>
        </w:rPr>
        <w:t>机箱门密封胶条不粘、不硬、不老化。</w:t>
      </w:r>
    </w:p>
    <w:p w14:paraId="3BB647EB">
      <w:pPr>
        <w:spacing w:line="360" w:lineRule="auto"/>
        <w:ind w:firstLine="480"/>
        <w:rPr>
          <w:rFonts w:ascii="宋体" w:hAnsi="宋体"/>
          <w:sz w:val="24"/>
        </w:rPr>
      </w:pPr>
      <w:r>
        <w:rPr>
          <w:rFonts w:hint="eastAsia" w:ascii="宋体" w:hAnsi="宋体"/>
          <w:sz w:val="24"/>
        </w:rPr>
        <w:t>2</w:t>
      </w:r>
      <w:r>
        <w:rPr>
          <w:rFonts w:ascii="宋体" w:hAnsi="宋体"/>
          <w:sz w:val="24"/>
        </w:rPr>
        <w:t>.2.1.4</w:t>
      </w:r>
      <w:r>
        <w:rPr>
          <w:rFonts w:hint="eastAsia" w:ascii="宋体" w:hAnsi="宋体"/>
          <w:sz w:val="24"/>
        </w:rPr>
        <w:t>电气安全性要求</w:t>
      </w:r>
    </w:p>
    <w:p w14:paraId="5AF1D9A9">
      <w:pPr>
        <w:numPr>
          <w:ilvl w:val="0"/>
          <w:numId w:val="16"/>
        </w:numPr>
        <w:adjustRightInd w:val="0"/>
        <w:spacing w:line="360" w:lineRule="auto"/>
        <w:rPr>
          <w:rFonts w:ascii="宋体" w:hAnsi="宋体"/>
          <w:sz w:val="24"/>
        </w:rPr>
      </w:pPr>
      <w:r>
        <w:rPr>
          <w:rFonts w:ascii="宋体" w:hAnsi="宋体"/>
          <w:sz w:val="24"/>
        </w:rPr>
        <w:t>机箱内电源接线端子对机壳的绝缘电阻应≥50MΩ。</w:t>
      </w:r>
    </w:p>
    <w:p w14:paraId="0B3819B1">
      <w:pPr>
        <w:numPr>
          <w:ilvl w:val="0"/>
          <w:numId w:val="16"/>
        </w:numPr>
        <w:adjustRightInd w:val="0"/>
        <w:spacing w:line="360" w:lineRule="auto"/>
        <w:rPr>
          <w:rFonts w:ascii="宋体" w:hAnsi="宋体"/>
          <w:sz w:val="24"/>
        </w:rPr>
      </w:pPr>
      <w:r>
        <w:rPr>
          <w:rFonts w:ascii="宋体" w:hAnsi="宋体"/>
          <w:sz w:val="24"/>
        </w:rPr>
        <w:t>接地端子与机壳连接可靠，接地端子与机壳的连接电阻应≤4Ω。</w:t>
      </w:r>
    </w:p>
    <w:p w14:paraId="023E40FE">
      <w:pPr>
        <w:numPr>
          <w:ilvl w:val="0"/>
          <w:numId w:val="16"/>
        </w:numPr>
        <w:adjustRightInd w:val="0"/>
        <w:spacing w:line="360" w:lineRule="auto"/>
        <w:rPr>
          <w:rFonts w:ascii="宋体" w:hAnsi="宋体"/>
          <w:sz w:val="24"/>
        </w:rPr>
      </w:pPr>
      <w:r>
        <w:rPr>
          <w:rFonts w:ascii="宋体" w:hAnsi="宋体"/>
          <w:sz w:val="24"/>
        </w:rPr>
        <w:t>供电接口和控制接口应采取必要的防雷电和过电压保护措施，防雷接地电阻应≤10Ω。</w:t>
      </w:r>
    </w:p>
    <w:p w14:paraId="295011C3">
      <w:pPr>
        <w:spacing w:line="360" w:lineRule="auto"/>
        <w:ind w:firstLine="480"/>
        <w:rPr>
          <w:rFonts w:ascii="宋体" w:hAnsi="宋体"/>
          <w:sz w:val="24"/>
        </w:rPr>
      </w:pPr>
      <w:r>
        <w:rPr>
          <w:rFonts w:hint="eastAsia" w:ascii="宋体" w:hAnsi="宋体"/>
          <w:sz w:val="24"/>
        </w:rPr>
        <w:t>2</w:t>
      </w:r>
      <w:r>
        <w:rPr>
          <w:rFonts w:ascii="宋体" w:hAnsi="宋体"/>
          <w:sz w:val="24"/>
        </w:rPr>
        <w:t>.2.1.5</w:t>
      </w:r>
      <w:r>
        <w:rPr>
          <w:rFonts w:hint="eastAsia" w:ascii="宋体" w:hAnsi="宋体"/>
          <w:sz w:val="24"/>
        </w:rPr>
        <w:t>设备整机移位</w:t>
      </w:r>
    </w:p>
    <w:p w14:paraId="7FC6363D">
      <w:pPr>
        <w:spacing w:line="360" w:lineRule="auto"/>
        <w:ind w:firstLine="480"/>
        <w:rPr>
          <w:rFonts w:ascii="宋体" w:hAnsi="宋体"/>
          <w:sz w:val="24"/>
        </w:rPr>
      </w:pPr>
      <w:r>
        <w:rPr>
          <w:rFonts w:ascii="宋体" w:hAnsi="宋体"/>
          <w:sz w:val="24"/>
        </w:rPr>
        <w:t>当</w:t>
      </w:r>
      <w:r>
        <w:rPr>
          <w:rFonts w:hint="eastAsia" w:ascii="宋体" w:hAnsi="宋体"/>
          <w:sz w:val="24"/>
        </w:rPr>
        <w:t>防汛</w:t>
      </w:r>
      <w:r>
        <w:rPr>
          <w:rFonts w:ascii="宋体" w:hAnsi="宋体"/>
          <w:sz w:val="24"/>
        </w:rPr>
        <w:t>设施所在路段改造或其他原因需要移位时，移位后</w:t>
      </w:r>
      <w:r>
        <w:rPr>
          <w:rFonts w:hint="eastAsia" w:ascii="宋体" w:hAnsi="宋体"/>
          <w:sz w:val="24"/>
        </w:rPr>
        <w:t>防汛</w:t>
      </w:r>
      <w:r>
        <w:rPr>
          <w:rFonts w:ascii="宋体" w:hAnsi="宋体"/>
          <w:sz w:val="24"/>
        </w:rPr>
        <w:t>设施的性能指标应符合设计要求。</w:t>
      </w:r>
    </w:p>
    <w:p w14:paraId="721BAF2E">
      <w:pPr>
        <w:spacing w:line="360" w:lineRule="auto"/>
        <w:ind w:firstLine="480"/>
        <w:rPr>
          <w:rFonts w:ascii="宋体" w:hAnsi="宋体"/>
          <w:sz w:val="24"/>
        </w:rPr>
      </w:pPr>
      <w:r>
        <w:rPr>
          <w:rFonts w:hint="eastAsia" w:ascii="宋体" w:hAnsi="宋体"/>
          <w:sz w:val="24"/>
        </w:rPr>
        <w:t>2</w:t>
      </w:r>
      <w:r>
        <w:rPr>
          <w:rFonts w:ascii="宋体" w:hAnsi="宋体"/>
          <w:sz w:val="24"/>
        </w:rPr>
        <w:t>.2.1.6</w:t>
      </w:r>
      <w:r>
        <w:rPr>
          <w:rFonts w:hint="eastAsia" w:ascii="宋体" w:hAnsi="宋体"/>
          <w:sz w:val="24"/>
        </w:rPr>
        <w:t>备品备件要求</w:t>
      </w:r>
    </w:p>
    <w:p w14:paraId="2B1C5CA4">
      <w:pPr>
        <w:spacing w:line="360" w:lineRule="auto"/>
        <w:ind w:firstLine="480"/>
        <w:rPr>
          <w:rFonts w:ascii="宋体" w:hAnsi="宋体"/>
          <w:sz w:val="24"/>
        </w:rPr>
      </w:pPr>
      <w:r>
        <w:rPr>
          <w:rFonts w:hint="eastAsia" w:ascii="宋体" w:hAnsi="宋体"/>
          <w:sz w:val="24"/>
        </w:rPr>
        <w:t>1、</w:t>
      </w:r>
      <w:r>
        <w:rPr>
          <w:rFonts w:ascii="宋体" w:hAnsi="宋体"/>
          <w:sz w:val="24"/>
        </w:rPr>
        <w:t>运维管理部门应</w:t>
      </w:r>
      <w:r>
        <w:rPr>
          <w:rFonts w:hint="eastAsia" w:ascii="宋体" w:hAnsi="宋体"/>
          <w:sz w:val="24"/>
        </w:rPr>
        <w:t>结合运维工作实际需求，预先购置存储一定数量的</w:t>
      </w:r>
      <w:r>
        <w:rPr>
          <w:rFonts w:ascii="宋体" w:hAnsi="宋体"/>
          <w:sz w:val="24"/>
        </w:rPr>
        <w:t>备品备件</w:t>
      </w:r>
      <w:r>
        <w:rPr>
          <w:rFonts w:hint="eastAsia" w:ascii="宋体" w:hAnsi="宋体"/>
          <w:sz w:val="24"/>
        </w:rPr>
        <w:t>，在汛期尤其在雨季来临前，必须对出现意外情况的故障设备予以及时更换维修，保证监测设备的稳定运行。</w:t>
      </w:r>
    </w:p>
    <w:p w14:paraId="7A1ACCD3">
      <w:pPr>
        <w:spacing w:line="360" w:lineRule="auto"/>
        <w:ind w:firstLine="480"/>
        <w:rPr>
          <w:rFonts w:ascii="宋体" w:hAnsi="宋体"/>
          <w:sz w:val="24"/>
        </w:rPr>
      </w:pPr>
      <w:r>
        <w:rPr>
          <w:rFonts w:ascii="宋体" w:hAnsi="宋体"/>
          <w:sz w:val="24"/>
        </w:rPr>
        <w:t>2</w:t>
      </w:r>
      <w:r>
        <w:rPr>
          <w:rFonts w:hint="eastAsia" w:ascii="宋体" w:hAnsi="宋体"/>
          <w:sz w:val="24"/>
        </w:rPr>
        <w:t>、</w:t>
      </w:r>
      <w:r>
        <w:rPr>
          <w:rFonts w:ascii="宋体" w:hAnsi="宋体"/>
          <w:sz w:val="24"/>
        </w:rPr>
        <w:t>运维管理部门</w:t>
      </w:r>
      <w:r>
        <w:rPr>
          <w:rFonts w:hint="eastAsia" w:ascii="宋体" w:hAnsi="宋体"/>
          <w:sz w:val="24"/>
        </w:rPr>
        <w:t>应根据防汛</w:t>
      </w:r>
      <w:r>
        <w:rPr>
          <w:rFonts w:ascii="宋体" w:hAnsi="宋体"/>
          <w:sz w:val="24"/>
        </w:rPr>
        <w:t>设施</w:t>
      </w:r>
      <w:r>
        <w:rPr>
          <w:rFonts w:hint="eastAsia" w:ascii="宋体" w:hAnsi="宋体"/>
          <w:sz w:val="24"/>
        </w:rPr>
        <w:t>故障发生情况</w:t>
      </w:r>
      <w:r>
        <w:rPr>
          <w:rFonts w:ascii="宋体" w:hAnsi="宋体"/>
          <w:sz w:val="24"/>
        </w:rPr>
        <w:t>及维修时限</w:t>
      </w:r>
      <w:r>
        <w:rPr>
          <w:rFonts w:hint="eastAsia" w:ascii="宋体" w:hAnsi="宋体"/>
          <w:sz w:val="24"/>
        </w:rPr>
        <w:t>要求</w:t>
      </w:r>
      <w:r>
        <w:rPr>
          <w:rFonts w:ascii="宋体" w:hAnsi="宋体"/>
          <w:sz w:val="24"/>
        </w:rPr>
        <w:t>，合理确定所需备品备件的数量。</w:t>
      </w:r>
    </w:p>
    <w:p w14:paraId="7130C544">
      <w:pPr>
        <w:spacing w:line="360" w:lineRule="auto"/>
        <w:ind w:firstLine="480"/>
        <w:rPr>
          <w:rFonts w:ascii="宋体" w:hAnsi="宋体"/>
          <w:sz w:val="24"/>
        </w:rPr>
      </w:pPr>
      <w:r>
        <w:rPr>
          <w:rFonts w:hint="eastAsia" w:ascii="宋体" w:hAnsi="宋体"/>
          <w:sz w:val="24"/>
        </w:rPr>
        <w:t>2</w:t>
      </w:r>
      <w:r>
        <w:rPr>
          <w:rFonts w:ascii="宋体" w:hAnsi="宋体"/>
          <w:sz w:val="24"/>
        </w:rPr>
        <w:t>.2.2</w:t>
      </w:r>
      <w:r>
        <w:rPr>
          <w:rFonts w:hint="eastAsia" w:ascii="宋体" w:hAnsi="宋体"/>
          <w:sz w:val="24"/>
        </w:rPr>
        <w:t>运维质量要求</w:t>
      </w:r>
    </w:p>
    <w:p w14:paraId="770CC367">
      <w:pPr>
        <w:spacing w:line="360" w:lineRule="auto"/>
        <w:ind w:firstLine="480"/>
        <w:rPr>
          <w:rFonts w:ascii="宋体" w:hAnsi="宋体"/>
          <w:sz w:val="24"/>
        </w:rPr>
      </w:pPr>
      <w:r>
        <w:rPr>
          <w:rFonts w:hint="eastAsia" w:ascii="宋体" w:hAnsi="宋体"/>
          <w:sz w:val="24"/>
        </w:rPr>
        <w:t>2</w:t>
      </w:r>
      <w:r>
        <w:rPr>
          <w:rFonts w:ascii="宋体" w:hAnsi="宋体"/>
          <w:sz w:val="24"/>
        </w:rPr>
        <w:t>.2.2.1</w:t>
      </w:r>
      <w:r>
        <w:rPr>
          <w:rFonts w:hint="eastAsia" w:ascii="宋体" w:hAnsi="宋体"/>
          <w:sz w:val="24"/>
        </w:rPr>
        <w:t>防汛设施设备运维质量要求</w:t>
      </w:r>
    </w:p>
    <w:p w14:paraId="3FB13071">
      <w:pPr>
        <w:spacing w:line="360" w:lineRule="auto"/>
        <w:ind w:firstLine="480"/>
        <w:rPr>
          <w:rFonts w:ascii="宋体" w:hAnsi="宋体"/>
          <w:sz w:val="24"/>
        </w:rPr>
      </w:pPr>
      <w:r>
        <w:rPr>
          <w:rFonts w:hint="eastAsia" w:ascii="宋体" w:hAnsi="宋体"/>
          <w:sz w:val="24"/>
        </w:rPr>
        <w:t>防汛设施按照运维要求实施日常检查、定期维护、定期检测和故障修复后，单个设备的正常工作率应满足以下要求：</w:t>
      </w:r>
    </w:p>
    <w:p w14:paraId="0B9C39CB">
      <w:pPr>
        <w:spacing w:line="360" w:lineRule="auto"/>
        <w:ind w:firstLine="480"/>
        <w:rPr>
          <w:rFonts w:ascii="宋体" w:hAnsi="宋体"/>
          <w:sz w:val="24"/>
        </w:rPr>
      </w:pPr>
      <w:r>
        <w:rPr>
          <w:rFonts w:hint="eastAsia" w:ascii="宋体" w:hAnsi="宋体"/>
          <w:sz w:val="24"/>
        </w:rPr>
        <w:t>a）防汛积水监测设备的正常工作率应不低于9</w:t>
      </w:r>
      <w:r>
        <w:rPr>
          <w:rFonts w:ascii="宋体" w:hAnsi="宋体"/>
          <w:sz w:val="24"/>
        </w:rPr>
        <w:t>9</w:t>
      </w:r>
      <w:r>
        <w:rPr>
          <w:rFonts w:hint="eastAsia" w:ascii="宋体" w:hAnsi="宋体"/>
          <w:sz w:val="24"/>
        </w:rPr>
        <w:t>%。</w:t>
      </w:r>
    </w:p>
    <w:p w14:paraId="582C3A7C">
      <w:pPr>
        <w:spacing w:line="360" w:lineRule="auto"/>
        <w:ind w:firstLine="480"/>
        <w:rPr>
          <w:rFonts w:ascii="宋体" w:hAnsi="宋体"/>
          <w:sz w:val="24"/>
        </w:rPr>
      </w:pPr>
      <w:r>
        <w:rPr>
          <w:rFonts w:hint="eastAsia" w:ascii="宋体" w:hAnsi="宋体"/>
          <w:sz w:val="24"/>
        </w:rPr>
        <w:t>b）其他类支持设施设备的正常工作率应不低于9</w:t>
      </w:r>
      <w:r>
        <w:rPr>
          <w:rFonts w:ascii="宋体" w:hAnsi="宋体"/>
          <w:sz w:val="24"/>
        </w:rPr>
        <w:t>9</w:t>
      </w:r>
      <w:r>
        <w:rPr>
          <w:rFonts w:hint="eastAsia" w:ascii="宋体" w:hAnsi="宋体"/>
          <w:sz w:val="24"/>
        </w:rPr>
        <w:t>%。</w:t>
      </w:r>
    </w:p>
    <w:p w14:paraId="33CC9544">
      <w:pPr>
        <w:spacing w:line="360" w:lineRule="auto"/>
        <w:ind w:firstLine="480"/>
        <w:rPr>
          <w:rFonts w:ascii="宋体" w:hAnsi="宋体"/>
          <w:sz w:val="24"/>
        </w:rPr>
      </w:pPr>
      <w:r>
        <w:rPr>
          <w:rFonts w:hint="eastAsia" w:ascii="宋体" w:hAnsi="宋体"/>
          <w:sz w:val="24"/>
        </w:rPr>
        <w:t>防汛设施运维质量可按月或按季度进行统计分析。</w:t>
      </w:r>
    </w:p>
    <w:p w14:paraId="4A8732F6">
      <w:pPr>
        <w:spacing w:line="360" w:lineRule="auto"/>
        <w:ind w:firstLine="480"/>
        <w:rPr>
          <w:rFonts w:ascii="宋体" w:hAnsi="宋体"/>
          <w:sz w:val="24"/>
        </w:rPr>
      </w:pPr>
      <w:r>
        <w:rPr>
          <w:rFonts w:hint="eastAsia" w:ascii="宋体" w:hAnsi="宋体"/>
          <w:sz w:val="24"/>
        </w:rPr>
        <w:t>2</w:t>
      </w:r>
      <w:r>
        <w:rPr>
          <w:rFonts w:ascii="宋体" w:hAnsi="宋体"/>
          <w:sz w:val="24"/>
        </w:rPr>
        <w:t>.2.2.2</w:t>
      </w:r>
      <w:r>
        <w:rPr>
          <w:rFonts w:hint="eastAsia" w:ascii="宋体" w:hAnsi="宋体"/>
          <w:sz w:val="24"/>
        </w:rPr>
        <w:t>防汛软件系统运维质量要求</w:t>
      </w:r>
    </w:p>
    <w:p w14:paraId="3FBAD85D">
      <w:pPr>
        <w:numPr>
          <w:ilvl w:val="0"/>
          <w:numId w:val="17"/>
        </w:numPr>
        <w:adjustRightInd w:val="0"/>
        <w:spacing w:line="360" w:lineRule="auto"/>
        <w:rPr>
          <w:rFonts w:ascii="宋体" w:hAnsi="宋体"/>
          <w:sz w:val="24"/>
        </w:rPr>
      </w:pPr>
      <w:r>
        <w:rPr>
          <w:rFonts w:hint="eastAsia" w:ascii="宋体" w:hAnsi="宋体"/>
          <w:sz w:val="24"/>
        </w:rPr>
        <w:t>应用系统可用率</w:t>
      </w:r>
      <w:r>
        <w:rPr>
          <w:rFonts w:ascii="宋体" w:hAnsi="宋体"/>
          <w:sz w:val="24"/>
        </w:rPr>
        <w:t>≥99</w:t>
      </w:r>
      <w:r>
        <w:rPr>
          <w:rFonts w:hint="eastAsia" w:ascii="宋体" w:hAnsi="宋体"/>
          <w:sz w:val="24"/>
        </w:rPr>
        <w:t>% (即每年</w:t>
      </w:r>
      <w:r>
        <w:rPr>
          <w:rFonts w:ascii="宋体" w:hAnsi="宋体"/>
          <w:sz w:val="24"/>
        </w:rPr>
        <w:t>24×365</w:t>
      </w:r>
      <w:r>
        <w:rPr>
          <w:rFonts w:hint="eastAsia" w:ascii="宋体" w:hAnsi="宋体"/>
          <w:sz w:val="24"/>
        </w:rPr>
        <w:t xml:space="preserve">中，工作日之外和系统发布、更新导致的系统不可用排除); </w:t>
      </w:r>
    </w:p>
    <w:p w14:paraId="7E0B4F2F">
      <w:pPr>
        <w:numPr>
          <w:ilvl w:val="0"/>
          <w:numId w:val="17"/>
        </w:numPr>
        <w:adjustRightInd w:val="0"/>
        <w:spacing w:line="360" w:lineRule="auto"/>
        <w:rPr>
          <w:rFonts w:ascii="宋体" w:hAnsi="宋体"/>
          <w:sz w:val="24"/>
        </w:rPr>
      </w:pPr>
      <w:r>
        <w:rPr>
          <w:rFonts w:ascii="宋体" w:hAnsi="宋体"/>
          <w:sz w:val="24"/>
        </w:rPr>
        <w:t>系统要求7×24小时运行，每年因故障停止时间累计不超过24小时，故障次数不超过5次</w:t>
      </w:r>
      <w:r>
        <w:rPr>
          <w:rFonts w:hint="eastAsia" w:ascii="宋体" w:hAnsi="宋体"/>
          <w:sz w:val="24"/>
        </w:rPr>
        <w:t>（不可抗拒的原因除外）</w:t>
      </w:r>
      <w:r>
        <w:rPr>
          <w:rFonts w:ascii="宋体" w:hAnsi="宋体"/>
          <w:sz w:val="24"/>
        </w:rPr>
        <w:t>，当主系统发生故障，系统能提供备用路径完成该项任务。</w:t>
      </w:r>
    </w:p>
    <w:p w14:paraId="12E9B164">
      <w:pPr>
        <w:numPr>
          <w:ilvl w:val="0"/>
          <w:numId w:val="17"/>
        </w:numPr>
        <w:adjustRightInd w:val="0"/>
        <w:spacing w:line="360" w:lineRule="auto"/>
        <w:rPr>
          <w:rFonts w:ascii="宋体" w:hAnsi="宋体"/>
          <w:sz w:val="24"/>
        </w:rPr>
      </w:pPr>
      <w:r>
        <w:rPr>
          <w:rFonts w:ascii="宋体" w:hAnsi="宋体"/>
          <w:sz w:val="24"/>
        </w:rPr>
        <w:t>软件系统</w:t>
      </w:r>
      <w:r>
        <w:rPr>
          <w:rFonts w:hint="eastAsia" w:ascii="宋体" w:hAnsi="宋体"/>
          <w:sz w:val="24"/>
        </w:rPr>
        <w:t>年</w:t>
      </w:r>
      <w:r>
        <w:rPr>
          <w:rFonts w:ascii="宋体" w:hAnsi="宋体"/>
          <w:sz w:val="24"/>
        </w:rPr>
        <w:t>均</w:t>
      </w:r>
      <w:r>
        <w:rPr>
          <w:rFonts w:hint="eastAsia" w:ascii="宋体" w:hAnsi="宋体"/>
          <w:sz w:val="24"/>
        </w:rPr>
        <w:t>连续</w:t>
      </w:r>
      <w:r>
        <w:rPr>
          <w:rFonts w:ascii="宋体" w:hAnsi="宋体"/>
          <w:sz w:val="24"/>
        </w:rPr>
        <w:t>无故障时间（MTBF）应超过</w:t>
      </w:r>
      <w:r>
        <w:rPr>
          <w:rFonts w:hint="eastAsia" w:ascii="宋体" w:hAnsi="宋体"/>
          <w:sz w:val="24"/>
        </w:rPr>
        <w:t>5</w:t>
      </w:r>
      <w:r>
        <w:rPr>
          <w:rFonts w:ascii="宋体" w:hAnsi="宋体"/>
          <w:sz w:val="24"/>
        </w:rPr>
        <w:t>000小时。</w:t>
      </w:r>
    </w:p>
    <w:p w14:paraId="2A4711C9">
      <w:pPr>
        <w:numPr>
          <w:ilvl w:val="0"/>
          <w:numId w:val="17"/>
        </w:numPr>
        <w:adjustRightInd w:val="0"/>
        <w:spacing w:line="360" w:lineRule="auto"/>
        <w:rPr>
          <w:rFonts w:ascii="宋体" w:hAnsi="宋体"/>
          <w:sz w:val="24"/>
        </w:rPr>
      </w:pPr>
      <w:r>
        <w:rPr>
          <w:rFonts w:hint="eastAsia" w:ascii="宋体" w:hAnsi="宋体"/>
          <w:sz w:val="24"/>
        </w:rPr>
        <w:t>全年不发生乙方责任网络信息安全事故。</w:t>
      </w:r>
    </w:p>
    <w:p w14:paraId="0382184D">
      <w:pPr>
        <w:spacing w:line="360" w:lineRule="auto"/>
        <w:ind w:firstLine="480"/>
        <w:rPr>
          <w:rFonts w:ascii="宋体" w:hAnsi="宋体"/>
          <w:sz w:val="24"/>
        </w:rPr>
      </w:pPr>
      <w:r>
        <w:rPr>
          <w:rFonts w:hint="eastAsia" w:ascii="宋体" w:hAnsi="宋体"/>
          <w:sz w:val="24"/>
        </w:rPr>
        <w:t>2</w:t>
      </w:r>
      <w:r>
        <w:rPr>
          <w:rFonts w:ascii="宋体" w:hAnsi="宋体"/>
          <w:sz w:val="24"/>
        </w:rPr>
        <w:t>.2.3</w:t>
      </w:r>
      <w:r>
        <w:rPr>
          <w:rFonts w:hint="eastAsia" w:ascii="宋体" w:hAnsi="宋体"/>
          <w:sz w:val="24"/>
        </w:rPr>
        <w:t>运维技术要求</w:t>
      </w:r>
    </w:p>
    <w:p w14:paraId="30EAF201">
      <w:pPr>
        <w:spacing w:line="360" w:lineRule="auto"/>
        <w:ind w:firstLine="480"/>
        <w:rPr>
          <w:rFonts w:ascii="宋体" w:hAnsi="宋体"/>
          <w:sz w:val="24"/>
        </w:rPr>
      </w:pPr>
      <w:r>
        <w:rPr>
          <w:rFonts w:hint="eastAsia" w:ascii="宋体" w:hAnsi="宋体"/>
          <w:sz w:val="24"/>
        </w:rPr>
        <w:t>2</w:t>
      </w:r>
      <w:r>
        <w:rPr>
          <w:rFonts w:ascii="宋体" w:hAnsi="宋体"/>
          <w:sz w:val="24"/>
        </w:rPr>
        <w:t>.2.3.1</w:t>
      </w:r>
      <w:r>
        <w:rPr>
          <w:rFonts w:hint="eastAsia" w:ascii="宋体" w:hAnsi="宋体"/>
          <w:sz w:val="24"/>
        </w:rPr>
        <w:t>防汛设施设备运维技术要求</w:t>
      </w:r>
    </w:p>
    <w:p w14:paraId="4052D466">
      <w:pPr>
        <w:spacing w:line="360" w:lineRule="auto"/>
        <w:ind w:firstLine="480"/>
        <w:rPr>
          <w:rFonts w:ascii="宋体" w:hAnsi="宋体"/>
          <w:sz w:val="24"/>
        </w:rPr>
      </w:pPr>
      <w:r>
        <w:rPr>
          <w:rFonts w:hint="eastAsia" w:ascii="宋体" w:hAnsi="宋体"/>
          <w:sz w:val="24"/>
        </w:rPr>
        <w:t>防汛设施设备运维服务主要是对防汛设施设备的日常检查、定期维护、定期检测和故障修复。防汛设施设备主要包括防汛积水监测设备、指挥中心大屏设备及辅助设施的运维。</w:t>
      </w:r>
    </w:p>
    <w:p w14:paraId="44AB2432">
      <w:pPr>
        <w:numPr>
          <w:ilvl w:val="0"/>
          <w:numId w:val="18"/>
        </w:numPr>
        <w:adjustRightInd w:val="0"/>
        <w:spacing w:line="360" w:lineRule="auto"/>
        <w:rPr>
          <w:rFonts w:ascii="宋体" w:hAnsi="宋体"/>
          <w:sz w:val="24"/>
        </w:rPr>
      </w:pPr>
      <w:r>
        <w:rPr>
          <w:rFonts w:hint="eastAsia" w:ascii="宋体" w:hAnsi="宋体"/>
          <w:sz w:val="24"/>
        </w:rPr>
        <w:t>积水监测设备运维技术要求</w:t>
      </w:r>
    </w:p>
    <w:p w14:paraId="74987584">
      <w:pPr>
        <w:numPr>
          <w:ilvl w:val="0"/>
          <w:numId w:val="19"/>
        </w:numPr>
        <w:adjustRightInd w:val="0"/>
        <w:spacing w:line="360" w:lineRule="auto"/>
        <w:rPr>
          <w:rFonts w:ascii="宋体" w:hAnsi="宋体"/>
          <w:sz w:val="24"/>
        </w:rPr>
      </w:pPr>
      <w:r>
        <w:rPr>
          <w:rFonts w:hint="eastAsia" w:ascii="宋体" w:hAnsi="宋体"/>
          <w:sz w:val="24"/>
        </w:rPr>
        <w:t>功能要求</w:t>
      </w:r>
    </w:p>
    <w:p w14:paraId="17E1439D">
      <w:pPr>
        <w:spacing w:line="360" w:lineRule="auto"/>
        <w:ind w:firstLine="480"/>
        <w:rPr>
          <w:rFonts w:ascii="宋体" w:hAnsi="宋体"/>
          <w:sz w:val="24"/>
        </w:rPr>
      </w:pPr>
      <w:r>
        <w:rPr>
          <w:rFonts w:ascii="宋体" w:hAnsi="宋体"/>
          <w:sz w:val="24"/>
        </w:rPr>
        <w:t>应与积水监测设备设计使用功能相一致。</w:t>
      </w:r>
    </w:p>
    <w:p w14:paraId="37EB9ED9">
      <w:pPr>
        <w:numPr>
          <w:ilvl w:val="0"/>
          <w:numId w:val="20"/>
        </w:numPr>
        <w:adjustRightInd w:val="0"/>
        <w:spacing w:line="360" w:lineRule="auto"/>
        <w:rPr>
          <w:rFonts w:ascii="宋体" w:hAnsi="宋体"/>
          <w:sz w:val="24"/>
        </w:rPr>
      </w:pPr>
      <w:r>
        <w:rPr>
          <w:rFonts w:hint="eastAsia" w:ascii="宋体" w:hAnsi="宋体"/>
          <w:sz w:val="24"/>
        </w:rPr>
        <w:t>运维内容及质量要求</w:t>
      </w:r>
    </w:p>
    <w:p w14:paraId="6539C93D">
      <w:pPr>
        <w:spacing w:line="360" w:lineRule="auto"/>
        <w:ind w:firstLine="480"/>
        <w:rPr>
          <w:rFonts w:ascii="宋体" w:hAnsi="宋体"/>
          <w:sz w:val="24"/>
        </w:rPr>
      </w:pPr>
      <w:r>
        <w:rPr>
          <w:rFonts w:ascii="宋体" w:hAnsi="宋体"/>
          <w:sz w:val="24"/>
        </w:rPr>
        <w:t>积水监测设备按照运维内容不同可分为</w:t>
      </w:r>
      <w:r>
        <w:rPr>
          <w:rFonts w:hint="eastAsia" w:ascii="宋体" w:hAnsi="宋体"/>
          <w:sz w:val="24"/>
        </w:rPr>
        <w:t>日常检查、</w:t>
      </w:r>
      <w:r>
        <w:rPr>
          <w:rFonts w:ascii="宋体" w:hAnsi="宋体"/>
          <w:sz w:val="24"/>
        </w:rPr>
        <w:t>定期维护、定期检测和</w:t>
      </w:r>
      <w:r>
        <w:rPr>
          <w:rFonts w:hint="eastAsia" w:ascii="宋体" w:hAnsi="宋体"/>
          <w:sz w:val="24"/>
        </w:rPr>
        <w:t>故障修复四</w:t>
      </w:r>
      <w:r>
        <w:rPr>
          <w:rFonts w:ascii="宋体" w:hAnsi="宋体"/>
          <w:sz w:val="24"/>
        </w:rPr>
        <w:t>个方面。</w:t>
      </w:r>
    </w:p>
    <w:p w14:paraId="74EA2444">
      <w:pPr>
        <w:spacing w:line="360" w:lineRule="auto"/>
        <w:ind w:firstLine="420"/>
        <w:jc w:val="center"/>
        <w:rPr>
          <w:rFonts w:ascii="宋体" w:hAnsi="宋体"/>
          <w:sz w:val="24"/>
        </w:rPr>
      </w:pPr>
      <w:r>
        <w:rPr>
          <w:rFonts w:hint="eastAsia" w:ascii="宋体" w:hAnsi="宋体"/>
          <w:sz w:val="24"/>
        </w:rPr>
        <w:t>表2</w:t>
      </w:r>
      <w:r>
        <w:rPr>
          <w:rFonts w:ascii="宋体" w:hAnsi="宋体"/>
          <w:sz w:val="24"/>
        </w:rPr>
        <w:t>.2.3.1</w:t>
      </w:r>
      <w:r>
        <w:rPr>
          <w:rFonts w:hint="eastAsia" w:ascii="宋体" w:hAnsi="宋体"/>
          <w:sz w:val="24"/>
        </w:rPr>
        <w:t>.</w:t>
      </w:r>
      <w:r>
        <w:rPr>
          <w:rFonts w:ascii="宋体" w:hAnsi="宋体"/>
          <w:sz w:val="24"/>
        </w:rPr>
        <w:t>1积水监测设备维护内容与质量要求</w:t>
      </w:r>
    </w:p>
    <w:tbl>
      <w:tblPr>
        <w:tblStyle w:val="42"/>
        <w:tblW w:w="5000" w:type="pct"/>
        <w:tblInd w:w="123"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1339"/>
        <w:gridCol w:w="1336"/>
        <w:gridCol w:w="2671"/>
        <w:gridCol w:w="1736"/>
        <w:gridCol w:w="1435"/>
      </w:tblGrid>
      <w:tr w14:paraId="4D5C4690">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320" w:hRule="atLeast"/>
        </w:trPr>
        <w:tc>
          <w:tcPr>
            <w:tcW w:w="786" w:type="pct"/>
            <w:shd w:val="clear" w:color="auto" w:fill="auto"/>
            <w:vAlign w:val="center"/>
          </w:tcPr>
          <w:p w14:paraId="557E2F40">
            <w:pPr>
              <w:pStyle w:val="254"/>
              <w:spacing w:line="360" w:lineRule="auto"/>
              <w:rPr>
                <w:rFonts w:ascii="宋体" w:hAnsi="宋体"/>
                <w:sz w:val="24"/>
                <w:szCs w:val="24"/>
              </w:rPr>
            </w:pPr>
            <w:r>
              <w:rPr>
                <w:rFonts w:hint="eastAsia" w:ascii="宋体" w:hAnsi="宋体"/>
                <w:sz w:val="24"/>
                <w:szCs w:val="24"/>
              </w:rPr>
              <w:t>运维对象</w:t>
            </w:r>
          </w:p>
        </w:tc>
        <w:tc>
          <w:tcPr>
            <w:tcW w:w="784" w:type="pct"/>
            <w:shd w:val="clear" w:color="auto" w:fill="auto"/>
            <w:vAlign w:val="center"/>
          </w:tcPr>
          <w:p w14:paraId="64E78F7A">
            <w:pPr>
              <w:pStyle w:val="254"/>
              <w:spacing w:line="360" w:lineRule="auto"/>
              <w:rPr>
                <w:rFonts w:ascii="宋体" w:hAnsi="宋体"/>
                <w:sz w:val="24"/>
                <w:szCs w:val="24"/>
              </w:rPr>
            </w:pPr>
            <w:r>
              <w:rPr>
                <w:rFonts w:hint="eastAsia" w:ascii="宋体" w:hAnsi="宋体"/>
                <w:sz w:val="24"/>
                <w:szCs w:val="24"/>
              </w:rPr>
              <w:t>维护内容</w:t>
            </w:r>
          </w:p>
        </w:tc>
        <w:tc>
          <w:tcPr>
            <w:tcW w:w="1568" w:type="pct"/>
            <w:shd w:val="clear" w:color="auto" w:fill="auto"/>
            <w:vAlign w:val="center"/>
          </w:tcPr>
          <w:p w14:paraId="2278245F">
            <w:pPr>
              <w:pStyle w:val="254"/>
              <w:spacing w:line="360" w:lineRule="auto"/>
              <w:rPr>
                <w:rFonts w:ascii="宋体" w:hAnsi="宋体"/>
                <w:sz w:val="24"/>
                <w:szCs w:val="24"/>
              </w:rPr>
            </w:pPr>
            <w:r>
              <w:rPr>
                <w:rFonts w:hint="eastAsia" w:ascii="宋体" w:hAnsi="宋体"/>
                <w:sz w:val="24"/>
                <w:szCs w:val="24"/>
              </w:rPr>
              <w:t>质量要求</w:t>
            </w:r>
          </w:p>
        </w:tc>
        <w:tc>
          <w:tcPr>
            <w:tcW w:w="1019" w:type="pct"/>
            <w:shd w:val="clear" w:color="auto" w:fill="auto"/>
            <w:vAlign w:val="center"/>
          </w:tcPr>
          <w:p w14:paraId="76181D4F">
            <w:pPr>
              <w:pStyle w:val="254"/>
              <w:spacing w:line="360" w:lineRule="auto"/>
              <w:rPr>
                <w:rFonts w:ascii="宋体" w:hAnsi="宋体"/>
                <w:sz w:val="24"/>
                <w:szCs w:val="24"/>
              </w:rPr>
            </w:pPr>
            <w:r>
              <w:rPr>
                <w:rFonts w:hint="eastAsia" w:ascii="宋体" w:hAnsi="宋体"/>
                <w:sz w:val="24"/>
                <w:szCs w:val="24"/>
              </w:rPr>
              <w:t>维护周期</w:t>
            </w:r>
          </w:p>
        </w:tc>
        <w:tc>
          <w:tcPr>
            <w:tcW w:w="843" w:type="pct"/>
            <w:shd w:val="clear" w:color="auto" w:fill="auto"/>
            <w:vAlign w:val="center"/>
          </w:tcPr>
          <w:p w14:paraId="162966DF">
            <w:pPr>
              <w:pStyle w:val="254"/>
              <w:spacing w:line="360" w:lineRule="auto"/>
              <w:rPr>
                <w:rFonts w:ascii="宋体" w:hAnsi="宋体"/>
                <w:sz w:val="24"/>
                <w:szCs w:val="24"/>
              </w:rPr>
            </w:pPr>
            <w:r>
              <w:rPr>
                <w:rFonts w:hint="eastAsia" w:ascii="宋体" w:hAnsi="宋体"/>
                <w:sz w:val="24"/>
                <w:szCs w:val="24"/>
              </w:rPr>
              <w:t>维护方法</w:t>
            </w:r>
          </w:p>
        </w:tc>
      </w:tr>
      <w:tr w14:paraId="134998AF">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900" w:hRule="atLeast"/>
        </w:trPr>
        <w:tc>
          <w:tcPr>
            <w:tcW w:w="786" w:type="pct"/>
            <w:vMerge w:val="restart"/>
            <w:shd w:val="clear" w:color="auto" w:fill="auto"/>
            <w:noWrap/>
            <w:vAlign w:val="center"/>
          </w:tcPr>
          <w:p w14:paraId="680BDC13">
            <w:pPr>
              <w:pStyle w:val="254"/>
              <w:spacing w:line="360" w:lineRule="auto"/>
              <w:rPr>
                <w:rFonts w:ascii="宋体" w:hAnsi="宋体"/>
                <w:sz w:val="24"/>
                <w:szCs w:val="24"/>
              </w:rPr>
            </w:pPr>
            <w:r>
              <w:rPr>
                <w:rFonts w:hint="eastAsia" w:ascii="宋体" w:hAnsi="宋体"/>
                <w:sz w:val="24"/>
                <w:szCs w:val="24"/>
              </w:rPr>
              <w:t>电子水尺及其组件</w:t>
            </w:r>
          </w:p>
        </w:tc>
        <w:tc>
          <w:tcPr>
            <w:tcW w:w="784" w:type="pct"/>
            <w:shd w:val="clear" w:color="auto" w:fill="auto"/>
            <w:vAlign w:val="center"/>
          </w:tcPr>
          <w:p w14:paraId="2A06B5F9">
            <w:pPr>
              <w:pStyle w:val="254"/>
              <w:spacing w:line="360" w:lineRule="auto"/>
              <w:rPr>
                <w:rFonts w:ascii="宋体" w:hAnsi="宋体"/>
                <w:sz w:val="24"/>
                <w:szCs w:val="24"/>
              </w:rPr>
            </w:pPr>
            <w:r>
              <w:rPr>
                <w:rFonts w:hint="eastAsia" w:ascii="宋体" w:hAnsi="宋体"/>
                <w:sz w:val="24"/>
                <w:szCs w:val="24"/>
              </w:rPr>
              <w:t>日常检查</w:t>
            </w:r>
          </w:p>
        </w:tc>
        <w:tc>
          <w:tcPr>
            <w:tcW w:w="1568" w:type="pct"/>
            <w:shd w:val="clear" w:color="auto" w:fill="auto"/>
            <w:vAlign w:val="center"/>
          </w:tcPr>
          <w:p w14:paraId="5E7FC89A">
            <w:pPr>
              <w:pStyle w:val="254"/>
              <w:spacing w:line="360" w:lineRule="auto"/>
              <w:rPr>
                <w:rFonts w:ascii="宋体" w:hAnsi="宋体"/>
                <w:sz w:val="24"/>
                <w:szCs w:val="24"/>
              </w:rPr>
            </w:pPr>
            <w:r>
              <w:rPr>
                <w:rFonts w:hint="eastAsia" w:ascii="宋体" w:hAnsi="宋体"/>
                <w:sz w:val="24"/>
                <w:szCs w:val="24"/>
              </w:rPr>
              <w:t>1、信息采集功能正常；</w:t>
            </w:r>
          </w:p>
          <w:p w14:paraId="673FB028">
            <w:pPr>
              <w:pStyle w:val="254"/>
              <w:spacing w:line="360" w:lineRule="auto"/>
              <w:rPr>
                <w:rFonts w:ascii="宋体" w:hAnsi="宋体"/>
                <w:sz w:val="24"/>
                <w:szCs w:val="24"/>
              </w:rPr>
            </w:pPr>
            <w:r>
              <w:rPr>
                <w:rFonts w:hint="eastAsia" w:ascii="宋体" w:hAnsi="宋体"/>
                <w:sz w:val="24"/>
                <w:szCs w:val="24"/>
              </w:rPr>
              <w:t>2、信息上传、转发正常；</w:t>
            </w:r>
          </w:p>
          <w:p w14:paraId="1155E42C">
            <w:pPr>
              <w:pStyle w:val="254"/>
              <w:spacing w:line="360" w:lineRule="auto"/>
              <w:rPr>
                <w:rFonts w:ascii="宋体" w:hAnsi="宋体"/>
                <w:sz w:val="24"/>
                <w:szCs w:val="24"/>
              </w:rPr>
            </w:pPr>
            <w:r>
              <w:rPr>
                <w:rFonts w:hint="eastAsia" w:ascii="宋体" w:hAnsi="宋体"/>
                <w:sz w:val="24"/>
                <w:szCs w:val="24"/>
              </w:rPr>
              <w:t>3、数据准确可靠。</w:t>
            </w:r>
          </w:p>
        </w:tc>
        <w:tc>
          <w:tcPr>
            <w:tcW w:w="1019" w:type="pct"/>
            <w:shd w:val="clear" w:color="auto" w:fill="auto"/>
            <w:vAlign w:val="center"/>
          </w:tcPr>
          <w:p w14:paraId="271F2635">
            <w:pPr>
              <w:pStyle w:val="254"/>
              <w:spacing w:line="360" w:lineRule="auto"/>
              <w:rPr>
                <w:rFonts w:ascii="宋体" w:hAnsi="宋体"/>
                <w:sz w:val="24"/>
                <w:szCs w:val="24"/>
              </w:rPr>
            </w:pPr>
            <w:r>
              <w:rPr>
                <w:rFonts w:hint="eastAsia" w:ascii="宋体" w:hAnsi="宋体"/>
                <w:sz w:val="24"/>
                <w:szCs w:val="24"/>
              </w:rPr>
              <w:t>汛期1次／日；非汛期1次/周</w:t>
            </w:r>
          </w:p>
        </w:tc>
        <w:tc>
          <w:tcPr>
            <w:tcW w:w="843" w:type="pct"/>
            <w:shd w:val="clear" w:color="auto" w:fill="auto"/>
            <w:vAlign w:val="center"/>
          </w:tcPr>
          <w:p w14:paraId="710977E6">
            <w:pPr>
              <w:pStyle w:val="254"/>
              <w:spacing w:line="360" w:lineRule="auto"/>
              <w:rPr>
                <w:rFonts w:ascii="宋体" w:hAnsi="宋体"/>
                <w:sz w:val="24"/>
                <w:szCs w:val="24"/>
              </w:rPr>
            </w:pPr>
            <w:r>
              <w:rPr>
                <w:rFonts w:hint="eastAsia" w:ascii="宋体" w:hAnsi="宋体"/>
                <w:sz w:val="24"/>
                <w:szCs w:val="24"/>
              </w:rPr>
              <w:t>通过相应的设备监测软件巡检。</w:t>
            </w:r>
          </w:p>
        </w:tc>
      </w:tr>
      <w:tr w14:paraId="6C6B681D">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4480" w:hRule="atLeast"/>
        </w:trPr>
        <w:tc>
          <w:tcPr>
            <w:tcW w:w="786" w:type="pct"/>
            <w:vMerge w:val="continue"/>
            <w:vAlign w:val="center"/>
          </w:tcPr>
          <w:p w14:paraId="09733B3B">
            <w:pPr>
              <w:pStyle w:val="254"/>
              <w:spacing w:line="360" w:lineRule="auto"/>
              <w:rPr>
                <w:rFonts w:ascii="宋体" w:hAnsi="宋体"/>
                <w:sz w:val="24"/>
                <w:szCs w:val="24"/>
              </w:rPr>
            </w:pPr>
          </w:p>
        </w:tc>
        <w:tc>
          <w:tcPr>
            <w:tcW w:w="784" w:type="pct"/>
            <w:shd w:val="clear" w:color="auto" w:fill="auto"/>
            <w:noWrap/>
            <w:vAlign w:val="center"/>
          </w:tcPr>
          <w:p w14:paraId="24B40F1E">
            <w:pPr>
              <w:pStyle w:val="254"/>
              <w:spacing w:line="360" w:lineRule="auto"/>
              <w:rPr>
                <w:rFonts w:ascii="宋体" w:hAnsi="宋体"/>
                <w:sz w:val="24"/>
                <w:szCs w:val="24"/>
              </w:rPr>
            </w:pPr>
            <w:r>
              <w:rPr>
                <w:rFonts w:hint="eastAsia" w:ascii="宋体" w:hAnsi="宋体"/>
                <w:sz w:val="24"/>
                <w:szCs w:val="24"/>
              </w:rPr>
              <w:t>定期巡检</w:t>
            </w:r>
          </w:p>
        </w:tc>
        <w:tc>
          <w:tcPr>
            <w:tcW w:w="1568" w:type="pct"/>
            <w:shd w:val="clear" w:color="auto" w:fill="auto"/>
            <w:vAlign w:val="center"/>
          </w:tcPr>
          <w:p w14:paraId="2AB4ACB8">
            <w:pPr>
              <w:pStyle w:val="254"/>
              <w:spacing w:line="360" w:lineRule="auto"/>
              <w:rPr>
                <w:rFonts w:ascii="宋体" w:hAnsi="宋体"/>
                <w:sz w:val="24"/>
                <w:szCs w:val="24"/>
              </w:rPr>
            </w:pPr>
            <w:r>
              <w:rPr>
                <w:rFonts w:hint="eastAsia" w:ascii="宋体" w:hAnsi="宋体"/>
                <w:sz w:val="24"/>
                <w:szCs w:val="24"/>
              </w:rPr>
              <w:t xml:space="preserve">1、设备外观完整性。                   </w:t>
            </w:r>
          </w:p>
          <w:p w14:paraId="7052D8DF">
            <w:pPr>
              <w:pStyle w:val="254"/>
              <w:spacing w:line="360" w:lineRule="auto"/>
              <w:rPr>
                <w:rFonts w:ascii="宋体" w:hAnsi="宋体"/>
                <w:sz w:val="24"/>
                <w:szCs w:val="24"/>
              </w:rPr>
            </w:pPr>
            <w:r>
              <w:rPr>
                <w:rFonts w:hint="eastAsia" w:ascii="宋体" w:hAnsi="宋体"/>
                <w:sz w:val="24"/>
                <w:szCs w:val="24"/>
              </w:rPr>
              <w:t xml:space="preserve">2、设备工作运行环境良好         </w:t>
            </w:r>
          </w:p>
          <w:p w14:paraId="3556CE89">
            <w:pPr>
              <w:pStyle w:val="254"/>
              <w:spacing w:line="360" w:lineRule="auto"/>
              <w:rPr>
                <w:rFonts w:ascii="宋体" w:hAnsi="宋体"/>
                <w:sz w:val="24"/>
                <w:szCs w:val="24"/>
              </w:rPr>
            </w:pPr>
            <w:r>
              <w:rPr>
                <w:rFonts w:hint="eastAsia" w:ascii="宋体" w:hAnsi="宋体"/>
                <w:sz w:val="24"/>
                <w:szCs w:val="24"/>
              </w:rPr>
              <w:t xml:space="preserve">3、通信和电源连通正常            </w:t>
            </w:r>
          </w:p>
          <w:p w14:paraId="5E3E2A6B">
            <w:pPr>
              <w:pStyle w:val="254"/>
              <w:spacing w:line="360" w:lineRule="auto"/>
              <w:rPr>
                <w:rFonts w:ascii="宋体" w:hAnsi="宋体"/>
                <w:sz w:val="24"/>
                <w:szCs w:val="24"/>
              </w:rPr>
            </w:pPr>
            <w:r>
              <w:rPr>
                <w:rFonts w:hint="eastAsia" w:ascii="宋体" w:hAnsi="宋体"/>
                <w:sz w:val="24"/>
                <w:szCs w:val="24"/>
              </w:rPr>
              <w:t xml:space="preserve">4、组件及支撑结构整洁，无锈蚀歪斜                                          5、机箱内外部整洁干净，内部设备器件运行正常。                  </w:t>
            </w:r>
          </w:p>
          <w:p w14:paraId="11EE441C">
            <w:pPr>
              <w:pStyle w:val="254"/>
              <w:spacing w:line="360" w:lineRule="auto"/>
              <w:rPr>
                <w:rFonts w:ascii="宋体" w:hAnsi="宋体"/>
                <w:sz w:val="24"/>
                <w:szCs w:val="24"/>
              </w:rPr>
            </w:pPr>
            <w:r>
              <w:rPr>
                <w:rFonts w:hint="eastAsia" w:ascii="宋体" w:hAnsi="宋体"/>
                <w:sz w:val="24"/>
                <w:szCs w:val="24"/>
              </w:rPr>
              <w:t>6、仪表状态正常，输出稳定；</w:t>
            </w:r>
            <w:r>
              <w:rPr>
                <w:rFonts w:hint="eastAsia" w:ascii="宋体" w:hAnsi="宋体"/>
                <w:sz w:val="24"/>
                <w:szCs w:val="24"/>
              </w:rPr>
              <w:br w:type="textWrapping"/>
            </w:r>
            <w:r>
              <w:rPr>
                <w:rFonts w:hint="eastAsia" w:ascii="宋体" w:hAnsi="宋体"/>
                <w:sz w:val="24"/>
                <w:szCs w:val="24"/>
              </w:rPr>
              <w:t>7、进水坑内无落叶淤泥等杂物；</w:t>
            </w:r>
            <w:r>
              <w:rPr>
                <w:rFonts w:hint="eastAsia" w:ascii="宋体" w:hAnsi="宋体"/>
                <w:sz w:val="24"/>
                <w:szCs w:val="24"/>
              </w:rPr>
              <w:br w:type="textWrapping"/>
            </w:r>
            <w:r>
              <w:rPr>
                <w:rFonts w:hint="eastAsia" w:ascii="宋体" w:hAnsi="宋体"/>
                <w:sz w:val="24"/>
                <w:szCs w:val="24"/>
              </w:rPr>
              <w:t>8、水尺表面干净整洁，无淤泥附着；</w:t>
            </w:r>
            <w:r>
              <w:rPr>
                <w:rFonts w:hint="eastAsia" w:ascii="宋体" w:hAnsi="宋体"/>
                <w:sz w:val="24"/>
                <w:szCs w:val="24"/>
              </w:rPr>
              <w:br w:type="textWrapping"/>
            </w:r>
            <w:r>
              <w:rPr>
                <w:rFonts w:hint="eastAsia" w:ascii="宋体" w:hAnsi="宋体"/>
                <w:sz w:val="24"/>
                <w:szCs w:val="24"/>
              </w:rPr>
              <w:t>9、水尺套管封堵正常。</w:t>
            </w:r>
          </w:p>
        </w:tc>
        <w:tc>
          <w:tcPr>
            <w:tcW w:w="1019" w:type="pct"/>
            <w:shd w:val="clear" w:color="auto" w:fill="auto"/>
            <w:vAlign w:val="center"/>
          </w:tcPr>
          <w:p w14:paraId="7CB79599">
            <w:pPr>
              <w:pStyle w:val="254"/>
              <w:spacing w:line="360" w:lineRule="auto"/>
              <w:rPr>
                <w:rFonts w:ascii="宋体" w:hAnsi="宋体"/>
                <w:sz w:val="24"/>
                <w:szCs w:val="24"/>
              </w:rPr>
            </w:pPr>
            <w:r>
              <w:rPr>
                <w:rFonts w:hint="eastAsia" w:ascii="宋体" w:hAnsi="宋体"/>
                <w:sz w:val="24"/>
                <w:szCs w:val="24"/>
              </w:rPr>
              <w:t>汛期1次/月；</w:t>
            </w:r>
            <w:r>
              <w:rPr>
                <w:rFonts w:hint="eastAsia" w:ascii="宋体" w:hAnsi="宋体"/>
                <w:sz w:val="24"/>
                <w:szCs w:val="24"/>
              </w:rPr>
              <w:br w:type="textWrapping"/>
            </w:r>
            <w:r>
              <w:rPr>
                <w:rFonts w:hint="eastAsia" w:ascii="宋体" w:hAnsi="宋体"/>
                <w:sz w:val="24"/>
                <w:szCs w:val="24"/>
              </w:rPr>
              <w:t>非汛期1次/季</w:t>
            </w:r>
          </w:p>
        </w:tc>
        <w:tc>
          <w:tcPr>
            <w:tcW w:w="843" w:type="pct"/>
            <w:shd w:val="clear" w:color="auto" w:fill="auto"/>
            <w:noWrap/>
            <w:vAlign w:val="center"/>
          </w:tcPr>
          <w:p w14:paraId="29F30DF6">
            <w:pPr>
              <w:pStyle w:val="254"/>
              <w:spacing w:line="360" w:lineRule="auto"/>
              <w:rPr>
                <w:rFonts w:ascii="宋体" w:hAnsi="宋体"/>
                <w:sz w:val="24"/>
                <w:szCs w:val="24"/>
              </w:rPr>
            </w:pPr>
            <w:r>
              <w:rPr>
                <w:rFonts w:hint="eastAsia" w:ascii="宋体" w:hAnsi="宋体"/>
                <w:sz w:val="24"/>
                <w:szCs w:val="24"/>
              </w:rPr>
              <w:t>现场维护</w:t>
            </w:r>
          </w:p>
        </w:tc>
      </w:tr>
      <w:tr w14:paraId="17688C91">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960" w:hRule="atLeast"/>
        </w:trPr>
        <w:tc>
          <w:tcPr>
            <w:tcW w:w="786" w:type="pct"/>
            <w:vMerge w:val="continue"/>
            <w:vAlign w:val="center"/>
          </w:tcPr>
          <w:p w14:paraId="6F8600E4">
            <w:pPr>
              <w:pStyle w:val="254"/>
              <w:spacing w:line="360" w:lineRule="auto"/>
              <w:rPr>
                <w:rFonts w:ascii="宋体" w:hAnsi="宋体"/>
                <w:sz w:val="24"/>
                <w:szCs w:val="24"/>
              </w:rPr>
            </w:pPr>
          </w:p>
        </w:tc>
        <w:tc>
          <w:tcPr>
            <w:tcW w:w="784" w:type="pct"/>
            <w:shd w:val="clear" w:color="auto" w:fill="auto"/>
            <w:noWrap/>
            <w:vAlign w:val="center"/>
          </w:tcPr>
          <w:p w14:paraId="02DD1B73">
            <w:pPr>
              <w:pStyle w:val="254"/>
              <w:spacing w:line="360" w:lineRule="auto"/>
              <w:rPr>
                <w:rFonts w:ascii="宋体" w:hAnsi="宋体"/>
                <w:sz w:val="24"/>
                <w:szCs w:val="24"/>
              </w:rPr>
            </w:pPr>
            <w:r>
              <w:rPr>
                <w:rFonts w:hint="eastAsia" w:ascii="宋体" w:hAnsi="宋体"/>
                <w:sz w:val="24"/>
                <w:szCs w:val="24"/>
              </w:rPr>
              <w:t>定期检测</w:t>
            </w:r>
          </w:p>
        </w:tc>
        <w:tc>
          <w:tcPr>
            <w:tcW w:w="1568" w:type="pct"/>
            <w:shd w:val="clear" w:color="auto" w:fill="auto"/>
            <w:vAlign w:val="center"/>
          </w:tcPr>
          <w:p w14:paraId="7772BE8D">
            <w:pPr>
              <w:pStyle w:val="254"/>
              <w:spacing w:line="360" w:lineRule="auto"/>
              <w:rPr>
                <w:rFonts w:ascii="宋体" w:hAnsi="宋体"/>
                <w:sz w:val="24"/>
                <w:szCs w:val="24"/>
              </w:rPr>
            </w:pPr>
            <w:r>
              <w:rPr>
                <w:rFonts w:hint="eastAsia" w:ascii="宋体" w:hAnsi="宋体"/>
                <w:sz w:val="24"/>
                <w:szCs w:val="24"/>
              </w:rPr>
              <w:t xml:space="preserve">1、通讯信号强度大于  12 dbm   </w:t>
            </w:r>
          </w:p>
          <w:p w14:paraId="080514C6">
            <w:pPr>
              <w:pStyle w:val="254"/>
              <w:spacing w:line="360" w:lineRule="auto"/>
              <w:rPr>
                <w:rFonts w:ascii="宋体" w:hAnsi="宋体"/>
                <w:sz w:val="24"/>
                <w:szCs w:val="24"/>
              </w:rPr>
            </w:pPr>
            <w:r>
              <w:rPr>
                <w:rFonts w:hint="eastAsia" w:ascii="宋体" w:hAnsi="宋体"/>
                <w:sz w:val="24"/>
                <w:szCs w:val="24"/>
              </w:rPr>
              <w:t>2、供电电压12V+_5%                    3、传感器测量值无较大误差</w:t>
            </w:r>
          </w:p>
        </w:tc>
        <w:tc>
          <w:tcPr>
            <w:tcW w:w="1019" w:type="pct"/>
            <w:shd w:val="clear" w:color="auto" w:fill="auto"/>
            <w:vAlign w:val="center"/>
          </w:tcPr>
          <w:p w14:paraId="45FAA98D">
            <w:pPr>
              <w:pStyle w:val="254"/>
              <w:spacing w:line="360" w:lineRule="auto"/>
              <w:rPr>
                <w:rFonts w:ascii="宋体" w:hAnsi="宋体"/>
                <w:sz w:val="24"/>
                <w:szCs w:val="24"/>
              </w:rPr>
            </w:pPr>
            <w:r>
              <w:rPr>
                <w:rFonts w:hint="eastAsia" w:ascii="宋体" w:hAnsi="宋体"/>
                <w:sz w:val="24"/>
                <w:szCs w:val="24"/>
              </w:rPr>
              <w:t>汛期1次/季；非汛期1次/半年</w:t>
            </w:r>
          </w:p>
        </w:tc>
        <w:tc>
          <w:tcPr>
            <w:tcW w:w="843" w:type="pct"/>
            <w:shd w:val="clear" w:color="auto" w:fill="auto"/>
            <w:noWrap/>
            <w:vAlign w:val="center"/>
          </w:tcPr>
          <w:p w14:paraId="3C4753D9">
            <w:pPr>
              <w:pStyle w:val="254"/>
              <w:spacing w:line="360" w:lineRule="auto"/>
              <w:rPr>
                <w:rFonts w:ascii="宋体" w:hAnsi="宋体"/>
                <w:sz w:val="24"/>
                <w:szCs w:val="24"/>
              </w:rPr>
            </w:pPr>
            <w:r>
              <w:rPr>
                <w:rFonts w:hint="eastAsia" w:ascii="宋体" w:hAnsi="宋体"/>
                <w:sz w:val="24"/>
                <w:szCs w:val="24"/>
              </w:rPr>
              <w:t>现场维护</w:t>
            </w:r>
          </w:p>
        </w:tc>
      </w:tr>
      <w:tr w14:paraId="1F74E441">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2100" w:hRule="atLeast"/>
        </w:trPr>
        <w:tc>
          <w:tcPr>
            <w:tcW w:w="786" w:type="pct"/>
            <w:vMerge w:val="continue"/>
            <w:vAlign w:val="center"/>
          </w:tcPr>
          <w:p w14:paraId="20E55D43">
            <w:pPr>
              <w:pStyle w:val="254"/>
              <w:spacing w:line="360" w:lineRule="auto"/>
              <w:rPr>
                <w:rFonts w:ascii="宋体" w:hAnsi="宋体"/>
                <w:sz w:val="24"/>
                <w:szCs w:val="24"/>
              </w:rPr>
            </w:pPr>
          </w:p>
        </w:tc>
        <w:tc>
          <w:tcPr>
            <w:tcW w:w="784" w:type="pct"/>
            <w:shd w:val="clear" w:color="auto" w:fill="auto"/>
            <w:noWrap/>
            <w:vAlign w:val="center"/>
          </w:tcPr>
          <w:p w14:paraId="1A378ADD">
            <w:pPr>
              <w:pStyle w:val="254"/>
              <w:spacing w:line="360" w:lineRule="auto"/>
              <w:rPr>
                <w:rFonts w:ascii="宋体" w:hAnsi="宋体"/>
                <w:sz w:val="24"/>
                <w:szCs w:val="24"/>
              </w:rPr>
            </w:pPr>
            <w:r>
              <w:rPr>
                <w:rFonts w:hint="eastAsia" w:ascii="宋体" w:hAnsi="宋体"/>
                <w:sz w:val="24"/>
                <w:szCs w:val="24"/>
              </w:rPr>
              <w:t>故障修复</w:t>
            </w:r>
          </w:p>
        </w:tc>
        <w:tc>
          <w:tcPr>
            <w:tcW w:w="1568" w:type="pct"/>
            <w:shd w:val="clear" w:color="auto" w:fill="auto"/>
            <w:vAlign w:val="center"/>
          </w:tcPr>
          <w:p w14:paraId="5FD70A9D">
            <w:pPr>
              <w:pStyle w:val="254"/>
              <w:spacing w:line="360" w:lineRule="auto"/>
              <w:rPr>
                <w:rFonts w:ascii="宋体" w:hAnsi="宋体"/>
                <w:sz w:val="24"/>
                <w:szCs w:val="24"/>
              </w:rPr>
            </w:pPr>
            <w:r>
              <w:rPr>
                <w:rFonts w:hint="eastAsia" w:ascii="宋体" w:hAnsi="宋体"/>
                <w:sz w:val="24"/>
                <w:szCs w:val="24"/>
              </w:rPr>
              <w:t>1、维修或更换相关设备及部件后，原有功能及性能保持不变。                                               2、安装拆除不影响系统使用</w:t>
            </w:r>
          </w:p>
        </w:tc>
        <w:tc>
          <w:tcPr>
            <w:tcW w:w="1019" w:type="pct"/>
            <w:shd w:val="clear" w:color="auto" w:fill="auto"/>
            <w:vAlign w:val="center"/>
          </w:tcPr>
          <w:p w14:paraId="57BF0A11">
            <w:pPr>
              <w:pStyle w:val="254"/>
              <w:spacing w:line="360" w:lineRule="auto"/>
              <w:rPr>
                <w:rFonts w:ascii="宋体" w:hAnsi="宋体"/>
                <w:sz w:val="24"/>
                <w:szCs w:val="24"/>
              </w:rPr>
            </w:pPr>
            <w:r>
              <w:rPr>
                <w:rFonts w:ascii="宋体" w:hAnsi="宋体"/>
                <w:sz w:val="24"/>
                <w:szCs w:val="24"/>
              </w:rPr>
              <w:t>根据设备故障发生频次而定</w:t>
            </w:r>
            <w:r>
              <w:rPr>
                <w:rFonts w:hint="eastAsia" w:ascii="宋体" w:hAnsi="宋体"/>
                <w:sz w:val="24"/>
                <w:szCs w:val="24"/>
              </w:rPr>
              <w:t>，原则上不低于每周1次</w:t>
            </w:r>
          </w:p>
        </w:tc>
        <w:tc>
          <w:tcPr>
            <w:tcW w:w="843" w:type="pct"/>
            <w:shd w:val="clear" w:color="auto" w:fill="auto"/>
            <w:noWrap/>
            <w:vAlign w:val="center"/>
          </w:tcPr>
          <w:p w14:paraId="56F210A1">
            <w:pPr>
              <w:pStyle w:val="254"/>
              <w:spacing w:line="360" w:lineRule="auto"/>
              <w:rPr>
                <w:rFonts w:ascii="宋体" w:hAnsi="宋体"/>
                <w:sz w:val="24"/>
                <w:szCs w:val="24"/>
              </w:rPr>
            </w:pPr>
            <w:r>
              <w:rPr>
                <w:rFonts w:hint="eastAsia" w:ascii="宋体" w:hAnsi="宋体"/>
                <w:sz w:val="24"/>
                <w:szCs w:val="24"/>
              </w:rPr>
              <w:t>现场维护</w:t>
            </w:r>
          </w:p>
        </w:tc>
      </w:tr>
      <w:tr w14:paraId="31FA592C">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2100" w:hRule="atLeast"/>
        </w:trPr>
        <w:tc>
          <w:tcPr>
            <w:tcW w:w="786" w:type="pct"/>
            <w:vMerge w:val="restart"/>
            <w:shd w:val="clear" w:color="auto" w:fill="auto"/>
            <w:noWrap/>
            <w:vAlign w:val="center"/>
          </w:tcPr>
          <w:p w14:paraId="62655D70">
            <w:pPr>
              <w:pStyle w:val="254"/>
              <w:spacing w:line="360" w:lineRule="auto"/>
              <w:rPr>
                <w:rFonts w:ascii="宋体" w:hAnsi="宋体"/>
                <w:sz w:val="24"/>
                <w:szCs w:val="24"/>
              </w:rPr>
            </w:pPr>
            <w:r>
              <w:rPr>
                <w:rFonts w:hint="eastAsia" w:ascii="宋体" w:hAnsi="宋体"/>
                <w:sz w:val="24"/>
                <w:szCs w:val="24"/>
              </w:rPr>
              <w:t>雷达水位计及其组件</w:t>
            </w:r>
          </w:p>
        </w:tc>
        <w:tc>
          <w:tcPr>
            <w:tcW w:w="784" w:type="pct"/>
            <w:shd w:val="clear" w:color="auto" w:fill="auto"/>
            <w:vAlign w:val="center"/>
          </w:tcPr>
          <w:p w14:paraId="65BE8AFF">
            <w:pPr>
              <w:pStyle w:val="254"/>
              <w:spacing w:line="360" w:lineRule="auto"/>
              <w:rPr>
                <w:rFonts w:ascii="宋体" w:hAnsi="宋体"/>
                <w:sz w:val="24"/>
                <w:szCs w:val="24"/>
              </w:rPr>
            </w:pPr>
            <w:r>
              <w:rPr>
                <w:rFonts w:hint="eastAsia" w:ascii="宋体" w:hAnsi="宋体"/>
                <w:sz w:val="24"/>
                <w:szCs w:val="24"/>
              </w:rPr>
              <w:t>日常检查</w:t>
            </w:r>
          </w:p>
        </w:tc>
        <w:tc>
          <w:tcPr>
            <w:tcW w:w="1568" w:type="pct"/>
            <w:shd w:val="clear" w:color="auto" w:fill="auto"/>
            <w:vAlign w:val="center"/>
          </w:tcPr>
          <w:p w14:paraId="59E73566">
            <w:pPr>
              <w:pStyle w:val="254"/>
              <w:spacing w:line="360" w:lineRule="auto"/>
              <w:rPr>
                <w:rFonts w:ascii="宋体" w:hAnsi="宋体"/>
                <w:sz w:val="24"/>
                <w:szCs w:val="24"/>
              </w:rPr>
            </w:pPr>
            <w:r>
              <w:rPr>
                <w:rFonts w:hint="eastAsia" w:ascii="宋体" w:hAnsi="宋体"/>
                <w:sz w:val="24"/>
                <w:szCs w:val="24"/>
              </w:rPr>
              <w:t>1、信息采集功能正常；</w:t>
            </w:r>
          </w:p>
          <w:p w14:paraId="15F85EF4">
            <w:pPr>
              <w:pStyle w:val="254"/>
              <w:spacing w:line="360" w:lineRule="auto"/>
              <w:rPr>
                <w:rFonts w:ascii="宋体" w:hAnsi="宋体"/>
                <w:sz w:val="24"/>
                <w:szCs w:val="24"/>
              </w:rPr>
            </w:pPr>
            <w:r>
              <w:rPr>
                <w:rFonts w:hint="eastAsia" w:ascii="宋体" w:hAnsi="宋体"/>
                <w:sz w:val="24"/>
                <w:szCs w:val="24"/>
              </w:rPr>
              <w:t>2、信息上传、转发正常；</w:t>
            </w:r>
          </w:p>
          <w:p w14:paraId="745F6265">
            <w:pPr>
              <w:pStyle w:val="254"/>
              <w:spacing w:line="360" w:lineRule="auto"/>
              <w:rPr>
                <w:rFonts w:ascii="宋体" w:hAnsi="宋体"/>
                <w:sz w:val="24"/>
                <w:szCs w:val="24"/>
              </w:rPr>
            </w:pPr>
            <w:r>
              <w:rPr>
                <w:rFonts w:hint="eastAsia" w:ascii="宋体" w:hAnsi="宋体"/>
                <w:sz w:val="24"/>
                <w:szCs w:val="24"/>
              </w:rPr>
              <w:t>3、数据准确可靠。</w:t>
            </w:r>
          </w:p>
        </w:tc>
        <w:tc>
          <w:tcPr>
            <w:tcW w:w="1019" w:type="pct"/>
            <w:shd w:val="clear" w:color="auto" w:fill="auto"/>
            <w:vAlign w:val="center"/>
          </w:tcPr>
          <w:p w14:paraId="0A4EBFE5">
            <w:pPr>
              <w:pStyle w:val="254"/>
              <w:spacing w:line="360" w:lineRule="auto"/>
              <w:rPr>
                <w:rFonts w:ascii="宋体" w:hAnsi="宋体"/>
                <w:sz w:val="24"/>
                <w:szCs w:val="24"/>
              </w:rPr>
            </w:pPr>
            <w:r>
              <w:rPr>
                <w:rFonts w:hint="eastAsia" w:ascii="宋体" w:hAnsi="宋体"/>
                <w:sz w:val="24"/>
                <w:szCs w:val="24"/>
              </w:rPr>
              <w:t>汛期1次／日；非汛期1次/周</w:t>
            </w:r>
          </w:p>
        </w:tc>
        <w:tc>
          <w:tcPr>
            <w:tcW w:w="843" w:type="pct"/>
            <w:shd w:val="clear" w:color="auto" w:fill="auto"/>
            <w:vAlign w:val="center"/>
          </w:tcPr>
          <w:p w14:paraId="0A2469C5">
            <w:pPr>
              <w:pStyle w:val="254"/>
              <w:spacing w:line="360" w:lineRule="auto"/>
              <w:rPr>
                <w:rFonts w:ascii="宋体" w:hAnsi="宋体"/>
                <w:sz w:val="24"/>
                <w:szCs w:val="24"/>
              </w:rPr>
            </w:pPr>
            <w:r>
              <w:rPr>
                <w:rFonts w:hint="eastAsia" w:ascii="宋体" w:hAnsi="宋体"/>
                <w:sz w:val="24"/>
                <w:szCs w:val="24"/>
              </w:rPr>
              <w:t>通过相应的设备监测软件巡检。</w:t>
            </w:r>
          </w:p>
        </w:tc>
      </w:tr>
      <w:tr w14:paraId="431C74C4">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3840" w:hRule="atLeast"/>
        </w:trPr>
        <w:tc>
          <w:tcPr>
            <w:tcW w:w="786" w:type="pct"/>
            <w:vMerge w:val="continue"/>
            <w:vAlign w:val="center"/>
          </w:tcPr>
          <w:p w14:paraId="6C3BC612">
            <w:pPr>
              <w:pStyle w:val="254"/>
              <w:spacing w:line="360" w:lineRule="auto"/>
              <w:rPr>
                <w:rFonts w:ascii="宋体" w:hAnsi="宋体"/>
                <w:sz w:val="24"/>
                <w:szCs w:val="24"/>
              </w:rPr>
            </w:pPr>
          </w:p>
        </w:tc>
        <w:tc>
          <w:tcPr>
            <w:tcW w:w="784" w:type="pct"/>
            <w:shd w:val="clear" w:color="auto" w:fill="auto"/>
            <w:noWrap/>
            <w:vAlign w:val="center"/>
          </w:tcPr>
          <w:p w14:paraId="4C2A9F9E">
            <w:pPr>
              <w:pStyle w:val="254"/>
              <w:spacing w:line="360" w:lineRule="auto"/>
              <w:rPr>
                <w:rFonts w:ascii="宋体" w:hAnsi="宋体"/>
                <w:sz w:val="24"/>
                <w:szCs w:val="24"/>
              </w:rPr>
            </w:pPr>
            <w:r>
              <w:rPr>
                <w:rFonts w:hint="eastAsia" w:ascii="宋体" w:hAnsi="宋体"/>
                <w:sz w:val="24"/>
                <w:szCs w:val="24"/>
              </w:rPr>
              <w:t>定期巡检</w:t>
            </w:r>
          </w:p>
        </w:tc>
        <w:tc>
          <w:tcPr>
            <w:tcW w:w="1568" w:type="pct"/>
            <w:shd w:val="clear" w:color="auto" w:fill="auto"/>
            <w:vAlign w:val="center"/>
          </w:tcPr>
          <w:p w14:paraId="1A3A4CA3">
            <w:pPr>
              <w:pStyle w:val="254"/>
              <w:spacing w:line="360" w:lineRule="auto"/>
              <w:rPr>
                <w:rFonts w:ascii="宋体" w:hAnsi="宋体"/>
                <w:sz w:val="24"/>
                <w:szCs w:val="24"/>
              </w:rPr>
            </w:pPr>
            <w:r>
              <w:rPr>
                <w:rFonts w:hint="eastAsia" w:ascii="宋体" w:hAnsi="宋体"/>
                <w:sz w:val="24"/>
                <w:szCs w:val="24"/>
              </w:rPr>
              <w:t xml:space="preserve">1、设备外观完整性。                   </w:t>
            </w:r>
          </w:p>
          <w:p w14:paraId="499AD3B1">
            <w:pPr>
              <w:pStyle w:val="254"/>
              <w:spacing w:line="360" w:lineRule="auto"/>
              <w:rPr>
                <w:rFonts w:ascii="宋体" w:hAnsi="宋体"/>
                <w:sz w:val="24"/>
                <w:szCs w:val="24"/>
              </w:rPr>
            </w:pPr>
            <w:r>
              <w:rPr>
                <w:rFonts w:hint="eastAsia" w:ascii="宋体" w:hAnsi="宋体"/>
                <w:sz w:val="24"/>
                <w:szCs w:val="24"/>
              </w:rPr>
              <w:t xml:space="preserve">2、设备工作运行环境良好         </w:t>
            </w:r>
          </w:p>
          <w:p w14:paraId="53B81C45">
            <w:pPr>
              <w:pStyle w:val="254"/>
              <w:spacing w:line="360" w:lineRule="auto"/>
              <w:rPr>
                <w:rFonts w:ascii="宋体" w:hAnsi="宋体"/>
                <w:sz w:val="24"/>
                <w:szCs w:val="24"/>
              </w:rPr>
            </w:pPr>
            <w:r>
              <w:rPr>
                <w:rFonts w:hint="eastAsia" w:ascii="宋体" w:hAnsi="宋体"/>
                <w:sz w:val="24"/>
                <w:szCs w:val="24"/>
              </w:rPr>
              <w:t xml:space="preserve">3、通信和电源连通正常            </w:t>
            </w:r>
          </w:p>
          <w:p w14:paraId="59215D47">
            <w:pPr>
              <w:pStyle w:val="254"/>
              <w:spacing w:line="360" w:lineRule="auto"/>
              <w:rPr>
                <w:rFonts w:ascii="宋体" w:hAnsi="宋体"/>
                <w:sz w:val="24"/>
                <w:szCs w:val="24"/>
              </w:rPr>
            </w:pPr>
            <w:r>
              <w:rPr>
                <w:rFonts w:hint="eastAsia" w:ascii="宋体" w:hAnsi="宋体"/>
                <w:sz w:val="24"/>
                <w:szCs w:val="24"/>
              </w:rPr>
              <w:t xml:space="preserve">4、组件及支撑结构整洁，无锈蚀歪斜                                          5、机箱内外部整洁干净，内部设备器件运行正常。                  </w:t>
            </w:r>
          </w:p>
          <w:p w14:paraId="7004614E">
            <w:pPr>
              <w:pStyle w:val="254"/>
              <w:spacing w:line="360" w:lineRule="auto"/>
              <w:rPr>
                <w:rFonts w:ascii="宋体" w:hAnsi="宋体"/>
                <w:sz w:val="24"/>
                <w:szCs w:val="24"/>
              </w:rPr>
            </w:pPr>
            <w:r>
              <w:rPr>
                <w:rFonts w:hint="eastAsia" w:ascii="宋体" w:hAnsi="宋体"/>
                <w:sz w:val="24"/>
                <w:szCs w:val="24"/>
              </w:rPr>
              <w:t>6、仪表状态正常，输出稳定；</w:t>
            </w:r>
            <w:r>
              <w:rPr>
                <w:rFonts w:hint="eastAsia" w:ascii="宋体" w:hAnsi="宋体"/>
                <w:sz w:val="24"/>
                <w:szCs w:val="24"/>
              </w:rPr>
              <w:br w:type="textWrapping"/>
            </w:r>
            <w:r>
              <w:rPr>
                <w:rFonts w:hint="eastAsia" w:ascii="宋体" w:hAnsi="宋体"/>
                <w:sz w:val="24"/>
                <w:szCs w:val="24"/>
              </w:rPr>
              <w:t>7、雷达喇叭筒内干净整洁，</w:t>
            </w:r>
            <w:r>
              <w:rPr>
                <w:rFonts w:hint="eastAsia" w:ascii="宋体" w:hAnsi="宋体"/>
                <w:sz w:val="24"/>
                <w:szCs w:val="24"/>
              </w:rPr>
              <w:br w:type="textWrapping"/>
            </w:r>
            <w:r>
              <w:rPr>
                <w:rFonts w:hint="eastAsia" w:ascii="宋体" w:hAnsi="宋体"/>
                <w:sz w:val="24"/>
                <w:szCs w:val="24"/>
              </w:rPr>
              <w:t>8、雷达下口无树枝等物体遮挡。</w:t>
            </w:r>
          </w:p>
        </w:tc>
        <w:tc>
          <w:tcPr>
            <w:tcW w:w="1019" w:type="pct"/>
            <w:shd w:val="clear" w:color="auto" w:fill="auto"/>
            <w:vAlign w:val="center"/>
          </w:tcPr>
          <w:p w14:paraId="7315D87B">
            <w:pPr>
              <w:pStyle w:val="254"/>
              <w:spacing w:line="360" w:lineRule="auto"/>
              <w:rPr>
                <w:rFonts w:ascii="宋体" w:hAnsi="宋体"/>
                <w:sz w:val="24"/>
                <w:szCs w:val="24"/>
              </w:rPr>
            </w:pPr>
            <w:r>
              <w:rPr>
                <w:rFonts w:hint="eastAsia" w:ascii="宋体" w:hAnsi="宋体"/>
                <w:sz w:val="24"/>
                <w:szCs w:val="24"/>
              </w:rPr>
              <w:t>汛期1次/月；</w:t>
            </w:r>
            <w:r>
              <w:rPr>
                <w:rFonts w:hint="eastAsia" w:ascii="宋体" w:hAnsi="宋体"/>
                <w:sz w:val="24"/>
                <w:szCs w:val="24"/>
              </w:rPr>
              <w:br w:type="textWrapping"/>
            </w:r>
            <w:r>
              <w:rPr>
                <w:rFonts w:hint="eastAsia" w:ascii="宋体" w:hAnsi="宋体"/>
                <w:sz w:val="24"/>
                <w:szCs w:val="24"/>
              </w:rPr>
              <w:t>非汛期1次/季</w:t>
            </w:r>
          </w:p>
        </w:tc>
        <w:tc>
          <w:tcPr>
            <w:tcW w:w="843" w:type="pct"/>
            <w:shd w:val="clear" w:color="auto" w:fill="auto"/>
            <w:noWrap/>
            <w:vAlign w:val="center"/>
          </w:tcPr>
          <w:p w14:paraId="281EDD4C">
            <w:pPr>
              <w:pStyle w:val="254"/>
              <w:spacing w:line="360" w:lineRule="auto"/>
              <w:rPr>
                <w:rFonts w:ascii="宋体" w:hAnsi="宋体"/>
                <w:sz w:val="24"/>
                <w:szCs w:val="24"/>
              </w:rPr>
            </w:pPr>
            <w:r>
              <w:rPr>
                <w:rFonts w:hint="eastAsia" w:ascii="宋体" w:hAnsi="宋体"/>
                <w:sz w:val="24"/>
                <w:szCs w:val="24"/>
              </w:rPr>
              <w:t>现场维护</w:t>
            </w:r>
          </w:p>
        </w:tc>
      </w:tr>
      <w:tr w14:paraId="1AD147FD">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960" w:hRule="atLeast"/>
        </w:trPr>
        <w:tc>
          <w:tcPr>
            <w:tcW w:w="786" w:type="pct"/>
            <w:vMerge w:val="continue"/>
            <w:vAlign w:val="center"/>
          </w:tcPr>
          <w:p w14:paraId="35B859F9">
            <w:pPr>
              <w:pStyle w:val="254"/>
              <w:spacing w:line="360" w:lineRule="auto"/>
              <w:rPr>
                <w:rFonts w:ascii="宋体" w:hAnsi="宋体"/>
                <w:sz w:val="24"/>
                <w:szCs w:val="24"/>
              </w:rPr>
            </w:pPr>
          </w:p>
        </w:tc>
        <w:tc>
          <w:tcPr>
            <w:tcW w:w="784" w:type="pct"/>
            <w:shd w:val="clear" w:color="auto" w:fill="auto"/>
            <w:noWrap/>
            <w:vAlign w:val="center"/>
          </w:tcPr>
          <w:p w14:paraId="7C6065F8">
            <w:pPr>
              <w:pStyle w:val="254"/>
              <w:spacing w:line="360" w:lineRule="auto"/>
              <w:rPr>
                <w:rFonts w:ascii="宋体" w:hAnsi="宋体"/>
                <w:sz w:val="24"/>
                <w:szCs w:val="24"/>
              </w:rPr>
            </w:pPr>
            <w:r>
              <w:rPr>
                <w:rFonts w:hint="eastAsia" w:ascii="宋体" w:hAnsi="宋体"/>
                <w:sz w:val="24"/>
                <w:szCs w:val="24"/>
              </w:rPr>
              <w:t>定期检测</w:t>
            </w:r>
          </w:p>
        </w:tc>
        <w:tc>
          <w:tcPr>
            <w:tcW w:w="1568" w:type="pct"/>
            <w:shd w:val="clear" w:color="auto" w:fill="auto"/>
            <w:vAlign w:val="center"/>
          </w:tcPr>
          <w:p w14:paraId="1934C3FF">
            <w:pPr>
              <w:pStyle w:val="254"/>
              <w:spacing w:line="360" w:lineRule="auto"/>
              <w:rPr>
                <w:rFonts w:ascii="宋体" w:hAnsi="宋体"/>
                <w:sz w:val="24"/>
                <w:szCs w:val="24"/>
              </w:rPr>
            </w:pPr>
            <w:r>
              <w:rPr>
                <w:rFonts w:hint="eastAsia" w:ascii="宋体" w:hAnsi="宋体"/>
                <w:sz w:val="24"/>
                <w:szCs w:val="24"/>
              </w:rPr>
              <w:t xml:space="preserve">1、通讯信号强度大于  12 dbm   </w:t>
            </w:r>
          </w:p>
          <w:p w14:paraId="184FCC81">
            <w:pPr>
              <w:pStyle w:val="254"/>
              <w:spacing w:line="360" w:lineRule="auto"/>
              <w:rPr>
                <w:rFonts w:ascii="宋体" w:hAnsi="宋体"/>
                <w:sz w:val="24"/>
                <w:szCs w:val="24"/>
              </w:rPr>
            </w:pPr>
            <w:r>
              <w:rPr>
                <w:rFonts w:hint="eastAsia" w:ascii="宋体" w:hAnsi="宋体"/>
                <w:sz w:val="24"/>
                <w:szCs w:val="24"/>
              </w:rPr>
              <w:t>2、供电电压12V+_5%                    3、传感器测量值无较大误差</w:t>
            </w:r>
          </w:p>
        </w:tc>
        <w:tc>
          <w:tcPr>
            <w:tcW w:w="1019" w:type="pct"/>
            <w:shd w:val="clear" w:color="auto" w:fill="auto"/>
            <w:vAlign w:val="center"/>
          </w:tcPr>
          <w:p w14:paraId="4865338D">
            <w:pPr>
              <w:pStyle w:val="254"/>
              <w:spacing w:line="360" w:lineRule="auto"/>
              <w:rPr>
                <w:rFonts w:ascii="宋体" w:hAnsi="宋体"/>
                <w:sz w:val="24"/>
                <w:szCs w:val="24"/>
              </w:rPr>
            </w:pPr>
            <w:r>
              <w:rPr>
                <w:rFonts w:hint="eastAsia" w:ascii="宋体" w:hAnsi="宋体"/>
                <w:sz w:val="24"/>
                <w:szCs w:val="24"/>
              </w:rPr>
              <w:t>汛期1次/季；非汛期1次/半年</w:t>
            </w:r>
          </w:p>
        </w:tc>
        <w:tc>
          <w:tcPr>
            <w:tcW w:w="843" w:type="pct"/>
            <w:shd w:val="clear" w:color="auto" w:fill="auto"/>
            <w:noWrap/>
            <w:vAlign w:val="center"/>
          </w:tcPr>
          <w:p w14:paraId="6D777506">
            <w:pPr>
              <w:pStyle w:val="254"/>
              <w:spacing w:line="360" w:lineRule="auto"/>
              <w:rPr>
                <w:rFonts w:ascii="宋体" w:hAnsi="宋体"/>
                <w:sz w:val="24"/>
                <w:szCs w:val="24"/>
              </w:rPr>
            </w:pPr>
            <w:r>
              <w:rPr>
                <w:rFonts w:hint="eastAsia" w:ascii="宋体" w:hAnsi="宋体"/>
                <w:sz w:val="24"/>
                <w:szCs w:val="24"/>
              </w:rPr>
              <w:t>现场维护</w:t>
            </w:r>
          </w:p>
        </w:tc>
      </w:tr>
      <w:tr w14:paraId="49394019">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1280" w:hRule="atLeast"/>
        </w:trPr>
        <w:tc>
          <w:tcPr>
            <w:tcW w:w="786" w:type="pct"/>
            <w:vMerge w:val="continue"/>
            <w:vAlign w:val="center"/>
          </w:tcPr>
          <w:p w14:paraId="69C38275">
            <w:pPr>
              <w:pStyle w:val="254"/>
              <w:spacing w:line="360" w:lineRule="auto"/>
              <w:rPr>
                <w:rFonts w:ascii="宋体" w:hAnsi="宋体"/>
                <w:sz w:val="24"/>
                <w:szCs w:val="24"/>
              </w:rPr>
            </w:pPr>
          </w:p>
        </w:tc>
        <w:tc>
          <w:tcPr>
            <w:tcW w:w="784" w:type="pct"/>
            <w:shd w:val="clear" w:color="auto" w:fill="auto"/>
            <w:noWrap/>
            <w:vAlign w:val="center"/>
          </w:tcPr>
          <w:p w14:paraId="0C70C2A2">
            <w:pPr>
              <w:pStyle w:val="254"/>
              <w:spacing w:line="360" w:lineRule="auto"/>
              <w:rPr>
                <w:rFonts w:ascii="宋体" w:hAnsi="宋体"/>
                <w:sz w:val="24"/>
                <w:szCs w:val="24"/>
              </w:rPr>
            </w:pPr>
            <w:r>
              <w:rPr>
                <w:rFonts w:hint="eastAsia" w:ascii="宋体" w:hAnsi="宋体"/>
                <w:sz w:val="24"/>
                <w:szCs w:val="24"/>
              </w:rPr>
              <w:t>故障修复</w:t>
            </w:r>
          </w:p>
        </w:tc>
        <w:tc>
          <w:tcPr>
            <w:tcW w:w="1568" w:type="pct"/>
            <w:shd w:val="clear" w:color="auto" w:fill="auto"/>
            <w:vAlign w:val="center"/>
          </w:tcPr>
          <w:p w14:paraId="5CE78B8E">
            <w:pPr>
              <w:pStyle w:val="254"/>
              <w:spacing w:line="360" w:lineRule="auto"/>
              <w:rPr>
                <w:rFonts w:ascii="宋体" w:hAnsi="宋体"/>
                <w:sz w:val="24"/>
                <w:szCs w:val="24"/>
              </w:rPr>
            </w:pPr>
            <w:r>
              <w:rPr>
                <w:rFonts w:hint="eastAsia" w:ascii="宋体" w:hAnsi="宋体"/>
                <w:sz w:val="24"/>
                <w:szCs w:val="24"/>
              </w:rPr>
              <w:t>1、维修或更换相关设备及部件后，原有功能及性能保持不变。                                               2、安装拆除不影响系统使用</w:t>
            </w:r>
          </w:p>
        </w:tc>
        <w:tc>
          <w:tcPr>
            <w:tcW w:w="1019" w:type="pct"/>
            <w:shd w:val="clear" w:color="auto" w:fill="auto"/>
            <w:vAlign w:val="center"/>
          </w:tcPr>
          <w:p w14:paraId="39E1A419">
            <w:pPr>
              <w:pStyle w:val="254"/>
              <w:spacing w:line="360" w:lineRule="auto"/>
              <w:rPr>
                <w:rFonts w:ascii="宋体" w:hAnsi="宋体"/>
                <w:sz w:val="24"/>
                <w:szCs w:val="24"/>
              </w:rPr>
            </w:pPr>
            <w:r>
              <w:rPr>
                <w:rFonts w:ascii="宋体" w:hAnsi="宋体"/>
                <w:sz w:val="24"/>
                <w:szCs w:val="24"/>
              </w:rPr>
              <w:t>根据设备故障发生频次而定</w:t>
            </w:r>
            <w:r>
              <w:rPr>
                <w:rFonts w:hint="eastAsia" w:ascii="宋体" w:hAnsi="宋体"/>
                <w:sz w:val="24"/>
                <w:szCs w:val="24"/>
              </w:rPr>
              <w:t>，原则上不低于每周1次</w:t>
            </w:r>
          </w:p>
        </w:tc>
        <w:tc>
          <w:tcPr>
            <w:tcW w:w="843" w:type="pct"/>
            <w:shd w:val="clear" w:color="auto" w:fill="auto"/>
            <w:noWrap/>
            <w:vAlign w:val="center"/>
          </w:tcPr>
          <w:p w14:paraId="206120EF">
            <w:pPr>
              <w:pStyle w:val="254"/>
              <w:spacing w:line="360" w:lineRule="auto"/>
              <w:rPr>
                <w:rFonts w:ascii="宋体" w:hAnsi="宋体"/>
                <w:sz w:val="24"/>
                <w:szCs w:val="24"/>
              </w:rPr>
            </w:pPr>
            <w:r>
              <w:rPr>
                <w:rFonts w:hint="eastAsia" w:ascii="宋体" w:hAnsi="宋体"/>
                <w:sz w:val="24"/>
                <w:szCs w:val="24"/>
              </w:rPr>
              <w:t>现场维护</w:t>
            </w:r>
          </w:p>
        </w:tc>
      </w:tr>
      <w:tr w14:paraId="720197D7">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900" w:hRule="atLeast"/>
        </w:trPr>
        <w:tc>
          <w:tcPr>
            <w:tcW w:w="786" w:type="pct"/>
            <w:vMerge w:val="restart"/>
            <w:shd w:val="clear" w:color="auto" w:fill="auto"/>
            <w:noWrap/>
            <w:vAlign w:val="center"/>
          </w:tcPr>
          <w:p w14:paraId="345CDFAA">
            <w:pPr>
              <w:pStyle w:val="254"/>
              <w:spacing w:line="360" w:lineRule="auto"/>
              <w:rPr>
                <w:rFonts w:ascii="宋体" w:hAnsi="宋体"/>
                <w:sz w:val="24"/>
                <w:szCs w:val="24"/>
              </w:rPr>
            </w:pPr>
            <w:r>
              <w:rPr>
                <w:rFonts w:hint="eastAsia" w:ascii="宋体" w:hAnsi="宋体"/>
                <w:sz w:val="24"/>
                <w:szCs w:val="24"/>
              </w:rPr>
              <w:t>雨量站及其组件</w:t>
            </w:r>
          </w:p>
        </w:tc>
        <w:tc>
          <w:tcPr>
            <w:tcW w:w="784" w:type="pct"/>
            <w:shd w:val="clear" w:color="auto" w:fill="auto"/>
            <w:vAlign w:val="center"/>
          </w:tcPr>
          <w:p w14:paraId="69FD5BC4">
            <w:pPr>
              <w:pStyle w:val="254"/>
              <w:spacing w:line="360" w:lineRule="auto"/>
              <w:rPr>
                <w:rFonts w:ascii="宋体" w:hAnsi="宋体"/>
                <w:sz w:val="24"/>
                <w:szCs w:val="24"/>
              </w:rPr>
            </w:pPr>
            <w:r>
              <w:rPr>
                <w:rFonts w:hint="eastAsia" w:ascii="宋体" w:hAnsi="宋体"/>
                <w:sz w:val="24"/>
                <w:szCs w:val="24"/>
              </w:rPr>
              <w:t>日常检查</w:t>
            </w:r>
          </w:p>
        </w:tc>
        <w:tc>
          <w:tcPr>
            <w:tcW w:w="1568" w:type="pct"/>
            <w:shd w:val="clear" w:color="auto" w:fill="auto"/>
            <w:vAlign w:val="center"/>
          </w:tcPr>
          <w:p w14:paraId="37B65455">
            <w:pPr>
              <w:pStyle w:val="254"/>
              <w:spacing w:line="360" w:lineRule="auto"/>
              <w:rPr>
                <w:rFonts w:ascii="宋体" w:hAnsi="宋体"/>
                <w:sz w:val="24"/>
                <w:szCs w:val="24"/>
              </w:rPr>
            </w:pPr>
            <w:r>
              <w:rPr>
                <w:rFonts w:hint="eastAsia" w:ascii="宋体" w:hAnsi="宋体"/>
                <w:sz w:val="24"/>
                <w:szCs w:val="24"/>
              </w:rPr>
              <w:t>1、信息采集功能正常；</w:t>
            </w:r>
          </w:p>
          <w:p w14:paraId="68CE0A75">
            <w:pPr>
              <w:pStyle w:val="254"/>
              <w:spacing w:line="360" w:lineRule="auto"/>
              <w:rPr>
                <w:rFonts w:ascii="宋体" w:hAnsi="宋体"/>
                <w:sz w:val="24"/>
                <w:szCs w:val="24"/>
              </w:rPr>
            </w:pPr>
            <w:r>
              <w:rPr>
                <w:rFonts w:hint="eastAsia" w:ascii="宋体" w:hAnsi="宋体"/>
                <w:sz w:val="24"/>
                <w:szCs w:val="24"/>
              </w:rPr>
              <w:t>2、信息上传、转发正常；</w:t>
            </w:r>
          </w:p>
          <w:p w14:paraId="43741294">
            <w:pPr>
              <w:pStyle w:val="254"/>
              <w:spacing w:line="360" w:lineRule="auto"/>
              <w:rPr>
                <w:rFonts w:ascii="宋体" w:hAnsi="宋体"/>
                <w:sz w:val="24"/>
                <w:szCs w:val="24"/>
              </w:rPr>
            </w:pPr>
            <w:r>
              <w:rPr>
                <w:rFonts w:hint="eastAsia" w:ascii="宋体" w:hAnsi="宋体"/>
                <w:sz w:val="24"/>
                <w:szCs w:val="24"/>
              </w:rPr>
              <w:t>3、数据准确可靠。</w:t>
            </w:r>
          </w:p>
        </w:tc>
        <w:tc>
          <w:tcPr>
            <w:tcW w:w="1019" w:type="pct"/>
            <w:shd w:val="clear" w:color="auto" w:fill="auto"/>
            <w:vAlign w:val="center"/>
          </w:tcPr>
          <w:p w14:paraId="56F99D11">
            <w:pPr>
              <w:pStyle w:val="254"/>
              <w:spacing w:line="360" w:lineRule="auto"/>
              <w:rPr>
                <w:rFonts w:ascii="宋体" w:hAnsi="宋体"/>
                <w:sz w:val="24"/>
                <w:szCs w:val="24"/>
              </w:rPr>
            </w:pPr>
            <w:r>
              <w:rPr>
                <w:rFonts w:hint="eastAsia" w:ascii="宋体" w:hAnsi="宋体"/>
                <w:sz w:val="24"/>
                <w:szCs w:val="24"/>
              </w:rPr>
              <w:t>汛期1次／日；非汛期1次/周</w:t>
            </w:r>
          </w:p>
        </w:tc>
        <w:tc>
          <w:tcPr>
            <w:tcW w:w="843" w:type="pct"/>
            <w:shd w:val="clear" w:color="auto" w:fill="auto"/>
            <w:vAlign w:val="center"/>
          </w:tcPr>
          <w:p w14:paraId="410B8532">
            <w:pPr>
              <w:pStyle w:val="254"/>
              <w:spacing w:line="360" w:lineRule="auto"/>
              <w:rPr>
                <w:rFonts w:ascii="宋体" w:hAnsi="宋体"/>
                <w:sz w:val="24"/>
                <w:szCs w:val="24"/>
              </w:rPr>
            </w:pPr>
            <w:r>
              <w:rPr>
                <w:rFonts w:hint="eastAsia" w:ascii="宋体" w:hAnsi="宋体"/>
                <w:sz w:val="24"/>
                <w:szCs w:val="24"/>
              </w:rPr>
              <w:t>通过相应的设备监测软件巡检。</w:t>
            </w:r>
          </w:p>
        </w:tc>
      </w:tr>
      <w:tr w14:paraId="3350297B">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3520" w:hRule="atLeast"/>
        </w:trPr>
        <w:tc>
          <w:tcPr>
            <w:tcW w:w="786" w:type="pct"/>
            <w:vMerge w:val="continue"/>
            <w:vAlign w:val="center"/>
          </w:tcPr>
          <w:p w14:paraId="422B1AA7">
            <w:pPr>
              <w:pStyle w:val="254"/>
              <w:spacing w:line="360" w:lineRule="auto"/>
              <w:rPr>
                <w:rFonts w:ascii="宋体" w:hAnsi="宋体"/>
                <w:sz w:val="24"/>
                <w:szCs w:val="24"/>
              </w:rPr>
            </w:pPr>
          </w:p>
        </w:tc>
        <w:tc>
          <w:tcPr>
            <w:tcW w:w="784" w:type="pct"/>
            <w:shd w:val="clear" w:color="auto" w:fill="auto"/>
            <w:noWrap/>
            <w:vAlign w:val="center"/>
          </w:tcPr>
          <w:p w14:paraId="0AAA42C7">
            <w:pPr>
              <w:pStyle w:val="254"/>
              <w:spacing w:line="360" w:lineRule="auto"/>
              <w:rPr>
                <w:rFonts w:ascii="宋体" w:hAnsi="宋体"/>
                <w:sz w:val="24"/>
                <w:szCs w:val="24"/>
              </w:rPr>
            </w:pPr>
            <w:r>
              <w:rPr>
                <w:rFonts w:hint="eastAsia" w:ascii="宋体" w:hAnsi="宋体"/>
                <w:sz w:val="24"/>
                <w:szCs w:val="24"/>
              </w:rPr>
              <w:t>定期巡检</w:t>
            </w:r>
          </w:p>
        </w:tc>
        <w:tc>
          <w:tcPr>
            <w:tcW w:w="1568" w:type="pct"/>
            <w:shd w:val="clear" w:color="auto" w:fill="auto"/>
            <w:vAlign w:val="center"/>
          </w:tcPr>
          <w:p w14:paraId="40D0720F">
            <w:pPr>
              <w:pStyle w:val="254"/>
              <w:spacing w:line="360" w:lineRule="auto"/>
              <w:rPr>
                <w:rFonts w:ascii="宋体" w:hAnsi="宋体"/>
                <w:sz w:val="24"/>
                <w:szCs w:val="24"/>
              </w:rPr>
            </w:pPr>
            <w:r>
              <w:rPr>
                <w:rFonts w:hint="eastAsia" w:ascii="宋体" w:hAnsi="宋体"/>
                <w:sz w:val="24"/>
                <w:szCs w:val="24"/>
              </w:rPr>
              <w:t xml:space="preserve">1、设备外观完整性。                   </w:t>
            </w:r>
          </w:p>
          <w:p w14:paraId="17B471E8">
            <w:pPr>
              <w:pStyle w:val="254"/>
              <w:spacing w:line="360" w:lineRule="auto"/>
              <w:rPr>
                <w:rFonts w:ascii="宋体" w:hAnsi="宋体"/>
                <w:sz w:val="24"/>
                <w:szCs w:val="24"/>
              </w:rPr>
            </w:pPr>
            <w:r>
              <w:rPr>
                <w:rFonts w:hint="eastAsia" w:ascii="宋体" w:hAnsi="宋体"/>
                <w:sz w:val="24"/>
                <w:szCs w:val="24"/>
              </w:rPr>
              <w:t xml:space="preserve">2、设备工作运行环境良好        </w:t>
            </w:r>
          </w:p>
          <w:p w14:paraId="00829D90">
            <w:pPr>
              <w:pStyle w:val="254"/>
              <w:spacing w:line="360" w:lineRule="auto"/>
              <w:rPr>
                <w:rFonts w:ascii="宋体" w:hAnsi="宋体"/>
                <w:sz w:val="24"/>
                <w:szCs w:val="24"/>
              </w:rPr>
            </w:pPr>
            <w:r>
              <w:rPr>
                <w:rFonts w:hint="eastAsia" w:ascii="宋体" w:hAnsi="宋体"/>
                <w:sz w:val="24"/>
                <w:szCs w:val="24"/>
              </w:rPr>
              <w:t xml:space="preserve">3、通信和电源连通正常            </w:t>
            </w:r>
          </w:p>
          <w:p w14:paraId="2DE34D58">
            <w:pPr>
              <w:pStyle w:val="254"/>
              <w:spacing w:line="360" w:lineRule="auto"/>
              <w:rPr>
                <w:rFonts w:ascii="宋体" w:hAnsi="宋体"/>
                <w:sz w:val="24"/>
                <w:szCs w:val="24"/>
              </w:rPr>
            </w:pPr>
            <w:r>
              <w:rPr>
                <w:rFonts w:hint="eastAsia" w:ascii="宋体" w:hAnsi="宋体"/>
                <w:sz w:val="24"/>
                <w:szCs w:val="24"/>
              </w:rPr>
              <w:t xml:space="preserve">4、组件及支撑结构整洁，无锈蚀歪斜                                          5、机箱内外部整洁干净，内部设备器件运行正常。                  </w:t>
            </w:r>
          </w:p>
          <w:p w14:paraId="041AED02">
            <w:pPr>
              <w:pStyle w:val="254"/>
              <w:spacing w:line="360" w:lineRule="auto"/>
              <w:rPr>
                <w:rFonts w:ascii="宋体" w:hAnsi="宋体"/>
                <w:sz w:val="24"/>
                <w:szCs w:val="24"/>
              </w:rPr>
            </w:pPr>
            <w:r>
              <w:rPr>
                <w:rFonts w:hint="eastAsia" w:ascii="宋体" w:hAnsi="宋体"/>
                <w:sz w:val="24"/>
                <w:szCs w:val="24"/>
              </w:rPr>
              <w:t>6、仪表状态正常，输出稳定；</w:t>
            </w:r>
          </w:p>
          <w:p w14:paraId="18032202">
            <w:pPr>
              <w:pStyle w:val="254"/>
              <w:spacing w:line="360" w:lineRule="auto"/>
              <w:rPr>
                <w:rFonts w:ascii="宋体" w:hAnsi="宋体"/>
                <w:sz w:val="24"/>
                <w:szCs w:val="24"/>
              </w:rPr>
            </w:pPr>
            <w:r>
              <w:rPr>
                <w:rFonts w:hint="eastAsia" w:ascii="宋体" w:hAnsi="宋体"/>
                <w:sz w:val="24"/>
                <w:szCs w:val="24"/>
              </w:rPr>
              <w:t>7、雨量站漏洞内干净整洁，无杂物。</w:t>
            </w:r>
          </w:p>
        </w:tc>
        <w:tc>
          <w:tcPr>
            <w:tcW w:w="1019" w:type="pct"/>
            <w:shd w:val="clear" w:color="auto" w:fill="auto"/>
            <w:vAlign w:val="center"/>
          </w:tcPr>
          <w:p w14:paraId="4B3C725E">
            <w:pPr>
              <w:pStyle w:val="254"/>
              <w:spacing w:line="360" w:lineRule="auto"/>
              <w:rPr>
                <w:rFonts w:ascii="宋体" w:hAnsi="宋体"/>
                <w:sz w:val="24"/>
                <w:szCs w:val="24"/>
              </w:rPr>
            </w:pPr>
            <w:r>
              <w:rPr>
                <w:rFonts w:hint="eastAsia" w:ascii="宋体" w:hAnsi="宋体"/>
                <w:sz w:val="24"/>
                <w:szCs w:val="24"/>
              </w:rPr>
              <w:t>汛期1次/月；</w:t>
            </w:r>
            <w:r>
              <w:rPr>
                <w:rFonts w:hint="eastAsia" w:ascii="宋体" w:hAnsi="宋体"/>
                <w:sz w:val="24"/>
                <w:szCs w:val="24"/>
              </w:rPr>
              <w:br w:type="textWrapping"/>
            </w:r>
            <w:r>
              <w:rPr>
                <w:rFonts w:hint="eastAsia" w:ascii="宋体" w:hAnsi="宋体"/>
                <w:sz w:val="24"/>
                <w:szCs w:val="24"/>
              </w:rPr>
              <w:t>非汛期1次/季</w:t>
            </w:r>
          </w:p>
        </w:tc>
        <w:tc>
          <w:tcPr>
            <w:tcW w:w="843" w:type="pct"/>
            <w:shd w:val="clear" w:color="auto" w:fill="auto"/>
            <w:noWrap/>
            <w:vAlign w:val="center"/>
          </w:tcPr>
          <w:p w14:paraId="68FC54DA">
            <w:pPr>
              <w:pStyle w:val="254"/>
              <w:spacing w:line="360" w:lineRule="auto"/>
              <w:rPr>
                <w:rFonts w:ascii="宋体" w:hAnsi="宋体"/>
                <w:sz w:val="24"/>
                <w:szCs w:val="24"/>
              </w:rPr>
            </w:pPr>
            <w:r>
              <w:rPr>
                <w:rFonts w:hint="eastAsia" w:ascii="宋体" w:hAnsi="宋体"/>
                <w:sz w:val="24"/>
                <w:szCs w:val="24"/>
              </w:rPr>
              <w:t>现场维护</w:t>
            </w:r>
          </w:p>
        </w:tc>
      </w:tr>
      <w:tr w14:paraId="2D510DB8">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960" w:hRule="atLeast"/>
        </w:trPr>
        <w:tc>
          <w:tcPr>
            <w:tcW w:w="786" w:type="pct"/>
            <w:vMerge w:val="continue"/>
            <w:vAlign w:val="center"/>
          </w:tcPr>
          <w:p w14:paraId="255417F2">
            <w:pPr>
              <w:pStyle w:val="254"/>
              <w:spacing w:line="360" w:lineRule="auto"/>
              <w:rPr>
                <w:rFonts w:ascii="宋体" w:hAnsi="宋体"/>
                <w:sz w:val="24"/>
                <w:szCs w:val="24"/>
              </w:rPr>
            </w:pPr>
          </w:p>
        </w:tc>
        <w:tc>
          <w:tcPr>
            <w:tcW w:w="784" w:type="pct"/>
            <w:shd w:val="clear" w:color="auto" w:fill="auto"/>
            <w:noWrap/>
            <w:vAlign w:val="center"/>
          </w:tcPr>
          <w:p w14:paraId="26276499">
            <w:pPr>
              <w:pStyle w:val="254"/>
              <w:spacing w:line="360" w:lineRule="auto"/>
              <w:rPr>
                <w:rFonts w:ascii="宋体" w:hAnsi="宋体"/>
                <w:sz w:val="24"/>
                <w:szCs w:val="24"/>
              </w:rPr>
            </w:pPr>
            <w:r>
              <w:rPr>
                <w:rFonts w:hint="eastAsia" w:ascii="宋体" w:hAnsi="宋体"/>
                <w:sz w:val="24"/>
                <w:szCs w:val="24"/>
              </w:rPr>
              <w:t>定期检测</w:t>
            </w:r>
          </w:p>
        </w:tc>
        <w:tc>
          <w:tcPr>
            <w:tcW w:w="1568" w:type="pct"/>
            <w:shd w:val="clear" w:color="auto" w:fill="auto"/>
            <w:vAlign w:val="center"/>
          </w:tcPr>
          <w:p w14:paraId="504B1893">
            <w:pPr>
              <w:pStyle w:val="254"/>
              <w:spacing w:line="360" w:lineRule="auto"/>
              <w:rPr>
                <w:rFonts w:ascii="宋体" w:hAnsi="宋体"/>
                <w:sz w:val="24"/>
                <w:szCs w:val="24"/>
              </w:rPr>
            </w:pPr>
            <w:r>
              <w:rPr>
                <w:rFonts w:hint="eastAsia" w:ascii="宋体" w:hAnsi="宋体"/>
                <w:sz w:val="24"/>
                <w:szCs w:val="24"/>
              </w:rPr>
              <w:t xml:space="preserve">1、通讯信号强度大于  12 dbm   </w:t>
            </w:r>
          </w:p>
          <w:p w14:paraId="6BFA94D1">
            <w:pPr>
              <w:pStyle w:val="254"/>
              <w:spacing w:line="360" w:lineRule="auto"/>
              <w:rPr>
                <w:rFonts w:ascii="宋体" w:hAnsi="宋体"/>
                <w:sz w:val="24"/>
                <w:szCs w:val="24"/>
              </w:rPr>
            </w:pPr>
            <w:r>
              <w:rPr>
                <w:rFonts w:hint="eastAsia" w:ascii="宋体" w:hAnsi="宋体"/>
                <w:sz w:val="24"/>
                <w:szCs w:val="24"/>
              </w:rPr>
              <w:t>2、供电电压12V+_5%                    3、传感器测量值无较大误差</w:t>
            </w:r>
          </w:p>
        </w:tc>
        <w:tc>
          <w:tcPr>
            <w:tcW w:w="1019" w:type="pct"/>
            <w:shd w:val="clear" w:color="auto" w:fill="auto"/>
            <w:vAlign w:val="center"/>
          </w:tcPr>
          <w:p w14:paraId="072C18D4">
            <w:pPr>
              <w:pStyle w:val="254"/>
              <w:spacing w:line="360" w:lineRule="auto"/>
              <w:rPr>
                <w:rFonts w:ascii="宋体" w:hAnsi="宋体"/>
                <w:sz w:val="24"/>
                <w:szCs w:val="24"/>
              </w:rPr>
            </w:pPr>
            <w:r>
              <w:rPr>
                <w:rFonts w:hint="eastAsia" w:ascii="宋体" w:hAnsi="宋体"/>
                <w:sz w:val="24"/>
                <w:szCs w:val="24"/>
              </w:rPr>
              <w:t>汛期1次/季；非汛期1次/半年</w:t>
            </w:r>
          </w:p>
        </w:tc>
        <w:tc>
          <w:tcPr>
            <w:tcW w:w="843" w:type="pct"/>
            <w:shd w:val="clear" w:color="auto" w:fill="auto"/>
            <w:noWrap/>
            <w:vAlign w:val="center"/>
          </w:tcPr>
          <w:p w14:paraId="41C13D14">
            <w:pPr>
              <w:pStyle w:val="254"/>
              <w:spacing w:line="360" w:lineRule="auto"/>
              <w:rPr>
                <w:rFonts w:ascii="宋体" w:hAnsi="宋体"/>
                <w:sz w:val="24"/>
                <w:szCs w:val="24"/>
              </w:rPr>
            </w:pPr>
            <w:r>
              <w:rPr>
                <w:rFonts w:hint="eastAsia" w:ascii="宋体" w:hAnsi="宋体"/>
                <w:sz w:val="24"/>
                <w:szCs w:val="24"/>
              </w:rPr>
              <w:t>现场维护</w:t>
            </w:r>
          </w:p>
        </w:tc>
      </w:tr>
      <w:tr w14:paraId="0C099BD4">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1280" w:hRule="atLeast"/>
        </w:trPr>
        <w:tc>
          <w:tcPr>
            <w:tcW w:w="786" w:type="pct"/>
            <w:vMerge w:val="continue"/>
            <w:vAlign w:val="center"/>
          </w:tcPr>
          <w:p w14:paraId="19882370">
            <w:pPr>
              <w:pStyle w:val="254"/>
              <w:spacing w:line="360" w:lineRule="auto"/>
              <w:rPr>
                <w:rFonts w:ascii="宋体" w:hAnsi="宋体"/>
                <w:sz w:val="24"/>
                <w:szCs w:val="24"/>
              </w:rPr>
            </w:pPr>
          </w:p>
        </w:tc>
        <w:tc>
          <w:tcPr>
            <w:tcW w:w="784" w:type="pct"/>
            <w:shd w:val="clear" w:color="auto" w:fill="auto"/>
            <w:noWrap/>
            <w:vAlign w:val="center"/>
          </w:tcPr>
          <w:p w14:paraId="16C44021">
            <w:pPr>
              <w:pStyle w:val="254"/>
              <w:spacing w:line="360" w:lineRule="auto"/>
              <w:rPr>
                <w:rFonts w:ascii="宋体" w:hAnsi="宋体"/>
                <w:sz w:val="24"/>
                <w:szCs w:val="24"/>
              </w:rPr>
            </w:pPr>
            <w:r>
              <w:rPr>
                <w:rFonts w:hint="eastAsia" w:ascii="宋体" w:hAnsi="宋体"/>
                <w:sz w:val="24"/>
                <w:szCs w:val="24"/>
              </w:rPr>
              <w:t>故障修复</w:t>
            </w:r>
          </w:p>
        </w:tc>
        <w:tc>
          <w:tcPr>
            <w:tcW w:w="1568" w:type="pct"/>
            <w:shd w:val="clear" w:color="auto" w:fill="auto"/>
            <w:vAlign w:val="center"/>
          </w:tcPr>
          <w:p w14:paraId="01DCED8F">
            <w:pPr>
              <w:pStyle w:val="254"/>
              <w:spacing w:line="360" w:lineRule="auto"/>
              <w:rPr>
                <w:rFonts w:ascii="宋体" w:hAnsi="宋体"/>
                <w:sz w:val="24"/>
                <w:szCs w:val="24"/>
              </w:rPr>
            </w:pPr>
            <w:r>
              <w:rPr>
                <w:rFonts w:hint="eastAsia" w:ascii="宋体" w:hAnsi="宋体"/>
                <w:sz w:val="24"/>
                <w:szCs w:val="24"/>
              </w:rPr>
              <w:t>1、维修或更换相关设备及部件后，原有功能及性能保持不变。                                               2、安装拆除不影响系统使用</w:t>
            </w:r>
          </w:p>
        </w:tc>
        <w:tc>
          <w:tcPr>
            <w:tcW w:w="1019" w:type="pct"/>
            <w:shd w:val="clear" w:color="auto" w:fill="auto"/>
            <w:vAlign w:val="center"/>
          </w:tcPr>
          <w:p w14:paraId="139249F0">
            <w:pPr>
              <w:pStyle w:val="254"/>
              <w:spacing w:line="360" w:lineRule="auto"/>
              <w:rPr>
                <w:rFonts w:ascii="宋体" w:hAnsi="宋体"/>
                <w:sz w:val="24"/>
                <w:szCs w:val="24"/>
              </w:rPr>
            </w:pPr>
            <w:r>
              <w:rPr>
                <w:rFonts w:ascii="宋体" w:hAnsi="宋体"/>
                <w:sz w:val="24"/>
                <w:szCs w:val="24"/>
              </w:rPr>
              <w:t>根据设备故障发生频次而定</w:t>
            </w:r>
            <w:r>
              <w:rPr>
                <w:rFonts w:hint="eastAsia" w:ascii="宋体" w:hAnsi="宋体"/>
                <w:sz w:val="24"/>
                <w:szCs w:val="24"/>
              </w:rPr>
              <w:t>，原则上不低于每周1次</w:t>
            </w:r>
          </w:p>
        </w:tc>
        <w:tc>
          <w:tcPr>
            <w:tcW w:w="843" w:type="pct"/>
            <w:shd w:val="clear" w:color="auto" w:fill="auto"/>
            <w:noWrap/>
            <w:vAlign w:val="center"/>
          </w:tcPr>
          <w:p w14:paraId="6E2B3E80">
            <w:pPr>
              <w:pStyle w:val="254"/>
              <w:spacing w:line="360" w:lineRule="auto"/>
              <w:rPr>
                <w:rFonts w:ascii="宋体" w:hAnsi="宋体"/>
                <w:sz w:val="24"/>
                <w:szCs w:val="24"/>
              </w:rPr>
            </w:pPr>
            <w:r>
              <w:rPr>
                <w:rFonts w:hint="eastAsia" w:ascii="宋体" w:hAnsi="宋体"/>
                <w:sz w:val="24"/>
                <w:szCs w:val="24"/>
              </w:rPr>
              <w:t>现场维护</w:t>
            </w:r>
          </w:p>
        </w:tc>
      </w:tr>
      <w:tr w14:paraId="46D9DE5F">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320" w:hRule="atLeast"/>
        </w:trPr>
        <w:tc>
          <w:tcPr>
            <w:tcW w:w="5000" w:type="pct"/>
            <w:gridSpan w:val="5"/>
            <w:shd w:val="clear" w:color="auto" w:fill="auto"/>
            <w:noWrap/>
            <w:vAlign w:val="center"/>
          </w:tcPr>
          <w:p w14:paraId="67ABDA12">
            <w:pPr>
              <w:pStyle w:val="254"/>
              <w:spacing w:line="360" w:lineRule="auto"/>
              <w:rPr>
                <w:rFonts w:ascii="宋体" w:hAnsi="宋体"/>
                <w:sz w:val="24"/>
                <w:szCs w:val="24"/>
              </w:rPr>
            </w:pPr>
            <w:r>
              <w:rPr>
                <w:rFonts w:hint="eastAsia" w:ascii="宋体" w:hAnsi="宋体"/>
                <w:sz w:val="24"/>
                <w:szCs w:val="24"/>
              </w:rPr>
              <w:t>注：汛期（每年5月——10月）；非汛期（每年11月——次年4月）</w:t>
            </w:r>
          </w:p>
        </w:tc>
      </w:tr>
    </w:tbl>
    <w:p w14:paraId="4E9254D0">
      <w:pPr>
        <w:spacing w:line="360" w:lineRule="auto"/>
        <w:ind w:firstLine="480"/>
        <w:rPr>
          <w:rFonts w:ascii="宋体" w:hAnsi="宋体"/>
          <w:sz w:val="24"/>
        </w:rPr>
      </w:pPr>
      <w:r>
        <w:rPr>
          <w:rFonts w:hint="eastAsia" w:ascii="宋体" w:hAnsi="宋体"/>
          <w:sz w:val="24"/>
        </w:rPr>
        <w:t>2</w:t>
      </w:r>
      <w:r>
        <w:rPr>
          <w:rFonts w:ascii="宋体" w:hAnsi="宋体"/>
          <w:sz w:val="24"/>
        </w:rPr>
        <w:t>.2.3.2</w:t>
      </w:r>
      <w:r>
        <w:rPr>
          <w:rFonts w:hint="eastAsia" w:ascii="宋体" w:hAnsi="宋体"/>
          <w:sz w:val="24"/>
        </w:rPr>
        <w:t>防汛软件系统运维技术要求</w:t>
      </w:r>
    </w:p>
    <w:p w14:paraId="5ECC8B0C">
      <w:pPr>
        <w:spacing w:line="360" w:lineRule="auto"/>
        <w:ind w:firstLine="480"/>
        <w:rPr>
          <w:rFonts w:ascii="宋体" w:hAnsi="宋体"/>
          <w:sz w:val="24"/>
        </w:rPr>
      </w:pPr>
      <w:r>
        <w:rPr>
          <w:rFonts w:hint="eastAsia" w:ascii="宋体" w:hAnsi="宋体"/>
          <w:sz w:val="24"/>
        </w:rPr>
        <w:t>软件系统运维服务主要包括对大兴新城地区防汛应急指挥业务系统及其相关的硬件数据接收软件等后台管理系统、</w:t>
      </w:r>
      <w:r>
        <w:rPr>
          <w:rFonts w:ascii="宋体" w:hAnsi="宋体"/>
          <w:sz w:val="24"/>
        </w:rPr>
        <w:t>其他陆续接入的业务系统</w:t>
      </w:r>
      <w:r>
        <w:rPr>
          <w:rFonts w:hint="eastAsia" w:ascii="宋体" w:hAnsi="宋体"/>
          <w:sz w:val="24"/>
        </w:rPr>
        <w:t>和应用系统维护等工作。</w:t>
      </w:r>
    </w:p>
    <w:p w14:paraId="67FF433E">
      <w:pPr>
        <w:numPr>
          <w:ilvl w:val="0"/>
          <w:numId w:val="21"/>
        </w:numPr>
        <w:adjustRightInd w:val="0"/>
        <w:spacing w:line="360" w:lineRule="auto"/>
        <w:rPr>
          <w:rFonts w:ascii="宋体" w:hAnsi="宋体"/>
          <w:sz w:val="24"/>
        </w:rPr>
      </w:pPr>
      <w:r>
        <w:rPr>
          <w:rFonts w:hint="eastAsia" w:ascii="宋体" w:hAnsi="宋体"/>
          <w:sz w:val="24"/>
        </w:rPr>
        <w:t>应用系统维护技术要求</w:t>
      </w:r>
    </w:p>
    <w:p w14:paraId="46C39357">
      <w:pPr>
        <w:spacing w:line="360" w:lineRule="auto"/>
        <w:ind w:firstLine="480"/>
        <w:rPr>
          <w:rFonts w:ascii="宋体" w:hAnsi="宋体"/>
          <w:color w:val="000000"/>
          <w:sz w:val="24"/>
        </w:rPr>
      </w:pPr>
      <w:r>
        <w:rPr>
          <w:rFonts w:hint="eastAsia" w:ascii="宋体" w:hAnsi="宋体"/>
          <w:color w:val="000000"/>
          <w:sz w:val="24"/>
        </w:rPr>
        <w:t>应用系统主要包含大兴新城防汛应急指挥系统（业务软件）和硬件数据接收软件。</w:t>
      </w:r>
    </w:p>
    <w:p w14:paraId="57F84712">
      <w:pPr>
        <w:spacing w:line="360" w:lineRule="auto"/>
        <w:ind w:firstLine="420"/>
        <w:jc w:val="center"/>
        <w:rPr>
          <w:rFonts w:ascii="宋体" w:hAnsi="宋体"/>
          <w:sz w:val="24"/>
        </w:rPr>
      </w:pPr>
      <w:r>
        <w:rPr>
          <w:rFonts w:hint="eastAsia" w:ascii="宋体" w:hAnsi="宋体"/>
          <w:sz w:val="24"/>
        </w:rPr>
        <w:t>表2</w:t>
      </w:r>
      <w:r>
        <w:rPr>
          <w:rFonts w:ascii="宋体" w:hAnsi="宋体"/>
          <w:sz w:val="24"/>
        </w:rPr>
        <w:t>.2.3.2.1</w:t>
      </w:r>
      <w:r>
        <w:rPr>
          <w:rFonts w:hint="eastAsia" w:ascii="宋体" w:hAnsi="宋体"/>
          <w:sz w:val="24"/>
        </w:rPr>
        <w:t>应用系统</w:t>
      </w:r>
      <w:r>
        <w:rPr>
          <w:rFonts w:ascii="宋体" w:hAnsi="宋体"/>
          <w:sz w:val="24"/>
        </w:rPr>
        <w:t>维护内容与质量要求</w:t>
      </w:r>
    </w:p>
    <w:tbl>
      <w:tblPr>
        <w:tblStyle w:val="42"/>
        <w:tblW w:w="5000"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8"/>
        <w:gridCol w:w="974"/>
        <w:gridCol w:w="1128"/>
        <w:gridCol w:w="1228"/>
        <w:gridCol w:w="2175"/>
        <w:gridCol w:w="2543"/>
      </w:tblGrid>
      <w:tr w14:paraId="79861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275" w:type="pct"/>
            <w:shd w:val="clear" w:color="auto" w:fill="auto"/>
            <w:vAlign w:val="center"/>
          </w:tcPr>
          <w:p w14:paraId="6ACB6EE7">
            <w:pPr>
              <w:pStyle w:val="254"/>
              <w:spacing w:line="360" w:lineRule="auto"/>
              <w:rPr>
                <w:rFonts w:ascii="宋体" w:hAnsi="宋体"/>
                <w:sz w:val="24"/>
                <w:szCs w:val="24"/>
              </w:rPr>
            </w:pPr>
            <w:r>
              <w:rPr>
                <w:rFonts w:hint="eastAsia" w:ascii="宋体" w:hAnsi="宋体"/>
                <w:sz w:val="24"/>
                <w:szCs w:val="24"/>
              </w:rPr>
              <w:t>序号</w:t>
            </w:r>
          </w:p>
        </w:tc>
        <w:tc>
          <w:tcPr>
            <w:tcW w:w="572" w:type="pct"/>
            <w:shd w:val="clear" w:color="auto" w:fill="auto"/>
            <w:vAlign w:val="center"/>
          </w:tcPr>
          <w:p w14:paraId="196A8D4E">
            <w:pPr>
              <w:pStyle w:val="254"/>
              <w:spacing w:line="360" w:lineRule="auto"/>
              <w:rPr>
                <w:rFonts w:ascii="宋体" w:hAnsi="宋体"/>
                <w:sz w:val="24"/>
                <w:szCs w:val="24"/>
              </w:rPr>
            </w:pPr>
            <w:r>
              <w:rPr>
                <w:rFonts w:hint="eastAsia" w:ascii="宋体" w:hAnsi="宋体"/>
                <w:sz w:val="24"/>
                <w:szCs w:val="24"/>
              </w:rPr>
              <w:t>应用系统名称</w:t>
            </w:r>
          </w:p>
        </w:tc>
        <w:tc>
          <w:tcPr>
            <w:tcW w:w="662" w:type="pct"/>
            <w:shd w:val="clear" w:color="auto" w:fill="auto"/>
            <w:vAlign w:val="center"/>
          </w:tcPr>
          <w:p w14:paraId="27BBA6B4">
            <w:pPr>
              <w:pStyle w:val="254"/>
              <w:spacing w:line="360" w:lineRule="auto"/>
              <w:rPr>
                <w:rFonts w:ascii="宋体" w:hAnsi="宋体"/>
                <w:sz w:val="24"/>
                <w:szCs w:val="24"/>
              </w:rPr>
            </w:pPr>
            <w:r>
              <w:rPr>
                <w:rFonts w:hint="eastAsia" w:ascii="宋体" w:hAnsi="宋体"/>
                <w:sz w:val="24"/>
                <w:szCs w:val="24"/>
              </w:rPr>
              <w:t>运行环境</w:t>
            </w:r>
          </w:p>
        </w:tc>
        <w:tc>
          <w:tcPr>
            <w:tcW w:w="721" w:type="pct"/>
            <w:shd w:val="clear" w:color="auto" w:fill="auto"/>
            <w:vAlign w:val="center"/>
          </w:tcPr>
          <w:p w14:paraId="64F71829">
            <w:pPr>
              <w:pStyle w:val="254"/>
              <w:spacing w:line="360" w:lineRule="auto"/>
              <w:rPr>
                <w:rFonts w:ascii="宋体" w:hAnsi="宋体"/>
                <w:sz w:val="24"/>
                <w:szCs w:val="24"/>
              </w:rPr>
            </w:pPr>
            <w:r>
              <w:rPr>
                <w:rFonts w:hint="eastAsia" w:ascii="宋体" w:hAnsi="宋体"/>
                <w:sz w:val="24"/>
                <w:szCs w:val="24"/>
              </w:rPr>
              <w:t>设备位置</w:t>
            </w:r>
          </w:p>
        </w:tc>
        <w:tc>
          <w:tcPr>
            <w:tcW w:w="1277" w:type="pct"/>
            <w:shd w:val="clear" w:color="auto" w:fill="auto"/>
            <w:vAlign w:val="center"/>
          </w:tcPr>
          <w:p w14:paraId="7666D5C0">
            <w:pPr>
              <w:pStyle w:val="254"/>
              <w:spacing w:line="360" w:lineRule="auto"/>
              <w:rPr>
                <w:rFonts w:ascii="宋体" w:hAnsi="宋体"/>
                <w:sz w:val="24"/>
                <w:szCs w:val="24"/>
              </w:rPr>
            </w:pPr>
            <w:r>
              <w:rPr>
                <w:rFonts w:hint="eastAsia" w:ascii="宋体" w:hAnsi="宋体"/>
                <w:sz w:val="24"/>
                <w:szCs w:val="24"/>
              </w:rPr>
              <w:t>服务内容</w:t>
            </w:r>
          </w:p>
        </w:tc>
        <w:tc>
          <w:tcPr>
            <w:tcW w:w="1493" w:type="pct"/>
            <w:shd w:val="clear" w:color="auto" w:fill="auto"/>
            <w:vAlign w:val="center"/>
          </w:tcPr>
          <w:p w14:paraId="6223266D">
            <w:pPr>
              <w:pStyle w:val="254"/>
              <w:spacing w:line="360" w:lineRule="auto"/>
              <w:rPr>
                <w:rFonts w:ascii="宋体" w:hAnsi="宋体"/>
                <w:sz w:val="24"/>
                <w:szCs w:val="24"/>
              </w:rPr>
            </w:pPr>
            <w:r>
              <w:rPr>
                <w:rFonts w:hint="eastAsia" w:ascii="宋体" w:hAnsi="宋体"/>
                <w:sz w:val="24"/>
                <w:szCs w:val="24"/>
              </w:rPr>
              <w:t>质量要求</w:t>
            </w:r>
          </w:p>
        </w:tc>
      </w:tr>
      <w:tr w14:paraId="3A60C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275" w:type="pct"/>
            <w:shd w:val="clear" w:color="auto" w:fill="auto"/>
            <w:vAlign w:val="center"/>
          </w:tcPr>
          <w:p w14:paraId="274F6138">
            <w:pPr>
              <w:pStyle w:val="254"/>
              <w:spacing w:line="360" w:lineRule="auto"/>
              <w:rPr>
                <w:rFonts w:ascii="宋体" w:hAnsi="宋体"/>
                <w:sz w:val="24"/>
                <w:szCs w:val="24"/>
              </w:rPr>
            </w:pPr>
            <w:r>
              <w:rPr>
                <w:rFonts w:ascii="宋体" w:hAnsi="宋体"/>
                <w:sz w:val="24"/>
                <w:szCs w:val="24"/>
              </w:rPr>
              <w:t>1</w:t>
            </w:r>
          </w:p>
        </w:tc>
        <w:tc>
          <w:tcPr>
            <w:tcW w:w="572" w:type="pct"/>
            <w:shd w:val="clear" w:color="auto" w:fill="auto"/>
            <w:vAlign w:val="center"/>
          </w:tcPr>
          <w:p w14:paraId="2B516D19">
            <w:pPr>
              <w:pStyle w:val="254"/>
              <w:spacing w:line="360" w:lineRule="auto"/>
              <w:rPr>
                <w:rFonts w:ascii="宋体" w:hAnsi="宋体"/>
                <w:sz w:val="24"/>
                <w:szCs w:val="24"/>
              </w:rPr>
            </w:pPr>
            <w:r>
              <w:rPr>
                <w:rFonts w:hint="eastAsia" w:ascii="宋体" w:hAnsi="宋体"/>
                <w:sz w:val="24"/>
                <w:szCs w:val="24"/>
              </w:rPr>
              <w:t>大兴新城地区防汛应急指挥系统</w:t>
            </w:r>
          </w:p>
        </w:tc>
        <w:tc>
          <w:tcPr>
            <w:tcW w:w="662" w:type="pct"/>
            <w:shd w:val="clear" w:color="auto" w:fill="auto"/>
            <w:vAlign w:val="center"/>
          </w:tcPr>
          <w:p w14:paraId="6DD3240F">
            <w:pPr>
              <w:pStyle w:val="254"/>
              <w:spacing w:line="360" w:lineRule="auto"/>
              <w:rPr>
                <w:rFonts w:ascii="宋体" w:hAnsi="宋体"/>
                <w:sz w:val="24"/>
                <w:szCs w:val="24"/>
              </w:rPr>
            </w:pPr>
            <w:r>
              <w:rPr>
                <w:rFonts w:hint="eastAsia" w:ascii="宋体" w:hAnsi="宋体"/>
                <w:sz w:val="24"/>
                <w:szCs w:val="24"/>
              </w:rPr>
              <w:t>政务外网</w:t>
            </w:r>
          </w:p>
        </w:tc>
        <w:tc>
          <w:tcPr>
            <w:tcW w:w="721" w:type="pct"/>
            <w:shd w:val="clear" w:color="auto" w:fill="auto"/>
            <w:vAlign w:val="center"/>
          </w:tcPr>
          <w:p w14:paraId="581B3455">
            <w:pPr>
              <w:pStyle w:val="254"/>
              <w:spacing w:line="360" w:lineRule="auto"/>
              <w:rPr>
                <w:rFonts w:ascii="宋体" w:hAnsi="宋体"/>
                <w:sz w:val="24"/>
                <w:szCs w:val="24"/>
              </w:rPr>
            </w:pPr>
            <w:r>
              <w:rPr>
                <w:rFonts w:hint="eastAsia" w:ascii="宋体" w:hAnsi="宋体"/>
                <w:sz w:val="24"/>
                <w:szCs w:val="24"/>
              </w:rPr>
              <w:t>移动云</w:t>
            </w:r>
          </w:p>
        </w:tc>
        <w:tc>
          <w:tcPr>
            <w:tcW w:w="1277" w:type="pct"/>
            <w:vMerge w:val="restart"/>
            <w:shd w:val="clear" w:color="auto" w:fill="auto"/>
            <w:vAlign w:val="center"/>
          </w:tcPr>
          <w:p w14:paraId="26B3757A">
            <w:pPr>
              <w:pStyle w:val="254"/>
              <w:spacing w:line="360" w:lineRule="auto"/>
              <w:rPr>
                <w:rFonts w:ascii="宋体" w:hAnsi="宋体"/>
                <w:sz w:val="24"/>
                <w:szCs w:val="24"/>
              </w:rPr>
            </w:pPr>
            <w:r>
              <w:rPr>
                <w:rFonts w:hint="eastAsia" w:ascii="宋体" w:hAnsi="宋体"/>
                <w:sz w:val="24"/>
                <w:szCs w:val="24"/>
              </w:rPr>
              <w:t xml:space="preserve">（1）数据维护服务：其中包含业务数据定期维护及按需维护，GIS数据定期更新维护等。（2）数据备份：依据城管委要求保障系统所产生的或与之相关的数据安全、可靠，做好数据备份。（3）系统定期检查：对集中运维的业务信息系统，要定期对系统进行运行状态、功能正确性等进行检查。检查后向管线中心科室提供检查报告。（4）按月实施系统巡检工作，收集问题反馈的问题，并予以及时解决。（5）定期开展网络信息安全检 测，确保系统网络信息安全。 </w:t>
            </w:r>
          </w:p>
        </w:tc>
        <w:tc>
          <w:tcPr>
            <w:tcW w:w="1493" w:type="pct"/>
            <w:vMerge w:val="restart"/>
            <w:shd w:val="clear" w:color="auto" w:fill="auto"/>
            <w:vAlign w:val="center"/>
          </w:tcPr>
          <w:p w14:paraId="4DAE7F91">
            <w:pPr>
              <w:pStyle w:val="254"/>
              <w:spacing w:line="360" w:lineRule="auto"/>
              <w:rPr>
                <w:rFonts w:ascii="宋体" w:hAnsi="宋体"/>
                <w:sz w:val="24"/>
                <w:szCs w:val="24"/>
              </w:rPr>
            </w:pPr>
            <w:r>
              <w:rPr>
                <w:rFonts w:hint="eastAsia" w:ascii="宋体" w:hAnsi="宋体"/>
                <w:sz w:val="24"/>
                <w:szCs w:val="24"/>
              </w:rPr>
              <w:t xml:space="preserve">（1）数据定期维护和备份频率不应低于每周1次。有备份记录。（2）系统日常远程维护不低于1次/日，现场巡检不低于每周一次，有巡检记录。（3）应用系统 可用率≥99% (即每年 24×365 中，工作日之外 和系统发布、更 新导致的系统不 可用排除); （4）发现问题制定故障报告及时上报。（5）保证系统安全稳定运行。（6）全年不发生乙方责任网络信息安全事故。 </w:t>
            </w:r>
          </w:p>
        </w:tc>
      </w:tr>
      <w:tr w14:paraId="1E6CA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275" w:type="pct"/>
            <w:shd w:val="clear" w:color="auto" w:fill="auto"/>
            <w:vAlign w:val="center"/>
          </w:tcPr>
          <w:p w14:paraId="2E587300">
            <w:pPr>
              <w:pStyle w:val="254"/>
              <w:spacing w:line="360" w:lineRule="auto"/>
              <w:rPr>
                <w:rFonts w:ascii="宋体" w:hAnsi="宋体"/>
                <w:sz w:val="24"/>
                <w:szCs w:val="24"/>
              </w:rPr>
            </w:pPr>
            <w:r>
              <w:rPr>
                <w:rFonts w:ascii="宋体" w:hAnsi="宋体"/>
                <w:sz w:val="24"/>
                <w:szCs w:val="24"/>
              </w:rPr>
              <w:t>2</w:t>
            </w:r>
          </w:p>
        </w:tc>
        <w:tc>
          <w:tcPr>
            <w:tcW w:w="572" w:type="pct"/>
            <w:shd w:val="clear" w:color="auto" w:fill="auto"/>
            <w:vAlign w:val="center"/>
          </w:tcPr>
          <w:p w14:paraId="1240A317">
            <w:pPr>
              <w:pStyle w:val="254"/>
              <w:spacing w:line="360" w:lineRule="auto"/>
              <w:rPr>
                <w:rFonts w:ascii="宋体" w:hAnsi="宋体"/>
                <w:sz w:val="24"/>
                <w:szCs w:val="24"/>
              </w:rPr>
            </w:pPr>
            <w:r>
              <w:rPr>
                <w:rFonts w:hint="eastAsia" w:ascii="宋体" w:hAnsi="宋体"/>
                <w:sz w:val="24"/>
                <w:szCs w:val="24"/>
              </w:rPr>
              <w:t>硬件数据接收软件</w:t>
            </w:r>
          </w:p>
        </w:tc>
        <w:tc>
          <w:tcPr>
            <w:tcW w:w="662" w:type="pct"/>
            <w:shd w:val="clear" w:color="auto" w:fill="auto"/>
            <w:vAlign w:val="center"/>
          </w:tcPr>
          <w:p w14:paraId="54BD65E6">
            <w:pPr>
              <w:pStyle w:val="254"/>
              <w:spacing w:line="360" w:lineRule="auto"/>
              <w:rPr>
                <w:rFonts w:ascii="宋体" w:hAnsi="宋体"/>
                <w:sz w:val="24"/>
                <w:szCs w:val="24"/>
              </w:rPr>
            </w:pPr>
            <w:r>
              <w:rPr>
                <w:rFonts w:hint="eastAsia" w:ascii="宋体" w:hAnsi="宋体"/>
                <w:sz w:val="24"/>
                <w:szCs w:val="24"/>
              </w:rPr>
              <w:t>政务外网</w:t>
            </w:r>
          </w:p>
        </w:tc>
        <w:tc>
          <w:tcPr>
            <w:tcW w:w="721" w:type="pct"/>
            <w:shd w:val="clear" w:color="auto" w:fill="auto"/>
            <w:vAlign w:val="center"/>
          </w:tcPr>
          <w:p w14:paraId="00FAF968">
            <w:pPr>
              <w:pStyle w:val="254"/>
              <w:spacing w:line="360" w:lineRule="auto"/>
              <w:rPr>
                <w:rFonts w:ascii="宋体" w:hAnsi="宋体"/>
                <w:sz w:val="24"/>
                <w:szCs w:val="24"/>
              </w:rPr>
            </w:pPr>
            <w:r>
              <w:rPr>
                <w:rFonts w:hint="eastAsia" w:ascii="宋体" w:hAnsi="宋体"/>
                <w:sz w:val="24"/>
                <w:szCs w:val="24"/>
              </w:rPr>
              <w:t>移动云</w:t>
            </w:r>
          </w:p>
        </w:tc>
        <w:tc>
          <w:tcPr>
            <w:tcW w:w="1277" w:type="pct"/>
            <w:vMerge w:val="continue"/>
            <w:vAlign w:val="center"/>
          </w:tcPr>
          <w:p w14:paraId="373EBDE2">
            <w:pPr>
              <w:pStyle w:val="254"/>
              <w:spacing w:line="360" w:lineRule="auto"/>
              <w:rPr>
                <w:rFonts w:ascii="宋体" w:hAnsi="宋体"/>
                <w:sz w:val="24"/>
                <w:szCs w:val="24"/>
              </w:rPr>
            </w:pPr>
          </w:p>
        </w:tc>
        <w:tc>
          <w:tcPr>
            <w:tcW w:w="1493" w:type="pct"/>
            <w:vMerge w:val="continue"/>
            <w:vAlign w:val="center"/>
          </w:tcPr>
          <w:p w14:paraId="7D075C4B">
            <w:pPr>
              <w:pStyle w:val="254"/>
              <w:spacing w:line="360" w:lineRule="auto"/>
              <w:rPr>
                <w:rFonts w:ascii="宋体" w:hAnsi="宋体"/>
                <w:sz w:val="24"/>
                <w:szCs w:val="24"/>
              </w:rPr>
            </w:pPr>
          </w:p>
        </w:tc>
      </w:tr>
    </w:tbl>
    <w:p w14:paraId="4FBC40DE">
      <w:pPr>
        <w:spacing w:line="360" w:lineRule="auto"/>
        <w:ind w:firstLine="480"/>
        <w:rPr>
          <w:rFonts w:ascii="宋体" w:hAnsi="宋体"/>
          <w:sz w:val="24"/>
        </w:rPr>
      </w:pPr>
      <w:r>
        <w:rPr>
          <w:rFonts w:hint="eastAsia" w:ascii="宋体" w:hAnsi="宋体"/>
          <w:sz w:val="24"/>
        </w:rPr>
        <w:t>2）软件系统运维工作要求</w:t>
      </w:r>
    </w:p>
    <w:p w14:paraId="04115CD8">
      <w:pPr>
        <w:spacing w:line="360" w:lineRule="auto"/>
        <w:ind w:firstLine="480"/>
        <w:rPr>
          <w:rFonts w:ascii="宋体" w:hAnsi="宋体"/>
          <w:color w:val="000000"/>
          <w:sz w:val="24"/>
        </w:rPr>
      </w:pPr>
      <w:r>
        <w:rPr>
          <w:rFonts w:hint="eastAsia" w:ascii="宋体" w:hAnsi="宋体"/>
          <w:color w:val="000000"/>
          <w:sz w:val="24"/>
        </w:rPr>
        <w:t>运维单位</w:t>
      </w:r>
      <w:r>
        <w:rPr>
          <w:rFonts w:ascii="宋体" w:hAnsi="宋体"/>
          <w:color w:val="000000"/>
          <w:sz w:val="24"/>
        </w:rPr>
        <w:t>能对</w:t>
      </w:r>
      <w:r>
        <w:rPr>
          <w:rFonts w:hint="eastAsia" w:ascii="宋体" w:hAnsi="宋体"/>
          <w:color w:val="000000"/>
          <w:sz w:val="24"/>
        </w:rPr>
        <w:t>区城管委上</w:t>
      </w:r>
      <w:r>
        <w:rPr>
          <w:rFonts w:ascii="宋体" w:hAnsi="宋体"/>
          <w:color w:val="000000"/>
          <w:sz w:val="24"/>
        </w:rPr>
        <w:t>述系统进行维护，维护活动是已有业务系统的</w:t>
      </w:r>
      <w:r>
        <w:rPr>
          <w:rFonts w:hint="eastAsia" w:ascii="宋体" w:hAnsi="宋体"/>
          <w:color w:val="000000"/>
          <w:sz w:val="24"/>
        </w:rPr>
        <w:t>数据维护、软件维护、安全性维护和网络链路维护</w:t>
      </w:r>
      <w:r>
        <w:rPr>
          <w:rFonts w:ascii="宋体" w:hAnsi="宋体"/>
          <w:color w:val="000000"/>
          <w:sz w:val="24"/>
        </w:rPr>
        <w:t>。相关工作要求如下：</w:t>
      </w:r>
    </w:p>
    <w:p w14:paraId="292375EE">
      <w:pPr>
        <w:spacing w:line="360" w:lineRule="auto"/>
        <w:ind w:firstLine="420"/>
        <w:jc w:val="center"/>
        <w:rPr>
          <w:rFonts w:ascii="宋体" w:hAnsi="宋体"/>
          <w:sz w:val="24"/>
        </w:rPr>
      </w:pPr>
      <w:r>
        <w:rPr>
          <w:rFonts w:hint="eastAsia" w:ascii="宋体" w:hAnsi="宋体"/>
          <w:sz w:val="24"/>
        </w:rPr>
        <w:t>表2</w:t>
      </w:r>
      <w:r>
        <w:rPr>
          <w:rFonts w:ascii="宋体" w:hAnsi="宋体"/>
          <w:sz w:val="24"/>
        </w:rPr>
        <w:t>.2.3.2.1</w:t>
      </w:r>
      <w:r>
        <w:rPr>
          <w:rFonts w:hint="eastAsia" w:ascii="宋体" w:hAnsi="宋体"/>
          <w:sz w:val="24"/>
        </w:rPr>
        <w:t>软件系统</w:t>
      </w:r>
      <w:r>
        <w:rPr>
          <w:rFonts w:ascii="宋体" w:hAnsi="宋体"/>
          <w:sz w:val="24"/>
        </w:rPr>
        <w:t>维护内容与质量要求</w:t>
      </w:r>
    </w:p>
    <w:tbl>
      <w:tblPr>
        <w:tblStyle w:val="42"/>
        <w:tblW w:w="0" w:type="auto"/>
        <w:tblInd w:w="118" w:type="dxa"/>
        <w:tblLayout w:type="autofit"/>
        <w:tblCellMar>
          <w:top w:w="0" w:type="dxa"/>
          <w:left w:w="108" w:type="dxa"/>
          <w:bottom w:w="0" w:type="dxa"/>
          <w:right w:w="108" w:type="dxa"/>
        </w:tblCellMar>
      </w:tblPr>
      <w:tblGrid>
        <w:gridCol w:w="336"/>
        <w:gridCol w:w="1328"/>
        <w:gridCol w:w="6734"/>
      </w:tblGrid>
      <w:tr w14:paraId="70CDD794">
        <w:tblPrEx>
          <w:tblCellMar>
            <w:top w:w="0" w:type="dxa"/>
            <w:left w:w="108" w:type="dxa"/>
            <w:bottom w:w="0" w:type="dxa"/>
            <w:right w:w="108" w:type="dxa"/>
          </w:tblCellMar>
        </w:tblPrEx>
        <w:trPr>
          <w:trHeight w:val="340" w:hRule="atLeast"/>
        </w:trPr>
        <w:tc>
          <w:tcPr>
            <w:tcW w:w="0" w:type="auto"/>
            <w:gridSpan w:val="3"/>
            <w:tcBorders>
              <w:top w:val="single" w:color="auto" w:sz="8" w:space="0"/>
              <w:left w:val="single" w:color="auto" w:sz="8" w:space="0"/>
              <w:bottom w:val="single" w:color="auto" w:sz="4" w:space="0"/>
              <w:right w:val="single" w:color="000000" w:sz="8" w:space="0"/>
            </w:tcBorders>
            <w:shd w:val="clear" w:color="auto" w:fill="auto"/>
            <w:vAlign w:val="center"/>
          </w:tcPr>
          <w:p w14:paraId="506FEC6C">
            <w:pPr>
              <w:pStyle w:val="254"/>
              <w:spacing w:line="360" w:lineRule="auto"/>
              <w:rPr>
                <w:rFonts w:ascii="宋体" w:hAnsi="宋体"/>
                <w:sz w:val="24"/>
                <w:szCs w:val="24"/>
              </w:rPr>
            </w:pPr>
            <w:r>
              <w:rPr>
                <w:rFonts w:hint="eastAsia" w:ascii="宋体" w:hAnsi="宋体"/>
                <w:sz w:val="24"/>
                <w:szCs w:val="24"/>
              </w:rPr>
              <w:t>一、数据维护（1次/每周）</w:t>
            </w:r>
          </w:p>
        </w:tc>
      </w:tr>
      <w:tr w14:paraId="49F30E3E">
        <w:tblPrEx>
          <w:tblCellMar>
            <w:top w:w="0" w:type="dxa"/>
            <w:left w:w="108" w:type="dxa"/>
            <w:bottom w:w="0" w:type="dxa"/>
            <w:right w:w="108" w:type="dxa"/>
          </w:tblCellMar>
        </w:tblPrEx>
        <w:trPr>
          <w:trHeight w:val="1409"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23D43BA2">
            <w:pPr>
              <w:pStyle w:val="254"/>
              <w:spacing w:line="360" w:lineRule="auto"/>
              <w:rPr>
                <w:rFonts w:ascii="宋体" w:hAnsi="宋体"/>
                <w:sz w:val="24"/>
                <w:szCs w:val="24"/>
              </w:rPr>
            </w:pPr>
            <w:r>
              <w:rPr>
                <w:rFonts w:ascii="宋体" w:hAnsi="宋体"/>
                <w:sz w:val="24"/>
                <w:szCs w:val="24"/>
              </w:rPr>
              <w:t>1</w:t>
            </w:r>
          </w:p>
        </w:tc>
        <w:tc>
          <w:tcPr>
            <w:tcW w:w="1345" w:type="dxa"/>
            <w:tcBorders>
              <w:top w:val="single" w:color="auto" w:sz="4" w:space="0"/>
              <w:left w:val="single" w:color="auto" w:sz="4" w:space="0"/>
              <w:bottom w:val="single" w:color="auto" w:sz="4" w:space="0"/>
              <w:right w:val="single" w:color="auto" w:sz="4" w:space="0"/>
            </w:tcBorders>
            <w:shd w:val="clear" w:color="auto" w:fill="auto"/>
            <w:vAlign w:val="center"/>
          </w:tcPr>
          <w:p w14:paraId="20007ADD">
            <w:pPr>
              <w:pStyle w:val="254"/>
              <w:spacing w:line="360" w:lineRule="auto"/>
              <w:rPr>
                <w:rFonts w:ascii="宋体" w:hAnsi="宋体"/>
                <w:sz w:val="24"/>
                <w:szCs w:val="24"/>
              </w:rPr>
            </w:pPr>
            <w:r>
              <w:rPr>
                <w:rFonts w:hint="eastAsia" w:ascii="宋体" w:hAnsi="宋体"/>
                <w:sz w:val="24"/>
                <w:szCs w:val="24"/>
              </w:rPr>
              <w:t>数据库维护</w:t>
            </w:r>
          </w:p>
        </w:tc>
        <w:tc>
          <w:tcPr>
            <w:tcW w:w="6848" w:type="dxa"/>
            <w:tcBorders>
              <w:top w:val="single" w:color="auto" w:sz="4" w:space="0"/>
              <w:left w:val="single" w:color="auto" w:sz="4" w:space="0"/>
              <w:bottom w:val="single" w:color="auto" w:sz="4" w:space="0"/>
              <w:right w:val="single" w:color="auto" w:sz="4" w:space="0"/>
            </w:tcBorders>
            <w:shd w:val="clear" w:color="auto" w:fill="auto"/>
            <w:vAlign w:val="center"/>
          </w:tcPr>
          <w:p w14:paraId="4D762EED">
            <w:pPr>
              <w:pStyle w:val="254"/>
              <w:spacing w:line="360" w:lineRule="auto"/>
              <w:rPr>
                <w:rFonts w:ascii="宋体" w:hAnsi="宋体"/>
                <w:sz w:val="24"/>
                <w:szCs w:val="24"/>
              </w:rPr>
            </w:pPr>
            <w:r>
              <w:rPr>
                <w:rFonts w:hint="eastAsia" w:ascii="宋体" w:hAnsi="宋体"/>
                <w:sz w:val="24"/>
                <w:szCs w:val="24"/>
              </w:rPr>
              <w:t>对数据库进行巡检、故障恢复和优化。确保数据库运行正常，数据不丢失。</w:t>
            </w:r>
          </w:p>
        </w:tc>
      </w:tr>
      <w:tr w14:paraId="4B0D3597">
        <w:tblPrEx>
          <w:tblCellMar>
            <w:top w:w="0" w:type="dxa"/>
            <w:left w:w="108" w:type="dxa"/>
            <w:bottom w:w="0" w:type="dxa"/>
            <w:right w:w="108" w:type="dxa"/>
          </w:tblCellMar>
        </w:tblPrEx>
        <w:trPr>
          <w:trHeight w:val="620" w:hRule="atLeast"/>
        </w:trPr>
        <w:tc>
          <w:tcPr>
            <w:tcW w:w="0" w:type="auto"/>
            <w:tcBorders>
              <w:top w:val="single" w:color="auto" w:sz="4" w:space="0"/>
              <w:left w:val="single" w:color="auto" w:sz="8" w:space="0"/>
              <w:bottom w:val="nil"/>
              <w:right w:val="single" w:color="auto" w:sz="8" w:space="0"/>
            </w:tcBorders>
            <w:shd w:val="clear" w:color="auto" w:fill="auto"/>
            <w:vAlign w:val="center"/>
          </w:tcPr>
          <w:p w14:paraId="0C7639B1">
            <w:pPr>
              <w:pStyle w:val="254"/>
              <w:spacing w:line="360" w:lineRule="auto"/>
              <w:rPr>
                <w:rFonts w:ascii="宋体" w:hAnsi="宋体"/>
                <w:sz w:val="24"/>
                <w:szCs w:val="24"/>
              </w:rPr>
            </w:pPr>
            <w:r>
              <w:rPr>
                <w:rFonts w:ascii="宋体" w:hAnsi="宋体"/>
                <w:sz w:val="24"/>
                <w:szCs w:val="24"/>
              </w:rPr>
              <w:t>2</w:t>
            </w:r>
          </w:p>
        </w:tc>
        <w:tc>
          <w:tcPr>
            <w:tcW w:w="1345" w:type="dxa"/>
            <w:tcBorders>
              <w:top w:val="single" w:color="auto" w:sz="4" w:space="0"/>
              <w:left w:val="nil"/>
              <w:bottom w:val="nil"/>
              <w:right w:val="single" w:color="auto" w:sz="8" w:space="0"/>
            </w:tcBorders>
            <w:shd w:val="clear" w:color="auto" w:fill="auto"/>
            <w:vAlign w:val="center"/>
          </w:tcPr>
          <w:p w14:paraId="2E8FF49F">
            <w:pPr>
              <w:pStyle w:val="254"/>
              <w:spacing w:line="360" w:lineRule="auto"/>
              <w:rPr>
                <w:rFonts w:ascii="宋体" w:hAnsi="宋体"/>
                <w:sz w:val="24"/>
                <w:szCs w:val="24"/>
              </w:rPr>
            </w:pPr>
            <w:r>
              <w:rPr>
                <w:rFonts w:hint="eastAsia" w:ascii="宋体" w:hAnsi="宋体"/>
                <w:sz w:val="24"/>
                <w:szCs w:val="24"/>
              </w:rPr>
              <w:t>数据内容维护</w:t>
            </w:r>
          </w:p>
        </w:tc>
        <w:tc>
          <w:tcPr>
            <w:tcW w:w="6848" w:type="dxa"/>
            <w:tcBorders>
              <w:top w:val="single" w:color="auto" w:sz="4" w:space="0"/>
              <w:left w:val="nil"/>
              <w:bottom w:val="nil"/>
              <w:right w:val="single" w:color="auto" w:sz="8" w:space="0"/>
            </w:tcBorders>
            <w:shd w:val="clear" w:color="auto" w:fill="auto"/>
            <w:vAlign w:val="center"/>
          </w:tcPr>
          <w:p w14:paraId="63A84FE0">
            <w:pPr>
              <w:pStyle w:val="254"/>
              <w:spacing w:line="360" w:lineRule="auto"/>
              <w:rPr>
                <w:rFonts w:ascii="宋体" w:hAnsi="宋体"/>
                <w:sz w:val="24"/>
                <w:szCs w:val="24"/>
              </w:rPr>
            </w:pPr>
            <w:r>
              <w:rPr>
                <w:rFonts w:hint="eastAsia" w:ascii="宋体" w:hAnsi="宋体"/>
                <w:sz w:val="24"/>
                <w:szCs w:val="24"/>
              </w:rPr>
              <w:t>运维单位应负责制定日常备份策略，建立自动运行的机制，实现应用系统数据的日常数据备份，频率不应小于每周1次。并且需要协助完成管线中心年度基础数据更新。</w:t>
            </w:r>
          </w:p>
        </w:tc>
      </w:tr>
      <w:tr w14:paraId="7649EEF1">
        <w:tblPrEx>
          <w:tblCellMar>
            <w:top w:w="0" w:type="dxa"/>
            <w:left w:w="108" w:type="dxa"/>
            <w:bottom w:w="0" w:type="dxa"/>
            <w:right w:w="108" w:type="dxa"/>
          </w:tblCellMar>
        </w:tblPrEx>
        <w:trPr>
          <w:trHeight w:val="340" w:hRule="atLeast"/>
        </w:trPr>
        <w:tc>
          <w:tcPr>
            <w:tcW w:w="0" w:type="auto"/>
            <w:gridSpan w:val="3"/>
            <w:tcBorders>
              <w:top w:val="single" w:color="auto" w:sz="8" w:space="0"/>
              <w:left w:val="single" w:color="auto" w:sz="8" w:space="0"/>
              <w:bottom w:val="single" w:color="auto" w:sz="8" w:space="0"/>
              <w:right w:val="single" w:color="000000" w:sz="8" w:space="0"/>
            </w:tcBorders>
            <w:shd w:val="clear" w:color="auto" w:fill="auto"/>
            <w:vAlign w:val="center"/>
          </w:tcPr>
          <w:p w14:paraId="54CDCD4D">
            <w:pPr>
              <w:pStyle w:val="254"/>
              <w:spacing w:line="360" w:lineRule="auto"/>
              <w:rPr>
                <w:rFonts w:ascii="宋体" w:hAnsi="宋体"/>
                <w:sz w:val="24"/>
                <w:szCs w:val="24"/>
              </w:rPr>
            </w:pPr>
            <w:r>
              <w:rPr>
                <w:rFonts w:hint="eastAsia" w:ascii="宋体" w:hAnsi="宋体"/>
                <w:sz w:val="24"/>
                <w:szCs w:val="24"/>
              </w:rPr>
              <w:t>二、软件维护（1次/每周）</w:t>
            </w:r>
          </w:p>
        </w:tc>
      </w:tr>
      <w:tr w14:paraId="3084DBCF">
        <w:tblPrEx>
          <w:tblCellMar>
            <w:top w:w="0" w:type="dxa"/>
            <w:left w:w="108" w:type="dxa"/>
            <w:bottom w:w="0" w:type="dxa"/>
            <w:right w:w="108" w:type="dxa"/>
          </w:tblCellMar>
        </w:tblPrEx>
        <w:trPr>
          <w:trHeight w:val="1220" w:hRule="atLeast"/>
        </w:trPr>
        <w:tc>
          <w:tcPr>
            <w:tcW w:w="0" w:type="auto"/>
            <w:tcBorders>
              <w:top w:val="nil"/>
              <w:left w:val="single" w:color="auto" w:sz="8" w:space="0"/>
              <w:bottom w:val="single" w:color="auto" w:sz="8" w:space="0"/>
              <w:right w:val="single" w:color="auto" w:sz="8" w:space="0"/>
            </w:tcBorders>
            <w:shd w:val="clear" w:color="auto" w:fill="auto"/>
            <w:vAlign w:val="center"/>
          </w:tcPr>
          <w:p w14:paraId="0D6089F1">
            <w:pPr>
              <w:pStyle w:val="254"/>
              <w:spacing w:line="360" w:lineRule="auto"/>
              <w:rPr>
                <w:rFonts w:ascii="宋体" w:hAnsi="宋体"/>
                <w:sz w:val="24"/>
                <w:szCs w:val="24"/>
              </w:rPr>
            </w:pPr>
            <w:r>
              <w:rPr>
                <w:rFonts w:ascii="宋体" w:hAnsi="宋体"/>
                <w:sz w:val="24"/>
                <w:szCs w:val="24"/>
              </w:rPr>
              <w:t>1</w:t>
            </w:r>
          </w:p>
        </w:tc>
        <w:tc>
          <w:tcPr>
            <w:tcW w:w="1345" w:type="dxa"/>
            <w:tcBorders>
              <w:top w:val="nil"/>
              <w:left w:val="nil"/>
              <w:bottom w:val="single" w:color="auto" w:sz="8" w:space="0"/>
              <w:right w:val="single" w:color="auto" w:sz="8" w:space="0"/>
            </w:tcBorders>
            <w:shd w:val="clear" w:color="auto" w:fill="auto"/>
            <w:vAlign w:val="center"/>
          </w:tcPr>
          <w:p w14:paraId="4B9895BA">
            <w:pPr>
              <w:pStyle w:val="254"/>
              <w:spacing w:line="360" w:lineRule="auto"/>
              <w:rPr>
                <w:rFonts w:ascii="宋体" w:hAnsi="宋体"/>
                <w:sz w:val="24"/>
                <w:szCs w:val="24"/>
              </w:rPr>
            </w:pPr>
            <w:r>
              <w:rPr>
                <w:rFonts w:hint="eastAsia" w:ascii="宋体" w:hAnsi="宋体"/>
                <w:sz w:val="24"/>
                <w:szCs w:val="24"/>
              </w:rPr>
              <w:t>巡检维护</w:t>
            </w:r>
          </w:p>
        </w:tc>
        <w:tc>
          <w:tcPr>
            <w:tcW w:w="6848" w:type="dxa"/>
            <w:tcBorders>
              <w:top w:val="nil"/>
              <w:left w:val="nil"/>
              <w:bottom w:val="single" w:color="auto" w:sz="8" w:space="0"/>
              <w:right w:val="single" w:color="auto" w:sz="8" w:space="0"/>
            </w:tcBorders>
            <w:shd w:val="clear" w:color="auto" w:fill="auto"/>
            <w:vAlign w:val="center"/>
          </w:tcPr>
          <w:p w14:paraId="37B4DCBC">
            <w:pPr>
              <w:pStyle w:val="254"/>
              <w:spacing w:line="360" w:lineRule="auto"/>
              <w:rPr>
                <w:rFonts w:ascii="宋体" w:hAnsi="宋体"/>
                <w:sz w:val="24"/>
                <w:szCs w:val="24"/>
              </w:rPr>
            </w:pPr>
            <w:r>
              <w:rPr>
                <w:rFonts w:hint="eastAsia" w:ascii="宋体" w:hAnsi="宋体"/>
                <w:sz w:val="24"/>
                <w:szCs w:val="24"/>
              </w:rPr>
              <w:t>运维单位需每日对区信息中心远程检查服务器运行状态，远程检查业务数据的保存和生成情况。运维单位应在区城管委驻场运维的基础上，设置运维巡检队伍，队伍中应包含运维技术人员及软件开发工程师，负责巡检区城管委防汛系统软件运行情况、现场处置日常应用中迫切需要解决的软件缺陷、对区城管委下属的养护单位人员就日常系统操作上的疑问进行解答，巡检频率最低应满足每周一巡。</w:t>
            </w:r>
          </w:p>
        </w:tc>
      </w:tr>
      <w:tr w14:paraId="20F23E2F">
        <w:tblPrEx>
          <w:tblCellMar>
            <w:top w:w="0" w:type="dxa"/>
            <w:left w:w="108" w:type="dxa"/>
            <w:bottom w:w="0" w:type="dxa"/>
            <w:right w:w="108" w:type="dxa"/>
          </w:tblCellMar>
        </w:tblPrEx>
        <w:trPr>
          <w:trHeight w:val="620" w:hRule="atLeast"/>
        </w:trPr>
        <w:tc>
          <w:tcPr>
            <w:tcW w:w="0" w:type="auto"/>
            <w:tcBorders>
              <w:top w:val="nil"/>
              <w:left w:val="single" w:color="auto" w:sz="8" w:space="0"/>
              <w:bottom w:val="single" w:color="auto" w:sz="8" w:space="0"/>
              <w:right w:val="single" w:color="auto" w:sz="8" w:space="0"/>
            </w:tcBorders>
            <w:shd w:val="clear" w:color="auto" w:fill="auto"/>
            <w:vAlign w:val="center"/>
          </w:tcPr>
          <w:p w14:paraId="73F160EC">
            <w:pPr>
              <w:pStyle w:val="254"/>
              <w:spacing w:line="360" w:lineRule="auto"/>
              <w:rPr>
                <w:rFonts w:ascii="宋体" w:hAnsi="宋体"/>
                <w:sz w:val="24"/>
                <w:szCs w:val="24"/>
              </w:rPr>
            </w:pPr>
            <w:r>
              <w:rPr>
                <w:rFonts w:ascii="宋体" w:hAnsi="宋体"/>
                <w:sz w:val="24"/>
                <w:szCs w:val="24"/>
              </w:rPr>
              <w:t>2</w:t>
            </w:r>
          </w:p>
        </w:tc>
        <w:tc>
          <w:tcPr>
            <w:tcW w:w="1345" w:type="dxa"/>
            <w:tcBorders>
              <w:top w:val="nil"/>
              <w:left w:val="nil"/>
              <w:bottom w:val="single" w:color="auto" w:sz="8" w:space="0"/>
              <w:right w:val="single" w:color="auto" w:sz="8" w:space="0"/>
            </w:tcBorders>
            <w:shd w:val="clear" w:color="auto" w:fill="auto"/>
            <w:vAlign w:val="center"/>
          </w:tcPr>
          <w:p w14:paraId="0E203DF1">
            <w:pPr>
              <w:pStyle w:val="254"/>
              <w:spacing w:line="360" w:lineRule="auto"/>
              <w:rPr>
                <w:rFonts w:ascii="宋体" w:hAnsi="宋体"/>
                <w:sz w:val="24"/>
                <w:szCs w:val="24"/>
              </w:rPr>
            </w:pPr>
            <w:r>
              <w:rPr>
                <w:rFonts w:hint="eastAsia" w:ascii="宋体" w:hAnsi="宋体"/>
                <w:sz w:val="24"/>
                <w:szCs w:val="24"/>
              </w:rPr>
              <w:t>紧急故障排除</w:t>
            </w:r>
          </w:p>
        </w:tc>
        <w:tc>
          <w:tcPr>
            <w:tcW w:w="6848" w:type="dxa"/>
            <w:tcBorders>
              <w:top w:val="nil"/>
              <w:left w:val="nil"/>
              <w:bottom w:val="single" w:color="auto" w:sz="8" w:space="0"/>
              <w:right w:val="single" w:color="auto" w:sz="8" w:space="0"/>
            </w:tcBorders>
            <w:shd w:val="clear" w:color="auto" w:fill="auto"/>
            <w:vAlign w:val="center"/>
          </w:tcPr>
          <w:p w14:paraId="05F4F1F0">
            <w:pPr>
              <w:pStyle w:val="254"/>
              <w:spacing w:line="360" w:lineRule="auto"/>
              <w:rPr>
                <w:rFonts w:ascii="宋体" w:hAnsi="宋体"/>
                <w:sz w:val="24"/>
                <w:szCs w:val="24"/>
              </w:rPr>
            </w:pPr>
            <w:r>
              <w:rPr>
                <w:rFonts w:hint="eastAsia" w:ascii="宋体" w:hAnsi="宋体"/>
                <w:sz w:val="24"/>
                <w:szCs w:val="24"/>
              </w:rPr>
              <w:t>在出现应用系统宕机、应用程序无法访问、数据统计出错、数据备份失效、系统安全等紧急状况时，运维单位应在收到管线中心书面通知后立即响应，工作日2小时内派技术人员快速分析问题和解决问题。</w:t>
            </w:r>
          </w:p>
        </w:tc>
      </w:tr>
      <w:tr w14:paraId="75625796">
        <w:tblPrEx>
          <w:tblCellMar>
            <w:top w:w="0" w:type="dxa"/>
            <w:left w:w="108" w:type="dxa"/>
            <w:bottom w:w="0" w:type="dxa"/>
            <w:right w:w="108" w:type="dxa"/>
          </w:tblCellMar>
        </w:tblPrEx>
        <w:trPr>
          <w:trHeight w:val="1220" w:hRule="atLeast"/>
        </w:trPr>
        <w:tc>
          <w:tcPr>
            <w:tcW w:w="0" w:type="auto"/>
            <w:tcBorders>
              <w:top w:val="nil"/>
              <w:left w:val="single" w:color="auto" w:sz="8" w:space="0"/>
              <w:bottom w:val="single" w:color="auto" w:sz="8" w:space="0"/>
              <w:right w:val="single" w:color="auto" w:sz="8" w:space="0"/>
            </w:tcBorders>
            <w:shd w:val="clear" w:color="auto" w:fill="auto"/>
            <w:vAlign w:val="center"/>
          </w:tcPr>
          <w:p w14:paraId="08485B2F">
            <w:pPr>
              <w:pStyle w:val="254"/>
              <w:spacing w:line="360" w:lineRule="auto"/>
              <w:rPr>
                <w:rFonts w:ascii="宋体" w:hAnsi="宋体"/>
                <w:sz w:val="24"/>
                <w:szCs w:val="24"/>
              </w:rPr>
            </w:pPr>
            <w:r>
              <w:rPr>
                <w:rFonts w:ascii="宋体" w:hAnsi="宋体"/>
                <w:sz w:val="24"/>
                <w:szCs w:val="24"/>
              </w:rPr>
              <w:t>3</w:t>
            </w:r>
          </w:p>
        </w:tc>
        <w:tc>
          <w:tcPr>
            <w:tcW w:w="1345" w:type="dxa"/>
            <w:tcBorders>
              <w:top w:val="nil"/>
              <w:left w:val="nil"/>
              <w:bottom w:val="single" w:color="auto" w:sz="8" w:space="0"/>
              <w:right w:val="single" w:color="auto" w:sz="8" w:space="0"/>
            </w:tcBorders>
            <w:shd w:val="clear" w:color="auto" w:fill="auto"/>
            <w:vAlign w:val="center"/>
          </w:tcPr>
          <w:p w14:paraId="5ADEBFD6">
            <w:pPr>
              <w:pStyle w:val="254"/>
              <w:spacing w:line="360" w:lineRule="auto"/>
              <w:rPr>
                <w:rFonts w:ascii="宋体" w:hAnsi="宋体"/>
                <w:sz w:val="24"/>
                <w:szCs w:val="24"/>
              </w:rPr>
            </w:pPr>
            <w:r>
              <w:rPr>
                <w:rFonts w:hint="eastAsia" w:ascii="宋体" w:hAnsi="宋体"/>
                <w:sz w:val="24"/>
                <w:szCs w:val="24"/>
              </w:rPr>
              <w:t>业务软件功能优化</w:t>
            </w:r>
          </w:p>
        </w:tc>
        <w:tc>
          <w:tcPr>
            <w:tcW w:w="6848" w:type="dxa"/>
            <w:tcBorders>
              <w:top w:val="nil"/>
              <w:left w:val="nil"/>
              <w:bottom w:val="single" w:color="auto" w:sz="8" w:space="0"/>
              <w:right w:val="single" w:color="auto" w:sz="8" w:space="0"/>
            </w:tcBorders>
            <w:shd w:val="clear" w:color="auto" w:fill="auto"/>
            <w:vAlign w:val="center"/>
          </w:tcPr>
          <w:p w14:paraId="2E726390">
            <w:pPr>
              <w:pStyle w:val="254"/>
              <w:spacing w:line="360" w:lineRule="auto"/>
              <w:rPr>
                <w:rFonts w:ascii="宋体" w:hAnsi="宋体"/>
                <w:sz w:val="24"/>
                <w:szCs w:val="24"/>
              </w:rPr>
            </w:pPr>
            <w:r>
              <w:rPr>
                <w:rFonts w:hint="eastAsia" w:ascii="宋体" w:hAnsi="宋体"/>
                <w:sz w:val="24"/>
                <w:szCs w:val="24"/>
              </w:rPr>
              <w:t>如厂家提供免费针对性补丁程序，运维单位应及时为用户进行升级。运维单位应针对系统运行环境、支撑环境等变化对系统进行相应的修改，确保系统正常运行。对软件架构、业务流程、交互页面、数据库、应用程序、I/O系统和操作系统进行相应的优化，有目的的更改系统的一个或多个组件，调整组件配置以改善性能，增加吞吐量，减少响应时间。</w:t>
            </w:r>
          </w:p>
        </w:tc>
      </w:tr>
      <w:tr w14:paraId="2B49B8A4">
        <w:tblPrEx>
          <w:tblCellMar>
            <w:top w:w="0" w:type="dxa"/>
            <w:left w:w="108" w:type="dxa"/>
            <w:bottom w:w="0" w:type="dxa"/>
            <w:right w:w="108" w:type="dxa"/>
          </w:tblCellMar>
        </w:tblPrEx>
        <w:trPr>
          <w:trHeight w:val="620" w:hRule="atLeast"/>
        </w:trPr>
        <w:tc>
          <w:tcPr>
            <w:tcW w:w="0" w:type="auto"/>
            <w:tcBorders>
              <w:top w:val="nil"/>
              <w:left w:val="single" w:color="auto" w:sz="8" w:space="0"/>
              <w:bottom w:val="single" w:color="auto" w:sz="8" w:space="0"/>
              <w:right w:val="single" w:color="auto" w:sz="8" w:space="0"/>
            </w:tcBorders>
            <w:shd w:val="clear" w:color="auto" w:fill="auto"/>
            <w:vAlign w:val="center"/>
          </w:tcPr>
          <w:p w14:paraId="58C7123F">
            <w:pPr>
              <w:pStyle w:val="254"/>
              <w:spacing w:line="360" w:lineRule="auto"/>
              <w:rPr>
                <w:rFonts w:ascii="宋体" w:hAnsi="宋体"/>
                <w:sz w:val="24"/>
                <w:szCs w:val="24"/>
              </w:rPr>
            </w:pPr>
            <w:r>
              <w:rPr>
                <w:rFonts w:ascii="宋体" w:hAnsi="宋体"/>
                <w:sz w:val="24"/>
                <w:szCs w:val="24"/>
              </w:rPr>
              <w:t>4</w:t>
            </w:r>
          </w:p>
        </w:tc>
        <w:tc>
          <w:tcPr>
            <w:tcW w:w="1345" w:type="dxa"/>
            <w:tcBorders>
              <w:top w:val="nil"/>
              <w:left w:val="nil"/>
              <w:bottom w:val="single" w:color="auto" w:sz="8" w:space="0"/>
              <w:right w:val="single" w:color="auto" w:sz="8" w:space="0"/>
            </w:tcBorders>
            <w:shd w:val="clear" w:color="auto" w:fill="auto"/>
            <w:vAlign w:val="center"/>
          </w:tcPr>
          <w:p w14:paraId="6813E55C">
            <w:pPr>
              <w:pStyle w:val="254"/>
              <w:spacing w:line="360" w:lineRule="auto"/>
              <w:rPr>
                <w:rFonts w:ascii="宋体" w:hAnsi="宋体"/>
                <w:sz w:val="24"/>
                <w:szCs w:val="24"/>
              </w:rPr>
            </w:pPr>
            <w:r>
              <w:rPr>
                <w:rFonts w:hint="eastAsia" w:ascii="宋体" w:hAnsi="宋体"/>
                <w:sz w:val="24"/>
                <w:szCs w:val="24"/>
              </w:rPr>
              <w:t>服务功能备份</w:t>
            </w:r>
          </w:p>
        </w:tc>
        <w:tc>
          <w:tcPr>
            <w:tcW w:w="6848" w:type="dxa"/>
            <w:tcBorders>
              <w:top w:val="nil"/>
              <w:left w:val="nil"/>
              <w:bottom w:val="single" w:color="auto" w:sz="8" w:space="0"/>
              <w:right w:val="single" w:color="auto" w:sz="8" w:space="0"/>
            </w:tcBorders>
            <w:shd w:val="clear" w:color="auto" w:fill="auto"/>
            <w:vAlign w:val="center"/>
          </w:tcPr>
          <w:p w14:paraId="5E52D888">
            <w:pPr>
              <w:pStyle w:val="254"/>
              <w:spacing w:line="360" w:lineRule="auto"/>
              <w:rPr>
                <w:rFonts w:ascii="宋体" w:hAnsi="宋体"/>
                <w:sz w:val="24"/>
                <w:szCs w:val="24"/>
              </w:rPr>
            </w:pPr>
            <w:r>
              <w:rPr>
                <w:rFonts w:hint="eastAsia" w:ascii="宋体" w:hAnsi="宋体"/>
                <w:sz w:val="24"/>
                <w:szCs w:val="24"/>
              </w:rPr>
              <w:t>为避免不能预料的系统故障或用户不小心的不当操作，在信息中心例行备份外必须对应用数据和系统数据进行安全备份。</w:t>
            </w:r>
          </w:p>
        </w:tc>
      </w:tr>
      <w:tr w14:paraId="36D69478">
        <w:tblPrEx>
          <w:tblCellMar>
            <w:top w:w="0" w:type="dxa"/>
            <w:left w:w="108" w:type="dxa"/>
            <w:bottom w:w="0" w:type="dxa"/>
            <w:right w:w="108" w:type="dxa"/>
          </w:tblCellMar>
        </w:tblPrEx>
        <w:trPr>
          <w:trHeight w:val="340" w:hRule="atLeast"/>
        </w:trPr>
        <w:tc>
          <w:tcPr>
            <w:tcW w:w="0" w:type="auto"/>
            <w:gridSpan w:val="3"/>
            <w:tcBorders>
              <w:top w:val="single" w:color="auto" w:sz="8" w:space="0"/>
              <w:left w:val="single" w:color="auto" w:sz="8" w:space="0"/>
              <w:bottom w:val="single" w:color="auto" w:sz="8" w:space="0"/>
              <w:right w:val="single" w:color="000000" w:sz="8" w:space="0"/>
            </w:tcBorders>
            <w:shd w:val="clear" w:color="auto" w:fill="auto"/>
            <w:vAlign w:val="center"/>
          </w:tcPr>
          <w:p w14:paraId="463D403F">
            <w:pPr>
              <w:pStyle w:val="254"/>
              <w:spacing w:line="360" w:lineRule="auto"/>
              <w:rPr>
                <w:rFonts w:ascii="宋体" w:hAnsi="宋体"/>
                <w:sz w:val="24"/>
                <w:szCs w:val="24"/>
              </w:rPr>
            </w:pPr>
            <w:r>
              <w:rPr>
                <w:rFonts w:hint="eastAsia" w:ascii="宋体" w:hAnsi="宋体"/>
                <w:sz w:val="24"/>
                <w:szCs w:val="24"/>
              </w:rPr>
              <w:t>三、系统安全性维护（1次/每周）</w:t>
            </w:r>
          </w:p>
        </w:tc>
      </w:tr>
      <w:tr w14:paraId="3939C4AB">
        <w:tblPrEx>
          <w:tblCellMar>
            <w:top w:w="0" w:type="dxa"/>
            <w:left w:w="108" w:type="dxa"/>
            <w:bottom w:w="0" w:type="dxa"/>
            <w:right w:w="108" w:type="dxa"/>
          </w:tblCellMar>
        </w:tblPrEx>
        <w:trPr>
          <w:trHeight w:val="620" w:hRule="atLeast"/>
        </w:trPr>
        <w:tc>
          <w:tcPr>
            <w:tcW w:w="0" w:type="auto"/>
            <w:tcBorders>
              <w:top w:val="nil"/>
              <w:left w:val="single" w:color="auto" w:sz="8" w:space="0"/>
              <w:bottom w:val="single" w:color="auto" w:sz="8" w:space="0"/>
              <w:right w:val="single" w:color="auto" w:sz="8" w:space="0"/>
            </w:tcBorders>
            <w:shd w:val="clear" w:color="auto" w:fill="auto"/>
            <w:vAlign w:val="center"/>
          </w:tcPr>
          <w:p w14:paraId="610A826E">
            <w:pPr>
              <w:pStyle w:val="254"/>
              <w:spacing w:line="360" w:lineRule="auto"/>
              <w:rPr>
                <w:rFonts w:ascii="宋体" w:hAnsi="宋体"/>
                <w:sz w:val="24"/>
                <w:szCs w:val="24"/>
              </w:rPr>
            </w:pPr>
            <w:r>
              <w:rPr>
                <w:rFonts w:ascii="宋体" w:hAnsi="宋体"/>
                <w:sz w:val="24"/>
                <w:szCs w:val="24"/>
              </w:rPr>
              <w:t>1</w:t>
            </w:r>
          </w:p>
        </w:tc>
        <w:tc>
          <w:tcPr>
            <w:tcW w:w="1345" w:type="dxa"/>
            <w:tcBorders>
              <w:top w:val="nil"/>
              <w:left w:val="nil"/>
              <w:bottom w:val="single" w:color="auto" w:sz="8" w:space="0"/>
              <w:right w:val="single" w:color="auto" w:sz="8" w:space="0"/>
            </w:tcBorders>
            <w:shd w:val="clear" w:color="auto" w:fill="auto"/>
            <w:vAlign w:val="center"/>
          </w:tcPr>
          <w:p w14:paraId="6B3A90B2">
            <w:pPr>
              <w:pStyle w:val="254"/>
              <w:spacing w:line="360" w:lineRule="auto"/>
              <w:rPr>
                <w:rFonts w:ascii="宋体" w:hAnsi="宋体"/>
                <w:sz w:val="24"/>
                <w:szCs w:val="24"/>
              </w:rPr>
            </w:pPr>
            <w:r>
              <w:rPr>
                <w:rFonts w:hint="eastAsia" w:ascii="宋体" w:hAnsi="宋体"/>
                <w:sz w:val="24"/>
                <w:szCs w:val="24"/>
              </w:rPr>
              <w:t>系统安全</w:t>
            </w:r>
          </w:p>
        </w:tc>
        <w:tc>
          <w:tcPr>
            <w:tcW w:w="6848" w:type="dxa"/>
            <w:tcBorders>
              <w:top w:val="nil"/>
              <w:left w:val="nil"/>
              <w:bottom w:val="single" w:color="auto" w:sz="8" w:space="0"/>
              <w:right w:val="single" w:color="auto" w:sz="8" w:space="0"/>
            </w:tcBorders>
            <w:shd w:val="clear" w:color="auto" w:fill="auto"/>
            <w:vAlign w:val="center"/>
          </w:tcPr>
          <w:p w14:paraId="40CDFB98">
            <w:pPr>
              <w:pStyle w:val="254"/>
              <w:spacing w:line="360" w:lineRule="auto"/>
              <w:rPr>
                <w:rFonts w:ascii="宋体" w:hAnsi="宋体"/>
                <w:sz w:val="24"/>
                <w:szCs w:val="24"/>
              </w:rPr>
            </w:pPr>
            <w:r>
              <w:rPr>
                <w:rFonts w:hint="eastAsia" w:ascii="宋体" w:hAnsi="宋体"/>
                <w:sz w:val="24"/>
                <w:szCs w:val="24"/>
              </w:rPr>
              <w:t>运维部门分别维护管理操作系统层和应用层的系统，定期对生产系统进行操作系统、数据库、中间件、Web网站等进安全漏洞检查，对检查中存在漏洞进行及时修复。</w:t>
            </w:r>
          </w:p>
        </w:tc>
      </w:tr>
      <w:tr w14:paraId="1D2033CE">
        <w:tblPrEx>
          <w:tblCellMar>
            <w:top w:w="0" w:type="dxa"/>
            <w:left w:w="108" w:type="dxa"/>
            <w:bottom w:w="0" w:type="dxa"/>
            <w:right w:w="108" w:type="dxa"/>
          </w:tblCellMar>
        </w:tblPrEx>
        <w:trPr>
          <w:trHeight w:val="840" w:hRule="atLeast"/>
        </w:trPr>
        <w:tc>
          <w:tcPr>
            <w:tcW w:w="0" w:type="auto"/>
            <w:tcBorders>
              <w:top w:val="nil"/>
              <w:left w:val="single" w:color="auto" w:sz="8" w:space="0"/>
              <w:bottom w:val="single" w:color="auto" w:sz="8" w:space="0"/>
              <w:right w:val="single" w:color="auto" w:sz="8" w:space="0"/>
            </w:tcBorders>
            <w:shd w:val="clear" w:color="auto" w:fill="auto"/>
            <w:vAlign w:val="center"/>
          </w:tcPr>
          <w:p w14:paraId="783AB4C7">
            <w:pPr>
              <w:pStyle w:val="254"/>
              <w:spacing w:line="360" w:lineRule="auto"/>
              <w:rPr>
                <w:rFonts w:ascii="宋体" w:hAnsi="宋体"/>
                <w:sz w:val="24"/>
                <w:szCs w:val="24"/>
              </w:rPr>
            </w:pPr>
            <w:r>
              <w:rPr>
                <w:rFonts w:ascii="宋体" w:hAnsi="宋体"/>
                <w:sz w:val="24"/>
                <w:szCs w:val="24"/>
              </w:rPr>
              <w:t>2</w:t>
            </w:r>
          </w:p>
        </w:tc>
        <w:tc>
          <w:tcPr>
            <w:tcW w:w="1345" w:type="dxa"/>
            <w:tcBorders>
              <w:top w:val="nil"/>
              <w:left w:val="nil"/>
              <w:bottom w:val="single" w:color="auto" w:sz="8" w:space="0"/>
              <w:right w:val="single" w:color="auto" w:sz="8" w:space="0"/>
            </w:tcBorders>
            <w:shd w:val="clear" w:color="auto" w:fill="auto"/>
            <w:vAlign w:val="center"/>
          </w:tcPr>
          <w:p w14:paraId="7F361C44">
            <w:pPr>
              <w:pStyle w:val="254"/>
              <w:spacing w:line="360" w:lineRule="auto"/>
              <w:rPr>
                <w:rFonts w:ascii="宋体" w:hAnsi="宋体"/>
                <w:sz w:val="24"/>
                <w:szCs w:val="24"/>
              </w:rPr>
            </w:pPr>
            <w:r>
              <w:rPr>
                <w:rFonts w:hint="eastAsia" w:ascii="宋体" w:hAnsi="宋体"/>
                <w:sz w:val="24"/>
                <w:szCs w:val="24"/>
              </w:rPr>
              <w:t>业务安全</w:t>
            </w:r>
          </w:p>
        </w:tc>
        <w:tc>
          <w:tcPr>
            <w:tcW w:w="6848" w:type="dxa"/>
            <w:tcBorders>
              <w:top w:val="nil"/>
              <w:left w:val="nil"/>
              <w:bottom w:val="single" w:color="auto" w:sz="8" w:space="0"/>
              <w:right w:val="single" w:color="auto" w:sz="8" w:space="0"/>
            </w:tcBorders>
            <w:shd w:val="clear" w:color="auto" w:fill="auto"/>
            <w:vAlign w:val="center"/>
          </w:tcPr>
          <w:p w14:paraId="59E76525">
            <w:pPr>
              <w:pStyle w:val="254"/>
              <w:spacing w:line="360" w:lineRule="auto"/>
              <w:rPr>
                <w:rFonts w:ascii="宋体" w:hAnsi="宋体"/>
                <w:sz w:val="24"/>
                <w:szCs w:val="24"/>
              </w:rPr>
            </w:pPr>
            <w:r>
              <w:rPr>
                <w:rFonts w:hint="eastAsia" w:ascii="宋体" w:hAnsi="宋体"/>
                <w:sz w:val="24"/>
                <w:szCs w:val="24"/>
              </w:rPr>
              <w:t>各业务平台操作系统、数据库、服务器中间件、帐号权限分配与配置策略、防火墙需按照规范进行配置，并定期组织相关检查人员按时对各业务系统进行安全基线配置检查。对存在有安全风险的系统进行整改。</w:t>
            </w:r>
          </w:p>
        </w:tc>
      </w:tr>
      <w:tr w14:paraId="24902C54">
        <w:tblPrEx>
          <w:tblCellMar>
            <w:top w:w="0" w:type="dxa"/>
            <w:left w:w="108" w:type="dxa"/>
            <w:bottom w:w="0" w:type="dxa"/>
            <w:right w:w="108" w:type="dxa"/>
          </w:tblCellMar>
        </w:tblPrEx>
        <w:trPr>
          <w:trHeight w:val="340" w:hRule="atLeast"/>
        </w:trPr>
        <w:tc>
          <w:tcPr>
            <w:tcW w:w="0" w:type="auto"/>
            <w:gridSpan w:val="3"/>
            <w:tcBorders>
              <w:top w:val="single" w:color="auto" w:sz="8" w:space="0"/>
              <w:left w:val="single" w:color="auto" w:sz="8" w:space="0"/>
              <w:bottom w:val="single" w:color="auto" w:sz="8" w:space="0"/>
              <w:right w:val="single" w:color="000000" w:sz="8" w:space="0"/>
            </w:tcBorders>
            <w:shd w:val="clear" w:color="auto" w:fill="auto"/>
            <w:vAlign w:val="center"/>
          </w:tcPr>
          <w:p w14:paraId="777026DF">
            <w:pPr>
              <w:pStyle w:val="254"/>
              <w:spacing w:line="360" w:lineRule="auto"/>
              <w:rPr>
                <w:rFonts w:ascii="宋体" w:hAnsi="宋体"/>
                <w:sz w:val="24"/>
                <w:szCs w:val="24"/>
              </w:rPr>
            </w:pPr>
            <w:r>
              <w:rPr>
                <w:rFonts w:hint="eastAsia" w:ascii="宋体" w:hAnsi="宋体"/>
                <w:sz w:val="24"/>
                <w:szCs w:val="24"/>
              </w:rPr>
              <w:t>四、网络链路维护（1次/每周）</w:t>
            </w:r>
          </w:p>
        </w:tc>
      </w:tr>
      <w:tr w14:paraId="7AB3C255">
        <w:tblPrEx>
          <w:tblCellMar>
            <w:top w:w="0" w:type="dxa"/>
            <w:left w:w="108" w:type="dxa"/>
            <w:bottom w:w="0" w:type="dxa"/>
            <w:right w:w="108" w:type="dxa"/>
          </w:tblCellMar>
        </w:tblPrEx>
        <w:trPr>
          <w:trHeight w:val="620" w:hRule="atLeast"/>
        </w:trPr>
        <w:tc>
          <w:tcPr>
            <w:tcW w:w="0" w:type="auto"/>
            <w:tcBorders>
              <w:top w:val="nil"/>
              <w:left w:val="single" w:color="auto" w:sz="8" w:space="0"/>
              <w:bottom w:val="single" w:color="auto" w:sz="8" w:space="0"/>
              <w:right w:val="single" w:color="auto" w:sz="8" w:space="0"/>
            </w:tcBorders>
            <w:shd w:val="clear" w:color="auto" w:fill="auto"/>
            <w:vAlign w:val="center"/>
          </w:tcPr>
          <w:p w14:paraId="4A015AF9">
            <w:pPr>
              <w:pStyle w:val="254"/>
              <w:spacing w:line="360" w:lineRule="auto"/>
              <w:rPr>
                <w:rFonts w:ascii="宋体" w:hAnsi="宋体"/>
                <w:sz w:val="24"/>
                <w:szCs w:val="24"/>
              </w:rPr>
            </w:pPr>
            <w:r>
              <w:rPr>
                <w:rFonts w:ascii="宋体" w:hAnsi="宋体"/>
                <w:sz w:val="24"/>
                <w:szCs w:val="24"/>
              </w:rPr>
              <w:t>1</w:t>
            </w:r>
          </w:p>
        </w:tc>
        <w:tc>
          <w:tcPr>
            <w:tcW w:w="1345" w:type="dxa"/>
            <w:tcBorders>
              <w:top w:val="nil"/>
              <w:left w:val="nil"/>
              <w:bottom w:val="single" w:color="auto" w:sz="8" w:space="0"/>
              <w:right w:val="single" w:color="auto" w:sz="8" w:space="0"/>
            </w:tcBorders>
            <w:shd w:val="clear" w:color="auto" w:fill="auto"/>
            <w:vAlign w:val="center"/>
          </w:tcPr>
          <w:p w14:paraId="310BCEBC">
            <w:pPr>
              <w:pStyle w:val="254"/>
              <w:spacing w:line="360" w:lineRule="auto"/>
              <w:rPr>
                <w:rFonts w:ascii="宋体" w:hAnsi="宋体"/>
                <w:sz w:val="24"/>
                <w:szCs w:val="24"/>
              </w:rPr>
            </w:pPr>
            <w:r>
              <w:rPr>
                <w:rFonts w:hint="eastAsia" w:ascii="宋体" w:hAnsi="宋体"/>
                <w:sz w:val="24"/>
                <w:szCs w:val="24"/>
              </w:rPr>
              <w:t>设备链路</w:t>
            </w:r>
          </w:p>
        </w:tc>
        <w:tc>
          <w:tcPr>
            <w:tcW w:w="6848" w:type="dxa"/>
            <w:tcBorders>
              <w:top w:val="nil"/>
              <w:left w:val="nil"/>
              <w:bottom w:val="single" w:color="auto" w:sz="8" w:space="0"/>
              <w:right w:val="single" w:color="auto" w:sz="8" w:space="0"/>
            </w:tcBorders>
            <w:shd w:val="clear" w:color="auto" w:fill="auto"/>
            <w:vAlign w:val="center"/>
          </w:tcPr>
          <w:p w14:paraId="2D06D8B1">
            <w:pPr>
              <w:pStyle w:val="254"/>
              <w:spacing w:line="360" w:lineRule="auto"/>
              <w:rPr>
                <w:rFonts w:ascii="宋体" w:hAnsi="宋体"/>
                <w:sz w:val="24"/>
                <w:szCs w:val="24"/>
              </w:rPr>
            </w:pPr>
            <w:r>
              <w:rPr>
                <w:rFonts w:hint="eastAsia" w:ascii="宋体" w:hAnsi="宋体"/>
                <w:sz w:val="24"/>
                <w:szCs w:val="24"/>
              </w:rPr>
              <w:t>对RTU设备链路的连接状态进行检测和管理，保证汛期期间设备数据的准确性和连通性。</w:t>
            </w:r>
          </w:p>
        </w:tc>
      </w:tr>
      <w:tr w14:paraId="050FD99B">
        <w:tblPrEx>
          <w:tblCellMar>
            <w:top w:w="0" w:type="dxa"/>
            <w:left w:w="108" w:type="dxa"/>
            <w:bottom w:w="0" w:type="dxa"/>
            <w:right w:w="108" w:type="dxa"/>
          </w:tblCellMar>
        </w:tblPrEx>
        <w:trPr>
          <w:trHeight w:val="340" w:hRule="atLeast"/>
        </w:trPr>
        <w:tc>
          <w:tcPr>
            <w:tcW w:w="0" w:type="auto"/>
            <w:tcBorders>
              <w:top w:val="nil"/>
              <w:left w:val="single" w:color="auto" w:sz="8" w:space="0"/>
              <w:bottom w:val="single" w:color="auto" w:sz="8" w:space="0"/>
              <w:right w:val="single" w:color="auto" w:sz="8" w:space="0"/>
            </w:tcBorders>
            <w:shd w:val="clear" w:color="auto" w:fill="auto"/>
            <w:vAlign w:val="center"/>
          </w:tcPr>
          <w:p w14:paraId="5D333462">
            <w:pPr>
              <w:pStyle w:val="254"/>
              <w:spacing w:line="360" w:lineRule="auto"/>
              <w:rPr>
                <w:rFonts w:ascii="宋体" w:hAnsi="宋体"/>
                <w:sz w:val="24"/>
                <w:szCs w:val="24"/>
              </w:rPr>
            </w:pPr>
            <w:r>
              <w:rPr>
                <w:rFonts w:ascii="宋体" w:hAnsi="宋体"/>
                <w:sz w:val="24"/>
                <w:szCs w:val="24"/>
              </w:rPr>
              <w:t>2</w:t>
            </w:r>
          </w:p>
        </w:tc>
        <w:tc>
          <w:tcPr>
            <w:tcW w:w="1345" w:type="dxa"/>
            <w:tcBorders>
              <w:top w:val="nil"/>
              <w:left w:val="nil"/>
              <w:bottom w:val="single" w:color="auto" w:sz="8" w:space="0"/>
              <w:right w:val="single" w:color="auto" w:sz="8" w:space="0"/>
            </w:tcBorders>
            <w:shd w:val="clear" w:color="auto" w:fill="auto"/>
            <w:vAlign w:val="center"/>
          </w:tcPr>
          <w:p w14:paraId="106D7709">
            <w:pPr>
              <w:pStyle w:val="254"/>
              <w:spacing w:line="360" w:lineRule="auto"/>
              <w:rPr>
                <w:rFonts w:ascii="宋体" w:hAnsi="宋体"/>
                <w:sz w:val="24"/>
                <w:szCs w:val="24"/>
              </w:rPr>
            </w:pPr>
            <w:r>
              <w:rPr>
                <w:rFonts w:hint="eastAsia" w:ascii="宋体" w:hAnsi="宋体"/>
                <w:sz w:val="24"/>
                <w:szCs w:val="24"/>
              </w:rPr>
              <w:t>用户链路</w:t>
            </w:r>
          </w:p>
        </w:tc>
        <w:tc>
          <w:tcPr>
            <w:tcW w:w="6848" w:type="dxa"/>
            <w:tcBorders>
              <w:top w:val="nil"/>
              <w:left w:val="nil"/>
              <w:bottom w:val="single" w:color="auto" w:sz="8" w:space="0"/>
              <w:right w:val="single" w:color="auto" w:sz="8" w:space="0"/>
            </w:tcBorders>
            <w:shd w:val="clear" w:color="auto" w:fill="auto"/>
            <w:vAlign w:val="center"/>
          </w:tcPr>
          <w:p w14:paraId="527C492B">
            <w:pPr>
              <w:pStyle w:val="254"/>
              <w:spacing w:line="360" w:lineRule="auto"/>
              <w:rPr>
                <w:rFonts w:ascii="宋体" w:hAnsi="宋体"/>
                <w:sz w:val="24"/>
                <w:szCs w:val="24"/>
              </w:rPr>
            </w:pPr>
            <w:r>
              <w:rPr>
                <w:rFonts w:hint="eastAsia" w:ascii="宋体" w:hAnsi="宋体"/>
                <w:sz w:val="24"/>
                <w:szCs w:val="24"/>
              </w:rPr>
              <w:t>对前端网络设备及物联网设备进行监测管理，定期对用户网络环境进行检查，保障用户的正常访问。</w:t>
            </w:r>
          </w:p>
        </w:tc>
      </w:tr>
    </w:tbl>
    <w:p w14:paraId="4C1BC0C3">
      <w:pPr>
        <w:spacing w:line="360" w:lineRule="auto"/>
        <w:ind w:firstLine="480"/>
        <w:rPr>
          <w:rFonts w:ascii="宋体" w:hAnsi="宋体"/>
          <w:sz w:val="24"/>
        </w:rPr>
      </w:pPr>
      <w:r>
        <w:rPr>
          <w:rFonts w:hint="eastAsia" w:ascii="宋体" w:hAnsi="宋体"/>
          <w:sz w:val="24"/>
        </w:rPr>
        <w:t>2</w:t>
      </w:r>
      <w:r>
        <w:rPr>
          <w:rFonts w:ascii="宋体" w:hAnsi="宋体"/>
          <w:sz w:val="24"/>
        </w:rPr>
        <w:t>.2.4</w:t>
      </w:r>
      <w:r>
        <w:rPr>
          <w:rFonts w:hint="eastAsia" w:ascii="宋体" w:hAnsi="宋体"/>
          <w:sz w:val="24"/>
        </w:rPr>
        <w:t>应急保障服务要求</w:t>
      </w:r>
    </w:p>
    <w:p w14:paraId="5FBECE2E">
      <w:pPr>
        <w:spacing w:line="360" w:lineRule="auto"/>
        <w:ind w:firstLine="480"/>
        <w:rPr>
          <w:rFonts w:ascii="宋体" w:hAnsi="宋体"/>
          <w:color w:val="000000"/>
          <w:sz w:val="24"/>
        </w:rPr>
      </w:pPr>
      <w:r>
        <w:rPr>
          <w:rFonts w:hint="eastAsia" w:ascii="宋体" w:hAnsi="宋体"/>
          <w:color w:val="000000"/>
          <w:sz w:val="24"/>
        </w:rPr>
        <w:t>（</w:t>
      </w:r>
      <w:r>
        <w:rPr>
          <w:rFonts w:ascii="宋体" w:hAnsi="宋体"/>
          <w:color w:val="000000"/>
          <w:sz w:val="24"/>
        </w:rPr>
        <w:t>1</w:t>
      </w:r>
      <w:r>
        <w:rPr>
          <w:rFonts w:hint="eastAsia" w:ascii="宋体" w:hAnsi="宋体"/>
          <w:color w:val="000000"/>
          <w:sz w:val="24"/>
        </w:rPr>
        <w:t>）需制定详细的应急预案，对启动应急预案的基本流程进行梳理。</w:t>
      </w:r>
    </w:p>
    <w:p w14:paraId="35F8B6A5">
      <w:pPr>
        <w:spacing w:line="360" w:lineRule="auto"/>
        <w:ind w:firstLine="480"/>
        <w:rPr>
          <w:rFonts w:ascii="宋体" w:hAnsi="宋体"/>
          <w:color w:val="000000"/>
          <w:sz w:val="24"/>
        </w:rPr>
      </w:pPr>
      <w:r>
        <w:rPr>
          <w:rFonts w:hint="eastAsia" w:ascii="宋体" w:hAnsi="宋体"/>
          <w:color w:val="000000"/>
          <w:sz w:val="24"/>
        </w:rPr>
        <w:t>（</w:t>
      </w:r>
      <w:r>
        <w:rPr>
          <w:rFonts w:ascii="宋体" w:hAnsi="宋体"/>
          <w:color w:val="000000"/>
          <w:sz w:val="24"/>
        </w:rPr>
        <w:t>2</w:t>
      </w:r>
      <w:r>
        <w:rPr>
          <w:rFonts w:hint="eastAsia" w:ascii="宋体" w:hAnsi="宋体"/>
          <w:color w:val="000000"/>
          <w:sz w:val="24"/>
        </w:rPr>
        <w:t>）</w:t>
      </w:r>
      <w:r>
        <w:rPr>
          <w:rFonts w:ascii="宋体" w:hAnsi="宋体"/>
          <w:color w:val="000000"/>
          <w:sz w:val="24"/>
        </w:rPr>
        <w:t>对</w:t>
      </w:r>
      <w:r>
        <w:rPr>
          <w:rFonts w:hint="eastAsia" w:ascii="宋体" w:hAnsi="宋体"/>
          <w:color w:val="000000"/>
          <w:sz w:val="24"/>
        </w:rPr>
        <w:t>应急事件的级别进行划分，对不用事件的级别需规定不同的响应时间和工作时长，并提供对应的应急处置流程。</w:t>
      </w:r>
    </w:p>
    <w:p w14:paraId="21839C0E">
      <w:pPr>
        <w:spacing w:line="360" w:lineRule="auto"/>
        <w:ind w:firstLine="420"/>
        <w:jc w:val="center"/>
        <w:rPr>
          <w:rFonts w:ascii="宋体" w:hAnsi="宋体"/>
          <w:sz w:val="24"/>
        </w:rPr>
      </w:pPr>
      <w:r>
        <w:rPr>
          <w:rFonts w:hint="eastAsia" w:ascii="宋体" w:hAnsi="宋体"/>
          <w:sz w:val="24"/>
        </w:rPr>
        <w:t>表2</w:t>
      </w:r>
      <w:r>
        <w:rPr>
          <w:rFonts w:ascii="宋体" w:hAnsi="宋体"/>
          <w:sz w:val="24"/>
        </w:rPr>
        <w:t>.2</w:t>
      </w:r>
      <w:r>
        <w:rPr>
          <w:rFonts w:hint="eastAsia" w:ascii="宋体" w:hAnsi="宋体"/>
          <w:sz w:val="24"/>
        </w:rPr>
        <w:t>.</w:t>
      </w:r>
      <w:r>
        <w:rPr>
          <w:rFonts w:ascii="宋体" w:hAnsi="宋体"/>
          <w:sz w:val="24"/>
        </w:rPr>
        <w:t>4.1</w:t>
      </w:r>
      <w:r>
        <w:rPr>
          <w:rFonts w:hint="eastAsia" w:ascii="宋体" w:hAnsi="宋体"/>
          <w:sz w:val="24"/>
        </w:rPr>
        <w:t>应急保障响应</w:t>
      </w:r>
      <w:r>
        <w:rPr>
          <w:rFonts w:ascii="宋体" w:hAnsi="宋体"/>
          <w:sz w:val="24"/>
        </w:rPr>
        <w:t>要求</w:t>
      </w:r>
    </w:p>
    <w:tbl>
      <w:tblPr>
        <w:tblStyle w:val="42"/>
        <w:tblW w:w="5000" w:type="pct"/>
        <w:jc w:val="center"/>
        <w:tblLayout w:type="autofit"/>
        <w:tblCellMar>
          <w:top w:w="0" w:type="dxa"/>
          <w:left w:w="108" w:type="dxa"/>
          <w:bottom w:w="0" w:type="dxa"/>
          <w:right w:w="108" w:type="dxa"/>
        </w:tblCellMar>
      </w:tblPr>
      <w:tblGrid>
        <w:gridCol w:w="2852"/>
        <w:gridCol w:w="1584"/>
        <w:gridCol w:w="1584"/>
        <w:gridCol w:w="2496"/>
      </w:tblGrid>
      <w:tr w14:paraId="34EEABCC">
        <w:tblPrEx>
          <w:tblCellMar>
            <w:top w:w="0" w:type="dxa"/>
            <w:left w:w="108" w:type="dxa"/>
            <w:bottom w:w="0" w:type="dxa"/>
            <w:right w:w="108" w:type="dxa"/>
          </w:tblCellMar>
        </w:tblPrEx>
        <w:trPr>
          <w:trHeight w:val="320" w:hRule="atLeast"/>
          <w:jc w:val="center"/>
        </w:trPr>
        <w:tc>
          <w:tcPr>
            <w:tcW w:w="167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1067CD5">
            <w:pPr>
              <w:pStyle w:val="254"/>
              <w:spacing w:line="360" w:lineRule="auto"/>
              <w:rPr>
                <w:rFonts w:ascii="宋体" w:hAnsi="宋体"/>
                <w:sz w:val="24"/>
                <w:szCs w:val="24"/>
              </w:rPr>
            </w:pPr>
            <w:r>
              <w:rPr>
                <w:rFonts w:hint="eastAsia" w:ascii="宋体" w:hAnsi="宋体"/>
                <w:sz w:val="24"/>
                <w:szCs w:val="24"/>
              </w:rPr>
              <w:t xml:space="preserve">故障/问题级别 </w:t>
            </w:r>
          </w:p>
        </w:tc>
        <w:tc>
          <w:tcPr>
            <w:tcW w:w="935" w:type="pct"/>
            <w:tcBorders>
              <w:top w:val="single" w:color="auto" w:sz="4" w:space="0"/>
              <w:left w:val="nil"/>
              <w:bottom w:val="single" w:color="auto" w:sz="4" w:space="0"/>
              <w:right w:val="single" w:color="auto" w:sz="4" w:space="0"/>
            </w:tcBorders>
            <w:shd w:val="clear" w:color="auto" w:fill="auto"/>
            <w:noWrap/>
            <w:vAlign w:val="center"/>
          </w:tcPr>
          <w:p w14:paraId="00EFD69E">
            <w:pPr>
              <w:pStyle w:val="254"/>
              <w:spacing w:line="360" w:lineRule="auto"/>
              <w:rPr>
                <w:rFonts w:ascii="宋体" w:hAnsi="宋体"/>
                <w:sz w:val="24"/>
                <w:szCs w:val="24"/>
              </w:rPr>
            </w:pPr>
            <w:r>
              <w:rPr>
                <w:rFonts w:hint="eastAsia" w:ascii="宋体" w:hAnsi="宋体"/>
                <w:sz w:val="24"/>
                <w:szCs w:val="24"/>
              </w:rPr>
              <w:t>响应时间</w:t>
            </w:r>
          </w:p>
        </w:tc>
        <w:tc>
          <w:tcPr>
            <w:tcW w:w="935" w:type="pct"/>
            <w:tcBorders>
              <w:top w:val="single" w:color="auto" w:sz="4" w:space="0"/>
              <w:left w:val="nil"/>
              <w:bottom w:val="single" w:color="auto" w:sz="4" w:space="0"/>
              <w:right w:val="single" w:color="auto" w:sz="4" w:space="0"/>
            </w:tcBorders>
            <w:shd w:val="clear" w:color="auto" w:fill="auto"/>
            <w:noWrap/>
            <w:vAlign w:val="center"/>
          </w:tcPr>
          <w:p w14:paraId="0C0919B5">
            <w:pPr>
              <w:pStyle w:val="254"/>
              <w:spacing w:line="360" w:lineRule="auto"/>
              <w:rPr>
                <w:rFonts w:ascii="宋体" w:hAnsi="宋体"/>
                <w:sz w:val="24"/>
                <w:szCs w:val="24"/>
              </w:rPr>
            </w:pPr>
            <w:r>
              <w:rPr>
                <w:rFonts w:hint="eastAsia" w:ascii="宋体" w:hAnsi="宋体"/>
                <w:sz w:val="24"/>
                <w:szCs w:val="24"/>
              </w:rPr>
              <w:t>工作时间</w:t>
            </w:r>
          </w:p>
        </w:tc>
        <w:tc>
          <w:tcPr>
            <w:tcW w:w="1451" w:type="pct"/>
            <w:tcBorders>
              <w:top w:val="single" w:color="auto" w:sz="4" w:space="0"/>
              <w:left w:val="nil"/>
              <w:bottom w:val="single" w:color="auto" w:sz="4" w:space="0"/>
              <w:right w:val="single" w:color="auto" w:sz="4" w:space="0"/>
            </w:tcBorders>
            <w:shd w:val="clear" w:color="auto" w:fill="auto"/>
            <w:noWrap/>
            <w:vAlign w:val="center"/>
          </w:tcPr>
          <w:p w14:paraId="542BF1F8">
            <w:pPr>
              <w:pStyle w:val="254"/>
              <w:spacing w:line="360" w:lineRule="auto"/>
              <w:rPr>
                <w:rFonts w:ascii="宋体" w:hAnsi="宋体"/>
                <w:sz w:val="24"/>
                <w:szCs w:val="24"/>
              </w:rPr>
            </w:pPr>
            <w:r>
              <w:rPr>
                <w:rFonts w:hint="eastAsia" w:ascii="宋体" w:hAnsi="宋体"/>
                <w:sz w:val="24"/>
                <w:szCs w:val="24"/>
              </w:rPr>
              <w:t>工作方式</w:t>
            </w:r>
          </w:p>
        </w:tc>
      </w:tr>
      <w:tr w14:paraId="21FDEC8B">
        <w:tblPrEx>
          <w:tblCellMar>
            <w:top w:w="0" w:type="dxa"/>
            <w:left w:w="108" w:type="dxa"/>
            <w:bottom w:w="0" w:type="dxa"/>
            <w:right w:w="108" w:type="dxa"/>
          </w:tblCellMar>
        </w:tblPrEx>
        <w:trPr>
          <w:trHeight w:val="320" w:hRule="atLeast"/>
          <w:jc w:val="center"/>
        </w:trPr>
        <w:tc>
          <w:tcPr>
            <w:tcW w:w="1679" w:type="pct"/>
            <w:tcBorders>
              <w:top w:val="nil"/>
              <w:left w:val="single" w:color="auto" w:sz="4" w:space="0"/>
              <w:bottom w:val="single" w:color="auto" w:sz="4" w:space="0"/>
              <w:right w:val="single" w:color="auto" w:sz="4" w:space="0"/>
            </w:tcBorders>
            <w:shd w:val="clear" w:color="auto" w:fill="auto"/>
            <w:noWrap/>
            <w:vAlign w:val="center"/>
          </w:tcPr>
          <w:p w14:paraId="43417418">
            <w:pPr>
              <w:pStyle w:val="254"/>
              <w:spacing w:line="360" w:lineRule="auto"/>
              <w:rPr>
                <w:rFonts w:ascii="宋体" w:hAnsi="宋体"/>
                <w:sz w:val="24"/>
                <w:szCs w:val="24"/>
              </w:rPr>
            </w:pPr>
            <w:r>
              <w:rPr>
                <w:rFonts w:hint="eastAsia" w:ascii="宋体" w:hAnsi="宋体"/>
                <w:sz w:val="24"/>
                <w:szCs w:val="24"/>
              </w:rPr>
              <w:t>一级（特别重大）</w:t>
            </w:r>
          </w:p>
        </w:tc>
        <w:tc>
          <w:tcPr>
            <w:tcW w:w="935" w:type="pct"/>
            <w:tcBorders>
              <w:top w:val="nil"/>
              <w:left w:val="nil"/>
              <w:bottom w:val="single" w:color="auto" w:sz="4" w:space="0"/>
              <w:right w:val="single" w:color="auto" w:sz="4" w:space="0"/>
            </w:tcBorders>
            <w:shd w:val="clear" w:color="auto" w:fill="auto"/>
            <w:noWrap/>
            <w:vAlign w:val="center"/>
          </w:tcPr>
          <w:p w14:paraId="410FA565">
            <w:pPr>
              <w:pStyle w:val="254"/>
              <w:spacing w:line="360" w:lineRule="auto"/>
              <w:rPr>
                <w:rFonts w:ascii="宋体" w:hAnsi="宋体"/>
                <w:sz w:val="24"/>
                <w:szCs w:val="24"/>
              </w:rPr>
            </w:pPr>
            <w:r>
              <w:rPr>
                <w:rFonts w:hint="eastAsia" w:ascii="宋体" w:hAnsi="宋体"/>
                <w:sz w:val="24"/>
                <w:szCs w:val="24"/>
              </w:rPr>
              <w:t>5分钟</w:t>
            </w:r>
          </w:p>
        </w:tc>
        <w:tc>
          <w:tcPr>
            <w:tcW w:w="935" w:type="pct"/>
            <w:tcBorders>
              <w:top w:val="nil"/>
              <w:left w:val="nil"/>
              <w:bottom w:val="single" w:color="auto" w:sz="4" w:space="0"/>
              <w:right w:val="single" w:color="auto" w:sz="4" w:space="0"/>
            </w:tcBorders>
            <w:shd w:val="clear" w:color="auto" w:fill="auto"/>
            <w:noWrap/>
            <w:vAlign w:val="center"/>
          </w:tcPr>
          <w:p w14:paraId="1048E405">
            <w:pPr>
              <w:pStyle w:val="254"/>
              <w:spacing w:line="360" w:lineRule="auto"/>
              <w:rPr>
                <w:rFonts w:ascii="宋体" w:hAnsi="宋体"/>
                <w:sz w:val="24"/>
                <w:szCs w:val="24"/>
              </w:rPr>
            </w:pPr>
            <w:r>
              <w:rPr>
                <w:rFonts w:hint="eastAsia" w:ascii="宋体" w:hAnsi="宋体"/>
                <w:sz w:val="24"/>
                <w:szCs w:val="24"/>
              </w:rPr>
              <w:t>7×24</w:t>
            </w:r>
          </w:p>
        </w:tc>
        <w:tc>
          <w:tcPr>
            <w:tcW w:w="1451" w:type="pct"/>
            <w:tcBorders>
              <w:top w:val="nil"/>
              <w:left w:val="nil"/>
              <w:bottom w:val="single" w:color="auto" w:sz="4" w:space="0"/>
              <w:right w:val="single" w:color="auto" w:sz="4" w:space="0"/>
            </w:tcBorders>
            <w:shd w:val="clear" w:color="auto" w:fill="auto"/>
            <w:noWrap/>
            <w:vAlign w:val="center"/>
          </w:tcPr>
          <w:p w14:paraId="57603C80">
            <w:pPr>
              <w:pStyle w:val="254"/>
              <w:spacing w:line="360" w:lineRule="auto"/>
              <w:rPr>
                <w:rFonts w:ascii="宋体" w:hAnsi="宋体"/>
                <w:sz w:val="24"/>
                <w:szCs w:val="24"/>
              </w:rPr>
            </w:pPr>
            <w:r>
              <w:rPr>
                <w:rFonts w:hint="eastAsia" w:ascii="宋体" w:hAnsi="宋体"/>
                <w:sz w:val="24"/>
                <w:szCs w:val="24"/>
              </w:rPr>
              <w:t>现场</w:t>
            </w:r>
          </w:p>
        </w:tc>
      </w:tr>
      <w:tr w14:paraId="0071D855">
        <w:tblPrEx>
          <w:tblCellMar>
            <w:top w:w="0" w:type="dxa"/>
            <w:left w:w="108" w:type="dxa"/>
            <w:bottom w:w="0" w:type="dxa"/>
            <w:right w:w="108" w:type="dxa"/>
          </w:tblCellMar>
        </w:tblPrEx>
        <w:trPr>
          <w:trHeight w:val="320" w:hRule="atLeast"/>
          <w:jc w:val="center"/>
        </w:trPr>
        <w:tc>
          <w:tcPr>
            <w:tcW w:w="1679" w:type="pct"/>
            <w:tcBorders>
              <w:top w:val="nil"/>
              <w:left w:val="single" w:color="auto" w:sz="4" w:space="0"/>
              <w:bottom w:val="single" w:color="auto" w:sz="4" w:space="0"/>
              <w:right w:val="single" w:color="auto" w:sz="4" w:space="0"/>
            </w:tcBorders>
            <w:shd w:val="clear" w:color="auto" w:fill="auto"/>
            <w:noWrap/>
            <w:vAlign w:val="center"/>
          </w:tcPr>
          <w:p w14:paraId="25685582">
            <w:pPr>
              <w:pStyle w:val="254"/>
              <w:spacing w:line="360" w:lineRule="auto"/>
              <w:rPr>
                <w:rFonts w:ascii="宋体" w:hAnsi="宋体"/>
                <w:sz w:val="24"/>
                <w:szCs w:val="24"/>
              </w:rPr>
            </w:pPr>
            <w:r>
              <w:rPr>
                <w:rFonts w:hint="eastAsia" w:ascii="宋体" w:hAnsi="宋体"/>
                <w:sz w:val="24"/>
                <w:szCs w:val="24"/>
              </w:rPr>
              <w:t>二级（重大）</w:t>
            </w:r>
          </w:p>
        </w:tc>
        <w:tc>
          <w:tcPr>
            <w:tcW w:w="935" w:type="pct"/>
            <w:tcBorders>
              <w:top w:val="nil"/>
              <w:left w:val="nil"/>
              <w:bottom w:val="single" w:color="auto" w:sz="4" w:space="0"/>
              <w:right w:val="single" w:color="auto" w:sz="4" w:space="0"/>
            </w:tcBorders>
            <w:shd w:val="clear" w:color="auto" w:fill="auto"/>
            <w:noWrap/>
            <w:vAlign w:val="center"/>
          </w:tcPr>
          <w:p w14:paraId="2EA51ADE">
            <w:pPr>
              <w:pStyle w:val="254"/>
              <w:spacing w:line="360" w:lineRule="auto"/>
              <w:rPr>
                <w:rFonts w:ascii="宋体" w:hAnsi="宋体"/>
                <w:sz w:val="24"/>
                <w:szCs w:val="24"/>
              </w:rPr>
            </w:pPr>
            <w:r>
              <w:rPr>
                <w:rFonts w:hint="eastAsia" w:ascii="宋体" w:hAnsi="宋体"/>
                <w:sz w:val="24"/>
                <w:szCs w:val="24"/>
              </w:rPr>
              <w:t>5分钟</w:t>
            </w:r>
          </w:p>
        </w:tc>
        <w:tc>
          <w:tcPr>
            <w:tcW w:w="935" w:type="pct"/>
            <w:tcBorders>
              <w:top w:val="nil"/>
              <w:left w:val="nil"/>
              <w:bottom w:val="single" w:color="auto" w:sz="4" w:space="0"/>
              <w:right w:val="single" w:color="auto" w:sz="4" w:space="0"/>
            </w:tcBorders>
            <w:shd w:val="clear" w:color="auto" w:fill="auto"/>
            <w:noWrap/>
            <w:vAlign w:val="center"/>
          </w:tcPr>
          <w:p w14:paraId="0F048ACC">
            <w:pPr>
              <w:pStyle w:val="254"/>
              <w:spacing w:line="360" w:lineRule="auto"/>
              <w:rPr>
                <w:rFonts w:ascii="宋体" w:hAnsi="宋体"/>
                <w:sz w:val="24"/>
                <w:szCs w:val="24"/>
              </w:rPr>
            </w:pPr>
            <w:r>
              <w:rPr>
                <w:rFonts w:hint="eastAsia" w:ascii="宋体" w:hAnsi="宋体"/>
                <w:sz w:val="24"/>
                <w:szCs w:val="24"/>
              </w:rPr>
              <w:t>7×24</w:t>
            </w:r>
          </w:p>
        </w:tc>
        <w:tc>
          <w:tcPr>
            <w:tcW w:w="1451" w:type="pct"/>
            <w:tcBorders>
              <w:top w:val="nil"/>
              <w:left w:val="nil"/>
              <w:bottom w:val="single" w:color="auto" w:sz="4" w:space="0"/>
              <w:right w:val="single" w:color="auto" w:sz="4" w:space="0"/>
            </w:tcBorders>
            <w:shd w:val="clear" w:color="auto" w:fill="auto"/>
            <w:noWrap/>
            <w:vAlign w:val="center"/>
          </w:tcPr>
          <w:p w14:paraId="3C4D66E9">
            <w:pPr>
              <w:pStyle w:val="254"/>
              <w:spacing w:line="360" w:lineRule="auto"/>
              <w:rPr>
                <w:rFonts w:ascii="宋体" w:hAnsi="宋体"/>
                <w:sz w:val="24"/>
                <w:szCs w:val="24"/>
              </w:rPr>
            </w:pPr>
            <w:r>
              <w:rPr>
                <w:rFonts w:hint="eastAsia" w:ascii="宋体" w:hAnsi="宋体"/>
                <w:sz w:val="24"/>
                <w:szCs w:val="24"/>
              </w:rPr>
              <w:t>现场</w:t>
            </w:r>
          </w:p>
        </w:tc>
      </w:tr>
      <w:tr w14:paraId="17F652CA">
        <w:tblPrEx>
          <w:tblCellMar>
            <w:top w:w="0" w:type="dxa"/>
            <w:left w:w="108" w:type="dxa"/>
            <w:bottom w:w="0" w:type="dxa"/>
            <w:right w:w="108" w:type="dxa"/>
          </w:tblCellMar>
        </w:tblPrEx>
        <w:trPr>
          <w:trHeight w:val="320" w:hRule="atLeast"/>
          <w:jc w:val="center"/>
        </w:trPr>
        <w:tc>
          <w:tcPr>
            <w:tcW w:w="1679" w:type="pct"/>
            <w:tcBorders>
              <w:top w:val="nil"/>
              <w:left w:val="single" w:color="auto" w:sz="4" w:space="0"/>
              <w:bottom w:val="single" w:color="auto" w:sz="4" w:space="0"/>
              <w:right w:val="single" w:color="auto" w:sz="4" w:space="0"/>
            </w:tcBorders>
            <w:shd w:val="clear" w:color="auto" w:fill="auto"/>
            <w:noWrap/>
            <w:vAlign w:val="center"/>
          </w:tcPr>
          <w:p w14:paraId="2A84E6A2">
            <w:pPr>
              <w:pStyle w:val="254"/>
              <w:spacing w:line="360" w:lineRule="auto"/>
              <w:rPr>
                <w:rFonts w:ascii="宋体" w:hAnsi="宋体"/>
                <w:sz w:val="24"/>
                <w:szCs w:val="24"/>
              </w:rPr>
            </w:pPr>
            <w:r>
              <w:rPr>
                <w:rFonts w:hint="eastAsia" w:ascii="宋体" w:hAnsi="宋体"/>
                <w:sz w:val="24"/>
                <w:szCs w:val="24"/>
              </w:rPr>
              <w:t>三级（较大）</w:t>
            </w:r>
          </w:p>
        </w:tc>
        <w:tc>
          <w:tcPr>
            <w:tcW w:w="935" w:type="pct"/>
            <w:tcBorders>
              <w:top w:val="nil"/>
              <w:left w:val="nil"/>
              <w:bottom w:val="single" w:color="auto" w:sz="4" w:space="0"/>
              <w:right w:val="single" w:color="auto" w:sz="4" w:space="0"/>
            </w:tcBorders>
            <w:shd w:val="clear" w:color="auto" w:fill="auto"/>
            <w:noWrap/>
            <w:vAlign w:val="center"/>
          </w:tcPr>
          <w:p w14:paraId="47909FB5">
            <w:pPr>
              <w:pStyle w:val="254"/>
              <w:spacing w:line="360" w:lineRule="auto"/>
              <w:rPr>
                <w:rFonts w:ascii="宋体" w:hAnsi="宋体"/>
                <w:sz w:val="24"/>
                <w:szCs w:val="24"/>
              </w:rPr>
            </w:pPr>
            <w:r>
              <w:rPr>
                <w:rFonts w:hint="eastAsia" w:ascii="宋体" w:hAnsi="宋体"/>
                <w:sz w:val="24"/>
                <w:szCs w:val="24"/>
              </w:rPr>
              <w:t>5分钟</w:t>
            </w:r>
          </w:p>
        </w:tc>
        <w:tc>
          <w:tcPr>
            <w:tcW w:w="935" w:type="pct"/>
            <w:tcBorders>
              <w:top w:val="nil"/>
              <w:left w:val="nil"/>
              <w:bottom w:val="single" w:color="auto" w:sz="4" w:space="0"/>
              <w:right w:val="single" w:color="auto" w:sz="4" w:space="0"/>
            </w:tcBorders>
            <w:shd w:val="clear" w:color="auto" w:fill="auto"/>
            <w:noWrap/>
            <w:vAlign w:val="center"/>
          </w:tcPr>
          <w:p w14:paraId="124BB358">
            <w:pPr>
              <w:pStyle w:val="254"/>
              <w:spacing w:line="360" w:lineRule="auto"/>
              <w:rPr>
                <w:rFonts w:ascii="宋体" w:hAnsi="宋体"/>
                <w:sz w:val="24"/>
                <w:szCs w:val="24"/>
              </w:rPr>
            </w:pPr>
            <w:r>
              <w:rPr>
                <w:rFonts w:hint="eastAsia" w:ascii="宋体" w:hAnsi="宋体"/>
                <w:sz w:val="24"/>
                <w:szCs w:val="24"/>
              </w:rPr>
              <w:t>5×8</w:t>
            </w:r>
          </w:p>
        </w:tc>
        <w:tc>
          <w:tcPr>
            <w:tcW w:w="1451" w:type="pct"/>
            <w:tcBorders>
              <w:top w:val="nil"/>
              <w:left w:val="nil"/>
              <w:bottom w:val="single" w:color="auto" w:sz="4" w:space="0"/>
              <w:right w:val="single" w:color="auto" w:sz="4" w:space="0"/>
            </w:tcBorders>
            <w:shd w:val="clear" w:color="auto" w:fill="auto"/>
            <w:noWrap/>
            <w:vAlign w:val="center"/>
          </w:tcPr>
          <w:p w14:paraId="7D2BE4D2">
            <w:pPr>
              <w:pStyle w:val="254"/>
              <w:spacing w:line="360" w:lineRule="auto"/>
              <w:rPr>
                <w:rFonts w:ascii="宋体" w:hAnsi="宋体"/>
                <w:sz w:val="24"/>
                <w:szCs w:val="24"/>
              </w:rPr>
            </w:pPr>
            <w:r>
              <w:rPr>
                <w:rFonts w:hint="eastAsia" w:ascii="宋体" w:hAnsi="宋体"/>
                <w:sz w:val="24"/>
                <w:szCs w:val="24"/>
              </w:rPr>
              <w:t>现场</w:t>
            </w:r>
          </w:p>
        </w:tc>
      </w:tr>
      <w:tr w14:paraId="3060192A">
        <w:tblPrEx>
          <w:tblCellMar>
            <w:top w:w="0" w:type="dxa"/>
            <w:left w:w="108" w:type="dxa"/>
            <w:bottom w:w="0" w:type="dxa"/>
            <w:right w:w="108" w:type="dxa"/>
          </w:tblCellMar>
        </w:tblPrEx>
        <w:trPr>
          <w:trHeight w:val="320" w:hRule="atLeast"/>
          <w:jc w:val="center"/>
        </w:trPr>
        <w:tc>
          <w:tcPr>
            <w:tcW w:w="1679" w:type="pct"/>
            <w:tcBorders>
              <w:top w:val="nil"/>
              <w:left w:val="single" w:color="auto" w:sz="4" w:space="0"/>
              <w:bottom w:val="single" w:color="auto" w:sz="4" w:space="0"/>
              <w:right w:val="single" w:color="auto" w:sz="4" w:space="0"/>
            </w:tcBorders>
            <w:shd w:val="clear" w:color="auto" w:fill="auto"/>
            <w:noWrap/>
            <w:vAlign w:val="center"/>
          </w:tcPr>
          <w:p w14:paraId="5FD2C4A8">
            <w:pPr>
              <w:pStyle w:val="254"/>
              <w:spacing w:line="360" w:lineRule="auto"/>
              <w:rPr>
                <w:rFonts w:ascii="宋体" w:hAnsi="宋体"/>
                <w:sz w:val="24"/>
                <w:szCs w:val="24"/>
              </w:rPr>
            </w:pPr>
            <w:r>
              <w:rPr>
                <w:rFonts w:hint="eastAsia" w:ascii="宋体" w:hAnsi="宋体"/>
                <w:sz w:val="24"/>
                <w:szCs w:val="24"/>
              </w:rPr>
              <w:t>四级事件（一般）</w:t>
            </w:r>
          </w:p>
        </w:tc>
        <w:tc>
          <w:tcPr>
            <w:tcW w:w="935" w:type="pct"/>
            <w:tcBorders>
              <w:top w:val="nil"/>
              <w:left w:val="nil"/>
              <w:bottom w:val="single" w:color="auto" w:sz="4" w:space="0"/>
              <w:right w:val="single" w:color="auto" w:sz="4" w:space="0"/>
            </w:tcBorders>
            <w:shd w:val="clear" w:color="auto" w:fill="auto"/>
            <w:noWrap/>
            <w:vAlign w:val="center"/>
          </w:tcPr>
          <w:p w14:paraId="33CF407E">
            <w:pPr>
              <w:pStyle w:val="254"/>
              <w:spacing w:line="360" w:lineRule="auto"/>
              <w:rPr>
                <w:rFonts w:ascii="宋体" w:hAnsi="宋体"/>
                <w:sz w:val="24"/>
                <w:szCs w:val="24"/>
              </w:rPr>
            </w:pPr>
            <w:r>
              <w:rPr>
                <w:rFonts w:hint="eastAsia" w:ascii="宋体" w:hAnsi="宋体"/>
                <w:sz w:val="24"/>
                <w:szCs w:val="24"/>
              </w:rPr>
              <w:t>5分钟</w:t>
            </w:r>
          </w:p>
        </w:tc>
        <w:tc>
          <w:tcPr>
            <w:tcW w:w="935" w:type="pct"/>
            <w:tcBorders>
              <w:top w:val="nil"/>
              <w:left w:val="nil"/>
              <w:bottom w:val="single" w:color="auto" w:sz="4" w:space="0"/>
              <w:right w:val="single" w:color="auto" w:sz="4" w:space="0"/>
            </w:tcBorders>
            <w:shd w:val="clear" w:color="auto" w:fill="auto"/>
            <w:noWrap/>
            <w:vAlign w:val="center"/>
          </w:tcPr>
          <w:p w14:paraId="30E9E4FC">
            <w:pPr>
              <w:pStyle w:val="254"/>
              <w:spacing w:line="360" w:lineRule="auto"/>
              <w:rPr>
                <w:rFonts w:ascii="宋体" w:hAnsi="宋体"/>
                <w:sz w:val="24"/>
                <w:szCs w:val="24"/>
              </w:rPr>
            </w:pPr>
            <w:r>
              <w:rPr>
                <w:rFonts w:hint="eastAsia" w:ascii="宋体" w:hAnsi="宋体"/>
                <w:sz w:val="24"/>
                <w:szCs w:val="24"/>
              </w:rPr>
              <w:t>5×8</w:t>
            </w:r>
          </w:p>
        </w:tc>
        <w:tc>
          <w:tcPr>
            <w:tcW w:w="1451" w:type="pct"/>
            <w:tcBorders>
              <w:top w:val="nil"/>
              <w:left w:val="nil"/>
              <w:bottom w:val="single" w:color="auto" w:sz="4" w:space="0"/>
              <w:right w:val="single" w:color="auto" w:sz="4" w:space="0"/>
            </w:tcBorders>
            <w:shd w:val="clear" w:color="auto" w:fill="auto"/>
            <w:noWrap/>
            <w:vAlign w:val="center"/>
          </w:tcPr>
          <w:p w14:paraId="18026EC4">
            <w:pPr>
              <w:pStyle w:val="254"/>
              <w:spacing w:line="360" w:lineRule="auto"/>
              <w:rPr>
                <w:rFonts w:ascii="宋体" w:hAnsi="宋体"/>
                <w:sz w:val="24"/>
                <w:szCs w:val="24"/>
              </w:rPr>
            </w:pPr>
            <w:r>
              <w:rPr>
                <w:rFonts w:hint="eastAsia" w:ascii="宋体" w:hAnsi="宋体"/>
                <w:sz w:val="24"/>
                <w:szCs w:val="24"/>
              </w:rPr>
              <w:t>电话/远程/现场/邮件</w:t>
            </w:r>
          </w:p>
        </w:tc>
      </w:tr>
    </w:tbl>
    <w:p w14:paraId="71B2306E">
      <w:pPr>
        <w:spacing w:line="360" w:lineRule="auto"/>
        <w:ind w:firstLine="480"/>
        <w:rPr>
          <w:rFonts w:ascii="宋体" w:hAnsi="宋体"/>
          <w:color w:val="000000"/>
          <w:sz w:val="24"/>
        </w:rPr>
      </w:pPr>
      <w:r>
        <w:rPr>
          <w:rFonts w:hint="eastAsia" w:ascii="宋体" w:hAnsi="宋体"/>
          <w:color w:val="000000"/>
          <w:sz w:val="24"/>
        </w:rPr>
        <w:t>（3）需建设应急处置小组，一般不少于</w:t>
      </w:r>
      <w:r>
        <w:rPr>
          <w:rFonts w:ascii="宋体" w:hAnsi="宋体"/>
          <w:color w:val="000000"/>
          <w:sz w:val="24"/>
        </w:rPr>
        <w:t>12</w:t>
      </w:r>
      <w:r>
        <w:rPr>
          <w:rFonts w:hint="eastAsia" w:ascii="宋体" w:hAnsi="宋体"/>
          <w:color w:val="000000"/>
          <w:sz w:val="24"/>
        </w:rPr>
        <w:t>人。在应急事件发生时，可迅速投入到解决事件的工作中去。</w:t>
      </w:r>
      <w:r>
        <w:rPr>
          <w:rFonts w:ascii="宋体" w:hAnsi="宋体"/>
          <w:color w:val="000000"/>
          <w:sz w:val="24"/>
        </w:rPr>
        <w:t>提供7×24小时的</w:t>
      </w:r>
      <w:r>
        <w:rPr>
          <w:rFonts w:hint="eastAsia" w:ascii="宋体" w:hAnsi="宋体"/>
          <w:color w:val="000000"/>
          <w:sz w:val="24"/>
        </w:rPr>
        <w:t>应急</w:t>
      </w:r>
      <w:r>
        <w:rPr>
          <w:rFonts w:ascii="宋体" w:hAnsi="宋体"/>
          <w:color w:val="000000"/>
          <w:sz w:val="24"/>
        </w:rPr>
        <w:t>服务受理</w:t>
      </w:r>
      <w:r>
        <w:rPr>
          <w:rFonts w:hint="eastAsia" w:ascii="宋体" w:hAnsi="宋体"/>
          <w:color w:val="000000"/>
          <w:sz w:val="24"/>
        </w:rPr>
        <w:t>。</w:t>
      </w:r>
    </w:p>
    <w:p w14:paraId="5BF8D36F">
      <w:pPr>
        <w:spacing w:line="360" w:lineRule="auto"/>
        <w:ind w:firstLine="480"/>
        <w:rPr>
          <w:rFonts w:ascii="宋体" w:hAnsi="宋体"/>
          <w:color w:val="000000"/>
          <w:sz w:val="24"/>
        </w:rPr>
      </w:pPr>
      <w:r>
        <w:rPr>
          <w:rFonts w:hint="eastAsia" w:ascii="宋体" w:hAnsi="宋体"/>
          <w:color w:val="000000"/>
          <w:sz w:val="24"/>
        </w:rPr>
        <w:t>（4）</w:t>
      </w:r>
      <w:r>
        <w:rPr>
          <w:rFonts w:ascii="宋体" w:hAnsi="宋体"/>
          <w:color w:val="000000"/>
          <w:sz w:val="24"/>
        </w:rPr>
        <w:t>敏感时期、重大节假日</w:t>
      </w:r>
      <w:r>
        <w:rPr>
          <w:rFonts w:hint="eastAsia" w:ascii="宋体" w:hAnsi="宋体"/>
          <w:color w:val="000000"/>
          <w:sz w:val="24"/>
        </w:rPr>
        <w:t>或汛期暴雨时期</w:t>
      </w:r>
      <w:r>
        <w:rPr>
          <w:rFonts w:ascii="宋体" w:hAnsi="宋体"/>
          <w:color w:val="000000"/>
          <w:sz w:val="24"/>
        </w:rPr>
        <w:t>提供技术人员专门现场值守服务</w:t>
      </w:r>
      <w:r>
        <w:rPr>
          <w:rFonts w:hint="eastAsia" w:ascii="宋体" w:hAnsi="宋体"/>
          <w:color w:val="000000"/>
          <w:sz w:val="24"/>
        </w:rPr>
        <w:t>。</w:t>
      </w:r>
    </w:p>
    <w:p w14:paraId="73D443AE">
      <w:pPr>
        <w:spacing w:line="360" w:lineRule="auto"/>
        <w:ind w:firstLine="480"/>
        <w:rPr>
          <w:rFonts w:ascii="宋体" w:hAnsi="宋体"/>
          <w:sz w:val="24"/>
        </w:rPr>
      </w:pPr>
      <w:r>
        <w:rPr>
          <w:rFonts w:hint="eastAsia" w:ascii="宋体" w:hAnsi="宋体"/>
          <w:sz w:val="24"/>
        </w:rPr>
        <w:t>2</w:t>
      </w:r>
      <w:r>
        <w:rPr>
          <w:rFonts w:ascii="宋体" w:hAnsi="宋体"/>
          <w:sz w:val="24"/>
        </w:rPr>
        <w:t>.2.5</w:t>
      </w:r>
      <w:r>
        <w:rPr>
          <w:rFonts w:hint="eastAsia" w:ascii="宋体" w:hAnsi="宋体"/>
          <w:sz w:val="24"/>
        </w:rPr>
        <w:t>开发支持服务要求</w:t>
      </w:r>
    </w:p>
    <w:p w14:paraId="31355BCE">
      <w:pPr>
        <w:spacing w:line="360" w:lineRule="auto"/>
        <w:ind w:firstLine="480"/>
        <w:rPr>
          <w:rFonts w:ascii="宋体" w:hAnsi="宋体"/>
          <w:sz w:val="24"/>
        </w:rPr>
      </w:pPr>
      <w:r>
        <w:rPr>
          <w:rFonts w:hint="eastAsia" w:ascii="宋体" w:hAnsi="宋体"/>
          <w:sz w:val="24"/>
        </w:rPr>
        <w:t>随着职能机构和业务部门的业务调整，在系统的使用过程中，用户往往要求扩充原有系统的功能，增加一些在软件需求规范书中没有规定的功能与性能特征，以及对处理效率和编写程序的改进。另外，随着计算机硬件设备的更新周期越来越短，新的操作系统和原来操作系统的新版本不断推出，外部设备和其他系统部件经常有所增加和修改，这就必然要求信息系统能够适应新的软硬件环境，以提高系统的性能和运行效率。</w:t>
      </w:r>
    </w:p>
    <w:p w14:paraId="670FAF65">
      <w:pPr>
        <w:spacing w:line="360" w:lineRule="auto"/>
        <w:ind w:firstLine="480"/>
        <w:rPr>
          <w:rFonts w:ascii="宋体" w:hAnsi="宋体"/>
          <w:sz w:val="24"/>
        </w:rPr>
      </w:pPr>
      <w:r>
        <w:rPr>
          <w:rFonts w:hint="eastAsia" w:ascii="宋体" w:hAnsi="宋体"/>
          <w:sz w:val="24"/>
        </w:rPr>
        <w:t>开发支持服务主要包括：软件版本的迭代和升级，局部系统的功能扩充与优化和对系统的兼容性的修改等。</w:t>
      </w:r>
    </w:p>
    <w:p w14:paraId="5FC8B36B">
      <w:pPr>
        <w:spacing w:line="360" w:lineRule="auto"/>
        <w:ind w:firstLine="480"/>
        <w:rPr>
          <w:rFonts w:ascii="宋体" w:hAnsi="宋体"/>
          <w:b/>
          <w:bCs/>
          <w:sz w:val="24"/>
        </w:rPr>
      </w:pPr>
      <w:r>
        <w:rPr>
          <w:rFonts w:hint="eastAsia" w:ascii="宋体" w:hAnsi="宋体"/>
          <w:b/>
          <w:bCs/>
          <w:sz w:val="24"/>
        </w:rPr>
        <w:t>软件更新升级要求：</w:t>
      </w:r>
    </w:p>
    <w:p w14:paraId="31980822">
      <w:pPr>
        <w:numPr>
          <w:ilvl w:val="0"/>
          <w:numId w:val="22"/>
        </w:numPr>
        <w:adjustRightInd w:val="0"/>
        <w:spacing w:line="360" w:lineRule="auto"/>
        <w:rPr>
          <w:rFonts w:ascii="宋体" w:hAnsi="宋体"/>
          <w:sz w:val="24"/>
        </w:rPr>
      </w:pPr>
      <w:r>
        <w:rPr>
          <w:rFonts w:hint="eastAsia" w:ascii="宋体" w:hAnsi="宋体"/>
          <w:sz w:val="24"/>
        </w:rPr>
        <w:t>防汛</w:t>
      </w:r>
      <w:r>
        <w:rPr>
          <w:rFonts w:ascii="宋体" w:hAnsi="宋体"/>
          <w:sz w:val="24"/>
        </w:rPr>
        <w:t>设施配套软件系统应按照</w:t>
      </w:r>
      <w:r>
        <w:rPr>
          <w:rFonts w:hint="eastAsia" w:ascii="宋体" w:hAnsi="宋体"/>
          <w:sz w:val="24"/>
        </w:rPr>
        <w:t>区城管委管线中心防汛工作</w:t>
      </w:r>
      <w:r>
        <w:rPr>
          <w:rFonts w:ascii="宋体" w:hAnsi="宋体"/>
          <w:sz w:val="24"/>
        </w:rPr>
        <w:t>需求或软件说明书的要求及时升级。</w:t>
      </w:r>
    </w:p>
    <w:p w14:paraId="307CC849">
      <w:pPr>
        <w:numPr>
          <w:ilvl w:val="0"/>
          <w:numId w:val="22"/>
        </w:numPr>
        <w:adjustRightInd w:val="0"/>
        <w:spacing w:line="360" w:lineRule="auto"/>
        <w:rPr>
          <w:rFonts w:ascii="宋体" w:hAnsi="宋体"/>
          <w:sz w:val="24"/>
        </w:rPr>
      </w:pPr>
      <w:r>
        <w:rPr>
          <w:rFonts w:ascii="宋体" w:hAnsi="宋体"/>
          <w:sz w:val="24"/>
        </w:rPr>
        <w:t>软件升级过程中应不影响其它</w:t>
      </w:r>
      <w:r>
        <w:rPr>
          <w:rFonts w:hint="eastAsia" w:ascii="宋体" w:hAnsi="宋体"/>
          <w:sz w:val="24"/>
        </w:rPr>
        <w:t>防汛</w:t>
      </w:r>
      <w:r>
        <w:rPr>
          <w:rFonts w:ascii="宋体" w:hAnsi="宋体"/>
          <w:sz w:val="24"/>
        </w:rPr>
        <w:t>设施</w:t>
      </w:r>
      <w:r>
        <w:rPr>
          <w:rFonts w:hint="eastAsia" w:ascii="宋体" w:hAnsi="宋体"/>
          <w:sz w:val="24"/>
        </w:rPr>
        <w:t>和系统</w:t>
      </w:r>
      <w:r>
        <w:rPr>
          <w:rFonts w:ascii="宋体" w:hAnsi="宋体"/>
          <w:sz w:val="24"/>
        </w:rPr>
        <w:t>的正常运行。</w:t>
      </w:r>
    </w:p>
    <w:p w14:paraId="3E1C5A62">
      <w:pPr>
        <w:spacing w:line="360" w:lineRule="auto"/>
        <w:ind w:firstLine="480"/>
        <w:rPr>
          <w:rFonts w:ascii="宋体" w:hAnsi="宋体"/>
          <w:b/>
          <w:bCs/>
          <w:sz w:val="24"/>
        </w:rPr>
      </w:pPr>
      <w:r>
        <w:rPr>
          <w:rFonts w:hint="eastAsia" w:ascii="宋体" w:hAnsi="宋体"/>
          <w:b/>
          <w:bCs/>
          <w:sz w:val="24"/>
        </w:rPr>
        <w:t>局部系统功能扩充与优化要求：</w:t>
      </w:r>
    </w:p>
    <w:p w14:paraId="60C42E7A">
      <w:pPr>
        <w:numPr>
          <w:ilvl w:val="0"/>
          <w:numId w:val="23"/>
        </w:numPr>
        <w:adjustRightInd w:val="0"/>
        <w:spacing w:line="360" w:lineRule="auto"/>
        <w:rPr>
          <w:rFonts w:ascii="宋体" w:hAnsi="宋体"/>
          <w:sz w:val="24"/>
        </w:rPr>
      </w:pPr>
      <w:r>
        <w:rPr>
          <w:rFonts w:hint="eastAsia" w:ascii="宋体" w:hAnsi="宋体"/>
          <w:sz w:val="24"/>
        </w:rPr>
        <w:t>系统功能的增、删、优化等工作需要根据城管委意见及业务科室需求，在保证系统正常运行的前提下，经城管委业务科室批准对系统进行局部的改造和升级。</w:t>
      </w:r>
    </w:p>
    <w:p w14:paraId="6137E618">
      <w:pPr>
        <w:numPr>
          <w:ilvl w:val="0"/>
          <w:numId w:val="23"/>
        </w:numPr>
        <w:adjustRightInd w:val="0"/>
        <w:spacing w:line="360" w:lineRule="auto"/>
        <w:rPr>
          <w:rFonts w:ascii="宋体" w:hAnsi="宋体"/>
          <w:sz w:val="24"/>
        </w:rPr>
      </w:pPr>
      <w:r>
        <w:rPr>
          <w:rFonts w:hint="eastAsia" w:ascii="宋体" w:hAnsi="宋体"/>
          <w:sz w:val="24"/>
        </w:rPr>
        <w:t>升级改造工作通常应安排在公休日或节假日的非降雨天。</w:t>
      </w:r>
    </w:p>
    <w:p w14:paraId="38831683">
      <w:pPr>
        <w:spacing w:line="360" w:lineRule="auto"/>
        <w:ind w:firstLine="480"/>
        <w:rPr>
          <w:rFonts w:ascii="宋体" w:hAnsi="宋体"/>
          <w:b/>
          <w:bCs/>
          <w:sz w:val="24"/>
        </w:rPr>
      </w:pPr>
      <w:r>
        <w:rPr>
          <w:rFonts w:hint="eastAsia" w:ascii="宋体" w:hAnsi="宋体"/>
          <w:b/>
          <w:bCs/>
          <w:sz w:val="24"/>
        </w:rPr>
        <w:t>系统兼容性修改要求：</w:t>
      </w:r>
    </w:p>
    <w:p w14:paraId="180379BB">
      <w:pPr>
        <w:numPr>
          <w:ilvl w:val="0"/>
          <w:numId w:val="24"/>
        </w:numPr>
        <w:adjustRightInd w:val="0"/>
        <w:spacing w:line="360" w:lineRule="auto"/>
        <w:rPr>
          <w:rFonts w:ascii="宋体" w:hAnsi="宋体"/>
          <w:sz w:val="24"/>
        </w:rPr>
      </w:pPr>
      <w:r>
        <w:rPr>
          <w:rFonts w:ascii="宋体" w:hAnsi="宋体"/>
          <w:sz w:val="24"/>
        </w:rPr>
        <w:t>针对系统运行环境、支撑环境等变化对系统进行相应的修改，确保系统正常运行。</w:t>
      </w:r>
    </w:p>
    <w:p w14:paraId="5861C21D">
      <w:pPr>
        <w:numPr>
          <w:ilvl w:val="0"/>
          <w:numId w:val="24"/>
        </w:numPr>
        <w:adjustRightInd w:val="0"/>
        <w:spacing w:line="360" w:lineRule="auto"/>
        <w:rPr>
          <w:rFonts w:ascii="宋体" w:hAnsi="宋体"/>
          <w:sz w:val="24"/>
        </w:rPr>
      </w:pPr>
      <w:r>
        <w:rPr>
          <w:rFonts w:hint="eastAsia" w:ascii="宋体" w:hAnsi="宋体"/>
          <w:sz w:val="24"/>
        </w:rPr>
        <w:t>系统兼容性修改前需要做好业务系统和数据备份，在修改完成后，需要进行软件各项功能测试，确保软件运行状态正常后再上线使用。</w:t>
      </w:r>
    </w:p>
    <w:p w14:paraId="3960C1CE">
      <w:pPr>
        <w:spacing w:line="360" w:lineRule="auto"/>
        <w:ind w:firstLine="480"/>
        <w:rPr>
          <w:rFonts w:ascii="宋体" w:hAnsi="宋体"/>
          <w:sz w:val="24"/>
        </w:rPr>
      </w:pPr>
      <w:r>
        <w:rPr>
          <w:rFonts w:hint="eastAsia" w:ascii="宋体" w:hAnsi="宋体"/>
          <w:sz w:val="24"/>
        </w:rPr>
        <w:t>2</w:t>
      </w:r>
      <w:r>
        <w:rPr>
          <w:rFonts w:ascii="宋体" w:hAnsi="宋体"/>
          <w:sz w:val="24"/>
        </w:rPr>
        <w:t>.2.6</w:t>
      </w:r>
      <w:r>
        <w:rPr>
          <w:rFonts w:hint="eastAsia" w:ascii="宋体" w:hAnsi="宋体"/>
          <w:sz w:val="24"/>
        </w:rPr>
        <w:t>技术支持服务要求</w:t>
      </w:r>
    </w:p>
    <w:p w14:paraId="4FF7CB8F">
      <w:pPr>
        <w:spacing w:line="360" w:lineRule="auto"/>
        <w:ind w:firstLine="480"/>
        <w:rPr>
          <w:rFonts w:ascii="宋体" w:hAnsi="宋体"/>
          <w:sz w:val="24"/>
        </w:rPr>
      </w:pPr>
      <w:r>
        <w:rPr>
          <w:rFonts w:hint="eastAsia" w:ascii="宋体" w:hAnsi="宋体"/>
          <w:sz w:val="24"/>
        </w:rPr>
        <w:t>运维单位需提供远程支持服务、现场支持服务、培训服务和接口服务等技术支持服务。</w:t>
      </w:r>
    </w:p>
    <w:p w14:paraId="704910FA">
      <w:pPr>
        <w:spacing w:line="360" w:lineRule="auto"/>
        <w:ind w:firstLine="480"/>
        <w:rPr>
          <w:rFonts w:ascii="宋体" w:hAnsi="宋体"/>
          <w:sz w:val="24"/>
        </w:rPr>
      </w:pPr>
      <w:r>
        <w:rPr>
          <w:rFonts w:hint="eastAsia" w:ascii="宋体" w:hAnsi="宋体"/>
          <w:sz w:val="24"/>
        </w:rPr>
        <w:t>远程支持服务包括：电话支持服务、线上远程服务和邮件支持服务。</w:t>
      </w:r>
    </w:p>
    <w:p w14:paraId="3E1D3377">
      <w:pPr>
        <w:spacing w:line="360" w:lineRule="auto"/>
        <w:ind w:firstLine="480"/>
        <w:rPr>
          <w:rFonts w:ascii="宋体" w:hAnsi="宋体"/>
          <w:sz w:val="24"/>
        </w:rPr>
      </w:pPr>
      <w:r>
        <w:rPr>
          <w:rFonts w:hint="eastAsia" w:ascii="宋体" w:hAnsi="宋体"/>
          <w:sz w:val="24"/>
        </w:rPr>
        <w:t>各种服务形式响应时间如下：</w:t>
      </w:r>
    </w:p>
    <w:p w14:paraId="014C44C2">
      <w:pPr>
        <w:spacing w:line="360" w:lineRule="auto"/>
        <w:ind w:firstLine="420"/>
        <w:jc w:val="center"/>
        <w:rPr>
          <w:rFonts w:ascii="宋体" w:hAnsi="宋体"/>
          <w:sz w:val="24"/>
        </w:rPr>
      </w:pPr>
      <w:r>
        <w:rPr>
          <w:rFonts w:hint="eastAsia" w:ascii="宋体" w:hAnsi="宋体"/>
          <w:sz w:val="24"/>
        </w:rPr>
        <w:t>表2</w:t>
      </w:r>
      <w:r>
        <w:rPr>
          <w:rFonts w:ascii="宋体" w:hAnsi="宋体"/>
          <w:sz w:val="24"/>
        </w:rPr>
        <w:t>.2</w:t>
      </w:r>
      <w:r>
        <w:rPr>
          <w:rFonts w:hint="eastAsia" w:ascii="宋体" w:hAnsi="宋体"/>
          <w:sz w:val="24"/>
        </w:rPr>
        <w:t>.</w:t>
      </w:r>
      <w:r>
        <w:rPr>
          <w:rFonts w:ascii="宋体" w:hAnsi="宋体"/>
          <w:sz w:val="24"/>
        </w:rPr>
        <w:t>6.1</w:t>
      </w:r>
      <w:r>
        <w:rPr>
          <w:rFonts w:hint="eastAsia" w:ascii="宋体" w:hAnsi="宋体"/>
          <w:sz w:val="24"/>
        </w:rPr>
        <w:t>技术支持响应</w:t>
      </w:r>
      <w:r>
        <w:rPr>
          <w:rFonts w:ascii="宋体" w:hAnsi="宋体"/>
          <w:sz w:val="24"/>
        </w:rPr>
        <w:t>要求</w:t>
      </w:r>
    </w:p>
    <w:tbl>
      <w:tblPr>
        <w:tblStyle w:val="42"/>
        <w:tblW w:w="5000"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8"/>
        <w:gridCol w:w="4258"/>
      </w:tblGrid>
      <w:tr w14:paraId="562BC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500" w:type="pct"/>
            <w:shd w:val="clear" w:color="auto" w:fill="auto"/>
            <w:vAlign w:val="center"/>
          </w:tcPr>
          <w:p w14:paraId="65F688DC">
            <w:pPr>
              <w:pStyle w:val="254"/>
              <w:spacing w:line="360" w:lineRule="auto"/>
              <w:rPr>
                <w:rFonts w:ascii="宋体" w:hAnsi="宋体"/>
                <w:sz w:val="24"/>
                <w:szCs w:val="24"/>
              </w:rPr>
            </w:pPr>
            <w:r>
              <w:rPr>
                <w:rFonts w:hint="eastAsia" w:ascii="宋体" w:hAnsi="宋体"/>
                <w:sz w:val="24"/>
                <w:szCs w:val="24"/>
              </w:rPr>
              <w:t>服务方式</w:t>
            </w:r>
          </w:p>
        </w:tc>
        <w:tc>
          <w:tcPr>
            <w:tcW w:w="2500" w:type="pct"/>
            <w:shd w:val="clear" w:color="auto" w:fill="auto"/>
            <w:vAlign w:val="center"/>
          </w:tcPr>
          <w:p w14:paraId="3DED5D94">
            <w:pPr>
              <w:pStyle w:val="254"/>
              <w:spacing w:line="360" w:lineRule="auto"/>
              <w:rPr>
                <w:rFonts w:ascii="宋体" w:hAnsi="宋体"/>
                <w:sz w:val="24"/>
                <w:szCs w:val="24"/>
              </w:rPr>
            </w:pPr>
            <w:r>
              <w:rPr>
                <w:rFonts w:hint="eastAsia" w:ascii="宋体" w:hAnsi="宋体"/>
                <w:sz w:val="24"/>
                <w:szCs w:val="24"/>
              </w:rPr>
              <w:t>响应时间</w:t>
            </w:r>
          </w:p>
        </w:tc>
      </w:tr>
      <w:tr w14:paraId="5C0BF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shd w:val="clear" w:color="auto" w:fill="auto"/>
            <w:vAlign w:val="center"/>
          </w:tcPr>
          <w:p w14:paraId="696A61ED">
            <w:pPr>
              <w:pStyle w:val="254"/>
              <w:spacing w:line="360" w:lineRule="auto"/>
              <w:rPr>
                <w:rFonts w:ascii="宋体" w:hAnsi="宋体"/>
                <w:sz w:val="24"/>
                <w:szCs w:val="24"/>
              </w:rPr>
            </w:pPr>
            <w:r>
              <w:rPr>
                <w:rFonts w:hint="eastAsia" w:ascii="宋体" w:hAnsi="宋体"/>
                <w:sz w:val="24"/>
                <w:szCs w:val="24"/>
              </w:rPr>
              <w:t>电话支持</w:t>
            </w:r>
          </w:p>
        </w:tc>
        <w:tc>
          <w:tcPr>
            <w:tcW w:w="2500" w:type="pct"/>
            <w:shd w:val="clear" w:color="auto" w:fill="auto"/>
            <w:vAlign w:val="center"/>
          </w:tcPr>
          <w:p w14:paraId="313BBE9B">
            <w:pPr>
              <w:pStyle w:val="254"/>
              <w:spacing w:line="360" w:lineRule="auto"/>
              <w:rPr>
                <w:rFonts w:ascii="宋体" w:hAnsi="宋体"/>
                <w:sz w:val="24"/>
                <w:szCs w:val="24"/>
              </w:rPr>
            </w:pPr>
            <w:r>
              <w:rPr>
                <w:rFonts w:hint="eastAsia" w:ascii="宋体" w:hAnsi="宋体"/>
                <w:sz w:val="24"/>
                <w:szCs w:val="24"/>
              </w:rPr>
              <w:t>立即</w:t>
            </w:r>
          </w:p>
        </w:tc>
      </w:tr>
      <w:tr w14:paraId="7664D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shd w:val="clear" w:color="auto" w:fill="auto"/>
            <w:vAlign w:val="center"/>
          </w:tcPr>
          <w:p w14:paraId="53014744">
            <w:pPr>
              <w:pStyle w:val="254"/>
              <w:spacing w:line="360" w:lineRule="auto"/>
              <w:rPr>
                <w:rFonts w:ascii="宋体" w:hAnsi="宋体"/>
                <w:sz w:val="24"/>
                <w:szCs w:val="24"/>
              </w:rPr>
            </w:pPr>
            <w:r>
              <w:rPr>
                <w:rFonts w:hint="eastAsia" w:ascii="宋体" w:hAnsi="宋体"/>
                <w:sz w:val="24"/>
                <w:szCs w:val="24"/>
              </w:rPr>
              <w:t>线上支持</w:t>
            </w:r>
          </w:p>
        </w:tc>
        <w:tc>
          <w:tcPr>
            <w:tcW w:w="2500" w:type="pct"/>
            <w:shd w:val="clear" w:color="auto" w:fill="auto"/>
            <w:vAlign w:val="center"/>
          </w:tcPr>
          <w:p w14:paraId="7317E2CD">
            <w:pPr>
              <w:pStyle w:val="254"/>
              <w:spacing w:line="360" w:lineRule="auto"/>
              <w:rPr>
                <w:rFonts w:ascii="宋体" w:hAnsi="宋体"/>
                <w:sz w:val="24"/>
                <w:szCs w:val="24"/>
              </w:rPr>
            </w:pPr>
            <w:r>
              <w:rPr>
                <w:rFonts w:hint="eastAsia" w:ascii="宋体" w:hAnsi="宋体"/>
                <w:sz w:val="24"/>
                <w:szCs w:val="24"/>
              </w:rPr>
              <w:t>1</w:t>
            </w:r>
            <w:r>
              <w:rPr>
                <w:rFonts w:ascii="宋体" w:hAnsi="宋体"/>
                <w:sz w:val="24"/>
                <w:szCs w:val="24"/>
              </w:rPr>
              <w:t>5</w:t>
            </w:r>
            <w:r>
              <w:rPr>
                <w:rFonts w:hint="eastAsia" w:ascii="宋体" w:hAnsi="宋体"/>
                <w:sz w:val="24"/>
                <w:szCs w:val="24"/>
              </w:rPr>
              <w:t>分钟</w:t>
            </w:r>
          </w:p>
        </w:tc>
      </w:tr>
      <w:tr w14:paraId="3012C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shd w:val="clear" w:color="auto" w:fill="auto"/>
            <w:vAlign w:val="center"/>
          </w:tcPr>
          <w:p w14:paraId="14970CBC">
            <w:pPr>
              <w:pStyle w:val="254"/>
              <w:spacing w:line="360" w:lineRule="auto"/>
              <w:rPr>
                <w:rFonts w:ascii="宋体" w:hAnsi="宋体"/>
                <w:sz w:val="24"/>
                <w:szCs w:val="24"/>
              </w:rPr>
            </w:pPr>
            <w:r>
              <w:rPr>
                <w:rFonts w:hint="eastAsia" w:ascii="宋体" w:hAnsi="宋体"/>
                <w:sz w:val="24"/>
                <w:szCs w:val="24"/>
              </w:rPr>
              <w:t>邮件支持</w:t>
            </w:r>
          </w:p>
        </w:tc>
        <w:tc>
          <w:tcPr>
            <w:tcW w:w="2500" w:type="pct"/>
            <w:shd w:val="clear" w:color="auto" w:fill="auto"/>
            <w:vAlign w:val="center"/>
          </w:tcPr>
          <w:p w14:paraId="01D05328">
            <w:pPr>
              <w:pStyle w:val="254"/>
              <w:spacing w:line="360" w:lineRule="auto"/>
              <w:rPr>
                <w:rFonts w:ascii="宋体" w:hAnsi="宋体"/>
                <w:sz w:val="24"/>
                <w:szCs w:val="24"/>
              </w:rPr>
            </w:pPr>
            <w:r>
              <w:rPr>
                <w:rFonts w:hint="eastAsia" w:ascii="宋体" w:hAnsi="宋体"/>
                <w:sz w:val="24"/>
                <w:szCs w:val="24"/>
              </w:rPr>
              <w:t>2小时</w:t>
            </w:r>
          </w:p>
        </w:tc>
      </w:tr>
    </w:tbl>
    <w:p w14:paraId="5AFFB739">
      <w:pPr>
        <w:spacing w:line="360" w:lineRule="auto"/>
        <w:ind w:firstLine="480"/>
        <w:rPr>
          <w:rFonts w:ascii="宋体" w:hAnsi="宋体"/>
          <w:sz w:val="24"/>
        </w:rPr>
      </w:pPr>
      <w:r>
        <w:rPr>
          <w:rFonts w:hint="eastAsia" w:ascii="宋体" w:hAnsi="宋体"/>
          <w:sz w:val="24"/>
        </w:rPr>
        <w:t>现场支持服务：当接到用户诉求，而且远程支持服务无法满足客户时，运维部门需派技术人员</w:t>
      </w:r>
      <w:r>
        <w:rPr>
          <w:rFonts w:ascii="宋体" w:hAnsi="宋体"/>
          <w:sz w:val="24"/>
        </w:rPr>
        <w:t>24小时内（非工作日48小时内）到达现场，</w:t>
      </w:r>
      <w:r>
        <w:rPr>
          <w:rFonts w:hint="eastAsia" w:ascii="宋体" w:hAnsi="宋体"/>
          <w:sz w:val="24"/>
        </w:rPr>
        <w:t>为用户</w:t>
      </w:r>
      <w:r>
        <w:rPr>
          <w:rFonts w:ascii="宋体" w:hAnsi="宋体"/>
          <w:sz w:val="24"/>
        </w:rPr>
        <w:t>提出解决方案。</w:t>
      </w:r>
    </w:p>
    <w:p w14:paraId="1F24ECBC">
      <w:pPr>
        <w:spacing w:line="360" w:lineRule="auto"/>
        <w:ind w:firstLine="480"/>
        <w:rPr>
          <w:rFonts w:ascii="宋体" w:hAnsi="宋体"/>
          <w:sz w:val="24"/>
        </w:rPr>
      </w:pPr>
      <w:r>
        <w:rPr>
          <w:rFonts w:hint="eastAsia" w:ascii="宋体" w:hAnsi="宋体"/>
          <w:sz w:val="24"/>
        </w:rPr>
        <w:t>培训服务：管理员用户</w:t>
      </w:r>
      <w:r>
        <w:rPr>
          <w:rFonts w:ascii="宋体" w:hAnsi="宋体"/>
          <w:sz w:val="24"/>
        </w:rPr>
        <w:t>培训</w:t>
      </w:r>
      <w:r>
        <w:rPr>
          <w:rFonts w:hint="eastAsia" w:ascii="宋体" w:hAnsi="宋体"/>
          <w:sz w:val="24"/>
        </w:rPr>
        <w:t>；普通权限用户</w:t>
      </w:r>
      <w:r>
        <w:rPr>
          <w:rFonts w:ascii="宋体" w:hAnsi="宋体"/>
          <w:sz w:val="24"/>
        </w:rPr>
        <w:t>培训</w:t>
      </w:r>
      <w:r>
        <w:rPr>
          <w:rFonts w:hint="eastAsia" w:ascii="宋体" w:hAnsi="宋体"/>
          <w:sz w:val="24"/>
        </w:rPr>
        <w:t>；计算机知识培训；硬件设备培训。</w:t>
      </w:r>
    </w:p>
    <w:p w14:paraId="669AB8C5">
      <w:pPr>
        <w:spacing w:line="360" w:lineRule="auto"/>
        <w:ind w:firstLine="480"/>
        <w:rPr>
          <w:rFonts w:ascii="宋体" w:hAnsi="宋体"/>
          <w:sz w:val="24"/>
        </w:rPr>
      </w:pPr>
      <w:r>
        <w:rPr>
          <w:rFonts w:hint="eastAsia" w:ascii="宋体" w:hAnsi="宋体"/>
          <w:sz w:val="24"/>
        </w:rPr>
        <w:t>接口服务：根据不同的数据种类和功能预留了不同的接口，运维单位需提供接口咨询服务，便于和其他委办局及相关单位做数据对接。</w:t>
      </w:r>
    </w:p>
    <w:p w14:paraId="58AF3A8D">
      <w:pPr>
        <w:spacing w:line="360" w:lineRule="auto"/>
        <w:ind w:firstLine="480"/>
        <w:rPr>
          <w:rFonts w:ascii="宋体" w:hAnsi="宋体"/>
          <w:sz w:val="24"/>
        </w:rPr>
      </w:pPr>
      <w:r>
        <w:rPr>
          <w:rFonts w:hint="eastAsia" w:ascii="宋体" w:hAnsi="宋体"/>
          <w:sz w:val="24"/>
        </w:rPr>
        <w:t>2</w:t>
      </w:r>
      <w:r>
        <w:rPr>
          <w:rFonts w:ascii="宋体" w:hAnsi="宋体"/>
          <w:sz w:val="24"/>
        </w:rPr>
        <w:t>.2.7</w:t>
      </w:r>
      <w:r>
        <w:rPr>
          <w:rFonts w:hint="eastAsia" w:ascii="宋体" w:hAnsi="宋体"/>
          <w:sz w:val="24"/>
        </w:rPr>
        <w:t>运维技术资料要求</w:t>
      </w:r>
    </w:p>
    <w:p w14:paraId="55661D05">
      <w:pPr>
        <w:spacing w:line="360" w:lineRule="auto"/>
        <w:ind w:firstLine="480"/>
        <w:rPr>
          <w:rFonts w:ascii="宋体" w:hAnsi="宋体"/>
          <w:color w:val="000000"/>
          <w:sz w:val="24"/>
        </w:rPr>
      </w:pPr>
      <w:r>
        <w:rPr>
          <w:rFonts w:ascii="宋体" w:hAnsi="宋体"/>
          <w:color w:val="000000"/>
          <w:sz w:val="24"/>
        </w:rPr>
        <w:t>运维管理部门应留存</w:t>
      </w:r>
      <w:r>
        <w:rPr>
          <w:rFonts w:hint="eastAsia" w:ascii="宋体" w:hAnsi="宋体"/>
          <w:color w:val="000000"/>
          <w:sz w:val="24"/>
        </w:rPr>
        <w:t>防汛</w:t>
      </w:r>
      <w:r>
        <w:rPr>
          <w:rFonts w:ascii="宋体" w:hAnsi="宋体"/>
          <w:color w:val="000000"/>
          <w:sz w:val="24"/>
        </w:rPr>
        <w:t>设施设备的技术说明书、维修手册、工程设计文件、施工文件以及交（竣）工验收文件等相关</w:t>
      </w:r>
      <w:r>
        <w:rPr>
          <w:rFonts w:hint="eastAsia" w:ascii="宋体" w:hAnsi="宋体"/>
          <w:color w:val="000000"/>
          <w:sz w:val="24"/>
        </w:rPr>
        <w:t>技术</w:t>
      </w:r>
      <w:r>
        <w:rPr>
          <w:rFonts w:ascii="宋体" w:hAnsi="宋体"/>
          <w:color w:val="000000"/>
          <w:sz w:val="24"/>
        </w:rPr>
        <w:t>资料。</w:t>
      </w:r>
    </w:p>
    <w:p w14:paraId="497434F0">
      <w:pPr>
        <w:spacing w:line="360" w:lineRule="auto"/>
        <w:ind w:firstLine="480"/>
        <w:rPr>
          <w:rFonts w:ascii="宋体" w:hAnsi="宋体"/>
          <w:color w:val="000000"/>
          <w:sz w:val="24"/>
        </w:rPr>
      </w:pPr>
      <w:r>
        <w:rPr>
          <w:rFonts w:ascii="宋体" w:hAnsi="宋体"/>
          <w:color w:val="000000"/>
          <w:sz w:val="24"/>
        </w:rPr>
        <w:t>运维单位应至少将以下运维</w:t>
      </w:r>
      <w:r>
        <w:rPr>
          <w:rFonts w:hint="eastAsia" w:ascii="宋体" w:hAnsi="宋体"/>
          <w:color w:val="000000"/>
          <w:sz w:val="24"/>
        </w:rPr>
        <w:t>技术资料</w:t>
      </w:r>
      <w:r>
        <w:rPr>
          <w:rFonts w:ascii="宋体" w:hAnsi="宋体"/>
          <w:color w:val="000000"/>
          <w:sz w:val="24"/>
        </w:rPr>
        <w:t>存档：</w:t>
      </w:r>
    </w:p>
    <w:p w14:paraId="0A1FB927">
      <w:pPr>
        <w:numPr>
          <w:ilvl w:val="0"/>
          <w:numId w:val="25"/>
        </w:numPr>
        <w:adjustRightInd w:val="0"/>
        <w:spacing w:line="360" w:lineRule="auto"/>
        <w:rPr>
          <w:rFonts w:ascii="宋体" w:hAnsi="宋体"/>
          <w:color w:val="000000"/>
          <w:sz w:val="24"/>
        </w:rPr>
      </w:pPr>
      <w:r>
        <w:rPr>
          <w:rFonts w:ascii="宋体" w:hAnsi="宋体"/>
          <w:color w:val="000000"/>
          <w:sz w:val="24"/>
        </w:rPr>
        <w:t>日常检查记录文件；</w:t>
      </w:r>
    </w:p>
    <w:p w14:paraId="7E0EB819">
      <w:pPr>
        <w:numPr>
          <w:ilvl w:val="0"/>
          <w:numId w:val="25"/>
        </w:numPr>
        <w:adjustRightInd w:val="0"/>
        <w:spacing w:line="360" w:lineRule="auto"/>
        <w:rPr>
          <w:rFonts w:ascii="宋体" w:hAnsi="宋体"/>
          <w:color w:val="000000"/>
          <w:sz w:val="24"/>
        </w:rPr>
      </w:pPr>
      <w:r>
        <w:rPr>
          <w:rFonts w:ascii="宋体" w:hAnsi="宋体"/>
          <w:color w:val="000000"/>
          <w:sz w:val="24"/>
        </w:rPr>
        <w:t>定期维护记录文件；</w:t>
      </w:r>
    </w:p>
    <w:p w14:paraId="15B99A5C">
      <w:pPr>
        <w:numPr>
          <w:ilvl w:val="0"/>
          <w:numId w:val="25"/>
        </w:numPr>
        <w:adjustRightInd w:val="0"/>
        <w:spacing w:line="360" w:lineRule="auto"/>
        <w:rPr>
          <w:rFonts w:ascii="宋体" w:hAnsi="宋体"/>
          <w:color w:val="000000"/>
          <w:sz w:val="24"/>
        </w:rPr>
      </w:pPr>
      <w:r>
        <w:rPr>
          <w:rFonts w:ascii="宋体" w:hAnsi="宋体"/>
          <w:color w:val="000000"/>
          <w:sz w:val="24"/>
        </w:rPr>
        <w:t>定期检测记录文件；</w:t>
      </w:r>
    </w:p>
    <w:p w14:paraId="0C6377E4">
      <w:pPr>
        <w:numPr>
          <w:ilvl w:val="0"/>
          <w:numId w:val="25"/>
        </w:numPr>
        <w:adjustRightInd w:val="0"/>
        <w:spacing w:line="360" w:lineRule="auto"/>
        <w:rPr>
          <w:rFonts w:ascii="宋体" w:hAnsi="宋体"/>
          <w:color w:val="000000"/>
          <w:sz w:val="24"/>
        </w:rPr>
      </w:pPr>
      <w:r>
        <w:rPr>
          <w:rFonts w:ascii="宋体" w:hAnsi="宋体"/>
          <w:color w:val="000000"/>
          <w:sz w:val="24"/>
        </w:rPr>
        <w:t>故障修复记录文件；</w:t>
      </w:r>
    </w:p>
    <w:p w14:paraId="5EFB2FB5">
      <w:pPr>
        <w:numPr>
          <w:ilvl w:val="0"/>
          <w:numId w:val="25"/>
        </w:numPr>
        <w:adjustRightInd w:val="0"/>
        <w:spacing w:line="360" w:lineRule="auto"/>
        <w:rPr>
          <w:rFonts w:ascii="宋体" w:hAnsi="宋体"/>
          <w:color w:val="000000"/>
          <w:sz w:val="24"/>
        </w:rPr>
      </w:pPr>
      <w:r>
        <w:rPr>
          <w:rFonts w:ascii="宋体" w:hAnsi="宋体"/>
          <w:color w:val="000000"/>
          <w:sz w:val="24"/>
        </w:rPr>
        <w:t>设备整机更新工作记录文件；</w:t>
      </w:r>
    </w:p>
    <w:p w14:paraId="65621056">
      <w:pPr>
        <w:numPr>
          <w:ilvl w:val="0"/>
          <w:numId w:val="25"/>
        </w:numPr>
        <w:adjustRightInd w:val="0"/>
        <w:spacing w:line="360" w:lineRule="auto"/>
        <w:rPr>
          <w:rFonts w:ascii="宋体" w:hAnsi="宋体"/>
          <w:color w:val="000000"/>
          <w:sz w:val="24"/>
        </w:rPr>
      </w:pPr>
      <w:r>
        <w:rPr>
          <w:rFonts w:ascii="宋体" w:hAnsi="宋体"/>
          <w:color w:val="000000"/>
          <w:sz w:val="24"/>
        </w:rPr>
        <w:t>年度运维工作质量评定文件；</w:t>
      </w:r>
    </w:p>
    <w:p w14:paraId="7E19AE6C">
      <w:pPr>
        <w:numPr>
          <w:ilvl w:val="0"/>
          <w:numId w:val="25"/>
        </w:numPr>
        <w:adjustRightInd w:val="0"/>
        <w:spacing w:line="360" w:lineRule="auto"/>
        <w:rPr>
          <w:rFonts w:ascii="宋体" w:hAnsi="宋体"/>
          <w:color w:val="000000"/>
          <w:sz w:val="24"/>
        </w:rPr>
      </w:pPr>
      <w:r>
        <w:rPr>
          <w:rFonts w:ascii="宋体" w:hAnsi="宋体"/>
          <w:color w:val="000000"/>
          <w:sz w:val="24"/>
        </w:rPr>
        <w:t>运维工作管理相关文件；</w:t>
      </w:r>
    </w:p>
    <w:p w14:paraId="3A4556C0">
      <w:pPr>
        <w:numPr>
          <w:ilvl w:val="0"/>
          <w:numId w:val="25"/>
        </w:numPr>
        <w:adjustRightInd w:val="0"/>
        <w:spacing w:line="360" w:lineRule="auto"/>
        <w:rPr>
          <w:rFonts w:ascii="宋体" w:hAnsi="宋体"/>
          <w:color w:val="000000"/>
          <w:sz w:val="24"/>
        </w:rPr>
      </w:pPr>
      <w:r>
        <w:rPr>
          <w:rFonts w:ascii="宋体" w:hAnsi="宋体"/>
          <w:color w:val="000000"/>
          <w:sz w:val="24"/>
        </w:rPr>
        <w:t>备品备件调用记录文件。</w:t>
      </w:r>
    </w:p>
    <w:p w14:paraId="111DE4C9">
      <w:pPr>
        <w:spacing w:line="360" w:lineRule="auto"/>
        <w:ind w:firstLine="480"/>
        <w:rPr>
          <w:rFonts w:ascii="宋体" w:hAnsi="宋体"/>
          <w:sz w:val="24"/>
        </w:rPr>
      </w:pPr>
      <w:r>
        <w:rPr>
          <w:rFonts w:hint="eastAsia" w:ascii="宋体" w:hAnsi="宋体"/>
          <w:sz w:val="24"/>
        </w:rPr>
        <w:t>2</w:t>
      </w:r>
      <w:r>
        <w:rPr>
          <w:rFonts w:ascii="宋体" w:hAnsi="宋体"/>
          <w:sz w:val="24"/>
        </w:rPr>
        <w:t>.2.8</w:t>
      </w:r>
      <w:r>
        <w:rPr>
          <w:rFonts w:hint="eastAsia" w:ascii="宋体" w:hAnsi="宋体"/>
          <w:sz w:val="24"/>
        </w:rPr>
        <w:t>运维作业安全要求</w:t>
      </w:r>
    </w:p>
    <w:p w14:paraId="42DEAF1D">
      <w:pPr>
        <w:spacing w:line="360" w:lineRule="auto"/>
        <w:ind w:firstLine="480"/>
        <w:rPr>
          <w:rFonts w:ascii="宋体" w:hAnsi="宋体"/>
          <w:sz w:val="24"/>
        </w:rPr>
      </w:pPr>
      <w:r>
        <w:rPr>
          <w:rFonts w:hint="eastAsia" w:ascii="宋体" w:hAnsi="宋体"/>
          <w:sz w:val="24"/>
        </w:rPr>
        <w:t>2</w:t>
      </w:r>
      <w:r>
        <w:rPr>
          <w:rFonts w:ascii="宋体" w:hAnsi="宋体"/>
          <w:sz w:val="24"/>
        </w:rPr>
        <w:t>.2.8.1</w:t>
      </w:r>
      <w:r>
        <w:rPr>
          <w:rFonts w:hint="eastAsia" w:ascii="宋体" w:hAnsi="宋体"/>
          <w:sz w:val="24"/>
        </w:rPr>
        <w:t>运维作业人员素质要求</w:t>
      </w:r>
    </w:p>
    <w:p w14:paraId="73F0B8EF">
      <w:pPr>
        <w:numPr>
          <w:ilvl w:val="1"/>
          <w:numId w:val="26"/>
        </w:numPr>
        <w:adjustRightInd w:val="0"/>
        <w:spacing w:line="360" w:lineRule="auto"/>
        <w:ind w:left="0" w:firstLine="480" w:firstLineChars="200"/>
        <w:jc w:val="left"/>
        <w:rPr>
          <w:rFonts w:ascii="宋体" w:hAnsi="宋体"/>
          <w:sz w:val="24"/>
        </w:rPr>
      </w:pPr>
      <w:r>
        <w:rPr>
          <w:rFonts w:ascii="宋体" w:hAnsi="宋体"/>
          <w:sz w:val="24"/>
        </w:rPr>
        <w:t>运维人员应持有</w:t>
      </w:r>
      <w:r>
        <w:rPr>
          <w:rFonts w:hint="eastAsia" w:ascii="宋体" w:hAnsi="宋体"/>
          <w:sz w:val="24"/>
        </w:rPr>
        <w:t>与运维工作内容</w:t>
      </w:r>
      <w:r>
        <w:rPr>
          <w:rFonts w:ascii="宋体" w:hAnsi="宋体"/>
          <w:sz w:val="24"/>
        </w:rPr>
        <w:t>相</w:t>
      </w:r>
      <w:r>
        <w:rPr>
          <w:rFonts w:hint="eastAsia" w:ascii="宋体" w:hAnsi="宋体"/>
          <w:sz w:val="24"/>
        </w:rPr>
        <w:t>对</w:t>
      </w:r>
      <w:r>
        <w:rPr>
          <w:rFonts w:ascii="宋体" w:hAnsi="宋体"/>
          <w:sz w:val="24"/>
        </w:rPr>
        <w:t>应</w:t>
      </w:r>
      <w:r>
        <w:rPr>
          <w:rFonts w:hint="eastAsia" w:ascii="宋体" w:hAnsi="宋体"/>
          <w:sz w:val="24"/>
        </w:rPr>
        <w:t>的符合国家相关规定的</w:t>
      </w:r>
      <w:r>
        <w:rPr>
          <w:rFonts w:ascii="宋体" w:hAnsi="宋体"/>
          <w:sz w:val="24"/>
        </w:rPr>
        <w:t>上岗资格证或培训合格证，持证上岗；</w:t>
      </w:r>
    </w:p>
    <w:p w14:paraId="74F39B03">
      <w:pPr>
        <w:numPr>
          <w:ilvl w:val="1"/>
          <w:numId w:val="26"/>
        </w:numPr>
        <w:adjustRightInd w:val="0"/>
        <w:spacing w:line="360" w:lineRule="auto"/>
        <w:ind w:left="0" w:firstLine="480" w:firstLineChars="200"/>
        <w:jc w:val="left"/>
        <w:rPr>
          <w:rFonts w:ascii="宋体" w:hAnsi="宋体"/>
          <w:sz w:val="24"/>
        </w:rPr>
      </w:pPr>
      <w:r>
        <w:rPr>
          <w:rFonts w:ascii="宋体" w:hAnsi="宋体"/>
          <w:sz w:val="24"/>
        </w:rPr>
        <w:t>运维人员应具备必要的安全生产知识，熟悉安全生产规章制度和安全操作规程，掌握本岗位安全操作技能；</w:t>
      </w:r>
    </w:p>
    <w:p w14:paraId="408EBB66">
      <w:pPr>
        <w:numPr>
          <w:ilvl w:val="1"/>
          <w:numId w:val="26"/>
        </w:numPr>
        <w:adjustRightInd w:val="0"/>
        <w:spacing w:line="360" w:lineRule="auto"/>
        <w:ind w:left="0" w:firstLine="480" w:firstLineChars="200"/>
        <w:jc w:val="left"/>
        <w:rPr>
          <w:rFonts w:ascii="宋体" w:hAnsi="宋体"/>
          <w:sz w:val="24"/>
        </w:rPr>
      </w:pPr>
      <w:r>
        <w:rPr>
          <w:rFonts w:ascii="宋体" w:hAnsi="宋体"/>
          <w:sz w:val="24"/>
        </w:rPr>
        <w:t>运维作业人员应熟悉</w:t>
      </w:r>
      <w:r>
        <w:rPr>
          <w:rFonts w:hint="eastAsia" w:ascii="宋体" w:hAnsi="宋体"/>
          <w:sz w:val="24"/>
        </w:rPr>
        <w:t>防汛</w:t>
      </w:r>
      <w:r>
        <w:rPr>
          <w:rFonts w:ascii="宋体" w:hAnsi="宋体"/>
          <w:sz w:val="24"/>
        </w:rPr>
        <w:t>设施设备结构、性能、原理、技术标准、测试方法，并严格按照相关规定进行运维操作；</w:t>
      </w:r>
    </w:p>
    <w:p w14:paraId="3EB814E4">
      <w:pPr>
        <w:numPr>
          <w:ilvl w:val="1"/>
          <w:numId w:val="26"/>
        </w:numPr>
        <w:adjustRightInd w:val="0"/>
        <w:spacing w:line="360" w:lineRule="auto"/>
        <w:ind w:left="0" w:firstLine="480" w:firstLineChars="200"/>
        <w:jc w:val="left"/>
        <w:rPr>
          <w:rFonts w:ascii="宋体" w:hAnsi="宋体"/>
          <w:sz w:val="24"/>
        </w:rPr>
      </w:pPr>
      <w:r>
        <w:rPr>
          <w:rFonts w:hint="eastAsia" w:ascii="宋体" w:hAnsi="宋体"/>
          <w:sz w:val="24"/>
        </w:rPr>
        <w:t>运维人员需了解并熟悉大兴新城范围内所有积水点的具体位置、积水原因和归属单位。</w:t>
      </w:r>
    </w:p>
    <w:p w14:paraId="37064AB1">
      <w:pPr>
        <w:numPr>
          <w:ilvl w:val="1"/>
          <w:numId w:val="26"/>
        </w:numPr>
        <w:adjustRightInd w:val="0"/>
        <w:spacing w:line="360" w:lineRule="auto"/>
        <w:ind w:left="0" w:firstLine="480" w:firstLineChars="200"/>
        <w:jc w:val="left"/>
        <w:rPr>
          <w:rFonts w:ascii="宋体" w:hAnsi="宋体"/>
          <w:sz w:val="24"/>
        </w:rPr>
      </w:pPr>
      <w:r>
        <w:rPr>
          <w:rFonts w:hint="eastAsia" w:ascii="宋体" w:hAnsi="宋体"/>
          <w:sz w:val="24"/>
        </w:rPr>
        <w:t>运维人员应需了解并熟悉大兴区防汛应急抢险的工作流程、各防汛组成单位之间的工作职责和关系。</w:t>
      </w:r>
    </w:p>
    <w:p w14:paraId="076C364E">
      <w:pPr>
        <w:numPr>
          <w:ilvl w:val="1"/>
          <w:numId w:val="26"/>
        </w:numPr>
        <w:adjustRightInd w:val="0"/>
        <w:spacing w:line="360" w:lineRule="auto"/>
        <w:ind w:left="0" w:firstLine="480" w:firstLineChars="200"/>
        <w:jc w:val="left"/>
        <w:rPr>
          <w:rFonts w:ascii="宋体" w:hAnsi="宋体"/>
          <w:sz w:val="24"/>
        </w:rPr>
      </w:pPr>
      <w:r>
        <w:rPr>
          <w:rFonts w:hint="eastAsia" w:ascii="宋体" w:hAnsi="宋体"/>
          <w:sz w:val="24"/>
        </w:rPr>
        <w:t>运维人员了需解并熟悉所有积水点位安装的硬件设备的名称、数量及工作原理。</w:t>
      </w:r>
    </w:p>
    <w:p w14:paraId="5D6C052F">
      <w:pPr>
        <w:numPr>
          <w:ilvl w:val="1"/>
          <w:numId w:val="26"/>
        </w:numPr>
        <w:adjustRightInd w:val="0"/>
        <w:spacing w:line="360" w:lineRule="auto"/>
        <w:ind w:left="0" w:firstLine="480" w:firstLineChars="200"/>
        <w:jc w:val="left"/>
        <w:rPr>
          <w:rFonts w:ascii="宋体" w:hAnsi="宋体"/>
          <w:sz w:val="24"/>
        </w:rPr>
      </w:pPr>
      <w:r>
        <w:rPr>
          <w:rFonts w:hint="eastAsia" w:ascii="宋体" w:hAnsi="宋体"/>
          <w:sz w:val="24"/>
        </w:rPr>
        <w:t>运维人员需了解并熟悉前端设备的供电及网络等基础设施的建设情况。</w:t>
      </w:r>
    </w:p>
    <w:p w14:paraId="140FB46B">
      <w:pPr>
        <w:numPr>
          <w:ilvl w:val="1"/>
          <w:numId w:val="26"/>
        </w:numPr>
        <w:adjustRightInd w:val="0"/>
        <w:spacing w:line="360" w:lineRule="auto"/>
        <w:ind w:left="0" w:firstLine="480" w:firstLineChars="200"/>
        <w:jc w:val="left"/>
        <w:rPr>
          <w:rFonts w:ascii="宋体" w:hAnsi="宋体"/>
          <w:sz w:val="24"/>
        </w:rPr>
      </w:pPr>
      <w:r>
        <w:rPr>
          <w:rFonts w:hint="eastAsia" w:ascii="宋体" w:hAnsi="宋体"/>
          <w:sz w:val="24"/>
        </w:rPr>
        <w:t>运维人员需能够熟练使用大兴区720积水点治理工程-新城地区防汛应急指挥系统软件。</w:t>
      </w:r>
    </w:p>
    <w:p w14:paraId="39892644">
      <w:pPr>
        <w:spacing w:line="360" w:lineRule="auto"/>
        <w:ind w:firstLine="480"/>
        <w:rPr>
          <w:rFonts w:ascii="宋体" w:hAnsi="宋体"/>
          <w:sz w:val="24"/>
        </w:rPr>
      </w:pPr>
      <w:r>
        <w:rPr>
          <w:rFonts w:hint="eastAsia" w:ascii="宋体" w:hAnsi="宋体"/>
          <w:sz w:val="24"/>
        </w:rPr>
        <w:t>2</w:t>
      </w:r>
      <w:r>
        <w:rPr>
          <w:rFonts w:ascii="宋体" w:hAnsi="宋体"/>
          <w:sz w:val="24"/>
        </w:rPr>
        <w:t>.2.8.2</w:t>
      </w:r>
      <w:r>
        <w:rPr>
          <w:rFonts w:hint="eastAsia" w:ascii="宋体" w:hAnsi="宋体"/>
          <w:sz w:val="24"/>
        </w:rPr>
        <w:t>高处运维作业安全保障要求</w:t>
      </w:r>
    </w:p>
    <w:p w14:paraId="5D8DDDC9">
      <w:pPr>
        <w:spacing w:line="360" w:lineRule="auto"/>
        <w:ind w:firstLine="480"/>
        <w:rPr>
          <w:rFonts w:ascii="宋体" w:hAnsi="宋体"/>
          <w:color w:val="000000"/>
          <w:sz w:val="24"/>
        </w:rPr>
      </w:pPr>
      <w:r>
        <w:rPr>
          <w:rFonts w:ascii="宋体" w:hAnsi="宋体"/>
          <w:color w:val="000000"/>
          <w:sz w:val="24"/>
        </w:rPr>
        <w:t>a）应符合GB/T3608“凡在坠落高度基准面2m以上（含2m）有可能坠落的高处进行的作业”部分内容的相关规定和要求；</w:t>
      </w:r>
    </w:p>
    <w:p w14:paraId="2682551E">
      <w:pPr>
        <w:spacing w:line="360" w:lineRule="auto"/>
        <w:ind w:firstLine="480"/>
        <w:rPr>
          <w:rFonts w:ascii="宋体" w:hAnsi="宋体"/>
          <w:color w:val="000000"/>
          <w:sz w:val="24"/>
        </w:rPr>
      </w:pPr>
      <w:r>
        <w:rPr>
          <w:rFonts w:ascii="宋体" w:hAnsi="宋体"/>
          <w:color w:val="000000"/>
          <w:sz w:val="24"/>
        </w:rPr>
        <w:t>b）高处运维作业过程中所使用的高空运维作业车相关性能和安全技术指标应符合GB/T9465的规定和要求；</w:t>
      </w:r>
    </w:p>
    <w:p w14:paraId="7108255B">
      <w:pPr>
        <w:spacing w:line="360" w:lineRule="auto"/>
        <w:ind w:firstLine="480"/>
        <w:rPr>
          <w:rFonts w:ascii="宋体" w:hAnsi="宋体"/>
          <w:color w:val="000000"/>
          <w:sz w:val="24"/>
        </w:rPr>
      </w:pPr>
      <w:r>
        <w:rPr>
          <w:rFonts w:ascii="宋体" w:hAnsi="宋体"/>
          <w:color w:val="000000"/>
          <w:sz w:val="24"/>
        </w:rPr>
        <w:t>c）高处运维作业中的安全标志、工具、仪表、电气设施等应在作业前加以检查，确认其完好后方能投入使用；</w:t>
      </w:r>
    </w:p>
    <w:p w14:paraId="608DFC82">
      <w:pPr>
        <w:spacing w:line="360" w:lineRule="auto"/>
        <w:ind w:firstLine="480"/>
        <w:rPr>
          <w:rFonts w:ascii="宋体" w:hAnsi="宋体"/>
          <w:color w:val="000000"/>
          <w:sz w:val="24"/>
        </w:rPr>
      </w:pPr>
      <w:r>
        <w:rPr>
          <w:rFonts w:ascii="宋体" w:hAnsi="宋体"/>
          <w:color w:val="000000"/>
          <w:sz w:val="24"/>
        </w:rPr>
        <w:t>d）雨天和雪天进行高处运维作业时，应采取可靠的防滑、防冻、防触电和防雷击等措施；</w:t>
      </w:r>
    </w:p>
    <w:p w14:paraId="421CE928">
      <w:pPr>
        <w:spacing w:line="360" w:lineRule="auto"/>
        <w:ind w:firstLine="480"/>
        <w:rPr>
          <w:rFonts w:ascii="宋体" w:hAnsi="宋体"/>
          <w:color w:val="000000"/>
          <w:sz w:val="24"/>
        </w:rPr>
      </w:pPr>
      <w:r>
        <w:rPr>
          <w:rFonts w:ascii="宋体" w:hAnsi="宋体"/>
          <w:color w:val="000000"/>
          <w:sz w:val="24"/>
        </w:rPr>
        <w:t>e）从事高处运维作业的运维人员，应进行身体检查，凡患有高血压、心脏病、癫痫症、恐高症及其他不适应高处作业的人员，一律不准从事高处作业；作业前严禁喝酒；</w:t>
      </w:r>
    </w:p>
    <w:p w14:paraId="6A298CE1">
      <w:pPr>
        <w:spacing w:line="360" w:lineRule="auto"/>
        <w:ind w:firstLine="480"/>
        <w:rPr>
          <w:rFonts w:ascii="宋体" w:hAnsi="宋体"/>
          <w:color w:val="000000"/>
          <w:sz w:val="24"/>
        </w:rPr>
      </w:pPr>
      <w:r>
        <w:rPr>
          <w:rFonts w:ascii="宋体" w:hAnsi="宋体"/>
          <w:color w:val="000000"/>
          <w:sz w:val="24"/>
        </w:rPr>
        <w:t>f）凡遇有下列情况之一者，应停止露天高处运维作业：</w:t>
      </w:r>
    </w:p>
    <w:p w14:paraId="570E7C69">
      <w:pPr>
        <w:spacing w:line="360" w:lineRule="auto"/>
        <w:ind w:firstLine="480"/>
        <w:rPr>
          <w:rFonts w:ascii="宋体" w:hAnsi="宋体"/>
          <w:color w:val="000000"/>
          <w:sz w:val="24"/>
        </w:rPr>
      </w:pPr>
      <w:r>
        <w:rPr>
          <w:rFonts w:ascii="宋体" w:hAnsi="宋体"/>
          <w:color w:val="000000"/>
          <w:sz w:val="24"/>
        </w:rPr>
        <w:t>1）雷电、暴雨；</w:t>
      </w:r>
    </w:p>
    <w:p w14:paraId="61C7BED4">
      <w:pPr>
        <w:spacing w:line="360" w:lineRule="auto"/>
        <w:ind w:firstLine="480"/>
        <w:rPr>
          <w:rFonts w:ascii="宋体" w:hAnsi="宋体"/>
          <w:color w:val="000000"/>
          <w:sz w:val="24"/>
        </w:rPr>
      </w:pPr>
      <w:r>
        <w:rPr>
          <w:rFonts w:ascii="宋体" w:hAnsi="宋体"/>
          <w:color w:val="000000"/>
          <w:sz w:val="24"/>
        </w:rPr>
        <w:t>2）五级及以上大风；</w:t>
      </w:r>
    </w:p>
    <w:p w14:paraId="46F0C06E">
      <w:pPr>
        <w:spacing w:line="360" w:lineRule="auto"/>
        <w:ind w:firstLine="480"/>
        <w:rPr>
          <w:rFonts w:ascii="宋体" w:hAnsi="宋体"/>
          <w:color w:val="000000"/>
          <w:sz w:val="24"/>
        </w:rPr>
      </w:pPr>
      <w:r>
        <w:rPr>
          <w:rFonts w:ascii="宋体" w:hAnsi="宋体"/>
          <w:color w:val="000000"/>
          <w:sz w:val="24"/>
        </w:rPr>
        <w:t>3）发生冻雨及作业平台上出现结冰等湿滑情况；</w:t>
      </w:r>
    </w:p>
    <w:p w14:paraId="1D1307A4">
      <w:pPr>
        <w:spacing w:line="360" w:lineRule="auto"/>
        <w:ind w:firstLine="480"/>
        <w:rPr>
          <w:rFonts w:ascii="宋体" w:hAnsi="宋体"/>
          <w:color w:val="000000"/>
          <w:sz w:val="24"/>
        </w:rPr>
      </w:pPr>
      <w:r>
        <w:rPr>
          <w:rFonts w:ascii="宋体" w:hAnsi="宋体"/>
          <w:color w:val="000000"/>
          <w:sz w:val="24"/>
        </w:rPr>
        <w:t>4）高处运维作业可能发生危险的其他情况；</w:t>
      </w:r>
    </w:p>
    <w:p w14:paraId="7E18E395">
      <w:pPr>
        <w:spacing w:line="360" w:lineRule="auto"/>
        <w:ind w:firstLine="480"/>
        <w:rPr>
          <w:rFonts w:ascii="宋体" w:hAnsi="宋体"/>
          <w:color w:val="000000"/>
          <w:sz w:val="24"/>
        </w:rPr>
      </w:pPr>
      <w:r>
        <w:rPr>
          <w:rFonts w:ascii="宋体" w:hAnsi="宋体"/>
          <w:color w:val="000000"/>
          <w:sz w:val="24"/>
        </w:rPr>
        <w:t>g）高处运维作业现场，应划出危险禁区，设置明显标志，严禁无关人员进入；</w:t>
      </w:r>
    </w:p>
    <w:p w14:paraId="1BDFD680">
      <w:pPr>
        <w:spacing w:line="360" w:lineRule="auto"/>
        <w:ind w:firstLine="480"/>
        <w:rPr>
          <w:rFonts w:ascii="宋体" w:hAnsi="宋体"/>
          <w:color w:val="000000"/>
          <w:sz w:val="24"/>
        </w:rPr>
      </w:pPr>
      <w:r>
        <w:rPr>
          <w:rFonts w:ascii="宋体" w:hAnsi="宋体"/>
          <w:color w:val="000000"/>
          <w:sz w:val="24"/>
        </w:rPr>
        <w:t>h）高处运维作业应配备工具袋，作业使用的小型工具均应装入工具袋内；</w:t>
      </w:r>
    </w:p>
    <w:p w14:paraId="75349A47">
      <w:pPr>
        <w:spacing w:line="360" w:lineRule="auto"/>
        <w:ind w:firstLine="480"/>
        <w:rPr>
          <w:rFonts w:ascii="宋体" w:hAnsi="宋体"/>
          <w:color w:val="000000"/>
          <w:sz w:val="24"/>
        </w:rPr>
      </w:pPr>
      <w:r>
        <w:rPr>
          <w:rFonts w:ascii="宋体" w:hAnsi="宋体"/>
          <w:color w:val="000000"/>
          <w:sz w:val="24"/>
        </w:rPr>
        <w:t>i）高处运维作业人员应穿紧口工作服、防滑鞋，戴安全帽，系安全带；作业前，应仔细检查登高工具和安全用具；</w:t>
      </w:r>
    </w:p>
    <w:p w14:paraId="7E0F9551">
      <w:pPr>
        <w:spacing w:line="360" w:lineRule="auto"/>
        <w:ind w:firstLine="480"/>
        <w:rPr>
          <w:rFonts w:ascii="宋体" w:hAnsi="宋体"/>
          <w:color w:val="000000"/>
          <w:sz w:val="24"/>
        </w:rPr>
      </w:pPr>
      <w:r>
        <w:rPr>
          <w:rFonts w:ascii="宋体" w:hAnsi="宋体"/>
          <w:color w:val="000000"/>
          <w:sz w:val="24"/>
        </w:rPr>
        <w:t>j）高处运维作业人员禁止从高处往地面抛掷物件或从地面往高处抛物件，应使用绳索、吊篮等传递物件。特殊情况下，如必须从高处往地面抛掷物件时，地面应有人看管，以确保不伤害他人和损坏设备；</w:t>
      </w:r>
    </w:p>
    <w:p w14:paraId="36E04AA0">
      <w:pPr>
        <w:spacing w:line="360" w:lineRule="auto"/>
        <w:ind w:firstLine="480"/>
        <w:rPr>
          <w:rFonts w:ascii="宋体" w:hAnsi="宋体"/>
          <w:color w:val="000000"/>
          <w:sz w:val="24"/>
        </w:rPr>
      </w:pPr>
      <w:r>
        <w:rPr>
          <w:rFonts w:ascii="宋体" w:hAnsi="宋体"/>
          <w:color w:val="000000"/>
          <w:sz w:val="24"/>
        </w:rPr>
        <w:t>k）高处运维作业区的下方地面，禁止堆放杂物，地面人员应禁止在高处运维作业区的正下方停留或通行；</w:t>
      </w:r>
    </w:p>
    <w:p w14:paraId="559B9BE3">
      <w:pPr>
        <w:spacing w:line="360" w:lineRule="auto"/>
        <w:ind w:firstLine="480"/>
        <w:rPr>
          <w:rFonts w:ascii="宋体" w:hAnsi="宋体"/>
          <w:color w:val="000000"/>
          <w:sz w:val="24"/>
        </w:rPr>
      </w:pPr>
      <w:r>
        <w:rPr>
          <w:rFonts w:ascii="宋体" w:hAnsi="宋体"/>
          <w:color w:val="000000"/>
          <w:sz w:val="24"/>
        </w:rPr>
        <w:t>l）高处运维作业靠近高压输电线路时，应做好防触电措施。</w:t>
      </w:r>
    </w:p>
    <w:p w14:paraId="4DB84368">
      <w:pPr>
        <w:spacing w:line="360" w:lineRule="auto"/>
        <w:ind w:firstLine="480"/>
        <w:rPr>
          <w:rFonts w:ascii="宋体" w:hAnsi="宋体"/>
          <w:sz w:val="24"/>
        </w:rPr>
      </w:pPr>
      <w:r>
        <w:rPr>
          <w:rFonts w:hint="eastAsia" w:ascii="宋体" w:hAnsi="宋体"/>
          <w:sz w:val="24"/>
        </w:rPr>
        <w:t>2</w:t>
      </w:r>
      <w:r>
        <w:rPr>
          <w:rFonts w:ascii="宋体" w:hAnsi="宋体"/>
          <w:sz w:val="24"/>
        </w:rPr>
        <w:t>.2.8.3</w:t>
      </w:r>
      <w:r>
        <w:rPr>
          <w:rFonts w:hint="eastAsia" w:ascii="宋体" w:hAnsi="宋体"/>
          <w:sz w:val="24"/>
        </w:rPr>
        <w:t>占道运维作业安全保障要求</w:t>
      </w:r>
    </w:p>
    <w:p w14:paraId="30FED4DC">
      <w:pPr>
        <w:spacing w:line="360" w:lineRule="auto"/>
        <w:ind w:firstLine="480"/>
        <w:rPr>
          <w:rFonts w:ascii="宋体" w:hAnsi="宋体"/>
          <w:color w:val="000000"/>
          <w:sz w:val="24"/>
        </w:rPr>
      </w:pPr>
      <w:r>
        <w:rPr>
          <w:rFonts w:ascii="宋体" w:hAnsi="宋体"/>
          <w:color w:val="000000"/>
          <w:sz w:val="24"/>
        </w:rPr>
        <w:t>a）在进行占道运维作业前，应根据运维工作的类型、内容与持续时间，制定相应安全保障方案；</w:t>
      </w:r>
    </w:p>
    <w:p w14:paraId="3B38BADD">
      <w:pPr>
        <w:spacing w:line="360" w:lineRule="auto"/>
        <w:ind w:firstLine="480"/>
        <w:rPr>
          <w:rFonts w:ascii="宋体" w:hAnsi="宋体"/>
          <w:color w:val="000000"/>
          <w:sz w:val="24"/>
        </w:rPr>
      </w:pPr>
      <w:r>
        <w:rPr>
          <w:rFonts w:ascii="宋体" w:hAnsi="宋体"/>
          <w:color w:val="000000"/>
          <w:sz w:val="24"/>
        </w:rPr>
        <w:t>b）需要封闭车道进行运维作业时，应制定相应的运维作业和安全保障方案，并向有关部门申请报批；</w:t>
      </w:r>
    </w:p>
    <w:p w14:paraId="0A6579F1">
      <w:pPr>
        <w:spacing w:line="360" w:lineRule="auto"/>
        <w:ind w:firstLine="480"/>
        <w:rPr>
          <w:rFonts w:ascii="宋体" w:hAnsi="宋体"/>
          <w:color w:val="000000"/>
          <w:sz w:val="24"/>
        </w:rPr>
      </w:pPr>
      <w:r>
        <w:rPr>
          <w:rFonts w:ascii="宋体" w:hAnsi="宋体"/>
          <w:color w:val="000000"/>
          <w:sz w:val="24"/>
        </w:rPr>
        <w:t>c）占道运维作业时作业控制区的设置位置和长度应符合JTG H30的规定和要求；</w:t>
      </w:r>
    </w:p>
    <w:p w14:paraId="7203DB3A">
      <w:pPr>
        <w:spacing w:line="360" w:lineRule="auto"/>
        <w:ind w:firstLine="480"/>
        <w:rPr>
          <w:rFonts w:ascii="宋体" w:hAnsi="宋体"/>
          <w:color w:val="000000"/>
          <w:sz w:val="24"/>
        </w:rPr>
      </w:pPr>
      <w:r>
        <w:rPr>
          <w:rFonts w:ascii="宋体" w:hAnsi="宋体"/>
          <w:color w:val="000000"/>
          <w:sz w:val="24"/>
        </w:rPr>
        <w:t>d）占道运维作业时作业控制区的锥形交通路标、路栏、隔离墩、防撞桶、交通标志和标线等安全设施的技术要求和设置方法应符合GB 5768.4的规定和要求；</w:t>
      </w:r>
    </w:p>
    <w:p w14:paraId="18FE479E">
      <w:pPr>
        <w:spacing w:line="360" w:lineRule="auto"/>
        <w:ind w:firstLine="480"/>
        <w:rPr>
          <w:rFonts w:ascii="宋体" w:hAnsi="宋体"/>
          <w:color w:val="000000"/>
          <w:sz w:val="24"/>
        </w:rPr>
      </w:pPr>
      <w:r>
        <w:rPr>
          <w:rFonts w:ascii="宋体" w:hAnsi="宋体"/>
          <w:color w:val="000000"/>
          <w:sz w:val="24"/>
        </w:rPr>
        <w:t>e）占道运维作业安全措施应满足DB11/854的规定。</w:t>
      </w:r>
    </w:p>
    <w:p w14:paraId="6E0E4280">
      <w:pPr>
        <w:spacing w:line="360" w:lineRule="auto"/>
        <w:ind w:firstLine="480"/>
        <w:rPr>
          <w:rFonts w:ascii="宋体" w:hAnsi="宋体"/>
          <w:sz w:val="24"/>
        </w:rPr>
      </w:pPr>
      <w:r>
        <w:rPr>
          <w:rFonts w:hint="eastAsia" w:ascii="宋体" w:hAnsi="宋体"/>
          <w:sz w:val="24"/>
        </w:rPr>
        <w:t>2</w:t>
      </w:r>
      <w:r>
        <w:rPr>
          <w:rFonts w:ascii="宋体" w:hAnsi="宋体"/>
          <w:sz w:val="24"/>
        </w:rPr>
        <w:t>.2.9</w:t>
      </w:r>
      <w:r>
        <w:rPr>
          <w:rFonts w:hint="eastAsia" w:ascii="宋体" w:hAnsi="宋体"/>
          <w:sz w:val="24"/>
        </w:rPr>
        <w:t>网络通信服务要求</w:t>
      </w:r>
    </w:p>
    <w:p w14:paraId="341A1AFE">
      <w:pPr>
        <w:spacing w:line="360" w:lineRule="auto"/>
        <w:ind w:firstLine="480"/>
        <w:rPr>
          <w:rFonts w:ascii="宋体" w:hAnsi="宋体"/>
          <w:color w:val="000000"/>
          <w:sz w:val="24"/>
        </w:rPr>
      </w:pPr>
      <w:r>
        <w:rPr>
          <w:rFonts w:ascii="宋体" w:hAnsi="宋体"/>
          <w:color w:val="000000"/>
          <w:sz w:val="24"/>
        </w:rPr>
        <w:t>大兴新城防汛应急指挥系统</w:t>
      </w:r>
      <w:r>
        <w:rPr>
          <w:rFonts w:hint="eastAsia" w:ascii="宋体" w:hAnsi="宋体"/>
          <w:color w:val="000000"/>
          <w:sz w:val="24"/>
        </w:rPr>
        <w:t>网络传输目前采用了移动移网的形式。</w:t>
      </w:r>
    </w:p>
    <w:p w14:paraId="1B56172C">
      <w:pPr>
        <w:spacing w:line="360" w:lineRule="auto"/>
        <w:jc w:val="both"/>
        <w:outlineLvl w:val="9"/>
        <w:rPr>
          <w:b/>
          <w:sz w:val="36"/>
          <w:szCs w:val="36"/>
        </w:rPr>
      </w:pPr>
      <w:r>
        <w:rPr>
          <w:rFonts w:hint="eastAsia" w:ascii="宋体" w:hAnsi="宋体"/>
          <w:color w:val="000000"/>
          <w:sz w:val="24"/>
        </w:rPr>
        <w:t>而防汛积水监测系统则统一采用物联网政务网卡的</w:t>
      </w:r>
      <w:r>
        <w:rPr>
          <w:rFonts w:ascii="宋体" w:hAnsi="宋体"/>
          <w:color w:val="000000"/>
          <w:sz w:val="24"/>
        </w:rPr>
        <w:t>2G</w:t>
      </w:r>
      <w:r>
        <w:rPr>
          <w:rFonts w:hint="eastAsia" w:ascii="宋体" w:hAnsi="宋体"/>
          <w:color w:val="000000"/>
          <w:sz w:val="24"/>
        </w:rPr>
        <w:t>传输模式。为保证系统每年的网络畅通，需要每年支付运营商一定的网络费用。对于网络通信服务，业务科室可根据每年的运营商服务质量进行评估，决定来年运营商的选择。</w:t>
      </w:r>
      <w:r>
        <w:rPr>
          <w:b/>
          <w:sz w:val="36"/>
          <w:szCs w:val="36"/>
        </w:rPr>
        <w:br w:type="page"/>
      </w:r>
    </w:p>
    <w:p w14:paraId="7CA4B415">
      <w:pPr>
        <w:spacing w:line="360" w:lineRule="auto"/>
        <w:jc w:val="center"/>
        <w:outlineLvl w:val="0"/>
        <w:rPr>
          <w:b/>
          <w:sz w:val="36"/>
          <w:szCs w:val="36"/>
        </w:rPr>
      </w:pPr>
      <w:bookmarkStart w:id="822" w:name="_Toc3306"/>
      <w:r>
        <w:rPr>
          <w:b/>
          <w:sz w:val="36"/>
          <w:szCs w:val="36"/>
        </w:rPr>
        <w:t>第六章   拟签订的合同文本</w:t>
      </w:r>
      <w:bookmarkEnd w:id="822"/>
    </w:p>
    <w:p w14:paraId="74397ECE">
      <w:pPr>
        <w:spacing w:before="156" w:beforeLines="50" w:after="156" w:afterLines="50" w:line="360" w:lineRule="auto"/>
        <w:ind w:firstLine="720"/>
        <w:jc w:val="left"/>
        <w:rPr>
          <w:rFonts w:hint="eastAsia" w:ascii="宋体" w:hAnsi="宋体" w:cs="等线"/>
          <w:sz w:val="32"/>
          <w:szCs w:val="32"/>
        </w:rPr>
      </w:pPr>
    </w:p>
    <w:p w14:paraId="5CC2881D">
      <w:pPr>
        <w:spacing w:before="156" w:beforeLines="50" w:after="156" w:afterLines="50" w:line="360" w:lineRule="auto"/>
        <w:ind w:firstLine="630"/>
        <w:jc w:val="left"/>
        <w:rPr>
          <w:rFonts w:hint="eastAsia" w:ascii="宋体" w:hAnsi="宋体" w:cs="等线"/>
          <w:sz w:val="28"/>
          <w:szCs w:val="32"/>
        </w:rPr>
      </w:pPr>
    </w:p>
    <w:p w14:paraId="4695A72D">
      <w:pPr>
        <w:spacing w:line="240" w:lineRule="auto"/>
        <w:ind w:firstLine="480"/>
        <w:rPr>
          <w:rFonts w:ascii="宋体" w:hAnsi="宋体" w:cs="Arial"/>
          <w:sz w:val="21"/>
          <w:szCs w:val="24"/>
        </w:rPr>
      </w:pPr>
    </w:p>
    <w:p w14:paraId="77F1C74E">
      <w:pPr>
        <w:spacing w:line="240" w:lineRule="auto"/>
        <w:ind w:firstLine="480"/>
        <w:jc w:val="center"/>
        <w:rPr>
          <w:rFonts w:ascii="宋体" w:hAnsi="宋体"/>
          <w:sz w:val="21"/>
          <w:szCs w:val="24"/>
        </w:rPr>
      </w:pPr>
    </w:p>
    <w:p w14:paraId="0E8EBF90">
      <w:pPr>
        <w:spacing w:line="240" w:lineRule="auto"/>
        <w:ind w:firstLine="480"/>
        <w:rPr>
          <w:rFonts w:ascii="宋体" w:hAnsi="宋体"/>
          <w:sz w:val="21"/>
          <w:szCs w:val="24"/>
        </w:rPr>
      </w:pPr>
    </w:p>
    <w:p w14:paraId="275AEC9D">
      <w:pPr>
        <w:spacing w:line="240" w:lineRule="auto"/>
        <w:ind w:firstLine="480"/>
        <w:rPr>
          <w:rFonts w:ascii="宋体" w:hAnsi="宋体"/>
          <w:sz w:val="21"/>
          <w:szCs w:val="24"/>
        </w:rPr>
      </w:pPr>
    </w:p>
    <w:p w14:paraId="7C754756">
      <w:pPr>
        <w:spacing w:line="240" w:lineRule="auto"/>
        <w:rPr>
          <w:rFonts w:ascii="宋体" w:hAnsi="宋体"/>
          <w:sz w:val="21"/>
          <w:szCs w:val="24"/>
        </w:rPr>
      </w:pPr>
    </w:p>
    <w:p w14:paraId="00AE7AD7">
      <w:pPr>
        <w:spacing w:line="240" w:lineRule="auto"/>
        <w:ind w:firstLine="197" w:firstLineChars="49"/>
        <w:jc w:val="center"/>
        <w:rPr>
          <w:rFonts w:ascii="宋体" w:hAnsi="宋体"/>
          <w:b/>
          <w:sz w:val="40"/>
          <w:szCs w:val="24"/>
        </w:rPr>
      </w:pPr>
      <w:r>
        <w:rPr>
          <w:rFonts w:ascii="宋体" w:hAnsi="宋体"/>
          <w:b/>
          <w:sz w:val="40"/>
          <w:szCs w:val="24"/>
        </w:rPr>
        <w:t>政</w:t>
      </w:r>
      <w:r>
        <w:rPr>
          <w:rFonts w:hint="eastAsia" w:ascii="宋体" w:hAnsi="宋体"/>
          <w:b/>
          <w:sz w:val="40"/>
          <w:szCs w:val="24"/>
        </w:rPr>
        <w:t xml:space="preserve"> </w:t>
      </w:r>
      <w:r>
        <w:rPr>
          <w:rFonts w:ascii="宋体" w:hAnsi="宋体"/>
          <w:b/>
          <w:sz w:val="40"/>
          <w:szCs w:val="24"/>
        </w:rPr>
        <w:t>府</w:t>
      </w:r>
      <w:r>
        <w:rPr>
          <w:rFonts w:hint="eastAsia" w:ascii="宋体" w:hAnsi="宋体"/>
          <w:b/>
          <w:sz w:val="40"/>
          <w:szCs w:val="24"/>
        </w:rPr>
        <w:t xml:space="preserve"> </w:t>
      </w:r>
      <w:r>
        <w:rPr>
          <w:rFonts w:ascii="宋体" w:hAnsi="宋体"/>
          <w:b/>
          <w:sz w:val="40"/>
          <w:szCs w:val="24"/>
        </w:rPr>
        <w:t>采</w:t>
      </w:r>
      <w:r>
        <w:rPr>
          <w:rFonts w:hint="eastAsia" w:ascii="宋体" w:hAnsi="宋体"/>
          <w:b/>
          <w:sz w:val="40"/>
          <w:szCs w:val="24"/>
        </w:rPr>
        <w:t xml:space="preserve"> </w:t>
      </w:r>
      <w:r>
        <w:rPr>
          <w:rFonts w:ascii="宋体" w:hAnsi="宋体"/>
          <w:b/>
          <w:sz w:val="40"/>
          <w:szCs w:val="24"/>
        </w:rPr>
        <w:t>购</w:t>
      </w:r>
      <w:r>
        <w:rPr>
          <w:rFonts w:hint="eastAsia" w:ascii="宋体" w:hAnsi="宋体"/>
          <w:b/>
          <w:sz w:val="40"/>
          <w:szCs w:val="24"/>
        </w:rPr>
        <w:t xml:space="preserve"> </w:t>
      </w:r>
      <w:r>
        <w:rPr>
          <w:rFonts w:ascii="宋体" w:hAnsi="宋体"/>
          <w:b/>
          <w:sz w:val="40"/>
          <w:szCs w:val="24"/>
        </w:rPr>
        <w:t>合</w:t>
      </w:r>
      <w:r>
        <w:rPr>
          <w:rFonts w:hint="eastAsia" w:ascii="宋体" w:hAnsi="宋体"/>
          <w:b/>
          <w:sz w:val="40"/>
          <w:szCs w:val="24"/>
        </w:rPr>
        <w:t xml:space="preserve"> </w:t>
      </w:r>
      <w:r>
        <w:rPr>
          <w:rFonts w:ascii="宋体" w:hAnsi="宋体"/>
          <w:b/>
          <w:sz w:val="40"/>
          <w:szCs w:val="24"/>
        </w:rPr>
        <w:t>同</w:t>
      </w:r>
    </w:p>
    <w:p w14:paraId="238B9371">
      <w:pPr>
        <w:spacing w:line="240" w:lineRule="auto"/>
        <w:ind w:firstLine="482"/>
        <w:rPr>
          <w:rFonts w:ascii="宋体" w:hAnsi="宋体"/>
          <w:sz w:val="21"/>
          <w:szCs w:val="24"/>
        </w:rPr>
      </w:pPr>
      <w:r>
        <w:rPr>
          <w:rFonts w:ascii="宋体" w:hAnsi="宋体"/>
          <w:b/>
          <w:sz w:val="21"/>
          <w:szCs w:val="24"/>
        </w:rPr>
        <w:t xml:space="preserve"> </w:t>
      </w:r>
    </w:p>
    <w:p w14:paraId="203CB113">
      <w:pPr>
        <w:spacing w:line="240" w:lineRule="auto"/>
        <w:ind w:firstLine="482"/>
        <w:rPr>
          <w:rFonts w:ascii="宋体" w:hAnsi="宋体"/>
          <w:szCs w:val="24"/>
        </w:rPr>
      </w:pPr>
      <w:r>
        <w:rPr>
          <w:rFonts w:ascii="宋体" w:hAnsi="宋体"/>
          <w:b/>
          <w:sz w:val="21"/>
          <w:szCs w:val="24"/>
        </w:rPr>
        <w:t xml:space="preserve">     </w:t>
      </w:r>
      <w:r>
        <w:rPr>
          <w:rFonts w:ascii="宋体" w:hAnsi="宋体"/>
          <w:b/>
          <w:szCs w:val="24"/>
        </w:rPr>
        <w:t xml:space="preserve">          </w:t>
      </w:r>
    </w:p>
    <w:p w14:paraId="66C7AAAE">
      <w:pPr>
        <w:spacing w:line="240" w:lineRule="auto"/>
        <w:ind w:firstLine="482"/>
        <w:rPr>
          <w:rFonts w:ascii="宋体" w:hAnsi="宋体"/>
          <w:szCs w:val="24"/>
        </w:rPr>
      </w:pPr>
      <w:r>
        <w:rPr>
          <w:rFonts w:ascii="宋体" w:hAnsi="宋体"/>
          <w:b/>
          <w:szCs w:val="24"/>
        </w:rPr>
        <w:t xml:space="preserve">                                      合同编号：</w:t>
      </w:r>
      <w:r>
        <w:rPr>
          <w:rFonts w:ascii="宋体" w:hAnsi="宋体"/>
          <w:b/>
          <w:szCs w:val="24"/>
          <w:u w:val="single"/>
        </w:rPr>
        <w:t xml:space="preserve">             </w:t>
      </w:r>
    </w:p>
    <w:p w14:paraId="4296B110">
      <w:pPr>
        <w:spacing w:line="240" w:lineRule="auto"/>
        <w:ind w:firstLine="480"/>
        <w:rPr>
          <w:rFonts w:ascii="宋体" w:hAnsi="宋体"/>
          <w:szCs w:val="24"/>
        </w:rPr>
      </w:pPr>
    </w:p>
    <w:p w14:paraId="188B9BBD">
      <w:pPr>
        <w:spacing w:line="240" w:lineRule="auto"/>
        <w:ind w:firstLine="480"/>
        <w:rPr>
          <w:rFonts w:ascii="宋体" w:hAnsi="宋体"/>
          <w:szCs w:val="24"/>
        </w:rPr>
      </w:pPr>
    </w:p>
    <w:p w14:paraId="57B980D7">
      <w:pPr>
        <w:spacing w:line="240" w:lineRule="auto"/>
        <w:ind w:firstLine="480"/>
        <w:rPr>
          <w:rFonts w:ascii="宋体" w:hAnsi="宋体"/>
          <w:szCs w:val="24"/>
        </w:rPr>
      </w:pPr>
    </w:p>
    <w:p w14:paraId="20E0D9A4">
      <w:pPr>
        <w:snapToGrid w:val="0"/>
        <w:spacing w:before="119" w:line="332" w:lineRule="atLeast"/>
        <w:ind w:left="2100" w:leftChars="600" w:hanging="840" w:hangingChars="400"/>
        <w:rPr>
          <w:rFonts w:ascii="宋体" w:hAnsi="宋体"/>
          <w:szCs w:val="24"/>
          <w:u w:val="single"/>
        </w:rPr>
      </w:pPr>
      <w:r>
        <w:rPr>
          <w:rFonts w:ascii="宋体" w:hAnsi="宋体"/>
          <w:szCs w:val="24"/>
        </w:rPr>
        <w:t>项目名称：</w:t>
      </w:r>
      <w:r>
        <w:rPr>
          <w:rFonts w:hint="eastAsia" w:ascii="宋体" w:hAnsi="宋体"/>
          <w:szCs w:val="24"/>
          <w:u w:val="single"/>
        </w:rPr>
        <w:t>大兴区</w:t>
      </w:r>
      <w:r>
        <w:rPr>
          <w:rFonts w:ascii="宋体" w:hAnsi="宋体"/>
          <w:szCs w:val="24"/>
          <w:u w:val="single"/>
        </w:rPr>
        <w:t>720积水点治理工程新城地区防汛应急指挥系统运维保障服务</w:t>
      </w:r>
    </w:p>
    <w:p w14:paraId="0D7C7E48">
      <w:pPr>
        <w:snapToGrid w:val="0"/>
        <w:spacing w:before="119" w:line="272" w:lineRule="atLeast"/>
        <w:ind w:left="958" w:firstLine="480"/>
        <w:rPr>
          <w:rFonts w:ascii="宋体" w:hAnsi="宋体"/>
          <w:szCs w:val="24"/>
        </w:rPr>
      </w:pPr>
      <w:r>
        <w:rPr>
          <w:rFonts w:hint="eastAsia" w:ascii="宋体" w:hAnsi="宋体"/>
          <w:szCs w:val="24"/>
        </w:rPr>
        <w:t xml:space="preserve"> </w:t>
      </w:r>
    </w:p>
    <w:p w14:paraId="18E1174B">
      <w:pPr>
        <w:snapToGrid w:val="0"/>
        <w:spacing w:before="119" w:line="272" w:lineRule="atLeast"/>
        <w:ind w:firstLine="1224" w:firstLineChars="583"/>
        <w:rPr>
          <w:rFonts w:ascii="宋体" w:hAnsi="宋体"/>
          <w:szCs w:val="24"/>
        </w:rPr>
      </w:pPr>
      <w:r>
        <w:rPr>
          <w:rFonts w:hint="eastAsia" w:ascii="宋体" w:hAnsi="宋体"/>
          <w:szCs w:val="24"/>
        </w:rPr>
        <w:t>甲</w:t>
      </w:r>
      <w:r>
        <w:rPr>
          <w:rFonts w:ascii="宋体" w:hAnsi="宋体"/>
          <w:szCs w:val="24"/>
        </w:rPr>
        <w:t>　　方：</w:t>
      </w:r>
      <w:r>
        <w:rPr>
          <w:rFonts w:ascii="宋体" w:hAnsi="宋体"/>
          <w:szCs w:val="24"/>
          <w:u w:val="single"/>
        </w:rPr>
        <w:t xml:space="preserve">  </w:t>
      </w:r>
      <w:r>
        <w:rPr>
          <w:rFonts w:hint="eastAsia" w:ascii="宋体" w:hAnsi="宋体"/>
          <w:szCs w:val="24"/>
          <w:u w:val="single"/>
        </w:rPr>
        <w:t xml:space="preserve">北京市大兴区城市管理委员会 </w:t>
      </w:r>
      <w:r>
        <w:rPr>
          <w:rFonts w:ascii="宋体" w:hAnsi="宋体"/>
          <w:szCs w:val="24"/>
          <w:u w:val="single"/>
        </w:rPr>
        <w:t xml:space="preserve"> </w:t>
      </w:r>
    </w:p>
    <w:p w14:paraId="0A980FF3">
      <w:pPr>
        <w:snapToGrid w:val="0"/>
        <w:spacing w:before="119" w:line="272" w:lineRule="atLeast"/>
        <w:ind w:left="958" w:firstLine="480"/>
        <w:rPr>
          <w:rFonts w:ascii="宋体" w:hAnsi="宋体"/>
          <w:szCs w:val="24"/>
        </w:rPr>
      </w:pPr>
      <w:r>
        <w:rPr>
          <w:rFonts w:ascii="宋体" w:hAnsi="宋体"/>
          <w:szCs w:val="24"/>
        </w:rPr>
        <w:t xml:space="preserve">   </w:t>
      </w:r>
    </w:p>
    <w:p w14:paraId="62463F65">
      <w:pPr>
        <w:snapToGrid w:val="0"/>
        <w:spacing w:before="119" w:line="272" w:lineRule="atLeast"/>
        <w:ind w:firstLine="1224" w:firstLineChars="583"/>
        <w:rPr>
          <w:rFonts w:ascii="宋体" w:hAnsi="宋体"/>
          <w:szCs w:val="24"/>
        </w:rPr>
      </w:pPr>
      <w:r>
        <w:rPr>
          <w:rFonts w:hint="eastAsia" w:ascii="宋体" w:hAnsi="宋体"/>
          <w:szCs w:val="24"/>
        </w:rPr>
        <w:t>乙</w:t>
      </w:r>
      <w:r>
        <w:rPr>
          <w:rFonts w:ascii="宋体" w:hAnsi="宋体"/>
          <w:szCs w:val="24"/>
        </w:rPr>
        <w:t>　　方：</w:t>
      </w:r>
      <w:r>
        <w:rPr>
          <w:rFonts w:ascii="宋体" w:hAnsi="宋体"/>
          <w:szCs w:val="24"/>
          <w:u w:val="single"/>
        </w:rPr>
        <w:t xml:space="preserve">     </w:t>
      </w:r>
      <w:r>
        <w:rPr>
          <w:rFonts w:hint="eastAsia" w:ascii="宋体" w:hAnsi="宋体"/>
          <w:szCs w:val="24"/>
          <w:u w:val="single"/>
        </w:rPr>
        <w:t xml:space="preserve">                    </w:t>
      </w:r>
      <w:r>
        <w:rPr>
          <w:rFonts w:ascii="宋体" w:hAnsi="宋体"/>
          <w:szCs w:val="24"/>
          <w:u w:val="single"/>
        </w:rPr>
        <w:t xml:space="preserve"> </w:t>
      </w:r>
      <w:r>
        <w:rPr>
          <w:rFonts w:hint="eastAsia" w:ascii="宋体" w:hAnsi="宋体"/>
          <w:szCs w:val="24"/>
          <w:u w:val="single"/>
        </w:rPr>
        <w:t xml:space="preserve">   </w:t>
      </w:r>
      <w:r>
        <w:rPr>
          <w:rFonts w:ascii="宋体" w:hAnsi="宋体"/>
          <w:szCs w:val="24"/>
          <w:u w:val="single"/>
        </w:rPr>
        <w:t xml:space="preserve"> </w:t>
      </w:r>
    </w:p>
    <w:p w14:paraId="2F119B56">
      <w:pPr>
        <w:snapToGrid w:val="0"/>
        <w:spacing w:before="119" w:line="272" w:lineRule="atLeast"/>
        <w:ind w:left="958" w:firstLine="480"/>
        <w:jc w:val="center"/>
        <w:rPr>
          <w:rFonts w:ascii="宋体" w:hAnsi="宋体"/>
          <w:szCs w:val="24"/>
        </w:rPr>
      </w:pPr>
    </w:p>
    <w:p w14:paraId="1A47E3CC">
      <w:pPr>
        <w:snapToGrid w:val="0"/>
        <w:spacing w:before="119" w:line="272" w:lineRule="atLeast"/>
        <w:ind w:left="958" w:firstLine="480"/>
        <w:jc w:val="center"/>
        <w:rPr>
          <w:rFonts w:ascii="宋体" w:hAnsi="宋体"/>
          <w:szCs w:val="24"/>
        </w:rPr>
      </w:pPr>
    </w:p>
    <w:p w14:paraId="2B1D4343">
      <w:pPr>
        <w:snapToGrid w:val="0"/>
        <w:spacing w:before="119" w:line="272" w:lineRule="atLeast"/>
        <w:ind w:firstLine="1224" w:firstLineChars="583"/>
        <w:rPr>
          <w:rFonts w:ascii="宋体" w:hAnsi="宋体"/>
          <w:szCs w:val="24"/>
        </w:rPr>
      </w:pPr>
      <w:r>
        <w:rPr>
          <w:rFonts w:ascii="宋体" w:hAnsi="宋体"/>
          <w:szCs w:val="24"/>
        </w:rPr>
        <w:t>签署日期：</w:t>
      </w:r>
      <w:r>
        <w:rPr>
          <w:rFonts w:ascii="宋体" w:hAnsi="宋体"/>
          <w:szCs w:val="24"/>
          <w:u w:val="single"/>
        </w:rPr>
        <w:t xml:space="preserve">                              </w:t>
      </w:r>
    </w:p>
    <w:p w14:paraId="065FCEF7">
      <w:pPr>
        <w:snapToGrid w:val="0"/>
        <w:spacing w:before="119" w:line="272" w:lineRule="atLeast"/>
        <w:ind w:left="958" w:firstLine="480"/>
        <w:rPr>
          <w:rFonts w:ascii="宋体" w:hAnsi="宋体"/>
          <w:szCs w:val="24"/>
        </w:rPr>
      </w:pPr>
      <w:r>
        <w:rPr>
          <w:rFonts w:ascii="宋体" w:hAnsi="宋体"/>
          <w:szCs w:val="24"/>
        </w:rPr>
        <w:t xml:space="preserve">                                           </w:t>
      </w:r>
    </w:p>
    <w:p w14:paraId="48BE49AE">
      <w:pPr>
        <w:snapToGrid w:val="0"/>
        <w:spacing w:before="119" w:line="232" w:lineRule="atLeast"/>
        <w:ind w:left="958" w:firstLine="480"/>
        <w:rPr>
          <w:rFonts w:ascii="宋体" w:hAnsi="宋体"/>
          <w:szCs w:val="24"/>
        </w:rPr>
      </w:pPr>
    </w:p>
    <w:p w14:paraId="5DA07D0D">
      <w:pPr>
        <w:spacing w:line="360" w:lineRule="auto"/>
        <w:jc w:val="center"/>
        <w:rPr>
          <w:rFonts w:ascii="宋体" w:hAnsi="宋体"/>
          <w:szCs w:val="24"/>
          <w:u w:val="single"/>
        </w:rPr>
      </w:pPr>
      <w:r>
        <w:rPr>
          <w:rFonts w:ascii="Times New Roman" w:hAnsi="Times New Roman"/>
          <w:szCs w:val="24"/>
        </w:rPr>
        <w:br w:type="page"/>
      </w:r>
      <w:r>
        <w:rPr>
          <w:rFonts w:hint="eastAsia" w:ascii="宋体" w:hAnsi="宋体"/>
          <w:szCs w:val="24"/>
        </w:rPr>
        <w:t>合　　　同　　　书</w:t>
      </w:r>
    </w:p>
    <w:p w14:paraId="31702A54">
      <w:pPr>
        <w:spacing w:line="360" w:lineRule="auto"/>
        <w:ind w:firstLine="480"/>
        <w:rPr>
          <w:rFonts w:ascii="宋体" w:hAnsi="宋体"/>
          <w:szCs w:val="24"/>
          <w:u w:val="single"/>
        </w:rPr>
      </w:pPr>
      <w:r>
        <w:rPr>
          <w:rFonts w:hint="eastAsia" w:ascii="宋体" w:hAnsi="宋体"/>
          <w:szCs w:val="24"/>
        </w:rPr>
        <w:t>甲方：</w:t>
      </w:r>
      <w:r>
        <w:rPr>
          <w:rFonts w:hint="eastAsia" w:ascii="宋体" w:hAnsi="宋体"/>
          <w:szCs w:val="24"/>
          <w:u w:val="single"/>
        </w:rPr>
        <w:t xml:space="preserve">  北京市大兴区城市管理委员会 </w:t>
      </w:r>
      <w:r>
        <w:rPr>
          <w:rFonts w:ascii="宋体" w:hAnsi="宋体"/>
          <w:szCs w:val="24"/>
          <w:u w:val="single"/>
        </w:rPr>
        <w:t xml:space="preserve"> </w:t>
      </w:r>
    </w:p>
    <w:p w14:paraId="009CD780">
      <w:pPr>
        <w:spacing w:line="360" w:lineRule="auto"/>
        <w:ind w:firstLine="480"/>
        <w:rPr>
          <w:rFonts w:ascii="宋体" w:hAnsi="宋体"/>
          <w:szCs w:val="24"/>
          <w:u w:val="single"/>
        </w:rPr>
      </w:pPr>
      <w:r>
        <w:rPr>
          <w:rFonts w:hint="eastAsia" w:ascii="宋体" w:hAnsi="宋体"/>
          <w:szCs w:val="24"/>
        </w:rPr>
        <w:t>乙方：</w:t>
      </w:r>
      <w:r>
        <w:rPr>
          <w:rFonts w:hint="eastAsia" w:ascii="宋体" w:hAnsi="宋体"/>
          <w:szCs w:val="24"/>
          <w:u w:val="single"/>
        </w:rPr>
        <w:t xml:space="preserve"> </w:t>
      </w:r>
      <w:r>
        <w:rPr>
          <w:rFonts w:ascii="宋体" w:hAnsi="宋体"/>
          <w:szCs w:val="24"/>
          <w:u w:val="single"/>
        </w:rPr>
        <w:t xml:space="preserve">  </w:t>
      </w:r>
      <w:r>
        <w:rPr>
          <w:rFonts w:hint="eastAsia" w:ascii="宋体" w:hAnsi="宋体"/>
          <w:szCs w:val="24"/>
          <w:u w:val="single"/>
        </w:rPr>
        <w:t xml:space="preserve">                         </w:t>
      </w:r>
      <w:r>
        <w:rPr>
          <w:rFonts w:ascii="宋体" w:hAnsi="宋体"/>
          <w:szCs w:val="24"/>
          <w:u w:val="single"/>
        </w:rPr>
        <w:t xml:space="preserve">  </w:t>
      </w:r>
      <w:r>
        <w:rPr>
          <w:rFonts w:hint="eastAsia" w:ascii="宋体" w:hAnsi="宋体"/>
          <w:szCs w:val="24"/>
          <w:u w:val="single"/>
        </w:rPr>
        <w:t xml:space="preserve">  </w:t>
      </w:r>
    </w:p>
    <w:p w14:paraId="6183F48E">
      <w:pPr>
        <w:spacing w:line="360" w:lineRule="auto"/>
        <w:ind w:firstLine="420" w:firstLineChars="200"/>
        <w:rPr>
          <w:rFonts w:ascii="宋体" w:hAnsi="宋体"/>
          <w:szCs w:val="24"/>
        </w:rPr>
      </w:pPr>
      <w:r>
        <w:rPr>
          <w:rFonts w:hint="eastAsia" w:ascii="宋体" w:hAnsi="宋体"/>
          <w:szCs w:val="24"/>
          <w:u w:val="single"/>
        </w:rPr>
        <w:t>北京市大兴区城市管理委员会</w:t>
      </w:r>
      <w:r>
        <w:rPr>
          <w:rFonts w:hint="eastAsia" w:ascii="宋体" w:hAnsi="宋体"/>
          <w:szCs w:val="24"/>
        </w:rPr>
        <w:t>(甲方)所需</w:t>
      </w:r>
      <w:r>
        <w:rPr>
          <w:rFonts w:hint="eastAsia" w:ascii="宋体" w:hAnsi="宋体"/>
          <w:szCs w:val="24"/>
          <w:u w:val="single"/>
        </w:rPr>
        <w:t xml:space="preserve"> 大兴区</w:t>
      </w:r>
      <w:r>
        <w:rPr>
          <w:rFonts w:ascii="宋体" w:hAnsi="宋体"/>
          <w:szCs w:val="24"/>
          <w:u w:val="single"/>
        </w:rPr>
        <w:t>720积水点治理工程新城地区防汛应急指挥系统运维保障服务</w:t>
      </w:r>
      <w:r>
        <w:rPr>
          <w:rFonts w:hint="eastAsia" w:ascii="宋体" w:hAnsi="宋体"/>
          <w:szCs w:val="24"/>
          <w:u w:val="single"/>
        </w:rPr>
        <w:t xml:space="preserve"> </w:t>
      </w:r>
      <w:r>
        <w:rPr>
          <w:rFonts w:hint="eastAsia" w:ascii="宋体" w:hAnsi="宋体"/>
          <w:szCs w:val="24"/>
        </w:rPr>
        <w:t>(服务内容)经</w:t>
      </w:r>
      <w:r>
        <w:rPr>
          <w:rFonts w:hint="eastAsia" w:ascii="宋体" w:hAnsi="宋体"/>
          <w:szCs w:val="24"/>
          <w:u w:val="single"/>
        </w:rPr>
        <w:t xml:space="preserve">    </w:t>
      </w:r>
      <w:bookmarkStart w:id="823" w:name="OLE_LINK1"/>
      <w:r>
        <w:rPr>
          <w:rFonts w:hint="eastAsia" w:ascii="宋体" w:hAnsi="宋体"/>
          <w:szCs w:val="24"/>
          <w:u w:val="single"/>
        </w:rPr>
        <w:t xml:space="preserve">               </w:t>
      </w:r>
      <w:bookmarkEnd w:id="823"/>
      <w:r>
        <w:rPr>
          <w:rFonts w:hint="eastAsia" w:ascii="宋体" w:hAnsi="宋体"/>
          <w:szCs w:val="24"/>
          <w:u w:val="single"/>
        </w:rPr>
        <w:t xml:space="preserve">  </w:t>
      </w:r>
      <w:r>
        <w:rPr>
          <w:rFonts w:hint="eastAsia" w:ascii="宋体" w:hAnsi="宋体"/>
          <w:szCs w:val="24"/>
        </w:rPr>
        <w:t>以</w:t>
      </w:r>
      <w:r>
        <w:rPr>
          <w:rFonts w:hint="eastAsia" w:ascii="宋体" w:hAnsi="宋体"/>
          <w:szCs w:val="24"/>
          <w:u w:val="single"/>
        </w:rPr>
        <w:t xml:space="preserve">  公开招投标 </w:t>
      </w:r>
      <w:r>
        <w:rPr>
          <w:rFonts w:hint="eastAsia" w:ascii="宋体" w:hAnsi="宋体"/>
          <w:szCs w:val="24"/>
        </w:rPr>
        <w:t>方式</w:t>
      </w:r>
      <w:r>
        <w:rPr>
          <w:rFonts w:hint="eastAsia" w:ascii="宋体" w:hAnsi="宋体"/>
          <w:szCs w:val="24"/>
          <w:u w:val="single"/>
        </w:rPr>
        <w:t>（招标编号：</w:t>
      </w:r>
      <w:r>
        <w:rPr>
          <w:rFonts w:hint="eastAsia" w:ascii="宋体" w:hAnsi="宋体" w:cs="Arial"/>
          <w:iCs/>
          <w:szCs w:val="24"/>
          <w:u w:val="single"/>
        </w:rPr>
        <w:t xml:space="preserve">                  </w:t>
      </w:r>
      <w:r>
        <w:rPr>
          <w:rFonts w:hint="eastAsia" w:ascii="宋体" w:hAnsi="宋体"/>
          <w:szCs w:val="24"/>
          <w:u w:val="single"/>
        </w:rPr>
        <w:t>）</w:t>
      </w:r>
      <w:r>
        <w:rPr>
          <w:rFonts w:hint="eastAsia" w:ascii="宋体" w:hAnsi="宋体"/>
          <w:szCs w:val="24"/>
        </w:rPr>
        <w:t>在国内进行采购。</w:t>
      </w:r>
      <w:r>
        <w:rPr>
          <w:rFonts w:hint="eastAsia" w:ascii="宋体" w:hAnsi="宋体"/>
          <w:szCs w:val="24"/>
          <w:u w:val="single"/>
        </w:rPr>
        <w:t xml:space="preserve">      </w:t>
      </w:r>
      <w:r>
        <w:rPr>
          <w:rFonts w:hint="eastAsia" w:ascii="宋体" w:hAnsi="宋体"/>
          <w:szCs w:val="24"/>
        </w:rPr>
        <w:t>(乙方)为本项目的中标服务单位。甲方、乙方双方依据《中华人民共和国政府采购法》、《中华人民共和国民法典》，在平等自愿的基础上，同意按照下面的条款和条件，签署本合同。</w:t>
      </w:r>
    </w:p>
    <w:p w14:paraId="21DF43E6">
      <w:pPr>
        <w:spacing w:line="360" w:lineRule="auto"/>
        <w:ind w:firstLine="480"/>
        <w:rPr>
          <w:rFonts w:ascii="宋体" w:hAnsi="宋体"/>
          <w:szCs w:val="24"/>
        </w:rPr>
      </w:pPr>
      <w:bookmarkStart w:id="824" w:name="_Toc508365827"/>
      <w:r>
        <w:rPr>
          <w:rFonts w:hint="eastAsia" w:ascii="宋体" w:hAnsi="宋体"/>
          <w:szCs w:val="24"/>
        </w:rPr>
        <w:t>一、合同文件</w:t>
      </w:r>
      <w:bookmarkEnd w:id="824"/>
    </w:p>
    <w:p w14:paraId="36FDFA14">
      <w:pPr>
        <w:spacing w:line="360" w:lineRule="auto"/>
        <w:ind w:firstLine="480"/>
        <w:rPr>
          <w:rFonts w:ascii="宋体" w:hAnsi="宋体"/>
          <w:szCs w:val="24"/>
        </w:rPr>
      </w:pPr>
      <w:r>
        <w:rPr>
          <w:rFonts w:hint="eastAsia" w:ascii="宋体" w:hAnsi="宋体"/>
          <w:szCs w:val="24"/>
        </w:rPr>
        <w:t xml:space="preserve">   下列文件构成本合同的组成部分，应该认为是一个整体，彼此相互解释，相互补充。组成合同的多个文件的优先支配地位的次序如下：</w:t>
      </w:r>
    </w:p>
    <w:p w14:paraId="34A879AC">
      <w:pPr>
        <w:spacing w:line="360" w:lineRule="auto"/>
        <w:ind w:firstLine="480"/>
        <w:rPr>
          <w:rFonts w:ascii="宋体" w:hAnsi="宋体"/>
          <w:szCs w:val="24"/>
        </w:rPr>
      </w:pPr>
      <w:r>
        <w:rPr>
          <w:rFonts w:hint="eastAsia" w:ascii="宋体" w:hAnsi="宋体"/>
          <w:szCs w:val="24"/>
        </w:rPr>
        <w:t xml:space="preserve">   a.本合同书；  b.中标通知书；  c.投标文件（含澄清文件）；</w:t>
      </w:r>
    </w:p>
    <w:p w14:paraId="472CA91A">
      <w:pPr>
        <w:spacing w:line="360" w:lineRule="auto"/>
        <w:ind w:firstLine="480"/>
        <w:rPr>
          <w:rFonts w:ascii="宋体" w:hAnsi="宋体"/>
          <w:szCs w:val="24"/>
        </w:rPr>
      </w:pPr>
      <w:r>
        <w:rPr>
          <w:rFonts w:hint="eastAsia" w:ascii="宋体" w:hAnsi="宋体"/>
          <w:szCs w:val="24"/>
        </w:rPr>
        <w:t xml:space="preserve">   d.招标文件（含招标文件补充通知）；e.合同补充条款或协议。</w:t>
      </w:r>
    </w:p>
    <w:p w14:paraId="718C96E5">
      <w:pPr>
        <w:spacing w:line="360" w:lineRule="auto"/>
        <w:ind w:firstLine="480"/>
        <w:rPr>
          <w:rFonts w:ascii="宋体" w:hAnsi="宋体"/>
          <w:szCs w:val="24"/>
        </w:rPr>
      </w:pPr>
      <w:bookmarkStart w:id="825" w:name="_Toc508365828"/>
      <w:r>
        <w:rPr>
          <w:rFonts w:hint="eastAsia" w:ascii="宋体" w:hAnsi="宋体"/>
          <w:szCs w:val="24"/>
        </w:rPr>
        <w:t>二、合同范围和条件</w:t>
      </w:r>
      <w:bookmarkEnd w:id="825"/>
    </w:p>
    <w:p w14:paraId="1EE46959">
      <w:pPr>
        <w:spacing w:line="360" w:lineRule="auto"/>
        <w:ind w:firstLine="480"/>
        <w:rPr>
          <w:rFonts w:ascii="宋体" w:hAnsi="宋体"/>
          <w:szCs w:val="24"/>
        </w:rPr>
      </w:pPr>
      <w:r>
        <w:rPr>
          <w:rFonts w:hint="eastAsia" w:ascii="宋体" w:hAnsi="宋体"/>
          <w:szCs w:val="24"/>
        </w:rPr>
        <w:t xml:space="preserve">    本合同的范围和条件应与上述规定的合同文件内容一致。</w:t>
      </w:r>
    </w:p>
    <w:p w14:paraId="76DA1DC7">
      <w:pPr>
        <w:spacing w:line="360" w:lineRule="auto"/>
        <w:ind w:firstLine="480"/>
        <w:rPr>
          <w:rFonts w:ascii="宋体" w:hAnsi="宋体"/>
          <w:szCs w:val="24"/>
        </w:rPr>
      </w:pPr>
      <w:bookmarkStart w:id="826" w:name="_Toc508365829"/>
      <w:r>
        <w:rPr>
          <w:rFonts w:hint="eastAsia" w:ascii="宋体" w:hAnsi="宋体"/>
          <w:szCs w:val="24"/>
        </w:rPr>
        <w:t>三、服务要求</w:t>
      </w:r>
      <w:bookmarkEnd w:id="826"/>
    </w:p>
    <w:p w14:paraId="64289FF3">
      <w:pPr>
        <w:spacing w:line="360" w:lineRule="auto"/>
        <w:ind w:firstLine="480"/>
        <w:rPr>
          <w:rFonts w:ascii="宋体" w:hAnsi="宋体"/>
          <w:szCs w:val="24"/>
        </w:rPr>
      </w:pPr>
      <w:r>
        <w:rPr>
          <w:rFonts w:hint="eastAsia" w:ascii="宋体" w:hAnsi="宋体"/>
          <w:szCs w:val="24"/>
        </w:rPr>
        <w:t xml:space="preserve">    本合同要求提供的服务要求详见招标文件。</w:t>
      </w:r>
    </w:p>
    <w:p w14:paraId="5E438D1B">
      <w:pPr>
        <w:spacing w:line="360" w:lineRule="auto"/>
        <w:ind w:firstLine="480"/>
        <w:rPr>
          <w:rFonts w:ascii="宋体" w:hAnsi="宋体"/>
          <w:szCs w:val="24"/>
        </w:rPr>
      </w:pPr>
      <w:bookmarkStart w:id="827" w:name="_Toc508365830"/>
      <w:r>
        <w:rPr>
          <w:rFonts w:hint="eastAsia" w:ascii="宋体" w:hAnsi="宋体"/>
          <w:szCs w:val="24"/>
        </w:rPr>
        <w:t>四、合同价款</w:t>
      </w:r>
      <w:bookmarkEnd w:id="827"/>
    </w:p>
    <w:p w14:paraId="423BF585">
      <w:pPr>
        <w:spacing w:line="360" w:lineRule="auto"/>
        <w:ind w:firstLine="840" w:firstLineChars="400"/>
        <w:rPr>
          <w:rFonts w:ascii="宋体" w:hAnsi="宋体"/>
          <w:szCs w:val="24"/>
        </w:rPr>
      </w:pPr>
      <w:r>
        <w:rPr>
          <w:rFonts w:hint="eastAsia" w:ascii="宋体" w:hAnsi="宋体"/>
          <w:szCs w:val="24"/>
        </w:rPr>
        <w:t>本合同为总价为</w:t>
      </w:r>
      <w:r>
        <w:rPr>
          <w:rFonts w:hint="eastAsia" w:ascii="宋体" w:hAnsi="宋体"/>
          <w:szCs w:val="24"/>
          <w:u w:val="single"/>
        </w:rPr>
        <w:t xml:space="preserve"> </w:t>
      </w:r>
      <w:r>
        <w:rPr>
          <w:rFonts w:hint="eastAsia" w:ascii="宋体" w:hAnsi="宋体" w:cs="Arial"/>
          <w:color w:val="000000"/>
          <w:szCs w:val="24"/>
          <w:u w:val="single"/>
        </w:rPr>
        <w:t xml:space="preserve">       </w:t>
      </w:r>
      <w:r>
        <w:rPr>
          <w:rFonts w:hint="eastAsia" w:ascii="宋体" w:hAnsi="宋体"/>
          <w:szCs w:val="24"/>
        </w:rPr>
        <w:t>元人民币。</w:t>
      </w:r>
    </w:p>
    <w:p w14:paraId="1A1DB03B">
      <w:pPr>
        <w:spacing w:line="360" w:lineRule="auto"/>
        <w:ind w:firstLine="480"/>
        <w:rPr>
          <w:rFonts w:ascii="宋体" w:hAnsi="宋体"/>
          <w:szCs w:val="24"/>
        </w:rPr>
      </w:pPr>
      <w:bookmarkStart w:id="828" w:name="_Toc508365831"/>
      <w:r>
        <w:rPr>
          <w:rFonts w:hint="eastAsia" w:ascii="宋体" w:hAnsi="宋体"/>
          <w:szCs w:val="24"/>
        </w:rPr>
        <w:t>五、付款方式</w:t>
      </w:r>
      <w:bookmarkEnd w:id="828"/>
    </w:p>
    <w:p w14:paraId="74726A5F">
      <w:pPr>
        <w:spacing w:line="360" w:lineRule="auto"/>
        <w:ind w:firstLine="480"/>
        <w:rPr>
          <w:rFonts w:ascii="宋体" w:hAnsi="宋体"/>
          <w:szCs w:val="24"/>
        </w:rPr>
      </w:pPr>
      <w:r>
        <w:rPr>
          <w:rFonts w:hint="eastAsia" w:ascii="宋体" w:hAnsi="宋体"/>
          <w:szCs w:val="24"/>
        </w:rPr>
        <w:t xml:space="preserve">    本合同的付款方式在合同特殊条款中规定。</w:t>
      </w:r>
    </w:p>
    <w:p w14:paraId="12DCEE23">
      <w:pPr>
        <w:spacing w:line="360" w:lineRule="auto"/>
        <w:ind w:firstLine="480"/>
        <w:rPr>
          <w:rFonts w:ascii="宋体" w:hAnsi="宋体"/>
          <w:szCs w:val="24"/>
        </w:rPr>
      </w:pPr>
      <w:bookmarkStart w:id="829" w:name="_Toc508365832"/>
      <w:r>
        <w:rPr>
          <w:rFonts w:hint="eastAsia" w:ascii="宋体" w:hAnsi="宋体"/>
          <w:szCs w:val="24"/>
        </w:rPr>
        <w:t>六、合同的生效</w:t>
      </w:r>
      <w:bookmarkEnd w:id="829"/>
    </w:p>
    <w:p w14:paraId="47929E3C">
      <w:pPr>
        <w:spacing w:line="360" w:lineRule="auto"/>
        <w:ind w:firstLine="480"/>
        <w:rPr>
          <w:rFonts w:ascii="宋体" w:hAnsi="宋体"/>
          <w:szCs w:val="24"/>
        </w:rPr>
      </w:pPr>
      <w:r>
        <w:rPr>
          <w:rFonts w:hint="eastAsia" w:ascii="宋体" w:hAnsi="宋体"/>
          <w:szCs w:val="24"/>
        </w:rPr>
        <w:t xml:space="preserve">    本合同一式</w:t>
      </w:r>
      <w:r>
        <w:rPr>
          <w:rFonts w:hint="eastAsia" w:ascii="宋体" w:hAnsi="宋体"/>
          <w:szCs w:val="24"/>
          <w:u w:val="single"/>
        </w:rPr>
        <w:t>6份</w:t>
      </w:r>
      <w:r>
        <w:rPr>
          <w:rFonts w:hint="eastAsia" w:ascii="宋体" w:hAnsi="宋体"/>
          <w:szCs w:val="24"/>
        </w:rPr>
        <w:t>，本合同经甲方、乙方双方签署且加盖单位印章后生效。</w:t>
      </w:r>
    </w:p>
    <w:p w14:paraId="0D2F4614">
      <w:pPr>
        <w:spacing w:line="360" w:lineRule="auto"/>
        <w:ind w:firstLine="480"/>
        <w:rPr>
          <w:rFonts w:ascii="宋体" w:hAnsi="宋体"/>
          <w:szCs w:val="24"/>
        </w:rPr>
      </w:pPr>
      <w:bookmarkStart w:id="830" w:name="_Toc508365833"/>
      <w:r>
        <w:rPr>
          <w:rFonts w:hint="eastAsia" w:ascii="宋体" w:hAnsi="宋体"/>
          <w:szCs w:val="24"/>
        </w:rPr>
        <w:t>七、合同一般条款</w:t>
      </w:r>
      <w:bookmarkEnd w:id="830"/>
    </w:p>
    <w:p w14:paraId="2DF1E388">
      <w:pPr>
        <w:spacing w:line="360" w:lineRule="auto"/>
        <w:ind w:firstLine="480"/>
        <w:rPr>
          <w:rFonts w:ascii="宋体" w:hAnsi="宋体"/>
          <w:szCs w:val="24"/>
        </w:rPr>
      </w:pPr>
      <w:bookmarkStart w:id="831" w:name="_Toc508365834"/>
      <w:r>
        <w:rPr>
          <w:rFonts w:hint="eastAsia" w:ascii="宋体" w:hAnsi="宋体"/>
          <w:szCs w:val="24"/>
        </w:rPr>
        <w:t>1. 定义</w:t>
      </w:r>
      <w:bookmarkEnd w:id="831"/>
    </w:p>
    <w:p w14:paraId="7210EDBD">
      <w:pPr>
        <w:spacing w:line="360" w:lineRule="auto"/>
        <w:ind w:firstLine="480"/>
        <w:rPr>
          <w:rFonts w:ascii="宋体" w:hAnsi="宋体"/>
          <w:szCs w:val="24"/>
        </w:rPr>
      </w:pPr>
      <w:r>
        <w:rPr>
          <w:rFonts w:hint="eastAsia" w:ascii="宋体" w:hAnsi="宋体"/>
          <w:szCs w:val="24"/>
        </w:rPr>
        <w:t xml:space="preserve">    本合同中的下列术语应解释为：</w:t>
      </w:r>
    </w:p>
    <w:p w14:paraId="09A0F35A">
      <w:pPr>
        <w:spacing w:line="360" w:lineRule="auto"/>
        <w:ind w:firstLine="480"/>
        <w:rPr>
          <w:rFonts w:ascii="宋体" w:hAnsi="宋体"/>
          <w:szCs w:val="24"/>
        </w:rPr>
      </w:pPr>
      <w:r>
        <w:rPr>
          <w:rFonts w:hint="eastAsia" w:ascii="宋体" w:hAnsi="宋体"/>
          <w:szCs w:val="24"/>
        </w:rPr>
        <w:t xml:space="preserve">    (1) “合同”系指甲乙双方签署的、合同格式中载明的甲乙双方所达成的协议，包括所有的附件、附录和构成合同的其它文件。</w:t>
      </w:r>
    </w:p>
    <w:p w14:paraId="286C140C">
      <w:pPr>
        <w:spacing w:line="360" w:lineRule="auto"/>
        <w:ind w:firstLine="480"/>
        <w:rPr>
          <w:rFonts w:ascii="宋体" w:hAnsi="宋体"/>
          <w:szCs w:val="24"/>
        </w:rPr>
      </w:pPr>
      <w:r>
        <w:rPr>
          <w:rFonts w:hint="eastAsia" w:ascii="宋体" w:hAnsi="宋体"/>
          <w:szCs w:val="24"/>
        </w:rPr>
        <w:t xml:space="preserve">    (2) “合同价”系指根据合同规定，在乙方完全履行合同义务后应付给乙方的价格，甲方可根据每年度北京市人力资源和社会保障局或北京市其他部门的更新规定实时调整乙方的服务费用（人员工资等）。</w:t>
      </w:r>
    </w:p>
    <w:p w14:paraId="27C0D766">
      <w:pPr>
        <w:spacing w:line="360" w:lineRule="auto"/>
        <w:ind w:firstLine="480"/>
        <w:rPr>
          <w:rFonts w:ascii="宋体" w:hAnsi="宋体"/>
          <w:szCs w:val="24"/>
        </w:rPr>
      </w:pPr>
      <w:r>
        <w:rPr>
          <w:rFonts w:hint="eastAsia" w:ascii="宋体" w:hAnsi="宋体"/>
          <w:szCs w:val="24"/>
        </w:rPr>
        <w:t xml:space="preserve">    (3) “服务”系指根据合同规定乙方承担的新城地区防汛应急指挥系统运行维护服务项目的全部服务。</w:t>
      </w:r>
    </w:p>
    <w:p w14:paraId="2BE109FB">
      <w:pPr>
        <w:spacing w:line="360" w:lineRule="auto"/>
        <w:ind w:firstLine="480"/>
        <w:rPr>
          <w:rFonts w:ascii="宋体" w:hAnsi="宋体"/>
          <w:szCs w:val="24"/>
        </w:rPr>
      </w:pPr>
      <w:r>
        <w:rPr>
          <w:rFonts w:hint="eastAsia" w:ascii="宋体" w:hAnsi="宋体"/>
          <w:szCs w:val="24"/>
        </w:rPr>
        <w:t xml:space="preserve">    (4) “甲方”系指</w:t>
      </w:r>
      <w:r>
        <w:rPr>
          <w:rFonts w:hint="eastAsia" w:ascii="宋体" w:hAnsi="宋体"/>
          <w:szCs w:val="24"/>
          <w:u w:val="single"/>
        </w:rPr>
        <w:t xml:space="preserve"> 北京市大兴区城市管理委员会。</w:t>
      </w:r>
    </w:p>
    <w:p w14:paraId="7CC14E67">
      <w:pPr>
        <w:spacing w:line="360" w:lineRule="auto"/>
        <w:ind w:firstLine="480"/>
        <w:rPr>
          <w:rFonts w:ascii="宋体" w:hAnsi="宋体"/>
          <w:szCs w:val="24"/>
        </w:rPr>
      </w:pPr>
      <w:r>
        <w:rPr>
          <w:rFonts w:hint="eastAsia" w:ascii="宋体" w:hAnsi="宋体"/>
          <w:szCs w:val="24"/>
        </w:rPr>
        <w:t xml:space="preserve">    (5) “乙方”系指根据合同规定提供服务的公司。</w:t>
      </w:r>
    </w:p>
    <w:p w14:paraId="5C90383B">
      <w:pPr>
        <w:spacing w:line="360" w:lineRule="auto"/>
        <w:ind w:firstLine="480"/>
        <w:rPr>
          <w:rFonts w:ascii="宋体" w:hAnsi="宋体"/>
          <w:szCs w:val="24"/>
        </w:rPr>
      </w:pPr>
      <w:r>
        <w:rPr>
          <w:rFonts w:hint="eastAsia" w:ascii="宋体" w:hAnsi="宋体"/>
          <w:szCs w:val="24"/>
        </w:rPr>
        <w:t xml:space="preserve">    (6) “现场”系指合同项下需要提供服务的地点。</w:t>
      </w:r>
    </w:p>
    <w:p w14:paraId="2F9C7792">
      <w:pPr>
        <w:spacing w:line="360" w:lineRule="auto"/>
        <w:ind w:firstLine="480"/>
        <w:rPr>
          <w:rFonts w:ascii="宋体" w:hAnsi="宋体"/>
          <w:szCs w:val="24"/>
        </w:rPr>
      </w:pPr>
      <w:bookmarkStart w:id="832" w:name="_Toc508365835"/>
      <w:r>
        <w:rPr>
          <w:rFonts w:hint="eastAsia" w:ascii="宋体" w:hAnsi="宋体"/>
          <w:szCs w:val="24"/>
        </w:rPr>
        <w:t>2. 服务标准</w:t>
      </w:r>
      <w:bookmarkEnd w:id="832"/>
    </w:p>
    <w:p w14:paraId="30292E2E">
      <w:pPr>
        <w:spacing w:line="360" w:lineRule="auto"/>
        <w:ind w:firstLine="480"/>
        <w:rPr>
          <w:rFonts w:ascii="宋体" w:hAnsi="宋体"/>
          <w:szCs w:val="24"/>
        </w:rPr>
      </w:pPr>
      <w:r>
        <w:rPr>
          <w:rFonts w:hint="eastAsia" w:ascii="宋体" w:hAnsi="宋体"/>
          <w:szCs w:val="24"/>
        </w:rPr>
        <w:t xml:space="preserve">  2.1提供的服务标准应与招标文件的规定相一致。</w:t>
      </w:r>
    </w:p>
    <w:p w14:paraId="46C585F8">
      <w:pPr>
        <w:spacing w:line="360" w:lineRule="auto"/>
        <w:ind w:firstLine="480"/>
        <w:rPr>
          <w:rFonts w:ascii="宋体" w:hAnsi="宋体"/>
          <w:szCs w:val="24"/>
        </w:rPr>
      </w:pPr>
      <w:r>
        <w:rPr>
          <w:rFonts w:hint="eastAsia" w:ascii="宋体" w:hAnsi="宋体"/>
          <w:szCs w:val="24"/>
        </w:rPr>
        <w:t xml:space="preserve">  2.2若招标文件中无相应说明，则以国家有关部门最新颁布的相关标准及规范为准。</w:t>
      </w:r>
    </w:p>
    <w:p w14:paraId="33C1D775">
      <w:pPr>
        <w:spacing w:line="360" w:lineRule="auto"/>
        <w:ind w:firstLine="480"/>
        <w:rPr>
          <w:rFonts w:ascii="宋体" w:hAnsi="宋体"/>
          <w:szCs w:val="24"/>
        </w:rPr>
      </w:pPr>
      <w:r>
        <w:rPr>
          <w:rFonts w:hint="eastAsia" w:ascii="宋体" w:hAnsi="宋体"/>
          <w:szCs w:val="24"/>
        </w:rPr>
        <w:t xml:space="preserve"> </w:t>
      </w:r>
      <w:r>
        <w:rPr>
          <w:rFonts w:ascii="宋体" w:hAnsi="宋体"/>
          <w:szCs w:val="24"/>
        </w:rPr>
        <w:t xml:space="preserve"> 2.3</w:t>
      </w:r>
      <w:r>
        <w:rPr>
          <w:rFonts w:hint="eastAsia" w:ascii="宋体" w:hAnsi="宋体"/>
          <w:szCs w:val="24"/>
        </w:rPr>
        <w:t>若备品备件超出需更换数量，超出部分甲方不予承担其产生的费用。但乙方可根据历年的实际维修情况，适当调整备品备件的选购数量，以保证设备的完整性和可用性。</w:t>
      </w:r>
    </w:p>
    <w:p w14:paraId="3168D743">
      <w:pPr>
        <w:spacing w:line="360" w:lineRule="auto"/>
        <w:ind w:firstLine="480"/>
        <w:rPr>
          <w:rFonts w:ascii="宋体" w:hAnsi="宋体"/>
          <w:szCs w:val="24"/>
        </w:rPr>
      </w:pPr>
      <w:bookmarkStart w:id="833" w:name="_Toc508365836"/>
      <w:r>
        <w:rPr>
          <w:rFonts w:hint="eastAsia" w:ascii="宋体" w:hAnsi="宋体"/>
          <w:szCs w:val="24"/>
        </w:rPr>
        <w:t>3. 付款方式</w:t>
      </w:r>
      <w:bookmarkEnd w:id="833"/>
    </w:p>
    <w:p w14:paraId="03FE1297">
      <w:pPr>
        <w:spacing w:line="360" w:lineRule="auto"/>
        <w:ind w:firstLine="480"/>
        <w:rPr>
          <w:rFonts w:ascii="宋体" w:hAnsi="宋体"/>
          <w:szCs w:val="24"/>
        </w:rPr>
      </w:pPr>
      <w:r>
        <w:rPr>
          <w:rFonts w:hint="eastAsia" w:ascii="宋体" w:hAnsi="宋体"/>
          <w:szCs w:val="24"/>
        </w:rPr>
        <w:t>合同签订后预付</w:t>
      </w:r>
      <w:r>
        <w:rPr>
          <w:rFonts w:ascii="宋体" w:hAnsi="宋体"/>
          <w:szCs w:val="24"/>
        </w:rPr>
        <w:t>40</w:t>
      </w:r>
      <w:r>
        <w:rPr>
          <w:rFonts w:hint="eastAsia" w:ascii="宋体" w:hAnsi="宋体"/>
          <w:szCs w:val="24"/>
        </w:rPr>
        <w:t>%预付款，汛期结束后付至合同额的</w:t>
      </w:r>
      <w:r>
        <w:rPr>
          <w:rFonts w:ascii="宋体" w:hAnsi="宋体"/>
          <w:szCs w:val="24"/>
        </w:rPr>
        <w:t>7</w:t>
      </w:r>
      <w:r>
        <w:rPr>
          <w:rFonts w:hint="eastAsia" w:ascii="宋体" w:hAnsi="宋体"/>
          <w:szCs w:val="24"/>
        </w:rPr>
        <w:t>0%，剩余合同款至服务期结束后按照考核结果进行支付统一支付。</w:t>
      </w:r>
    </w:p>
    <w:p w14:paraId="147FD1A0">
      <w:pPr>
        <w:spacing w:line="360" w:lineRule="auto"/>
        <w:ind w:firstLine="480"/>
        <w:rPr>
          <w:rFonts w:ascii="宋体" w:hAnsi="宋体"/>
          <w:szCs w:val="24"/>
        </w:rPr>
      </w:pPr>
      <w:bookmarkStart w:id="834" w:name="_Toc508365837"/>
      <w:r>
        <w:rPr>
          <w:rFonts w:hint="eastAsia" w:ascii="宋体" w:hAnsi="宋体"/>
          <w:szCs w:val="24"/>
        </w:rPr>
        <w:t>4. 质量保证及检验</w:t>
      </w:r>
      <w:bookmarkEnd w:id="834"/>
    </w:p>
    <w:p w14:paraId="14BE8DA9">
      <w:pPr>
        <w:spacing w:line="360" w:lineRule="auto"/>
        <w:ind w:firstLine="480"/>
        <w:rPr>
          <w:rFonts w:ascii="宋体" w:hAnsi="宋体"/>
          <w:szCs w:val="24"/>
        </w:rPr>
      </w:pPr>
      <w:r>
        <w:rPr>
          <w:rFonts w:hint="eastAsia" w:ascii="宋体" w:hAnsi="宋体"/>
          <w:szCs w:val="24"/>
        </w:rPr>
        <w:t xml:space="preserve">  4.1 乙方应按照甲方指定的时间提供服务。</w:t>
      </w:r>
    </w:p>
    <w:p w14:paraId="24A822AB">
      <w:pPr>
        <w:spacing w:line="360" w:lineRule="auto"/>
        <w:ind w:firstLine="480"/>
        <w:rPr>
          <w:rFonts w:ascii="宋体" w:hAnsi="宋体"/>
          <w:szCs w:val="24"/>
        </w:rPr>
      </w:pPr>
      <w:r>
        <w:rPr>
          <w:rFonts w:hint="eastAsia" w:ascii="宋体" w:hAnsi="宋体"/>
          <w:szCs w:val="24"/>
        </w:rPr>
        <w:t xml:space="preserve">  4.2 在履行合同过程中，如果乙方遇到不能按时提供服务的情况，应及时以书面形式将不能按时提供服务的理由、延误时间通知甲方。甲方在收到乙方通知后，应进行分析，如果同意，可通过修改合同，酌情延长提供服务时间。</w:t>
      </w:r>
      <w:r>
        <w:rPr>
          <w:rFonts w:hint="eastAsia" w:ascii="宋体" w:hAnsi="宋体"/>
          <w:color w:val="000000"/>
          <w:szCs w:val="24"/>
        </w:rPr>
        <w:t>若甲方不同意，可下调绩效评分并通过绩效考评的方式决定项目尾款的支付比例。</w:t>
      </w:r>
    </w:p>
    <w:p w14:paraId="395B9D24">
      <w:pPr>
        <w:spacing w:line="360" w:lineRule="auto"/>
        <w:ind w:firstLine="480"/>
        <w:rPr>
          <w:rFonts w:ascii="宋体" w:hAnsi="宋体"/>
          <w:szCs w:val="24"/>
        </w:rPr>
      </w:pPr>
      <w:r>
        <w:rPr>
          <w:rFonts w:hint="eastAsia" w:ascii="宋体" w:hAnsi="宋体"/>
          <w:szCs w:val="24"/>
        </w:rPr>
        <w:t xml:space="preserve">  4.3 如果乙方毫无理由地拖延提供服务的时间，将受到以下制裁:违约损失赔偿或终止合同。</w:t>
      </w:r>
    </w:p>
    <w:p w14:paraId="3EB89FCB">
      <w:pPr>
        <w:spacing w:line="360" w:lineRule="auto"/>
        <w:ind w:firstLine="480"/>
        <w:rPr>
          <w:rFonts w:ascii="宋体" w:hAnsi="宋体"/>
          <w:szCs w:val="24"/>
        </w:rPr>
      </w:pPr>
      <w:bookmarkStart w:id="835" w:name="_Toc508365838"/>
      <w:r>
        <w:rPr>
          <w:rFonts w:hint="eastAsia" w:ascii="宋体" w:hAnsi="宋体"/>
          <w:szCs w:val="24"/>
        </w:rPr>
        <w:t>5. 违约赔偿</w:t>
      </w:r>
      <w:bookmarkEnd w:id="835"/>
    </w:p>
    <w:p w14:paraId="5CE82FF2">
      <w:pPr>
        <w:spacing w:line="360" w:lineRule="auto"/>
        <w:ind w:firstLine="630" w:firstLineChars="300"/>
        <w:rPr>
          <w:rFonts w:ascii="宋体" w:hAnsi="宋体"/>
          <w:szCs w:val="24"/>
        </w:rPr>
      </w:pPr>
      <w:r>
        <w:rPr>
          <w:rFonts w:hint="eastAsia" w:ascii="宋体" w:hAnsi="宋体"/>
          <w:szCs w:val="24"/>
        </w:rPr>
        <w:t>5.1 除合同第6条规定外， 如果乙方没有按照合同规定的服务标准提供服务，甲方可从应付服务费中扣除违约赔偿费，赔偿费应按每迟提供服务一天，按应付服务费总价的0.5％计收。 但违约赔偿费的最高限额为应付服务费总价的5％。如果乙方在达到最高限额后仍不能提供服务，甲方可考虑终止合同。</w:t>
      </w:r>
    </w:p>
    <w:p w14:paraId="017DBD7C">
      <w:pPr>
        <w:spacing w:line="360" w:lineRule="auto"/>
        <w:ind w:firstLine="480"/>
        <w:rPr>
          <w:rFonts w:ascii="宋体" w:hAnsi="宋体"/>
          <w:szCs w:val="24"/>
        </w:rPr>
      </w:pPr>
      <w:bookmarkStart w:id="836" w:name="_Toc508365839"/>
      <w:r>
        <w:rPr>
          <w:rFonts w:hint="eastAsia" w:ascii="宋体" w:hAnsi="宋体"/>
          <w:szCs w:val="24"/>
        </w:rPr>
        <w:t>6. 不可抗力</w:t>
      </w:r>
      <w:bookmarkEnd w:id="836"/>
    </w:p>
    <w:p w14:paraId="4491A27F">
      <w:pPr>
        <w:spacing w:line="360" w:lineRule="auto"/>
        <w:ind w:firstLine="630" w:firstLineChars="300"/>
        <w:rPr>
          <w:rFonts w:ascii="宋体" w:hAnsi="宋体"/>
          <w:szCs w:val="24"/>
        </w:rPr>
      </w:pPr>
      <w:r>
        <w:rPr>
          <w:rFonts w:hint="eastAsia" w:ascii="宋体" w:hAnsi="宋体"/>
          <w:szCs w:val="24"/>
        </w:rPr>
        <w:t>6.1 如果双方中任何一方由于战争、严重火灾、水灾、台风和地震以及其它经双方同意属于不可抗力的事故，致使合同履行受阻时，履行合同的期限应予延长，延长的期限应相当于事故所影响的时间。</w:t>
      </w:r>
    </w:p>
    <w:p w14:paraId="0B950597">
      <w:pPr>
        <w:spacing w:line="360" w:lineRule="auto"/>
        <w:ind w:firstLine="630" w:firstLineChars="300"/>
        <w:rPr>
          <w:rFonts w:ascii="宋体" w:hAnsi="宋体"/>
          <w:szCs w:val="24"/>
        </w:rPr>
      </w:pPr>
      <w:r>
        <w:rPr>
          <w:rFonts w:hint="eastAsia" w:ascii="宋体" w:hAnsi="宋体"/>
          <w:szCs w:val="24"/>
        </w:rPr>
        <w:t>6.2 受事故影响的一方应在不可抗力的事故发生后尽快以电报或电传通知另一方，并在事故发生后14天内，将有关部门出具的证明文件用挂号信航寄给或送给另一方。如果不可抗力影响时间延续120天以上的， 双方应通过友好协商在合理的时间内达成进一步履行合同的协议。</w:t>
      </w:r>
    </w:p>
    <w:p w14:paraId="41CF9C03">
      <w:pPr>
        <w:spacing w:line="360" w:lineRule="auto"/>
        <w:ind w:firstLine="480"/>
        <w:rPr>
          <w:rFonts w:ascii="宋体" w:hAnsi="宋体"/>
          <w:szCs w:val="24"/>
        </w:rPr>
      </w:pPr>
      <w:bookmarkStart w:id="837" w:name="_Toc508365840"/>
      <w:r>
        <w:rPr>
          <w:rFonts w:hint="eastAsia" w:ascii="宋体" w:hAnsi="宋体"/>
          <w:szCs w:val="24"/>
        </w:rPr>
        <w:t>7. 税费</w:t>
      </w:r>
      <w:bookmarkEnd w:id="837"/>
    </w:p>
    <w:p w14:paraId="30647229">
      <w:pPr>
        <w:spacing w:line="360" w:lineRule="auto"/>
        <w:ind w:firstLine="630" w:firstLineChars="300"/>
        <w:rPr>
          <w:rFonts w:ascii="宋体" w:hAnsi="宋体"/>
          <w:szCs w:val="24"/>
        </w:rPr>
      </w:pPr>
      <w:r>
        <w:rPr>
          <w:rFonts w:hint="eastAsia" w:ascii="宋体" w:hAnsi="宋体"/>
          <w:szCs w:val="24"/>
        </w:rPr>
        <w:t>7.1 根据国家现行税法对甲方征收的与本合同有关的一切税费均由甲方负担。</w:t>
      </w:r>
    </w:p>
    <w:p w14:paraId="0BCDD4D7">
      <w:pPr>
        <w:spacing w:line="360" w:lineRule="auto"/>
        <w:ind w:firstLine="630" w:firstLineChars="300"/>
        <w:rPr>
          <w:rFonts w:ascii="宋体" w:hAnsi="宋体"/>
          <w:szCs w:val="24"/>
        </w:rPr>
      </w:pPr>
      <w:r>
        <w:rPr>
          <w:rFonts w:hint="eastAsia" w:ascii="宋体" w:hAnsi="宋体"/>
          <w:szCs w:val="24"/>
        </w:rPr>
        <w:t>7.2 根据国家现行税法对乙方征收的与本合同有关的一切税费均由乙方负担。</w:t>
      </w:r>
    </w:p>
    <w:p w14:paraId="62898448">
      <w:pPr>
        <w:spacing w:line="360" w:lineRule="auto"/>
        <w:ind w:firstLine="480"/>
        <w:rPr>
          <w:rFonts w:ascii="宋体" w:hAnsi="宋体"/>
          <w:szCs w:val="24"/>
        </w:rPr>
      </w:pPr>
      <w:bookmarkStart w:id="838" w:name="_Toc508365841"/>
      <w:r>
        <w:rPr>
          <w:rFonts w:hint="eastAsia" w:ascii="宋体" w:hAnsi="宋体"/>
          <w:szCs w:val="24"/>
        </w:rPr>
        <w:t>8. 履约保证金或保函（不适用）</w:t>
      </w:r>
      <w:bookmarkEnd w:id="838"/>
    </w:p>
    <w:p w14:paraId="53597C7A">
      <w:pPr>
        <w:spacing w:line="360" w:lineRule="auto"/>
        <w:ind w:firstLine="630" w:firstLineChars="300"/>
        <w:rPr>
          <w:rFonts w:ascii="宋体" w:hAnsi="宋体"/>
          <w:szCs w:val="24"/>
        </w:rPr>
      </w:pPr>
      <w:r>
        <w:rPr>
          <w:rFonts w:hint="eastAsia" w:ascii="宋体" w:hAnsi="宋体"/>
          <w:szCs w:val="24"/>
        </w:rPr>
        <w:t>8.1乙方应在合同签订后 3 天内，向甲方提交合同金额</w:t>
      </w:r>
      <w:r>
        <w:rPr>
          <w:rFonts w:hint="eastAsia" w:ascii="宋体" w:hAnsi="宋体"/>
          <w:szCs w:val="24"/>
          <w:u w:val="single"/>
        </w:rPr>
        <w:t xml:space="preserve">  /  </w:t>
      </w:r>
      <w:r>
        <w:rPr>
          <w:rFonts w:hint="eastAsia" w:ascii="宋体" w:hAnsi="宋体"/>
          <w:szCs w:val="24"/>
        </w:rPr>
        <w:t>履约保证金或保函。有效期为一年，期满后的10个工作日内，甲方将履约保证金无息退还乙方。</w:t>
      </w:r>
    </w:p>
    <w:p w14:paraId="6D513941">
      <w:pPr>
        <w:spacing w:line="360" w:lineRule="auto"/>
        <w:ind w:firstLine="630" w:firstLineChars="300"/>
        <w:rPr>
          <w:rFonts w:ascii="宋体" w:hAnsi="宋体"/>
          <w:szCs w:val="24"/>
        </w:rPr>
      </w:pPr>
      <w:r>
        <w:rPr>
          <w:rFonts w:hint="eastAsia" w:ascii="宋体" w:hAnsi="宋体"/>
          <w:szCs w:val="24"/>
        </w:rPr>
        <w:t>8.2 履约保证金用于补偿甲方因乙方不能履行其合同义务而蒙受的损失。</w:t>
      </w:r>
    </w:p>
    <w:p w14:paraId="0621F6C6">
      <w:pPr>
        <w:spacing w:line="360" w:lineRule="auto"/>
        <w:ind w:firstLine="630" w:firstLineChars="300"/>
        <w:rPr>
          <w:rFonts w:ascii="宋体" w:hAnsi="宋体"/>
          <w:szCs w:val="24"/>
        </w:rPr>
      </w:pPr>
      <w:r>
        <w:rPr>
          <w:rFonts w:hint="eastAsia" w:ascii="宋体" w:hAnsi="宋体"/>
          <w:szCs w:val="24"/>
        </w:rPr>
        <w:t>8.3 履约保证金应使用本合同货币（人民币），按下述方式之一提交：</w:t>
      </w:r>
    </w:p>
    <w:p w14:paraId="0CD8B1E4">
      <w:pPr>
        <w:spacing w:line="360" w:lineRule="auto"/>
        <w:ind w:firstLine="735" w:firstLineChars="350"/>
        <w:rPr>
          <w:rFonts w:ascii="宋体" w:hAnsi="宋体"/>
          <w:szCs w:val="24"/>
        </w:rPr>
      </w:pPr>
      <w:r>
        <w:rPr>
          <w:rFonts w:hint="eastAsia" w:ascii="宋体" w:hAnsi="宋体"/>
          <w:szCs w:val="24"/>
        </w:rPr>
        <w:t xml:space="preserve">8.3.1 </w:t>
      </w:r>
      <w:r>
        <w:rPr>
          <w:rFonts w:hint="eastAsia" w:ascii="宋体" w:hAnsi="宋体"/>
          <w:szCs w:val="24"/>
          <w:u w:val="single"/>
        </w:rPr>
        <w:t>甲方</w:t>
      </w:r>
      <w:r>
        <w:rPr>
          <w:rFonts w:hint="eastAsia" w:ascii="宋体" w:hAnsi="宋体"/>
          <w:szCs w:val="24"/>
        </w:rPr>
        <w:t>可接受的在中华人民共和国注册和营业的银行，按招标文件提供的方式或</w:t>
      </w:r>
      <w:r>
        <w:rPr>
          <w:rFonts w:hint="eastAsia" w:ascii="宋体" w:hAnsi="宋体"/>
          <w:szCs w:val="24"/>
          <w:u w:val="single"/>
        </w:rPr>
        <w:t>甲方</w:t>
      </w:r>
      <w:r>
        <w:rPr>
          <w:rFonts w:hint="eastAsia" w:ascii="宋体" w:hAnsi="宋体"/>
          <w:szCs w:val="24"/>
        </w:rPr>
        <w:t>可接受的其他方式。</w:t>
      </w:r>
    </w:p>
    <w:p w14:paraId="62DC85DF">
      <w:pPr>
        <w:spacing w:line="360" w:lineRule="auto"/>
        <w:ind w:firstLine="735" w:firstLineChars="350"/>
        <w:rPr>
          <w:rFonts w:ascii="宋体" w:hAnsi="宋体"/>
          <w:szCs w:val="24"/>
        </w:rPr>
      </w:pPr>
      <w:r>
        <w:rPr>
          <w:rFonts w:hint="eastAsia" w:ascii="宋体" w:hAnsi="宋体"/>
          <w:szCs w:val="24"/>
        </w:rPr>
        <w:t>8.3.2 支票、汇票、现金或保函等。</w:t>
      </w:r>
    </w:p>
    <w:p w14:paraId="29430B42">
      <w:pPr>
        <w:spacing w:line="360" w:lineRule="auto"/>
        <w:ind w:firstLine="630" w:firstLineChars="300"/>
        <w:rPr>
          <w:rFonts w:ascii="宋体" w:hAnsi="宋体"/>
          <w:szCs w:val="24"/>
        </w:rPr>
      </w:pPr>
      <w:r>
        <w:rPr>
          <w:rFonts w:hint="eastAsia" w:ascii="宋体" w:hAnsi="宋体"/>
          <w:szCs w:val="24"/>
        </w:rPr>
        <w:t>8.4如果乙方未能按合同规定履行其义务，甲方有权向政府采购中心提出书面建议，要求从取得补偿。</w:t>
      </w:r>
    </w:p>
    <w:p w14:paraId="240D7FE9">
      <w:pPr>
        <w:spacing w:line="360" w:lineRule="auto"/>
        <w:ind w:firstLine="630" w:firstLineChars="300"/>
        <w:rPr>
          <w:rFonts w:ascii="宋体" w:hAnsi="宋体"/>
          <w:szCs w:val="24"/>
        </w:rPr>
      </w:pPr>
      <w:r>
        <w:rPr>
          <w:rFonts w:hint="eastAsia" w:ascii="宋体" w:hAnsi="宋体"/>
          <w:szCs w:val="24"/>
        </w:rPr>
        <w:t>8.5 乙方提供的履约保证金应按谈判文件所附的格式提供，与此有关的费用由乙方负担。</w:t>
      </w:r>
    </w:p>
    <w:p w14:paraId="541D2BC4">
      <w:pPr>
        <w:spacing w:line="360" w:lineRule="auto"/>
        <w:ind w:firstLine="480"/>
        <w:rPr>
          <w:rFonts w:ascii="宋体" w:hAnsi="宋体"/>
          <w:szCs w:val="24"/>
        </w:rPr>
      </w:pPr>
      <w:bookmarkStart w:id="839" w:name="_Toc508365842"/>
      <w:r>
        <w:rPr>
          <w:rFonts w:hint="eastAsia" w:ascii="宋体" w:hAnsi="宋体"/>
          <w:szCs w:val="24"/>
        </w:rPr>
        <w:t>9. 合同争议的解决</w:t>
      </w:r>
      <w:bookmarkEnd w:id="839"/>
    </w:p>
    <w:p w14:paraId="2CE0BD66">
      <w:pPr>
        <w:spacing w:line="360" w:lineRule="auto"/>
        <w:ind w:firstLine="630" w:firstLineChars="300"/>
        <w:rPr>
          <w:rFonts w:ascii="宋体" w:hAnsi="宋体"/>
          <w:szCs w:val="24"/>
        </w:rPr>
      </w:pPr>
      <w:r>
        <w:rPr>
          <w:rFonts w:hint="eastAsia" w:ascii="宋体" w:hAnsi="宋体"/>
          <w:szCs w:val="24"/>
        </w:rPr>
        <w:t>9.1 因合同履行中发生的争议，合同当事人双方可通过协商解决。协商不成的，可向大兴区人民法院提起诉讼或提请北京市仲裁委员会仲裁。</w:t>
      </w:r>
    </w:p>
    <w:p w14:paraId="190955B3">
      <w:pPr>
        <w:spacing w:line="360" w:lineRule="auto"/>
        <w:ind w:firstLine="630" w:firstLineChars="300"/>
        <w:rPr>
          <w:rFonts w:ascii="宋体" w:hAnsi="宋体"/>
          <w:szCs w:val="24"/>
        </w:rPr>
      </w:pPr>
      <w:r>
        <w:rPr>
          <w:rFonts w:hint="eastAsia" w:ascii="宋体" w:hAnsi="宋体"/>
          <w:szCs w:val="24"/>
        </w:rPr>
        <w:t>9.2 仲裁裁决应为最终裁决，当事人一方在规定时间内不履行仲裁机构裁决的，另一方可以申请人民法院强制执行。</w:t>
      </w:r>
    </w:p>
    <w:p w14:paraId="46B72834">
      <w:pPr>
        <w:spacing w:line="360" w:lineRule="auto"/>
        <w:ind w:firstLine="630" w:firstLineChars="300"/>
        <w:rPr>
          <w:rFonts w:ascii="宋体" w:hAnsi="宋体"/>
          <w:szCs w:val="24"/>
        </w:rPr>
      </w:pPr>
      <w:r>
        <w:rPr>
          <w:rFonts w:hint="eastAsia" w:ascii="宋体" w:hAnsi="宋体"/>
          <w:szCs w:val="24"/>
        </w:rPr>
        <w:t>9.3  仲裁费用和诉讼费用除仲裁机构另有裁决外，应由败诉方负担。</w:t>
      </w:r>
    </w:p>
    <w:p w14:paraId="7B3DC853">
      <w:pPr>
        <w:spacing w:line="360" w:lineRule="auto"/>
        <w:ind w:firstLine="630" w:firstLineChars="300"/>
        <w:rPr>
          <w:rFonts w:ascii="宋体" w:hAnsi="宋体"/>
          <w:szCs w:val="24"/>
        </w:rPr>
      </w:pPr>
      <w:r>
        <w:rPr>
          <w:rFonts w:hint="eastAsia" w:ascii="宋体" w:hAnsi="宋体"/>
          <w:szCs w:val="24"/>
        </w:rPr>
        <w:t>9.4 在仲裁期间，除正在进行仲裁的部分外，本合同其它部分应继续执行。</w:t>
      </w:r>
    </w:p>
    <w:p w14:paraId="350DA052">
      <w:pPr>
        <w:spacing w:line="360" w:lineRule="auto"/>
        <w:ind w:firstLine="480"/>
        <w:rPr>
          <w:rFonts w:ascii="宋体" w:hAnsi="宋体"/>
          <w:szCs w:val="24"/>
        </w:rPr>
      </w:pPr>
      <w:bookmarkStart w:id="840" w:name="_Toc508365843"/>
      <w:r>
        <w:rPr>
          <w:rFonts w:hint="eastAsia" w:ascii="宋体" w:hAnsi="宋体"/>
          <w:szCs w:val="24"/>
        </w:rPr>
        <w:t>10. 违约终止合同</w:t>
      </w:r>
      <w:bookmarkEnd w:id="840"/>
    </w:p>
    <w:p w14:paraId="27D7C6D0">
      <w:pPr>
        <w:spacing w:line="360" w:lineRule="auto"/>
        <w:ind w:firstLine="480"/>
        <w:rPr>
          <w:rFonts w:ascii="宋体" w:hAnsi="宋体"/>
          <w:szCs w:val="24"/>
        </w:rPr>
      </w:pPr>
      <w:r>
        <w:rPr>
          <w:rFonts w:hint="eastAsia" w:ascii="宋体" w:hAnsi="宋体"/>
          <w:szCs w:val="24"/>
        </w:rPr>
        <w:t>甲方在乙方违约的情况下，如果：</w:t>
      </w:r>
    </w:p>
    <w:p w14:paraId="405DAB3D">
      <w:pPr>
        <w:spacing w:line="360" w:lineRule="auto"/>
        <w:ind w:firstLine="480"/>
        <w:rPr>
          <w:rFonts w:ascii="宋体" w:hAnsi="宋体"/>
          <w:szCs w:val="24"/>
        </w:rPr>
      </w:pPr>
      <w:r>
        <w:rPr>
          <w:rFonts w:hint="eastAsia" w:ascii="宋体" w:hAnsi="宋体"/>
          <w:szCs w:val="24"/>
        </w:rPr>
        <w:t xml:space="preserve"> (1) 乙方未能在合同规定的限期或甲方同意延长的限期内入驻和提供服务; </w:t>
      </w:r>
    </w:p>
    <w:p w14:paraId="0DCDEA80">
      <w:pPr>
        <w:spacing w:line="360" w:lineRule="auto"/>
        <w:ind w:firstLine="480"/>
        <w:rPr>
          <w:rFonts w:ascii="宋体" w:hAnsi="宋体"/>
          <w:szCs w:val="24"/>
        </w:rPr>
      </w:pPr>
      <w:r>
        <w:rPr>
          <w:rFonts w:hint="eastAsia" w:ascii="宋体" w:hAnsi="宋体"/>
          <w:szCs w:val="24"/>
        </w:rPr>
        <w:t xml:space="preserve"> (2) 如果乙方未能履行合同规定的其它义务，乙方在收到甲方发出的违约通知后30天内，或经甲方书面认可延长的时间内未能纠正其过失。甲方可向乙方发出书面通知，终止部分或全部合同。</w:t>
      </w:r>
    </w:p>
    <w:p w14:paraId="32FEB61B">
      <w:pPr>
        <w:spacing w:line="360" w:lineRule="auto"/>
        <w:ind w:firstLine="480"/>
        <w:rPr>
          <w:rFonts w:ascii="宋体" w:hAnsi="宋体"/>
          <w:szCs w:val="24"/>
        </w:rPr>
      </w:pPr>
      <w:r>
        <w:rPr>
          <w:rFonts w:hint="eastAsia" w:ascii="宋体" w:hAnsi="宋体"/>
          <w:szCs w:val="24"/>
        </w:rPr>
        <w:t xml:space="preserve">    在以上情况下，并不影响甲方向乙方提出相应的索赔。</w:t>
      </w:r>
    </w:p>
    <w:p w14:paraId="1CD818E4">
      <w:pPr>
        <w:spacing w:line="360" w:lineRule="auto"/>
        <w:ind w:firstLine="480"/>
        <w:rPr>
          <w:rFonts w:ascii="宋体" w:hAnsi="宋体"/>
          <w:szCs w:val="24"/>
        </w:rPr>
      </w:pPr>
      <w:bookmarkStart w:id="841" w:name="_Toc508365844"/>
      <w:r>
        <w:rPr>
          <w:rFonts w:hint="eastAsia" w:ascii="宋体" w:hAnsi="宋体"/>
          <w:szCs w:val="24"/>
        </w:rPr>
        <w:t>11. 破产终止合同</w:t>
      </w:r>
      <w:bookmarkEnd w:id="841"/>
    </w:p>
    <w:p w14:paraId="60955605">
      <w:pPr>
        <w:spacing w:line="360" w:lineRule="auto"/>
        <w:ind w:firstLine="480"/>
        <w:rPr>
          <w:rFonts w:ascii="宋体" w:hAnsi="宋体"/>
          <w:szCs w:val="24"/>
        </w:rPr>
      </w:pPr>
      <w:r>
        <w:rPr>
          <w:rFonts w:hint="eastAsia" w:ascii="宋体" w:hAnsi="宋体"/>
          <w:szCs w:val="24"/>
        </w:rPr>
        <w:t xml:space="preserve">  11.1 如果乙方破产或无清偿能力时，甲方可在任何时候以书面通知乙方终止合同。该终止合同将不损害或影响甲方已经采取或将要采取的补救措施的权利。</w:t>
      </w:r>
    </w:p>
    <w:p w14:paraId="7F833662">
      <w:pPr>
        <w:spacing w:line="360" w:lineRule="auto"/>
        <w:ind w:firstLine="480"/>
        <w:rPr>
          <w:rFonts w:ascii="宋体" w:hAnsi="宋体"/>
          <w:szCs w:val="24"/>
        </w:rPr>
      </w:pPr>
      <w:bookmarkStart w:id="842" w:name="_Toc508365845"/>
      <w:r>
        <w:rPr>
          <w:rFonts w:hint="eastAsia" w:ascii="宋体" w:hAnsi="宋体"/>
          <w:szCs w:val="24"/>
        </w:rPr>
        <w:t>12. 转让和分包</w:t>
      </w:r>
      <w:bookmarkEnd w:id="842"/>
    </w:p>
    <w:p w14:paraId="27201167">
      <w:pPr>
        <w:spacing w:line="360" w:lineRule="auto"/>
        <w:ind w:firstLine="480"/>
        <w:rPr>
          <w:rFonts w:ascii="宋体" w:hAnsi="宋体"/>
          <w:szCs w:val="24"/>
        </w:rPr>
      </w:pPr>
      <w:r>
        <w:rPr>
          <w:rFonts w:hint="eastAsia" w:ascii="宋体" w:hAnsi="宋体"/>
          <w:szCs w:val="24"/>
        </w:rPr>
        <w:t xml:space="preserve">  12.1 未经甲方事先书面同意，乙方不得整体转让或整体分包其应履行的合同义务。</w:t>
      </w:r>
    </w:p>
    <w:p w14:paraId="3A001774">
      <w:pPr>
        <w:spacing w:line="360" w:lineRule="auto"/>
        <w:ind w:firstLine="480"/>
        <w:rPr>
          <w:rFonts w:ascii="宋体" w:hAnsi="宋体"/>
          <w:szCs w:val="24"/>
        </w:rPr>
      </w:pPr>
      <w:bookmarkStart w:id="843" w:name="_Toc508365846"/>
      <w:r>
        <w:rPr>
          <w:rFonts w:hint="eastAsia" w:ascii="宋体" w:hAnsi="宋体"/>
          <w:szCs w:val="24"/>
        </w:rPr>
        <w:t>13. 合同修改</w:t>
      </w:r>
      <w:bookmarkEnd w:id="843"/>
    </w:p>
    <w:p w14:paraId="1831FDBF">
      <w:pPr>
        <w:spacing w:line="360" w:lineRule="auto"/>
        <w:ind w:firstLine="480"/>
        <w:rPr>
          <w:rFonts w:ascii="宋体" w:hAnsi="宋体"/>
          <w:szCs w:val="24"/>
        </w:rPr>
      </w:pPr>
      <w:r>
        <w:rPr>
          <w:rFonts w:hint="eastAsia" w:ascii="宋体" w:hAnsi="宋体"/>
          <w:szCs w:val="24"/>
        </w:rPr>
        <w:t xml:space="preserve">  13.1 欲对合同条款进行任何改动，均须由甲乙双方签署书面的合同修改书。</w:t>
      </w:r>
    </w:p>
    <w:p w14:paraId="336ADECA">
      <w:pPr>
        <w:spacing w:line="360" w:lineRule="auto"/>
        <w:ind w:firstLine="480"/>
        <w:rPr>
          <w:rFonts w:ascii="宋体" w:hAnsi="宋体"/>
          <w:szCs w:val="24"/>
        </w:rPr>
      </w:pPr>
      <w:r>
        <w:rPr>
          <w:rFonts w:hint="eastAsia" w:ascii="宋体" w:hAnsi="宋体"/>
          <w:szCs w:val="24"/>
        </w:rPr>
        <w:t>14. 通知</w:t>
      </w:r>
    </w:p>
    <w:p w14:paraId="3981BE9B">
      <w:pPr>
        <w:spacing w:line="360" w:lineRule="auto"/>
        <w:ind w:firstLine="480"/>
        <w:rPr>
          <w:rFonts w:ascii="宋体" w:hAnsi="宋体"/>
          <w:szCs w:val="24"/>
        </w:rPr>
      </w:pPr>
      <w:r>
        <w:rPr>
          <w:rFonts w:hint="eastAsia" w:ascii="宋体" w:hAnsi="宋体"/>
          <w:szCs w:val="24"/>
        </w:rPr>
        <w:t xml:space="preserve">  14.1 本合同任何一方给另一方的通知，都应以书面或传真/电报的形式发送，而另一方应以书面形式确认并发送到对方明确的地址。</w:t>
      </w:r>
    </w:p>
    <w:p w14:paraId="1D557AAC">
      <w:pPr>
        <w:spacing w:line="360" w:lineRule="auto"/>
        <w:ind w:firstLine="480"/>
        <w:rPr>
          <w:rFonts w:ascii="宋体" w:hAnsi="宋体"/>
          <w:szCs w:val="24"/>
        </w:rPr>
      </w:pPr>
      <w:bookmarkStart w:id="844" w:name="_Toc508365847"/>
      <w:r>
        <w:rPr>
          <w:rFonts w:hint="eastAsia" w:ascii="宋体" w:hAnsi="宋体"/>
          <w:szCs w:val="24"/>
        </w:rPr>
        <w:t>15. 计量单位</w:t>
      </w:r>
      <w:bookmarkEnd w:id="844"/>
    </w:p>
    <w:p w14:paraId="57BB0CFF">
      <w:pPr>
        <w:spacing w:line="360" w:lineRule="auto"/>
        <w:ind w:firstLine="480"/>
        <w:rPr>
          <w:rFonts w:ascii="宋体" w:hAnsi="宋体"/>
          <w:szCs w:val="24"/>
        </w:rPr>
      </w:pPr>
      <w:r>
        <w:rPr>
          <w:rFonts w:hint="eastAsia" w:ascii="宋体" w:hAnsi="宋体"/>
          <w:szCs w:val="24"/>
        </w:rPr>
        <w:t xml:space="preserve">  15.1 除招标文件中另有规定外，计量单位均使用国家法定计量单位。</w:t>
      </w:r>
    </w:p>
    <w:p w14:paraId="15EEE3C7">
      <w:pPr>
        <w:spacing w:line="360" w:lineRule="auto"/>
        <w:ind w:firstLine="480"/>
        <w:rPr>
          <w:rFonts w:ascii="宋体" w:hAnsi="宋体"/>
          <w:szCs w:val="24"/>
        </w:rPr>
      </w:pPr>
      <w:bookmarkStart w:id="845" w:name="_Toc508365848"/>
      <w:r>
        <w:rPr>
          <w:rFonts w:hint="eastAsia" w:ascii="宋体" w:hAnsi="宋体"/>
          <w:szCs w:val="24"/>
        </w:rPr>
        <w:t>16. 适用法律</w:t>
      </w:r>
      <w:bookmarkEnd w:id="845"/>
    </w:p>
    <w:p w14:paraId="53320901">
      <w:pPr>
        <w:spacing w:line="360" w:lineRule="auto"/>
        <w:ind w:firstLine="735" w:firstLineChars="350"/>
        <w:rPr>
          <w:rFonts w:ascii="宋体" w:hAnsi="宋体"/>
          <w:szCs w:val="24"/>
        </w:rPr>
      </w:pPr>
      <w:r>
        <w:rPr>
          <w:rFonts w:hint="eastAsia" w:ascii="宋体" w:hAnsi="宋体"/>
          <w:szCs w:val="24"/>
        </w:rPr>
        <w:t>16.1 本合同应按照中华人民共和国的法律进行解释。</w:t>
      </w:r>
    </w:p>
    <w:p w14:paraId="1578F4C5">
      <w:pPr>
        <w:spacing w:line="360" w:lineRule="auto"/>
        <w:ind w:firstLine="480"/>
        <w:rPr>
          <w:rFonts w:ascii="宋体" w:hAnsi="宋体"/>
          <w:szCs w:val="24"/>
        </w:rPr>
      </w:pPr>
      <w:bookmarkStart w:id="846" w:name="_Toc508365849"/>
      <w:r>
        <w:rPr>
          <w:rFonts w:hint="eastAsia" w:ascii="宋体" w:hAnsi="宋体"/>
          <w:szCs w:val="24"/>
        </w:rPr>
        <w:t>17. 合同生效及其它</w:t>
      </w:r>
      <w:bookmarkEnd w:id="846"/>
    </w:p>
    <w:p w14:paraId="5994ADD0">
      <w:pPr>
        <w:spacing w:line="360" w:lineRule="auto"/>
        <w:ind w:firstLine="630" w:firstLineChars="300"/>
        <w:rPr>
          <w:rFonts w:ascii="宋体" w:hAnsi="宋体"/>
          <w:szCs w:val="24"/>
        </w:rPr>
      </w:pPr>
      <w:r>
        <w:rPr>
          <w:rFonts w:hint="eastAsia" w:ascii="宋体" w:hAnsi="宋体"/>
          <w:szCs w:val="24"/>
        </w:rPr>
        <w:t>17.1 合同应在双方签字盖章后开始生效。</w:t>
      </w:r>
    </w:p>
    <w:p w14:paraId="6545FCA4">
      <w:pPr>
        <w:spacing w:line="360" w:lineRule="auto"/>
        <w:ind w:firstLine="630" w:firstLineChars="300"/>
        <w:rPr>
          <w:rFonts w:ascii="宋体" w:hAnsi="宋体"/>
          <w:szCs w:val="24"/>
        </w:rPr>
      </w:pPr>
      <w:r>
        <w:rPr>
          <w:rFonts w:hint="eastAsia" w:ascii="宋体" w:hAnsi="宋体"/>
          <w:szCs w:val="24"/>
        </w:rPr>
        <w:t>17.2 本合同一式六份，以中文书写，具有同等法律效力。</w:t>
      </w:r>
    </w:p>
    <w:p w14:paraId="7C4F71B7">
      <w:pPr>
        <w:spacing w:line="360" w:lineRule="auto"/>
        <w:ind w:firstLine="630" w:firstLineChars="300"/>
        <w:rPr>
          <w:rFonts w:ascii="宋体" w:hAnsi="宋体"/>
          <w:szCs w:val="24"/>
        </w:rPr>
      </w:pPr>
      <w:r>
        <w:rPr>
          <w:rFonts w:hint="eastAsia" w:ascii="宋体" w:hAnsi="宋体"/>
          <w:szCs w:val="24"/>
        </w:rPr>
        <w:t>17.3 如需修改或补充合同内容，经协商，双方应签署书面修改或补充协议，该协议将作为本合同的一个组成部分。</w:t>
      </w:r>
    </w:p>
    <w:p w14:paraId="5D0707FB">
      <w:pPr>
        <w:spacing w:line="360" w:lineRule="auto"/>
        <w:ind w:firstLine="630" w:firstLineChars="300"/>
        <w:rPr>
          <w:rFonts w:ascii="宋体" w:hAnsi="宋体"/>
          <w:szCs w:val="24"/>
        </w:rPr>
      </w:pPr>
      <w:r>
        <w:rPr>
          <w:rFonts w:hint="eastAsia" w:ascii="宋体" w:hAnsi="宋体"/>
          <w:szCs w:val="24"/>
        </w:rPr>
        <w:t>17.4乙方须主动配合接受结果查究。</w:t>
      </w:r>
    </w:p>
    <w:p w14:paraId="425D8975">
      <w:pPr>
        <w:spacing w:line="360" w:lineRule="auto"/>
        <w:ind w:left="210" w:leftChars="100" w:firstLine="480"/>
        <w:rPr>
          <w:rFonts w:ascii="宋体" w:hAnsi="宋体"/>
          <w:szCs w:val="24"/>
        </w:rPr>
      </w:pPr>
      <w:r>
        <w:rPr>
          <w:rFonts w:hint="eastAsia" w:ascii="宋体" w:hAnsi="宋体"/>
          <w:szCs w:val="24"/>
        </w:rPr>
        <w:t>17.5本合同有效期自</w:t>
      </w:r>
      <w:r>
        <w:rPr>
          <w:rFonts w:hint="eastAsia" w:ascii="宋体" w:hAnsi="宋体"/>
          <w:szCs w:val="24"/>
          <w:u w:val="single"/>
        </w:rPr>
        <w:t xml:space="preserve"> </w:t>
      </w:r>
      <w:r>
        <w:rPr>
          <w:rFonts w:ascii="宋体" w:hAnsi="宋体"/>
          <w:szCs w:val="24"/>
          <w:u w:val="single"/>
        </w:rPr>
        <w:t xml:space="preserve">   </w:t>
      </w:r>
      <w:r>
        <w:rPr>
          <w:rFonts w:hint="eastAsia" w:ascii="宋体" w:hAnsi="宋体"/>
          <w:szCs w:val="24"/>
          <w:u w:val="single"/>
        </w:rPr>
        <w:t xml:space="preserve"> </w:t>
      </w:r>
      <w:r>
        <w:rPr>
          <w:rFonts w:hint="eastAsia" w:ascii="宋体" w:hAnsi="宋体"/>
          <w:szCs w:val="24"/>
        </w:rPr>
        <w:t>年</w:t>
      </w:r>
      <w:r>
        <w:rPr>
          <w:rFonts w:hint="eastAsia" w:ascii="宋体" w:hAnsi="宋体"/>
          <w:szCs w:val="24"/>
          <w:u w:val="single"/>
        </w:rPr>
        <w:t xml:space="preserve"> </w:t>
      </w:r>
      <w:r>
        <w:rPr>
          <w:rFonts w:ascii="宋体" w:hAnsi="宋体"/>
          <w:szCs w:val="24"/>
          <w:u w:val="single"/>
        </w:rPr>
        <w:t xml:space="preserve"> </w:t>
      </w:r>
      <w:r>
        <w:rPr>
          <w:rFonts w:hint="eastAsia" w:ascii="宋体" w:hAnsi="宋体"/>
          <w:szCs w:val="24"/>
          <w:u w:val="single"/>
        </w:rPr>
        <w:t xml:space="preserve">  </w:t>
      </w:r>
      <w:r>
        <w:rPr>
          <w:rFonts w:hint="eastAsia" w:ascii="宋体" w:hAnsi="宋体"/>
          <w:szCs w:val="24"/>
        </w:rPr>
        <w:t>月</w:t>
      </w:r>
      <w:r>
        <w:rPr>
          <w:rFonts w:hint="eastAsia" w:ascii="宋体" w:hAnsi="宋体"/>
          <w:szCs w:val="24"/>
          <w:u w:val="single"/>
        </w:rPr>
        <w:t xml:space="preserve"> </w:t>
      </w:r>
      <w:r>
        <w:rPr>
          <w:rFonts w:ascii="宋体" w:hAnsi="宋体"/>
          <w:szCs w:val="24"/>
          <w:u w:val="single"/>
        </w:rPr>
        <w:t xml:space="preserve">   </w:t>
      </w:r>
      <w:r>
        <w:rPr>
          <w:rFonts w:hint="eastAsia" w:ascii="宋体" w:hAnsi="宋体"/>
          <w:szCs w:val="24"/>
          <w:u w:val="single"/>
        </w:rPr>
        <w:t xml:space="preserve"> </w:t>
      </w:r>
      <w:r>
        <w:rPr>
          <w:rFonts w:hint="eastAsia" w:ascii="宋体" w:hAnsi="宋体"/>
          <w:szCs w:val="24"/>
        </w:rPr>
        <w:t>日起至</w:t>
      </w:r>
      <w:r>
        <w:rPr>
          <w:rFonts w:hint="eastAsia" w:ascii="宋体" w:hAnsi="宋体"/>
          <w:szCs w:val="24"/>
          <w:u w:val="single"/>
        </w:rPr>
        <w:t xml:space="preserve"> </w:t>
      </w:r>
      <w:r>
        <w:rPr>
          <w:rFonts w:ascii="宋体" w:hAnsi="宋体"/>
          <w:szCs w:val="24"/>
          <w:u w:val="single"/>
        </w:rPr>
        <w:t xml:space="preserve">  </w:t>
      </w:r>
      <w:r>
        <w:rPr>
          <w:rFonts w:hint="eastAsia" w:ascii="宋体" w:hAnsi="宋体"/>
          <w:szCs w:val="24"/>
          <w:u w:val="single"/>
        </w:rPr>
        <w:t xml:space="preserve">  </w:t>
      </w:r>
      <w:r>
        <w:rPr>
          <w:rFonts w:hint="eastAsia" w:ascii="宋体" w:hAnsi="宋体"/>
          <w:szCs w:val="24"/>
        </w:rPr>
        <w:t>年</w:t>
      </w:r>
      <w:r>
        <w:rPr>
          <w:rFonts w:hint="eastAsia" w:ascii="宋体" w:hAnsi="宋体"/>
          <w:szCs w:val="24"/>
          <w:u w:val="single"/>
        </w:rPr>
        <w:t xml:space="preserve"> </w:t>
      </w:r>
      <w:r>
        <w:rPr>
          <w:rFonts w:ascii="宋体" w:hAnsi="宋体"/>
          <w:szCs w:val="24"/>
          <w:u w:val="single"/>
        </w:rPr>
        <w:t xml:space="preserve">    </w:t>
      </w:r>
      <w:r>
        <w:rPr>
          <w:rFonts w:hint="eastAsia" w:ascii="宋体" w:hAnsi="宋体"/>
          <w:szCs w:val="24"/>
        </w:rPr>
        <w:t>月</w:t>
      </w:r>
      <w:r>
        <w:rPr>
          <w:rFonts w:hint="eastAsia" w:ascii="宋体" w:hAnsi="宋体"/>
          <w:szCs w:val="24"/>
          <w:u w:val="single"/>
        </w:rPr>
        <w:t xml:space="preserve">   </w:t>
      </w:r>
      <w:r>
        <w:rPr>
          <w:rFonts w:ascii="宋体" w:hAnsi="宋体"/>
          <w:szCs w:val="24"/>
          <w:u w:val="single"/>
        </w:rPr>
        <w:t xml:space="preserve"> </w:t>
      </w:r>
      <w:r>
        <w:rPr>
          <w:rFonts w:hint="eastAsia" w:ascii="宋体" w:hAnsi="宋体"/>
          <w:szCs w:val="24"/>
        </w:rPr>
        <w:t>日止。本合同于</w:t>
      </w:r>
      <w:r>
        <w:rPr>
          <w:rFonts w:hint="eastAsia" w:ascii="宋体" w:hAnsi="宋体"/>
          <w:szCs w:val="24"/>
          <w:u w:val="single"/>
        </w:rPr>
        <w:t xml:space="preserve"> </w:t>
      </w:r>
      <w:r>
        <w:rPr>
          <w:rFonts w:ascii="宋体" w:hAnsi="宋体"/>
          <w:szCs w:val="24"/>
          <w:u w:val="single"/>
        </w:rPr>
        <w:t xml:space="preserve">   </w:t>
      </w:r>
      <w:r>
        <w:rPr>
          <w:rFonts w:hint="eastAsia" w:ascii="宋体" w:hAnsi="宋体"/>
          <w:szCs w:val="24"/>
          <w:u w:val="single"/>
        </w:rPr>
        <w:t xml:space="preserve"> </w:t>
      </w:r>
      <w:r>
        <w:rPr>
          <w:rFonts w:hint="eastAsia" w:ascii="宋体" w:hAnsi="宋体"/>
          <w:szCs w:val="24"/>
        </w:rPr>
        <w:t>年</w:t>
      </w:r>
      <w:r>
        <w:rPr>
          <w:rFonts w:hint="eastAsia" w:ascii="宋体" w:hAnsi="宋体"/>
          <w:szCs w:val="24"/>
          <w:u w:val="single"/>
        </w:rPr>
        <w:t xml:space="preserve">  </w:t>
      </w:r>
      <w:r>
        <w:rPr>
          <w:rFonts w:ascii="宋体" w:hAnsi="宋体"/>
          <w:szCs w:val="24"/>
          <w:u w:val="single"/>
        </w:rPr>
        <w:t xml:space="preserve">  </w:t>
      </w:r>
      <w:r>
        <w:rPr>
          <w:rFonts w:hint="eastAsia" w:ascii="宋体" w:hAnsi="宋体"/>
          <w:szCs w:val="24"/>
          <w:u w:val="single"/>
        </w:rPr>
        <w:t xml:space="preserve"> </w:t>
      </w:r>
      <w:r>
        <w:rPr>
          <w:rFonts w:hint="eastAsia" w:ascii="宋体" w:hAnsi="宋体"/>
          <w:szCs w:val="24"/>
        </w:rPr>
        <w:t>月</w:t>
      </w:r>
      <w:r>
        <w:rPr>
          <w:rFonts w:hint="eastAsia" w:ascii="宋体" w:hAnsi="宋体"/>
          <w:szCs w:val="24"/>
          <w:u w:val="single"/>
        </w:rPr>
        <w:t xml:space="preserve">  </w:t>
      </w:r>
      <w:r>
        <w:rPr>
          <w:rFonts w:ascii="宋体" w:hAnsi="宋体"/>
          <w:szCs w:val="24"/>
          <w:u w:val="single"/>
        </w:rPr>
        <w:t xml:space="preserve">  </w:t>
      </w:r>
      <w:r>
        <w:rPr>
          <w:rFonts w:hint="eastAsia" w:ascii="宋体" w:hAnsi="宋体"/>
          <w:szCs w:val="24"/>
          <w:u w:val="single"/>
        </w:rPr>
        <w:t xml:space="preserve"> </w:t>
      </w:r>
      <w:r>
        <w:rPr>
          <w:rFonts w:hint="eastAsia" w:ascii="宋体" w:hAnsi="宋体"/>
          <w:szCs w:val="24"/>
        </w:rPr>
        <w:t>日起执行。</w:t>
      </w:r>
    </w:p>
    <w:p w14:paraId="10A15643">
      <w:pPr>
        <w:spacing w:line="360" w:lineRule="auto"/>
        <w:ind w:firstLine="630" w:firstLineChars="300"/>
        <w:rPr>
          <w:rFonts w:ascii="宋体" w:hAnsi="宋体"/>
          <w:color w:val="FF0000"/>
          <w:szCs w:val="24"/>
        </w:rPr>
      </w:pPr>
      <w:r>
        <w:rPr>
          <w:rFonts w:hint="eastAsia" w:ascii="宋体" w:hAnsi="宋体"/>
          <w:szCs w:val="24"/>
        </w:rPr>
        <w:t>17.6本项目合同期为一年。</w:t>
      </w:r>
    </w:p>
    <w:p w14:paraId="77DB8C1B">
      <w:pPr>
        <w:spacing w:line="360" w:lineRule="auto"/>
        <w:ind w:firstLine="480"/>
        <w:rPr>
          <w:rFonts w:ascii="宋体" w:hAnsi="宋体"/>
          <w:szCs w:val="24"/>
        </w:rPr>
      </w:pPr>
      <w:bookmarkStart w:id="847" w:name="_Toc508365850"/>
      <w:r>
        <w:rPr>
          <w:rFonts w:hint="eastAsia" w:ascii="宋体" w:hAnsi="宋体"/>
          <w:szCs w:val="24"/>
        </w:rPr>
        <w:t>八、合同特殊条款</w:t>
      </w:r>
      <w:bookmarkEnd w:id="847"/>
      <w:r>
        <w:rPr>
          <w:rFonts w:hint="eastAsia" w:ascii="宋体" w:hAnsi="宋体"/>
          <w:szCs w:val="24"/>
        </w:rPr>
        <w:t xml:space="preserve"> </w:t>
      </w:r>
    </w:p>
    <w:p w14:paraId="4FD5345A">
      <w:pPr>
        <w:spacing w:line="360" w:lineRule="auto"/>
        <w:ind w:firstLine="480"/>
        <w:rPr>
          <w:rFonts w:ascii="宋体" w:hAnsi="宋体"/>
          <w:szCs w:val="24"/>
        </w:rPr>
      </w:pPr>
      <w:r>
        <w:rPr>
          <w:rFonts w:hint="eastAsia" w:ascii="宋体" w:hAnsi="宋体"/>
          <w:szCs w:val="24"/>
        </w:rPr>
        <w:t xml:space="preserve">合同特殊条款是合同一般条款的补充和修改。如果两者之间有抵触，应以特殊条款为准。按合同一般条款序号有下列各项： </w:t>
      </w:r>
    </w:p>
    <w:p w14:paraId="21EADD80">
      <w:pPr>
        <w:spacing w:line="360" w:lineRule="auto"/>
        <w:ind w:firstLine="480"/>
        <w:rPr>
          <w:rFonts w:ascii="宋体" w:hAnsi="宋体"/>
          <w:szCs w:val="24"/>
        </w:rPr>
      </w:pPr>
      <w:bookmarkStart w:id="848" w:name="_Toc508365851"/>
      <w:r>
        <w:rPr>
          <w:rFonts w:hint="eastAsia" w:ascii="宋体" w:hAnsi="宋体"/>
          <w:szCs w:val="24"/>
        </w:rPr>
        <w:t>1. 定义：</w:t>
      </w:r>
      <w:bookmarkEnd w:id="848"/>
    </w:p>
    <w:p w14:paraId="26CBD265">
      <w:pPr>
        <w:spacing w:line="360" w:lineRule="auto"/>
        <w:ind w:firstLine="480"/>
        <w:rPr>
          <w:rFonts w:ascii="宋体" w:hAnsi="宋体"/>
          <w:szCs w:val="24"/>
        </w:rPr>
      </w:pPr>
      <w:r>
        <w:rPr>
          <w:rFonts w:hint="eastAsia" w:ascii="宋体" w:hAnsi="宋体"/>
          <w:szCs w:val="24"/>
        </w:rPr>
        <w:t xml:space="preserve">    (5)甲方：本合同甲方系指：</w:t>
      </w:r>
      <w:r>
        <w:rPr>
          <w:rFonts w:hint="eastAsia" w:ascii="宋体" w:hAnsi="宋体"/>
          <w:szCs w:val="24"/>
          <w:u w:val="single"/>
        </w:rPr>
        <w:t xml:space="preserve"> 北京市大兴区城市管理委员会</w:t>
      </w:r>
      <w:r>
        <w:rPr>
          <w:rFonts w:ascii="宋体" w:hAnsi="宋体"/>
          <w:szCs w:val="24"/>
          <w:u w:val="single"/>
        </w:rPr>
        <w:t xml:space="preserve"> </w:t>
      </w:r>
      <w:r>
        <w:rPr>
          <w:rFonts w:hint="eastAsia" w:ascii="宋体" w:hAnsi="宋体"/>
          <w:bCs/>
          <w:szCs w:val="24"/>
        </w:rPr>
        <w:t>。</w:t>
      </w:r>
    </w:p>
    <w:p w14:paraId="657C522F">
      <w:pPr>
        <w:spacing w:line="360" w:lineRule="auto"/>
        <w:ind w:firstLine="480"/>
        <w:rPr>
          <w:rFonts w:ascii="宋体" w:hAnsi="宋体"/>
          <w:szCs w:val="24"/>
        </w:rPr>
      </w:pPr>
      <w:r>
        <w:rPr>
          <w:rFonts w:hint="eastAsia" w:ascii="宋体" w:hAnsi="宋体"/>
          <w:szCs w:val="24"/>
        </w:rPr>
        <w:t xml:space="preserve">    (6)乙方：本合同乙方系指  </w:t>
      </w:r>
      <w:r>
        <w:rPr>
          <w:rFonts w:hint="eastAsia" w:ascii="宋体" w:hAnsi="宋体"/>
          <w:szCs w:val="24"/>
          <w:u w:val="single"/>
        </w:rPr>
        <w:t xml:space="preserve">                     </w:t>
      </w:r>
      <w:r>
        <w:rPr>
          <w:rFonts w:ascii="宋体" w:hAnsi="宋体"/>
          <w:szCs w:val="24"/>
          <w:u w:val="single"/>
        </w:rPr>
        <w:t xml:space="preserve"> </w:t>
      </w:r>
      <w:r>
        <w:rPr>
          <w:rFonts w:hint="eastAsia" w:ascii="宋体" w:hAnsi="宋体"/>
          <w:szCs w:val="24"/>
        </w:rPr>
        <w:t>。</w:t>
      </w:r>
    </w:p>
    <w:p w14:paraId="306F0CE8">
      <w:pPr>
        <w:spacing w:line="360" w:lineRule="auto"/>
        <w:ind w:firstLine="840" w:firstLineChars="400"/>
        <w:rPr>
          <w:rFonts w:ascii="宋体" w:hAnsi="宋体"/>
          <w:bCs/>
          <w:szCs w:val="24"/>
          <w:u w:val="single"/>
        </w:rPr>
      </w:pPr>
      <w:r>
        <w:rPr>
          <w:rFonts w:hint="eastAsia" w:ascii="宋体" w:hAnsi="宋体"/>
          <w:szCs w:val="24"/>
        </w:rPr>
        <w:t>(7)现场：本合同项下需要提供项目服务的地点位于：</w:t>
      </w:r>
      <w:r>
        <w:rPr>
          <w:rFonts w:hint="eastAsia" w:ascii="宋体" w:hAnsi="宋体"/>
          <w:bCs/>
          <w:szCs w:val="24"/>
          <w:u w:val="single"/>
        </w:rPr>
        <w:t xml:space="preserve">甲方指定地点 </w:t>
      </w:r>
    </w:p>
    <w:p w14:paraId="79CDF561">
      <w:pPr>
        <w:spacing w:line="360" w:lineRule="auto"/>
        <w:ind w:firstLine="480"/>
        <w:rPr>
          <w:rFonts w:ascii="宋体" w:hAnsi="宋体"/>
          <w:szCs w:val="24"/>
        </w:rPr>
      </w:pPr>
      <w:bookmarkStart w:id="849" w:name="_Toc508365852"/>
      <w:r>
        <w:rPr>
          <w:rFonts w:hint="eastAsia" w:ascii="宋体" w:hAnsi="宋体"/>
          <w:szCs w:val="24"/>
        </w:rPr>
        <w:t>2. 服务标准</w:t>
      </w:r>
      <w:bookmarkEnd w:id="849"/>
    </w:p>
    <w:p w14:paraId="75F6FAA4">
      <w:pPr>
        <w:spacing w:line="360" w:lineRule="auto"/>
        <w:ind w:firstLine="480"/>
        <w:rPr>
          <w:rFonts w:ascii="宋体" w:hAnsi="宋体"/>
          <w:szCs w:val="24"/>
        </w:rPr>
      </w:pPr>
      <w:r>
        <w:rPr>
          <w:rFonts w:hint="eastAsia" w:ascii="宋体" w:hAnsi="宋体"/>
          <w:szCs w:val="24"/>
          <w:u w:val="single"/>
        </w:rPr>
        <w:t>以招标文件的规定为准，招标文件没有规定的，以国家有关规定为准</w:t>
      </w:r>
      <w:r>
        <w:rPr>
          <w:rFonts w:hint="eastAsia" w:ascii="宋体" w:hAnsi="宋体"/>
          <w:szCs w:val="24"/>
        </w:rPr>
        <w:t>。</w:t>
      </w:r>
    </w:p>
    <w:p w14:paraId="5D081CE9">
      <w:pPr>
        <w:spacing w:line="360" w:lineRule="auto"/>
        <w:ind w:firstLine="480"/>
        <w:rPr>
          <w:rFonts w:ascii="宋体" w:hAnsi="宋体"/>
          <w:szCs w:val="24"/>
        </w:rPr>
      </w:pPr>
    </w:p>
    <w:p w14:paraId="1C2BE41C">
      <w:pPr>
        <w:spacing w:line="360" w:lineRule="auto"/>
        <w:ind w:firstLine="480"/>
        <w:rPr>
          <w:rFonts w:ascii="宋体" w:hAnsi="宋体"/>
          <w:szCs w:val="24"/>
        </w:rPr>
      </w:pPr>
      <w:bookmarkStart w:id="850" w:name="_Toc508365853"/>
      <w:r>
        <w:rPr>
          <w:rFonts w:hint="eastAsia" w:ascii="宋体" w:hAnsi="宋体"/>
          <w:szCs w:val="24"/>
        </w:rPr>
        <w:t>3. 付款方式</w:t>
      </w:r>
      <w:bookmarkEnd w:id="850"/>
    </w:p>
    <w:p w14:paraId="28114587">
      <w:pPr>
        <w:spacing w:line="360" w:lineRule="auto"/>
        <w:ind w:firstLine="480"/>
        <w:rPr>
          <w:rFonts w:ascii="宋体" w:hAnsi="宋体"/>
          <w:szCs w:val="24"/>
        </w:rPr>
      </w:pPr>
      <w:r>
        <w:rPr>
          <w:rFonts w:hint="eastAsia" w:ascii="宋体" w:hAnsi="宋体"/>
          <w:szCs w:val="24"/>
        </w:rPr>
        <w:t>合同签订后预付</w:t>
      </w:r>
      <w:r>
        <w:rPr>
          <w:rFonts w:ascii="宋体" w:hAnsi="宋体"/>
          <w:szCs w:val="24"/>
        </w:rPr>
        <w:t>4</w:t>
      </w:r>
      <w:r>
        <w:rPr>
          <w:rFonts w:hint="eastAsia" w:ascii="宋体" w:hAnsi="宋体"/>
          <w:szCs w:val="24"/>
        </w:rPr>
        <w:t>0%预付款，汛期结束后付至合同额的</w:t>
      </w:r>
      <w:r>
        <w:rPr>
          <w:rFonts w:ascii="宋体" w:hAnsi="宋体"/>
          <w:szCs w:val="24"/>
        </w:rPr>
        <w:t>7</w:t>
      </w:r>
      <w:r>
        <w:rPr>
          <w:rFonts w:hint="eastAsia" w:ascii="宋体" w:hAnsi="宋体"/>
          <w:szCs w:val="24"/>
        </w:rPr>
        <w:t>0%，剩余合同款至服务期结束后按照考核结果进行支付统一支付。</w:t>
      </w:r>
    </w:p>
    <w:p w14:paraId="2D42D8C8">
      <w:pPr>
        <w:spacing w:line="360" w:lineRule="auto"/>
        <w:rPr>
          <w:rFonts w:ascii="宋体" w:hAnsi="宋体"/>
          <w:szCs w:val="24"/>
        </w:rPr>
      </w:pPr>
    </w:p>
    <w:p w14:paraId="0B150267">
      <w:pPr>
        <w:spacing w:line="360" w:lineRule="auto"/>
        <w:rPr>
          <w:rFonts w:ascii="宋体" w:hAnsi="宋体"/>
          <w:szCs w:val="24"/>
        </w:rPr>
      </w:pPr>
    </w:p>
    <w:p w14:paraId="571260C6">
      <w:pPr>
        <w:widowControl/>
        <w:spacing w:line="360" w:lineRule="auto"/>
        <w:jc w:val="left"/>
        <w:rPr>
          <w:rFonts w:ascii="宋体" w:hAnsi="宋体"/>
          <w:szCs w:val="24"/>
        </w:rPr>
      </w:pPr>
      <w:r>
        <w:rPr>
          <w:rFonts w:ascii="宋体" w:hAnsi="宋体"/>
          <w:szCs w:val="24"/>
        </w:rPr>
        <w:br w:type="page"/>
      </w:r>
    </w:p>
    <w:p w14:paraId="38D05C5B">
      <w:pPr>
        <w:spacing w:line="360" w:lineRule="auto"/>
        <w:rPr>
          <w:rFonts w:ascii="宋体" w:hAnsi="宋体"/>
          <w:szCs w:val="24"/>
        </w:rPr>
      </w:pPr>
    </w:p>
    <w:p w14:paraId="25B3B5E5">
      <w:pPr>
        <w:spacing w:line="360" w:lineRule="auto"/>
        <w:ind w:left="5460" w:leftChars="200" w:right="600" w:hanging="5040" w:hangingChars="2400"/>
        <w:rPr>
          <w:rFonts w:hint="eastAsia" w:ascii="宋体" w:hAnsi="宋体"/>
          <w:szCs w:val="24"/>
        </w:rPr>
      </w:pPr>
      <w:r>
        <w:rPr>
          <w:rFonts w:hint="eastAsia" w:ascii="宋体" w:hAnsi="宋体"/>
          <w:szCs w:val="24"/>
        </w:rPr>
        <w:t>甲    方：北京市大兴区城市管理委员会</w:t>
      </w:r>
      <w:r>
        <w:rPr>
          <w:rFonts w:ascii="宋体" w:hAnsi="宋体"/>
          <w:szCs w:val="24"/>
        </w:rPr>
        <w:t xml:space="preserve"> </w:t>
      </w:r>
      <w:r>
        <w:rPr>
          <w:rFonts w:hint="eastAsia" w:ascii="宋体" w:hAnsi="宋体"/>
          <w:szCs w:val="24"/>
        </w:rPr>
        <w:t xml:space="preserve">乙    方：        </w:t>
      </w:r>
    </w:p>
    <w:p w14:paraId="155D57FD">
      <w:pPr>
        <w:spacing w:line="360" w:lineRule="auto"/>
        <w:ind w:left="5250" w:leftChars="200" w:right="600" w:hanging="4830" w:hangingChars="2300"/>
        <w:jc w:val="left"/>
        <w:rPr>
          <w:rFonts w:ascii="宋体" w:hAnsi="宋体"/>
          <w:szCs w:val="24"/>
        </w:rPr>
      </w:pPr>
      <w:r>
        <w:rPr>
          <w:rFonts w:hint="eastAsia" w:ascii="宋体" w:hAnsi="宋体"/>
          <w:szCs w:val="24"/>
        </w:rPr>
        <w:t xml:space="preserve">名　　称：(印章)　　　　　　     　　名　　称：(印章)     </w:t>
      </w:r>
    </w:p>
    <w:p w14:paraId="44ACAED9">
      <w:pPr>
        <w:spacing w:line="360" w:lineRule="auto"/>
        <w:ind w:left="5250" w:leftChars="200" w:right="600" w:hanging="4830" w:hangingChars="2300"/>
        <w:jc w:val="left"/>
        <w:rPr>
          <w:rFonts w:ascii="宋体" w:hAnsi="宋体"/>
          <w:szCs w:val="24"/>
        </w:rPr>
      </w:pPr>
      <w:r>
        <w:rPr>
          <w:rFonts w:hint="eastAsia" w:ascii="宋体" w:hAnsi="宋体"/>
          <w:szCs w:val="24"/>
        </w:rPr>
        <w:t xml:space="preserve">法定代表人(签字)：　　      　　　　 法定代表人(签字)：     </w:t>
      </w:r>
    </w:p>
    <w:p w14:paraId="34013396">
      <w:pPr>
        <w:spacing w:line="360" w:lineRule="auto"/>
        <w:ind w:left="5355" w:leftChars="200" w:hanging="4935" w:hangingChars="2350"/>
        <w:jc w:val="left"/>
        <w:rPr>
          <w:rFonts w:hint="eastAsia" w:ascii="宋体" w:hAnsi="宋体"/>
          <w:szCs w:val="24"/>
        </w:rPr>
      </w:pPr>
      <w:r>
        <w:rPr>
          <w:rFonts w:hint="eastAsia" w:ascii="宋体" w:hAnsi="宋体"/>
          <w:szCs w:val="24"/>
        </w:rPr>
        <w:t>地　　址：　　　　　　　　　　     　地　　址：</w:t>
      </w:r>
      <w:r>
        <w:rPr>
          <w:rFonts w:hint="eastAsia" w:ascii="Times New Roman" w:hAnsi="Times New Roman"/>
          <w:szCs w:val="20"/>
        </w:rPr>
        <w:t xml:space="preserve">         </w:t>
      </w:r>
    </w:p>
    <w:p w14:paraId="46DD4BE3">
      <w:pPr>
        <w:spacing w:line="360" w:lineRule="auto"/>
        <w:ind w:left="5250" w:leftChars="200" w:right="600" w:hanging="4830" w:hangingChars="2300"/>
        <w:jc w:val="left"/>
        <w:rPr>
          <w:rFonts w:ascii="宋体" w:hAnsi="宋体"/>
          <w:szCs w:val="24"/>
        </w:rPr>
      </w:pPr>
      <w:r>
        <w:rPr>
          <w:rFonts w:hint="eastAsia" w:ascii="宋体" w:hAnsi="宋体"/>
          <w:szCs w:val="24"/>
        </w:rPr>
        <w:t>邮政编码：　　　　　     　　　　　　邮政编码：</w:t>
      </w:r>
      <w:r>
        <w:rPr>
          <w:rFonts w:hint="eastAsia" w:ascii="Times New Roman" w:hAnsi="Times New Roman"/>
          <w:szCs w:val="20"/>
        </w:rPr>
        <w:t xml:space="preserve">    </w:t>
      </w:r>
      <w:r>
        <w:rPr>
          <w:rFonts w:hint="eastAsia" w:ascii="宋体" w:hAnsi="宋体"/>
          <w:szCs w:val="24"/>
        </w:rPr>
        <w:t xml:space="preserve">     </w:t>
      </w:r>
    </w:p>
    <w:p w14:paraId="0372193C">
      <w:pPr>
        <w:spacing w:line="360" w:lineRule="auto"/>
        <w:ind w:left="5250" w:leftChars="200" w:right="600" w:hanging="4830" w:hangingChars="2300"/>
        <w:jc w:val="left"/>
        <w:rPr>
          <w:rFonts w:ascii="宋体" w:hAnsi="宋体"/>
          <w:szCs w:val="24"/>
        </w:rPr>
      </w:pPr>
      <w:r>
        <w:rPr>
          <w:rFonts w:hint="eastAsia" w:ascii="宋体" w:hAnsi="宋体"/>
          <w:szCs w:val="24"/>
        </w:rPr>
        <w:t>电　　话：　　　　     　　　　　　　电　　话：</w:t>
      </w:r>
      <w:r>
        <w:rPr>
          <w:rFonts w:hint="eastAsia" w:ascii="宋体" w:hAnsi="宋体"/>
          <w:szCs w:val="21"/>
        </w:rPr>
        <w:t xml:space="preserve">         </w:t>
      </w:r>
      <w:r>
        <w:rPr>
          <w:rFonts w:hint="eastAsia" w:ascii="Times New Roman" w:hAnsi="Times New Roman"/>
          <w:szCs w:val="20"/>
        </w:rPr>
        <w:t xml:space="preserve"> </w:t>
      </w:r>
      <w:r>
        <w:rPr>
          <w:rFonts w:hint="eastAsia" w:ascii="宋体" w:hAnsi="宋体"/>
          <w:szCs w:val="24"/>
        </w:rPr>
        <w:t xml:space="preserve">    </w:t>
      </w:r>
    </w:p>
    <w:p w14:paraId="30DDB690">
      <w:pPr>
        <w:spacing w:line="360" w:lineRule="auto"/>
        <w:ind w:left="5250" w:leftChars="200" w:right="600" w:hanging="4830" w:hangingChars="2300"/>
        <w:jc w:val="left"/>
        <w:rPr>
          <w:rFonts w:ascii="宋体" w:hAnsi="宋体"/>
          <w:szCs w:val="24"/>
        </w:rPr>
      </w:pPr>
      <w:r>
        <w:rPr>
          <w:rFonts w:hint="eastAsia" w:ascii="宋体" w:hAnsi="宋体"/>
          <w:szCs w:val="24"/>
        </w:rPr>
        <w:t>开户银行：　     　　　　　　　　　　开户银行：</w:t>
      </w:r>
      <w:r>
        <w:rPr>
          <w:rFonts w:hint="eastAsia" w:ascii="宋体" w:hAnsi="宋体" w:cs="Arial"/>
          <w:szCs w:val="21"/>
        </w:rPr>
        <w:t xml:space="preserve">       </w:t>
      </w:r>
      <w:r>
        <w:rPr>
          <w:rFonts w:hint="eastAsia" w:ascii="宋体" w:hAnsi="宋体" w:cs="Arial"/>
          <w:szCs w:val="24"/>
        </w:rPr>
        <w:t xml:space="preserve"> </w:t>
      </w:r>
    </w:p>
    <w:p w14:paraId="40277CA2">
      <w:pPr>
        <w:spacing w:line="360" w:lineRule="auto"/>
        <w:ind w:left="420" w:leftChars="200"/>
        <w:rPr>
          <w:rFonts w:hint="eastAsia" w:ascii="宋体" w:hAnsi="宋体" w:cs="Arial"/>
          <w:szCs w:val="24"/>
        </w:rPr>
      </w:pPr>
      <w:r>
        <w:rPr>
          <w:rFonts w:hint="eastAsia" w:ascii="宋体" w:hAnsi="宋体"/>
          <w:szCs w:val="24"/>
        </w:rPr>
        <w:t>帐　　号：     　　　　　　　　　　　帐　　号：</w:t>
      </w:r>
      <w:r>
        <w:rPr>
          <w:rFonts w:hint="eastAsia" w:ascii="宋体" w:hAnsi="宋体" w:cs="Arial"/>
          <w:szCs w:val="24"/>
        </w:rPr>
        <w:t xml:space="preserve">         </w:t>
      </w:r>
    </w:p>
    <w:p w14:paraId="0B51A9A8">
      <w:pPr>
        <w:spacing w:line="360" w:lineRule="auto"/>
        <w:ind w:left="5250" w:leftChars="200" w:right="600" w:hanging="4830" w:hangingChars="2300"/>
        <w:jc w:val="left"/>
        <w:rPr>
          <w:rFonts w:ascii="宋体" w:hAnsi="宋体"/>
          <w:szCs w:val="24"/>
        </w:rPr>
      </w:pPr>
      <w:r>
        <w:rPr>
          <w:rFonts w:hint="eastAsia" w:ascii="宋体" w:hAnsi="宋体"/>
          <w:szCs w:val="24"/>
        </w:rPr>
        <w:t>签订日期：                           签订日期：</w:t>
      </w:r>
    </w:p>
    <w:p w14:paraId="2D24DF95">
      <w:pPr>
        <w:ind w:firstLine="480"/>
        <w:rPr>
          <w:rFonts w:ascii="宋体" w:hAnsi="宋体"/>
          <w:szCs w:val="24"/>
        </w:rPr>
      </w:pPr>
    </w:p>
    <w:p w14:paraId="77B835FC">
      <w:pPr>
        <w:ind w:firstLine="480"/>
        <w:rPr>
          <w:rFonts w:ascii="宋体" w:hAnsi="宋体"/>
          <w:szCs w:val="24"/>
        </w:rPr>
      </w:pPr>
    </w:p>
    <w:p w14:paraId="0A1062B1">
      <w:pPr>
        <w:ind w:firstLine="480"/>
        <w:jc w:val="center"/>
        <w:rPr>
          <w:rFonts w:ascii="宋体" w:hAnsi="宋体"/>
          <w:b/>
          <w:bCs/>
          <w:szCs w:val="24"/>
        </w:rPr>
      </w:pPr>
      <w:r>
        <w:rPr>
          <w:rFonts w:ascii="宋体" w:hAnsi="宋体"/>
          <w:szCs w:val="24"/>
        </w:rPr>
        <w:br w:type="page"/>
      </w:r>
      <w:r>
        <w:rPr>
          <w:rFonts w:hint="eastAsia" w:ascii="宋体" w:hAnsi="宋体"/>
          <w:b/>
          <w:bCs/>
          <w:szCs w:val="24"/>
        </w:rPr>
        <w:t>合同补充条款</w:t>
      </w:r>
      <w:bookmarkStart w:id="851" w:name="_Toc24979262"/>
    </w:p>
    <w:p w14:paraId="5134D2EF">
      <w:pPr>
        <w:spacing w:line="360" w:lineRule="auto"/>
        <w:ind w:firstLine="602"/>
        <w:rPr>
          <w:rFonts w:ascii="宋体" w:hAnsi="宋体"/>
          <w:b/>
          <w:bCs/>
          <w:szCs w:val="24"/>
        </w:rPr>
      </w:pPr>
      <w:r>
        <w:rPr>
          <w:rFonts w:hint="eastAsia" w:ascii="宋体" w:hAnsi="宋体"/>
          <w:b/>
          <w:bCs/>
          <w:szCs w:val="24"/>
        </w:rPr>
        <w:t>一、运维服务绩效考核</w:t>
      </w:r>
      <w:bookmarkEnd w:id="851"/>
    </w:p>
    <w:p w14:paraId="547BA52E">
      <w:pPr>
        <w:spacing w:line="360" w:lineRule="auto"/>
        <w:ind w:firstLine="480"/>
        <w:rPr>
          <w:rFonts w:ascii="宋体" w:hAnsi="宋体"/>
          <w:szCs w:val="24"/>
        </w:rPr>
      </w:pPr>
      <w:r>
        <w:rPr>
          <w:rFonts w:hint="eastAsia" w:ascii="宋体" w:hAnsi="宋体"/>
          <w:szCs w:val="24"/>
        </w:rPr>
        <w:t xml:space="preserve">运维服务绩效考核是保障运维单位提高运维服务质量的必要手段。运维单位 </w:t>
      </w:r>
      <w:r>
        <w:rPr>
          <w:rFonts w:ascii="宋体" w:hAnsi="宋体"/>
          <w:szCs w:val="24"/>
        </w:rPr>
        <w:t>应从管理与操作方面，建立运维管理过程中各个参与要素（人、流程、工具）的行为准则与工作程序，从运维管理体系总体运行、流程执行和岗位职责三个层次建立考核评价体系。</w:t>
      </w:r>
    </w:p>
    <w:p w14:paraId="6813EDC1">
      <w:pPr>
        <w:spacing w:line="360" w:lineRule="auto"/>
        <w:ind w:firstLine="480"/>
        <w:rPr>
          <w:rFonts w:ascii="宋体" w:hAnsi="宋体"/>
          <w:szCs w:val="24"/>
        </w:rPr>
      </w:pPr>
      <w:r>
        <w:rPr>
          <w:rFonts w:hint="eastAsia" w:ascii="宋体" w:hAnsi="宋体"/>
          <w:szCs w:val="24"/>
        </w:rPr>
        <w:t>运维方</w:t>
      </w:r>
      <w:r>
        <w:rPr>
          <w:rFonts w:ascii="宋体" w:hAnsi="宋体"/>
          <w:szCs w:val="24"/>
        </w:rPr>
        <w:t>应遵守国家及北京市相关法律法规规定，遵守北京市</w:t>
      </w:r>
      <w:r>
        <w:rPr>
          <w:rFonts w:hint="eastAsia" w:ascii="宋体" w:hAnsi="宋体"/>
          <w:szCs w:val="24"/>
        </w:rPr>
        <w:t>大兴区城市管理委员会</w:t>
      </w:r>
      <w:r>
        <w:rPr>
          <w:rFonts w:ascii="宋体" w:hAnsi="宋体"/>
          <w:szCs w:val="24"/>
        </w:rPr>
        <w:t>各项管理制度。</w:t>
      </w:r>
      <w:r>
        <w:rPr>
          <w:rFonts w:hint="eastAsia" w:ascii="宋体" w:hAnsi="宋体"/>
          <w:szCs w:val="24"/>
        </w:rPr>
        <w:t>运维方</w:t>
      </w:r>
      <w:r>
        <w:rPr>
          <w:rFonts w:ascii="宋体" w:hAnsi="宋体"/>
          <w:szCs w:val="24"/>
        </w:rPr>
        <w:t>及其人员</w:t>
      </w:r>
      <w:r>
        <w:rPr>
          <w:rFonts w:hint="eastAsia" w:ascii="宋体" w:hAnsi="宋体"/>
          <w:szCs w:val="24"/>
        </w:rPr>
        <w:t>应</w:t>
      </w:r>
      <w:r>
        <w:rPr>
          <w:rFonts w:ascii="宋体" w:hAnsi="宋体"/>
          <w:szCs w:val="24"/>
        </w:rPr>
        <w:t>在</w:t>
      </w:r>
      <w:r>
        <w:rPr>
          <w:rFonts w:hint="eastAsia" w:ascii="宋体" w:hAnsi="宋体"/>
          <w:szCs w:val="24"/>
        </w:rPr>
        <w:t>大兴区城管委</w:t>
      </w:r>
      <w:r>
        <w:rPr>
          <w:rFonts w:ascii="宋体" w:hAnsi="宋体"/>
          <w:szCs w:val="24"/>
        </w:rPr>
        <w:t>统一管理下开展运维工作。</w:t>
      </w:r>
    </w:p>
    <w:p w14:paraId="3BB0B4FE">
      <w:pPr>
        <w:spacing w:line="360" w:lineRule="auto"/>
        <w:ind w:firstLine="480"/>
        <w:rPr>
          <w:rFonts w:ascii="宋体" w:hAnsi="宋体"/>
          <w:szCs w:val="24"/>
        </w:rPr>
      </w:pPr>
      <w:bookmarkStart w:id="852" w:name="_Toc24979263"/>
      <w:r>
        <w:rPr>
          <w:rFonts w:hint="eastAsia" w:ascii="宋体" w:hAnsi="宋体"/>
          <w:szCs w:val="24"/>
        </w:rPr>
        <w:t>1、考核</w:t>
      </w:r>
      <w:bookmarkEnd w:id="852"/>
      <w:r>
        <w:rPr>
          <w:rFonts w:hint="eastAsia" w:ascii="宋体" w:hAnsi="宋体"/>
          <w:szCs w:val="24"/>
        </w:rPr>
        <w:t>标准</w:t>
      </w:r>
    </w:p>
    <w:p w14:paraId="1CA65B5E">
      <w:pPr>
        <w:spacing w:line="360" w:lineRule="auto"/>
        <w:ind w:firstLine="480"/>
        <w:rPr>
          <w:rFonts w:ascii="宋体" w:hAnsi="宋体"/>
          <w:szCs w:val="24"/>
        </w:rPr>
      </w:pPr>
      <w:r>
        <w:rPr>
          <w:rFonts w:hint="eastAsia" w:ascii="宋体" w:hAnsi="宋体"/>
          <w:szCs w:val="24"/>
        </w:rPr>
        <w:t>大兴新城防汛应急指挥系统运维服务考核工作主要分为运维管理工作考核、硬件设备维护工作考核和软件系统维护工作考核三个部分。</w:t>
      </w:r>
    </w:p>
    <w:p w14:paraId="0F4E6E9D">
      <w:pPr>
        <w:spacing w:line="360" w:lineRule="auto"/>
        <w:ind w:firstLine="480"/>
        <w:rPr>
          <w:rFonts w:ascii="宋体" w:hAnsi="宋体"/>
          <w:szCs w:val="24"/>
        </w:rPr>
      </w:pPr>
      <w:r>
        <w:rPr>
          <w:rFonts w:hint="eastAsia" w:ascii="宋体" w:hAnsi="宋体"/>
          <w:szCs w:val="24"/>
        </w:rPr>
        <w:t>1）运维管理工作考核主要是对运维团队人员的稳定性、</w:t>
      </w:r>
      <w:r>
        <w:rPr>
          <w:rFonts w:ascii="宋体" w:hAnsi="宋体"/>
          <w:szCs w:val="24"/>
        </w:rPr>
        <w:t>运维事件响应程度</w:t>
      </w:r>
      <w:r>
        <w:rPr>
          <w:rFonts w:hint="eastAsia" w:ascii="宋体" w:hAnsi="宋体"/>
          <w:szCs w:val="24"/>
        </w:rPr>
        <w:t>、</w:t>
      </w:r>
      <w:r>
        <w:rPr>
          <w:rFonts w:ascii="宋体" w:hAnsi="宋体"/>
          <w:szCs w:val="24"/>
        </w:rPr>
        <w:t>文档完整性和质量</w:t>
      </w:r>
      <w:r>
        <w:rPr>
          <w:rFonts w:hint="eastAsia" w:ascii="宋体" w:hAnsi="宋体"/>
          <w:szCs w:val="24"/>
        </w:rPr>
        <w:t>、</w:t>
      </w:r>
      <w:r>
        <w:rPr>
          <w:rFonts w:ascii="宋体" w:hAnsi="宋体"/>
          <w:szCs w:val="24"/>
        </w:rPr>
        <w:t>运维工作完成及时性</w:t>
      </w:r>
      <w:r>
        <w:rPr>
          <w:rFonts w:hint="eastAsia" w:ascii="宋体" w:hAnsi="宋体"/>
          <w:szCs w:val="24"/>
        </w:rPr>
        <w:t>、</w:t>
      </w:r>
      <w:r>
        <w:rPr>
          <w:rFonts w:ascii="宋体" w:hAnsi="宋体"/>
          <w:szCs w:val="24"/>
        </w:rPr>
        <w:t>运维投诉数量</w:t>
      </w:r>
      <w:r>
        <w:rPr>
          <w:rFonts w:hint="eastAsia" w:ascii="宋体" w:hAnsi="宋体"/>
          <w:szCs w:val="24"/>
        </w:rPr>
        <w:t>、</w:t>
      </w:r>
      <w:r>
        <w:rPr>
          <w:rFonts w:ascii="宋体" w:hAnsi="宋体"/>
          <w:szCs w:val="24"/>
        </w:rPr>
        <w:t>服务态度、客户满意度</w:t>
      </w:r>
      <w:r>
        <w:rPr>
          <w:rFonts w:hint="eastAsia" w:ascii="宋体" w:hAnsi="宋体"/>
          <w:szCs w:val="24"/>
        </w:rPr>
        <w:t>等进行考核。</w:t>
      </w:r>
    </w:p>
    <w:p w14:paraId="094804AB">
      <w:pPr>
        <w:spacing w:line="360" w:lineRule="auto"/>
        <w:ind w:firstLine="480"/>
        <w:rPr>
          <w:rFonts w:ascii="宋体" w:hAnsi="宋体"/>
          <w:szCs w:val="24"/>
        </w:rPr>
      </w:pPr>
      <w:r>
        <w:rPr>
          <w:rFonts w:hint="eastAsia" w:ascii="宋体" w:hAnsi="宋体"/>
          <w:szCs w:val="24"/>
        </w:rPr>
        <w:t>2）硬件设备维护工作考核主要是针对硬件运维工作内容而定，包括日常检查次数、定期维护次数、定期检测次数和硬件设备在线情况等进行考核。</w:t>
      </w:r>
    </w:p>
    <w:p w14:paraId="0D169C4C">
      <w:pPr>
        <w:spacing w:line="360" w:lineRule="auto"/>
        <w:ind w:firstLine="480"/>
        <w:rPr>
          <w:rFonts w:ascii="宋体" w:hAnsi="宋体"/>
          <w:szCs w:val="24"/>
        </w:rPr>
      </w:pPr>
      <w:r>
        <w:rPr>
          <w:rFonts w:hint="eastAsia" w:ascii="宋体" w:hAnsi="宋体"/>
          <w:szCs w:val="24"/>
        </w:rPr>
        <w:t>3）软件系统维护工作考核主要是针对软件运维工作内容而定，包括巡检维护次数、工作内容报告、异常处理报告、故障处理报告、系统的故障次数、系统故障时间合计、系统故障恢复时长和未及时发现系统故障次数等进行考核。</w:t>
      </w:r>
    </w:p>
    <w:p w14:paraId="2F106EF2">
      <w:pPr>
        <w:spacing w:line="360" w:lineRule="auto"/>
        <w:ind w:firstLine="480"/>
        <w:rPr>
          <w:rFonts w:ascii="宋体" w:hAnsi="宋体"/>
          <w:szCs w:val="24"/>
        </w:rPr>
      </w:pPr>
      <w:r>
        <w:rPr>
          <w:rFonts w:hint="eastAsia" w:ascii="宋体" w:hAnsi="宋体"/>
          <w:szCs w:val="24"/>
        </w:rPr>
        <w:t>大兴新城防汛应急指挥系统运维工作实行月度考核制。</w:t>
      </w:r>
    </w:p>
    <w:p w14:paraId="0654DB24">
      <w:pPr>
        <w:spacing w:line="360" w:lineRule="auto"/>
        <w:ind w:firstLine="480"/>
        <w:rPr>
          <w:rFonts w:ascii="宋体" w:hAnsi="宋体"/>
          <w:szCs w:val="24"/>
        </w:rPr>
      </w:pPr>
      <w:r>
        <w:rPr>
          <w:rFonts w:hint="eastAsia" w:ascii="宋体" w:hAnsi="宋体"/>
          <w:szCs w:val="24"/>
        </w:rPr>
        <w:t>考核工作主要分为两部分：基本指标和综合指标，具体内容如下：</w:t>
      </w:r>
    </w:p>
    <w:p w14:paraId="4DF72053">
      <w:pPr>
        <w:spacing w:line="360" w:lineRule="auto"/>
        <w:ind w:firstLine="480"/>
        <w:rPr>
          <w:rFonts w:ascii="宋体" w:hAnsi="宋体"/>
          <w:szCs w:val="24"/>
        </w:rPr>
      </w:pPr>
      <w:r>
        <w:rPr>
          <w:rFonts w:hint="eastAsia" w:ascii="宋体" w:hAnsi="宋体"/>
          <w:szCs w:val="24"/>
        </w:rPr>
        <w:t>大兴新城防汛应急指挥系统运维考核标准</w:t>
      </w:r>
    </w:p>
    <w:tbl>
      <w:tblPr>
        <w:tblStyle w:val="42"/>
        <w:tblW w:w="0" w:type="auto"/>
        <w:tblInd w:w="0" w:type="dxa"/>
        <w:tblLayout w:type="autofit"/>
        <w:tblCellMar>
          <w:top w:w="0" w:type="dxa"/>
          <w:left w:w="108" w:type="dxa"/>
          <w:bottom w:w="0" w:type="dxa"/>
          <w:right w:w="108" w:type="dxa"/>
        </w:tblCellMar>
      </w:tblPr>
      <w:tblGrid>
        <w:gridCol w:w="554"/>
        <w:gridCol w:w="506"/>
        <w:gridCol w:w="1998"/>
        <w:gridCol w:w="4791"/>
        <w:gridCol w:w="667"/>
      </w:tblGrid>
      <w:tr w14:paraId="3B7E7CDA">
        <w:tblPrEx>
          <w:tblCellMar>
            <w:top w:w="0" w:type="dxa"/>
            <w:left w:w="108" w:type="dxa"/>
            <w:bottom w:w="0" w:type="dxa"/>
            <w:right w:w="108" w:type="dxa"/>
          </w:tblCellMar>
        </w:tblPrEx>
        <w:trPr>
          <w:trHeight w:val="360" w:hRule="atLeast"/>
        </w:trPr>
        <w:tc>
          <w:tcPr>
            <w:tcW w:w="0" w:type="auto"/>
            <w:tcBorders>
              <w:top w:val="single" w:color="auto" w:sz="12" w:space="0"/>
              <w:left w:val="single" w:color="auto" w:sz="12" w:space="0"/>
              <w:bottom w:val="single" w:color="auto" w:sz="12" w:space="0"/>
              <w:right w:val="single" w:color="auto" w:sz="12" w:space="0"/>
            </w:tcBorders>
            <w:shd w:val="clear" w:color="000000" w:fill="FFFFFF"/>
            <w:noWrap w:val="0"/>
            <w:vAlign w:val="center"/>
          </w:tcPr>
          <w:p w14:paraId="72E9FB00">
            <w:pPr>
              <w:rPr>
                <w:rFonts w:ascii="宋体" w:hAnsi="宋体"/>
                <w:szCs w:val="24"/>
              </w:rPr>
            </w:pPr>
            <w:r>
              <w:rPr>
                <w:rFonts w:hint="eastAsia" w:ascii="宋体" w:hAnsi="宋体"/>
                <w:szCs w:val="24"/>
              </w:rPr>
              <w:t>类别</w:t>
            </w:r>
          </w:p>
        </w:tc>
        <w:tc>
          <w:tcPr>
            <w:tcW w:w="0" w:type="auto"/>
            <w:tcBorders>
              <w:top w:val="single" w:color="auto" w:sz="12" w:space="0"/>
              <w:left w:val="nil"/>
              <w:bottom w:val="single" w:color="auto" w:sz="12" w:space="0"/>
              <w:right w:val="single" w:color="auto" w:sz="12" w:space="0"/>
            </w:tcBorders>
            <w:shd w:val="clear" w:color="000000" w:fill="FFFFFF"/>
            <w:noWrap w:val="0"/>
            <w:vAlign w:val="center"/>
          </w:tcPr>
          <w:p w14:paraId="016DFEFB">
            <w:pPr>
              <w:rPr>
                <w:rFonts w:ascii="宋体" w:hAnsi="宋体"/>
                <w:szCs w:val="24"/>
              </w:rPr>
            </w:pPr>
            <w:r>
              <w:rPr>
                <w:rFonts w:hint="eastAsia" w:ascii="宋体" w:hAnsi="宋体"/>
                <w:szCs w:val="24"/>
              </w:rPr>
              <w:t>序号</w:t>
            </w:r>
          </w:p>
        </w:tc>
        <w:tc>
          <w:tcPr>
            <w:tcW w:w="0" w:type="auto"/>
            <w:tcBorders>
              <w:top w:val="single" w:color="auto" w:sz="12" w:space="0"/>
              <w:left w:val="nil"/>
              <w:bottom w:val="single" w:color="auto" w:sz="12" w:space="0"/>
              <w:right w:val="single" w:color="auto" w:sz="12" w:space="0"/>
            </w:tcBorders>
            <w:shd w:val="clear" w:color="000000" w:fill="FFFFFF"/>
            <w:noWrap w:val="0"/>
            <w:vAlign w:val="center"/>
          </w:tcPr>
          <w:p w14:paraId="1C937DF0">
            <w:pPr>
              <w:rPr>
                <w:rFonts w:ascii="宋体" w:hAnsi="宋体"/>
                <w:szCs w:val="24"/>
              </w:rPr>
            </w:pPr>
            <w:r>
              <w:rPr>
                <w:rFonts w:hint="eastAsia" w:ascii="宋体" w:hAnsi="宋体"/>
                <w:szCs w:val="24"/>
              </w:rPr>
              <w:t>运维指标项</w:t>
            </w:r>
          </w:p>
        </w:tc>
        <w:tc>
          <w:tcPr>
            <w:tcW w:w="0" w:type="auto"/>
            <w:tcBorders>
              <w:top w:val="single" w:color="auto" w:sz="12" w:space="0"/>
              <w:left w:val="nil"/>
              <w:bottom w:val="single" w:color="auto" w:sz="12" w:space="0"/>
              <w:right w:val="single" w:color="auto" w:sz="12" w:space="0"/>
            </w:tcBorders>
            <w:shd w:val="clear" w:color="000000" w:fill="FFFFFF"/>
            <w:noWrap w:val="0"/>
            <w:vAlign w:val="center"/>
          </w:tcPr>
          <w:p w14:paraId="4BE002DB">
            <w:pPr>
              <w:rPr>
                <w:rFonts w:ascii="宋体" w:hAnsi="宋体"/>
                <w:szCs w:val="24"/>
              </w:rPr>
            </w:pPr>
            <w:r>
              <w:rPr>
                <w:rFonts w:hint="eastAsia" w:ascii="宋体" w:hAnsi="宋体"/>
                <w:szCs w:val="24"/>
              </w:rPr>
              <w:t>考核标准</w:t>
            </w:r>
          </w:p>
        </w:tc>
        <w:tc>
          <w:tcPr>
            <w:tcW w:w="0" w:type="auto"/>
            <w:tcBorders>
              <w:top w:val="single" w:color="auto" w:sz="12" w:space="0"/>
              <w:left w:val="nil"/>
              <w:bottom w:val="single" w:color="auto" w:sz="12" w:space="0"/>
              <w:right w:val="single" w:color="auto" w:sz="12" w:space="0"/>
            </w:tcBorders>
            <w:shd w:val="clear" w:color="000000" w:fill="FFFFFF"/>
            <w:noWrap w:val="0"/>
            <w:vAlign w:val="center"/>
          </w:tcPr>
          <w:p w14:paraId="593F320B">
            <w:pPr>
              <w:rPr>
                <w:rFonts w:ascii="宋体" w:hAnsi="宋体"/>
                <w:szCs w:val="24"/>
              </w:rPr>
            </w:pPr>
            <w:r>
              <w:rPr>
                <w:rFonts w:hint="eastAsia" w:ascii="宋体" w:hAnsi="宋体"/>
                <w:szCs w:val="24"/>
              </w:rPr>
              <w:t>单项指标</w:t>
            </w:r>
          </w:p>
        </w:tc>
      </w:tr>
      <w:tr w14:paraId="66324043">
        <w:tblPrEx>
          <w:tblCellMar>
            <w:top w:w="0" w:type="dxa"/>
            <w:left w:w="108" w:type="dxa"/>
            <w:bottom w:w="0" w:type="dxa"/>
            <w:right w:w="108" w:type="dxa"/>
          </w:tblCellMar>
        </w:tblPrEx>
        <w:trPr>
          <w:trHeight w:val="360" w:hRule="atLeast"/>
        </w:trPr>
        <w:tc>
          <w:tcPr>
            <w:tcW w:w="0" w:type="auto"/>
            <w:vMerge w:val="restart"/>
            <w:tcBorders>
              <w:top w:val="nil"/>
              <w:left w:val="single" w:color="auto" w:sz="12" w:space="0"/>
              <w:bottom w:val="single" w:color="000000" w:sz="12" w:space="0"/>
              <w:right w:val="single" w:color="auto" w:sz="12" w:space="0"/>
            </w:tcBorders>
            <w:shd w:val="clear" w:color="000000" w:fill="FFFFFF"/>
            <w:noWrap w:val="0"/>
            <w:textDirection w:val="tbRlV"/>
            <w:vAlign w:val="center"/>
          </w:tcPr>
          <w:p w14:paraId="117EDA78">
            <w:pPr>
              <w:jc w:val="center"/>
              <w:rPr>
                <w:rFonts w:ascii="宋体" w:hAnsi="宋体"/>
                <w:szCs w:val="24"/>
              </w:rPr>
            </w:pPr>
            <w:r>
              <w:rPr>
                <w:rFonts w:hint="eastAsia" w:ascii="宋体" w:hAnsi="宋体"/>
                <w:szCs w:val="24"/>
              </w:rPr>
              <w:t>运维管理服务考核指标</w:t>
            </w:r>
          </w:p>
        </w:tc>
        <w:tc>
          <w:tcPr>
            <w:tcW w:w="0" w:type="auto"/>
            <w:vMerge w:val="restart"/>
            <w:tcBorders>
              <w:top w:val="nil"/>
              <w:left w:val="single" w:color="auto" w:sz="12" w:space="0"/>
              <w:bottom w:val="single" w:color="000000" w:sz="12" w:space="0"/>
              <w:right w:val="single" w:color="auto" w:sz="12" w:space="0"/>
            </w:tcBorders>
            <w:shd w:val="clear" w:color="000000" w:fill="FFFFFF"/>
            <w:noWrap w:val="0"/>
            <w:vAlign w:val="center"/>
          </w:tcPr>
          <w:p w14:paraId="67E3498B">
            <w:pPr>
              <w:rPr>
                <w:rFonts w:ascii="宋体" w:hAnsi="宋体" w:cs="Calibri"/>
                <w:szCs w:val="24"/>
              </w:rPr>
            </w:pPr>
            <w:r>
              <w:rPr>
                <w:rFonts w:ascii="宋体" w:hAnsi="宋体" w:cs="Calibri"/>
                <w:szCs w:val="24"/>
              </w:rPr>
              <w:t>1</w:t>
            </w:r>
          </w:p>
        </w:tc>
        <w:tc>
          <w:tcPr>
            <w:tcW w:w="0" w:type="auto"/>
            <w:vMerge w:val="restart"/>
            <w:tcBorders>
              <w:top w:val="nil"/>
              <w:left w:val="single" w:color="auto" w:sz="12" w:space="0"/>
              <w:bottom w:val="single" w:color="000000" w:sz="12" w:space="0"/>
              <w:right w:val="single" w:color="auto" w:sz="12" w:space="0"/>
            </w:tcBorders>
            <w:shd w:val="clear" w:color="000000" w:fill="FFFFFF"/>
            <w:noWrap w:val="0"/>
            <w:vAlign w:val="center"/>
          </w:tcPr>
          <w:p w14:paraId="6B5B11EB">
            <w:pPr>
              <w:rPr>
                <w:rFonts w:ascii="宋体" w:hAnsi="宋体"/>
                <w:szCs w:val="24"/>
              </w:rPr>
            </w:pPr>
            <w:r>
              <w:rPr>
                <w:rFonts w:hint="eastAsia" w:ascii="宋体" w:hAnsi="宋体"/>
                <w:szCs w:val="24"/>
              </w:rPr>
              <w:t>运维团队稳定性</w:t>
            </w:r>
          </w:p>
        </w:tc>
        <w:tc>
          <w:tcPr>
            <w:tcW w:w="0" w:type="auto"/>
            <w:tcBorders>
              <w:top w:val="nil"/>
              <w:left w:val="nil"/>
              <w:bottom w:val="single" w:color="auto" w:sz="12" w:space="0"/>
              <w:right w:val="single" w:color="auto" w:sz="12" w:space="0"/>
            </w:tcBorders>
            <w:shd w:val="clear" w:color="000000" w:fill="FFFFFF"/>
            <w:noWrap w:val="0"/>
            <w:vAlign w:val="center"/>
          </w:tcPr>
          <w:p w14:paraId="285FF5C1">
            <w:pPr>
              <w:rPr>
                <w:rFonts w:ascii="宋体" w:hAnsi="宋体"/>
                <w:szCs w:val="24"/>
              </w:rPr>
            </w:pPr>
            <w:r>
              <w:rPr>
                <w:rFonts w:hint="eastAsia" w:ascii="宋体" w:hAnsi="宋体"/>
                <w:szCs w:val="24"/>
              </w:rPr>
              <w:t>考核周期（月度）运维人数≥</w:t>
            </w:r>
            <w:r>
              <w:rPr>
                <w:rFonts w:ascii="宋体" w:hAnsi="宋体" w:cs="Calibri"/>
                <w:szCs w:val="24"/>
              </w:rPr>
              <w:t>5</w:t>
            </w:r>
            <w:r>
              <w:rPr>
                <w:rFonts w:hint="eastAsia" w:ascii="宋体" w:hAnsi="宋体"/>
                <w:szCs w:val="24"/>
              </w:rPr>
              <w:t>人，得</w:t>
            </w:r>
            <w:r>
              <w:rPr>
                <w:rFonts w:ascii="宋体" w:hAnsi="宋体" w:cs="Calibri"/>
                <w:szCs w:val="24"/>
              </w:rPr>
              <w:t>8</w:t>
            </w:r>
            <w:r>
              <w:rPr>
                <w:rFonts w:hint="eastAsia" w:ascii="宋体" w:hAnsi="宋体"/>
                <w:szCs w:val="24"/>
              </w:rPr>
              <w:t>分；</w:t>
            </w:r>
          </w:p>
        </w:tc>
        <w:tc>
          <w:tcPr>
            <w:tcW w:w="0" w:type="auto"/>
            <w:vMerge w:val="restart"/>
            <w:tcBorders>
              <w:top w:val="nil"/>
              <w:left w:val="single" w:color="auto" w:sz="12" w:space="0"/>
              <w:bottom w:val="single" w:color="000000" w:sz="12" w:space="0"/>
              <w:right w:val="single" w:color="auto" w:sz="12" w:space="0"/>
            </w:tcBorders>
            <w:shd w:val="clear" w:color="000000" w:fill="FFFFFF"/>
            <w:noWrap w:val="0"/>
            <w:vAlign w:val="center"/>
          </w:tcPr>
          <w:p w14:paraId="6594BA9E">
            <w:pPr>
              <w:rPr>
                <w:rFonts w:ascii="宋体" w:hAnsi="宋体" w:cs="Calibri"/>
                <w:szCs w:val="24"/>
              </w:rPr>
            </w:pPr>
            <w:r>
              <w:rPr>
                <w:rFonts w:ascii="宋体" w:hAnsi="宋体" w:cs="Calibri"/>
                <w:szCs w:val="24"/>
              </w:rPr>
              <w:t>8</w:t>
            </w:r>
          </w:p>
        </w:tc>
      </w:tr>
      <w:tr w14:paraId="27AB1AA7">
        <w:tblPrEx>
          <w:tblCellMar>
            <w:top w:w="0" w:type="dxa"/>
            <w:left w:w="108" w:type="dxa"/>
            <w:bottom w:w="0" w:type="dxa"/>
            <w:right w:w="108" w:type="dxa"/>
          </w:tblCellMar>
        </w:tblPrEx>
        <w:trPr>
          <w:trHeight w:val="360" w:hRule="atLeast"/>
        </w:trPr>
        <w:tc>
          <w:tcPr>
            <w:tcW w:w="0" w:type="auto"/>
            <w:vMerge w:val="continue"/>
            <w:tcBorders>
              <w:top w:val="nil"/>
              <w:left w:val="single" w:color="auto" w:sz="12" w:space="0"/>
              <w:bottom w:val="single" w:color="000000" w:sz="12" w:space="0"/>
              <w:right w:val="single" w:color="auto" w:sz="12" w:space="0"/>
            </w:tcBorders>
            <w:shd w:val="clear" w:color="auto" w:fill="auto"/>
            <w:noWrap w:val="0"/>
            <w:vAlign w:val="center"/>
          </w:tcPr>
          <w:p w14:paraId="1B2CA856">
            <w:pPr>
              <w:rPr>
                <w:rFonts w:ascii="宋体" w:hAnsi="宋体"/>
                <w:szCs w:val="24"/>
              </w:rPr>
            </w:pPr>
          </w:p>
        </w:tc>
        <w:tc>
          <w:tcPr>
            <w:tcW w:w="0" w:type="auto"/>
            <w:vMerge w:val="continue"/>
            <w:tcBorders>
              <w:top w:val="nil"/>
              <w:left w:val="single" w:color="auto" w:sz="12" w:space="0"/>
              <w:bottom w:val="single" w:color="000000" w:sz="12" w:space="0"/>
              <w:right w:val="single" w:color="auto" w:sz="12" w:space="0"/>
            </w:tcBorders>
            <w:shd w:val="clear" w:color="auto" w:fill="auto"/>
            <w:noWrap w:val="0"/>
            <w:vAlign w:val="center"/>
          </w:tcPr>
          <w:p w14:paraId="601DF4C4">
            <w:pPr>
              <w:rPr>
                <w:rFonts w:ascii="宋体" w:hAnsi="宋体" w:cs="Calibri"/>
                <w:szCs w:val="24"/>
              </w:rPr>
            </w:pPr>
          </w:p>
        </w:tc>
        <w:tc>
          <w:tcPr>
            <w:tcW w:w="0" w:type="auto"/>
            <w:vMerge w:val="continue"/>
            <w:tcBorders>
              <w:top w:val="nil"/>
              <w:left w:val="single" w:color="auto" w:sz="12" w:space="0"/>
              <w:bottom w:val="single" w:color="000000" w:sz="12" w:space="0"/>
              <w:right w:val="single" w:color="auto" w:sz="12" w:space="0"/>
            </w:tcBorders>
            <w:shd w:val="clear" w:color="auto" w:fill="auto"/>
            <w:noWrap w:val="0"/>
            <w:vAlign w:val="center"/>
          </w:tcPr>
          <w:p w14:paraId="29CC18A1">
            <w:pPr>
              <w:rPr>
                <w:rFonts w:ascii="宋体" w:hAnsi="宋体"/>
                <w:szCs w:val="24"/>
              </w:rPr>
            </w:pPr>
          </w:p>
        </w:tc>
        <w:tc>
          <w:tcPr>
            <w:tcW w:w="0" w:type="auto"/>
            <w:tcBorders>
              <w:top w:val="nil"/>
              <w:left w:val="nil"/>
              <w:bottom w:val="single" w:color="auto" w:sz="12" w:space="0"/>
              <w:right w:val="single" w:color="auto" w:sz="12" w:space="0"/>
            </w:tcBorders>
            <w:shd w:val="clear" w:color="000000" w:fill="FFFFFF"/>
            <w:noWrap w:val="0"/>
            <w:vAlign w:val="center"/>
          </w:tcPr>
          <w:p w14:paraId="513F3A5B">
            <w:pPr>
              <w:rPr>
                <w:rFonts w:ascii="宋体" w:hAnsi="宋体"/>
                <w:szCs w:val="24"/>
              </w:rPr>
            </w:pPr>
            <w:r>
              <w:rPr>
                <w:rFonts w:hint="eastAsia" w:ascii="宋体" w:hAnsi="宋体"/>
                <w:szCs w:val="24"/>
              </w:rPr>
              <w:t>考核周期（月度）运维人数＜</w:t>
            </w:r>
            <w:r>
              <w:rPr>
                <w:rFonts w:ascii="宋体" w:hAnsi="宋体" w:cs="Calibri"/>
                <w:szCs w:val="24"/>
              </w:rPr>
              <w:t>5</w:t>
            </w:r>
            <w:r>
              <w:rPr>
                <w:rFonts w:hint="eastAsia" w:ascii="宋体" w:hAnsi="宋体"/>
                <w:szCs w:val="24"/>
              </w:rPr>
              <w:t>人且≥</w:t>
            </w:r>
            <w:r>
              <w:rPr>
                <w:rFonts w:ascii="宋体" w:hAnsi="宋体" w:cs="Calibri"/>
                <w:szCs w:val="24"/>
              </w:rPr>
              <w:t>4</w:t>
            </w:r>
            <w:r>
              <w:rPr>
                <w:rFonts w:hint="eastAsia" w:ascii="宋体" w:hAnsi="宋体"/>
                <w:szCs w:val="24"/>
              </w:rPr>
              <w:t>人，得</w:t>
            </w:r>
            <w:r>
              <w:rPr>
                <w:rFonts w:ascii="宋体" w:hAnsi="宋体" w:cs="Calibri"/>
                <w:szCs w:val="24"/>
              </w:rPr>
              <w:t>4</w:t>
            </w:r>
            <w:r>
              <w:rPr>
                <w:rFonts w:hint="eastAsia" w:ascii="宋体" w:hAnsi="宋体"/>
                <w:szCs w:val="24"/>
              </w:rPr>
              <w:t>分；</w:t>
            </w:r>
          </w:p>
        </w:tc>
        <w:tc>
          <w:tcPr>
            <w:tcW w:w="0" w:type="auto"/>
            <w:vMerge w:val="continue"/>
            <w:tcBorders>
              <w:top w:val="nil"/>
              <w:left w:val="single" w:color="auto" w:sz="12" w:space="0"/>
              <w:bottom w:val="single" w:color="000000" w:sz="12" w:space="0"/>
              <w:right w:val="single" w:color="auto" w:sz="12" w:space="0"/>
            </w:tcBorders>
            <w:noWrap w:val="0"/>
            <w:vAlign w:val="center"/>
          </w:tcPr>
          <w:p w14:paraId="1E8C96CE">
            <w:pPr>
              <w:rPr>
                <w:rFonts w:ascii="宋体" w:hAnsi="宋体" w:cs="Calibri"/>
                <w:szCs w:val="24"/>
              </w:rPr>
            </w:pPr>
          </w:p>
        </w:tc>
      </w:tr>
      <w:tr w14:paraId="36257CD0">
        <w:tblPrEx>
          <w:tblCellMar>
            <w:top w:w="0" w:type="dxa"/>
            <w:left w:w="108" w:type="dxa"/>
            <w:bottom w:w="0" w:type="dxa"/>
            <w:right w:w="108" w:type="dxa"/>
          </w:tblCellMar>
        </w:tblPrEx>
        <w:trPr>
          <w:trHeight w:val="360" w:hRule="atLeast"/>
        </w:trPr>
        <w:tc>
          <w:tcPr>
            <w:tcW w:w="0" w:type="auto"/>
            <w:vMerge w:val="continue"/>
            <w:tcBorders>
              <w:top w:val="nil"/>
              <w:left w:val="single" w:color="auto" w:sz="12" w:space="0"/>
              <w:bottom w:val="single" w:color="000000" w:sz="12" w:space="0"/>
              <w:right w:val="single" w:color="auto" w:sz="12" w:space="0"/>
            </w:tcBorders>
            <w:shd w:val="clear" w:color="auto" w:fill="auto"/>
            <w:noWrap w:val="0"/>
            <w:vAlign w:val="center"/>
          </w:tcPr>
          <w:p w14:paraId="529A674A">
            <w:pPr>
              <w:rPr>
                <w:rFonts w:ascii="宋体" w:hAnsi="宋体"/>
                <w:szCs w:val="24"/>
              </w:rPr>
            </w:pPr>
          </w:p>
        </w:tc>
        <w:tc>
          <w:tcPr>
            <w:tcW w:w="0" w:type="auto"/>
            <w:vMerge w:val="continue"/>
            <w:tcBorders>
              <w:top w:val="nil"/>
              <w:left w:val="single" w:color="auto" w:sz="12" w:space="0"/>
              <w:bottom w:val="single" w:color="000000" w:sz="12" w:space="0"/>
              <w:right w:val="single" w:color="auto" w:sz="12" w:space="0"/>
            </w:tcBorders>
            <w:shd w:val="clear" w:color="auto" w:fill="auto"/>
            <w:noWrap w:val="0"/>
            <w:vAlign w:val="center"/>
          </w:tcPr>
          <w:p w14:paraId="06A0C9B8">
            <w:pPr>
              <w:rPr>
                <w:rFonts w:ascii="宋体" w:hAnsi="宋体" w:cs="Calibri"/>
                <w:szCs w:val="24"/>
              </w:rPr>
            </w:pPr>
          </w:p>
        </w:tc>
        <w:tc>
          <w:tcPr>
            <w:tcW w:w="0" w:type="auto"/>
            <w:vMerge w:val="continue"/>
            <w:tcBorders>
              <w:top w:val="nil"/>
              <w:left w:val="single" w:color="auto" w:sz="12" w:space="0"/>
              <w:bottom w:val="single" w:color="000000" w:sz="12" w:space="0"/>
              <w:right w:val="single" w:color="auto" w:sz="12" w:space="0"/>
            </w:tcBorders>
            <w:shd w:val="clear" w:color="auto" w:fill="auto"/>
            <w:noWrap w:val="0"/>
            <w:vAlign w:val="center"/>
          </w:tcPr>
          <w:p w14:paraId="680FDDB6">
            <w:pPr>
              <w:rPr>
                <w:rFonts w:ascii="宋体" w:hAnsi="宋体"/>
                <w:szCs w:val="24"/>
              </w:rPr>
            </w:pPr>
          </w:p>
        </w:tc>
        <w:tc>
          <w:tcPr>
            <w:tcW w:w="0" w:type="auto"/>
            <w:tcBorders>
              <w:top w:val="nil"/>
              <w:left w:val="nil"/>
              <w:bottom w:val="single" w:color="auto" w:sz="12" w:space="0"/>
              <w:right w:val="single" w:color="auto" w:sz="12" w:space="0"/>
            </w:tcBorders>
            <w:shd w:val="clear" w:color="000000" w:fill="FFFFFF"/>
            <w:noWrap w:val="0"/>
            <w:vAlign w:val="center"/>
          </w:tcPr>
          <w:p w14:paraId="024D41B1">
            <w:pPr>
              <w:rPr>
                <w:rFonts w:ascii="宋体" w:hAnsi="宋体"/>
                <w:szCs w:val="24"/>
              </w:rPr>
            </w:pPr>
            <w:r>
              <w:rPr>
                <w:rFonts w:hint="eastAsia" w:ascii="宋体" w:hAnsi="宋体"/>
                <w:szCs w:val="24"/>
              </w:rPr>
              <w:t>考核周期（月度）运维人数＜</w:t>
            </w:r>
            <w:r>
              <w:rPr>
                <w:rFonts w:ascii="宋体" w:hAnsi="宋体" w:cs="Calibri"/>
                <w:szCs w:val="24"/>
              </w:rPr>
              <w:t>4</w:t>
            </w:r>
            <w:r>
              <w:rPr>
                <w:rFonts w:hint="eastAsia" w:ascii="宋体" w:hAnsi="宋体"/>
                <w:szCs w:val="24"/>
              </w:rPr>
              <w:t>人，得</w:t>
            </w:r>
            <w:r>
              <w:rPr>
                <w:rFonts w:ascii="宋体" w:hAnsi="宋体" w:cs="Calibri"/>
                <w:szCs w:val="24"/>
              </w:rPr>
              <w:t>0</w:t>
            </w:r>
            <w:r>
              <w:rPr>
                <w:rFonts w:hint="eastAsia" w:ascii="宋体" w:hAnsi="宋体"/>
                <w:szCs w:val="24"/>
              </w:rPr>
              <w:t>分。</w:t>
            </w:r>
          </w:p>
        </w:tc>
        <w:tc>
          <w:tcPr>
            <w:tcW w:w="0" w:type="auto"/>
            <w:vMerge w:val="continue"/>
            <w:tcBorders>
              <w:top w:val="nil"/>
              <w:left w:val="single" w:color="auto" w:sz="12" w:space="0"/>
              <w:bottom w:val="single" w:color="000000" w:sz="12" w:space="0"/>
              <w:right w:val="single" w:color="auto" w:sz="12" w:space="0"/>
            </w:tcBorders>
            <w:noWrap w:val="0"/>
            <w:vAlign w:val="center"/>
          </w:tcPr>
          <w:p w14:paraId="698F2638">
            <w:pPr>
              <w:rPr>
                <w:rFonts w:ascii="宋体" w:hAnsi="宋体" w:cs="Calibri"/>
                <w:szCs w:val="24"/>
              </w:rPr>
            </w:pPr>
          </w:p>
        </w:tc>
      </w:tr>
      <w:tr w14:paraId="1F4FBEB8">
        <w:tblPrEx>
          <w:tblCellMar>
            <w:top w:w="0" w:type="dxa"/>
            <w:left w:w="108" w:type="dxa"/>
            <w:bottom w:w="0" w:type="dxa"/>
            <w:right w:w="108" w:type="dxa"/>
          </w:tblCellMar>
        </w:tblPrEx>
        <w:trPr>
          <w:trHeight w:val="660" w:hRule="atLeast"/>
        </w:trPr>
        <w:tc>
          <w:tcPr>
            <w:tcW w:w="0" w:type="auto"/>
            <w:vMerge w:val="continue"/>
            <w:tcBorders>
              <w:top w:val="nil"/>
              <w:left w:val="single" w:color="auto" w:sz="12" w:space="0"/>
              <w:bottom w:val="single" w:color="000000" w:sz="12" w:space="0"/>
              <w:right w:val="single" w:color="auto" w:sz="12" w:space="0"/>
            </w:tcBorders>
            <w:shd w:val="clear" w:color="auto" w:fill="auto"/>
            <w:noWrap w:val="0"/>
            <w:vAlign w:val="center"/>
          </w:tcPr>
          <w:p w14:paraId="6D686153">
            <w:pPr>
              <w:rPr>
                <w:rFonts w:ascii="宋体" w:hAnsi="宋体"/>
                <w:szCs w:val="24"/>
              </w:rPr>
            </w:pPr>
          </w:p>
        </w:tc>
        <w:tc>
          <w:tcPr>
            <w:tcW w:w="0" w:type="auto"/>
            <w:vMerge w:val="restart"/>
            <w:tcBorders>
              <w:top w:val="nil"/>
              <w:left w:val="single" w:color="auto" w:sz="12" w:space="0"/>
              <w:bottom w:val="single" w:color="000000" w:sz="12" w:space="0"/>
              <w:right w:val="single" w:color="auto" w:sz="12" w:space="0"/>
            </w:tcBorders>
            <w:shd w:val="clear" w:color="auto" w:fill="auto"/>
            <w:noWrap w:val="0"/>
            <w:vAlign w:val="center"/>
          </w:tcPr>
          <w:p w14:paraId="497EE4B8">
            <w:pPr>
              <w:rPr>
                <w:rFonts w:ascii="宋体" w:hAnsi="宋体" w:cs="Calibri"/>
                <w:szCs w:val="24"/>
              </w:rPr>
            </w:pPr>
            <w:r>
              <w:rPr>
                <w:rFonts w:ascii="宋体" w:hAnsi="宋体" w:cs="Calibri"/>
                <w:szCs w:val="24"/>
              </w:rPr>
              <w:t>2</w:t>
            </w:r>
          </w:p>
        </w:tc>
        <w:tc>
          <w:tcPr>
            <w:tcW w:w="0" w:type="auto"/>
            <w:vMerge w:val="restart"/>
            <w:tcBorders>
              <w:top w:val="nil"/>
              <w:left w:val="single" w:color="auto" w:sz="12" w:space="0"/>
              <w:bottom w:val="single" w:color="000000" w:sz="12" w:space="0"/>
              <w:right w:val="single" w:color="auto" w:sz="12" w:space="0"/>
            </w:tcBorders>
            <w:shd w:val="clear" w:color="auto" w:fill="auto"/>
            <w:noWrap w:val="0"/>
            <w:vAlign w:val="center"/>
          </w:tcPr>
          <w:p w14:paraId="0067E82A">
            <w:pPr>
              <w:rPr>
                <w:rFonts w:ascii="宋体" w:hAnsi="宋体"/>
                <w:szCs w:val="24"/>
              </w:rPr>
            </w:pPr>
            <w:r>
              <w:rPr>
                <w:rFonts w:hint="eastAsia" w:ascii="宋体" w:hAnsi="宋体"/>
                <w:szCs w:val="24"/>
              </w:rPr>
              <w:t>重要运维事件响应程度（以甲方需要为准）</w:t>
            </w:r>
          </w:p>
        </w:tc>
        <w:tc>
          <w:tcPr>
            <w:tcW w:w="0" w:type="auto"/>
            <w:tcBorders>
              <w:top w:val="nil"/>
              <w:left w:val="nil"/>
              <w:bottom w:val="single" w:color="auto" w:sz="12" w:space="0"/>
              <w:right w:val="single" w:color="auto" w:sz="12" w:space="0"/>
            </w:tcBorders>
            <w:shd w:val="clear" w:color="000000" w:fill="FFFFFF"/>
            <w:noWrap w:val="0"/>
            <w:vAlign w:val="center"/>
          </w:tcPr>
          <w:p w14:paraId="206EADBB">
            <w:pPr>
              <w:rPr>
                <w:rFonts w:ascii="宋体" w:hAnsi="宋体"/>
                <w:szCs w:val="24"/>
              </w:rPr>
            </w:pPr>
            <w:r>
              <w:rPr>
                <w:rFonts w:hint="eastAsia" w:ascii="宋体" w:hAnsi="宋体"/>
                <w:szCs w:val="24"/>
              </w:rPr>
              <w:t>考核周期（月度）12小时内响应客户安排运维事件，完成节假日值守和重要时期保障，得1</w:t>
            </w:r>
            <w:r>
              <w:rPr>
                <w:rFonts w:ascii="宋体" w:hAnsi="宋体"/>
                <w:szCs w:val="24"/>
              </w:rPr>
              <w:t>0</w:t>
            </w:r>
            <w:r>
              <w:rPr>
                <w:rFonts w:hint="eastAsia" w:ascii="宋体" w:hAnsi="宋体"/>
                <w:szCs w:val="24"/>
              </w:rPr>
              <w:t>分；</w:t>
            </w:r>
          </w:p>
        </w:tc>
        <w:tc>
          <w:tcPr>
            <w:tcW w:w="0" w:type="auto"/>
            <w:vMerge w:val="restart"/>
            <w:tcBorders>
              <w:top w:val="nil"/>
              <w:left w:val="single" w:color="auto" w:sz="12" w:space="0"/>
              <w:bottom w:val="single" w:color="000000" w:sz="12" w:space="0"/>
              <w:right w:val="single" w:color="auto" w:sz="12" w:space="0"/>
            </w:tcBorders>
            <w:noWrap w:val="0"/>
            <w:vAlign w:val="center"/>
          </w:tcPr>
          <w:p w14:paraId="04D7E955">
            <w:pPr>
              <w:rPr>
                <w:rFonts w:ascii="宋体" w:hAnsi="宋体" w:cs="Calibri"/>
                <w:szCs w:val="24"/>
              </w:rPr>
            </w:pPr>
            <w:r>
              <w:rPr>
                <w:rFonts w:hint="eastAsia" w:ascii="宋体" w:hAnsi="宋体" w:cs="Calibri"/>
                <w:szCs w:val="24"/>
              </w:rPr>
              <w:t>1</w:t>
            </w:r>
            <w:r>
              <w:rPr>
                <w:rFonts w:ascii="宋体" w:hAnsi="宋体" w:cs="Calibri"/>
                <w:szCs w:val="24"/>
              </w:rPr>
              <w:t>0</w:t>
            </w:r>
          </w:p>
        </w:tc>
      </w:tr>
      <w:tr w14:paraId="3CEB2B47">
        <w:tblPrEx>
          <w:tblCellMar>
            <w:top w:w="0" w:type="dxa"/>
            <w:left w:w="108" w:type="dxa"/>
            <w:bottom w:w="0" w:type="dxa"/>
            <w:right w:w="108" w:type="dxa"/>
          </w:tblCellMar>
        </w:tblPrEx>
        <w:trPr>
          <w:trHeight w:val="640" w:hRule="atLeast"/>
        </w:trPr>
        <w:tc>
          <w:tcPr>
            <w:tcW w:w="0" w:type="auto"/>
            <w:vMerge w:val="continue"/>
            <w:tcBorders>
              <w:top w:val="nil"/>
              <w:left w:val="single" w:color="auto" w:sz="12" w:space="0"/>
              <w:bottom w:val="single" w:color="000000" w:sz="12" w:space="0"/>
              <w:right w:val="single" w:color="auto" w:sz="12" w:space="0"/>
            </w:tcBorders>
            <w:shd w:val="clear" w:color="auto" w:fill="auto"/>
            <w:noWrap w:val="0"/>
            <w:vAlign w:val="center"/>
          </w:tcPr>
          <w:p w14:paraId="4A2069B0">
            <w:pPr>
              <w:rPr>
                <w:rFonts w:ascii="宋体" w:hAnsi="宋体"/>
                <w:szCs w:val="24"/>
              </w:rPr>
            </w:pPr>
          </w:p>
        </w:tc>
        <w:tc>
          <w:tcPr>
            <w:tcW w:w="0" w:type="auto"/>
            <w:vMerge w:val="continue"/>
            <w:tcBorders>
              <w:top w:val="nil"/>
              <w:left w:val="single" w:color="auto" w:sz="12" w:space="0"/>
              <w:bottom w:val="single" w:color="000000" w:sz="12" w:space="0"/>
              <w:right w:val="single" w:color="auto" w:sz="12" w:space="0"/>
            </w:tcBorders>
            <w:shd w:val="clear" w:color="auto" w:fill="auto"/>
            <w:noWrap w:val="0"/>
            <w:vAlign w:val="center"/>
          </w:tcPr>
          <w:p w14:paraId="581F9B2B">
            <w:pPr>
              <w:rPr>
                <w:rFonts w:ascii="宋体" w:hAnsi="宋体" w:cs="Calibri"/>
                <w:szCs w:val="24"/>
              </w:rPr>
            </w:pPr>
          </w:p>
        </w:tc>
        <w:tc>
          <w:tcPr>
            <w:tcW w:w="0" w:type="auto"/>
            <w:vMerge w:val="continue"/>
            <w:tcBorders>
              <w:top w:val="nil"/>
              <w:left w:val="single" w:color="auto" w:sz="12" w:space="0"/>
              <w:bottom w:val="single" w:color="000000" w:sz="12" w:space="0"/>
              <w:right w:val="single" w:color="auto" w:sz="12" w:space="0"/>
            </w:tcBorders>
            <w:shd w:val="clear" w:color="auto" w:fill="auto"/>
            <w:noWrap w:val="0"/>
            <w:vAlign w:val="center"/>
          </w:tcPr>
          <w:p w14:paraId="638CE5FB">
            <w:pPr>
              <w:rPr>
                <w:rFonts w:ascii="宋体" w:hAnsi="宋体"/>
                <w:szCs w:val="24"/>
              </w:rPr>
            </w:pPr>
          </w:p>
        </w:tc>
        <w:tc>
          <w:tcPr>
            <w:tcW w:w="0" w:type="auto"/>
            <w:tcBorders>
              <w:top w:val="nil"/>
              <w:left w:val="nil"/>
              <w:bottom w:val="single" w:color="auto" w:sz="12" w:space="0"/>
              <w:right w:val="single" w:color="auto" w:sz="12" w:space="0"/>
            </w:tcBorders>
            <w:shd w:val="clear" w:color="000000" w:fill="FFFFFF"/>
            <w:noWrap w:val="0"/>
            <w:vAlign w:val="center"/>
          </w:tcPr>
          <w:p w14:paraId="508FAEDB">
            <w:pPr>
              <w:rPr>
                <w:rFonts w:ascii="宋体" w:hAnsi="宋体"/>
                <w:szCs w:val="24"/>
              </w:rPr>
            </w:pPr>
            <w:r>
              <w:rPr>
                <w:rFonts w:hint="eastAsia" w:ascii="宋体" w:hAnsi="宋体"/>
                <w:szCs w:val="24"/>
              </w:rPr>
              <w:t>考核周期（月度）24小时内响应客户安排运维事件，完成节假日值守和重要时期保障，得5分；</w:t>
            </w:r>
          </w:p>
        </w:tc>
        <w:tc>
          <w:tcPr>
            <w:tcW w:w="0" w:type="auto"/>
            <w:vMerge w:val="continue"/>
            <w:tcBorders>
              <w:top w:val="nil"/>
              <w:left w:val="single" w:color="auto" w:sz="12" w:space="0"/>
              <w:bottom w:val="single" w:color="000000" w:sz="12" w:space="0"/>
              <w:right w:val="single" w:color="auto" w:sz="12" w:space="0"/>
            </w:tcBorders>
            <w:noWrap w:val="0"/>
            <w:vAlign w:val="center"/>
          </w:tcPr>
          <w:p w14:paraId="069C43F9">
            <w:pPr>
              <w:rPr>
                <w:rFonts w:ascii="宋体" w:hAnsi="宋体" w:cs="Calibri"/>
                <w:szCs w:val="24"/>
              </w:rPr>
            </w:pPr>
          </w:p>
        </w:tc>
      </w:tr>
      <w:tr w14:paraId="31F104DF">
        <w:tblPrEx>
          <w:tblCellMar>
            <w:top w:w="0" w:type="dxa"/>
            <w:left w:w="108" w:type="dxa"/>
            <w:bottom w:w="0" w:type="dxa"/>
            <w:right w:w="108" w:type="dxa"/>
          </w:tblCellMar>
        </w:tblPrEx>
        <w:trPr>
          <w:trHeight w:val="660" w:hRule="atLeast"/>
        </w:trPr>
        <w:tc>
          <w:tcPr>
            <w:tcW w:w="0" w:type="auto"/>
            <w:vMerge w:val="continue"/>
            <w:tcBorders>
              <w:top w:val="nil"/>
              <w:left w:val="single" w:color="auto" w:sz="12" w:space="0"/>
              <w:bottom w:val="single" w:color="000000" w:sz="12" w:space="0"/>
              <w:right w:val="single" w:color="auto" w:sz="12" w:space="0"/>
            </w:tcBorders>
            <w:shd w:val="clear" w:color="auto" w:fill="auto"/>
            <w:noWrap w:val="0"/>
            <w:vAlign w:val="center"/>
          </w:tcPr>
          <w:p w14:paraId="1559C8F0">
            <w:pPr>
              <w:rPr>
                <w:rFonts w:ascii="宋体" w:hAnsi="宋体"/>
                <w:szCs w:val="24"/>
              </w:rPr>
            </w:pPr>
          </w:p>
        </w:tc>
        <w:tc>
          <w:tcPr>
            <w:tcW w:w="0" w:type="auto"/>
            <w:vMerge w:val="continue"/>
            <w:tcBorders>
              <w:top w:val="nil"/>
              <w:left w:val="single" w:color="auto" w:sz="12" w:space="0"/>
              <w:bottom w:val="single" w:color="000000" w:sz="12" w:space="0"/>
              <w:right w:val="single" w:color="auto" w:sz="12" w:space="0"/>
            </w:tcBorders>
            <w:shd w:val="clear" w:color="auto" w:fill="auto"/>
            <w:noWrap w:val="0"/>
            <w:vAlign w:val="center"/>
          </w:tcPr>
          <w:p w14:paraId="74A9B7F4">
            <w:pPr>
              <w:rPr>
                <w:rFonts w:ascii="宋体" w:hAnsi="宋体" w:cs="Calibri"/>
                <w:szCs w:val="24"/>
              </w:rPr>
            </w:pPr>
          </w:p>
        </w:tc>
        <w:tc>
          <w:tcPr>
            <w:tcW w:w="0" w:type="auto"/>
            <w:vMerge w:val="continue"/>
            <w:tcBorders>
              <w:top w:val="nil"/>
              <w:left w:val="single" w:color="auto" w:sz="12" w:space="0"/>
              <w:bottom w:val="single" w:color="000000" w:sz="12" w:space="0"/>
              <w:right w:val="single" w:color="auto" w:sz="12" w:space="0"/>
            </w:tcBorders>
            <w:shd w:val="clear" w:color="auto" w:fill="auto"/>
            <w:noWrap w:val="0"/>
            <w:vAlign w:val="center"/>
          </w:tcPr>
          <w:p w14:paraId="622D99C6">
            <w:pPr>
              <w:rPr>
                <w:rFonts w:ascii="宋体" w:hAnsi="宋体"/>
                <w:szCs w:val="24"/>
              </w:rPr>
            </w:pPr>
          </w:p>
        </w:tc>
        <w:tc>
          <w:tcPr>
            <w:tcW w:w="0" w:type="auto"/>
            <w:tcBorders>
              <w:top w:val="nil"/>
              <w:left w:val="nil"/>
              <w:bottom w:val="single" w:color="auto" w:sz="12" w:space="0"/>
              <w:right w:val="single" w:color="auto" w:sz="12" w:space="0"/>
            </w:tcBorders>
            <w:shd w:val="clear" w:color="000000" w:fill="FFFFFF"/>
            <w:noWrap w:val="0"/>
            <w:vAlign w:val="center"/>
          </w:tcPr>
          <w:p w14:paraId="2F32D446">
            <w:pPr>
              <w:rPr>
                <w:rFonts w:ascii="宋体" w:hAnsi="宋体"/>
                <w:szCs w:val="24"/>
              </w:rPr>
            </w:pPr>
            <w:r>
              <w:rPr>
                <w:rFonts w:hint="eastAsia" w:ascii="宋体" w:hAnsi="宋体"/>
                <w:szCs w:val="24"/>
              </w:rPr>
              <w:t>考核周期（月度）超过24小时未响应客户安排运维事件，完成节假日值守和重要时期保障，得</w:t>
            </w:r>
            <w:r>
              <w:rPr>
                <w:rFonts w:ascii="宋体" w:hAnsi="宋体" w:cs="Calibri"/>
                <w:szCs w:val="24"/>
              </w:rPr>
              <w:t>0</w:t>
            </w:r>
            <w:r>
              <w:rPr>
                <w:rFonts w:hint="eastAsia" w:ascii="宋体" w:hAnsi="宋体"/>
                <w:szCs w:val="24"/>
              </w:rPr>
              <w:t>分；</w:t>
            </w:r>
          </w:p>
        </w:tc>
        <w:tc>
          <w:tcPr>
            <w:tcW w:w="0" w:type="auto"/>
            <w:vMerge w:val="continue"/>
            <w:tcBorders>
              <w:top w:val="nil"/>
              <w:left w:val="single" w:color="auto" w:sz="12" w:space="0"/>
              <w:bottom w:val="single" w:color="000000" w:sz="12" w:space="0"/>
              <w:right w:val="single" w:color="auto" w:sz="12" w:space="0"/>
            </w:tcBorders>
            <w:noWrap w:val="0"/>
            <w:vAlign w:val="center"/>
          </w:tcPr>
          <w:p w14:paraId="645C7D96">
            <w:pPr>
              <w:rPr>
                <w:rFonts w:ascii="宋体" w:hAnsi="宋体" w:cs="Calibri"/>
                <w:szCs w:val="24"/>
              </w:rPr>
            </w:pPr>
          </w:p>
        </w:tc>
      </w:tr>
      <w:tr w14:paraId="13E7F769">
        <w:tblPrEx>
          <w:tblCellMar>
            <w:top w:w="0" w:type="dxa"/>
            <w:left w:w="108" w:type="dxa"/>
            <w:bottom w:w="0" w:type="dxa"/>
            <w:right w:w="108" w:type="dxa"/>
          </w:tblCellMar>
        </w:tblPrEx>
        <w:trPr>
          <w:trHeight w:val="660" w:hRule="atLeast"/>
        </w:trPr>
        <w:tc>
          <w:tcPr>
            <w:tcW w:w="0" w:type="auto"/>
            <w:vMerge w:val="continue"/>
            <w:tcBorders>
              <w:top w:val="nil"/>
              <w:left w:val="single" w:color="auto" w:sz="12" w:space="0"/>
              <w:bottom w:val="single" w:color="000000" w:sz="12" w:space="0"/>
              <w:right w:val="single" w:color="auto" w:sz="12" w:space="0"/>
            </w:tcBorders>
            <w:shd w:val="clear" w:color="auto" w:fill="auto"/>
            <w:noWrap w:val="0"/>
            <w:vAlign w:val="center"/>
          </w:tcPr>
          <w:p w14:paraId="175A8A57">
            <w:pPr>
              <w:rPr>
                <w:rFonts w:ascii="宋体" w:hAnsi="宋体"/>
                <w:szCs w:val="24"/>
              </w:rPr>
            </w:pPr>
          </w:p>
        </w:tc>
        <w:tc>
          <w:tcPr>
            <w:tcW w:w="0" w:type="auto"/>
            <w:vMerge w:val="restart"/>
            <w:tcBorders>
              <w:top w:val="nil"/>
              <w:left w:val="single" w:color="auto" w:sz="12" w:space="0"/>
              <w:bottom w:val="single" w:color="000000" w:sz="12" w:space="0"/>
              <w:right w:val="single" w:color="auto" w:sz="12" w:space="0"/>
            </w:tcBorders>
            <w:shd w:val="clear" w:color="000000" w:fill="FFFFFF"/>
            <w:noWrap w:val="0"/>
            <w:vAlign w:val="center"/>
          </w:tcPr>
          <w:p w14:paraId="59C31A10">
            <w:pPr>
              <w:rPr>
                <w:rFonts w:ascii="宋体" w:hAnsi="宋体" w:cs="Calibri"/>
                <w:szCs w:val="24"/>
              </w:rPr>
            </w:pPr>
            <w:r>
              <w:rPr>
                <w:rFonts w:ascii="宋体" w:hAnsi="宋体" w:cs="Calibri"/>
                <w:szCs w:val="24"/>
              </w:rPr>
              <w:t>3</w:t>
            </w:r>
          </w:p>
        </w:tc>
        <w:tc>
          <w:tcPr>
            <w:tcW w:w="0" w:type="auto"/>
            <w:vMerge w:val="restart"/>
            <w:tcBorders>
              <w:top w:val="nil"/>
              <w:left w:val="single" w:color="auto" w:sz="12" w:space="0"/>
              <w:bottom w:val="single" w:color="000000" w:sz="12" w:space="0"/>
              <w:right w:val="single" w:color="auto" w:sz="12" w:space="0"/>
            </w:tcBorders>
            <w:shd w:val="clear" w:color="000000" w:fill="FFFFFF"/>
            <w:noWrap w:val="0"/>
            <w:vAlign w:val="center"/>
          </w:tcPr>
          <w:p w14:paraId="00F3D111">
            <w:pPr>
              <w:rPr>
                <w:rFonts w:ascii="宋体" w:hAnsi="宋体"/>
                <w:szCs w:val="24"/>
              </w:rPr>
            </w:pPr>
            <w:r>
              <w:rPr>
                <w:rFonts w:hint="eastAsia" w:ascii="宋体" w:hAnsi="宋体"/>
                <w:szCs w:val="24"/>
              </w:rPr>
              <w:t>文档完整性和质量</w:t>
            </w:r>
          </w:p>
        </w:tc>
        <w:tc>
          <w:tcPr>
            <w:tcW w:w="0" w:type="auto"/>
            <w:tcBorders>
              <w:top w:val="nil"/>
              <w:left w:val="nil"/>
              <w:bottom w:val="single" w:color="auto" w:sz="12" w:space="0"/>
              <w:right w:val="single" w:color="auto" w:sz="12" w:space="0"/>
            </w:tcBorders>
            <w:shd w:val="clear" w:color="000000" w:fill="FFFFFF"/>
            <w:noWrap w:val="0"/>
            <w:vAlign w:val="center"/>
          </w:tcPr>
          <w:p w14:paraId="4C25A96E">
            <w:pPr>
              <w:rPr>
                <w:rFonts w:ascii="宋体" w:hAnsi="宋体"/>
                <w:szCs w:val="24"/>
              </w:rPr>
            </w:pPr>
            <w:r>
              <w:rPr>
                <w:rFonts w:hint="eastAsia" w:ascii="宋体" w:hAnsi="宋体"/>
                <w:szCs w:val="24"/>
              </w:rPr>
              <w:t>考核周期（月度）内文档完整无缺失、内容清晰无异常，得6分；</w:t>
            </w:r>
          </w:p>
        </w:tc>
        <w:tc>
          <w:tcPr>
            <w:tcW w:w="0" w:type="auto"/>
            <w:vMerge w:val="restart"/>
            <w:tcBorders>
              <w:top w:val="nil"/>
              <w:left w:val="single" w:color="auto" w:sz="12" w:space="0"/>
              <w:bottom w:val="single" w:color="000000" w:sz="12" w:space="0"/>
              <w:right w:val="single" w:color="auto" w:sz="12" w:space="0"/>
            </w:tcBorders>
            <w:shd w:val="clear" w:color="000000" w:fill="FFFFFF"/>
            <w:noWrap w:val="0"/>
            <w:vAlign w:val="center"/>
          </w:tcPr>
          <w:p w14:paraId="69FF3566">
            <w:pPr>
              <w:rPr>
                <w:rFonts w:ascii="宋体" w:hAnsi="宋体" w:cs="Calibri"/>
                <w:szCs w:val="24"/>
              </w:rPr>
            </w:pPr>
            <w:r>
              <w:rPr>
                <w:rFonts w:hint="eastAsia" w:ascii="宋体" w:hAnsi="宋体" w:cs="Calibri"/>
                <w:szCs w:val="24"/>
              </w:rPr>
              <w:t>6</w:t>
            </w:r>
          </w:p>
        </w:tc>
      </w:tr>
      <w:tr w14:paraId="1B21965C">
        <w:tblPrEx>
          <w:tblCellMar>
            <w:top w:w="0" w:type="dxa"/>
            <w:left w:w="108" w:type="dxa"/>
            <w:bottom w:w="0" w:type="dxa"/>
            <w:right w:w="108" w:type="dxa"/>
          </w:tblCellMar>
        </w:tblPrEx>
        <w:trPr>
          <w:trHeight w:val="360" w:hRule="atLeast"/>
        </w:trPr>
        <w:tc>
          <w:tcPr>
            <w:tcW w:w="0" w:type="auto"/>
            <w:vMerge w:val="continue"/>
            <w:tcBorders>
              <w:top w:val="nil"/>
              <w:left w:val="single" w:color="auto" w:sz="12" w:space="0"/>
              <w:bottom w:val="single" w:color="000000" w:sz="12" w:space="0"/>
              <w:right w:val="single" w:color="auto" w:sz="12" w:space="0"/>
            </w:tcBorders>
            <w:shd w:val="clear" w:color="auto" w:fill="auto"/>
            <w:noWrap w:val="0"/>
            <w:vAlign w:val="center"/>
          </w:tcPr>
          <w:p w14:paraId="4D4FBD76">
            <w:pPr>
              <w:rPr>
                <w:rFonts w:ascii="宋体" w:hAnsi="宋体"/>
                <w:szCs w:val="24"/>
              </w:rPr>
            </w:pPr>
          </w:p>
        </w:tc>
        <w:tc>
          <w:tcPr>
            <w:tcW w:w="0" w:type="auto"/>
            <w:vMerge w:val="continue"/>
            <w:tcBorders>
              <w:top w:val="nil"/>
              <w:left w:val="single" w:color="auto" w:sz="12" w:space="0"/>
              <w:bottom w:val="single" w:color="000000" w:sz="12" w:space="0"/>
              <w:right w:val="single" w:color="auto" w:sz="12" w:space="0"/>
            </w:tcBorders>
            <w:shd w:val="clear" w:color="auto" w:fill="auto"/>
            <w:noWrap w:val="0"/>
            <w:vAlign w:val="center"/>
          </w:tcPr>
          <w:p w14:paraId="4EAEDB62">
            <w:pPr>
              <w:rPr>
                <w:rFonts w:ascii="宋体" w:hAnsi="宋体" w:cs="Calibri"/>
                <w:szCs w:val="24"/>
              </w:rPr>
            </w:pPr>
          </w:p>
        </w:tc>
        <w:tc>
          <w:tcPr>
            <w:tcW w:w="0" w:type="auto"/>
            <w:vMerge w:val="continue"/>
            <w:tcBorders>
              <w:top w:val="nil"/>
              <w:left w:val="single" w:color="auto" w:sz="12" w:space="0"/>
              <w:bottom w:val="single" w:color="000000" w:sz="12" w:space="0"/>
              <w:right w:val="single" w:color="auto" w:sz="12" w:space="0"/>
            </w:tcBorders>
            <w:shd w:val="clear" w:color="auto" w:fill="auto"/>
            <w:noWrap w:val="0"/>
            <w:vAlign w:val="center"/>
          </w:tcPr>
          <w:p w14:paraId="069E4337">
            <w:pPr>
              <w:rPr>
                <w:rFonts w:ascii="宋体" w:hAnsi="宋体"/>
                <w:szCs w:val="24"/>
              </w:rPr>
            </w:pPr>
          </w:p>
        </w:tc>
        <w:tc>
          <w:tcPr>
            <w:tcW w:w="0" w:type="auto"/>
            <w:tcBorders>
              <w:top w:val="nil"/>
              <w:left w:val="nil"/>
              <w:bottom w:val="single" w:color="auto" w:sz="12" w:space="0"/>
              <w:right w:val="single" w:color="auto" w:sz="12" w:space="0"/>
            </w:tcBorders>
            <w:shd w:val="clear" w:color="000000" w:fill="FFFFFF"/>
            <w:noWrap w:val="0"/>
            <w:vAlign w:val="center"/>
          </w:tcPr>
          <w:p w14:paraId="40805270">
            <w:pPr>
              <w:rPr>
                <w:rFonts w:ascii="宋体" w:hAnsi="宋体"/>
                <w:szCs w:val="24"/>
              </w:rPr>
            </w:pPr>
            <w:r>
              <w:rPr>
                <w:rFonts w:hint="eastAsia" w:ascii="宋体" w:hAnsi="宋体"/>
                <w:szCs w:val="24"/>
              </w:rPr>
              <w:t>考核周期（月度）内文档不完整或内容不清晰，得</w:t>
            </w:r>
            <w:r>
              <w:rPr>
                <w:rFonts w:ascii="宋体" w:hAnsi="宋体" w:cs="Calibri"/>
                <w:szCs w:val="24"/>
              </w:rPr>
              <w:t>0</w:t>
            </w:r>
            <w:r>
              <w:rPr>
                <w:rFonts w:hint="eastAsia" w:ascii="宋体" w:hAnsi="宋体"/>
                <w:szCs w:val="24"/>
              </w:rPr>
              <w:t>分。</w:t>
            </w:r>
          </w:p>
        </w:tc>
        <w:tc>
          <w:tcPr>
            <w:tcW w:w="0" w:type="auto"/>
            <w:vMerge w:val="continue"/>
            <w:tcBorders>
              <w:top w:val="nil"/>
              <w:left w:val="single" w:color="auto" w:sz="12" w:space="0"/>
              <w:bottom w:val="single" w:color="000000" w:sz="12" w:space="0"/>
              <w:right w:val="single" w:color="auto" w:sz="12" w:space="0"/>
            </w:tcBorders>
            <w:noWrap w:val="0"/>
            <w:vAlign w:val="center"/>
          </w:tcPr>
          <w:p w14:paraId="54924B92">
            <w:pPr>
              <w:rPr>
                <w:rFonts w:ascii="宋体" w:hAnsi="宋体" w:cs="Calibri"/>
                <w:szCs w:val="24"/>
              </w:rPr>
            </w:pPr>
          </w:p>
        </w:tc>
      </w:tr>
      <w:tr w14:paraId="1274B5EE">
        <w:tblPrEx>
          <w:tblCellMar>
            <w:top w:w="0" w:type="dxa"/>
            <w:left w:w="108" w:type="dxa"/>
            <w:bottom w:w="0" w:type="dxa"/>
            <w:right w:w="108" w:type="dxa"/>
          </w:tblCellMar>
        </w:tblPrEx>
        <w:trPr>
          <w:trHeight w:val="660" w:hRule="atLeast"/>
        </w:trPr>
        <w:tc>
          <w:tcPr>
            <w:tcW w:w="0" w:type="auto"/>
            <w:vMerge w:val="continue"/>
            <w:tcBorders>
              <w:top w:val="nil"/>
              <w:left w:val="single" w:color="auto" w:sz="12" w:space="0"/>
              <w:bottom w:val="single" w:color="000000" w:sz="12" w:space="0"/>
              <w:right w:val="single" w:color="auto" w:sz="12" w:space="0"/>
            </w:tcBorders>
            <w:shd w:val="clear" w:color="auto" w:fill="auto"/>
            <w:noWrap w:val="0"/>
            <w:vAlign w:val="center"/>
          </w:tcPr>
          <w:p w14:paraId="0982472D">
            <w:pPr>
              <w:rPr>
                <w:rFonts w:ascii="宋体" w:hAnsi="宋体"/>
                <w:szCs w:val="24"/>
              </w:rPr>
            </w:pPr>
          </w:p>
        </w:tc>
        <w:tc>
          <w:tcPr>
            <w:tcW w:w="0" w:type="auto"/>
            <w:vMerge w:val="restart"/>
            <w:tcBorders>
              <w:top w:val="nil"/>
              <w:left w:val="single" w:color="auto" w:sz="12" w:space="0"/>
              <w:bottom w:val="single" w:color="000000" w:sz="12" w:space="0"/>
              <w:right w:val="single" w:color="auto" w:sz="12" w:space="0"/>
            </w:tcBorders>
            <w:shd w:val="clear" w:color="000000" w:fill="FFFFFF"/>
            <w:noWrap w:val="0"/>
            <w:vAlign w:val="center"/>
          </w:tcPr>
          <w:p w14:paraId="6E6F5817">
            <w:pPr>
              <w:rPr>
                <w:rFonts w:ascii="宋体" w:hAnsi="宋体" w:cs="Calibri"/>
                <w:szCs w:val="24"/>
              </w:rPr>
            </w:pPr>
            <w:r>
              <w:rPr>
                <w:rFonts w:ascii="宋体" w:hAnsi="宋体" w:cs="Calibri"/>
                <w:szCs w:val="24"/>
              </w:rPr>
              <w:t>4</w:t>
            </w:r>
          </w:p>
        </w:tc>
        <w:tc>
          <w:tcPr>
            <w:tcW w:w="0" w:type="auto"/>
            <w:vMerge w:val="restart"/>
            <w:tcBorders>
              <w:top w:val="nil"/>
              <w:left w:val="single" w:color="auto" w:sz="12" w:space="0"/>
              <w:bottom w:val="single" w:color="000000" w:sz="12" w:space="0"/>
              <w:right w:val="single" w:color="auto" w:sz="12" w:space="0"/>
            </w:tcBorders>
            <w:shd w:val="clear" w:color="000000" w:fill="FFFFFF"/>
            <w:noWrap w:val="0"/>
            <w:vAlign w:val="center"/>
          </w:tcPr>
          <w:p w14:paraId="56A38FCE">
            <w:pPr>
              <w:rPr>
                <w:rFonts w:ascii="宋体" w:hAnsi="宋体"/>
                <w:szCs w:val="24"/>
              </w:rPr>
            </w:pPr>
            <w:r>
              <w:rPr>
                <w:rFonts w:hint="eastAsia" w:ascii="宋体" w:hAnsi="宋体"/>
                <w:szCs w:val="24"/>
              </w:rPr>
              <w:t>运维工作完成及时性</w:t>
            </w:r>
          </w:p>
        </w:tc>
        <w:tc>
          <w:tcPr>
            <w:tcW w:w="0" w:type="auto"/>
            <w:tcBorders>
              <w:top w:val="nil"/>
              <w:left w:val="nil"/>
              <w:bottom w:val="single" w:color="auto" w:sz="12" w:space="0"/>
              <w:right w:val="single" w:color="auto" w:sz="12" w:space="0"/>
            </w:tcBorders>
            <w:shd w:val="clear" w:color="000000" w:fill="FFFFFF"/>
            <w:noWrap w:val="0"/>
            <w:vAlign w:val="center"/>
          </w:tcPr>
          <w:p w14:paraId="4A4604DB">
            <w:pPr>
              <w:rPr>
                <w:rFonts w:ascii="宋体" w:hAnsi="宋体"/>
                <w:szCs w:val="24"/>
              </w:rPr>
            </w:pPr>
            <w:r>
              <w:rPr>
                <w:rFonts w:hint="eastAsia" w:ascii="宋体" w:hAnsi="宋体"/>
                <w:szCs w:val="24"/>
              </w:rPr>
              <w:t>考核周期（月度）内80%以上的运维工作按时完成，得1</w:t>
            </w:r>
            <w:r>
              <w:rPr>
                <w:rFonts w:ascii="宋体" w:hAnsi="宋体"/>
                <w:szCs w:val="24"/>
              </w:rPr>
              <w:t>0</w:t>
            </w:r>
            <w:r>
              <w:rPr>
                <w:rFonts w:hint="eastAsia" w:ascii="宋体" w:hAnsi="宋体"/>
                <w:szCs w:val="24"/>
              </w:rPr>
              <w:t>分；</w:t>
            </w:r>
          </w:p>
        </w:tc>
        <w:tc>
          <w:tcPr>
            <w:tcW w:w="0" w:type="auto"/>
            <w:vMerge w:val="restart"/>
            <w:tcBorders>
              <w:top w:val="nil"/>
              <w:left w:val="single" w:color="auto" w:sz="12" w:space="0"/>
              <w:bottom w:val="single" w:color="000000" w:sz="12" w:space="0"/>
              <w:right w:val="single" w:color="auto" w:sz="12" w:space="0"/>
            </w:tcBorders>
            <w:shd w:val="clear" w:color="000000" w:fill="FFFFFF"/>
            <w:noWrap w:val="0"/>
            <w:vAlign w:val="center"/>
          </w:tcPr>
          <w:p w14:paraId="1F917F23">
            <w:pPr>
              <w:rPr>
                <w:rFonts w:ascii="宋体" w:hAnsi="宋体" w:cs="Calibri"/>
                <w:szCs w:val="24"/>
              </w:rPr>
            </w:pPr>
            <w:r>
              <w:rPr>
                <w:rFonts w:hint="eastAsia" w:ascii="宋体" w:hAnsi="宋体" w:cs="Calibri"/>
                <w:szCs w:val="24"/>
              </w:rPr>
              <w:t>1</w:t>
            </w:r>
            <w:r>
              <w:rPr>
                <w:rFonts w:ascii="宋体" w:hAnsi="宋体" w:cs="Calibri"/>
                <w:szCs w:val="24"/>
              </w:rPr>
              <w:t>0</w:t>
            </w:r>
          </w:p>
        </w:tc>
      </w:tr>
      <w:tr w14:paraId="7A93D642">
        <w:tblPrEx>
          <w:tblCellMar>
            <w:top w:w="0" w:type="dxa"/>
            <w:left w:w="108" w:type="dxa"/>
            <w:bottom w:w="0" w:type="dxa"/>
            <w:right w:w="108" w:type="dxa"/>
          </w:tblCellMar>
        </w:tblPrEx>
        <w:trPr>
          <w:trHeight w:val="660" w:hRule="atLeast"/>
        </w:trPr>
        <w:tc>
          <w:tcPr>
            <w:tcW w:w="0" w:type="auto"/>
            <w:vMerge w:val="continue"/>
            <w:tcBorders>
              <w:top w:val="nil"/>
              <w:left w:val="single" w:color="auto" w:sz="12" w:space="0"/>
              <w:bottom w:val="single" w:color="000000" w:sz="12" w:space="0"/>
              <w:right w:val="single" w:color="auto" w:sz="12" w:space="0"/>
            </w:tcBorders>
            <w:shd w:val="clear" w:color="auto" w:fill="auto"/>
            <w:noWrap w:val="0"/>
            <w:vAlign w:val="center"/>
          </w:tcPr>
          <w:p w14:paraId="1D88D936">
            <w:pPr>
              <w:rPr>
                <w:rFonts w:ascii="宋体" w:hAnsi="宋体"/>
                <w:szCs w:val="24"/>
              </w:rPr>
            </w:pPr>
          </w:p>
        </w:tc>
        <w:tc>
          <w:tcPr>
            <w:tcW w:w="0" w:type="auto"/>
            <w:vMerge w:val="continue"/>
            <w:tcBorders>
              <w:top w:val="nil"/>
              <w:left w:val="single" w:color="auto" w:sz="12" w:space="0"/>
              <w:bottom w:val="single" w:color="000000" w:sz="12" w:space="0"/>
              <w:right w:val="single" w:color="auto" w:sz="12" w:space="0"/>
            </w:tcBorders>
            <w:shd w:val="clear" w:color="auto" w:fill="auto"/>
            <w:noWrap w:val="0"/>
            <w:vAlign w:val="center"/>
          </w:tcPr>
          <w:p w14:paraId="0DB0490C">
            <w:pPr>
              <w:rPr>
                <w:rFonts w:ascii="宋体" w:hAnsi="宋体" w:cs="Calibri"/>
                <w:szCs w:val="24"/>
              </w:rPr>
            </w:pPr>
          </w:p>
        </w:tc>
        <w:tc>
          <w:tcPr>
            <w:tcW w:w="0" w:type="auto"/>
            <w:vMerge w:val="continue"/>
            <w:tcBorders>
              <w:top w:val="nil"/>
              <w:left w:val="single" w:color="auto" w:sz="12" w:space="0"/>
              <w:bottom w:val="single" w:color="000000" w:sz="12" w:space="0"/>
              <w:right w:val="single" w:color="auto" w:sz="12" w:space="0"/>
            </w:tcBorders>
            <w:shd w:val="clear" w:color="auto" w:fill="auto"/>
            <w:noWrap w:val="0"/>
            <w:vAlign w:val="center"/>
          </w:tcPr>
          <w:p w14:paraId="68836152">
            <w:pPr>
              <w:rPr>
                <w:rFonts w:ascii="宋体" w:hAnsi="宋体"/>
                <w:szCs w:val="24"/>
              </w:rPr>
            </w:pPr>
          </w:p>
        </w:tc>
        <w:tc>
          <w:tcPr>
            <w:tcW w:w="0" w:type="auto"/>
            <w:tcBorders>
              <w:top w:val="nil"/>
              <w:left w:val="nil"/>
              <w:bottom w:val="single" w:color="auto" w:sz="12" w:space="0"/>
              <w:right w:val="single" w:color="auto" w:sz="12" w:space="0"/>
            </w:tcBorders>
            <w:shd w:val="clear" w:color="000000" w:fill="FFFFFF"/>
            <w:noWrap w:val="0"/>
            <w:vAlign w:val="center"/>
          </w:tcPr>
          <w:p w14:paraId="6C50B45A">
            <w:pPr>
              <w:rPr>
                <w:rFonts w:ascii="宋体" w:hAnsi="宋体"/>
                <w:szCs w:val="24"/>
              </w:rPr>
            </w:pPr>
            <w:r>
              <w:rPr>
                <w:rFonts w:hint="eastAsia" w:ascii="宋体" w:hAnsi="宋体"/>
                <w:szCs w:val="24"/>
              </w:rPr>
              <w:t>考核周期（月度）内50%以上的运维工作按时完成，且得5分；</w:t>
            </w:r>
          </w:p>
        </w:tc>
        <w:tc>
          <w:tcPr>
            <w:tcW w:w="0" w:type="auto"/>
            <w:vMerge w:val="continue"/>
            <w:tcBorders>
              <w:top w:val="nil"/>
              <w:left w:val="single" w:color="auto" w:sz="12" w:space="0"/>
              <w:bottom w:val="single" w:color="000000" w:sz="12" w:space="0"/>
              <w:right w:val="single" w:color="auto" w:sz="12" w:space="0"/>
            </w:tcBorders>
            <w:noWrap w:val="0"/>
            <w:vAlign w:val="center"/>
          </w:tcPr>
          <w:p w14:paraId="38C7AA7D">
            <w:pPr>
              <w:rPr>
                <w:rFonts w:ascii="宋体" w:hAnsi="宋体" w:cs="Calibri"/>
                <w:szCs w:val="24"/>
              </w:rPr>
            </w:pPr>
          </w:p>
        </w:tc>
      </w:tr>
      <w:tr w14:paraId="265920E5">
        <w:tblPrEx>
          <w:tblCellMar>
            <w:top w:w="0" w:type="dxa"/>
            <w:left w:w="108" w:type="dxa"/>
            <w:bottom w:w="0" w:type="dxa"/>
            <w:right w:w="108" w:type="dxa"/>
          </w:tblCellMar>
        </w:tblPrEx>
        <w:trPr>
          <w:trHeight w:val="660" w:hRule="atLeast"/>
        </w:trPr>
        <w:tc>
          <w:tcPr>
            <w:tcW w:w="0" w:type="auto"/>
            <w:vMerge w:val="continue"/>
            <w:tcBorders>
              <w:top w:val="nil"/>
              <w:left w:val="single" w:color="auto" w:sz="12" w:space="0"/>
              <w:bottom w:val="single" w:color="000000" w:sz="12" w:space="0"/>
              <w:right w:val="single" w:color="auto" w:sz="12" w:space="0"/>
            </w:tcBorders>
            <w:shd w:val="clear" w:color="auto" w:fill="auto"/>
            <w:noWrap w:val="0"/>
            <w:vAlign w:val="center"/>
          </w:tcPr>
          <w:p w14:paraId="0D86CBAB">
            <w:pPr>
              <w:rPr>
                <w:rFonts w:ascii="宋体" w:hAnsi="宋体"/>
                <w:szCs w:val="24"/>
              </w:rPr>
            </w:pPr>
          </w:p>
        </w:tc>
        <w:tc>
          <w:tcPr>
            <w:tcW w:w="0" w:type="auto"/>
            <w:vMerge w:val="continue"/>
            <w:tcBorders>
              <w:top w:val="nil"/>
              <w:left w:val="single" w:color="auto" w:sz="12" w:space="0"/>
              <w:bottom w:val="single" w:color="000000" w:sz="12" w:space="0"/>
              <w:right w:val="single" w:color="auto" w:sz="12" w:space="0"/>
            </w:tcBorders>
            <w:shd w:val="clear" w:color="auto" w:fill="auto"/>
            <w:noWrap w:val="0"/>
            <w:vAlign w:val="center"/>
          </w:tcPr>
          <w:p w14:paraId="3B5C4037">
            <w:pPr>
              <w:rPr>
                <w:rFonts w:ascii="宋体" w:hAnsi="宋体" w:cs="Calibri"/>
                <w:szCs w:val="24"/>
              </w:rPr>
            </w:pPr>
          </w:p>
        </w:tc>
        <w:tc>
          <w:tcPr>
            <w:tcW w:w="0" w:type="auto"/>
            <w:vMerge w:val="continue"/>
            <w:tcBorders>
              <w:top w:val="nil"/>
              <w:left w:val="single" w:color="auto" w:sz="12" w:space="0"/>
              <w:bottom w:val="single" w:color="000000" w:sz="12" w:space="0"/>
              <w:right w:val="single" w:color="auto" w:sz="12" w:space="0"/>
            </w:tcBorders>
            <w:shd w:val="clear" w:color="auto" w:fill="auto"/>
            <w:noWrap w:val="0"/>
            <w:vAlign w:val="center"/>
          </w:tcPr>
          <w:p w14:paraId="35BB2F02">
            <w:pPr>
              <w:rPr>
                <w:rFonts w:ascii="宋体" w:hAnsi="宋体"/>
                <w:szCs w:val="24"/>
              </w:rPr>
            </w:pPr>
          </w:p>
        </w:tc>
        <w:tc>
          <w:tcPr>
            <w:tcW w:w="0" w:type="auto"/>
            <w:tcBorders>
              <w:top w:val="nil"/>
              <w:left w:val="nil"/>
              <w:bottom w:val="single" w:color="auto" w:sz="12" w:space="0"/>
              <w:right w:val="single" w:color="auto" w:sz="12" w:space="0"/>
            </w:tcBorders>
            <w:shd w:val="clear" w:color="000000" w:fill="FFFFFF"/>
            <w:noWrap w:val="0"/>
            <w:vAlign w:val="center"/>
          </w:tcPr>
          <w:p w14:paraId="15E0E9E9">
            <w:pPr>
              <w:rPr>
                <w:rFonts w:ascii="宋体" w:hAnsi="宋体"/>
                <w:szCs w:val="24"/>
              </w:rPr>
            </w:pPr>
            <w:r>
              <w:rPr>
                <w:rFonts w:hint="eastAsia" w:ascii="宋体" w:hAnsi="宋体"/>
                <w:szCs w:val="24"/>
              </w:rPr>
              <w:t>考核周期（月度）内50%及以下的运维工作按时完成，得</w:t>
            </w:r>
            <w:r>
              <w:rPr>
                <w:rFonts w:ascii="宋体" w:hAnsi="宋体" w:cs="Calibri"/>
                <w:szCs w:val="24"/>
              </w:rPr>
              <w:t>0</w:t>
            </w:r>
            <w:r>
              <w:rPr>
                <w:rFonts w:hint="eastAsia" w:ascii="宋体" w:hAnsi="宋体"/>
                <w:szCs w:val="24"/>
              </w:rPr>
              <w:t>分。</w:t>
            </w:r>
          </w:p>
        </w:tc>
        <w:tc>
          <w:tcPr>
            <w:tcW w:w="0" w:type="auto"/>
            <w:vMerge w:val="continue"/>
            <w:tcBorders>
              <w:top w:val="nil"/>
              <w:left w:val="single" w:color="auto" w:sz="12" w:space="0"/>
              <w:bottom w:val="single" w:color="000000" w:sz="12" w:space="0"/>
              <w:right w:val="single" w:color="auto" w:sz="12" w:space="0"/>
            </w:tcBorders>
            <w:noWrap w:val="0"/>
            <w:vAlign w:val="center"/>
          </w:tcPr>
          <w:p w14:paraId="55FDE20C">
            <w:pPr>
              <w:rPr>
                <w:rFonts w:ascii="宋体" w:hAnsi="宋体" w:cs="Calibri"/>
                <w:szCs w:val="24"/>
              </w:rPr>
            </w:pPr>
          </w:p>
        </w:tc>
      </w:tr>
      <w:tr w14:paraId="613FCB8E">
        <w:tblPrEx>
          <w:tblCellMar>
            <w:top w:w="0" w:type="dxa"/>
            <w:left w:w="108" w:type="dxa"/>
            <w:bottom w:w="0" w:type="dxa"/>
            <w:right w:w="108" w:type="dxa"/>
          </w:tblCellMar>
        </w:tblPrEx>
        <w:trPr>
          <w:trHeight w:val="660" w:hRule="atLeast"/>
        </w:trPr>
        <w:tc>
          <w:tcPr>
            <w:tcW w:w="0" w:type="auto"/>
            <w:vMerge w:val="continue"/>
            <w:tcBorders>
              <w:top w:val="nil"/>
              <w:left w:val="single" w:color="auto" w:sz="12" w:space="0"/>
              <w:bottom w:val="single" w:color="000000" w:sz="12" w:space="0"/>
              <w:right w:val="single" w:color="auto" w:sz="12" w:space="0"/>
            </w:tcBorders>
            <w:shd w:val="clear" w:color="auto" w:fill="auto"/>
            <w:noWrap w:val="0"/>
            <w:vAlign w:val="center"/>
          </w:tcPr>
          <w:p w14:paraId="0EC559C8">
            <w:pPr>
              <w:rPr>
                <w:rFonts w:ascii="宋体" w:hAnsi="宋体"/>
                <w:szCs w:val="24"/>
              </w:rPr>
            </w:pPr>
          </w:p>
        </w:tc>
        <w:tc>
          <w:tcPr>
            <w:tcW w:w="0" w:type="auto"/>
            <w:vMerge w:val="restart"/>
            <w:tcBorders>
              <w:top w:val="nil"/>
              <w:left w:val="single" w:color="auto" w:sz="12" w:space="0"/>
              <w:bottom w:val="single" w:color="000000" w:sz="12" w:space="0"/>
              <w:right w:val="single" w:color="auto" w:sz="12" w:space="0"/>
            </w:tcBorders>
            <w:shd w:val="clear" w:color="000000" w:fill="FFFFFF"/>
            <w:noWrap w:val="0"/>
            <w:vAlign w:val="center"/>
          </w:tcPr>
          <w:p w14:paraId="51117A69">
            <w:pPr>
              <w:rPr>
                <w:rFonts w:ascii="宋体" w:hAnsi="宋体" w:cs="Calibri"/>
                <w:szCs w:val="24"/>
              </w:rPr>
            </w:pPr>
            <w:r>
              <w:rPr>
                <w:rFonts w:hint="eastAsia" w:ascii="宋体" w:hAnsi="宋体" w:cs="Calibri"/>
                <w:szCs w:val="24"/>
              </w:rPr>
              <w:t>5</w:t>
            </w:r>
          </w:p>
        </w:tc>
        <w:tc>
          <w:tcPr>
            <w:tcW w:w="0" w:type="auto"/>
            <w:vMerge w:val="restart"/>
            <w:tcBorders>
              <w:top w:val="nil"/>
              <w:left w:val="single" w:color="auto" w:sz="12" w:space="0"/>
              <w:bottom w:val="single" w:color="000000" w:sz="12" w:space="0"/>
              <w:right w:val="single" w:color="auto" w:sz="12" w:space="0"/>
            </w:tcBorders>
            <w:shd w:val="clear" w:color="000000" w:fill="FFFFFF"/>
            <w:noWrap w:val="0"/>
            <w:vAlign w:val="center"/>
          </w:tcPr>
          <w:p w14:paraId="2F3C322E">
            <w:pPr>
              <w:rPr>
                <w:rFonts w:ascii="宋体" w:hAnsi="宋体"/>
                <w:szCs w:val="24"/>
              </w:rPr>
            </w:pPr>
            <w:r>
              <w:rPr>
                <w:rFonts w:hint="eastAsia" w:ascii="宋体" w:hAnsi="宋体"/>
                <w:szCs w:val="24"/>
              </w:rPr>
              <w:t>服务态度、客户满意度</w:t>
            </w:r>
          </w:p>
        </w:tc>
        <w:tc>
          <w:tcPr>
            <w:tcW w:w="0" w:type="auto"/>
            <w:tcBorders>
              <w:top w:val="nil"/>
              <w:left w:val="nil"/>
              <w:bottom w:val="single" w:color="auto" w:sz="12" w:space="0"/>
              <w:right w:val="single" w:color="auto" w:sz="12" w:space="0"/>
            </w:tcBorders>
            <w:shd w:val="clear" w:color="000000" w:fill="FFFFFF"/>
            <w:noWrap w:val="0"/>
            <w:vAlign w:val="center"/>
          </w:tcPr>
          <w:p w14:paraId="67135DA1">
            <w:pPr>
              <w:rPr>
                <w:rFonts w:ascii="宋体" w:hAnsi="宋体"/>
                <w:szCs w:val="24"/>
              </w:rPr>
            </w:pPr>
            <w:r>
              <w:rPr>
                <w:rFonts w:hint="eastAsia" w:ascii="宋体" w:hAnsi="宋体"/>
                <w:szCs w:val="24"/>
              </w:rPr>
              <w:t>考核周期（月度）内服务态度、客户满意度综合评价为优，得</w:t>
            </w:r>
            <w:r>
              <w:rPr>
                <w:rFonts w:ascii="宋体" w:hAnsi="宋体"/>
                <w:szCs w:val="24"/>
              </w:rPr>
              <w:t>8</w:t>
            </w:r>
            <w:r>
              <w:rPr>
                <w:rFonts w:hint="eastAsia" w:ascii="宋体" w:hAnsi="宋体"/>
                <w:szCs w:val="24"/>
              </w:rPr>
              <w:t>分；</w:t>
            </w:r>
          </w:p>
        </w:tc>
        <w:tc>
          <w:tcPr>
            <w:tcW w:w="0" w:type="auto"/>
            <w:vMerge w:val="restart"/>
            <w:tcBorders>
              <w:top w:val="nil"/>
              <w:left w:val="single" w:color="auto" w:sz="12" w:space="0"/>
              <w:bottom w:val="single" w:color="000000" w:sz="12" w:space="0"/>
              <w:right w:val="single" w:color="auto" w:sz="12" w:space="0"/>
            </w:tcBorders>
            <w:shd w:val="clear" w:color="000000" w:fill="FFFFFF"/>
            <w:noWrap w:val="0"/>
            <w:vAlign w:val="center"/>
          </w:tcPr>
          <w:p w14:paraId="30AEF909">
            <w:pPr>
              <w:rPr>
                <w:rFonts w:ascii="宋体" w:hAnsi="宋体" w:cs="Calibri"/>
                <w:szCs w:val="24"/>
              </w:rPr>
            </w:pPr>
            <w:r>
              <w:rPr>
                <w:rFonts w:ascii="宋体" w:hAnsi="宋体" w:cs="Calibri"/>
                <w:szCs w:val="24"/>
              </w:rPr>
              <w:t>8</w:t>
            </w:r>
          </w:p>
        </w:tc>
      </w:tr>
      <w:tr w14:paraId="3DB1FC5E">
        <w:tblPrEx>
          <w:tblCellMar>
            <w:top w:w="0" w:type="dxa"/>
            <w:left w:w="108" w:type="dxa"/>
            <w:bottom w:w="0" w:type="dxa"/>
            <w:right w:w="108" w:type="dxa"/>
          </w:tblCellMar>
        </w:tblPrEx>
        <w:trPr>
          <w:trHeight w:val="640" w:hRule="atLeast"/>
        </w:trPr>
        <w:tc>
          <w:tcPr>
            <w:tcW w:w="0" w:type="auto"/>
            <w:vMerge w:val="continue"/>
            <w:tcBorders>
              <w:top w:val="nil"/>
              <w:left w:val="single" w:color="auto" w:sz="12" w:space="0"/>
              <w:bottom w:val="single" w:color="000000" w:sz="12" w:space="0"/>
              <w:right w:val="single" w:color="auto" w:sz="12" w:space="0"/>
            </w:tcBorders>
            <w:shd w:val="clear" w:color="auto" w:fill="auto"/>
            <w:noWrap w:val="0"/>
            <w:vAlign w:val="center"/>
          </w:tcPr>
          <w:p w14:paraId="0DFFF252">
            <w:pPr>
              <w:rPr>
                <w:rFonts w:ascii="宋体" w:hAnsi="宋体"/>
                <w:szCs w:val="24"/>
              </w:rPr>
            </w:pPr>
          </w:p>
        </w:tc>
        <w:tc>
          <w:tcPr>
            <w:tcW w:w="0" w:type="auto"/>
            <w:vMerge w:val="continue"/>
            <w:tcBorders>
              <w:top w:val="nil"/>
              <w:left w:val="single" w:color="auto" w:sz="12" w:space="0"/>
              <w:bottom w:val="single" w:color="000000" w:sz="12" w:space="0"/>
              <w:right w:val="single" w:color="auto" w:sz="12" w:space="0"/>
            </w:tcBorders>
            <w:shd w:val="clear" w:color="auto" w:fill="auto"/>
            <w:noWrap w:val="0"/>
            <w:vAlign w:val="center"/>
          </w:tcPr>
          <w:p w14:paraId="5EEDBA6D">
            <w:pPr>
              <w:rPr>
                <w:rFonts w:ascii="宋体" w:hAnsi="宋体" w:cs="Calibri"/>
                <w:szCs w:val="24"/>
              </w:rPr>
            </w:pPr>
          </w:p>
        </w:tc>
        <w:tc>
          <w:tcPr>
            <w:tcW w:w="0" w:type="auto"/>
            <w:vMerge w:val="continue"/>
            <w:tcBorders>
              <w:top w:val="nil"/>
              <w:left w:val="single" w:color="auto" w:sz="12" w:space="0"/>
              <w:bottom w:val="single" w:color="000000" w:sz="12" w:space="0"/>
              <w:right w:val="single" w:color="auto" w:sz="12" w:space="0"/>
            </w:tcBorders>
            <w:shd w:val="clear" w:color="auto" w:fill="auto"/>
            <w:noWrap w:val="0"/>
            <w:vAlign w:val="center"/>
          </w:tcPr>
          <w:p w14:paraId="5477EC3E">
            <w:pPr>
              <w:rPr>
                <w:rFonts w:ascii="宋体" w:hAnsi="宋体"/>
                <w:szCs w:val="24"/>
              </w:rPr>
            </w:pPr>
          </w:p>
        </w:tc>
        <w:tc>
          <w:tcPr>
            <w:tcW w:w="0" w:type="auto"/>
            <w:tcBorders>
              <w:top w:val="nil"/>
              <w:left w:val="nil"/>
              <w:bottom w:val="single" w:color="auto" w:sz="12" w:space="0"/>
              <w:right w:val="single" w:color="auto" w:sz="12" w:space="0"/>
            </w:tcBorders>
            <w:shd w:val="clear" w:color="000000" w:fill="FFFFFF"/>
            <w:noWrap w:val="0"/>
            <w:vAlign w:val="center"/>
          </w:tcPr>
          <w:p w14:paraId="672180CB">
            <w:pPr>
              <w:rPr>
                <w:rFonts w:ascii="宋体" w:hAnsi="宋体"/>
                <w:szCs w:val="24"/>
              </w:rPr>
            </w:pPr>
            <w:r>
              <w:rPr>
                <w:rFonts w:hint="eastAsia" w:ascii="宋体" w:hAnsi="宋体"/>
                <w:szCs w:val="24"/>
              </w:rPr>
              <w:t>考核周期（月度）内服务态度、客户满意度综合评价为良，得</w:t>
            </w:r>
            <w:r>
              <w:rPr>
                <w:rFonts w:ascii="宋体" w:hAnsi="宋体"/>
                <w:szCs w:val="24"/>
              </w:rPr>
              <w:t>4</w:t>
            </w:r>
            <w:r>
              <w:rPr>
                <w:rFonts w:hint="eastAsia" w:ascii="宋体" w:hAnsi="宋体"/>
                <w:szCs w:val="24"/>
              </w:rPr>
              <w:t>分；</w:t>
            </w:r>
          </w:p>
        </w:tc>
        <w:tc>
          <w:tcPr>
            <w:tcW w:w="0" w:type="auto"/>
            <w:vMerge w:val="continue"/>
            <w:tcBorders>
              <w:top w:val="nil"/>
              <w:left w:val="single" w:color="auto" w:sz="12" w:space="0"/>
              <w:bottom w:val="single" w:color="000000" w:sz="12" w:space="0"/>
              <w:right w:val="single" w:color="auto" w:sz="12" w:space="0"/>
            </w:tcBorders>
            <w:noWrap w:val="0"/>
            <w:vAlign w:val="center"/>
          </w:tcPr>
          <w:p w14:paraId="0764B64B">
            <w:pPr>
              <w:rPr>
                <w:rFonts w:ascii="宋体" w:hAnsi="宋体" w:cs="Calibri"/>
                <w:szCs w:val="24"/>
              </w:rPr>
            </w:pPr>
          </w:p>
        </w:tc>
      </w:tr>
      <w:tr w14:paraId="63E7B60C">
        <w:tblPrEx>
          <w:tblCellMar>
            <w:top w:w="0" w:type="dxa"/>
            <w:left w:w="108" w:type="dxa"/>
            <w:bottom w:w="0" w:type="dxa"/>
            <w:right w:w="108" w:type="dxa"/>
          </w:tblCellMar>
        </w:tblPrEx>
        <w:trPr>
          <w:trHeight w:val="640" w:hRule="atLeast"/>
        </w:trPr>
        <w:tc>
          <w:tcPr>
            <w:tcW w:w="0" w:type="auto"/>
            <w:vMerge w:val="continue"/>
            <w:tcBorders>
              <w:top w:val="nil"/>
              <w:left w:val="single" w:color="auto" w:sz="12" w:space="0"/>
              <w:bottom w:val="single" w:color="000000" w:sz="12" w:space="0"/>
              <w:right w:val="single" w:color="auto" w:sz="12" w:space="0"/>
            </w:tcBorders>
            <w:shd w:val="clear" w:color="auto" w:fill="auto"/>
            <w:noWrap w:val="0"/>
            <w:vAlign w:val="center"/>
          </w:tcPr>
          <w:p w14:paraId="025EAB16">
            <w:pPr>
              <w:rPr>
                <w:rFonts w:ascii="宋体" w:hAnsi="宋体"/>
                <w:szCs w:val="24"/>
              </w:rPr>
            </w:pPr>
          </w:p>
        </w:tc>
        <w:tc>
          <w:tcPr>
            <w:tcW w:w="0" w:type="auto"/>
            <w:vMerge w:val="continue"/>
            <w:tcBorders>
              <w:top w:val="nil"/>
              <w:left w:val="single" w:color="auto" w:sz="12" w:space="0"/>
              <w:bottom w:val="single" w:color="000000" w:sz="12" w:space="0"/>
              <w:right w:val="single" w:color="auto" w:sz="12" w:space="0"/>
            </w:tcBorders>
            <w:shd w:val="clear" w:color="auto" w:fill="auto"/>
            <w:noWrap w:val="0"/>
            <w:vAlign w:val="center"/>
          </w:tcPr>
          <w:p w14:paraId="3FABCF09">
            <w:pPr>
              <w:rPr>
                <w:rFonts w:ascii="宋体" w:hAnsi="宋体" w:cs="Calibri"/>
                <w:szCs w:val="24"/>
              </w:rPr>
            </w:pPr>
          </w:p>
        </w:tc>
        <w:tc>
          <w:tcPr>
            <w:tcW w:w="0" w:type="auto"/>
            <w:vMerge w:val="continue"/>
            <w:tcBorders>
              <w:top w:val="nil"/>
              <w:left w:val="single" w:color="auto" w:sz="12" w:space="0"/>
              <w:bottom w:val="single" w:color="000000" w:sz="12" w:space="0"/>
              <w:right w:val="single" w:color="auto" w:sz="12" w:space="0"/>
            </w:tcBorders>
            <w:shd w:val="clear" w:color="auto" w:fill="auto"/>
            <w:noWrap w:val="0"/>
            <w:vAlign w:val="center"/>
          </w:tcPr>
          <w:p w14:paraId="64FD1DA1">
            <w:pPr>
              <w:rPr>
                <w:rFonts w:ascii="宋体" w:hAnsi="宋体"/>
                <w:szCs w:val="24"/>
              </w:rPr>
            </w:pPr>
          </w:p>
        </w:tc>
        <w:tc>
          <w:tcPr>
            <w:tcW w:w="0" w:type="auto"/>
            <w:tcBorders>
              <w:top w:val="nil"/>
              <w:left w:val="nil"/>
              <w:bottom w:val="single" w:color="auto" w:sz="12" w:space="0"/>
              <w:right w:val="single" w:color="auto" w:sz="12" w:space="0"/>
            </w:tcBorders>
            <w:shd w:val="clear" w:color="000000" w:fill="FFFFFF"/>
            <w:noWrap w:val="0"/>
            <w:vAlign w:val="center"/>
          </w:tcPr>
          <w:p w14:paraId="46CF8BD2">
            <w:pPr>
              <w:rPr>
                <w:rFonts w:ascii="宋体" w:hAnsi="宋体"/>
                <w:szCs w:val="24"/>
              </w:rPr>
            </w:pPr>
            <w:r>
              <w:rPr>
                <w:rFonts w:hint="eastAsia" w:ascii="宋体" w:hAnsi="宋体"/>
                <w:szCs w:val="24"/>
              </w:rPr>
              <w:t>考核周期（月度）内服务态度、客户满意度综合评价为不佳，得</w:t>
            </w:r>
            <w:r>
              <w:rPr>
                <w:rFonts w:ascii="宋体" w:hAnsi="宋体"/>
                <w:szCs w:val="24"/>
              </w:rPr>
              <w:t>0</w:t>
            </w:r>
            <w:r>
              <w:rPr>
                <w:rFonts w:hint="eastAsia" w:ascii="宋体" w:hAnsi="宋体"/>
                <w:szCs w:val="24"/>
              </w:rPr>
              <w:t>分</w:t>
            </w:r>
          </w:p>
        </w:tc>
        <w:tc>
          <w:tcPr>
            <w:tcW w:w="0" w:type="auto"/>
            <w:vMerge w:val="continue"/>
            <w:tcBorders>
              <w:top w:val="nil"/>
              <w:left w:val="single" w:color="auto" w:sz="12" w:space="0"/>
              <w:bottom w:val="single" w:color="000000" w:sz="12" w:space="0"/>
              <w:right w:val="single" w:color="auto" w:sz="12" w:space="0"/>
            </w:tcBorders>
            <w:noWrap w:val="0"/>
            <w:vAlign w:val="center"/>
          </w:tcPr>
          <w:p w14:paraId="50C6F6CC">
            <w:pPr>
              <w:rPr>
                <w:rFonts w:ascii="宋体" w:hAnsi="宋体" w:cs="Calibri"/>
                <w:szCs w:val="24"/>
              </w:rPr>
            </w:pPr>
          </w:p>
        </w:tc>
      </w:tr>
      <w:tr w14:paraId="29ADF4EF">
        <w:tblPrEx>
          <w:tblCellMar>
            <w:top w:w="0" w:type="dxa"/>
            <w:left w:w="108" w:type="dxa"/>
            <w:bottom w:w="0" w:type="dxa"/>
            <w:right w:w="108" w:type="dxa"/>
          </w:tblCellMar>
        </w:tblPrEx>
        <w:trPr>
          <w:trHeight w:val="660" w:hRule="atLeast"/>
        </w:trPr>
        <w:tc>
          <w:tcPr>
            <w:tcW w:w="0" w:type="auto"/>
            <w:vMerge w:val="restart"/>
            <w:tcBorders>
              <w:top w:val="nil"/>
              <w:left w:val="single" w:color="auto" w:sz="12" w:space="0"/>
              <w:bottom w:val="single" w:color="000000" w:sz="12" w:space="0"/>
              <w:right w:val="single" w:color="auto" w:sz="12" w:space="0"/>
            </w:tcBorders>
            <w:shd w:val="clear" w:color="000000" w:fill="FFFFFF"/>
            <w:noWrap w:val="0"/>
            <w:textDirection w:val="tbRlV"/>
            <w:vAlign w:val="center"/>
          </w:tcPr>
          <w:p w14:paraId="12411EC8">
            <w:pPr>
              <w:jc w:val="center"/>
              <w:rPr>
                <w:rFonts w:ascii="宋体" w:hAnsi="宋体"/>
                <w:szCs w:val="24"/>
              </w:rPr>
            </w:pPr>
            <w:r>
              <w:rPr>
                <w:rFonts w:hint="eastAsia" w:ascii="宋体" w:hAnsi="宋体"/>
                <w:szCs w:val="24"/>
              </w:rPr>
              <w:t>硬件设备维护考核指标</w:t>
            </w:r>
          </w:p>
        </w:tc>
        <w:tc>
          <w:tcPr>
            <w:tcW w:w="0" w:type="auto"/>
            <w:vMerge w:val="restart"/>
            <w:tcBorders>
              <w:top w:val="nil"/>
              <w:left w:val="single" w:color="auto" w:sz="12" w:space="0"/>
              <w:bottom w:val="single" w:color="000000" w:sz="12" w:space="0"/>
              <w:right w:val="single" w:color="auto" w:sz="12" w:space="0"/>
            </w:tcBorders>
            <w:shd w:val="clear" w:color="000000" w:fill="FFFFFF"/>
            <w:noWrap w:val="0"/>
            <w:vAlign w:val="center"/>
          </w:tcPr>
          <w:p w14:paraId="4B2E9888">
            <w:pPr>
              <w:rPr>
                <w:rFonts w:ascii="宋体" w:hAnsi="宋体" w:cs="Calibri"/>
                <w:szCs w:val="24"/>
              </w:rPr>
            </w:pPr>
            <w:r>
              <w:rPr>
                <w:rFonts w:ascii="宋体" w:hAnsi="宋体" w:cs="Calibri"/>
                <w:szCs w:val="24"/>
              </w:rPr>
              <w:t>1</w:t>
            </w:r>
          </w:p>
        </w:tc>
        <w:tc>
          <w:tcPr>
            <w:tcW w:w="0" w:type="auto"/>
            <w:vMerge w:val="restart"/>
            <w:tcBorders>
              <w:top w:val="nil"/>
              <w:left w:val="single" w:color="auto" w:sz="12" w:space="0"/>
              <w:bottom w:val="single" w:color="000000" w:sz="12" w:space="0"/>
              <w:right w:val="single" w:color="auto" w:sz="12" w:space="0"/>
            </w:tcBorders>
            <w:shd w:val="clear" w:color="000000" w:fill="FFFFFF"/>
            <w:noWrap w:val="0"/>
            <w:vAlign w:val="center"/>
          </w:tcPr>
          <w:p w14:paraId="31DA07AF">
            <w:pPr>
              <w:rPr>
                <w:rFonts w:ascii="宋体" w:hAnsi="宋体"/>
                <w:szCs w:val="24"/>
              </w:rPr>
            </w:pPr>
            <w:r>
              <w:rPr>
                <w:rFonts w:hint="eastAsia" w:ascii="宋体" w:hAnsi="宋体"/>
                <w:szCs w:val="24"/>
              </w:rPr>
              <w:t>日常检查次数记录</w:t>
            </w:r>
          </w:p>
        </w:tc>
        <w:tc>
          <w:tcPr>
            <w:tcW w:w="0" w:type="auto"/>
            <w:tcBorders>
              <w:top w:val="nil"/>
              <w:left w:val="nil"/>
              <w:bottom w:val="single" w:color="auto" w:sz="12" w:space="0"/>
              <w:right w:val="single" w:color="auto" w:sz="12" w:space="0"/>
            </w:tcBorders>
            <w:shd w:val="clear" w:color="000000" w:fill="FFFFFF"/>
            <w:noWrap w:val="0"/>
            <w:vAlign w:val="center"/>
          </w:tcPr>
          <w:p w14:paraId="45F8C0EF">
            <w:pPr>
              <w:rPr>
                <w:rFonts w:ascii="宋体" w:hAnsi="宋体"/>
                <w:szCs w:val="24"/>
              </w:rPr>
            </w:pPr>
            <w:r>
              <w:rPr>
                <w:rFonts w:hint="eastAsia" w:ascii="宋体" w:hAnsi="宋体"/>
                <w:szCs w:val="24"/>
              </w:rPr>
              <w:t>考核周期（月度）内日常检查满足该月需正常检查次数并提供书面记录，得</w:t>
            </w:r>
            <w:r>
              <w:rPr>
                <w:rFonts w:ascii="宋体" w:hAnsi="宋体" w:cs="Calibri"/>
                <w:szCs w:val="24"/>
              </w:rPr>
              <w:t>6</w:t>
            </w:r>
            <w:r>
              <w:rPr>
                <w:rFonts w:hint="eastAsia" w:ascii="宋体" w:hAnsi="宋体"/>
                <w:szCs w:val="24"/>
              </w:rPr>
              <w:t>分；</w:t>
            </w:r>
          </w:p>
        </w:tc>
        <w:tc>
          <w:tcPr>
            <w:tcW w:w="0" w:type="auto"/>
            <w:vMerge w:val="restart"/>
            <w:tcBorders>
              <w:top w:val="nil"/>
              <w:left w:val="single" w:color="auto" w:sz="12" w:space="0"/>
              <w:bottom w:val="single" w:color="000000" w:sz="12" w:space="0"/>
              <w:right w:val="single" w:color="auto" w:sz="12" w:space="0"/>
            </w:tcBorders>
            <w:shd w:val="clear" w:color="000000" w:fill="FFFFFF"/>
            <w:noWrap w:val="0"/>
            <w:vAlign w:val="center"/>
          </w:tcPr>
          <w:p w14:paraId="0EC1F41A">
            <w:pPr>
              <w:rPr>
                <w:rFonts w:ascii="宋体" w:hAnsi="宋体" w:cs="Calibri"/>
                <w:szCs w:val="24"/>
              </w:rPr>
            </w:pPr>
            <w:r>
              <w:rPr>
                <w:rFonts w:ascii="宋体" w:hAnsi="宋体" w:cs="Calibri"/>
                <w:szCs w:val="24"/>
              </w:rPr>
              <w:t>6</w:t>
            </w:r>
          </w:p>
        </w:tc>
      </w:tr>
      <w:tr w14:paraId="2E73FB4F">
        <w:tblPrEx>
          <w:tblCellMar>
            <w:top w:w="0" w:type="dxa"/>
            <w:left w:w="108" w:type="dxa"/>
            <w:bottom w:w="0" w:type="dxa"/>
            <w:right w:w="108" w:type="dxa"/>
          </w:tblCellMar>
        </w:tblPrEx>
        <w:trPr>
          <w:trHeight w:val="660" w:hRule="atLeast"/>
        </w:trPr>
        <w:tc>
          <w:tcPr>
            <w:tcW w:w="0" w:type="auto"/>
            <w:vMerge w:val="continue"/>
            <w:tcBorders>
              <w:top w:val="nil"/>
              <w:left w:val="single" w:color="auto" w:sz="12" w:space="0"/>
              <w:bottom w:val="single" w:color="000000" w:sz="12" w:space="0"/>
              <w:right w:val="single" w:color="auto" w:sz="12" w:space="0"/>
            </w:tcBorders>
            <w:shd w:val="clear" w:color="auto" w:fill="auto"/>
            <w:noWrap w:val="0"/>
            <w:vAlign w:val="center"/>
          </w:tcPr>
          <w:p w14:paraId="73BE0236">
            <w:pPr>
              <w:rPr>
                <w:rFonts w:ascii="宋体" w:hAnsi="宋体"/>
                <w:szCs w:val="24"/>
              </w:rPr>
            </w:pPr>
          </w:p>
        </w:tc>
        <w:tc>
          <w:tcPr>
            <w:tcW w:w="0" w:type="auto"/>
            <w:vMerge w:val="continue"/>
            <w:tcBorders>
              <w:top w:val="nil"/>
              <w:left w:val="single" w:color="auto" w:sz="12" w:space="0"/>
              <w:bottom w:val="single" w:color="000000" w:sz="12" w:space="0"/>
              <w:right w:val="single" w:color="auto" w:sz="12" w:space="0"/>
            </w:tcBorders>
            <w:shd w:val="clear" w:color="auto" w:fill="auto"/>
            <w:noWrap w:val="0"/>
            <w:vAlign w:val="center"/>
          </w:tcPr>
          <w:p w14:paraId="488C9CD0">
            <w:pPr>
              <w:rPr>
                <w:rFonts w:ascii="宋体" w:hAnsi="宋体" w:cs="Calibri"/>
                <w:szCs w:val="24"/>
              </w:rPr>
            </w:pPr>
          </w:p>
        </w:tc>
        <w:tc>
          <w:tcPr>
            <w:tcW w:w="0" w:type="auto"/>
            <w:vMerge w:val="continue"/>
            <w:tcBorders>
              <w:top w:val="nil"/>
              <w:left w:val="single" w:color="auto" w:sz="12" w:space="0"/>
              <w:bottom w:val="single" w:color="000000" w:sz="12" w:space="0"/>
              <w:right w:val="single" w:color="auto" w:sz="12" w:space="0"/>
            </w:tcBorders>
            <w:shd w:val="clear" w:color="auto" w:fill="auto"/>
            <w:noWrap w:val="0"/>
            <w:vAlign w:val="center"/>
          </w:tcPr>
          <w:p w14:paraId="2CC168BC">
            <w:pPr>
              <w:rPr>
                <w:rFonts w:ascii="宋体" w:hAnsi="宋体"/>
                <w:szCs w:val="24"/>
              </w:rPr>
            </w:pPr>
          </w:p>
        </w:tc>
        <w:tc>
          <w:tcPr>
            <w:tcW w:w="0" w:type="auto"/>
            <w:tcBorders>
              <w:top w:val="nil"/>
              <w:left w:val="nil"/>
              <w:bottom w:val="single" w:color="auto" w:sz="12" w:space="0"/>
              <w:right w:val="single" w:color="auto" w:sz="12" w:space="0"/>
            </w:tcBorders>
            <w:shd w:val="clear" w:color="000000" w:fill="FFFFFF"/>
            <w:noWrap w:val="0"/>
            <w:vAlign w:val="center"/>
          </w:tcPr>
          <w:p w14:paraId="6F07FCB2">
            <w:pPr>
              <w:rPr>
                <w:rFonts w:ascii="宋体" w:hAnsi="宋体"/>
                <w:szCs w:val="24"/>
              </w:rPr>
            </w:pPr>
            <w:r>
              <w:rPr>
                <w:rFonts w:hint="eastAsia" w:ascii="宋体" w:hAnsi="宋体"/>
                <w:szCs w:val="24"/>
              </w:rPr>
              <w:t>考核周期（月度）内日常检查未满足该月应检查次数且未满足次数≤</w:t>
            </w:r>
            <w:r>
              <w:rPr>
                <w:rFonts w:ascii="宋体" w:hAnsi="宋体" w:cs="Calibri"/>
                <w:szCs w:val="24"/>
              </w:rPr>
              <w:t>2</w:t>
            </w:r>
            <w:r>
              <w:rPr>
                <w:rFonts w:hint="eastAsia" w:ascii="宋体" w:hAnsi="宋体"/>
                <w:szCs w:val="24"/>
              </w:rPr>
              <w:t>次并提供书面记录，得</w:t>
            </w:r>
            <w:r>
              <w:rPr>
                <w:rFonts w:ascii="宋体" w:hAnsi="宋体" w:cs="Calibri"/>
                <w:szCs w:val="24"/>
              </w:rPr>
              <w:t>4</w:t>
            </w:r>
            <w:r>
              <w:rPr>
                <w:rFonts w:hint="eastAsia" w:ascii="宋体" w:hAnsi="宋体"/>
                <w:szCs w:val="24"/>
              </w:rPr>
              <w:t>分；</w:t>
            </w:r>
          </w:p>
        </w:tc>
        <w:tc>
          <w:tcPr>
            <w:tcW w:w="0" w:type="auto"/>
            <w:vMerge w:val="continue"/>
            <w:tcBorders>
              <w:top w:val="nil"/>
              <w:left w:val="single" w:color="auto" w:sz="12" w:space="0"/>
              <w:bottom w:val="single" w:color="000000" w:sz="12" w:space="0"/>
              <w:right w:val="single" w:color="auto" w:sz="12" w:space="0"/>
            </w:tcBorders>
            <w:noWrap w:val="0"/>
            <w:vAlign w:val="center"/>
          </w:tcPr>
          <w:p w14:paraId="299BD9FA">
            <w:pPr>
              <w:rPr>
                <w:rFonts w:ascii="宋体" w:hAnsi="宋体" w:cs="Calibri"/>
                <w:szCs w:val="24"/>
              </w:rPr>
            </w:pPr>
          </w:p>
        </w:tc>
      </w:tr>
      <w:tr w14:paraId="7437E717">
        <w:tblPrEx>
          <w:tblCellMar>
            <w:top w:w="0" w:type="dxa"/>
            <w:left w:w="108" w:type="dxa"/>
            <w:bottom w:w="0" w:type="dxa"/>
            <w:right w:w="108" w:type="dxa"/>
          </w:tblCellMar>
        </w:tblPrEx>
        <w:trPr>
          <w:trHeight w:val="960" w:hRule="atLeast"/>
        </w:trPr>
        <w:tc>
          <w:tcPr>
            <w:tcW w:w="0" w:type="auto"/>
            <w:vMerge w:val="continue"/>
            <w:tcBorders>
              <w:top w:val="nil"/>
              <w:left w:val="single" w:color="auto" w:sz="12" w:space="0"/>
              <w:bottom w:val="single" w:color="000000" w:sz="12" w:space="0"/>
              <w:right w:val="single" w:color="auto" w:sz="12" w:space="0"/>
            </w:tcBorders>
            <w:shd w:val="clear" w:color="auto" w:fill="auto"/>
            <w:noWrap w:val="0"/>
            <w:vAlign w:val="center"/>
          </w:tcPr>
          <w:p w14:paraId="064606B6">
            <w:pPr>
              <w:rPr>
                <w:rFonts w:ascii="宋体" w:hAnsi="宋体"/>
                <w:szCs w:val="24"/>
              </w:rPr>
            </w:pPr>
          </w:p>
        </w:tc>
        <w:tc>
          <w:tcPr>
            <w:tcW w:w="0" w:type="auto"/>
            <w:vMerge w:val="continue"/>
            <w:tcBorders>
              <w:top w:val="nil"/>
              <w:left w:val="single" w:color="auto" w:sz="12" w:space="0"/>
              <w:bottom w:val="single" w:color="000000" w:sz="12" w:space="0"/>
              <w:right w:val="single" w:color="auto" w:sz="12" w:space="0"/>
            </w:tcBorders>
            <w:shd w:val="clear" w:color="auto" w:fill="auto"/>
            <w:noWrap w:val="0"/>
            <w:vAlign w:val="center"/>
          </w:tcPr>
          <w:p w14:paraId="761FBFB7">
            <w:pPr>
              <w:rPr>
                <w:rFonts w:ascii="宋体" w:hAnsi="宋体" w:cs="Calibri"/>
                <w:szCs w:val="24"/>
              </w:rPr>
            </w:pPr>
          </w:p>
        </w:tc>
        <w:tc>
          <w:tcPr>
            <w:tcW w:w="0" w:type="auto"/>
            <w:vMerge w:val="continue"/>
            <w:tcBorders>
              <w:top w:val="nil"/>
              <w:left w:val="single" w:color="auto" w:sz="12" w:space="0"/>
              <w:bottom w:val="single" w:color="000000" w:sz="12" w:space="0"/>
              <w:right w:val="single" w:color="auto" w:sz="12" w:space="0"/>
            </w:tcBorders>
            <w:shd w:val="clear" w:color="auto" w:fill="auto"/>
            <w:noWrap w:val="0"/>
            <w:vAlign w:val="center"/>
          </w:tcPr>
          <w:p w14:paraId="3F9144C4">
            <w:pPr>
              <w:rPr>
                <w:rFonts w:ascii="宋体" w:hAnsi="宋体"/>
                <w:szCs w:val="24"/>
              </w:rPr>
            </w:pPr>
          </w:p>
        </w:tc>
        <w:tc>
          <w:tcPr>
            <w:tcW w:w="0" w:type="auto"/>
            <w:tcBorders>
              <w:top w:val="nil"/>
              <w:left w:val="nil"/>
              <w:bottom w:val="single" w:color="auto" w:sz="12" w:space="0"/>
              <w:right w:val="single" w:color="auto" w:sz="12" w:space="0"/>
            </w:tcBorders>
            <w:shd w:val="clear" w:color="000000" w:fill="FFFFFF"/>
            <w:noWrap w:val="0"/>
            <w:vAlign w:val="center"/>
          </w:tcPr>
          <w:p w14:paraId="1BD7490C">
            <w:pPr>
              <w:rPr>
                <w:rFonts w:ascii="宋体" w:hAnsi="宋体"/>
                <w:szCs w:val="24"/>
              </w:rPr>
            </w:pPr>
            <w:r>
              <w:rPr>
                <w:rFonts w:hint="eastAsia" w:ascii="宋体" w:hAnsi="宋体"/>
                <w:szCs w:val="24"/>
              </w:rPr>
              <w:t>考核周期（月度）内日常检查未满足该月应检查次数且未满足次数</w:t>
            </w:r>
            <w:r>
              <w:rPr>
                <w:rFonts w:ascii="宋体" w:hAnsi="宋体" w:cs="Calibri"/>
                <w:szCs w:val="24"/>
              </w:rPr>
              <w:t>&gt;2</w:t>
            </w:r>
            <w:r>
              <w:rPr>
                <w:rFonts w:hint="eastAsia" w:ascii="宋体" w:hAnsi="宋体"/>
                <w:szCs w:val="24"/>
              </w:rPr>
              <w:t>次并提供书面记录或无法提供书面记录，得</w:t>
            </w:r>
            <w:r>
              <w:rPr>
                <w:rFonts w:ascii="宋体" w:hAnsi="宋体" w:cs="Calibri"/>
                <w:szCs w:val="24"/>
              </w:rPr>
              <w:t>0</w:t>
            </w:r>
            <w:r>
              <w:rPr>
                <w:rFonts w:hint="eastAsia" w:ascii="宋体" w:hAnsi="宋体"/>
                <w:szCs w:val="24"/>
              </w:rPr>
              <w:t>分；</w:t>
            </w:r>
          </w:p>
        </w:tc>
        <w:tc>
          <w:tcPr>
            <w:tcW w:w="0" w:type="auto"/>
            <w:vMerge w:val="continue"/>
            <w:tcBorders>
              <w:top w:val="nil"/>
              <w:left w:val="single" w:color="auto" w:sz="12" w:space="0"/>
              <w:bottom w:val="single" w:color="000000" w:sz="12" w:space="0"/>
              <w:right w:val="single" w:color="auto" w:sz="12" w:space="0"/>
            </w:tcBorders>
            <w:noWrap w:val="0"/>
            <w:vAlign w:val="center"/>
          </w:tcPr>
          <w:p w14:paraId="197F35FD">
            <w:pPr>
              <w:rPr>
                <w:rFonts w:ascii="宋体" w:hAnsi="宋体" w:cs="Calibri"/>
                <w:szCs w:val="24"/>
              </w:rPr>
            </w:pPr>
          </w:p>
        </w:tc>
      </w:tr>
      <w:tr w14:paraId="6AF00AD8">
        <w:tblPrEx>
          <w:tblCellMar>
            <w:top w:w="0" w:type="dxa"/>
            <w:left w:w="108" w:type="dxa"/>
            <w:bottom w:w="0" w:type="dxa"/>
            <w:right w:w="108" w:type="dxa"/>
          </w:tblCellMar>
        </w:tblPrEx>
        <w:trPr>
          <w:trHeight w:val="660" w:hRule="atLeast"/>
        </w:trPr>
        <w:tc>
          <w:tcPr>
            <w:tcW w:w="0" w:type="auto"/>
            <w:vMerge w:val="continue"/>
            <w:tcBorders>
              <w:top w:val="nil"/>
              <w:left w:val="single" w:color="auto" w:sz="12" w:space="0"/>
              <w:bottom w:val="single" w:color="000000" w:sz="12" w:space="0"/>
              <w:right w:val="single" w:color="auto" w:sz="12" w:space="0"/>
            </w:tcBorders>
            <w:shd w:val="clear" w:color="auto" w:fill="auto"/>
            <w:noWrap w:val="0"/>
            <w:vAlign w:val="center"/>
          </w:tcPr>
          <w:p w14:paraId="6BFF76CB">
            <w:pPr>
              <w:rPr>
                <w:rFonts w:ascii="宋体" w:hAnsi="宋体"/>
                <w:szCs w:val="24"/>
              </w:rPr>
            </w:pPr>
          </w:p>
        </w:tc>
        <w:tc>
          <w:tcPr>
            <w:tcW w:w="0" w:type="auto"/>
            <w:vMerge w:val="restart"/>
            <w:tcBorders>
              <w:top w:val="nil"/>
              <w:left w:val="single" w:color="auto" w:sz="12" w:space="0"/>
              <w:bottom w:val="single" w:color="000000" w:sz="12" w:space="0"/>
              <w:right w:val="single" w:color="auto" w:sz="12" w:space="0"/>
            </w:tcBorders>
            <w:shd w:val="clear" w:color="000000" w:fill="FFFFFF"/>
            <w:noWrap w:val="0"/>
            <w:vAlign w:val="center"/>
          </w:tcPr>
          <w:p w14:paraId="24DAA03D">
            <w:pPr>
              <w:rPr>
                <w:rFonts w:ascii="宋体" w:hAnsi="宋体" w:cs="Calibri"/>
                <w:szCs w:val="24"/>
              </w:rPr>
            </w:pPr>
            <w:r>
              <w:rPr>
                <w:rFonts w:ascii="宋体" w:hAnsi="宋体" w:cs="Calibri"/>
                <w:szCs w:val="24"/>
              </w:rPr>
              <w:t>2</w:t>
            </w:r>
          </w:p>
        </w:tc>
        <w:tc>
          <w:tcPr>
            <w:tcW w:w="0" w:type="auto"/>
            <w:vMerge w:val="restart"/>
            <w:tcBorders>
              <w:top w:val="nil"/>
              <w:left w:val="single" w:color="auto" w:sz="12" w:space="0"/>
              <w:bottom w:val="single" w:color="000000" w:sz="12" w:space="0"/>
              <w:right w:val="single" w:color="auto" w:sz="12" w:space="0"/>
            </w:tcBorders>
            <w:shd w:val="clear" w:color="000000" w:fill="FFFFFF"/>
            <w:noWrap w:val="0"/>
            <w:vAlign w:val="center"/>
          </w:tcPr>
          <w:p w14:paraId="584918CD">
            <w:pPr>
              <w:rPr>
                <w:rFonts w:ascii="宋体" w:hAnsi="宋体"/>
                <w:szCs w:val="24"/>
              </w:rPr>
            </w:pPr>
            <w:r>
              <w:rPr>
                <w:rFonts w:hint="eastAsia" w:ascii="宋体" w:hAnsi="宋体"/>
                <w:szCs w:val="24"/>
              </w:rPr>
              <w:t>定期维护次数报告</w:t>
            </w:r>
          </w:p>
        </w:tc>
        <w:tc>
          <w:tcPr>
            <w:tcW w:w="0" w:type="auto"/>
            <w:tcBorders>
              <w:top w:val="nil"/>
              <w:left w:val="nil"/>
              <w:bottom w:val="single" w:color="auto" w:sz="12" w:space="0"/>
              <w:right w:val="single" w:color="auto" w:sz="12" w:space="0"/>
            </w:tcBorders>
            <w:shd w:val="clear" w:color="000000" w:fill="FFFFFF"/>
            <w:noWrap w:val="0"/>
            <w:vAlign w:val="center"/>
          </w:tcPr>
          <w:p w14:paraId="43B0E36E">
            <w:pPr>
              <w:rPr>
                <w:rFonts w:ascii="宋体" w:hAnsi="宋体"/>
                <w:szCs w:val="24"/>
              </w:rPr>
            </w:pPr>
            <w:r>
              <w:rPr>
                <w:rFonts w:hint="eastAsia" w:ascii="宋体" w:hAnsi="宋体"/>
                <w:szCs w:val="24"/>
              </w:rPr>
              <w:t>考核周期（月度）内定期维护满足该月需正常维护次数并提供书面记录，得</w:t>
            </w:r>
            <w:r>
              <w:rPr>
                <w:rFonts w:ascii="宋体" w:hAnsi="宋体" w:cs="Calibri"/>
                <w:szCs w:val="24"/>
              </w:rPr>
              <w:t>6</w:t>
            </w:r>
            <w:r>
              <w:rPr>
                <w:rFonts w:hint="eastAsia" w:ascii="宋体" w:hAnsi="宋体"/>
                <w:szCs w:val="24"/>
              </w:rPr>
              <w:t>分；</w:t>
            </w:r>
          </w:p>
        </w:tc>
        <w:tc>
          <w:tcPr>
            <w:tcW w:w="0" w:type="auto"/>
            <w:vMerge w:val="restart"/>
            <w:tcBorders>
              <w:top w:val="nil"/>
              <w:left w:val="single" w:color="auto" w:sz="12" w:space="0"/>
              <w:bottom w:val="single" w:color="000000" w:sz="12" w:space="0"/>
              <w:right w:val="single" w:color="auto" w:sz="12" w:space="0"/>
            </w:tcBorders>
            <w:shd w:val="clear" w:color="000000" w:fill="FFFFFF"/>
            <w:noWrap w:val="0"/>
            <w:vAlign w:val="center"/>
          </w:tcPr>
          <w:p w14:paraId="35BC4410">
            <w:pPr>
              <w:rPr>
                <w:rFonts w:ascii="宋体" w:hAnsi="宋体" w:cs="Calibri"/>
                <w:szCs w:val="24"/>
              </w:rPr>
            </w:pPr>
            <w:r>
              <w:rPr>
                <w:rFonts w:ascii="宋体" w:hAnsi="宋体" w:cs="Calibri"/>
                <w:szCs w:val="24"/>
              </w:rPr>
              <w:t>6</w:t>
            </w:r>
          </w:p>
        </w:tc>
      </w:tr>
      <w:tr w14:paraId="6258A699">
        <w:tblPrEx>
          <w:tblCellMar>
            <w:top w:w="0" w:type="dxa"/>
            <w:left w:w="108" w:type="dxa"/>
            <w:bottom w:w="0" w:type="dxa"/>
            <w:right w:w="108" w:type="dxa"/>
          </w:tblCellMar>
        </w:tblPrEx>
        <w:trPr>
          <w:trHeight w:val="660" w:hRule="atLeast"/>
        </w:trPr>
        <w:tc>
          <w:tcPr>
            <w:tcW w:w="0" w:type="auto"/>
            <w:vMerge w:val="continue"/>
            <w:tcBorders>
              <w:top w:val="nil"/>
              <w:left w:val="single" w:color="auto" w:sz="12" w:space="0"/>
              <w:bottom w:val="single" w:color="000000" w:sz="12" w:space="0"/>
              <w:right w:val="single" w:color="auto" w:sz="12" w:space="0"/>
            </w:tcBorders>
            <w:shd w:val="clear" w:color="auto" w:fill="auto"/>
            <w:noWrap w:val="0"/>
            <w:vAlign w:val="center"/>
          </w:tcPr>
          <w:p w14:paraId="1B4344B9">
            <w:pPr>
              <w:rPr>
                <w:rFonts w:ascii="宋体" w:hAnsi="宋体"/>
                <w:szCs w:val="24"/>
              </w:rPr>
            </w:pPr>
          </w:p>
        </w:tc>
        <w:tc>
          <w:tcPr>
            <w:tcW w:w="0" w:type="auto"/>
            <w:vMerge w:val="continue"/>
            <w:tcBorders>
              <w:top w:val="nil"/>
              <w:left w:val="single" w:color="auto" w:sz="12" w:space="0"/>
              <w:bottom w:val="single" w:color="000000" w:sz="12" w:space="0"/>
              <w:right w:val="single" w:color="auto" w:sz="12" w:space="0"/>
            </w:tcBorders>
            <w:shd w:val="clear" w:color="auto" w:fill="auto"/>
            <w:noWrap w:val="0"/>
            <w:vAlign w:val="center"/>
          </w:tcPr>
          <w:p w14:paraId="272BDE11">
            <w:pPr>
              <w:rPr>
                <w:rFonts w:ascii="宋体" w:hAnsi="宋体" w:cs="Calibri"/>
                <w:szCs w:val="24"/>
              </w:rPr>
            </w:pPr>
          </w:p>
        </w:tc>
        <w:tc>
          <w:tcPr>
            <w:tcW w:w="0" w:type="auto"/>
            <w:vMerge w:val="continue"/>
            <w:tcBorders>
              <w:top w:val="nil"/>
              <w:left w:val="single" w:color="auto" w:sz="12" w:space="0"/>
              <w:bottom w:val="single" w:color="000000" w:sz="12" w:space="0"/>
              <w:right w:val="single" w:color="auto" w:sz="12" w:space="0"/>
            </w:tcBorders>
            <w:shd w:val="clear" w:color="auto" w:fill="auto"/>
            <w:noWrap w:val="0"/>
            <w:vAlign w:val="center"/>
          </w:tcPr>
          <w:p w14:paraId="4B479B43">
            <w:pPr>
              <w:rPr>
                <w:rFonts w:ascii="宋体" w:hAnsi="宋体"/>
                <w:szCs w:val="24"/>
              </w:rPr>
            </w:pPr>
          </w:p>
        </w:tc>
        <w:tc>
          <w:tcPr>
            <w:tcW w:w="0" w:type="auto"/>
            <w:tcBorders>
              <w:top w:val="nil"/>
              <w:left w:val="nil"/>
              <w:bottom w:val="single" w:color="auto" w:sz="12" w:space="0"/>
              <w:right w:val="single" w:color="auto" w:sz="12" w:space="0"/>
            </w:tcBorders>
            <w:shd w:val="clear" w:color="000000" w:fill="FFFFFF"/>
            <w:noWrap w:val="0"/>
            <w:vAlign w:val="center"/>
          </w:tcPr>
          <w:p w14:paraId="7873BCE9">
            <w:pPr>
              <w:rPr>
                <w:rFonts w:ascii="宋体" w:hAnsi="宋体"/>
                <w:szCs w:val="24"/>
              </w:rPr>
            </w:pPr>
            <w:r>
              <w:rPr>
                <w:rFonts w:hint="eastAsia" w:ascii="宋体" w:hAnsi="宋体"/>
                <w:szCs w:val="24"/>
              </w:rPr>
              <w:t>考核周期（月度）内定期维护未满足该月需正常维护次数或无法提供当月维护报告，得</w:t>
            </w:r>
            <w:r>
              <w:rPr>
                <w:rFonts w:ascii="宋体" w:hAnsi="宋体" w:cs="Calibri"/>
                <w:szCs w:val="24"/>
              </w:rPr>
              <w:t>0</w:t>
            </w:r>
            <w:r>
              <w:rPr>
                <w:rFonts w:hint="eastAsia" w:ascii="宋体" w:hAnsi="宋体"/>
                <w:szCs w:val="24"/>
              </w:rPr>
              <w:t>分；</w:t>
            </w:r>
          </w:p>
        </w:tc>
        <w:tc>
          <w:tcPr>
            <w:tcW w:w="0" w:type="auto"/>
            <w:vMerge w:val="continue"/>
            <w:tcBorders>
              <w:top w:val="nil"/>
              <w:left w:val="single" w:color="auto" w:sz="12" w:space="0"/>
              <w:bottom w:val="single" w:color="000000" w:sz="12" w:space="0"/>
              <w:right w:val="single" w:color="auto" w:sz="12" w:space="0"/>
            </w:tcBorders>
            <w:noWrap w:val="0"/>
            <w:vAlign w:val="center"/>
          </w:tcPr>
          <w:p w14:paraId="112806B6">
            <w:pPr>
              <w:rPr>
                <w:rFonts w:ascii="宋体" w:hAnsi="宋体" w:cs="Calibri"/>
                <w:szCs w:val="24"/>
              </w:rPr>
            </w:pPr>
          </w:p>
        </w:tc>
      </w:tr>
      <w:tr w14:paraId="53A95E2C">
        <w:tblPrEx>
          <w:tblCellMar>
            <w:top w:w="0" w:type="dxa"/>
            <w:left w:w="108" w:type="dxa"/>
            <w:bottom w:w="0" w:type="dxa"/>
            <w:right w:w="108" w:type="dxa"/>
          </w:tblCellMar>
        </w:tblPrEx>
        <w:trPr>
          <w:trHeight w:val="660" w:hRule="atLeast"/>
        </w:trPr>
        <w:tc>
          <w:tcPr>
            <w:tcW w:w="0" w:type="auto"/>
            <w:vMerge w:val="continue"/>
            <w:tcBorders>
              <w:top w:val="nil"/>
              <w:left w:val="single" w:color="auto" w:sz="12" w:space="0"/>
              <w:bottom w:val="single" w:color="000000" w:sz="12" w:space="0"/>
              <w:right w:val="single" w:color="auto" w:sz="12" w:space="0"/>
            </w:tcBorders>
            <w:shd w:val="clear" w:color="auto" w:fill="auto"/>
            <w:noWrap w:val="0"/>
            <w:vAlign w:val="center"/>
          </w:tcPr>
          <w:p w14:paraId="1B3271E9">
            <w:pPr>
              <w:rPr>
                <w:rFonts w:ascii="宋体" w:hAnsi="宋体"/>
                <w:szCs w:val="24"/>
              </w:rPr>
            </w:pPr>
          </w:p>
        </w:tc>
        <w:tc>
          <w:tcPr>
            <w:tcW w:w="0" w:type="auto"/>
            <w:vMerge w:val="restart"/>
            <w:tcBorders>
              <w:top w:val="nil"/>
              <w:left w:val="single" w:color="auto" w:sz="12" w:space="0"/>
              <w:bottom w:val="single" w:color="000000" w:sz="12" w:space="0"/>
              <w:right w:val="single" w:color="auto" w:sz="12" w:space="0"/>
            </w:tcBorders>
            <w:shd w:val="clear" w:color="000000" w:fill="FFFFFF"/>
            <w:noWrap w:val="0"/>
            <w:vAlign w:val="center"/>
          </w:tcPr>
          <w:p w14:paraId="6F613C35">
            <w:pPr>
              <w:rPr>
                <w:rFonts w:ascii="宋体" w:hAnsi="宋体" w:cs="Calibri"/>
                <w:szCs w:val="24"/>
              </w:rPr>
            </w:pPr>
            <w:r>
              <w:rPr>
                <w:rFonts w:ascii="宋体" w:hAnsi="宋体" w:cs="Calibri"/>
                <w:szCs w:val="24"/>
              </w:rPr>
              <w:t>3</w:t>
            </w:r>
          </w:p>
        </w:tc>
        <w:tc>
          <w:tcPr>
            <w:tcW w:w="0" w:type="auto"/>
            <w:vMerge w:val="restart"/>
            <w:tcBorders>
              <w:top w:val="nil"/>
              <w:left w:val="single" w:color="auto" w:sz="12" w:space="0"/>
              <w:bottom w:val="single" w:color="000000" w:sz="12" w:space="0"/>
              <w:right w:val="single" w:color="auto" w:sz="12" w:space="0"/>
            </w:tcBorders>
            <w:shd w:val="clear" w:color="000000" w:fill="FFFFFF"/>
            <w:noWrap w:val="0"/>
            <w:vAlign w:val="center"/>
          </w:tcPr>
          <w:p w14:paraId="395AD211">
            <w:pPr>
              <w:rPr>
                <w:rFonts w:ascii="宋体" w:hAnsi="宋体"/>
                <w:szCs w:val="24"/>
              </w:rPr>
            </w:pPr>
            <w:r>
              <w:rPr>
                <w:rFonts w:hint="eastAsia" w:ascii="宋体" w:hAnsi="宋体"/>
                <w:szCs w:val="24"/>
              </w:rPr>
              <w:t>定期检测次数报告</w:t>
            </w:r>
          </w:p>
        </w:tc>
        <w:tc>
          <w:tcPr>
            <w:tcW w:w="0" w:type="auto"/>
            <w:tcBorders>
              <w:top w:val="nil"/>
              <w:left w:val="nil"/>
              <w:bottom w:val="single" w:color="auto" w:sz="12" w:space="0"/>
              <w:right w:val="single" w:color="auto" w:sz="12" w:space="0"/>
            </w:tcBorders>
            <w:shd w:val="clear" w:color="000000" w:fill="FFFFFF"/>
            <w:noWrap w:val="0"/>
            <w:vAlign w:val="center"/>
          </w:tcPr>
          <w:p w14:paraId="7561B7A2">
            <w:pPr>
              <w:rPr>
                <w:rFonts w:ascii="宋体" w:hAnsi="宋体"/>
                <w:szCs w:val="24"/>
              </w:rPr>
            </w:pPr>
            <w:r>
              <w:rPr>
                <w:rFonts w:hint="eastAsia" w:ascii="宋体" w:hAnsi="宋体"/>
                <w:szCs w:val="24"/>
              </w:rPr>
              <w:t>考核周期（月度）内定期检测满足该月需正常检测次数并提供书面记录，得</w:t>
            </w:r>
            <w:r>
              <w:rPr>
                <w:rFonts w:ascii="宋体" w:hAnsi="宋体" w:cs="Calibri"/>
                <w:szCs w:val="24"/>
              </w:rPr>
              <w:t>6</w:t>
            </w:r>
            <w:r>
              <w:rPr>
                <w:rFonts w:hint="eastAsia" w:ascii="宋体" w:hAnsi="宋体"/>
                <w:szCs w:val="24"/>
              </w:rPr>
              <w:t>分；</w:t>
            </w:r>
          </w:p>
        </w:tc>
        <w:tc>
          <w:tcPr>
            <w:tcW w:w="0" w:type="auto"/>
            <w:vMerge w:val="restart"/>
            <w:tcBorders>
              <w:top w:val="nil"/>
              <w:left w:val="single" w:color="auto" w:sz="12" w:space="0"/>
              <w:bottom w:val="single" w:color="000000" w:sz="12" w:space="0"/>
              <w:right w:val="single" w:color="auto" w:sz="12" w:space="0"/>
            </w:tcBorders>
            <w:shd w:val="clear" w:color="000000" w:fill="FFFFFF"/>
            <w:noWrap w:val="0"/>
            <w:vAlign w:val="center"/>
          </w:tcPr>
          <w:p w14:paraId="38FD9788">
            <w:pPr>
              <w:rPr>
                <w:rFonts w:ascii="宋体" w:hAnsi="宋体" w:cs="Calibri"/>
                <w:szCs w:val="24"/>
              </w:rPr>
            </w:pPr>
            <w:r>
              <w:rPr>
                <w:rFonts w:ascii="宋体" w:hAnsi="宋体" w:cs="Calibri"/>
                <w:szCs w:val="24"/>
              </w:rPr>
              <w:t>6</w:t>
            </w:r>
          </w:p>
        </w:tc>
      </w:tr>
      <w:tr w14:paraId="250B1D68">
        <w:tblPrEx>
          <w:tblCellMar>
            <w:top w:w="0" w:type="dxa"/>
            <w:left w:w="108" w:type="dxa"/>
            <w:bottom w:w="0" w:type="dxa"/>
            <w:right w:w="108" w:type="dxa"/>
          </w:tblCellMar>
        </w:tblPrEx>
        <w:trPr>
          <w:trHeight w:val="660" w:hRule="atLeast"/>
        </w:trPr>
        <w:tc>
          <w:tcPr>
            <w:tcW w:w="0" w:type="auto"/>
            <w:vMerge w:val="continue"/>
            <w:tcBorders>
              <w:top w:val="nil"/>
              <w:left w:val="single" w:color="auto" w:sz="12" w:space="0"/>
              <w:bottom w:val="single" w:color="000000" w:sz="12" w:space="0"/>
              <w:right w:val="single" w:color="auto" w:sz="12" w:space="0"/>
            </w:tcBorders>
            <w:shd w:val="clear" w:color="auto" w:fill="auto"/>
            <w:noWrap w:val="0"/>
            <w:vAlign w:val="center"/>
          </w:tcPr>
          <w:p w14:paraId="6215D349">
            <w:pPr>
              <w:rPr>
                <w:rFonts w:ascii="宋体" w:hAnsi="宋体"/>
                <w:szCs w:val="24"/>
              </w:rPr>
            </w:pPr>
          </w:p>
        </w:tc>
        <w:tc>
          <w:tcPr>
            <w:tcW w:w="0" w:type="auto"/>
            <w:vMerge w:val="continue"/>
            <w:tcBorders>
              <w:top w:val="nil"/>
              <w:left w:val="single" w:color="auto" w:sz="12" w:space="0"/>
              <w:bottom w:val="single" w:color="000000" w:sz="12" w:space="0"/>
              <w:right w:val="single" w:color="auto" w:sz="12" w:space="0"/>
            </w:tcBorders>
            <w:shd w:val="clear" w:color="auto" w:fill="auto"/>
            <w:noWrap w:val="0"/>
            <w:vAlign w:val="center"/>
          </w:tcPr>
          <w:p w14:paraId="54FC1F22">
            <w:pPr>
              <w:rPr>
                <w:rFonts w:ascii="宋体" w:hAnsi="宋体" w:cs="Calibri"/>
                <w:szCs w:val="24"/>
              </w:rPr>
            </w:pPr>
          </w:p>
        </w:tc>
        <w:tc>
          <w:tcPr>
            <w:tcW w:w="0" w:type="auto"/>
            <w:vMerge w:val="continue"/>
            <w:tcBorders>
              <w:top w:val="nil"/>
              <w:left w:val="single" w:color="auto" w:sz="12" w:space="0"/>
              <w:bottom w:val="single" w:color="000000" w:sz="12" w:space="0"/>
              <w:right w:val="single" w:color="auto" w:sz="12" w:space="0"/>
            </w:tcBorders>
            <w:shd w:val="clear" w:color="auto" w:fill="auto"/>
            <w:noWrap w:val="0"/>
            <w:vAlign w:val="center"/>
          </w:tcPr>
          <w:p w14:paraId="6432D916">
            <w:pPr>
              <w:rPr>
                <w:rFonts w:ascii="宋体" w:hAnsi="宋体"/>
                <w:szCs w:val="24"/>
              </w:rPr>
            </w:pPr>
          </w:p>
        </w:tc>
        <w:tc>
          <w:tcPr>
            <w:tcW w:w="0" w:type="auto"/>
            <w:tcBorders>
              <w:top w:val="nil"/>
              <w:left w:val="nil"/>
              <w:bottom w:val="single" w:color="auto" w:sz="12" w:space="0"/>
              <w:right w:val="single" w:color="auto" w:sz="12" w:space="0"/>
            </w:tcBorders>
            <w:shd w:val="clear" w:color="000000" w:fill="FFFFFF"/>
            <w:noWrap w:val="0"/>
            <w:vAlign w:val="center"/>
          </w:tcPr>
          <w:p w14:paraId="3FFD9ABE">
            <w:pPr>
              <w:rPr>
                <w:rFonts w:ascii="宋体" w:hAnsi="宋体"/>
                <w:szCs w:val="24"/>
              </w:rPr>
            </w:pPr>
            <w:r>
              <w:rPr>
                <w:rFonts w:hint="eastAsia" w:ascii="宋体" w:hAnsi="宋体"/>
                <w:szCs w:val="24"/>
              </w:rPr>
              <w:t>考核周期（月度）内定期检测未满足该月需正常检测次数或无法提供当月检测报告，得</w:t>
            </w:r>
            <w:r>
              <w:rPr>
                <w:rFonts w:ascii="宋体" w:hAnsi="宋体" w:cs="Calibri"/>
                <w:szCs w:val="24"/>
              </w:rPr>
              <w:t>0</w:t>
            </w:r>
            <w:r>
              <w:rPr>
                <w:rFonts w:hint="eastAsia" w:ascii="宋体" w:hAnsi="宋体"/>
                <w:szCs w:val="24"/>
              </w:rPr>
              <w:t>分；</w:t>
            </w:r>
          </w:p>
        </w:tc>
        <w:tc>
          <w:tcPr>
            <w:tcW w:w="0" w:type="auto"/>
            <w:vMerge w:val="continue"/>
            <w:tcBorders>
              <w:top w:val="nil"/>
              <w:left w:val="single" w:color="auto" w:sz="12" w:space="0"/>
              <w:bottom w:val="single" w:color="000000" w:sz="12" w:space="0"/>
              <w:right w:val="single" w:color="auto" w:sz="12" w:space="0"/>
            </w:tcBorders>
            <w:noWrap w:val="0"/>
            <w:vAlign w:val="center"/>
          </w:tcPr>
          <w:p w14:paraId="0A863DA2">
            <w:pPr>
              <w:rPr>
                <w:rFonts w:ascii="宋体" w:hAnsi="宋体" w:cs="Calibri"/>
                <w:szCs w:val="24"/>
              </w:rPr>
            </w:pPr>
          </w:p>
        </w:tc>
      </w:tr>
      <w:tr w14:paraId="7739CD6A">
        <w:tblPrEx>
          <w:tblCellMar>
            <w:top w:w="0" w:type="dxa"/>
            <w:left w:w="108" w:type="dxa"/>
            <w:bottom w:w="0" w:type="dxa"/>
            <w:right w:w="108" w:type="dxa"/>
          </w:tblCellMar>
        </w:tblPrEx>
        <w:trPr>
          <w:trHeight w:val="660" w:hRule="atLeast"/>
        </w:trPr>
        <w:tc>
          <w:tcPr>
            <w:tcW w:w="0" w:type="auto"/>
            <w:vMerge w:val="continue"/>
            <w:tcBorders>
              <w:top w:val="nil"/>
              <w:left w:val="single" w:color="auto" w:sz="12" w:space="0"/>
              <w:bottom w:val="single" w:color="000000" w:sz="12" w:space="0"/>
              <w:right w:val="single" w:color="auto" w:sz="12" w:space="0"/>
            </w:tcBorders>
            <w:shd w:val="clear" w:color="auto" w:fill="auto"/>
            <w:noWrap w:val="0"/>
            <w:vAlign w:val="center"/>
          </w:tcPr>
          <w:p w14:paraId="2BA3E8D1">
            <w:pPr>
              <w:rPr>
                <w:rFonts w:ascii="宋体" w:hAnsi="宋体"/>
                <w:szCs w:val="24"/>
              </w:rPr>
            </w:pPr>
          </w:p>
        </w:tc>
        <w:tc>
          <w:tcPr>
            <w:tcW w:w="0" w:type="auto"/>
            <w:vMerge w:val="restart"/>
            <w:tcBorders>
              <w:top w:val="nil"/>
              <w:left w:val="single" w:color="auto" w:sz="12" w:space="0"/>
              <w:bottom w:val="single" w:color="000000" w:sz="12" w:space="0"/>
              <w:right w:val="single" w:color="auto" w:sz="12" w:space="0"/>
            </w:tcBorders>
            <w:shd w:val="clear" w:color="000000" w:fill="FFFFFF"/>
            <w:noWrap w:val="0"/>
            <w:vAlign w:val="center"/>
          </w:tcPr>
          <w:p w14:paraId="7B2595A7">
            <w:pPr>
              <w:rPr>
                <w:rFonts w:ascii="宋体" w:hAnsi="宋体" w:cs="Calibri"/>
                <w:szCs w:val="24"/>
              </w:rPr>
            </w:pPr>
            <w:r>
              <w:rPr>
                <w:rFonts w:ascii="宋体" w:hAnsi="宋体" w:cs="Calibri"/>
                <w:szCs w:val="24"/>
              </w:rPr>
              <w:t>4</w:t>
            </w:r>
          </w:p>
        </w:tc>
        <w:tc>
          <w:tcPr>
            <w:tcW w:w="0" w:type="auto"/>
            <w:vMerge w:val="restart"/>
            <w:tcBorders>
              <w:top w:val="nil"/>
              <w:left w:val="single" w:color="auto" w:sz="12" w:space="0"/>
              <w:bottom w:val="single" w:color="000000" w:sz="12" w:space="0"/>
              <w:right w:val="single" w:color="auto" w:sz="12" w:space="0"/>
            </w:tcBorders>
            <w:shd w:val="clear" w:color="000000" w:fill="FFFFFF"/>
            <w:noWrap w:val="0"/>
            <w:vAlign w:val="center"/>
          </w:tcPr>
          <w:p w14:paraId="1B300064">
            <w:pPr>
              <w:rPr>
                <w:rFonts w:ascii="宋体" w:hAnsi="宋体"/>
                <w:szCs w:val="24"/>
              </w:rPr>
            </w:pPr>
            <w:r>
              <w:rPr>
                <w:rFonts w:hint="eastAsia" w:ascii="宋体" w:hAnsi="宋体"/>
                <w:szCs w:val="24"/>
              </w:rPr>
              <w:t>设备维修次数记录</w:t>
            </w:r>
          </w:p>
        </w:tc>
        <w:tc>
          <w:tcPr>
            <w:tcW w:w="0" w:type="auto"/>
            <w:tcBorders>
              <w:top w:val="nil"/>
              <w:left w:val="nil"/>
              <w:bottom w:val="single" w:color="auto" w:sz="12" w:space="0"/>
              <w:right w:val="single" w:color="auto" w:sz="12" w:space="0"/>
            </w:tcBorders>
            <w:shd w:val="clear" w:color="000000" w:fill="FFFFFF"/>
            <w:noWrap w:val="0"/>
            <w:vAlign w:val="center"/>
          </w:tcPr>
          <w:p w14:paraId="5C703E53">
            <w:pPr>
              <w:rPr>
                <w:rFonts w:ascii="宋体" w:hAnsi="宋体"/>
                <w:szCs w:val="24"/>
              </w:rPr>
            </w:pPr>
            <w:r>
              <w:rPr>
                <w:rFonts w:hint="eastAsia" w:ascii="宋体" w:hAnsi="宋体"/>
                <w:szCs w:val="24"/>
              </w:rPr>
              <w:t>考核周期（月度）内设备维修次数满足该月需正常维修次数并提供书面记录，得</w:t>
            </w:r>
            <w:r>
              <w:rPr>
                <w:rFonts w:ascii="宋体" w:hAnsi="宋体" w:cs="Calibri"/>
                <w:szCs w:val="24"/>
              </w:rPr>
              <w:t>6</w:t>
            </w:r>
            <w:r>
              <w:rPr>
                <w:rFonts w:hint="eastAsia" w:ascii="宋体" w:hAnsi="宋体"/>
                <w:szCs w:val="24"/>
              </w:rPr>
              <w:t>分；</w:t>
            </w:r>
          </w:p>
        </w:tc>
        <w:tc>
          <w:tcPr>
            <w:tcW w:w="0" w:type="auto"/>
            <w:vMerge w:val="restart"/>
            <w:tcBorders>
              <w:top w:val="nil"/>
              <w:left w:val="single" w:color="auto" w:sz="12" w:space="0"/>
              <w:bottom w:val="single" w:color="000000" w:sz="12" w:space="0"/>
              <w:right w:val="single" w:color="auto" w:sz="12" w:space="0"/>
            </w:tcBorders>
            <w:shd w:val="clear" w:color="000000" w:fill="FFFFFF"/>
            <w:noWrap w:val="0"/>
            <w:vAlign w:val="center"/>
          </w:tcPr>
          <w:p w14:paraId="18BF1534">
            <w:pPr>
              <w:rPr>
                <w:rFonts w:ascii="宋体" w:hAnsi="宋体" w:cs="Calibri"/>
                <w:szCs w:val="24"/>
              </w:rPr>
            </w:pPr>
            <w:r>
              <w:rPr>
                <w:rFonts w:ascii="宋体" w:hAnsi="宋体" w:cs="Calibri"/>
                <w:szCs w:val="24"/>
              </w:rPr>
              <w:t>6</w:t>
            </w:r>
          </w:p>
        </w:tc>
      </w:tr>
      <w:tr w14:paraId="611CB4CF">
        <w:tblPrEx>
          <w:tblCellMar>
            <w:top w:w="0" w:type="dxa"/>
            <w:left w:w="108" w:type="dxa"/>
            <w:bottom w:w="0" w:type="dxa"/>
            <w:right w:w="108" w:type="dxa"/>
          </w:tblCellMar>
        </w:tblPrEx>
        <w:trPr>
          <w:trHeight w:val="660" w:hRule="atLeast"/>
        </w:trPr>
        <w:tc>
          <w:tcPr>
            <w:tcW w:w="0" w:type="auto"/>
            <w:vMerge w:val="continue"/>
            <w:tcBorders>
              <w:top w:val="nil"/>
              <w:left w:val="single" w:color="auto" w:sz="12" w:space="0"/>
              <w:bottom w:val="single" w:color="000000" w:sz="12" w:space="0"/>
              <w:right w:val="single" w:color="auto" w:sz="12" w:space="0"/>
            </w:tcBorders>
            <w:shd w:val="clear" w:color="auto" w:fill="auto"/>
            <w:noWrap w:val="0"/>
            <w:vAlign w:val="center"/>
          </w:tcPr>
          <w:p w14:paraId="68C06D92">
            <w:pPr>
              <w:rPr>
                <w:rFonts w:ascii="宋体" w:hAnsi="宋体"/>
                <w:szCs w:val="24"/>
              </w:rPr>
            </w:pPr>
          </w:p>
        </w:tc>
        <w:tc>
          <w:tcPr>
            <w:tcW w:w="0" w:type="auto"/>
            <w:vMerge w:val="continue"/>
            <w:tcBorders>
              <w:top w:val="nil"/>
              <w:left w:val="single" w:color="auto" w:sz="12" w:space="0"/>
              <w:bottom w:val="single" w:color="000000" w:sz="12" w:space="0"/>
              <w:right w:val="single" w:color="auto" w:sz="12" w:space="0"/>
            </w:tcBorders>
            <w:shd w:val="clear" w:color="auto" w:fill="auto"/>
            <w:noWrap w:val="0"/>
            <w:vAlign w:val="center"/>
          </w:tcPr>
          <w:p w14:paraId="42EF31F0">
            <w:pPr>
              <w:rPr>
                <w:rFonts w:ascii="宋体" w:hAnsi="宋体" w:cs="Calibri"/>
                <w:szCs w:val="24"/>
              </w:rPr>
            </w:pPr>
          </w:p>
        </w:tc>
        <w:tc>
          <w:tcPr>
            <w:tcW w:w="0" w:type="auto"/>
            <w:vMerge w:val="continue"/>
            <w:tcBorders>
              <w:top w:val="nil"/>
              <w:left w:val="single" w:color="auto" w:sz="12" w:space="0"/>
              <w:bottom w:val="single" w:color="000000" w:sz="12" w:space="0"/>
              <w:right w:val="single" w:color="auto" w:sz="12" w:space="0"/>
            </w:tcBorders>
            <w:shd w:val="clear" w:color="auto" w:fill="auto"/>
            <w:noWrap w:val="0"/>
            <w:vAlign w:val="center"/>
          </w:tcPr>
          <w:p w14:paraId="681457D1">
            <w:pPr>
              <w:rPr>
                <w:rFonts w:ascii="宋体" w:hAnsi="宋体"/>
                <w:szCs w:val="24"/>
              </w:rPr>
            </w:pPr>
          </w:p>
        </w:tc>
        <w:tc>
          <w:tcPr>
            <w:tcW w:w="0" w:type="auto"/>
            <w:tcBorders>
              <w:top w:val="nil"/>
              <w:left w:val="nil"/>
              <w:bottom w:val="single" w:color="auto" w:sz="12" w:space="0"/>
              <w:right w:val="single" w:color="auto" w:sz="12" w:space="0"/>
            </w:tcBorders>
            <w:shd w:val="clear" w:color="000000" w:fill="FFFFFF"/>
            <w:noWrap w:val="0"/>
            <w:vAlign w:val="center"/>
          </w:tcPr>
          <w:p w14:paraId="734619A9">
            <w:pPr>
              <w:rPr>
                <w:rFonts w:ascii="宋体" w:hAnsi="宋体"/>
                <w:szCs w:val="24"/>
              </w:rPr>
            </w:pPr>
            <w:r>
              <w:rPr>
                <w:rFonts w:hint="eastAsia" w:ascii="宋体" w:hAnsi="宋体"/>
                <w:szCs w:val="24"/>
              </w:rPr>
              <w:t>考核周期（月度）内设备维修未满足该月应维修次数且未满足次数≤</w:t>
            </w:r>
            <w:r>
              <w:rPr>
                <w:rFonts w:ascii="宋体" w:hAnsi="宋体" w:cs="Calibri"/>
                <w:szCs w:val="24"/>
              </w:rPr>
              <w:t>2</w:t>
            </w:r>
            <w:r>
              <w:rPr>
                <w:rFonts w:hint="eastAsia" w:ascii="宋体" w:hAnsi="宋体"/>
                <w:szCs w:val="24"/>
              </w:rPr>
              <w:t>次并提供书面记录，得</w:t>
            </w:r>
            <w:r>
              <w:rPr>
                <w:rFonts w:ascii="宋体" w:hAnsi="宋体" w:cs="Calibri"/>
                <w:szCs w:val="24"/>
              </w:rPr>
              <w:t>4</w:t>
            </w:r>
            <w:r>
              <w:rPr>
                <w:rFonts w:hint="eastAsia" w:ascii="宋体" w:hAnsi="宋体"/>
                <w:szCs w:val="24"/>
              </w:rPr>
              <w:t>分；</w:t>
            </w:r>
          </w:p>
        </w:tc>
        <w:tc>
          <w:tcPr>
            <w:tcW w:w="0" w:type="auto"/>
            <w:vMerge w:val="continue"/>
            <w:tcBorders>
              <w:top w:val="nil"/>
              <w:left w:val="single" w:color="auto" w:sz="12" w:space="0"/>
              <w:bottom w:val="single" w:color="000000" w:sz="12" w:space="0"/>
              <w:right w:val="single" w:color="auto" w:sz="12" w:space="0"/>
            </w:tcBorders>
            <w:noWrap w:val="0"/>
            <w:vAlign w:val="center"/>
          </w:tcPr>
          <w:p w14:paraId="4FB7A27F">
            <w:pPr>
              <w:rPr>
                <w:rFonts w:ascii="宋体" w:hAnsi="宋体" w:cs="Calibri"/>
                <w:szCs w:val="24"/>
              </w:rPr>
            </w:pPr>
          </w:p>
        </w:tc>
      </w:tr>
      <w:tr w14:paraId="189F20F0">
        <w:tblPrEx>
          <w:tblCellMar>
            <w:top w:w="0" w:type="dxa"/>
            <w:left w:w="108" w:type="dxa"/>
            <w:bottom w:w="0" w:type="dxa"/>
            <w:right w:w="108" w:type="dxa"/>
          </w:tblCellMar>
        </w:tblPrEx>
        <w:trPr>
          <w:trHeight w:val="960" w:hRule="atLeast"/>
        </w:trPr>
        <w:tc>
          <w:tcPr>
            <w:tcW w:w="0" w:type="auto"/>
            <w:vMerge w:val="continue"/>
            <w:tcBorders>
              <w:top w:val="nil"/>
              <w:left w:val="single" w:color="auto" w:sz="12" w:space="0"/>
              <w:bottom w:val="single" w:color="000000" w:sz="12" w:space="0"/>
              <w:right w:val="single" w:color="auto" w:sz="12" w:space="0"/>
            </w:tcBorders>
            <w:shd w:val="clear" w:color="auto" w:fill="auto"/>
            <w:noWrap w:val="0"/>
            <w:vAlign w:val="center"/>
          </w:tcPr>
          <w:p w14:paraId="3EEDB916">
            <w:pPr>
              <w:rPr>
                <w:rFonts w:ascii="宋体" w:hAnsi="宋体"/>
                <w:szCs w:val="24"/>
              </w:rPr>
            </w:pPr>
          </w:p>
        </w:tc>
        <w:tc>
          <w:tcPr>
            <w:tcW w:w="0" w:type="auto"/>
            <w:vMerge w:val="continue"/>
            <w:tcBorders>
              <w:top w:val="nil"/>
              <w:left w:val="single" w:color="auto" w:sz="12" w:space="0"/>
              <w:bottom w:val="single" w:color="000000" w:sz="12" w:space="0"/>
              <w:right w:val="single" w:color="auto" w:sz="12" w:space="0"/>
            </w:tcBorders>
            <w:shd w:val="clear" w:color="auto" w:fill="auto"/>
            <w:noWrap w:val="0"/>
            <w:vAlign w:val="center"/>
          </w:tcPr>
          <w:p w14:paraId="187EF215">
            <w:pPr>
              <w:rPr>
                <w:rFonts w:ascii="宋体" w:hAnsi="宋体" w:cs="Calibri"/>
                <w:szCs w:val="24"/>
              </w:rPr>
            </w:pPr>
          </w:p>
        </w:tc>
        <w:tc>
          <w:tcPr>
            <w:tcW w:w="0" w:type="auto"/>
            <w:vMerge w:val="continue"/>
            <w:tcBorders>
              <w:top w:val="nil"/>
              <w:left w:val="single" w:color="auto" w:sz="12" w:space="0"/>
              <w:bottom w:val="single" w:color="000000" w:sz="12" w:space="0"/>
              <w:right w:val="single" w:color="auto" w:sz="12" w:space="0"/>
            </w:tcBorders>
            <w:shd w:val="clear" w:color="auto" w:fill="auto"/>
            <w:noWrap w:val="0"/>
            <w:vAlign w:val="center"/>
          </w:tcPr>
          <w:p w14:paraId="2AD9B229">
            <w:pPr>
              <w:rPr>
                <w:rFonts w:ascii="宋体" w:hAnsi="宋体"/>
                <w:szCs w:val="24"/>
              </w:rPr>
            </w:pPr>
          </w:p>
        </w:tc>
        <w:tc>
          <w:tcPr>
            <w:tcW w:w="0" w:type="auto"/>
            <w:tcBorders>
              <w:top w:val="nil"/>
              <w:left w:val="nil"/>
              <w:bottom w:val="single" w:color="auto" w:sz="12" w:space="0"/>
              <w:right w:val="single" w:color="auto" w:sz="12" w:space="0"/>
            </w:tcBorders>
            <w:shd w:val="clear" w:color="000000" w:fill="FFFFFF"/>
            <w:noWrap w:val="0"/>
            <w:vAlign w:val="center"/>
          </w:tcPr>
          <w:p w14:paraId="2983775B">
            <w:pPr>
              <w:rPr>
                <w:rFonts w:ascii="宋体" w:hAnsi="宋体"/>
                <w:szCs w:val="24"/>
              </w:rPr>
            </w:pPr>
            <w:r>
              <w:rPr>
                <w:rFonts w:hint="eastAsia" w:ascii="宋体" w:hAnsi="宋体"/>
                <w:szCs w:val="24"/>
              </w:rPr>
              <w:t>考核周期（月度）内设备维修未满足该月应维修次数且未满足次数</w:t>
            </w:r>
            <w:r>
              <w:rPr>
                <w:rFonts w:ascii="宋体" w:hAnsi="宋体" w:cs="Calibri"/>
                <w:szCs w:val="24"/>
              </w:rPr>
              <w:t>&gt;2</w:t>
            </w:r>
            <w:r>
              <w:rPr>
                <w:rFonts w:hint="eastAsia" w:ascii="宋体" w:hAnsi="宋体"/>
                <w:szCs w:val="24"/>
              </w:rPr>
              <w:t>次并提供书面记录或无法提供书面记录，得</w:t>
            </w:r>
            <w:r>
              <w:rPr>
                <w:rFonts w:ascii="宋体" w:hAnsi="宋体" w:cs="Calibri"/>
                <w:szCs w:val="24"/>
              </w:rPr>
              <w:t>0</w:t>
            </w:r>
            <w:r>
              <w:rPr>
                <w:rFonts w:hint="eastAsia" w:ascii="宋体" w:hAnsi="宋体"/>
                <w:szCs w:val="24"/>
              </w:rPr>
              <w:t>分；</w:t>
            </w:r>
          </w:p>
        </w:tc>
        <w:tc>
          <w:tcPr>
            <w:tcW w:w="0" w:type="auto"/>
            <w:vMerge w:val="continue"/>
            <w:tcBorders>
              <w:top w:val="nil"/>
              <w:left w:val="single" w:color="auto" w:sz="12" w:space="0"/>
              <w:bottom w:val="single" w:color="000000" w:sz="12" w:space="0"/>
              <w:right w:val="single" w:color="auto" w:sz="12" w:space="0"/>
            </w:tcBorders>
            <w:noWrap w:val="0"/>
            <w:vAlign w:val="center"/>
          </w:tcPr>
          <w:p w14:paraId="4238528B">
            <w:pPr>
              <w:rPr>
                <w:rFonts w:ascii="宋体" w:hAnsi="宋体" w:cs="Calibri"/>
                <w:szCs w:val="24"/>
              </w:rPr>
            </w:pPr>
          </w:p>
        </w:tc>
      </w:tr>
      <w:tr w14:paraId="0D78EE00">
        <w:tblPrEx>
          <w:tblCellMar>
            <w:top w:w="0" w:type="dxa"/>
            <w:left w:w="108" w:type="dxa"/>
            <w:bottom w:w="0" w:type="dxa"/>
            <w:right w:w="108" w:type="dxa"/>
          </w:tblCellMar>
        </w:tblPrEx>
        <w:trPr>
          <w:trHeight w:val="660" w:hRule="atLeast"/>
        </w:trPr>
        <w:tc>
          <w:tcPr>
            <w:tcW w:w="0" w:type="auto"/>
            <w:vMerge w:val="continue"/>
            <w:tcBorders>
              <w:top w:val="nil"/>
              <w:left w:val="single" w:color="auto" w:sz="12" w:space="0"/>
              <w:bottom w:val="single" w:color="000000" w:sz="12" w:space="0"/>
              <w:right w:val="single" w:color="auto" w:sz="12" w:space="0"/>
            </w:tcBorders>
            <w:shd w:val="clear" w:color="auto" w:fill="auto"/>
            <w:noWrap w:val="0"/>
            <w:vAlign w:val="center"/>
          </w:tcPr>
          <w:p w14:paraId="40F2A47D">
            <w:pPr>
              <w:rPr>
                <w:rFonts w:ascii="宋体" w:hAnsi="宋体"/>
                <w:szCs w:val="24"/>
              </w:rPr>
            </w:pPr>
          </w:p>
        </w:tc>
        <w:tc>
          <w:tcPr>
            <w:tcW w:w="0" w:type="auto"/>
            <w:vMerge w:val="restart"/>
            <w:tcBorders>
              <w:top w:val="nil"/>
              <w:left w:val="single" w:color="auto" w:sz="12" w:space="0"/>
              <w:bottom w:val="single" w:color="000000" w:sz="12" w:space="0"/>
              <w:right w:val="single" w:color="auto" w:sz="12" w:space="0"/>
            </w:tcBorders>
            <w:shd w:val="clear" w:color="000000" w:fill="FFFFFF"/>
            <w:noWrap w:val="0"/>
            <w:vAlign w:val="center"/>
          </w:tcPr>
          <w:p w14:paraId="3007D20B">
            <w:pPr>
              <w:rPr>
                <w:rFonts w:ascii="宋体" w:hAnsi="宋体" w:cs="Calibri"/>
                <w:szCs w:val="24"/>
              </w:rPr>
            </w:pPr>
            <w:r>
              <w:rPr>
                <w:rFonts w:ascii="宋体" w:hAnsi="宋体" w:cs="Calibri"/>
                <w:szCs w:val="24"/>
              </w:rPr>
              <w:t>5</w:t>
            </w:r>
          </w:p>
        </w:tc>
        <w:tc>
          <w:tcPr>
            <w:tcW w:w="0" w:type="auto"/>
            <w:vMerge w:val="restart"/>
            <w:tcBorders>
              <w:top w:val="nil"/>
              <w:left w:val="single" w:color="auto" w:sz="12" w:space="0"/>
              <w:bottom w:val="single" w:color="000000" w:sz="12" w:space="0"/>
              <w:right w:val="single" w:color="auto" w:sz="12" w:space="0"/>
            </w:tcBorders>
            <w:shd w:val="clear" w:color="000000" w:fill="FFFFFF"/>
            <w:noWrap w:val="0"/>
            <w:vAlign w:val="center"/>
          </w:tcPr>
          <w:p w14:paraId="00F4C60A">
            <w:pPr>
              <w:rPr>
                <w:rFonts w:ascii="宋体" w:hAnsi="宋体"/>
                <w:szCs w:val="24"/>
              </w:rPr>
            </w:pPr>
            <w:r>
              <w:rPr>
                <w:rFonts w:hint="eastAsia" w:ascii="宋体" w:hAnsi="宋体"/>
                <w:szCs w:val="24"/>
              </w:rPr>
              <w:t>设备在线率统计</w:t>
            </w:r>
          </w:p>
        </w:tc>
        <w:tc>
          <w:tcPr>
            <w:tcW w:w="0" w:type="auto"/>
            <w:tcBorders>
              <w:top w:val="nil"/>
              <w:left w:val="nil"/>
              <w:bottom w:val="single" w:color="auto" w:sz="12" w:space="0"/>
              <w:right w:val="single" w:color="auto" w:sz="12" w:space="0"/>
            </w:tcBorders>
            <w:shd w:val="clear" w:color="000000" w:fill="FFFFFF"/>
            <w:noWrap w:val="0"/>
            <w:vAlign w:val="center"/>
          </w:tcPr>
          <w:p w14:paraId="4041148C">
            <w:pPr>
              <w:rPr>
                <w:rFonts w:ascii="宋体" w:hAnsi="宋体"/>
                <w:szCs w:val="24"/>
              </w:rPr>
            </w:pPr>
            <w:r>
              <w:rPr>
                <w:rFonts w:hint="eastAsia" w:ascii="宋体" w:hAnsi="宋体"/>
                <w:szCs w:val="24"/>
              </w:rPr>
              <w:t>考核周期（月度）内所有通信设备在线率≥</w:t>
            </w:r>
            <w:r>
              <w:rPr>
                <w:rFonts w:ascii="宋体" w:hAnsi="宋体" w:cs="Calibri"/>
                <w:szCs w:val="24"/>
              </w:rPr>
              <w:t>90%</w:t>
            </w:r>
            <w:r>
              <w:rPr>
                <w:rFonts w:hint="eastAsia" w:ascii="宋体" w:hAnsi="宋体"/>
                <w:szCs w:val="24"/>
              </w:rPr>
              <w:t>，得</w:t>
            </w:r>
            <w:r>
              <w:rPr>
                <w:rFonts w:ascii="宋体" w:hAnsi="宋体" w:cs="Calibri"/>
                <w:szCs w:val="24"/>
              </w:rPr>
              <w:t>6</w:t>
            </w:r>
            <w:r>
              <w:rPr>
                <w:rFonts w:hint="eastAsia" w:ascii="宋体" w:hAnsi="宋体"/>
                <w:szCs w:val="24"/>
              </w:rPr>
              <w:t>分（不可抗力因素导致的离线除外）；</w:t>
            </w:r>
          </w:p>
        </w:tc>
        <w:tc>
          <w:tcPr>
            <w:tcW w:w="0" w:type="auto"/>
            <w:vMerge w:val="restart"/>
            <w:tcBorders>
              <w:top w:val="nil"/>
              <w:left w:val="single" w:color="auto" w:sz="12" w:space="0"/>
              <w:bottom w:val="single" w:color="000000" w:sz="12" w:space="0"/>
              <w:right w:val="single" w:color="auto" w:sz="12" w:space="0"/>
            </w:tcBorders>
            <w:shd w:val="clear" w:color="000000" w:fill="FFFFFF"/>
            <w:noWrap w:val="0"/>
            <w:vAlign w:val="center"/>
          </w:tcPr>
          <w:p w14:paraId="18A1BF0E">
            <w:pPr>
              <w:rPr>
                <w:rFonts w:ascii="宋体" w:hAnsi="宋体" w:cs="Calibri"/>
                <w:szCs w:val="24"/>
              </w:rPr>
            </w:pPr>
            <w:r>
              <w:rPr>
                <w:rFonts w:ascii="宋体" w:hAnsi="宋体" w:cs="Calibri"/>
                <w:szCs w:val="24"/>
              </w:rPr>
              <w:t>6</w:t>
            </w:r>
          </w:p>
        </w:tc>
      </w:tr>
      <w:tr w14:paraId="6F3FFBAD">
        <w:tblPrEx>
          <w:tblCellMar>
            <w:top w:w="0" w:type="dxa"/>
            <w:left w:w="108" w:type="dxa"/>
            <w:bottom w:w="0" w:type="dxa"/>
            <w:right w:w="108" w:type="dxa"/>
          </w:tblCellMar>
        </w:tblPrEx>
        <w:trPr>
          <w:trHeight w:val="680" w:hRule="atLeast"/>
        </w:trPr>
        <w:tc>
          <w:tcPr>
            <w:tcW w:w="0" w:type="auto"/>
            <w:vMerge w:val="continue"/>
            <w:tcBorders>
              <w:top w:val="nil"/>
              <w:left w:val="single" w:color="auto" w:sz="12" w:space="0"/>
              <w:bottom w:val="single" w:color="000000" w:sz="12" w:space="0"/>
              <w:right w:val="single" w:color="auto" w:sz="12" w:space="0"/>
            </w:tcBorders>
            <w:shd w:val="clear" w:color="auto" w:fill="auto"/>
            <w:noWrap w:val="0"/>
            <w:vAlign w:val="center"/>
          </w:tcPr>
          <w:p w14:paraId="10B11FED">
            <w:pPr>
              <w:rPr>
                <w:rFonts w:ascii="宋体" w:hAnsi="宋体"/>
                <w:szCs w:val="24"/>
              </w:rPr>
            </w:pPr>
          </w:p>
        </w:tc>
        <w:tc>
          <w:tcPr>
            <w:tcW w:w="0" w:type="auto"/>
            <w:vMerge w:val="continue"/>
            <w:tcBorders>
              <w:top w:val="nil"/>
              <w:left w:val="single" w:color="auto" w:sz="12" w:space="0"/>
              <w:bottom w:val="single" w:color="000000" w:sz="12" w:space="0"/>
              <w:right w:val="single" w:color="auto" w:sz="12" w:space="0"/>
            </w:tcBorders>
            <w:shd w:val="clear" w:color="auto" w:fill="auto"/>
            <w:noWrap w:val="0"/>
            <w:vAlign w:val="center"/>
          </w:tcPr>
          <w:p w14:paraId="4D039137">
            <w:pPr>
              <w:rPr>
                <w:rFonts w:ascii="宋体" w:hAnsi="宋体" w:cs="Calibri"/>
                <w:szCs w:val="24"/>
              </w:rPr>
            </w:pPr>
          </w:p>
        </w:tc>
        <w:tc>
          <w:tcPr>
            <w:tcW w:w="0" w:type="auto"/>
            <w:vMerge w:val="continue"/>
            <w:tcBorders>
              <w:top w:val="nil"/>
              <w:left w:val="single" w:color="auto" w:sz="12" w:space="0"/>
              <w:bottom w:val="single" w:color="000000" w:sz="12" w:space="0"/>
              <w:right w:val="single" w:color="auto" w:sz="12" w:space="0"/>
            </w:tcBorders>
            <w:shd w:val="clear" w:color="auto" w:fill="auto"/>
            <w:noWrap w:val="0"/>
            <w:vAlign w:val="center"/>
          </w:tcPr>
          <w:p w14:paraId="2DB1DB4A">
            <w:pPr>
              <w:rPr>
                <w:rFonts w:ascii="宋体" w:hAnsi="宋体"/>
                <w:szCs w:val="24"/>
              </w:rPr>
            </w:pPr>
          </w:p>
        </w:tc>
        <w:tc>
          <w:tcPr>
            <w:tcW w:w="0" w:type="auto"/>
            <w:tcBorders>
              <w:top w:val="nil"/>
              <w:left w:val="nil"/>
              <w:bottom w:val="single" w:color="auto" w:sz="12" w:space="0"/>
              <w:right w:val="single" w:color="auto" w:sz="12" w:space="0"/>
            </w:tcBorders>
            <w:shd w:val="clear" w:color="000000" w:fill="FFFFFF"/>
            <w:noWrap w:val="0"/>
            <w:vAlign w:val="center"/>
          </w:tcPr>
          <w:p w14:paraId="5FD4BBD7">
            <w:pPr>
              <w:rPr>
                <w:rFonts w:ascii="宋体" w:hAnsi="宋体"/>
                <w:szCs w:val="24"/>
              </w:rPr>
            </w:pPr>
            <w:r>
              <w:rPr>
                <w:rFonts w:hint="eastAsia" w:ascii="宋体" w:hAnsi="宋体"/>
                <w:szCs w:val="24"/>
              </w:rPr>
              <w:t>考核周期（月度）内所有通信设备在线率≥</w:t>
            </w:r>
            <w:r>
              <w:rPr>
                <w:rFonts w:ascii="宋体" w:hAnsi="宋体" w:cs="Calibri"/>
                <w:szCs w:val="24"/>
              </w:rPr>
              <w:t>70%</w:t>
            </w:r>
            <w:r>
              <w:rPr>
                <w:rFonts w:hint="eastAsia" w:ascii="宋体" w:hAnsi="宋体"/>
                <w:szCs w:val="24"/>
              </w:rPr>
              <w:t>且＜</w:t>
            </w:r>
            <w:r>
              <w:rPr>
                <w:rFonts w:ascii="宋体" w:hAnsi="宋体" w:cs="Calibri"/>
                <w:szCs w:val="24"/>
              </w:rPr>
              <w:t>90%</w:t>
            </w:r>
            <w:r>
              <w:rPr>
                <w:rFonts w:hint="eastAsia" w:ascii="宋体" w:hAnsi="宋体"/>
                <w:szCs w:val="24"/>
              </w:rPr>
              <w:t>，得</w:t>
            </w:r>
            <w:r>
              <w:rPr>
                <w:rFonts w:ascii="宋体" w:hAnsi="宋体" w:cs="Calibri"/>
                <w:szCs w:val="24"/>
              </w:rPr>
              <w:t>3</w:t>
            </w:r>
            <w:r>
              <w:rPr>
                <w:rFonts w:hint="eastAsia" w:ascii="宋体" w:hAnsi="宋体"/>
                <w:szCs w:val="24"/>
              </w:rPr>
              <w:t>分（不可抗力因素导致的离线除外）；</w:t>
            </w:r>
          </w:p>
        </w:tc>
        <w:tc>
          <w:tcPr>
            <w:tcW w:w="0" w:type="auto"/>
            <w:vMerge w:val="continue"/>
            <w:tcBorders>
              <w:top w:val="nil"/>
              <w:left w:val="single" w:color="auto" w:sz="12" w:space="0"/>
              <w:bottom w:val="single" w:color="000000" w:sz="12" w:space="0"/>
              <w:right w:val="single" w:color="auto" w:sz="12" w:space="0"/>
            </w:tcBorders>
            <w:noWrap w:val="0"/>
            <w:vAlign w:val="center"/>
          </w:tcPr>
          <w:p w14:paraId="0479C177">
            <w:pPr>
              <w:rPr>
                <w:rFonts w:ascii="宋体" w:hAnsi="宋体" w:cs="Calibri"/>
                <w:szCs w:val="24"/>
              </w:rPr>
            </w:pPr>
          </w:p>
        </w:tc>
      </w:tr>
      <w:tr w14:paraId="6A7A8299">
        <w:tblPrEx>
          <w:tblCellMar>
            <w:top w:w="0" w:type="dxa"/>
            <w:left w:w="108" w:type="dxa"/>
            <w:bottom w:w="0" w:type="dxa"/>
            <w:right w:w="108" w:type="dxa"/>
          </w:tblCellMar>
        </w:tblPrEx>
        <w:trPr>
          <w:trHeight w:val="660" w:hRule="atLeast"/>
        </w:trPr>
        <w:tc>
          <w:tcPr>
            <w:tcW w:w="0" w:type="auto"/>
            <w:vMerge w:val="continue"/>
            <w:tcBorders>
              <w:top w:val="nil"/>
              <w:left w:val="single" w:color="auto" w:sz="12" w:space="0"/>
              <w:bottom w:val="single" w:color="000000" w:sz="12" w:space="0"/>
              <w:right w:val="single" w:color="auto" w:sz="12" w:space="0"/>
            </w:tcBorders>
            <w:shd w:val="clear" w:color="auto" w:fill="auto"/>
            <w:noWrap w:val="0"/>
            <w:vAlign w:val="center"/>
          </w:tcPr>
          <w:p w14:paraId="4B24006D">
            <w:pPr>
              <w:rPr>
                <w:rFonts w:ascii="宋体" w:hAnsi="宋体"/>
                <w:szCs w:val="24"/>
              </w:rPr>
            </w:pPr>
          </w:p>
        </w:tc>
        <w:tc>
          <w:tcPr>
            <w:tcW w:w="0" w:type="auto"/>
            <w:vMerge w:val="continue"/>
            <w:tcBorders>
              <w:top w:val="nil"/>
              <w:left w:val="single" w:color="auto" w:sz="12" w:space="0"/>
              <w:bottom w:val="single" w:color="000000" w:sz="12" w:space="0"/>
              <w:right w:val="single" w:color="auto" w:sz="12" w:space="0"/>
            </w:tcBorders>
            <w:shd w:val="clear" w:color="auto" w:fill="auto"/>
            <w:noWrap w:val="0"/>
            <w:vAlign w:val="center"/>
          </w:tcPr>
          <w:p w14:paraId="6CB1A228">
            <w:pPr>
              <w:rPr>
                <w:rFonts w:ascii="宋体" w:hAnsi="宋体" w:cs="Calibri"/>
                <w:szCs w:val="24"/>
              </w:rPr>
            </w:pPr>
          </w:p>
        </w:tc>
        <w:tc>
          <w:tcPr>
            <w:tcW w:w="0" w:type="auto"/>
            <w:vMerge w:val="continue"/>
            <w:tcBorders>
              <w:top w:val="nil"/>
              <w:left w:val="single" w:color="auto" w:sz="12" w:space="0"/>
              <w:bottom w:val="single" w:color="000000" w:sz="12" w:space="0"/>
              <w:right w:val="single" w:color="auto" w:sz="12" w:space="0"/>
            </w:tcBorders>
            <w:shd w:val="clear" w:color="auto" w:fill="auto"/>
            <w:noWrap w:val="0"/>
            <w:vAlign w:val="center"/>
          </w:tcPr>
          <w:p w14:paraId="30D3EEB4">
            <w:pPr>
              <w:rPr>
                <w:rFonts w:ascii="宋体" w:hAnsi="宋体"/>
                <w:szCs w:val="24"/>
              </w:rPr>
            </w:pPr>
          </w:p>
        </w:tc>
        <w:tc>
          <w:tcPr>
            <w:tcW w:w="0" w:type="auto"/>
            <w:tcBorders>
              <w:top w:val="nil"/>
              <w:left w:val="nil"/>
              <w:bottom w:val="single" w:color="auto" w:sz="12" w:space="0"/>
              <w:right w:val="single" w:color="auto" w:sz="12" w:space="0"/>
            </w:tcBorders>
            <w:shd w:val="clear" w:color="000000" w:fill="FFFFFF"/>
            <w:noWrap w:val="0"/>
            <w:vAlign w:val="center"/>
          </w:tcPr>
          <w:p w14:paraId="1C59D089">
            <w:pPr>
              <w:rPr>
                <w:rFonts w:ascii="宋体" w:hAnsi="宋体"/>
                <w:szCs w:val="24"/>
              </w:rPr>
            </w:pPr>
            <w:r>
              <w:rPr>
                <w:rFonts w:hint="eastAsia" w:ascii="宋体" w:hAnsi="宋体"/>
                <w:szCs w:val="24"/>
              </w:rPr>
              <w:t>考核周期（月度）内所有通信设备在线率＜</w:t>
            </w:r>
            <w:r>
              <w:rPr>
                <w:rFonts w:ascii="宋体" w:hAnsi="宋体" w:cs="Calibri"/>
                <w:szCs w:val="24"/>
              </w:rPr>
              <w:t>70%</w:t>
            </w:r>
            <w:r>
              <w:rPr>
                <w:rFonts w:hint="eastAsia" w:ascii="宋体" w:hAnsi="宋体"/>
                <w:szCs w:val="24"/>
              </w:rPr>
              <w:t>，得</w:t>
            </w:r>
            <w:r>
              <w:rPr>
                <w:rFonts w:ascii="宋体" w:hAnsi="宋体" w:cs="Calibri"/>
                <w:szCs w:val="24"/>
              </w:rPr>
              <w:t>0</w:t>
            </w:r>
            <w:r>
              <w:rPr>
                <w:rFonts w:hint="eastAsia" w:ascii="宋体" w:hAnsi="宋体"/>
                <w:szCs w:val="24"/>
              </w:rPr>
              <w:t>分（不可抗力因素导致的离线除外）；</w:t>
            </w:r>
          </w:p>
        </w:tc>
        <w:tc>
          <w:tcPr>
            <w:tcW w:w="0" w:type="auto"/>
            <w:vMerge w:val="continue"/>
            <w:tcBorders>
              <w:top w:val="nil"/>
              <w:left w:val="single" w:color="auto" w:sz="12" w:space="0"/>
              <w:bottom w:val="single" w:color="000000" w:sz="12" w:space="0"/>
              <w:right w:val="single" w:color="auto" w:sz="12" w:space="0"/>
            </w:tcBorders>
            <w:noWrap w:val="0"/>
            <w:vAlign w:val="center"/>
          </w:tcPr>
          <w:p w14:paraId="2EC21EB5">
            <w:pPr>
              <w:rPr>
                <w:rFonts w:ascii="宋体" w:hAnsi="宋体" w:cs="Calibri"/>
                <w:szCs w:val="24"/>
              </w:rPr>
            </w:pPr>
          </w:p>
        </w:tc>
      </w:tr>
      <w:tr w14:paraId="7CFCAFF1">
        <w:tblPrEx>
          <w:tblCellMar>
            <w:top w:w="0" w:type="dxa"/>
            <w:left w:w="108" w:type="dxa"/>
            <w:bottom w:w="0" w:type="dxa"/>
            <w:right w:w="108" w:type="dxa"/>
          </w:tblCellMar>
        </w:tblPrEx>
        <w:trPr>
          <w:trHeight w:val="660" w:hRule="atLeast"/>
        </w:trPr>
        <w:tc>
          <w:tcPr>
            <w:tcW w:w="0" w:type="auto"/>
            <w:vMerge w:val="restart"/>
            <w:tcBorders>
              <w:top w:val="nil"/>
              <w:left w:val="single" w:color="auto" w:sz="12" w:space="0"/>
              <w:bottom w:val="single" w:color="000000" w:sz="12" w:space="0"/>
              <w:right w:val="single" w:color="auto" w:sz="12" w:space="0"/>
            </w:tcBorders>
            <w:shd w:val="clear" w:color="000000" w:fill="FFFFFF"/>
            <w:noWrap w:val="0"/>
            <w:textDirection w:val="tbRlV"/>
            <w:vAlign w:val="center"/>
          </w:tcPr>
          <w:p w14:paraId="2EEE3C62">
            <w:pPr>
              <w:rPr>
                <w:rFonts w:ascii="宋体" w:hAnsi="宋体"/>
                <w:szCs w:val="24"/>
              </w:rPr>
            </w:pPr>
            <w:r>
              <w:rPr>
                <w:rFonts w:hint="eastAsia" w:ascii="宋体" w:hAnsi="宋体"/>
                <w:szCs w:val="24"/>
              </w:rPr>
              <w:t>软件系统维护考核指标</w:t>
            </w:r>
          </w:p>
        </w:tc>
        <w:tc>
          <w:tcPr>
            <w:tcW w:w="0" w:type="auto"/>
            <w:vMerge w:val="restart"/>
            <w:tcBorders>
              <w:top w:val="nil"/>
              <w:left w:val="single" w:color="auto" w:sz="12" w:space="0"/>
              <w:bottom w:val="single" w:color="000000" w:sz="12" w:space="0"/>
              <w:right w:val="single" w:color="auto" w:sz="12" w:space="0"/>
            </w:tcBorders>
            <w:shd w:val="clear" w:color="000000" w:fill="FFFFFF"/>
            <w:noWrap w:val="0"/>
            <w:vAlign w:val="center"/>
          </w:tcPr>
          <w:p w14:paraId="056CB1FD">
            <w:pPr>
              <w:rPr>
                <w:rFonts w:ascii="宋体" w:hAnsi="宋体" w:cs="Calibri"/>
                <w:szCs w:val="24"/>
              </w:rPr>
            </w:pPr>
            <w:r>
              <w:rPr>
                <w:rFonts w:ascii="宋体" w:hAnsi="宋体" w:cs="Calibri"/>
                <w:szCs w:val="24"/>
              </w:rPr>
              <w:t>1</w:t>
            </w:r>
          </w:p>
        </w:tc>
        <w:tc>
          <w:tcPr>
            <w:tcW w:w="0" w:type="auto"/>
            <w:vMerge w:val="restart"/>
            <w:tcBorders>
              <w:top w:val="nil"/>
              <w:left w:val="single" w:color="auto" w:sz="12" w:space="0"/>
              <w:bottom w:val="single" w:color="000000" w:sz="12" w:space="0"/>
              <w:right w:val="single" w:color="auto" w:sz="12" w:space="0"/>
            </w:tcBorders>
            <w:shd w:val="clear" w:color="000000" w:fill="FFFFFF"/>
            <w:noWrap w:val="0"/>
            <w:vAlign w:val="center"/>
          </w:tcPr>
          <w:p w14:paraId="376BE047">
            <w:pPr>
              <w:rPr>
                <w:rFonts w:ascii="宋体" w:hAnsi="宋体"/>
                <w:szCs w:val="24"/>
              </w:rPr>
            </w:pPr>
            <w:r>
              <w:rPr>
                <w:rFonts w:hint="eastAsia" w:ascii="宋体" w:hAnsi="宋体"/>
                <w:szCs w:val="24"/>
              </w:rPr>
              <w:t>巡检维护次数</w:t>
            </w:r>
          </w:p>
        </w:tc>
        <w:tc>
          <w:tcPr>
            <w:tcW w:w="0" w:type="auto"/>
            <w:tcBorders>
              <w:top w:val="nil"/>
              <w:left w:val="nil"/>
              <w:bottom w:val="single" w:color="auto" w:sz="12" w:space="0"/>
              <w:right w:val="single" w:color="auto" w:sz="12" w:space="0"/>
            </w:tcBorders>
            <w:shd w:val="clear" w:color="000000" w:fill="FFFFFF"/>
            <w:noWrap w:val="0"/>
            <w:vAlign w:val="center"/>
          </w:tcPr>
          <w:p w14:paraId="1FFB2725">
            <w:pPr>
              <w:rPr>
                <w:rFonts w:ascii="宋体" w:hAnsi="宋体"/>
                <w:szCs w:val="24"/>
              </w:rPr>
            </w:pPr>
            <w:r>
              <w:rPr>
                <w:rFonts w:hint="eastAsia" w:ascii="宋体" w:hAnsi="宋体"/>
                <w:szCs w:val="24"/>
              </w:rPr>
              <w:t>考核周期（月度）内巡检维护满足该月需正常维护次数并提供书面记录，得</w:t>
            </w:r>
            <w:r>
              <w:rPr>
                <w:rFonts w:ascii="宋体" w:hAnsi="宋体" w:cs="Calibri"/>
                <w:szCs w:val="24"/>
              </w:rPr>
              <w:t>6</w:t>
            </w:r>
            <w:r>
              <w:rPr>
                <w:rFonts w:hint="eastAsia" w:ascii="宋体" w:hAnsi="宋体"/>
                <w:szCs w:val="24"/>
              </w:rPr>
              <w:t>分；</w:t>
            </w:r>
          </w:p>
        </w:tc>
        <w:tc>
          <w:tcPr>
            <w:tcW w:w="0" w:type="auto"/>
            <w:vMerge w:val="restart"/>
            <w:tcBorders>
              <w:top w:val="nil"/>
              <w:left w:val="single" w:color="auto" w:sz="12" w:space="0"/>
              <w:bottom w:val="single" w:color="000000" w:sz="12" w:space="0"/>
              <w:right w:val="single" w:color="auto" w:sz="12" w:space="0"/>
            </w:tcBorders>
            <w:shd w:val="clear" w:color="000000" w:fill="FFFFFF"/>
            <w:noWrap w:val="0"/>
            <w:vAlign w:val="center"/>
          </w:tcPr>
          <w:p w14:paraId="00A0E9BB">
            <w:pPr>
              <w:rPr>
                <w:rFonts w:ascii="宋体" w:hAnsi="宋体" w:cs="Calibri"/>
                <w:szCs w:val="24"/>
              </w:rPr>
            </w:pPr>
            <w:r>
              <w:rPr>
                <w:rFonts w:ascii="宋体" w:hAnsi="宋体" w:cs="Calibri"/>
                <w:szCs w:val="24"/>
              </w:rPr>
              <w:t>6</w:t>
            </w:r>
          </w:p>
        </w:tc>
      </w:tr>
      <w:tr w14:paraId="517FF1EA">
        <w:tblPrEx>
          <w:tblCellMar>
            <w:top w:w="0" w:type="dxa"/>
            <w:left w:w="108" w:type="dxa"/>
            <w:bottom w:w="0" w:type="dxa"/>
            <w:right w:w="108" w:type="dxa"/>
          </w:tblCellMar>
        </w:tblPrEx>
        <w:trPr>
          <w:trHeight w:val="660" w:hRule="atLeast"/>
        </w:trPr>
        <w:tc>
          <w:tcPr>
            <w:tcW w:w="0" w:type="auto"/>
            <w:vMerge w:val="continue"/>
            <w:tcBorders>
              <w:top w:val="nil"/>
              <w:left w:val="single" w:color="auto" w:sz="12" w:space="0"/>
              <w:bottom w:val="single" w:color="000000" w:sz="12" w:space="0"/>
              <w:right w:val="single" w:color="auto" w:sz="12" w:space="0"/>
            </w:tcBorders>
            <w:shd w:val="clear" w:color="auto" w:fill="auto"/>
            <w:noWrap w:val="0"/>
            <w:vAlign w:val="center"/>
          </w:tcPr>
          <w:p w14:paraId="467AED51">
            <w:pPr>
              <w:rPr>
                <w:rFonts w:ascii="宋体" w:hAnsi="宋体"/>
                <w:szCs w:val="24"/>
              </w:rPr>
            </w:pPr>
          </w:p>
        </w:tc>
        <w:tc>
          <w:tcPr>
            <w:tcW w:w="0" w:type="auto"/>
            <w:vMerge w:val="continue"/>
            <w:tcBorders>
              <w:top w:val="nil"/>
              <w:left w:val="single" w:color="auto" w:sz="12" w:space="0"/>
              <w:bottom w:val="single" w:color="000000" w:sz="12" w:space="0"/>
              <w:right w:val="single" w:color="auto" w:sz="12" w:space="0"/>
            </w:tcBorders>
            <w:shd w:val="clear" w:color="auto" w:fill="auto"/>
            <w:noWrap w:val="0"/>
            <w:vAlign w:val="center"/>
          </w:tcPr>
          <w:p w14:paraId="6BEE5116">
            <w:pPr>
              <w:rPr>
                <w:rFonts w:ascii="宋体" w:hAnsi="宋体" w:cs="Calibri"/>
                <w:szCs w:val="24"/>
              </w:rPr>
            </w:pPr>
          </w:p>
        </w:tc>
        <w:tc>
          <w:tcPr>
            <w:tcW w:w="0" w:type="auto"/>
            <w:vMerge w:val="continue"/>
            <w:tcBorders>
              <w:top w:val="nil"/>
              <w:left w:val="single" w:color="auto" w:sz="12" w:space="0"/>
              <w:bottom w:val="single" w:color="000000" w:sz="12" w:space="0"/>
              <w:right w:val="single" w:color="auto" w:sz="12" w:space="0"/>
            </w:tcBorders>
            <w:shd w:val="clear" w:color="auto" w:fill="auto"/>
            <w:noWrap w:val="0"/>
            <w:vAlign w:val="center"/>
          </w:tcPr>
          <w:p w14:paraId="484D4D22">
            <w:pPr>
              <w:rPr>
                <w:rFonts w:ascii="宋体" w:hAnsi="宋体"/>
                <w:szCs w:val="24"/>
              </w:rPr>
            </w:pPr>
          </w:p>
        </w:tc>
        <w:tc>
          <w:tcPr>
            <w:tcW w:w="0" w:type="auto"/>
            <w:tcBorders>
              <w:top w:val="nil"/>
              <w:left w:val="nil"/>
              <w:bottom w:val="single" w:color="auto" w:sz="12" w:space="0"/>
              <w:right w:val="single" w:color="auto" w:sz="12" w:space="0"/>
            </w:tcBorders>
            <w:shd w:val="clear" w:color="000000" w:fill="FFFFFF"/>
            <w:noWrap w:val="0"/>
            <w:vAlign w:val="center"/>
          </w:tcPr>
          <w:p w14:paraId="392B87FD">
            <w:pPr>
              <w:rPr>
                <w:rFonts w:ascii="宋体" w:hAnsi="宋体"/>
                <w:szCs w:val="24"/>
              </w:rPr>
            </w:pPr>
            <w:r>
              <w:rPr>
                <w:rFonts w:hint="eastAsia" w:ascii="宋体" w:hAnsi="宋体"/>
                <w:szCs w:val="24"/>
              </w:rPr>
              <w:t>考核周期（月度）内巡检维护未满足该月需维护次数或无法提供当月维护报告，得</w:t>
            </w:r>
            <w:r>
              <w:rPr>
                <w:rFonts w:ascii="宋体" w:hAnsi="宋体" w:cs="Calibri"/>
                <w:szCs w:val="24"/>
              </w:rPr>
              <w:t>0</w:t>
            </w:r>
            <w:r>
              <w:rPr>
                <w:rFonts w:hint="eastAsia" w:ascii="宋体" w:hAnsi="宋体"/>
                <w:szCs w:val="24"/>
              </w:rPr>
              <w:t>分；</w:t>
            </w:r>
          </w:p>
        </w:tc>
        <w:tc>
          <w:tcPr>
            <w:tcW w:w="0" w:type="auto"/>
            <w:vMerge w:val="continue"/>
            <w:tcBorders>
              <w:top w:val="nil"/>
              <w:left w:val="single" w:color="auto" w:sz="12" w:space="0"/>
              <w:bottom w:val="single" w:color="000000" w:sz="12" w:space="0"/>
              <w:right w:val="single" w:color="auto" w:sz="12" w:space="0"/>
            </w:tcBorders>
            <w:noWrap w:val="0"/>
            <w:vAlign w:val="center"/>
          </w:tcPr>
          <w:p w14:paraId="358D8764">
            <w:pPr>
              <w:rPr>
                <w:rFonts w:ascii="宋体" w:hAnsi="宋体" w:cs="Calibri"/>
                <w:szCs w:val="24"/>
              </w:rPr>
            </w:pPr>
          </w:p>
        </w:tc>
      </w:tr>
      <w:tr w14:paraId="7A640C5C">
        <w:tblPrEx>
          <w:tblCellMar>
            <w:top w:w="0" w:type="dxa"/>
            <w:left w:w="108" w:type="dxa"/>
            <w:bottom w:w="0" w:type="dxa"/>
            <w:right w:w="108" w:type="dxa"/>
          </w:tblCellMar>
        </w:tblPrEx>
        <w:trPr>
          <w:trHeight w:val="660" w:hRule="atLeast"/>
        </w:trPr>
        <w:tc>
          <w:tcPr>
            <w:tcW w:w="0" w:type="auto"/>
            <w:vMerge w:val="continue"/>
            <w:tcBorders>
              <w:top w:val="nil"/>
              <w:left w:val="single" w:color="auto" w:sz="12" w:space="0"/>
              <w:bottom w:val="single" w:color="000000" w:sz="12" w:space="0"/>
              <w:right w:val="single" w:color="auto" w:sz="12" w:space="0"/>
            </w:tcBorders>
            <w:shd w:val="clear" w:color="auto" w:fill="auto"/>
            <w:noWrap w:val="0"/>
            <w:vAlign w:val="center"/>
          </w:tcPr>
          <w:p w14:paraId="47DE87D7">
            <w:pPr>
              <w:rPr>
                <w:rFonts w:ascii="宋体" w:hAnsi="宋体"/>
                <w:szCs w:val="24"/>
              </w:rPr>
            </w:pPr>
          </w:p>
        </w:tc>
        <w:tc>
          <w:tcPr>
            <w:tcW w:w="0" w:type="auto"/>
            <w:vMerge w:val="restart"/>
            <w:tcBorders>
              <w:top w:val="nil"/>
              <w:left w:val="single" w:color="auto" w:sz="12" w:space="0"/>
              <w:bottom w:val="single" w:color="000000" w:sz="12" w:space="0"/>
              <w:right w:val="single" w:color="auto" w:sz="12" w:space="0"/>
            </w:tcBorders>
            <w:shd w:val="clear" w:color="000000" w:fill="FFFFFF"/>
            <w:noWrap w:val="0"/>
            <w:vAlign w:val="center"/>
          </w:tcPr>
          <w:p w14:paraId="7E3F9692">
            <w:pPr>
              <w:rPr>
                <w:rFonts w:ascii="宋体" w:hAnsi="宋体" w:cs="Calibri"/>
                <w:szCs w:val="24"/>
              </w:rPr>
            </w:pPr>
            <w:r>
              <w:rPr>
                <w:rFonts w:ascii="宋体" w:hAnsi="宋体" w:cs="Calibri"/>
                <w:szCs w:val="24"/>
              </w:rPr>
              <w:t>2</w:t>
            </w:r>
          </w:p>
        </w:tc>
        <w:tc>
          <w:tcPr>
            <w:tcW w:w="0" w:type="auto"/>
            <w:vMerge w:val="restart"/>
            <w:tcBorders>
              <w:top w:val="nil"/>
              <w:left w:val="single" w:color="auto" w:sz="12" w:space="0"/>
              <w:bottom w:val="single" w:color="000000" w:sz="12" w:space="0"/>
              <w:right w:val="single" w:color="auto" w:sz="12" w:space="0"/>
            </w:tcBorders>
            <w:shd w:val="clear" w:color="000000" w:fill="FFFFFF"/>
            <w:noWrap w:val="0"/>
            <w:vAlign w:val="center"/>
          </w:tcPr>
          <w:p w14:paraId="3DE63F0B">
            <w:pPr>
              <w:rPr>
                <w:rFonts w:ascii="宋体" w:hAnsi="宋体"/>
                <w:szCs w:val="24"/>
              </w:rPr>
            </w:pPr>
            <w:r>
              <w:rPr>
                <w:rFonts w:hint="eastAsia" w:ascii="宋体" w:hAnsi="宋体"/>
                <w:szCs w:val="24"/>
              </w:rPr>
              <w:t>月度总结报告</w:t>
            </w:r>
          </w:p>
        </w:tc>
        <w:tc>
          <w:tcPr>
            <w:tcW w:w="0" w:type="auto"/>
            <w:tcBorders>
              <w:top w:val="nil"/>
              <w:left w:val="nil"/>
              <w:bottom w:val="single" w:color="auto" w:sz="12" w:space="0"/>
              <w:right w:val="single" w:color="auto" w:sz="12" w:space="0"/>
            </w:tcBorders>
            <w:shd w:val="clear" w:color="000000" w:fill="FFFFFF"/>
            <w:noWrap w:val="0"/>
            <w:vAlign w:val="center"/>
          </w:tcPr>
          <w:p w14:paraId="3C95783F">
            <w:pPr>
              <w:rPr>
                <w:rFonts w:ascii="宋体" w:hAnsi="宋体"/>
                <w:szCs w:val="24"/>
              </w:rPr>
            </w:pPr>
            <w:r>
              <w:rPr>
                <w:rFonts w:hint="eastAsia" w:ascii="宋体" w:hAnsi="宋体"/>
                <w:szCs w:val="24"/>
              </w:rPr>
              <w:t>考核周期（月度）内工作总结报告满足该月需出具次数并提供书面记录，得</w:t>
            </w:r>
            <w:r>
              <w:rPr>
                <w:rFonts w:ascii="宋体" w:hAnsi="宋体" w:cs="Calibri"/>
                <w:szCs w:val="24"/>
              </w:rPr>
              <w:t>6</w:t>
            </w:r>
            <w:r>
              <w:rPr>
                <w:rFonts w:hint="eastAsia" w:ascii="宋体" w:hAnsi="宋体"/>
                <w:szCs w:val="24"/>
              </w:rPr>
              <w:t>分；</w:t>
            </w:r>
          </w:p>
        </w:tc>
        <w:tc>
          <w:tcPr>
            <w:tcW w:w="0" w:type="auto"/>
            <w:vMerge w:val="restart"/>
            <w:tcBorders>
              <w:top w:val="nil"/>
              <w:left w:val="single" w:color="auto" w:sz="12" w:space="0"/>
              <w:bottom w:val="single" w:color="000000" w:sz="12" w:space="0"/>
              <w:right w:val="single" w:color="auto" w:sz="12" w:space="0"/>
            </w:tcBorders>
            <w:shd w:val="clear" w:color="000000" w:fill="FFFFFF"/>
            <w:noWrap w:val="0"/>
            <w:vAlign w:val="center"/>
          </w:tcPr>
          <w:p w14:paraId="5B666213">
            <w:pPr>
              <w:rPr>
                <w:rFonts w:ascii="宋体" w:hAnsi="宋体" w:cs="Calibri"/>
                <w:szCs w:val="24"/>
              </w:rPr>
            </w:pPr>
            <w:r>
              <w:rPr>
                <w:rFonts w:ascii="宋体" w:hAnsi="宋体" w:cs="Calibri"/>
                <w:szCs w:val="24"/>
              </w:rPr>
              <w:t>6</w:t>
            </w:r>
          </w:p>
        </w:tc>
      </w:tr>
      <w:tr w14:paraId="1CC8553C">
        <w:tblPrEx>
          <w:tblCellMar>
            <w:top w:w="0" w:type="dxa"/>
            <w:left w:w="108" w:type="dxa"/>
            <w:bottom w:w="0" w:type="dxa"/>
            <w:right w:w="108" w:type="dxa"/>
          </w:tblCellMar>
        </w:tblPrEx>
        <w:trPr>
          <w:trHeight w:val="660" w:hRule="atLeast"/>
        </w:trPr>
        <w:tc>
          <w:tcPr>
            <w:tcW w:w="0" w:type="auto"/>
            <w:vMerge w:val="continue"/>
            <w:tcBorders>
              <w:top w:val="nil"/>
              <w:left w:val="single" w:color="auto" w:sz="12" w:space="0"/>
              <w:bottom w:val="single" w:color="000000" w:sz="12" w:space="0"/>
              <w:right w:val="single" w:color="auto" w:sz="12" w:space="0"/>
            </w:tcBorders>
            <w:shd w:val="clear" w:color="auto" w:fill="auto"/>
            <w:noWrap w:val="0"/>
            <w:vAlign w:val="center"/>
          </w:tcPr>
          <w:p w14:paraId="01968A80">
            <w:pPr>
              <w:rPr>
                <w:rFonts w:ascii="宋体" w:hAnsi="宋体"/>
                <w:szCs w:val="24"/>
              </w:rPr>
            </w:pPr>
          </w:p>
        </w:tc>
        <w:tc>
          <w:tcPr>
            <w:tcW w:w="0" w:type="auto"/>
            <w:vMerge w:val="continue"/>
            <w:tcBorders>
              <w:top w:val="nil"/>
              <w:left w:val="single" w:color="auto" w:sz="12" w:space="0"/>
              <w:bottom w:val="single" w:color="000000" w:sz="12" w:space="0"/>
              <w:right w:val="single" w:color="auto" w:sz="12" w:space="0"/>
            </w:tcBorders>
            <w:shd w:val="clear" w:color="auto" w:fill="auto"/>
            <w:noWrap w:val="0"/>
            <w:vAlign w:val="center"/>
          </w:tcPr>
          <w:p w14:paraId="39297409">
            <w:pPr>
              <w:rPr>
                <w:rFonts w:ascii="宋体" w:hAnsi="宋体" w:cs="Calibri"/>
                <w:szCs w:val="24"/>
              </w:rPr>
            </w:pPr>
          </w:p>
        </w:tc>
        <w:tc>
          <w:tcPr>
            <w:tcW w:w="0" w:type="auto"/>
            <w:vMerge w:val="continue"/>
            <w:tcBorders>
              <w:top w:val="nil"/>
              <w:left w:val="single" w:color="auto" w:sz="12" w:space="0"/>
              <w:bottom w:val="single" w:color="000000" w:sz="12" w:space="0"/>
              <w:right w:val="single" w:color="auto" w:sz="12" w:space="0"/>
            </w:tcBorders>
            <w:shd w:val="clear" w:color="auto" w:fill="auto"/>
            <w:noWrap w:val="0"/>
            <w:vAlign w:val="center"/>
          </w:tcPr>
          <w:p w14:paraId="25740792">
            <w:pPr>
              <w:rPr>
                <w:rFonts w:ascii="宋体" w:hAnsi="宋体"/>
                <w:szCs w:val="24"/>
              </w:rPr>
            </w:pPr>
          </w:p>
        </w:tc>
        <w:tc>
          <w:tcPr>
            <w:tcW w:w="0" w:type="auto"/>
            <w:tcBorders>
              <w:top w:val="nil"/>
              <w:left w:val="nil"/>
              <w:bottom w:val="single" w:color="auto" w:sz="12" w:space="0"/>
              <w:right w:val="single" w:color="auto" w:sz="12" w:space="0"/>
            </w:tcBorders>
            <w:shd w:val="clear" w:color="000000" w:fill="FFFFFF"/>
            <w:noWrap w:val="0"/>
            <w:vAlign w:val="center"/>
          </w:tcPr>
          <w:p w14:paraId="796B5A25">
            <w:pPr>
              <w:rPr>
                <w:rFonts w:ascii="宋体" w:hAnsi="宋体"/>
                <w:szCs w:val="24"/>
              </w:rPr>
            </w:pPr>
            <w:r>
              <w:rPr>
                <w:rFonts w:hint="eastAsia" w:ascii="宋体" w:hAnsi="宋体"/>
                <w:szCs w:val="24"/>
              </w:rPr>
              <w:t>考核周期（月度）内工作总结报告未满足该月需出具次数或无法提供当月总结报告，得</w:t>
            </w:r>
            <w:r>
              <w:rPr>
                <w:rFonts w:ascii="宋体" w:hAnsi="宋体" w:cs="Calibri"/>
                <w:szCs w:val="24"/>
              </w:rPr>
              <w:t>0</w:t>
            </w:r>
            <w:r>
              <w:rPr>
                <w:rFonts w:hint="eastAsia" w:ascii="宋体" w:hAnsi="宋体"/>
                <w:szCs w:val="24"/>
              </w:rPr>
              <w:t>分；</w:t>
            </w:r>
          </w:p>
        </w:tc>
        <w:tc>
          <w:tcPr>
            <w:tcW w:w="0" w:type="auto"/>
            <w:vMerge w:val="continue"/>
            <w:tcBorders>
              <w:top w:val="nil"/>
              <w:left w:val="single" w:color="auto" w:sz="12" w:space="0"/>
              <w:bottom w:val="single" w:color="000000" w:sz="12" w:space="0"/>
              <w:right w:val="single" w:color="auto" w:sz="12" w:space="0"/>
            </w:tcBorders>
            <w:noWrap w:val="0"/>
            <w:vAlign w:val="center"/>
          </w:tcPr>
          <w:p w14:paraId="1DB91B7A">
            <w:pPr>
              <w:rPr>
                <w:rFonts w:ascii="宋体" w:hAnsi="宋体" w:cs="Calibri"/>
                <w:szCs w:val="24"/>
              </w:rPr>
            </w:pPr>
          </w:p>
        </w:tc>
      </w:tr>
      <w:tr w14:paraId="2A36B1C4">
        <w:tblPrEx>
          <w:tblCellMar>
            <w:top w:w="0" w:type="dxa"/>
            <w:left w:w="108" w:type="dxa"/>
            <w:bottom w:w="0" w:type="dxa"/>
            <w:right w:w="108" w:type="dxa"/>
          </w:tblCellMar>
        </w:tblPrEx>
        <w:trPr>
          <w:trHeight w:val="660" w:hRule="atLeast"/>
        </w:trPr>
        <w:tc>
          <w:tcPr>
            <w:tcW w:w="0" w:type="auto"/>
            <w:vMerge w:val="continue"/>
            <w:tcBorders>
              <w:top w:val="nil"/>
              <w:left w:val="single" w:color="auto" w:sz="12" w:space="0"/>
              <w:bottom w:val="single" w:color="000000" w:sz="12" w:space="0"/>
              <w:right w:val="single" w:color="auto" w:sz="12" w:space="0"/>
            </w:tcBorders>
            <w:shd w:val="clear" w:color="auto" w:fill="auto"/>
            <w:noWrap w:val="0"/>
            <w:vAlign w:val="center"/>
          </w:tcPr>
          <w:p w14:paraId="2877D49A">
            <w:pPr>
              <w:rPr>
                <w:rFonts w:ascii="宋体" w:hAnsi="宋体"/>
                <w:szCs w:val="24"/>
              </w:rPr>
            </w:pPr>
          </w:p>
        </w:tc>
        <w:tc>
          <w:tcPr>
            <w:tcW w:w="0" w:type="auto"/>
            <w:vMerge w:val="restart"/>
            <w:tcBorders>
              <w:top w:val="nil"/>
              <w:left w:val="single" w:color="auto" w:sz="12" w:space="0"/>
              <w:bottom w:val="single" w:color="000000" w:sz="12" w:space="0"/>
              <w:right w:val="single" w:color="auto" w:sz="12" w:space="0"/>
            </w:tcBorders>
            <w:shd w:val="clear" w:color="000000" w:fill="FFFFFF"/>
            <w:noWrap w:val="0"/>
            <w:vAlign w:val="center"/>
          </w:tcPr>
          <w:p w14:paraId="45CC376B">
            <w:pPr>
              <w:rPr>
                <w:rFonts w:ascii="宋体" w:hAnsi="宋体" w:cs="Calibri"/>
                <w:szCs w:val="24"/>
              </w:rPr>
            </w:pPr>
            <w:r>
              <w:rPr>
                <w:rFonts w:ascii="宋体" w:hAnsi="宋体" w:cs="Calibri"/>
                <w:szCs w:val="24"/>
              </w:rPr>
              <w:t>3</w:t>
            </w:r>
          </w:p>
        </w:tc>
        <w:tc>
          <w:tcPr>
            <w:tcW w:w="0" w:type="auto"/>
            <w:vMerge w:val="restart"/>
            <w:tcBorders>
              <w:top w:val="nil"/>
              <w:left w:val="single" w:color="auto" w:sz="12" w:space="0"/>
              <w:bottom w:val="single" w:color="000000" w:sz="12" w:space="0"/>
              <w:right w:val="single" w:color="auto" w:sz="12" w:space="0"/>
            </w:tcBorders>
            <w:shd w:val="clear" w:color="000000" w:fill="FFFFFF"/>
            <w:noWrap w:val="0"/>
            <w:vAlign w:val="center"/>
          </w:tcPr>
          <w:p w14:paraId="2879C90B">
            <w:pPr>
              <w:rPr>
                <w:rFonts w:ascii="宋体" w:hAnsi="宋体"/>
                <w:szCs w:val="24"/>
              </w:rPr>
            </w:pPr>
            <w:r>
              <w:rPr>
                <w:rFonts w:hint="eastAsia" w:ascii="宋体" w:hAnsi="宋体"/>
                <w:szCs w:val="24"/>
              </w:rPr>
              <w:t>系统故障次数</w:t>
            </w:r>
            <w:r>
              <w:rPr>
                <w:rFonts w:ascii="宋体" w:hAnsi="宋体" w:cs="Calibri"/>
                <w:szCs w:val="24"/>
              </w:rPr>
              <w:t>(</w:t>
            </w:r>
            <w:r>
              <w:rPr>
                <w:rFonts w:hint="eastAsia" w:ascii="宋体" w:hAnsi="宋体"/>
                <w:szCs w:val="24"/>
              </w:rPr>
              <w:t>除不可抗拒情况外</w:t>
            </w:r>
            <w:r>
              <w:rPr>
                <w:rFonts w:ascii="宋体" w:hAnsi="宋体" w:cs="Calibri"/>
                <w:szCs w:val="24"/>
              </w:rPr>
              <w:t>)</w:t>
            </w:r>
          </w:p>
        </w:tc>
        <w:tc>
          <w:tcPr>
            <w:tcW w:w="0" w:type="auto"/>
            <w:tcBorders>
              <w:top w:val="nil"/>
              <w:left w:val="nil"/>
              <w:bottom w:val="single" w:color="auto" w:sz="12" w:space="0"/>
              <w:right w:val="single" w:color="auto" w:sz="12" w:space="0"/>
            </w:tcBorders>
            <w:shd w:val="clear" w:color="000000" w:fill="FFFFFF"/>
            <w:noWrap w:val="0"/>
            <w:vAlign w:val="center"/>
          </w:tcPr>
          <w:p w14:paraId="2AF24DD3">
            <w:pPr>
              <w:rPr>
                <w:rFonts w:ascii="宋体" w:hAnsi="宋体"/>
                <w:szCs w:val="24"/>
              </w:rPr>
            </w:pPr>
            <w:r>
              <w:rPr>
                <w:rFonts w:hint="eastAsia" w:ascii="宋体" w:hAnsi="宋体"/>
                <w:szCs w:val="24"/>
              </w:rPr>
              <w:t>考核周期（月度）内防汛系统无故障或丢失数据等情况发生，得</w:t>
            </w:r>
            <w:r>
              <w:rPr>
                <w:rFonts w:ascii="宋体" w:hAnsi="宋体" w:cs="Calibri"/>
                <w:szCs w:val="24"/>
              </w:rPr>
              <w:t>8</w:t>
            </w:r>
            <w:r>
              <w:rPr>
                <w:rFonts w:hint="eastAsia" w:ascii="宋体" w:hAnsi="宋体"/>
                <w:szCs w:val="24"/>
              </w:rPr>
              <w:t>分；</w:t>
            </w:r>
          </w:p>
        </w:tc>
        <w:tc>
          <w:tcPr>
            <w:tcW w:w="0" w:type="auto"/>
            <w:vMerge w:val="restart"/>
            <w:tcBorders>
              <w:top w:val="nil"/>
              <w:left w:val="single" w:color="auto" w:sz="12" w:space="0"/>
              <w:bottom w:val="single" w:color="000000" w:sz="12" w:space="0"/>
              <w:right w:val="single" w:color="auto" w:sz="12" w:space="0"/>
            </w:tcBorders>
            <w:shd w:val="clear" w:color="000000" w:fill="FFFFFF"/>
            <w:noWrap w:val="0"/>
            <w:vAlign w:val="center"/>
          </w:tcPr>
          <w:p w14:paraId="4234F820">
            <w:pPr>
              <w:rPr>
                <w:rFonts w:ascii="宋体" w:hAnsi="宋体" w:cs="Calibri"/>
                <w:szCs w:val="24"/>
              </w:rPr>
            </w:pPr>
            <w:r>
              <w:rPr>
                <w:rFonts w:ascii="宋体" w:hAnsi="宋体" w:cs="Calibri"/>
                <w:szCs w:val="24"/>
              </w:rPr>
              <w:t>8</w:t>
            </w:r>
          </w:p>
        </w:tc>
      </w:tr>
      <w:tr w14:paraId="53C930E8">
        <w:tblPrEx>
          <w:tblCellMar>
            <w:top w:w="0" w:type="dxa"/>
            <w:left w:w="108" w:type="dxa"/>
            <w:bottom w:w="0" w:type="dxa"/>
            <w:right w:w="108" w:type="dxa"/>
          </w:tblCellMar>
        </w:tblPrEx>
        <w:trPr>
          <w:trHeight w:val="660" w:hRule="atLeast"/>
        </w:trPr>
        <w:tc>
          <w:tcPr>
            <w:tcW w:w="0" w:type="auto"/>
            <w:vMerge w:val="continue"/>
            <w:tcBorders>
              <w:top w:val="nil"/>
              <w:left w:val="single" w:color="auto" w:sz="12" w:space="0"/>
              <w:bottom w:val="single" w:color="000000" w:sz="12" w:space="0"/>
              <w:right w:val="single" w:color="auto" w:sz="12" w:space="0"/>
            </w:tcBorders>
            <w:shd w:val="clear" w:color="auto" w:fill="auto"/>
            <w:noWrap w:val="0"/>
            <w:vAlign w:val="center"/>
          </w:tcPr>
          <w:p w14:paraId="76DCFD29">
            <w:pPr>
              <w:rPr>
                <w:rFonts w:ascii="宋体" w:hAnsi="宋体"/>
                <w:szCs w:val="24"/>
              </w:rPr>
            </w:pPr>
          </w:p>
        </w:tc>
        <w:tc>
          <w:tcPr>
            <w:tcW w:w="0" w:type="auto"/>
            <w:vMerge w:val="continue"/>
            <w:tcBorders>
              <w:top w:val="nil"/>
              <w:left w:val="single" w:color="auto" w:sz="12" w:space="0"/>
              <w:bottom w:val="single" w:color="000000" w:sz="12" w:space="0"/>
              <w:right w:val="single" w:color="auto" w:sz="12" w:space="0"/>
            </w:tcBorders>
            <w:shd w:val="clear" w:color="auto" w:fill="auto"/>
            <w:noWrap w:val="0"/>
            <w:vAlign w:val="center"/>
          </w:tcPr>
          <w:p w14:paraId="2B99793F">
            <w:pPr>
              <w:rPr>
                <w:rFonts w:ascii="宋体" w:hAnsi="宋体" w:cs="Calibri"/>
                <w:szCs w:val="24"/>
              </w:rPr>
            </w:pPr>
          </w:p>
        </w:tc>
        <w:tc>
          <w:tcPr>
            <w:tcW w:w="0" w:type="auto"/>
            <w:vMerge w:val="continue"/>
            <w:tcBorders>
              <w:top w:val="nil"/>
              <w:left w:val="single" w:color="auto" w:sz="12" w:space="0"/>
              <w:bottom w:val="single" w:color="000000" w:sz="12" w:space="0"/>
              <w:right w:val="single" w:color="auto" w:sz="12" w:space="0"/>
            </w:tcBorders>
            <w:shd w:val="clear" w:color="auto" w:fill="auto"/>
            <w:noWrap w:val="0"/>
            <w:vAlign w:val="center"/>
          </w:tcPr>
          <w:p w14:paraId="62DA8920">
            <w:pPr>
              <w:rPr>
                <w:rFonts w:ascii="宋体" w:hAnsi="宋体"/>
                <w:szCs w:val="24"/>
              </w:rPr>
            </w:pPr>
          </w:p>
        </w:tc>
        <w:tc>
          <w:tcPr>
            <w:tcW w:w="0" w:type="auto"/>
            <w:tcBorders>
              <w:top w:val="nil"/>
              <w:left w:val="nil"/>
              <w:bottom w:val="single" w:color="auto" w:sz="12" w:space="0"/>
              <w:right w:val="single" w:color="auto" w:sz="12" w:space="0"/>
            </w:tcBorders>
            <w:shd w:val="clear" w:color="000000" w:fill="FFFFFF"/>
            <w:noWrap w:val="0"/>
            <w:vAlign w:val="center"/>
          </w:tcPr>
          <w:p w14:paraId="2CA53D85">
            <w:pPr>
              <w:rPr>
                <w:rFonts w:ascii="宋体" w:hAnsi="宋体"/>
                <w:szCs w:val="24"/>
              </w:rPr>
            </w:pPr>
            <w:r>
              <w:rPr>
                <w:rFonts w:hint="eastAsia" w:ascii="宋体" w:hAnsi="宋体"/>
                <w:szCs w:val="24"/>
              </w:rPr>
              <w:t>考核周期（月度）内路防汛系统故障或丢失数据等情况不高于</w:t>
            </w:r>
            <w:r>
              <w:rPr>
                <w:rFonts w:ascii="宋体" w:hAnsi="宋体" w:cs="Calibri"/>
                <w:szCs w:val="24"/>
              </w:rPr>
              <w:t>1</w:t>
            </w:r>
            <w:r>
              <w:rPr>
                <w:rFonts w:hint="eastAsia" w:ascii="宋体" w:hAnsi="宋体"/>
                <w:szCs w:val="24"/>
              </w:rPr>
              <w:t>次，得</w:t>
            </w:r>
            <w:r>
              <w:rPr>
                <w:rFonts w:ascii="宋体" w:hAnsi="宋体" w:cs="Calibri"/>
                <w:szCs w:val="24"/>
              </w:rPr>
              <w:t>4</w:t>
            </w:r>
            <w:r>
              <w:rPr>
                <w:rFonts w:hint="eastAsia" w:ascii="宋体" w:hAnsi="宋体"/>
                <w:szCs w:val="24"/>
              </w:rPr>
              <w:t>分。</w:t>
            </w:r>
          </w:p>
        </w:tc>
        <w:tc>
          <w:tcPr>
            <w:tcW w:w="0" w:type="auto"/>
            <w:vMerge w:val="continue"/>
            <w:tcBorders>
              <w:top w:val="nil"/>
              <w:left w:val="single" w:color="auto" w:sz="12" w:space="0"/>
              <w:bottom w:val="single" w:color="000000" w:sz="12" w:space="0"/>
              <w:right w:val="single" w:color="auto" w:sz="12" w:space="0"/>
            </w:tcBorders>
            <w:noWrap w:val="0"/>
            <w:vAlign w:val="center"/>
          </w:tcPr>
          <w:p w14:paraId="3557C1C8">
            <w:pPr>
              <w:rPr>
                <w:rFonts w:ascii="宋体" w:hAnsi="宋体" w:cs="Calibri"/>
                <w:szCs w:val="24"/>
              </w:rPr>
            </w:pPr>
          </w:p>
        </w:tc>
      </w:tr>
      <w:tr w14:paraId="5282A7E3">
        <w:tblPrEx>
          <w:tblCellMar>
            <w:top w:w="0" w:type="dxa"/>
            <w:left w:w="108" w:type="dxa"/>
            <w:bottom w:w="0" w:type="dxa"/>
            <w:right w:w="108" w:type="dxa"/>
          </w:tblCellMar>
        </w:tblPrEx>
        <w:trPr>
          <w:trHeight w:val="660" w:hRule="atLeast"/>
        </w:trPr>
        <w:tc>
          <w:tcPr>
            <w:tcW w:w="0" w:type="auto"/>
            <w:vMerge w:val="continue"/>
            <w:tcBorders>
              <w:top w:val="nil"/>
              <w:left w:val="single" w:color="auto" w:sz="12" w:space="0"/>
              <w:bottom w:val="single" w:color="000000" w:sz="12" w:space="0"/>
              <w:right w:val="single" w:color="auto" w:sz="12" w:space="0"/>
            </w:tcBorders>
            <w:shd w:val="clear" w:color="auto" w:fill="auto"/>
            <w:noWrap w:val="0"/>
            <w:vAlign w:val="center"/>
          </w:tcPr>
          <w:p w14:paraId="4A362C3B">
            <w:pPr>
              <w:rPr>
                <w:rFonts w:ascii="宋体" w:hAnsi="宋体"/>
                <w:szCs w:val="24"/>
              </w:rPr>
            </w:pPr>
          </w:p>
        </w:tc>
        <w:tc>
          <w:tcPr>
            <w:tcW w:w="0" w:type="auto"/>
            <w:vMerge w:val="continue"/>
            <w:tcBorders>
              <w:top w:val="nil"/>
              <w:left w:val="single" w:color="auto" w:sz="12" w:space="0"/>
              <w:bottom w:val="single" w:color="000000" w:sz="12" w:space="0"/>
              <w:right w:val="single" w:color="auto" w:sz="12" w:space="0"/>
            </w:tcBorders>
            <w:shd w:val="clear" w:color="auto" w:fill="auto"/>
            <w:noWrap w:val="0"/>
            <w:vAlign w:val="center"/>
          </w:tcPr>
          <w:p w14:paraId="0F9C39E1">
            <w:pPr>
              <w:rPr>
                <w:rFonts w:ascii="宋体" w:hAnsi="宋体" w:cs="Calibri"/>
                <w:szCs w:val="24"/>
              </w:rPr>
            </w:pPr>
          </w:p>
        </w:tc>
        <w:tc>
          <w:tcPr>
            <w:tcW w:w="0" w:type="auto"/>
            <w:vMerge w:val="continue"/>
            <w:tcBorders>
              <w:top w:val="nil"/>
              <w:left w:val="single" w:color="auto" w:sz="12" w:space="0"/>
              <w:bottom w:val="single" w:color="000000" w:sz="12" w:space="0"/>
              <w:right w:val="single" w:color="auto" w:sz="12" w:space="0"/>
            </w:tcBorders>
            <w:shd w:val="clear" w:color="auto" w:fill="auto"/>
            <w:noWrap w:val="0"/>
            <w:vAlign w:val="center"/>
          </w:tcPr>
          <w:p w14:paraId="4574A04E">
            <w:pPr>
              <w:rPr>
                <w:rFonts w:ascii="宋体" w:hAnsi="宋体"/>
                <w:szCs w:val="24"/>
              </w:rPr>
            </w:pPr>
          </w:p>
        </w:tc>
        <w:tc>
          <w:tcPr>
            <w:tcW w:w="0" w:type="auto"/>
            <w:tcBorders>
              <w:top w:val="nil"/>
              <w:left w:val="nil"/>
              <w:bottom w:val="single" w:color="auto" w:sz="12" w:space="0"/>
              <w:right w:val="single" w:color="auto" w:sz="12" w:space="0"/>
            </w:tcBorders>
            <w:shd w:val="clear" w:color="000000" w:fill="FFFFFF"/>
            <w:noWrap w:val="0"/>
            <w:vAlign w:val="center"/>
          </w:tcPr>
          <w:p w14:paraId="707CC937">
            <w:pPr>
              <w:rPr>
                <w:rFonts w:ascii="宋体" w:hAnsi="宋体"/>
                <w:szCs w:val="24"/>
              </w:rPr>
            </w:pPr>
            <w:r>
              <w:rPr>
                <w:rFonts w:hint="eastAsia" w:ascii="宋体" w:hAnsi="宋体"/>
                <w:szCs w:val="24"/>
              </w:rPr>
              <w:t>考核周期（月度）内防汛系统出现故障或丢失数据等情况次数≥</w:t>
            </w:r>
            <w:r>
              <w:rPr>
                <w:rFonts w:ascii="宋体" w:hAnsi="宋体" w:cs="Calibri"/>
                <w:szCs w:val="24"/>
              </w:rPr>
              <w:t>2</w:t>
            </w:r>
            <w:r>
              <w:rPr>
                <w:rFonts w:hint="eastAsia" w:ascii="宋体" w:hAnsi="宋体"/>
                <w:szCs w:val="24"/>
              </w:rPr>
              <w:t>次，得</w:t>
            </w:r>
            <w:r>
              <w:rPr>
                <w:rFonts w:ascii="宋体" w:hAnsi="宋体" w:cs="Calibri"/>
                <w:szCs w:val="24"/>
              </w:rPr>
              <w:t>0</w:t>
            </w:r>
            <w:r>
              <w:rPr>
                <w:rFonts w:hint="eastAsia" w:ascii="宋体" w:hAnsi="宋体"/>
                <w:szCs w:val="24"/>
              </w:rPr>
              <w:t>分。</w:t>
            </w:r>
          </w:p>
        </w:tc>
        <w:tc>
          <w:tcPr>
            <w:tcW w:w="0" w:type="auto"/>
            <w:vMerge w:val="continue"/>
            <w:tcBorders>
              <w:top w:val="nil"/>
              <w:left w:val="single" w:color="auto" w:sz="12" w:space="0"/>
              <w:bottom w:val="single" w:color="000000" w:sz="12" w:space="0"/>
              <w:right w:val="single" w:color="auto" w:sz="12" w:space="0"/>
            </w:tcBorders>
            <w:noWrap w:val="0"/>
            <w:vAlign w:val="center"/>
          </w:tcPr>
          <w:p w14:paraId="2288BBB0">
            <w:pPr>
              <w:rPr>
                <w:rFonts w:ascii="宋体" w:hAnsi="宋体" w:cs="Calibri"/>
                <w:szCs w:val="24"/>
              </w:rPr>
            </w:pPr>
          </w:p>
        </w:tc>
      </w:tr>
      <w:tr w14:paraId="63ECA0B5">
        <w:tblPrEx>
          <w:tblCellMar>
            <w:top w:w="0" w:type="dxa"/>
            <w:left w:w="108" w:type="dxa"/>
            <w:bottom w:w="0" w:type="dxa"/>
            <w:right w:w="108" w:type="dxa"/>
          </w:tblCellMar>
        </w:tblPrEx>
        <w:trPr>
          <w:trHeight w:val="660" w:hRule="atLeast"/>
        </w:trPr>
        <w:tc>
          <w:tcPr>
            <w:tcW w:w="0" w:type="auto"/>
            <w:vMerge w:val="continue"/>
            <w:tcBorders>
              <w:top w:val="nil"/>
              <w:left w:val="single" w:color="auto" w:sz="12" w:space="0"/>
              <w:bottom w:val="single" w:color="000000" w:sz="12" w:space="0"/>
              <w:right w:val="single" w:color="auto" w:sz="12" w:space="0"/>
            </w:tcBorders>
            <w:shd w:val="clear" w:color="auto" w:fill="auto"/>
            <w:noWrap w:val="0"/>
            <w:vAlign w:val="center"/>
          </w:tcPr>
          <w:p w14:paraId="7AD0A114">
            <w:pPr>
              <w:rPr>
                <w:rFonts w:ascii="宋体" w:hAnsi="宋体"/>
                <w:szCs w:val="24"/>
              </w:rPr>
            </w:pPr>
          </w:p>
        </w:tc>
        <w:tc>
          <w:tcPr>
            <w:tcW w:w="0" w:type="auto"/>
            <w:vMerge w:val="restart"/>
            <w:tcBorders>
              <w:top w:val="nil"/>
              <w:left w:val="single" w:color="auto" w:sz="12" w:space="0"/>
              <w:bottom w:val="single" w:color="000000" w:sz="12" w:space="0"/>
              <w:right w:val="single" w:color="auto" w:sz="12" w:space="0"/>
            </w:tcBorders>
            <w:shd w:val="clear" w:color="000000" w:fill="FFFFFF"/>
            <w:noWrap w:val="0"/>
            <w:vAlign w:val="center"/>
          </w:tcPr>
          <w:p w14:paraId="78D47CC6">
            <w:pPr>
              <w:rPr>
                <w:rFonts w:ascii="宋体" w:hAnsi="宋体" w:cs="Calibri"/>
                <w:szCs w:val="24"/>
              </w:rPr>
            </w:pPr>
            <w:r>
              <w:rPr>
                <w:rFonts w:ascii="宋体" w:hAnsi="宋体" w:cs="Calibri"/>
                <w:szCs w:val="24"/>
              </w:rPr>
              <w:t>4</w:t>
            </w:r>
          </w:p>
        </w:tc>
        <w:tc>
          <w:tcPr>
            <w:tcW w:w="0" w:type="auto"/>
            <w:vMerge w:val="restart"/>
            <w:tcBorders>
              <w:top w:val="nil"/>
              <w:left w:val="single" w:color="auto" w:sz="12" w:space="0"/>
              <w:bottom w:val="single" w:color="000000" w:sz="12" w:space="0"/>
              <w:right w:val="single" w:color="auto" w:sz="12" w:space="0"/>
            </w:tcBorders>
            <w:shd w:val="clear" w:color="000000" w:fill="FFFFFF"/>
            <w:noWrap w:val="0"/>
            <w:vAlign w:val="center"/>
          </w:tcPr>
          <w:p w14:paraId="548846F1">
            <w:pPr>
              <w:rPr>
                <w:rFonts w:ascii="宋体" w:hAnsi="宋体"/>
                <w:szCs w:val="24"/>
              </w:rPr>
            </w:pPr>
            <w:r>
              <w:rPr>
                <w:rFonts w:hint="eastAsia" w:ascii="宋体" w:hAnsi="宋体"/>
                <w:szCs w:val="24"/>
              </w:rPr>
              <w:t>系统故障恢复时间</w:t>
            </w:r>
          </w:p>
        </w:tc>
        <w:tc>
          <w:tcPr>
            <w:tcW w:w="0" w:type="auto"/>
            <w:tcBorders>
              <w:top w:val="nil"/>
              <w:left w:val="nil"/>
              <w:bottom w:val="single" w:color="auto" w:sz="12" w:space="0"/>
              <w:right w:val="single" w:color="auto" w:sz="12" w:space="0"/>
            </w:tcBorders>
            <w:shd w:val="clear" w:color="000000" w:fill="FFFFFF"/>
            <w:noWrap w:val="0"/>
            <w:vAlign w:val="center"/>
          </w:tcPr>
          <w:p w14:paraId="5686674C">
            <w:pPr>
              <w:rPr>
                <w:rFonts w:ascii="宋体" w:hAnsi="宋体"/>
                <w:szCs w:val="24"/>
              </w:rPr>
            </w:pPr>
            <w:r>
              <w:rPr>
                <w:rFonts w:hint="eastAsia" w:ascii="宋体" w:hAnsi="宋体"/>
                <w:szCs w:val="24"/>
              </w:rPr>
              <w:t>考核周期（月度）内防汛系统故障或丢失数据等情况平均恢复时间≤6小时，得</w:t>
            </w:r>
            <w:r>
              <w:rPr>
                <w:rFonts w:ascii="宋体" w:hAnsi="宋体" w:cs="Calibri"/>
                <w:szCs w:val="24"/>
              </w:rPr>
              <w:t>8</w:t>
            </w:r>
            <w:r>
              <w:rPr>
                <w:rFonts w:hint="eastAsia" w:ascii="宋体" w:hAnsi="宋体"/>
                <w:szCs w:val="24"/>
              </w:rPr>
              <w:t>分；</w:t>
            </w:r>
          </w:p>
        </w:tc>
        <w:tc>
          <w:tcPr>
            <w:tcW w:w="0" w:type="auto"/>
            <w:vMerge w:val="restart"/>
            <w:tcBorders>
              <w:top w:val="nil"/>
              <w:left w:val="single" w:color="auto" w:sz="12" w:space="0"/>
              <w:bottom w:val="single" w:color="000000" w:sz="12" w:space="0"/>
              <w:right w:val="single" w:color="auto" w:sz="12" w:space="0"/>
            </w:tcBorders>
            <w:shd w:val="clear" w:color="000000" w:fill="FFFFFF"/>
            <w:noWrap w:val="0"/>
            <w:vAlign w:val="center"/>
          </w:tcPr>
          <w:p w14:paraId="4AA57600">
            <w:pPr>
              <w:rPr>
                <w:rFonts w:ascii="宋体" w:hAnsi="宋体" w:cs="Calibri"/>
                <w:szCs w:val="24"/>
              </w:rPr>
            </w:pPr>
            <w:r>
              <w:rPr>
                <w:rFonts w:ascii="宋体" w:hAnsi="宋体" w:cs="Calibri"/>
                <w:szCs w:val="24"/>
              </w:rPr>
              <w:t>8</w:t>
            </w:r>
          </w:p>
        </w:tc>
      </w:tr>
      <w:tr w14:paraId="47C8B0CD">
        <w:tblPrEx>
          <w:tblCellMar>
            <w:top w:w="0" w:type="dxa"/>
            <w:left w:w="108" w:type="dxa"/>
            <w:bottom w:w="0" w:type="dxa"/>
            <w:right w:w="108" w:type="dxa"/>
          </w:tblCellMar>
        </w:tblPrEx>
        <w:trPr>
          <w:trHeight w:val="660" w:hRule="atLeast"/>
        </w:trPr>
        <w:tc>
          <w:tcPr>
            <w:tcW w:w="0" w:type="auto"/>
            <w:vMerge w:val="continue"/>
            <w:tcBorders>
              <w:top w:val="nil"/>
              <w:left w:val="single" w:color="auto" w:sz="12" w:space="0"/>
              <w:bottom w:val="single" w:color="000000" w:sz="12" w:space="0"/>
              <w:right w:val="single" w:color="auto" w:sz="12" w:space="0"/>
            </w:tcBorders>
            <w:shd w:val="clear" w:color="auto" w:fill="auto"/>
            <w:noWrap w:val="0"/>
            <w:vAlign w:val="center"/>
          </w:tcPr>
          <w:p w14:paraId="204BD2A0">
            <w:pPr>
              <w:rPr>
                <w:rFonts w:ascii="宋体" w:hAnsi="宋体"/>
                <w:szCs w:val="24"/>
              </w:rPr>
            </w:pPr>
          </w:p>
        </w:tc>
        <w:tc>
          <w:tcPr>
            <w:tcW w:w="0" w:type="auto"/>
            <w:vMerge w:val="continue"/>
            <w:tcBorders>
              <w:top w:val="nil"/>
              <w:left w:val="single" w:color="auto" w:sz="12" w:space="0"/>
              <w:bottom w:val="single" w:color="000000" w:sz="12" w:space="0"/>
              <w:right w:val="single" w:color="auto" w:sz="12" w:space="0"/>
            </w:tcBorders>
            <w:shd w:val="clear" w:color="auto" w:fill="auto"/>
            <w:noWrap w:val="0"/>
            <w:vAlign w:val="center"/>
          </w:tcPr>
          <w:p w14:paraId="0CE0193D">
            <w:pPr>
              <w:rPr>
                <w:rFonts w:ascii="宋体" w:hAnsi="宋体" w:cs="Calibri"/>
                <w:szCs w:val="24"/>
              </w:rPr>
            </w:pPr>
          </w:p>
        </w:tc>
        <w:tc>
          <w:tcPr>
            <w:tcW w:w="0" w:type="auto"/>
            <w:vMerge w:val="continue"/>
            <w:tcBorders>
              <w:top w:val="nil"/>
              <w:left w:val="single" w:color="auto" w:sz="12" w:space="0"/>
              <w:bottom w:val="single" w:color="000000" w:sz="12" w:space="0"/>
              <w:right w:val="single" w:color="auto" w:sz="12" w:space="0"/>
            </w:tcBorders>
            <w:shd w:val="clear" w:color="auto" w:fill="auto"/>
            <w:noWrap w:val="0"/>
            <w:vAlign w:val="center"/>
          </w:tcPr>
          <w:p w14:paraId="23831203">
            <w:pPr>
              <w:rPr>
                <w:rFonts w:ascii="宋体" w:hAnsi="宋体"/>
                <w:szCs w:val="24"/>
              </w:rPr>
            </w:pPr>
          </w:p>
        </w:tc>
        <w:tc>
          <w:tcPr>
            <w:tcW w:w="0" w:type="auto"/>
            <w:tcBorders>
              <w:top w:val="nil"/>
              <w:left w:val="nil"/>
              <w:bottom w:val="single" w:color="auto" w:sz="12" w:space="0"/>
              <w:right w:val="single" w:color="auto" w:sz="12" w:space="0"/>
            </w:tcBorders>
            <w:shd w:val="clear" w:color="000000" w:fill="FFFFFF"/>
            <w:noWrap w:val="0"/>
            <w:vAlign w:val="center"/>
          </w:tcPr>
          <w:p w14:paraId="57E59DB1">
            <w:pPr>
              <w:rPr>
                <w:rFonts w:ascii="宋体" w:hAnsi="宋体"/>
                <w:szCs w:val="24"/>
              </w:rPr>
            </w:pPr>
            <w:r>
              <w:rPr>
                <w:rFonts w:hint="eastAsia" w:ascii="宋体" w:hAnsi="宋体"/>
                <w:szCs w:val="24"/>
              </w:rPr>
              <w:t>考核周期（月度）内防汛系统故障或丢失数据等情况平均恢复时间＞6小时且≤12</w:t>
            </w:r>
            <w:r>
              <w:rPr>
                <w:rFonts w:ascii="宋体" w:hAnsi="宋体" w:cs="Calibri"/>
                <w:szCs w:val="24"/>
              </w:rPr>
              <w:t>小时</w:t>
            </w:r>
            <w:r>
              <w:rPr>
                <w:rFonts w:hint="eastAsia" w:ascii="宋体" w:hAnsi="宋体"/>
                <w:szCs w:val="24"/>
              </w:rPr>
              <w:t>，得</w:t>
            </w:r>
            <w:r>
              <w:rPr>
                <w:rFonts w:ascii="宋体" w:hAnsi="宋体" w:cs="Calibri"/>
                <w:szCs w:val="24"/>
              </w:rPr>
              <w:t>4</w:t>
            </w:r>
            <w:r>
              <w:rPr>
                <w:rFonts w:hint="eastAsia" w:ascii="宋体" w:hAnsi="宋体"/>
                <w:szCs w:val="24"/>
              </w:rPr>
              <w:t>分；</w:t>
            </w:r>
          </w:p>
        </w:tc>
        <w:tc>
          <w:tcPr>
            <w:tcW w:w="0" w:type="auto"/>
            <w:vMerge w:val="continue"/>
            <w:tcBorders>
              <w:top w:val="nil"/>
              <w:left w:val="single" w:color="auto" w:sz="12" w:space="0"/>
              <w:bottom w:val="single" w:color="000000" w:sz="12" w:space="0"/>
              <w:right w:val="single" w:color="auto" w:sz="12" w:space="0"/>
            </w:tcBorders>
            <w:noWrap w:val="0"/>
            <w:vAlign w:val="center"/>
          </w:tcPr>
          <w:p w14:paraId="61CD9F54">
            <w:pPr>
              <w:rPr>
                <w:rFonts w:ascii="宋体" w:hAnsi="宋体" w:cs="Calibri"/>
                <w:szCs w:val="24"/>
              </w:rPr>
            </w:pPr>
          </w:p>
        </w:tc>
      </w:tr>
      <w:tr w14:paraId="626332B2">
        <w:tblPrEx>
          <w:tblCellMar>
            <w:top w:w="0" w:type="dxa"/>
            <w:left w:w="108" w:type="dxa"/>
            <w:bottom w:w="0" w:type="dxa"/>
            <w:right w:w="108" w:type="dxa"/>
          </w:tblCellMar>
        </w:tblPrEx>
        <w:trPr>
          <w:trHeight w:val="660" w:hRule="atLeast"/>
        </w:trPr>
        <w:tc>
          <w:tcPr>
            <w:tcW w:w="0" w:type="auto"/>
            <w:vMerge w:val="continue"/>
            <w:tcBorders>
              <w:top w:val="nil"/>
              <w:left w:val="single" w:color="auto" w:sz="12" w:space="0"/>
              <w:bottom w:val="single" w:color="000000" w:sz="12" w:space="0"/>
              <w:right w:val="single" w:color="auto" w:sz="12" w:space="0"/>
            </w:tcBorders>
            <w:shd w:val="clear" w:color="auto" w:fill="auto"/>
            <w:noWrap w:val="0"/>
            <w:vAlign w:val="center"/>
          </w:tcPr>
          <w:p w14:paraId="316E588C">
            <w:pPr>
              <w:rPr>
                <w:rFonts w:ascii="宋体" w:hAnsi="宋体"/>
                <w:szCs w:val="24"/>
              </w:rPr>
            </w:pPr>
          </w:p>
        </w:tc>
        <w:tc>
          <w:tcPr>
            <w:tcW w:w="0" w:type="auto"/>
            <w:vMerge w:val="continue"/>
            <w:tcBorders>
              <w:top w:val="nil"/>
              <w:left w:val="single" w:color="auto" w:sz="12" w:space="0"/>
              <w:bottom w:val="single" w:color="000000" w:sz="12" w:space="0"/>
              <w:right w:val="single" w:color="auto" w:sz="12" w:space="0"/>
            </w:tcBorders>
            <w:shd w:val="clear" w:color="auto" w:fill="auto"/>
            <w:noWrap w:val="0"/>
            <w:vAlign w:val="center"/>
          </w:tcPr>
          <w:p w14:paraId="52C44C66">
            <w:pPr>
              <w:rPr>
                <w:rFonts w:ascii="宋体" w:hAnsi="宋体" w:cs="Calibri"/>
                <w:szCs w:val="24"/>
              </w:rPr>
            </w:pPr>
          </w:p>
        </w:tc>
        <w:tc>
          <w:tcPr>
            <w:tcW w:w="0" w:type="auto"/>
            <w:vMerge w:val="continue"/>
            <w:tcBorders>
              <w:top w:val="nil"/>
              <w:left w:val="single" w:color="auto" w:sz="12" w:space="0"/>
              <w:bottom w:val="single" w:color="000000" w:sz="12" w:space="0"/>
              <w:right w:val="single" w:color="auto" w:sz="12" w:space="0"/>
            </w:tcBorders>
            <w:shd w:val="clear" w:color="auto" w:fill="auto"/>
            <w:noWrap w:val="0"/>
            <w:vAlign w:val="center"/>
          </w:tcPr>
          <w:p w14:paraId="368356C9">
            <w:pPr>
              <w:rPr>
                <w:rFonts w:ascii="宋体" w:hAnsi="宋体"/>
                <w:szCs w:val="24"/>
              </w:rPr>
            </w:pPr>
          </w:p>
        </w:tc>
        <w:tc>
          <w:tcPr>
            <w:tcW w:w="0" w:type="auto"/>
            <w:tcBorders>
              <w:top w:val="nil"/>
              <w:left w:val="nil"/>
              <w:bottom w:val="single" w:color="auto" w:sz="12" w:space="0"/>
              <w:right w:val="single" w:color="auto" w:sz="12" w:space="0"/>
            </w:tcBorders>
            <w:shd w:val="clear" w:color="000000" w:fill="FFFFFF"/>
            <w:noWrap w:val="0"/>
            <w:vAlign w:val="center"/>
          </w:tcPr>
          <w:p w14:paraId="1220B0BB">
            <w:pPr>
              <w:rPr>
                <w:rFonts w:ascii="宋体" w:hAnsi="宋体"/>
                <w:szCs w:val="24"/>
              </w:rPr>
            </w:pPr>
            <w:r>
              <w:rPr>
                <w:rFonts w:hint="eastAsia" w:ascii="宋体" w:hAnsi="宋体"/>
                <w:szCs w:val="24"/>
              </w:rPr>
              <w:t>考核周期（月度）内防汛系统故障或丢失数据等情况平均恢复时间＞</w:t>
            </w:r>
            <w:r>
              <w:rPr>
                <w:rFonts w:ascii="宋体" w:hAnsi="宋体" w:cs="Calibri"/>
                <w:szCs w:val="24"/>
              </w:rPr>
              <w:t>12小时</w:t>
            </w:r>
            <w:r>
              <w:rPr>
                <w:rFonts w:hint="eastAsia" w:ascii="宋体" w:hAnsi="宋体"/>
                <w:szCs w:val="24"/>
              </w:rPr>
              <w:t>，得</w:t>
            </w:r>
            <w:r>
              <w:rPr>
                <w:rFonts w:ascii="宋体" w:hAnsi="宋体" w:cs="Calibri"/>
                <w:szCs w:val="24"/>
              </w:rPr>
              <w:t>0</w:t>
            </w:r>
            <w:r>
              <w:rPr>
                <w:rFonts w:hint="eastAsia" w:ascii="宋体" w:hAnsi="宋体"/>
                <w:szCs w:val="24"/>
              </w:rPr>
              <w:t>分</w:t>
            </w:r>
          </w:p>
        </w:tc>
        <w:tc>
          <w:tcPr>
            <w:tcW w:w="0" w:type="auto"/>
            <w:vMerge w:val="continue"/>
            <w:tcBorders>
              <w:top w:val="nil"/>
              <w:left w:val="single" w:color="auto" w:sz="12" w:space="0"/>
              <w:bottom w:val="single" w:color="000000" w:sz="12" w:space="0"/>
              <w:right w:val="single" w:color="auto" w:sz="12" w:space="0"/>
            </w:tcBorders>
            <w:noWrap w:val="0"/>
            <w:vAlign w:val="center"/>
          </w:tcPr>
          <w:p w14:paraId="6F026F31">
            <w:pPr>
              <w:rPr>
                <w:rFonts w:ascii="宋体" w:hAnsi="宋体" w:cs="Calibri"/>
                <w:szCs w:val="24"/>
              </w:rPr>
            </w:pPr>
          </w:p>
        </w:tc>
      </w:tr>
      <w:tr w14:paraId="5CD51D59">
        <w:tblPrEx>
          <w:tblCellMar>
            <w:top w:w="0" w:type="dxa"/>
            <w:left w:w="108" w:type="dxa"/>
            <w:bottom w:w="0" w:type="dxa"/>
            <w:right w:w="108" w:type="dxa"/>
          </w:tblCellMar>
        </w:tblPrEx>
        <w:trPr>
          <w:trHeight w:val="660" w:hRule="atLeast"/>
        </w:trPr>
        <w:tc>
          <w:tcPr>
            <w:tcW w:w="0" w:type="auto"/>
            <w:vMerge w:val="continue"/>
            <w:tcBorders>
              <w:top w:val="nil"/>
              <w:left w:val="single" w:color="auto" w:sz="12" w:space="0"/>
              <w:bottom w:val="single" w:color="000000" w:sz="12" w:space="0"/>
              <w:right w:val="single" w:color="auto" w:sz="12" w:space="0"/>
            </w:tcBorders>
            <w:shd w:val="clear" w:color="auto" w:fill="auto"/>
            <w:noWrap w:val="0"/>
            <w:vAlign w:val="center"/>
          </w:tcPr>
          <w:p w14:paraId="057979BA">
            <w:pPr>
              <w:rPr>
                <w:rFonts w:ascii="宋体" w:hAnsi="宋体"/>
                <w:szCs w:val="24"/>
              </w:rPr>
            </w:pPr>
          </w:p>
        </w:tc>
        <w:tc>
          <w:tcPr>
            <w:tcW w:w="0" w:type="auto"/>
            <w:tcBorders>
              <w:top w:val="nil"/>
              <w:left w:val="nil"/>
              <w:bottom w:val="single" w:color="auto" w:sz="12" w:space="0"/>
              <w:right w:val="single" w:color="auto" w:sz="12" w:space="0"/>
            </w:tcBorders>
            <w:shd w:val="clear" w:color="auto" w:fill="auto"/>
            <w:noWrap w:val="0"/>
            <w:vAlign w:val="center"/>
          </w:tcPr>
          <w:p w14:paraId="37A17E35">
            <w:pPr>
              <w:rPr>
                <w:rFonts w:ascii="宋体" w:hAnsi="宋体" w:cs="Calibri"/>
                <w:szCs w:val="24"/>
              </w:rPr>
            </w:pPr>
            <w:r>
              <w:rPr>
                <w:rFonts w:ascii="宋体" w:hAnsi="宋体" w:cs="Calibri"/>
                <w:szCs w:val="24"/>
              </w:rPr>
              <w:t>5</w:t>
            </w:r>
          </w:p>
        </w:tc>
        <w:tc>
          <w:tcPr>
            <w:tcW w:w="0" w:type="auto"/>
            <w:tcBorders>
              <w:top w:val="nil"/>
              <w:left w:val="nil"/>
              <w:bottom w:val="single" w:color="auto" w:sz="12" w:space="0"/>
              <w:right w:val="single" w:color="auto" w:sz="12" w:space="0"/>
            </w:tcBorders>
            <w:shd w:val="clear" w:color="auto" w:fill="auto"/>
            <w:noWrap w:val="0"/>
            <w:vAlign w:val="center"/>
          </w:tcPr>
          <w:p w14:paraId="7F21B5A4">
            <w:pPr>
              <w:rPr>
                <w:rFonts w:ascii="宋体" w:hAnsi="宋体"/>
                <w:szCs w:val="24"/>
              </w:rPr>
            </w:pPr>
            <w:r>
              <w:rPr>
                <w:rFonts w:hint="eastAsia" w:ascii="宋体" w:hAnsi="宋体"/>
                <w:szCs w:val="24"/>
              </w:rPr>
              <w:t>未及时发现系统故障或发现故障未及时报告</w:t>
            </w:r>
          </w:p>
        </w:tc>
        <w:tc>
          <w:tcPr>
            <w:tcW w:w="0" w:type="auto"/>
            <w:tcBorders>
              <w:top w:val="nil"/>
              <w:left w:val="nil"/>
              <w:bottom w:val="single" w:color="auto" w:sz="12" w:space="0"/>
              <w:right w:val="single" w:color="auto" w:sz="12" w:space="0"/>
            </w:tcBorders>
            <w:shd w:val="clear" w:color="000000" w:fill="FFFFFF"/>
            <w:noWrap w:val="0"/>
            <w:vAlign w:val="center"/>
          </w:tcPr>
          <w:p w14:paraId="203AFF46">
            <w:pPr>
              <w:rPr>
                <w:rFonts w:ascii="宋体" w:hAnsi="宋体"/>
                <w:szCs w:val="24"/>
              </w:rPr>
            </w:pPr>
            <w:r>
              <w:rPr>
                <w:rFonts w:hint="eastAsia" w:ascii="宋体" w:hAnsi="宋体"/>
                <w:szCs w:val="24"/>
              </w:rPr>
              <w:t>考核周期（月度）内防汛系统出现故障未及时发现或发现故障未及时报告，发现</w:t>
            </w:r>
            <w:r>
              <w:rPr>
                <w:rFonts w:ascii="宋体" w:hAnsi="宋体" w:cs="Calibri"/>
                <w:szCs w:val="24"/>
              </w:rPr>
              <w:t>1</w:t>
            </w:r>
            <w:r>
              <w:rPr>
                <w:rFonts w:hint="eastAsia" w:ascii="宋体" w:hAnsi="宋体"/>
                <w:szCs w:val="24"/>
              </w:rPr>
              <w:t>次扣1分，扣完为止。</w:t>
            </w:r>
          </w:p>
        </w:tc>
        <w:tc>
          <w:tcPr>
            <w:tcW w:w="0" w:type="auto"/>
            <w:tcBorders>
              <w:top w:val="nil"/>
              <w:left w:val="nil"/>
              <w:bottom w:val="single" w:color="auto" w:sz="12" w:space="0"/>
              <w:right w:val="single" w:color="auto" w:sz="12" w:space="0"/>
            </w:tcBorders>
            <w:noWrap w:val="0"/>
            <w:vAlign w:val="center"/>
          </w:tcPr>
          <w:p w14:paraId="2CC40CA7">
            <w:pPr>
              <w:rPr>
                <w:rFonts w:ascii="宋体" w:hAnsi="宋体" w:cs="Calibri"/>
                <w:szCs w:val="24"/>
              </w:rPr>
            </w:pPr>
            <w:r>
              <w:rPr>
                <w:rFonts w:ascii="宋体" w:hAnsi="宋体" w:cs="Calibri"/>
                <w:szCs w:val="24"/>
              </w:rPr>
              <w:t>0</w:t>
            </w:r>
          </w:p>
        </w:tc>
      </w:tr>
    </w:tbl>
    <w:p w14:paraId="45227A41">
      <w:pPr>
        <w:spacing w:line="360" w:lineRule="auto"/>
        <w:ind w:firstLine="480"/>
        <w:rPr>
          <w:rFonts w:ascii="宋体" w:hAnsi="宋体"/>
          <w:szCs w:val="24"/>
        </w:rPr>
      </w:pPr>
      <w:bookmarkStart w:id="853" w:name="_Toc24979264"/>
      <w:r>
        <w:rPr>
          <w:rFonts w:hint="eastAsia" w:ascii="宋体" w:hAnsi="宋体"/>
          <w:szCs w:val="24"/>
        </w:rPr>
        <w:t>注：不可抗力因素包括：</w:t>
      </w:r>
    </w:p>
    <w:p w14:paraId="5A9A4E8C">
      <w:pPr>
        <w:numPr>
          <w:ilvl w:val="0"/>
          <w:numId w:val="27"/>
        </w:numPr>
        <w:spacing w:line="360" w:lineRule="auto"/>
        <w:rPr>
          <w:rFonts w:ascii="宋体" w:hAnsi="宋体"/>
          <w:szCs w:val="24"/>
        </w:rPr>
      </w:pPr>
      <w:r>
        <w:rPr>
          <w:rFonts w:hint="eastAsia" w:ascii="宋体" w:hAnsi="宋体"/>
          <w:szCs w:val="24"/>
        </w:rPr>
        <w:t>因未及时通知的道路施工造成的断电断网从而导致设备离线的事故。</w:t>
      </w:r>
    </w:p>
    <w:p w14:paraId="1F4A7A56">
      <w:pPr>
        <w:numPr>
          <w:ilvl w:val="0"/>
          <w:numId w:val="27"/>
        </w:numPr>
        <w:spacing w:line="360" w:lineRule="auto"/>
        <w:rPr>
          <w:rFonts w:ascii="宋体" w:hAnsi="宋体"/>
          <w:szCs w:val="24"/>
        </w:rPr>
      </w:pPr>
      <w:r>
        <w:rPr>
          <w:rFonts w:hint="eastAsia" w:ascii="宋体" w:hAnsi="宋体"/>
          <w:szCs w:val="24"/>
        </w:rPr>
        <w:t>已向甲方说明原因，经甲方同意后无法及时进行维修从而导致设备离线的事故。</w:t>
      </w:r>
    </w:p>
    <w:p w14:paraId="3C2C6509">
      <w:pPr>
        <w:numPr>
          <w:ilvl w:val="0"/>
          <w:numId w:val="27"/>
        </w:numPr>
        <w:spacing w:line="360" w:lineRule="auto"/>
        <w:rPr>
          <w:rFonts w:ascii="宋体" w:hAnsi="宋体"/>
          <w:szCs w:val="24"/>
        </w:rPr>
      </w:pPr>
      <w:r>
        <w:rPr>
          <w:rFonts w:hint="eastAsia" w:ascii="宋体" w:hAnsi="宋体"/>
          <w:szCs w:val="24"/>
        </w:rPr>
        <w:t>应甲方要求拆除设备导致的设备离线事故。</w:t>
      </w:r>
    </w:p>
    <w:p w14:paraId="735079E1">
      <w:pPr>
        <w:numPr>
          <w:ilvl w:val="0"/>
          <w:numId w:val="27"/>
        </w:numPr>
        <w:spacing w:line="360" w:lineRule="auto"/>
        <w:rPr>
          <w:rFonts w:ascii="宋体" w:hAnsi="宋体"/>
          <w:szCs w:val="24"/>
        </w:rPr>
      </w:pPr>
      <w:r>
        <w:rPr>
          <w:rFonts w:hint="eastAsia" w:ascii="宋体" w:hAnsi="宋体"/>
          <w:szCs w:val="24"/>
        </w:rPr>
        <w:t>因运营商或供电方造成的网络事故或供电事故，乙方需及时将事故原因上报甲方，</w:t>
      </w:r>
    </w:p>
    <w:p w14:paraId="4DAB65E8">
      <w:pPr>
        <w:numPr>
          <w:ilvl w:val="0"/>
          <w:numId w:val="0"/>
        </w:numPr>
        <w:spacing w:line="360" w:lineRule="auto"/>
        <w:rPr>
          <w:rFonts w:ascii="宋体" w:hAnsi="宋体"/>
          <w:szCs w:val="24"/>
        </w:rPr>
      </w:pPr>
      <w:r>
        <w:rPr>
          <w:rFonts w:hint="eastAsia" w:ascii="宋体" w:hAnsi="宋体"/>
          <w:szCs w:val="24"/>
        </w:rPr>
        <w:t>并督促运营商或供电方及时恢复网络或供电。</w:t>
      </w:r>
    </w:p>
    <w:p w14:paraId="5AF0F99D">
      <w:pPr>
        <w:spacing w:line="360" w:lineRule="auto"/>
        <w:ind w:firstLine="480"/>
        <w:rPr>
          <w:rFonts w:ascii="宋体" w:hAnsi="宋体"/>
          <w:szCs w:val="24"/>
        </w:rPr>
      </w:pPr>
      <w:r>
        <w:rPr>
          <w:rFonts w:hint="eastAsia" w:ascii="宋体" w:hAnsi="宋体"/>
          <w:szCs w:val="24"/>
        </w:rPr>
        <w:t>2、支付依据</w:t>
      </w:r>
      <w:bookmarkEnd w:id="853"/>
    </w:p>
    <w:p w14:paraId="5C49FA5E">
      <w:pPr>
        <w:spacing w:line="360" w:lineRule="auto"/>
        <w:ind w:firstLine="480"/>
        <w:rPr>
          <w:rFonts w:ascii="宋体" w:hAnsi="宋体"/>
          <w:szCs w:val="24"/>
        </w:rPr>
      </w:pPr>
      <w:r>
        <w:rPr>
          <w:rFonts w:hint="eastAsia" w:ascii="宋体" w:hAnsi="宋体"/>
          <w:szCs w:val="24"/>
        </w:rPr>
        <w:t>通过对各项考核指标进行打分和计算，汇总计算出在服务期内的运维服务绩效考核评分均值：</w:t>
      </w:r>
    </w:p>
    <w:p w14:paraId="15A2DB89">
      <w:pPr>
        <w:spacing w:line="360" w:lineRule="auto"/>
        <w:ind w:firstLine="480"/>
        <w:rPr>
          <w:rFonts w:ascii="宋体" w:hAnsi="宋体"/>
          <w:szCs w:val="24"/>
        </w:rPr>
      </w:pPr>
      <w:r>
        <w:rPr>
          <w:rFonts w:hint="eastAsia" w:ascii="宋体" w:hAnsi="宋体"/>
          <w:szCs w:val="24"/>
        </w:rPr>
        <w:t>如果期末绩效考核评分均值≤</w:t>
      </w:r>
      <w:r>
        <w:rPr>
          <w:rFonts w:ascii="宋体" w:hAnsi="宋体"/>
          <w:szCs w:val="24"/>
        </w:rPr>
        <w:t>60</w:t>
      </w:r>
      <w:r>
        <w:rPr>
          <w:rFonts w:hint="eastAsia" w:ascii="宋体" w:hAnsi="宋体"/>
          <w:szCs w:val="24"/>
        </w:rPr>
        <w:t>分，</w:t>
      </w:r>
      <w:r>
        <w:rPr>
          <w:rFonts w:ascii="宋体" w:hAnsi="宋体"/>
          <w:szCs w:val="24"/>
        </w:rPr>
        <w:t>则</w:t>
      </w:r>
      <w:r>
        <w:rPr>
          <w:rFonts w:hint="eastAsia" w:ascii="宋体" w:hAnsi="宋体"/>
          <w:szCs w:val="24"/>
        </w:rPr>
        <w:t>由城管委管线中心</w:t>
      </w:r>
      <w:r>
        <w:rPr>
          <w:rFonts w:ascii="宋体" w:hAnsi="宋体"/>
          <w:szCs w:val="24"/>
        </w:rPr>
        <w:t>考核小组研究决定</w:t>
      </w:r>
      <w:r>
        <w:rPr>
          <w:rFonts w:hint="eastAsia" w:ascii="宋体" w:hAnsi="宋体"/>
          <w:szCs w:val="24"/>
        </w:rPr>
        <w:t>是否支付尾款；</w:t>
      </w:r>
    </w:p>
    <w:p w14:paraId="2C45BB6A">
      <w:pPr>
        <w:spacing w:line="360" w:lineRule="auto"/>
        <w:ind w:firstLine="480"/>
        <w:rPr>
          <w:rFonts w:ascii="宋体" w:hAnsi="宋体"/>
          <w:szCs w:val="24"/>
        </w:rPr>
      </w:pPr>
      <w:r>
        <w:rPr>
          <w:rFonts w:hint="eastAsia" w:ascii="宋体" w:hAnsi="宋体"/>
          <w:szCs w:val="24"/>
        </w:rPr>
        <w:t>如果绩效考核评分均值＞</w:t>
      </w:r>
      <w:r>
        <w:rPr>
          <w:rFonts w:ascii="宋体" w:hAnsi="宋体"/>
          <w:szCs w:val="24"/>
        </w:rPr>
        <w:t>60</w:t>
      </w:r>
      <w:r>
        <w:rPr>
          <w:rFonts w:hint="eastAsia" w:ascii="宋体" w:hAnsi="宋体"/>
          <w:szCs w:val="24"/>
        </w:rPr>
        <w:t>分，并且≤</w:t>
      </w:r>
      <w:r>
        <w:rPr>
          <w:rFonts w:ascii="宋体" w:hAnsi="宋体"/>
          <w:szCs w:val="24"/>
        </w:rPr>
        <w:t>70</w:t>
      </w:r>
      <w:r>
        <w:rPr>
          <w:rFonts w:hint="eastAsia" w:ascii="宋体" w:hAnsi="宋体"/>
          <w:szCs w:val="24"/>
        </w:rPr>
        <w:t>分，则支付尾款的</w:t>
      </w:r>
      <w:r>
        <w:rPr>
          <w:rFonts w:ascii="宋体" w:hAnsi="宋体"/>
          <w:szCs w:val="24"/>
        </w:rPr>
        <w:t>7</w:t>
      </w:r>
      <w:r>
        <w:rPr>
          <w:rFonts w:hint="eastAsia" w:ascii="宋体" w:hAnsi="宋体"/>
          <w:szCs w:val="24"/>
        </w:rPr>
        <w:t>0%；</w:t>
      </w:r>
    </w:p>
    <w:p w14:paraId="1067472A">
      <w:pPr>
        <w:spacing w:line="360" w:lineRule="auto"/>
        <w:ind w:firstLine="480"/>
        <w:rPr>
          <w:rFonts w:ascii="宋体" w:hAnsi="宋体"/>
          <w:szCs w:val="24"/>
        </w:rPr>
      </w:pPr>
      <w:r>
        <w:rPr>
          <w:rFonts w:hint="eastAsia" w:ascii="宋体" w:hAnsi="宋体"/>
          <w:szCs w:val="24"/>
        </w:rPr>
        <w:t>如果绩效考核评分均值＞</w:t>
      </w:r>
      <w:r>
        <w:rPr>
          <w:rFonts w:ascii="宋体" w:hAnsi="宋体"/>
          <w:szCs w:val="24"/>
        </w:rPr>
        <w:t>70</w:t>
      </w:r>
      <w:r>
        <w:rPr>
          <w:rFonts w:hint="eastAsia" w:ascii="宋体" w:hAnsi="宋体"/>
          <w:szCs w:val="24"/>
        </w:rPr>
        <w:t>分，并且≤</w:t>
      </w:r>
      <w:r>
        <w:rPr>
          <w:rFonts w:ascii="宋体" w:hAnsi="宋体"/>
          <w:szCs w:val="24"/>
        </w:rPr>
        <w:t>80</w:t>
      </w:r>
      <w:r>
        <w:rPr>
          <w:rFonts w:hint="eastAsia" w:ascii="宋体" w:hAnsi="宋体"/>
          <w:szCs w:val="24"/>
        </w:rPr>
        <w:t>分，则支付尾款的80%；</w:t>
      </w:r>
    </w:p>
    <w:p w14:paraId="3FB076A8">
      <w:pPr>
        <w:spacing w:line="360" w:lineRule="auto"/>
        <w:ind w:firstLine="480"/>
        <w:rPr>
          <w:rFonts w:ascii="宋体" w:hAnsi="宋体"/>
          <w:szCs w:val="24"/>
        </w:rPr>
      </w:pPr>
      <w:r>
        <w:rPr>
          <w:rFonts w:hint="eastAsia" w:ascii="宋体" w:hAnsi="宋体"/>
          <w:szCs w:val="24"/>
        </w:rPr>
        <w:t>如果绩效考核评分均值＞</w:t>
      </w:r>
      <w:r>
        <w:rPr>
          <w:rFonts w:ascii="宋体" w:hAnsi="宋体"/>
          <w:szCs w:val="24"/>
        </w:rPr>
        <w:t>80</w:t>
      </w:r>
      <w:r>
        <w:rPr>
          <w:rFonts w:hint="eastAsia" w:ascii="宋体" w:hAnsi="宋体"/>
          <w:szCs w:val="24"/>
        </w:rPr>
        <w:t>分，并且≤90分，则支付尾款的90%；</w:t>
      </w:r>
    </w:p>
    <w:p w14:paraId="7D0B2AD5">
      <w:pPr>
        <w:spacing w:line="360" w:lineRule="auto"/>
        <w:ind w:firstLine="480"/>
        <w:rPr>
          <w:rFonts w:ascii="宋体" w:hAnsi="宋体"/>
          <w:szCs w:val="24"/>
        </w:rPr>
      </w:pPr>
      <w:r>
        <w:rPr>
          <w:rFonts w:hint="eastAsia" w:ascii="宋体" w:hAnsi="宋体"/>
          <w:szCs w:val="24"/>
        </w:rPr>
        <w:t>如果绩效考核评分均值＞90分，则支付尾款的100%。</w:t>
      </w:r>
    </w:p>
    <w:p w14:paraId="75DA526F">
      <w:pPr>
        <w:spacing w:line="360" w:lineRule="auto"/>
        <w:ind w:firstLine="480"/>
        <w:rPr>
          <w:rFonts w:ascii="宋体" w:hAnsi="宋体"/>
          <w:szCs w:val="24"/>
        </w:rPr>
      </w:pPr>
      <w:r>
        <w:rPr>
          <w:rFonts w:ascii="宋体" w:hAnsi="宋体"/>
          <w:szCs w:val="24"/>
        </w:rPr>
        <w:t>考核方式为</w:t>
      </w:r>
      <w:r>
        <w:rPr>
          <w:rFonts w:hint="eastAsia" w:ascii="宋体" w:hAnsi="宋体"/>
          <w:szCs w:val="24"/>
        </w:rPr>
        <w:t>管线中心基于基本运维、绩效运维考核指标，对运维工作进行考核评估。</w:t>
      </w:r>
    </w:p>
    <w:p w14:paraId="512ADAA0">
      <w:pPr>
        <w:spacing w:line="360" w:lineRule="auto"/>
        <w:ind w:firstLine="480"/>
        <w:rPr>
          <w:rFonts w:ascii="宋体" w:hAnsi="宋体"/>
          <w:szCs w:val="24"/>
        </w:rPr>
        <w:sectPr>
          <w:headerReference r:id="rId11" w:type="first"/>
          <w:footerReference r:id="rId14" w:type="first"/>
          <w:headerReference r:id="rId9" w:type="default"/>
          <w:footerReference r:id="rId12" w:type="default"/>
          <w:headerReference r:id="rId10" w:type="even"/>
          <w:footerReference r:id="rId13" w:type="even"/>
          <w:pgSz w:w="11900" w:h="16840"/>
          <w:pgMar w:top="1440" w:right="1800" w:bottom="1440" w:left="1800" w:header="851" w:footer="992" w:gutter="0"/>
          <w:cols w:space="720" w:num="1"/>
          <w:docGrid w:type="lines" w:linePitch="312" w:charSpace="0"/>
        </w:sectPr>
      </w:pPr>
    </w:p>
    <w:p w14:paraId="75086B67">
      <w:pPr>
        <w:spacing w:line="360" w:lineRule="auto"/>
        <w:rPr>
          <w:rFonts w:ascii="宋体" w:hAnsi="宋体"/>
          <w:szCs w:val="24"/>
        </w:rPr>
      </w:pPr>
    </w:p>
    <w:p w14:paraId="14BFA4E9">
      <w:pPr>
        <w:spacing w:line="360" w:lineRule="auto"/>
        <w:ind w:left="5460" w:leftChars="200" w:right="600" w:hanging="5040" w:hangingChars="2400"/>
        <w:rPr>
          <w:rFonts w:ascii="宋体" w:hAnsi="宋体"/>
          <w:szCs w:val="24"/>
        </w:rPr>
      </w:pPr>
      <w:r>
        <w:rPr>
          <w:rFonts w:hint="eastAsia" w:ascii="宋体" w:hAnsi="宋体"/>
          <w:szCs w:val="24"/>
        </w:rPr>
        <w:t>甲    方：北京市大兴区城市管理委员会</w:t>
      </w:r>
      <w:r>
        <w:rPr>
          <w:rFonts w:ascii="宋体" w:hAnsi="宋体"/>
          <w:szCs w:val="24"/>
        </w:rPr>
        <w:t xml:space="preserve"> </w:t>
      </w:r>
      <w:r>
        <w:rPr>
          <w:rFonts w:hint="eastAsia" w:ascii="宋体" w:hAnsi="宋体"/>
          <w:szCs w:val="24"/>
        </w:rPr>
        <w:t xml:space="preserve">乙    方： </w:t>
      </w:r>
    </w:p>
    <w:p w14:paraId="3BAE6709">
      <w:pPr>
        <w:spacing w:line="360" w:lineRule="auto"/>
        <w:ind w:left="5250" w:leftChars="200" w:right="600" w:hanging="4830" w:hangingChars="2300"/>
        <w:jc w:val="left"/>
        <w:rPr>
          <w:rFonts w:ascii="宋体" w:hAnsi="宋体"/>
          <w:szCs w:val="24"/>
        </w:rPr>
      </w:pPr>
      <w:r>
        <w:rPr>
          <w:rFonts w:hint="eastAsia" w:ascii="宋体" w:hAnsi="宋体"/>
          <w:szCs w:val="24"/>
        </w:rPr>
        <w:t xml:space="preserve">名　　称：(印章)　　　　　　     　　名　　称：(印章)     </w:t>
      </w:r>
    </w:p>
    <w:p w14:paraId="624BE802">
      <w:pPr>
        <w:spacing w:line="360" w:lineRule="auto"/>
        <w:ind w:left="5250" w:leftChars="200" w:right="600" w:hanging="4830" w:hangingChars="2300"/>
        <w:jc w:val="left"/>
        <w:rPr>
          <w:rFonts w:ascii="宋体" w:hAnsi="宋体"/>
          <w:szCs w:val="24"/>
        </w:rPr>
      </w:pPr>
      <w:r>
        <w:rPr>
          <w:rFonts w:hint="eastAsia" w:ascii="宋体" w:hAnsi="宋体"/>
          <w:szCs w:val="24"/>
        </w:rPr>
        <w:t xml:space="preserve">法定代表人(签字)：　　      　　　　 法定代表人(签字)：     </w:t>
      </w:r>
    </w:p>
    <w:p w14:paraId="43B13DB8">
      <w:pPr>
        <w:spacing w:line="360" w:lineRule="auto"/>
        <w:ind w:left="5355" w:leftChars="200" w:hanging="4935" w:hangingChars="2350"/>
        <w:jc w:val="left"/>
        <w:rPr>
          <w:rFonts w:ascii="宋体" w:hAnsi="宋体"/>
          <w:szCs w:val="24"/>
        </w:rPr>
      </w:pPr>
      <w:r>
        <w:rPr>
          <w:rFonts w:hint="eastAsia" w:ascii="宋体" w:hAnsi="宋体"/>
          <w:szCs w:val="24"/>
        </w:rPr>
        <w:t>地　　址：　　　　　　　　　　     　地　　址：</w:t>
      </w:r>
      <w:r>
        <w:rPr>
          <w:rFonts w:hint="eastAsia" w:ascii="Times New Roman" w:hAnsi="Times New Roman"/>
          <w:szCs w:val="20"/>
        </w:rPr>
        <w:t xml:space="preserve"> </w:t>
      </w:r>
    </w:p>
    <w:p w14:paraId="4C5D2479">
      <w:pPr>
        <w:spacing w:line="360" w:lineRule="auto"/>
        <w:ind w:left="5250" w:leftChars="200" w:right="600" w:hanging="4830" w:hangingChars="2300"/>
        <w:jc w:val="left"/>
        <w:rPr>
          <w:rFonts w:ascii="宋体" w:hAnsi="宋体"/>
          <w:szCs w:val="24"/>
        </w:rPr>
      </w:pPr>
      <w:r>
        <w:rPr>
          <w:rFonts w:hint="eastAsia" w:ascii="宋体" w:hAnsi="宋体"/>
          <w:szCs w:val="24"/>
        </w:rPr>
        <w:t>邮政编码：　　　　　     　　　　　　邮政编码：</w:t>
      </w:r>
      <w:r>
        <w:rPr>
          <w:rFonts w:hint="eastAsia" w:ascii="Times New Roman" w:hAnsi="Times New Roman"/>
          <w:szCs w:val="20"/>
        </w:rPr>
        <w:t xml:space="preserve"> </w:t>
      </w:r>
      <w:r>
        <w:rPr>
          <w:rFonts w:hint="eastAsia" w:ascii="宋体" w:hAnsi="宋体"/>
          <w:szCs w:val="24"/>
        </w:rPr>
        <w:t xml:space="preserve">      </w:t>
      </w:r>
    </w:p>
    <w:p w14:paraId="5B67DEE7">
      <w:pPr>
        <w:spacing w:line="360" w:lineRule="auto"/>
        <w:ind w:left="5250" w:leftChars="200" w:right="600" w:hanging="4830" w:hangingChars="2300"/>
        <w:jc w:val="left"/>
        <w:rPr>
          <w:rFonts w:ascii="宋体" w:hAnsi="宋体"/>
          <w:szCs w:val="24"/>
        </w:rPr>
      </w:pPr>
      <w:r>
        <w:rPr>
          <w:rFonts w:hint="eastAsia" w:ascii="宋体" w:hAnsi="宋体"/>
          <w:szCs w:val="24"/>
        </w:rPr>
        <w:t>电　　话：　　　　     　　　　　　　电　　话：</w:t>
      </w:r>
      <w:r>
        <w:rPr>
          <w:rFonts w:hint="eastAsia" w:ascii="宋体" w:hAnsi="宋体"/>
          <w:szCs w:val="21"/>
        </w:rPr>
        <w:t xml:space="preserve"> </w:t>
      </w:r>
      <w:r>
        <w:rPr>
          <w:rFonts w:hint="eastAsia" w:ascii="Times New Roman" w:hAnsi="Times New Roman"/>
          <w:szCs w:val="20"/>
        </w:rPr>
        <w:t xml:space="preserve"> </w:t>
      </w:r>
      <w:r>
        <w:rPr>
          <w:rFonts w:hint="eastAsia" w:ascii="宋体" w:hAnsi="宋体"/>
          <w:szCs w:val="24"/>
        </w:rPr>
        <w:t xml:space="preserve">    </w:t>
      </w:r>
    </w:p>
    <w:p w14:paraId="35827E0F">
      <w:pPr>
        <w:spacing w:line="360" w:lineRule="auto"/>
        <w:ind w:left="5250" w:leftChars="200" w:right="600" w:hanging="4830" w:hangingChars="2300"/>
        <w:jc w:val="left"/>
        <w:rPr>
          <w:rFonts w:ascii="宋体" w:hAnsi="宋体"/>
          <w:szCs w:val="24"/>
        </w:rPr>
      </w:pPr>
      <w:r>
        <w:rPr>
          <w:rFonts w:hint="eastAsia" w:ascii="宋体" w:hAnsi="宋体"/>
          <w:szCs w:val="24"/>
        </w:rPr>
        <w:t>开户银行：　     　　　　　　　　　　开户银行：</w:t>
      </w:r>
      <w:r>
        <w:rPr>
          <w:rFonts w:hint="eastAsia" w:ascii="宋体" w:hAnsi="宋体" w:cs="Arial"/>
          <w:szCs w:val="21"/>
        </w:rPr>
        <w:t xml:space="preserve"> </w:t>
      </w:r>
      <w:r>
        <w:rPr>
          <w:rFonts w:hint="eastAsia" w:ascii="宋体" w:hAnsi="宋体" w:cs="Arial"/>
          <w:szCs w:val="24"/>
        </w:rPr>
        <w:t xml:space="preserve"> </w:t>
      </w:r>
    </w:p>
    <w:p w14:paraId="1A3001CF">
      <w:pPr>
        <w:spacing w:line="360" w:lineRule="auto"/>
        <w:ind w:left="420" w:leftChars="200"/>
        <w:rPr>
          <w:rFonts w:hint="eastAsia" w:ascii="宋体" w:hAnsi="宋体" w:cs="Arial"/>
          <w:szCs w:val="24"/>
        </w:rPr>
      </w:pPr>
      <w:r>
        <w:rPr>
          <w:rFonts w:hint="eastAsia" w:ascii="宋体" w:hAnsi="宋体"/>
          <w:szCs w:val="24"/>
        </w:rPr>
        <w:t>帐　　号：     　　　　　　　　　　　帐　　号：</w:t>
      </w:r>
      <w:r>
        <w:rPr>
          <w:rFonts w:hint="eastAsia" w:ascii="宋体" w:hAnsi="宋体" w:cs="Arial"/>
          <w:szCs w:val="24"/>
        </w:rPr>
        <w:t xml:space="preserve"> </w:t>
      </w:r>
    </w:p>
    <w:p w14:paraId="50CE1EF4">
      <w:pPr>
        <w:spacing w:line="360" w:lineRule="auto"/>
        <w:ind w:left="5250" w:leftChars="200" w:right="600" w:hanging="4830" w:hangingChars="2300"/>
        <w:jc w:val="left"/>
        <w:rPr>
          <w:rFonts w:ascii="宋体" w:hAnsi="宋体"/>
          <w:szCs w:val="24"/>
        </w:rPr>
      </w:pPr>
      <w:r>
        <w:rPr>
          <w:rFonts w:hint="eastAsia" w:ascii="宋体" w:hAnsi="宋体"/>
          <w:szCs w:val="24"/>
        </w:rPr>
        <w:t>签订日期：                           签订日期：</w:t>
      </w:r>
    </w:p>
    <w:p w14:paraId="6BDC0028">
      <w:pPr>
        <w:spacing w:line="500" w:lineRule="exact"/>
        <w:rPr>
          <w:rFonts w:hint="eastAsia" w:ascii="宋体" w:hAnsi="宋体"/>
          <w:color w:val="auto"/>
          <w:sz w:val="24"/>
          <w:szCs w:val="24"/>
          <w:highlight w:val="none"/>
        </w:rPr>
      </w:pPr>
    </w:p>
    <w:p w14:paraId="2B8FF456">
      <w:pPr>
        <w:spacing w:line="360" w:lineRule="auto"/>
        <w:jc w:val="center"/>
        <w:outlineLvl w:val="0"/>
        <w:rPr>
          <w:b/>
          <w:sz w:val="36"/>
          <w:szCs w:val="36"/>
        </w:rPr>
      </w:pPr>
      <w:r>
        <w:rPr>
          <w:b/>
          <w:sz w:val="36"/>
          <w:szCs w:val="36"/>
        </w:rPr>
        <w:br w:type="page"/>
      </w:r>
      <w:bookmarkStart w:id="854" w:name="_Toc22156"/>
      <w:r>
        <w:rPr>
          <w:b/>
          <w:sz w:val="36"/>
          <w:szCs w:val="36"/>
        </w:rPr>
        <w:t>第七章   投标文件格式</w:t>
      </w:r>
      <w:bookmarkEnd w:id="854"/>
    </w:p>
    <w:p w14:paraId="231DC7DD">
      <w:pPr>
        <w:tabs>
          <w:tab w:val="left" w:pos="900"/>
          <w:tab w:val="left" w:pos="1980"/>
        </w:tabs>
        <w:snapToGrid w:val="0"/>
        <w:spacing w:line="360" w:lineRule="auto"/>
        <w:ind w:left="142"/>
        <w:rPr>
          <w:b/>
          <w:sz w:val="24"/>
        </w:rPr>
      </w:pPr>
    </w:p>
    <w:p w14:paraId="1EBA53FB">
      <w:pPr>
        <w:tabs>
          <w:tab w:val="left" w:pos="900"/>
          <w:tab w:val="left" w:pos="1980"/>
        </w:tabs>
        <w:snapToGrid w:val="0"/>
        <w:spacing w:line="360" w:lineRule="auto"/>
        <w:ind w:left="142"/>
        <w:rPr>
          <w:b/>
          <w:sz w:val="24"/>
        </w:rPr>
      </w:pPr>
    </w:p>
    <w:p w14:paraId="7ACE1AD7">
      <w:pPr>
        <w:tabs>
          <w:tab w:val="left" w:pos="900"/>
          <w:tab w:val="left" w:pos="1980"/>
        </w:tabs>
        <w:snapToGrid w:val="0"/>
        <w:spacing w:line="360" w:lineRule="auto"/>
        <w:ind w:left="142"/>
        <w:rPr>
          <w:sz w:val="24"/>
        </w:rPr>
      </w:pPr>
      <w:r>
        <w:rPr>
          <w:b/>
          <w:sz w:val="24"/>
        </w:rPr>
        <w:t>投标人编制文件须知</w:t>
      </w:r>
    </w:p>
    <w:p w14:paraId="5F8A3227">
      <w:pPr>
        <w:tabs>
          <w:tab w:val="left" w:pos="900"/>
          <w:tab w:val="left" w:pos="1980"/>
        </w:tabs>
        <w:snapToGrid w:val="0"/>
        <w:spacing w:line="360" w:lineRule="auto"/>
        <w:ind w:left="142"/>
        <w:rPr>
          <w:sz w:val="24"/>
        </w:rPr>
      </w:pPr>
      <w:r>
        <w:rPr>
          <w:sz w:val="24"/>
        </w:rPr>
        <w:t>1、投标人按照本部分的顺序编制投标文件（资格证明文件）、投标文件（商务技术文件），编制中涉及格式资料的，应按照本部分提供的内容和格式（所有表格的格式可扩展）填写提交。</w:t>
      </w:r>
    </w:p>
    <w:p w14:paraId="320E385C">
      <w:pPr>
        <w:tabs>
          <w:tab w:val="left" w:pos="900"/>
          <w:tab w:val="left" w:pos="1980"/>
        </w:tabs>
        <w:snapToGrid w:val="0"/>
        <w:spacing w:line="360" w:lineRule="auto"/>
        <w:ind w:left="142"/>
        <w:rPr>
          <w:kern w:val="0"/>
          <w:sz w:val="24"/>
        </w:rPr>
      </w:pPr>
      <w:r>
        <w:rPr>
          <w:sz w:val="24"/>
        </w:rPr>
        <w:t>2、</w:t>
      </w: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14:paraId="59E42B65">
      <w:pPr>
        <w:tabs>
          <w:tab w:val="left" w:pos="900"/>
          <w:tab w:val="left" w:pos="1980"/>
        </w:tabs>
        <w:snapToGrid w:val="0"/>
        <w:spacing w:line="360" w:lineRule="auto"/>
        <w:ind w:left="142"/>
        <w:rPr>
          <w:sz w:val="24"/>
        </w:rPr>
      </w:pPr>
      <w:r>
        <w:rPr>
          <w:sz w:val="24"/>
        </w:rPr>
        <w:t>3、全部声明和问题的回答及所附材料必须是真实的、准确的和完整的。</w:t>
      </w:r>
    </w:p>
    <w:p w14:paraId="0764D749">
      <w:pPr>
        <w:widowControl/>
        <w:jc w:val="left"/>
        <w:rPr>
          <w:sz w:val="24"/>
        </w:rPr>
      </w:pPr>
      <w:r>
        <w:rPr>
          <w:sz w:val="24"/>
        </w:rPr>
        <w:br w:type="page"/>
      </w:r>
    </w:p>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p w14:paraId="43F293D0">
      <w:pPr>
        <w:keepNext/>
        <w:keepLines/>
        <w:autoSpaceDE w:val="0"/>
        <w:autoSpaceDN w:val="0"/>
        <w:adjustRightInd w:val="0"/>
        <w:spacing w:before="120" w:line="300" w:lineRule="auto"/>
        <w:jc w:val="left"/>
        <w:outlineLvl w:val="1"/>
        <w:rPr>
          <w:b/>
          <w:kern w:val="0"/>
          <w:sz w:val="30"/>
          <w:szCs w:val="20"/>
        </w:rPr>
      </w:pPr>
      <w:r>
        <w:rPr>
          <w:b/>
          <w:spacing w:val="20"/>
          <w:sz w:val="24"/>
        </w:rPr>
        <w:t>一、资格证明文件格式</w:t>
      </w:r>
    </w:p>
    <w:p w14:paraId="0763F703">
      <w:pPr>
        <w:rPr>
          <w:b/>
          <w:spacing w:val="20"/>
          <w:szCs w:val="21"/>
        </w:rPr>
      </w:pPr>
    </w:p>
    <w:p w14:paraId="7E56CF75">
      <w:pPr>
        <w:rPr>
          <w:b/>
          <w:sz w:val="24"/>
        </w:rPr>
      </w:pPr>
      <w:r>
        <w:rPr>
          <w:b/>
          <w:spacing w:val="20"/>
          <w:sz w:val="24"/>
        </w:rPr>
        <w:t>投标文件（资格证明文件）</w:t>
      </w:r>
      <w:r>
        <w:rPr>
          <w:b/>
          <w:sz w:val="24"/>
        </w:rPr>
        <w:t>封面（非实质性格式）</w:t>
      </w:r>
    </w:p>
    <w:p w14:paraId="058BCB1C">
      <w:pPr>
        <w:jc w:val="center"/>
        <w:rPr>
          <w:szCs w:val="21"/>
        </w:rPr>
      </w:pPr>
    </w:p>
    <w:p w14:paraId="3B2A5C12">
      <w:pPr>
        <w:jc w:val="center"/>
        <w:rPr>
          <w:b/>
          <w:spacing w:val="60"/>
          <w:sz w:val="84"/>
          <w:szCs w:val="84"/>
        </w:rPr>
      </w:pPr>
      <w:r>
        <w:rPr>
          <w:b/>
          <w:spacing w:val="60"/>
          <w:sz w:val="84"/>
          <w:szCs w:val="84"/>
        </w:rPr>
        <w:t>投 标 文 件</w:t>
      </w:r>
    </w:p>
    <w:p w14:paraId="50894314">
      <w:pPr>
        <w:jc w:val="center"/>
        <w:rPr>
          <w:b/>
          <w:spacing w:val="60"/>
          <w:sz w:val="52"/>
          <w:szCs w:val="52"/>
        </w:rPr>
      </w:pPr>
      <w:r>
        <w:rPr>
          <w:b/>
          <w:spacing w:val="60"/>
          <w:sz w:val="52"/>
          <w:szCs w:val="52"/>
        </w:rPr>
        <w:t>（资格证明文件）</w:t>
      </w:r>
    </w:p>
    <w:p w14:paraId="7B332913">
      <w:pPr>
        <w:ind w:firstLine="542" w:firstLineChars="150"/>
        <w:rPr>
          <w:b/>
          <w:spacing w:val="20"/>
          <w:sz w:val="32"/>
          <w:szCs w:val="32"/>
        </w:rPr>
      </w:pPr>
    </w:p>
    <w:p w14:paraId="74F223D5">
      <w:pPr>
        <w:ind w:firstLine="542" w:firstLineChars="150"/>
        <w:rPr>
          <w:b/>
          <w:spacing w:val="20"/>
          <w:sz w:val="32"/>
          <w:szCs w:val="32"/>
        </w:rPr>
      </w:pPr>
    </w:p>
    <w:p w14:paraId="23F4CEE8">
      <w:pPr>
        <w:ind w:firstLine="542" w:firstLineChars="150"/>
        <w:rPr>
          <w:b/>
          <w:spacing w:val="20"/>
          <w:sz w:val="32"/>
          <w:szCs w:val="32"/>
        </w:rPr>
      </w:pPr>
      <w:r>
        <w:rPr>
          <w:b/>
          <w:spacing w:val="20"/>
          <w:sz w:val="32"/>
          <w:szCs w:val="32"/>
        </w:rPr>
        <w:t>项目名称:</w:t>
      </w:r>
    </w:p>
    <w:p w14:paraId="57738E0A">
      <w:pPr>
        <w:ind w:firstLine="542" w:firstLineChars="150"/>
        <w:rPr>
          <w:b/>
          <w:spacing w:val="20"/>
          <w:sz w:val="32"/>
          <w:szCs w:val="32"/>
        </w:rPr>
      </w:pPr>
      <w:r>
        <w:rPr>
          <w:b/>
          <w:spacing w:val="20"/>
          <w:sz w:val="32"/>
          <w:szCs w:val="32"/>
        </w:rPr>
        <w:t>项目编号/包号：</w:t>
      </w:r>
    </w:p>
    <w:p w14:paraId="7F15E837">
      <w:pPr>
        <w:ind w:firstLine="542" w:firstLineChars="150"/>
        <w:rPr>
          <w:b/>
          <w:spacing w:val="20"/>
          <w:sz w:val="32"/>
          <w:szCs w:val="32"/>
        </w:rPr>
      </w:pPr>
    </w:p>
    <w:p w14:paraId="38422730">
      <w:pPr>
        <w:ind w:firstLine="542" w:firstLineChars="150"/>
        <w:rPr>
          <w:b/>
          <w:spacing w:val="20"/>
          <w:sz w:val="32"/>
          <w:szCs w:val="32"/>
        </w:rPr>
      </w:pPr>
    </w:p>
    <w:p w14:paraId="3A554E98">
      <w:pPr>
        <w:jc w:val="center"/>
        <w:rPr>
          <w:b/>
          <w:sz w:val="32"/>
          <w:szCs w:val="32"/>
        </w:rPr>
      </w:pPr>
    </w:p>
    <w:p w14:paraId="45A667B3">
      <w:pPr>
        <w:jc w:val="center"/>
        <w:rPr>
          <w:b/>
          <w:sz w:val="32"/>
          <w:szCs w:val="32"/>
        </w:rPr>
      </w:pPr>
    </w:p>
    <w:p w14:paraId="2E9B006A">
      <w:pPr>
        <w:jc w:val="center"/>
        <w:rPr>
          <w:b/>
          <w:sz w:val="32"/>
          <w:szCs w:val="32"/>
        </w:rPr>
      </w:pPr>
    </w:p>
    <w:p w14:paraId="35E3085F">
      <w:pPr>
        <w:jc w:val="center"/>
        <w:rPr>
          <w:b/>
          <w:spacing w:val="20"/>
          <w:sz w:val="32"/>
          <w:szCs w:val="32"/>
        </w:rPr>
      </w:pPr>
    </w:p>
    <w:p w14:paraId="20960D79">
      <w:pPr>
        <w:jc w:val="center"/>
        <w:rPr>
          <w:b/>
          <w:spacing w:val="20"/>
          <w:sz w:val="32"/>
          <w:szCs w:val="32"/>
        </w:rPr>
      </w:pPr>
    </w:p>
    <w:p w14:paraId="6C891880">
      <w:pPr>
        <w:jc w:val="center"/>
        <w:rPr>
          <w:b/>
          <w:spacing w:val="20"/>
          <w:sz w:val="32"/>
          <w:szCs w:val="32"/>
        </w:rPr>
      </w:pPr>
    </w:p>
    <w:p w14:paraId="3B99984C">
      <w:pPr>
        <w:spacing w:line="360" w:lineRule="auto"/>
        <w:ind w:firstLine="1445" w:firstLineChars="400"/>
        <w:jc w:val="left"/>
        <w:rPr>
          <w:b/>
          <w:spacing w:val="20"/>
          <w:sz w:val="32"/>
          <w:szCs w:val="32"/>
        </w:rPr>
      </w:pPr>
      <w:r>
        <w:rPr>
          <w:b/>
          <w:spacing w:val="20"/>
          <w:sz w:val="32"/>
          <w:szCs w:val="32"/>
        </w:rPr>
        <w:t>投标人名称：</w:t>
      </w:r>
    </w:p>
    <w:p w14:paraId="23B3A6DA">
      <w:pPr>
        <w:jc w:val="center"/>
        <w:rPr>
          <w:b/>
          <w:sz w:val="32"/>
          <w:szCs w:val="32"/>
        </w:rPr>
      </w:pPr>
    </w:p>
    <w:p w14:paraId="274CBFE7">
      <w:pPr>
        <w:rPr>
          <w:b/>
        </w:rPr>
      </w:pPr>
      <w:r>
        <w:rPr>
          <w:b/>
          <w:spacing w:val="20"/>
          <w:sz w:val="32"/>
          <w:szCs w:val="32"/>
        </w:rPr>
        <w:br w:type="page"/>
      </w:r>
    </w:p>
    <w:p w14:paraId="69EFD3AC">
      <w:pPr>
        <w:numPr>
          <w:ilvl w:val="0"/>
          <w:numId w:val="28"/>
        </w:numPr>
        <w:tabs>
          <w:tab w:val="left" w:pos="360"/>
        </w:tabs>
        <w:snapToGrid w:val="0"/>
        <w:spacing w:line="360" w:lineRule="auto"/>
        <w:outlineLvl w:val="1"/>
        <w:rPr>
          <w:color w:val="000000"/>
          <w:sz w:val="24"/>
          <w:szCs w:val="20"/>
        </w:rPr>
      </w:pPr>
      <w:r>
        <w:rPr>
          <w:sz w:val="24"/>
        </w:rPr>
        <w:t>满足《中华人民共和国政府采购法》第二十二条规定</w:t>
      </w:r>
    </w:p>
    <w:p w14:paraId="257CD96E">
      <w:pPr>
        <w:spacing w:line="360" w:lineRule="auto"/>
        <w:outlineLvl w:val="2"/>
        <w:rPr>
          <w:color w:val="000000"/>
          <w:sz w:val="24"/>
          <w:szCs w:val="20"/>
        </w:rPr>
      </w:pPr>
      <w:r>
        <w:rPr>
          <w:color w:val="000000"/>
          <w:sz w:val="24"/>
          <w:szCs w:val="20"/>
        </w:rPr>
        <w:t>1-1 营业执照等证明文件</w:t>
      </w:r>
    </w:p>
    <w:p w14:paraId="7EF49AD1">
      <w:pPr>
        <w:tabs>
          <w:tab w:val="left" w:pos="1080"/>
        </w:tabs>
        <w:snapToGrid w:val="0"/>
        <w:rPr>
          <w:sz w:val="24"/>
        </w:rPr>
      </w:pPr>
    </w:p>
    <w:p w14:paraId="45B27CD1">
      <w:pPr>
        <w:widowControl/>
        <w:jc w:val="left"/>
        <w:rPr>
          <w:color w:val="000000"/>
          <w:sz w:val="24"/>
          <w:szCs w:val="20"/>
        </w:rPr>
      </w:pPr>
      <w:r>
        <w:rPr>
          <w:color w:val="000000"/>
          <w:sz w:val="24"/>
        </w:rPr>
        <w:br w:type="page"/>
      </w:r>
    </w:p>
    <w:p w14:paraId="67226E1B">
      <w:pPr>
        <w:pStyle w:val="5"/>
        <w:rPr>
          <w:rFonts w:ascii="Times New Roman"/>
          <w:b w:val="0"/>
          <w:bCs/>
          <w:color w:val="000000"/>
          <w:u w:val="none"/>
        </w:rPr>
      </w:pPr>
      <w:r>
        <w:rPr>
          <w:rFonts w:ascii="Times New Roman"/>
          <w:b w:val="0"/>
          <w:color w:val="000000"/>
          <w:u w:val="none"/>
        </w:rPr>
        <w:t>1-2 投标人资格声明书</w:t>
      </w:r>
    </w:p>
    <w:p w14:paraId="16500058">
      <w:pPr>
        <w:jc w:val="center"/>
        <w:rPr>
          <w:b/>
          <w:color w:val="000000"/>
          <w:sz w:val="36"/>
          <w:szCs w:val="36"/>
        </w:rPr>
      </w:pPr>
      <w:r>
        <w:rPr>
          <w:b/>
          <w:color w:val="000000"/>
          <w:sz w:val="36"/>
          <w:szCs w:val="36"/>
        </w:rPr>
        <w:t>投标人资格声明书</w:t>
      </w:r>
    </w:p>
    <w:p w14:paraId="321090C0">
      <w:pPr>
        <w:tabs>
          <w:tab w:val="left" w:pos="5580"/>
        </w:tabs>
        <w:spacing w:line="360" w:lineRule="auto"/>
        <w:rPr>
          <w:sz w:val="24"/>
        </w:rPr>
      </w:pPr>
    </w:p>
    <w:p w14:paraId="1A0822DB">
      <w:pPr>
        <w:tabs>
          <w:tab w:val="left" w:pos="5580"/>
        </w:tabs>
        <w:spacing w:line="360" w:lineRule="auto"/>
        <w:rPr>
          <w:sz w:val="24"/>
        </w:rPr>
      </w:pPr>
      <w:r>
        <w:rPr>
          <w:sz w:val="24"/>
        </w:rPr>
        <w:t>致：</w:t>
      </w:r>
      <w:r>
        <w:rPr>
          <w:sz w:val="24"/>
          <w:u w:val="single"/>
        </w:rPr>
        <w:t>采购人或采购代理机构</w:t>
      </w:r>
    </w:p>
    <w:p w14:paraId="5C706C68">
      <w:pPr>
        <w:spacing w:line="360" w:lineRule="auto"/>
        <w:ind w:firstLine="480" w:firstLineChars="200"/>
        <w:rPr>
          <w:sz w:val="24"/>
        </w:rPr>
      </w:pPr>
      <w:r>
        <w:rPr>
          <w:sz w:val="24"/>
        </w:rPr>
        <w:t>在参与本次项目投标中，我单位承诺：</w:t>
      </w:r>
    </w:p>
    <w:p w14:paraId="71F0DB94">
      <w:pPr>
        <w:numPr>
          <w:ilvl w:val="0"/>
          <w:numId w:val="29"/>
        </w:numPr>
        <w:spacing w:line="360" w:lineRule="auto"/>
        <w:ind w:left="1134"/>
        <w:rPr>
          <w:sz w:val="24"/>
          <w:szCs w:val="22"/>
        </w:rPr>
      </w:pPr>
      <w:r>
        <w:rPr>
          <w:sz w:val="24"/>
          <w:szCs w:val="22"/>
        </w:rPr>
        <w:t>具有良好的商业信誉和健全的财务会计制度；</w:t>
      </w:r>
    </w:p>
    <w:p w14:paraId="544B4A6D">
      <w:pPr>
        <w:numPr>
          <w:ilvl w:val="0"/>
          <w:numId w:val="29"/>
        </w:numPr>
        <w:spacing w:line="360" w:lineRule="auto"/>
        <w:ind w:left="1134"/>
        <w:rPr>
          <w:sz w:val="24"/>
          <w:szCs w:val="22"/>
        </w:rPr>
      </w:pPr>
      <w:r>
        <w:rPr>
          <w:sz w:val="24"/>
          <w:szCs w:val="22"/>
        </w:rPr>
        <w:t>具有履行合同所必需的设备和专业技术能力；</w:t>
      </w:r>
    </w:p>
    <w:p w14:paraId="553A7F5B">
      <w:pPr>
        <w:numPr>
          <w:ilvl w:val="0"/>
          <w:numId w:val="29"/>
        </w:numPr>
        <w:spacing w:line="360" w:lineRule="auto"/>
        <w:ind w:left="1134"/>
        <w:rPr>
          <w:sz w:val="24"/>
          <w:szCs w:val="22"/>
        </w:rPr>
      </w:pPr>
      <w:r>
        <w:rPr>
          <w:sz w:val="24"/>
          <w:szCs w:val="22"/>
        </w:rPr>
        <w:t>有依法缴纳税收和社会保障资金的良好记录；</w:t>
      </w:r>
    </w:p>
    <w:p w14:paraId="10538180">
      <w:pPr>
        <w:numPr>
          <w:ilvl w:val="0"/>
          <w:numId w:val="29"/>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055D4299">
      <w:pPr>
        <w:numPr>
          <w:ilvl w:val="0"/>
          <w:numId w:val="29"/>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70826E88">
      <w:pPr>
        <w:numPr>
          <w:ilvl w:val="0"/>
          <w:numId w:val="29"/>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635CA0C6">
      <w:pPr>
        <w:numPr>
          <w:ilvl w:val="0"/>
          <w:numId w:val="29"/>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4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64E2F5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70F1E4B4">
            <w:pPr>
              <w:jc w:val="center"/>
              <w:rPr>
                <w:sz w:val="24"/>
              </w:rPr>
            </w:pPr>
            <w:r>
              <w:rPr>
                <w:sz w:val="24"/>
              </w:rPr>
              <w:t>序号</w:t>
            </w:r>
          </w:p>
        </w:tc>
        <w:tc>
          <w:tcPr>
            <w:tcW w:w="4574" w:type="dxa"/>
            <w:noWrap w:val="0"/>
            <w:vAlign w:val="center"/>
          </w:tcPr>
          <w:p w14:paraId="5202EAE1">
            <w:pPr>
              <w:jc w:val="center"/>
              <w:rPr>
                <w:sz w:val="24"/>
              </w:rPr>
            </w:pPr>
            <w:r>
              <w:rPr>
                <w:sz w:val="24"/>
              </w:rPr>
              <w:t>单位名称</w:t>
            </w:r>
          </w:p>
        </w:tc>
        <w:tc>
          <w:tcPr>
            <w:tcW w:w="2976" w:type="dxa"/>
            <w:noWrap w:val="0"/>
            <w:vAlign w:val="center"/>
          </w:tcPr>
          <w:p w14:paraId="0FFD3FC6">
            <w:pPr>
              <w:jc w:val="center"/>
              <w:rPr>
                <w:sz w:val="24"/>
              </w:rPr>
            </w:pPr>
            <w:r>
              <w:rPr>
                <w:sz w:val="24"/>
              </w:rPr>
              <w:t>相互关系</w:t>
            </w:r>
          </w:p>
        </w:tc>
      </w:tr>
      <w:tr w14:paraId="49B3BC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1573FE35">
            <w:pPr>
              <w:jc w:val="center"/>
              <w:rPr>
                <w:sz w:val="24"/>
              </w:rPr>
            </w:pPr>
            <w:r>
              <w:rPr>
                <w:sz w:val="24"/>
              </w:rPr>
              <w:t>1</w:t>
            </w:r>
          </w:p>
        </w:tc>
        <w:tc>
          <w:tcPr>
            <w:tcW w:w="4574" w:type="dxa"/>
            <w:noWrap w:val="0"/>
            <w:vAlign w:val="center"/>
          </w:tcPr>
          <w:p w14:paraId="45BCB078">
            <w:pPr>
              <w:jc w:val="center"/>
              <w:rPr>
                <w:sz w:val="24"/>
              </w:rPr>
            </w:pPr>
          </w:p>
        </w:tc>
        <w:tc>
          <w:tcPr>
            <w:tcW w:w="2976" w:type="dxa"/>
            <w:noWrap w:val="0"/>
            <w:vAlign w:val="center"/>
          </w:tcPr>
          <w:p w14:paraId="7A7C0147">
            <w:pPr>
              <w:jc w:val="center"/>
              <w:rPr>
                <w:sz w:val="24"/>
              </w:rPr>
            </w:pPr>
          </w:p>
        </w:tc>
      </w:tr>
      <w:tr w14:paraId="4AE67F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1FDD9F5E">
            <w:pPr>
              <w:jc w:val="center"/>
              <w:rPr>
                <w:sz w:val="24"/>
              </w:rPr>
            </w:pPr>
            <w:r>
              <w:rPr>
                <w:sz w:val="24"/>
              </w:rPr>
              <w:t>2</w:t>
            </w:r>
          </w:p>
        </w:tc>
        <w:tc>
          <w:tcPr>
            <w:tcW w:w="4574" w:type="dxa"/>
            <w:noWrap w:val="0"/>
            <w:vAlign w:val="center"/>
          </w:tcPr>
          <w:p w14:paraId="0E0E5629">
            <w:pPr>
              <w:jc w:val="center"/>
              <w:rPr>
                <w:sz w:val="24"/>
              </w:rPr>
            </w:pPr>
          </w:p>
        </w:tc>
        <w:tc>
          <w:tcPr>
            <w:tcW w:w="2976" w:type="dxa"/>
            <w:noWrap w:val="0"/>
            <w:vAlign w:val="center"/>
          </w:tcPr>
          <w:p w14:paraId="770855B3">
            <w:pPr>
              <w:jc w:val="center"/>
              <w:rPr>
                <w:sz w:val="24"/>
              </w:rPr>
            </w:pPr>
          </w:p>
        </w:tc>
      </w:tr>
      <w:tr w14:paraId="67F81B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5ADA0697">
            <w:pPr>
              <w:jc w:val="center"/>
              <w:rPr>
                <w:sz w:val="24"/>
              </w:rPr>
            </w:pPr>
            <w:r>
              <w:rPr>
                <w:sz w:val="24"/>
              </w:rPr>
              <w:t>…</w:t>
            </w:r>
          </w:p>
        </w:tc>
        <w:tc>
          <w:tcPr>
            <w:tcW w:w="4574" w:type="dxa"/>
            <w:noWrap w:val="0"/>
            <w:vAlign w:val="center"/>
          </w:tcPr>
          <w:p w14:paraId="10B50679">
            <w:pPr>
              <w:jc w:val="center"/>
              <w:rPr>
                <w:sz w:val="24"/>
              </w:rPr>
            </w:pPr>
          </w:p>
        </w:tc>
        <w:tc>
          <w:tcPr>
            <w:tcW w:w="2976" w:type="dxa"/>
            <w:noWrap w:val="0"/>
            <w:vAlign w:val="center"/>
          </w:tcPr>
          <w:p w14:paraId="3A44CC83">
            <w:pPr>
              <w:jc w:val="center"/>
              <w:rPr>
                <w:sz w:val="24"/>
              </w:rPr>
            </w:pPr>
          </w:p>
        </w:tc>
      </w:tr>
    </w:tbl>
    <w:p w14:paraId="39D78663"/>
    <w:p w14:paraId="7DA1726C">
      <w:pPr>
        <w:ind w:firstLine="480" w:firstLineChars="200"/>
        <w:rPr>
          <w:sz w:val="24"/>
          <w:szCs w:val="22"/>
        </w:rPr>
      </w:pPr>
      <w:r>
        <w:rPr>
          <w:sz w:val="24"/>
        </w:rPr>
        <w:t>上述声明真实有效，否则我方负全部责任。</w:t>
      </w:r>
    </w:p>
    <w:p w14:paraId="7E795A49">
      <w:pPr>
        <w:spacing w:line="360" w:lineRule="auto"/>
        <w:rPr>
          <w:sz w:val="24"/>
        </w:rPr>
      </w:pPr>
    </w:p>
    <w:p w14:paraId="1A2C40BE">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    ____________</w:t>
      </w:r>
    </w:p>
    <w:p w14:paraId="210D6EAB">
      <w:pPr>
        <w:spacing w:line="360" w:lineRule="auto"/>
        <w:ind w:right="360" w:firstLine="480"/>
        <w:jc w:val="right"/>
        <w:rPr>
          <w:sz w:val="24"/>
        </w:rPr>
      </w:pPr>
      <w:r>
        <w:rPr>
          <w:color w:val="000000"/>
          <w:sz w:val="24"/>
          <w:szCs w:val="20"/>
        </w:rPr>
        <w:t xml:space="preserve">日期：_____年______月______日   </w:t>
      </w:r>
    </w:p>
    <w:p w14:paraId="7018D450">
      <w:pPr>
        <w:spacing w:line="360" w:lineRule="auto"/>
        <w:rPr>
          <w:sz w:val="24"/>
        </w:rPr>
      </w:pPr>
      <w:r>
        <w:rPr>
          <w:sz w:val="24"/>
        </w:rPr>
        <w:t>说明：供应商承诺不实的，依据《政府采购法》第七十七条“提供虚假材料谋取中标、成交的”有关规定予以处理。</w:t>
      </w:r>
    </w:p>
    <w:p w14:paraId="2C05BA8F">
      <w:pPr>
        <w:tabs>
          <w:tab w:val="left" w:pos="5580"/>
        </w:tabs>
        <w:spacing w:line="360" w:lineRule="auto"/>
        <w:rPr>
          <w:sz w:val="24"/>
        </w:rPr>
        <w:sectPr>
          <w:pgSz w:w="11907" w:h="16840"/>
          <w:pgMar w:top="1418" w:right="1134" w:bottom="1418" w:left="1701" w:header="851" w:footer="851" w:gutter="0"/>
          <w:cols w:space="720" w:num="1"/>
          <w:docGrid w:linePitch="462" w:charSpace="0"/>
        </w:sectPr>
      </w:pPr>
    </w:p>
    <w:p w14:paraId="7D798423">
      <w:pPr>
        <w:numPr>
          <w:ilvl w:val="0"/>
          <w:numId w:val="28"/>
        </w:numPr>
        <w:tabs>
          <w:tab w:val="left" w:pos="360"/>
        </w:tabs>
        <w:snapToGrid w:val="0"/>
        <w:spacing w:line="360" w:lineRule="auto"/>
        <w:outlineLvl w:val="1"/>
        <w:rPr>
          <w:color w:val="000000"/>
          <w:sz w:val="24"/>
          <w:szCs w:val="20"/>
        </w:rPr>
      </w:pPr>
      <w:r>
        <w:rPr>
          <w:color w:val="000000"/>
          <w:sz w:val="24"/>
          <w:szCs w:val="20"/>
        </w:rPr>
        <w:t>落实政府采购政策需满足的资格要求（如有）</w:t>
      </w:r>
    </w:p>
    <w:p w14:paraId="081AADCF">
      <w:pPr>
        <w:spacing w:line="360" w:lineRule="auto"/>
        <w:outlineLvl w:val="2"/>
        <w:rPr>
          <w:color w:val="000000"/>
          <w:sz w:val="24"/>
          <w:szCs w:val="20"/>
        </w:rPr>
      </w:pPr>
      <w:r>
        <w:rPr>
          <w:color w:val="000000"/>
          <w:sz w:val="24"/>
          <w:szCs w:val="20"/>
        </w:rPr>
        <w:t>2-1 中小企业政策证明文件</w:t>
      </w:r>
    </w:p>
    <w:p w14:paraId="3E599CC8">
      <w:pPr>
        <w:tabs>
          <w:tab w:val="left" w:pos="5580"/>
        </w:tabs>
        <w:spacing w:line="360" w:lineRule="auto"/>
        <w:rPr>
          <w:sz w:val="24"/>
        </w:rPr>
      </w:pPr>
      <w:r>
        <w:rPr>
          <w:sz w:val="24"/>
        </w:rPr>
        <w:t>说明：</w:t>
      </w:r>
    </w:p>
    <w:p w14:paraId="3AD411E6">
      <w:pPr>
        <w:tabs>
          <w:tab w:val="left" w:pos="5580"/>
        </w:tabs>
        <w:spacing w:line="360" w:lineRule="auto"/>
        <w:rPr>
          <w:sz w:val="24"/>
        </w:rPr>
      </w:pPr>
      <w:r>
        <w:rPr>
          <w:sz w:val="24"/>
        </w:rPr>
        <w:t>（1）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2EB68C0D">
      <w:pPr>
        <w:tabs>
          <w:tab w:val="left" w:pos="5580"/>
        </w:tabs>
        <w:spacing w:line="360" w:lineRule="auto"/>
        <w:rPr>
          <w:sz w:val="24"/>
        </w:rPr>
      </w:pPr>
      <w:r>
        <w:rPr>
          <w:sz w:val="24"/>
        </w:rPr>
        <w:t>（2）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055EC842">
      <w:pPr>
        <w:tabs>
          <w:tab w:val="left" w:pos="5580"/>
        </w:tabs>
        <w:spacing w:line="360" w:lineRule="auto"/>
        <w:rPr>
          <w:sz w:val="24"/>
        </w:rPr>
      </w:pPr>
      <w:r>
        <w:rPr>
          <w:sz w:val="24"/>
        </w:rPr>
        <w:t>（3）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25F6ABB6">
      <w:pPr>
        <w:tabs>
          <w:tab w:val="left" w:pos="5580"/>
        </w:tabs>
        <w:spacing w:line="360" w:lineRule="auto"/>
        <w:rPr>
          <w:sz w:val="24"/>
        </w:rPr>
      </w:pPr>
      <w:r>
        <w:rPr>
          <w:sz w:val="24"/>
        </w:rPr>
        <w:t>（4）如本项目（包）预留部分采购项目预算专门面向中小企业采购，且要求供应商以联合体形式参加采购活动</w:t>
      </w:r>
      <w:r>
        <w:t>，</w:t>
      </w:r>
      <w:bookmarkStart w:id="855" w:name="_Hlk145526067"/>
      <w:r>
        <w:rPr>
          <w:sz w:val="24"/>
        </w:rPr>
        <w:t>如供应商为联合体的，</w:t>
      </w:r>
      <w:bookmarkEnd w:id="855"/>
      <w:r>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36E28526">
      <w:pPr>
        <w:tabs>
          <w:tab w:val="left" w:pos="5580"/>
        </w:tabs>
        <w:spacing w:line="360" w:lineRule="auto"/>
        <w:rPr>
          <w:sz w:val="24"/>
        </w:rPr>
      </w:pPr>
      <w:r>
        <w:rPr>
          <w:sz w:val="24"/>
        </w:rPr>
        <w:t>（5）中小企业声明函填写注意事项</w:t>
      </w:r>
    </w:p>
    <w:p w14:paraId="25B2866F">
      <w:pPr>
        <w:tabs>
          <w:tab w:val="left" w:pos="5580"/>
        </w:tabs>
        <w:spacing w:line="360" w:lineRule="auto"/>
        <w:rPr>
          <w:sz w:val="24"/>
        </w:rPr>
      </w:pPr>
      <w:r>
        <w:rPr>
          <w:sz w:val="24"/>
        </w:rPr>
        <w:t>1）《中小企业声明函》由参加政府采购活动的投标人出具。联合体投标的，《中小企业声明函》可由牵头人出具。</w:t>
      </w:r>
    </w:p>
    <w:p w14:paraId="05B42D4A">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454FBCAE">
      <w:pPr>
        <w:tabs>
          <w:tab w:val="left" w:pos="5580"/>
        </w:tabs>
        <w:spacing w:line="360" w:lineRule="auto"/>
        <w:rPr>
          <w:sz w:val="24"/>
        </w:rPr>
      </w:pPr>
      <w:r>
        <w:rPr>
          <w:sz w:val="24"/>
        </w:rPr>
        <w:t>3）对于多标的采购项目，投标人应充分、准确地了解所提供货物的制造企业、提供服务的承接企业信息。对相关情况了解不清楚的，不建议填报本声明函。</w:t>
      </w:r>
    </w:p>
    <w:p w14:paraId="3786E84C">
      <w:pPr>
        <w:tabs>
          <w:tab w:val="left" w:pos="5580"/>
        </w:tabs>
        <w:spacing w:line="360" w:lineRule="auto"/>
        <w:rPr>
          <w:sz w:val="24"/>
        </w:rPr>
      </w:pPr>
      <w:r>
        <w:rPr>
          <w:sz w:val="24"/>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w:t>
      </w:r>
      <w:r>
        <w:rPr>
          <w:rFonts w:hint="eastAsia"/>
          <w:sz w:val="24"/>
        </w:rPr>
        <w:t>《金融业企业划型标准规定》（〔</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14:paraId="4751882F">
      <w:pPr>
        <w:tabs>
          <w:tab w:val="left" w:pos="5580"/>
        </w:tabs>
        <w:spacing w:line="360" w:lineRule="auto"/>
        <w:rPr>
          <w:sz w:val="24"/>
        </w:rPr>
      </w:pPr>
    </w:p>
    <w:p w14:paraId="4A6A4AD6">
      <w:pPr>
        <w:tabs>
          <w:tab w:val="left" w:pos="5580"/>
        </w:tabs>
        <w:spacing w:line="360" w:lineRule="auto"/>
        <w:rPr>
          <w:sz w:val="24"/>
        </w:rPr>
      </w:pPr>
      <w:r>
        <w:rPr>
          <w:sz w:val="24"/>
        </w:rPr>
        <w:br w:type="page"/>
      </w:r>
    </w:p>
    <w:p w14:paraId="08B7D952">
      <w:pPr>
        <w:pStyle w:val="6"/>
      </w:pPr>
      <w:r>
        <w:t>2-1-1 中小企业证明文件</w:t>
      </w:r>
    </w:p>
    <w:p w14:paraId="687F61F5">
      <w:pPr>
        <w:spacing w:before="240" w:beforeLines="100" w:after="240" w:afterLines="100" w:line="360" w:lineRule="auto"/>
        <w:jc w:val="center"/>
        <w:rPr>
          <w:b/>
          <w:bCs/>
          <w:color w:val="000000"/>
          <w:sz w:val="36"/>
          <w:szCs w:val="36"/>
        </w:rPr>
      </w:pPr>
      <w:r>
        <w:rPr>
          <w:b/>
          <w:bCs/>
          <w:color w:val="000000"/>
          <w:sz w:val="36"/>
          <w:szCs w:val="36"/>
        </w:rPr>
        <w:t>中小企业声明函（工程、服务）格式</w:t>
      </w:r>
    </w:p>
    <w:p w14:paraId="4946C17D">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01D665C1">
      <w:pPr>
        <w:numPr>
          <w:ilvl w:val="0"/>
          <w:numId w:val="30"/>
        </w:numPr>
        <w:spacing w:line="360" w:lineRule="auto"/>
        <w:ind w:firstLine="504"/>
        <w:rPr>
          <w:spacing w:val="6"/>
          <w:sz w:val="24"/>
        </w:rPr>
      </w:pPr>
      <w:r>
        <w:rPr>
          <w:rFonts w:hint="eastAsia"/>
          <w:spacing w:val="6"/>
          <w:sz w:val="24"/>
          <w:u w:val="single"/>
          <w:lang w:val="en-US" w:eastAsia="zh-CN"/>
        </w:rPr>
        <w:t xml:space="preserve">   </w:t>
      </w:r>
      <w:r>
        <w:rPr>
          <w:spacing w:val="6"/>
          <w:sz w:val="24"/>
          <w:u w:val="single"/>
        </w:rPr>
        <w:t>（标的名称）</w:t>
      </w:r>
      <w:r>
        <w:rPr>
          <w:spacing w:val="6"/>
          <w:sz w:val="24"/>
        </w:rPr>
        <w:t>，属于</w:t>
      </w:r>
      <w:r>
        <w:rPr>
          <w:rFonts w:hint="eastAsia"/>
          <w:spacing w:val="6"/>
          <w:sz w:val="24"/>
          <w:u w:val="single"/>
          <w:lang w:val="en-US" w:eastAsia="zh-CN"/>
        </w:rPr>
        <w:t xml:space="preserve">    </w:t>
      </w:r>
      <w:r>
        <w:rPr>
          <w:spacing w:val="6"/>
          <w:sz w:val="24"/>
          <w:u w:val="single"/>
        </w:rPr>
        <w:t>（采购文件中明确的所属行业）</w:t>
      </w:r>
      <w:r>
        <w:rPr>
          <w:spacing w:val="6"/>
          <w:sz w:val="24"/>
        </w:rPr>
        <w:t>行业；承建（承接）企业为</w:t>
      </w:r>
      <w:r>
        <w:rPr>
          <w:rFonts w:hint="eastAsia"/>
          <w:spacing w:val="6"/>
          <w:sz w:val="24"/>
          <w:u w:val="single"/>
          <w:lang w:val="en-US" w:eastAsia="zh-CN"/>
        </w:rPr>
        <w:t xml:space="preserve">    </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14:paraId="205A88F7">
      <w:pPr>
        <w:spacing w:line="360" w:lineRule="auto"/>
        <w:ind w:firstLine="504"/>
        <w:rPr>
          <w:spacing w:val="6"/>
          <w:sz w:val="24"/>
        </w:rPr>
      </w:pPr>
      <w:r>
        <w:rPr>
          <w:spacing w:val="6"/>
          <w:sz w:val="24"/>
        </w:rPr>
        <w:t>2.</w:t>
      </w:r>
      <w:r>
        <w:rPr>
          <w:rFonts w:hint="eastAsia"/>
          <w:spacing w:val="6"/>
          <w:sz w:val="24"/>
          <w:u w:val="single"/>
          <w:lang w:val="en-US" w:eastAsia="zh-CN"/>
        </w:rPr>
        <w:t xml:space="preserve">   </w:t>
      </w:r>
      <w:r>
        <w:rPr>
          <w:spacing w:val="6"/>
          <w:sz w:val="24"/>
          <w:u w:val="single"/>
        </w:rPr>
        <w:t>（标的名称）</w:t>
      </w:r>
      <w:r>
        <w:rPr>
          <w:spacing w:val="6"/>
          <w:sz w:val="24"/>
        </w:rPr>
        <w:t>，属于</w:t>
      </w:r>
      <w:r>
        <w:rPr>
          <w:rFonts w:hint="eastAsia"/>
          <w:spacing w:val="6"/>
          <w:sz w:val="24"/>
          <w:u w:val="single"/>
          <w:lang w:val="en-US" w:eastAsia="zh-CN"/>
        </w:rPr>
        <w:t xml:space="preserve">   </w:t>
      </w:r>
      <w:r>
        <w:rPr>
          <w:spacing w:val="6"/>
          <w:sz w:val="24"/>
          <w:u w:val="single"/>
        </w:rPr>
        <w:t>（采购文件中明确的所属行业）</w:t>
      </w:r>
      <w:r>
        <w:rPr>
          <w:spacing w:val="6"/>
          <w:sz w:val="24"/>
        </w:rPr>
        <w:t>行业；承建（承接）企业为</w:t>
      </w:r>
      <w:r>
        <w:rPr>
          <w:rFonts w:hint="eastAsia"/>
          <w:spacing w:val="6"/>
          <w:sz w:val="24"/>
          <w:u w:val="single"/>
          <w:lang w:val="en-US" w:eastAsia="zh-CN"/>
        </w:rPr>
        <w:t xml:space="preserve">   </w:t>
      </w:r>
      <w:r>
        <w:rPr>
          <w:spacing w:val="6"/>
          <w:sz w:val="24"/>
          <w:u w:val="single"/>
        </w:rPr>
        <w:t>（企业名称）</w:t>
      </w:r>
      <w:r>
        <w:rPr>
          <w:spacing w:val="6"/>
          <w:sz w:val="24"/>
        </w:rPr>
        <w:t>，从业人员______人，营业收入为______万元，资产总额为______万元，属于</w:t>
      </w:r>
      <w:r>
        <w:rPr>
          <w:rFonts w:hint="eastAsia"/>
          <w:spacing w:val="6"/>
          <w:sz w:val="24"/>
          <w:u w:val="single"/>
          <w:lang w:val="en-US" w:eastAsia="zh-CN"/>
        </w:rPr>
        <w:t xml:space="preserve">   </w:t>
      </w:r>
      <w:r>
        <w:rPr>
          <w:spacing w:val="6"/>
          <w:sz w:val="24"/>
          <w:u w:val="single"/>
        </w:rPr>
        <w:t>（中型企业、小型企业、微型企业）</w:t>
      </w:r>
      <w:r>
        <w:rPr>
          <w:spacing w:val="6"/>
          <w:sz w:val="24"/>
        </w:rPr>
        <w:t>；</w:t>
      </w:r>
    </w:p>
    <w:p w14:paraId="4B15537A">
      <w:pPr>
        <w:spacing w:line="360" w:lineRule="auto"/>
        <w:ind w:firstLine="504"/>
        <w:rPr>
          <w:spacing w:val="6"/>
          <w:sz w:val="24"/>
        </w:rPr>
      </w:pPr>
    </w:p>
    <w:p w14:paraId="13FDBCA4">
      <w:pPr>
        <w:spacing w:line="360" w:lineRule="auto"/>
        <w:ind w:firstLine="504"/>
        <w:rPr>
          <w:spacing w:val="6"/>
          <w:sz w:val="24"/>
        </w:rPr>
      </w:pPr>
      <w:r>
        <w:rPr>
          <w:spacing w:val="6"/>
          <w:sz w:val="24"/>
        </w:rPr>
        <w:t>……</w:t>
      </w:r>
    </w:p>
    <w:p w14:paraId="48A0A055">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0A06294B">
      <w:pPr>
        <w:spacing w:line="360" w:lineRule="auto"/>
        <w:ind w:firstLine="504"/>
        <w:rPr>
          <w:spacing w:val="6"/>
          <w:sz w:val="24"/>
        </w:rPr>
      </w:pPr>
      <w:r>
        <w:rPr>
          <w:spacing w:val="6"/>
          <w:sz w:val="24"/>
        </w:rPr>
        <w:t>本企业对上述声明内容的真实性负责。如有虚假，将依法承担相应责任。</w:t>
      </w:r>
    </w:p>
    <w:p w14:paraId="57DB2D7F">
      <w:pPr>
        <w:spacing w:line="360" w:lineRule="auto"/>
        <w:ind w:right="360" w:firstLine="480"/>
        <w:jc w:val="right"/>
        <w:rPr>
          <w:color w:val="000000"/>
          <w:sz w:val="24"/>
        </w:rPr>
      </w:pPr>
    </w:p>
    <w:p w14:paraId="4B036F78">
      <w:pPr>
        <w:spacing w:line="360" w:lineRule="auto"/>
        <w:ind w:right="360" w:firstLine="480"/>
        <w:jc w:val="right"/>
        <w:rPr>
          <w:color w:val="000000"/>
          <w:sz w:val="24"/>
        </w:rPr>
      </w:pPr>
      <w:r>
        <w:rPr>
          <w:color w:val="000000"/>
          <w:sz w:val="24"/>
        </w:rPr>
        <w:t>企业名称（盖章）：________</w:t>
      </w:r>
    </w:p>
    <w:p w14:paraId="6C98C5B2">
      <w:pPr>
        <w:spacing w:line="360" w:lineRule="auto"/>
        <w:ind w:right="360" w:firstLine="480"/>
        <w:jc w:val="right"/>
        <w:rPr>
          <w:color w:val="000000"/>
          <w:sz w:val="24"/>
        </w:rPr>
      </w:pPr>
      <w:r>
        <w:rPr>
          <w:color w:val="000000"/>
          <w:sz w:val="24"/>
        </w:rPr>
        <w:t>日 期：________</w:t>
      </w:r>
    </w:p>
    <w:p w14:paraId="08D581A7">
      <w:pPr>
        <w:adjustRightInd w:val="0"/>
        <w:snapToGrid w:val="0"/>
        <w:jc w:val="left"/>
        <w:rPr>
          <w:color w:val="000000"/>
          <w:sz w:val="24"/>
          <w:szCs w:val="21"/>
        </w:rPr>
      </w:pPr>
    </w:p>
    <w:p w14:paraId="0E0B9D53">
      <w:pPr>
        <w:adjustRightInd w:val="0"/>
        <w:snapToGrid w:val="0"/>
        <w:jc w:val="left"/>
        <w:rPr>
          <w:color w:val="000000"/>
          <w:sz w:val="24"/>
          <w:szCs w:val="21"/>
        </w:rPr>
      </w:pPr>
    </w:p>
    <w:tbl>
      <w:tblPr>
        <w:tblStyle w:val="4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55B028B7">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noWrap w:val="0"/>
            <w:vAlign w:val="top"/>
          </w:tcPr>
          <w:p w14:paraId="1C41978E">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645DF6F5">
      <w:pPr>
        <w:adjustRightInd w:val="0"/>
        <w:snapToGrid w:val="0"/>
        <w:jc w:val="left"/>
        <w:rPr>
          <w:color w:val="000000"/>
          <w:szCs w:val="21"/>
          <w:vertAlign w:val="superscript"/>
        </w:rPr>
      </w:pPr>
    </w:p>
    <w:p w14:paraId="4B297DD9">
      <w:pPr>
        <w:spacing w:line="360" w:lineRule="auto"/>
        <w:ind w:right="360" w:firstLine="480"/>
        <w:jc w:val="right"/>
        <w:rPr>
          <w:color w:val="000000"/>
          <w:sz w:val="24"/>
        </w:rPr>
      </w:pPr>
    </w:p>
    <w:p w14:paraId="4FD9D720">
      <w:pPr>
        <w:spacing w:line="360" w:lineRule="auto"/>
        <w:ind w:right="360" w:firstLine="480"/>
        <w:jc w:val="right"/>
        <w:rPr>
          <w:color w:val="000000"/>
          <w:sz w:val="24"/>
        </w:rPr>
      </w:pPr>
    </w:p>
    <w:p w14:paraId="6F321B1A">
      <w:pPr>
        <w:spacing w:line="360" w:lineRule="auto"/>
        <w:outlineLvl w:val="2"/>
        <w:rPr>
          <w:color w:val="000000"/>
          <w:sz w:val="24"/>
          <w:szCs w:val="20"/>
        </w:rPr>
      </w:pPr>
      <w:r>
        <w:rPr>
          <w:color w:val="000000"/>
          <w:sz w:val="24"/>
          <w:szCs w:val="20"/>
        </w:rPr>
        <w:br w:type="page"/>
      </w:r>
    </w:p>
    <w:p w14:paraId="5F2A6781">
      <w:pPr>
        <w:spacing w:before="240" w:beforeLines="100" w:after="240" w:afterLines="100" w:line="360" w:lineRule="auto"/>
        <w:jc w:val="center"/>
        <w:rPr>
          <w:b/>
          <w:color w:val="000000"/>
          <w:sz w:val="36"/>
          <w:szCs w:val="36"/>
        </w:rPr>
      </w:pPr>
      <w:r>
        <w:rPr>
          <w:b/>
          <w:bCs/>
          <w:color w:val="000000"/>
          <w:sz w:val="36"/>
          <w:szCs w:val="36"/>
        </w:rPr>
        <w:t>残疾人福利性单位声明函格式</w:t>
      </w:r>
      <w:r>
        <w:rPr>
          <w:b/>
          <w:color w:val="000000"/>
          <w:sz w:val="36"/>
          <w:szCs w:val="36"/>
        </w:rPr>
        <w:t xml:space="preserve">       </w:t>
      </w:r>
    </w:p>
    <w:p w14:paraId="1AC02661">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 141</w:t>
      </w:r>
      <w:r>
        <w:rPr>
          <w:spacing w:val="6"/>
          <w:sz w:val="24"/>
        </w:rPr>
        <w:t>号）的规定，本单位</w:t>
      </w:r>
      <w:r>
        <w:rPr>
          <w:b/>
          <w:sz w:val="24"/>
        </w:rPr>
        <w:t>（请进行选择）</w:t>
      </w:r>
      <w:r>
        <w:rPr>
          <w:spacing w:val="6"/>
          <w:sz w:val="24"/>
        </w:rPr>
        <w:t>：</w:t>
      </w:r>
    </w:p>
    <w:p w14:paraId="61E35507">
      <w:pPr>
        <w:spacing w:line="588" w:lineRule="exact"/>
        <w:ind w:firstLine="482"/>
        <w:rPr>
          <w:b/>
          <w:spacing w:val="6"/>
          <w:sz w:val="24"/>
        </w:rPr>
      </w:pPr>
      <w:r>
        <w:rPr>
          <w:b/>
          <w:sz w:val="24"/>
        </w:rPr>
        <w:t>□</w:t>
      </w:r>
      <w:r>
        <w:rPr>
          <w:b/>
          <w:spacing w:val="6"/>
          <w:sz w:val="24"/>
        </w:rPr>
        <w:t>不属于符合条件的残疾人福利性单位。</w:t>
      </w:r>
    </w:p>
    <w:p w14:paraId="43EA9642">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05AFDA5D">
      <w:pPr>
        <w:spacing w:line="588" w:lineRule="exact"/>
        <w:ind w:firstLine="506" w:firstLineChars="200"/>
        <w:rPr>
          <w:spacing w:val="6"/>
          <w:sz w:val="24"/>
        </w:rPr>
      </w:pPr>
      <w:r>
        <w:rPr>
          <w:b/>
          <w:spacing w:val="6"/>
          <w:sz w:val="24"/>
        </w:rPr>
        <w:t>本单位对上述声明的真实性负责。如有虚假，将依法承担相应责任。</w:t>
      </w:r>
    </w:p>
    <w:p w14:paraId="638A20C8">
      <w:pPr>
        <w:spacing w:line="588" w:lineRule="exact"/>
        <w:ind w:firstLine="504" w:firstLineChars="200"/>
        <w:rPr>
          <w:spacing w:val="6"/>
          <w:sz w:val="24"/>
        </w:rPr>
      </w:pPr>
    </w:p>
    <w:p w14:paraId="48592EAC">
      <w:pPr>
        <w:spacing w:line="588" w:lineRule="exact"/>
        <w:ind w:firstLine="504" w:firstLineChars="200"/>
        <w:rPr>
          <w:spacing w:val="6"/>
          <w:sz w:val="24"/>
        </w:rPr>
      </w:pPr>
    </w:p>
    <w:p w14:paraId="2D1C428F">
      <w:pPr>
        <w:tabs>
          <w:tab w:val="left" w:pos="4860"/>
        </w:tabs>
        <w:spacing w:line="588" w:lineRule="exact"/>
        <w:ind w:right="1560" w:firstLine="504" w:firstLineChars="200"/>
        <w:jc w:val="center"/>
        <w:rPr>
          <w:spacing w:val="6"/>
          <w:sz w:val="24"/>
        </w:rPr>
      </w:pPr>
      <w:r>
        <w:rPr>
          <w:spacing w:val="6"/>
          <w:sz w:val="24"/>
        </w:rPr>
        <w:t xml:space="preserve">               单位名称（盖章）：</w:t>
      </w:r>
    </w:p>
    <w:p w14:paraId="1C6E66C5">
      <w:pPr>
        <w:tabs>
          <w:tab w:val="left" w:pos="4860"/>
        </w:tabs>
        <w:spacing w:line="588" w:lineRule="exact"/>
        <w:ind w:right="1560" w:firstLine="504" w:firstLineChars="200"/>
        <w:jc w:val="center"/>
        <w:rPr>
          <w:spacing w:val="6"/>
          <w:sz w:val="24"/>
        </w:rPr>
      </w:pPr>
      <w:r>
        <w:rPr>
          <w:spacing w:val="6"/>
          <w:sz w:val="24"/>
        </w:rPr>
        <w:t xml:space="preserve">       日  期：</w:t>
      </w:r>
    </w:p>
    <w:p w14:paraId="63CB70AC">
      <w:pPr>
        <w:widowControl/>
        <w:jc w:val="left"/>
        <w:rPr>
          <w:color w:val="000000"/>
          <w:sz w:val="24"/>
          <w:szCs w:val="20"/>
        </w:rPr>
      </w:pPr>
      <w:r>
        <w:rPr>
          <w:color w:val="000000"/>
          <w:sz w:val="24"/>
          <w:szCs w:val="20"/>
        </w:rPr>
        <w:br w:type="page"/>
      </w:r>
    </w:p>
    <w:p w14:paraId="70949BB6">
      <w:pPr>
        <w:pStyle w:val="6"/>
      </w:pPr>
      <w:r>
        <w:t>2-1-2 拟分包情况说明及分包意向协议</w:t>
      </w:r>
    </w:p>
    <w:p w14:paraId="0BF8D316">
      <w:pPr>
        <w:autoSpaceDE w:val="0"/>
        <w:autoSpaceDN w:val="0"/>
        <w:adjustRightInd w:val="0"/>
        <w:jc w:val="center"/>
        <w:rPr>
          <w:color w:val="000000"/>
          <w:sz w:val="30"/>
          <w:szCs w:val="30"/>
        </w:rPr>
      </w:pPr>
    </w:p>
    <w:p w14:paraId="7FC74F6F">
      <w:pPr>
        <w:autoSpaceDE w:val="0"/>
        <w:autoSpaceDN w:val="0"/>
        <w:adjustRightInd w:val="0"/>
        <w:spacing w:line="360" w:lineRule="auto"/>
        <w:jc w:val="center"/>
        <w:rPr>
          <w:b/>
          <w:color w:val="000000"/>
          <w:sz w:val="36"/>
          <w:szCs w:val="36"/>
        </w:rPr>
      </w:pPr>
      <w:r>
        <w:rPr>
          <w:b/>
          <w:color w:val="000000"/>
          <w:sz w:val="36"/>
          <w:szCs w:val="36"/>
        </w:rPr>
        <w:t>拟分包情况说明（不适用）</w:t>
      </w:r>
    </w:p>
    <w:p w14:paraId="078E050B">
      <w:pPr>
        <w:tabs>
          <w:tab w:val="left" w:pos="5580"/>
        </w:tabs>
        <w:spacing w:line="360" w:lineRule="auto"/>
        <w:rPr>
          <w:color w:val="000000"/>
          <w:sz w:val="24"/>
        </w:rPr>
      </w:pPr>
      <w:r>
        <w:rPr>
          <w:color w:val="000000"/>
          <w:sz w:val="24"/>
        </w:rPr>
        <w:t>致：</w:t>
      </w:r>
      <w:r>
        <w:rPr>
          <w:color w:val="000000"/>
          <w:sz w:val="24"/>
          <w:u w:val="single"/>
        </w:rPr>
        <w:t>（采购人或采购代理机构）</w:t>
      </w:r>
    </w:p>
    <w:p w14:paraId="08D67A09">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42"/>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27FE28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noWrap w:val="0"/>
            <w:vAlign w:val="center"/>
          </w:tcPr>
          <w:p w14:paraId="4137E247">
            <w:pPr>
              <w:pStyle w:val="247"/>
              <w:jc w:val="center"/>
              <w:rPr>
                <w:rFonts w:ascii="Times New Roman" w:hAnsi="Times New Roman" w:cs="Times New Roman"/>
                <w:sz w:val="24"/>
              </w:rPr>
            </w:pPr>
            <w:r>
              <w:rPr>
                <w:rFonts w:ascii="Times New Roman" w:hAnsi="Times New Roman" w:cs="Times New Roman"/>
                <w:sz w:val="24"/>
              </w:rPr>
              <w:t>序号</w:t>
            </w:r>
          </w:p>
        </w:tc>
        <w:tc>
          <w:tcPr>
            <w:tcW w:w="1287" w:type="dxa"/>
            <w:noWrap w:val="0"/>
            <w:vAlign w:val="center"/>
          </w:tcPr>
          <w:p w14:paraId="36279FF8">
            <w:pPr>
              <w:pStyle w:val="247"/>
              <w:jc w:val="center"/>
              <w:rPr>
                <w:rFonts w:ascii="Times New Roman" w:hAnsi="Times New Roman" w:cs="Times New Roman"/>
                <w:sz w:val="24"/>
              </w:rPr>
            </w:pPr>
            <w:r>
              <w:rPr>
                <w:rFonts w:ascii="Times New Roman" w:hAnsi="Times New Roman" w:cs="Times New Roman"/>
                <w:sz w:val="24"/>
              </w:rPr>
              <w:t>分包承担</w:t>
            </w:r>
          </w:p>
          <w:p w14:paraId="57C4F401">
            <w:pPr>
              <w:pStyle w:val="247"/>
              <w:jc w:val="center"/>
              <w:rPr>
                <w:rFonts w:ascii="Times New Roman" w:hAnsi="Times New Roman" w:cs="Times New Roman"/>
                <w:sz w:val="24"/>
              </w:rPr>
            </w:pPr>
            <w:r>
              <w:rPr>
                <w:rFonts w:ascii="Times New Roman" w:hAnsi="Times New Roman" w:cs="Times New Roman"/>
                <w:sz w:val="24"/>
              </w:rPr>
              <w:t>主体名称</w:t>
            </w:r>
          </w:p>
        </w:tc>
        <w:tc>
          <w:tcPr>
            <w:tcW w:w="1513" w:type="dxa"/>
            <w:noWrap w:val="0"/>
            <w:vAlign w:val="center"/>
          </w:tcPr>
          <w:p w14:paraId="32D6CE90">
            <w:pPr>
              <w:pStyle w:val="247"/>
              <w:jc w:val="center"/>
              <w:rPr>
                <w:rFonts w:ascii="Times New Roman" w:hAnsi="Times New Roman" w:cs="Times New Roman"/>
                <w:sz w:val="24"/>
                <w:lang w:eastAsia="zh-CN"/>
              </w:rPr>
            </w:pPr>
            <w:r>
              <w:rPr>
                <w:rFonts w:ascii="Times New Roman" w:hAnsi="Times New Roman" w:cs="Times New Roman"/>
                <w:sz w:val="24"/>
                <w:lang w:eastAsia="zh-CN"/>
              </w:rPr>
              <w:t>分包承担</w:t>
            </w:r>
          </w:p>
          <w:p w14:paraId="452EE04F">
            <w:pPr>
              <w:pStyle w:val="247"/>
              <w:jc w:val="center"/>
              <w:rPr>
                <w:rFonts w:ascii="Times New Roman" w:hAnsi="Times New Roman" w:cs="Times New Roman"/>
                <w:sz w:val="24"/>
                <w:lang w:eastAsia="zh-CN"/>
              </w:rPr>
            </w:pPr>
            <w:r>
              <w:rPr>
                <w:rFonts w:ascii="Times New Roman" w:hAnsi="Times New Roman" w:cs="Times New Roman"/>
                <w:sz w:val="24"/>
                <w:lang w:eastAsia="zh-CN"/>
              </w:rPr>
              <w:t>主体类型</w:t>
            </w:r>
          </w:p>
          <w:p w14:paraId="0AC4F3D4">
            <w:pPr>
              <w:pStyle w:val="247"/>
              <w:jc w:val="center"/>
              <w:rPr>
                <w:rFonts w:ascii="Times New Roman" w:hAnsi="Times New Roman" w:cs="Times New Roman"/>
                <w:sz w:val="24"/>
                <w:lang w:eastAsia="zh-CN"/>
              </w:rPr>
            </w:pPr>
            <w:r>
              <w:rPr>
                <w:rFonts w:ascii="Times New Roman" w:hAnsi="Times New Roman" w:cs="Times New Roman"/>
                <w:sz w:val="24"/>
                <w:lang w:eastAsia="zh-CN"/>
              </w:rPr>
              <w:t>（选择）</w:t>
            </w:r>
          </w:p>
        </w:tc>
        <w:tc>
          <w:tcPr>
            <w:tcW w:w="1125" w:type="dxa"/>
            <w:noWrap w:val="0"/>
            <w:vAlign w:val="center"/>
          </w:tcPr>
          <w:p w14:paraId="26FADEA6">
            <w:pPr>
              <w:pStyle w:val="247"/>
              <w:jc w:val="center"/>
              <w:rPr>
                <w:rFonts w:ascii="Times New Roman" w:hAnsi="Times New Roman" w:cs="Times New Roman"/>
                <w:sz w:val="24"/>
              </w:rPr>
            </w:pPr>
            <w:r>
              <w:rPr>
                <w:rFonts w:ascii="Times New Roman" w:hAnsi="Times New Roman" w:cs="Times New Roman"/>
                <w:sz w:val="24"/>
              </w:rPr>
              <w:t>资质等级</w:t>
            </w:r>
          </w:p>
        </w:tc>
        <w:tc>
          <w:tcPr>
            <w:tcW w:w="1558" w:type="dxa"/>
            <w:noWrap w:val="0"/>
            <w:vAlign w:val="center"/>
          </w:tcPr>
          <w:p w14:paraId="354EB947">
            <w:pPr>
              <w:pStyle w:val="247"/>
              <w:jc w:val="center"/>
              <w:rPr>
                <w:rFonts w:ascii="Times New Roman" w:hAnsi="Times New Roman" w:cs="Times New Roman"/>
                <w:sz w:val="24"/>
              </w:rPr>
            </w:pPr>
            <w:r>
              <w:rPr>
                <w:rFonts w:ascii="Times New Roman" w:hAnsi="Times New Roman" w:cs="Times New Roman"/>
                <w:sz w:val="24"/>
              </w:rPr>
              <w:t>拟分包</w:t>
            </w:r>
          </w:p>
          <w:p w14:paraId="43CFA775">
            <w:pPr>
              <w:pStyle w:val="247"/>
              <w:jc w:val="center"/>
              <w:rPr>
                <w:rFonts w:ascii="Times New Roman" w:hAnsi="Times New Roman" w:cs="Times New Roman"/>
                <w:sz w:val="24"/>
              </w:rPr>
            </w:pPr>
            <w:r>
              <w:rPr>
                <w:rFonts w:ascii="Times New Roman" w:hAnsi="Times New Roman" w:cs="Times New Roman"/>
                <w:sz w:val="24"/>
              </w:rPr>
              <w:t>合同内容</w:t>
            </w:r>
          </w:p>
        </w:tc>
        <w:tc>
          <w:tcPr>
            <w:tcW w:w="1498" w:type="dxa"/>
            <w:noWrap w:val="0"/>
            <w:vAlign w:val="center"/>
          </w:tcPr>
          <w:p w14:paraId="5A5CB3E7">
            <w:pPr>
              <w:pStyle w:val="247"/>
              <w:jc w:val="center"/>
              <w:rPr>
                <w:rFonts w:ascii="Times New Roman" w:hAnsi="Times New Roman" w:cs="Times New Roman"/>
                <w:sz w:val="24"/>
                <w:lang w:eastAsia="zh-CN"/>
              </w:rPr>
            </w:pPr>
            <w:r>
              <w:rPr>
                <w:rFonts w:ascii="Times New Roman" w:hAnsi="Times New Roman" w:cs="Times New Roman"/>
                <w:sz w:val="24"/>
                <w:lang w:eastAsia="zh-CN"/>
              </w:rPr>
              <w:t>拟分包</w:t>
            </w:r>
          </w:p>
          <w:p w14:paraId="63B49676">
            <w:pPr>
              <w:pStyle w:val="247"/>
              <w:jc w:val="center"/>
              <w:rPr>
                <w:rFonts w:ascii="Times New Roman" w:hAnsi="Times New Roman" w:cs="Times New Roman"/>
                <w:sz w:val="24"/>
                <w:lang w:eastAsia="zh-CN"/>
              </w:rPr>
            </w:pPr>
            <w:r>
              <w:rPr>
                <w:rFonts w:ascii="Times New Roman" w:hAnsi="Times New Roman" w:cs="Times New Roman"/>
                <w:sz w:val="24"/>
                <w:lang w:eastAsia="zh-CN"/>
              </w:rPr>
              <w:t>合同金额</w:t>
            </w:r>
          </w:p>
          <w:p w14:paraId="51B485DB">
            <w:pPr>
              <w:pStyle w:val="247"/>
              <w:jc w:val="center"/>
              <w:rPr>
                <w:rFonts w:ascii="Times New Roman" w:hAnsi="Times New Roman" w:cs="Times New Roman"/>
                <w:sz w:val="24"/>
                <w:lang w:eastAsia="zh-CN"/>
              </w:rPr>
            </w:pPr>
            <w:r>
              <w:rPr>
                <w:rFonts w:ascii="Times New Roman" w:hAnsi="Times New Roman" w:cs="Times New Roman"/>
                <w:sz w:val="24"/>
                <w:lang w:eastAsia="zh-CN"/>
              </w:rPr>
              <w:t>（人民币元）</w:t>
            </w:r>
          </w:p>
        </w:tc>
        <w:tc>
          <w:tcPr>
            <w:tcW w:w="1564" w:type="dxa"/>
            <w:noWrap w:val="0"/>
            <w:vAlign w:val="center"/>
          </w:tcPr>
          <w:p w14:paraId="17C27A41">
            <w:pPr>
              <w:pStyle w:val="247"/>
              <w:jc w:val="center"/>
              <w:rPr>
                <w:rFonts w:ascii="Times New Roman" w:hAnsi="Times New Roman" w:cs="Times New Roman"/>
                <w:sz w:val="24"/>
                <w:lang w:eastAsia="zh-CN"/>
              </w:rPr>
            </w:pPr>
            <w:r>
              <w:rPr>
                <w:rFonts w:ascii="Times New Roman" w:hAnsi="Times New Roman" w:cs="Times New Roman"/>
                <w:sz w:val="24"/>
                <w:lang w:eastAsia="zh-CN"/>
              </w:rPr>
              <w:t>占该采购包</w:t>
            </w:r>
          </w:p>
          <w:p w14:paraId="6A838B96">
            <w:pPr>
              <w:pStyle w:val="247"/>
              <w:jc w:val="center"/>
              <w:rPr>
                <w:rFonts w:ascii="Times New Roman" w:hAnsi="Times New Roman" w:cs="Times New Roman"/>
                <w:b/>
                <w:sz w:val="24"/>
                <w:lang w:eastAsia="zh-CN"/>
              </w:rPr>
            </w:pPr>
            <w:r>
              <w:rPr>
                <w:rFonts w:ascii="Times New Roman" w:hAnsi="Times New Roman" w:cs="Times New Roman"/>
                <w:b/>
                <w:sz w:val="24"/>
                <w:lang w:eastAsia="zh-CN"/>
              </w:rPr>
              <w:t>合同金额的</w:t>
            </w:r>
          </w:p>
          <w:p w14:paraId="48202F65">
            <w:pPr>
              <w:pStyle w:val="247"/>
              <w:jc w:val="center"/>
              <w:rPr>
                <w:rFonts w:ascii="Times New Roman" w:hAnsi="Times New Roman" w:cs="Times New Roman"/>
                <w:sz w:val="24"/>
                <w:lang w:eastAsia="zh-CN"/>
              </w:rPr>
            </w:pPr>
            <w:r>
              <w:rPr>
                <w:rFonts w:ascii="Times New Roman" w:hAnsi="Times New Roman" w:cs="Times New Roman"/>
                <w:sz w:val="24"/>
                <w:lang w:eastAsia="zh-CN"/>
              </w:rPr>
              <w:t>比例（</w:t>
            </w:r>
            <w:r>
              <w:rPr>
                <w:rFonts w:ascii="Times New Roman" w:hAnsi="Times New Roman" w:eastAsia="Times New Roman" w:cs="Times New Roman"/>
                <w:sz w:val="24"/>
                <w:lang w:eastAsia="zh-CN"/>
              </w:rPr>
              <w:t>%</w:t>
            </w:r>
            <w:r>
              <w:rPr>
                <w:rFonts w:ascii="Times New Roman" w:hAnsi="Times New Roman" w:cs="Times New Roman"/>
                <w:sz w:val="24"/>
                <w:lang w:eastAsia="zh-CN"/>
              </w:rPr>
              <w:t>）</w:t>
            </w:r>
          </w:p>
        </w:tc>
      </w:tr>
      <w:tr w14:paraId="30F8D3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noWrap w:val="0"/>
            <w:vAlign w:val="center"/>
          </w:tcPr>
          <w:p w14:paraId="3D870E95">
            <w:pPr>
              <w:pStyle w:val="247"/>
              <w:jc w:val="center"/>
              <w:rPr>
                <w:rFonts w:ascii="Times New Roman" w:hAnsi="Times New Roman" w:cs="Times New Roman"/>
                <w:sz w:val="24"/>
              </w:rPr>
            </w:pPr>
            <w:r>
              <w:rPr>
                <w:rFonts w:ascii="Times New Roman" w:hAnsi="Times New Roman" w:cs="Times New Roman"/>
                <w:sz w:val="24"/>
              </w:rPr>
              <w:t>1</w:t>
            </w:r>
          </w:p>
        </w:tc>
        <w:tc>
          <w:tcPr>
            <w:tcW w:w="1287" w:type="dxa"/>
            <w:noWrap w:val="0"/>
            <w:vAlign w:val="center"/>
          </w:tcPr>
          <w:p w14:paraId="722C62B9">
            <w:pPr>
              <w:pStyle w:val="247"/>
              <w:jc w:val="center"/>
              <w:rPr>
                <w:rFonts w:ascii="Times New Roman" w:hAnsi="Times New Roman" w:cs="Times New Roman"/>
                <w:sz w:val="30"/>
              </w:rPr>
            </w:pPr>
          </w:p>
        </w:tc>
        <w:tc>
          <w:tcPr>
            <w:tcW w:w="1513" w:type="dxa"/>
            <w:noWrap w:val="0"/>
            <w:vAlign w:val="center"/>
          </w:tcPr>
          <w:p w14:paraId="6DCB7886">
            <w:pPr>
              <w:pStyle w:val="247"/>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□中型企业</w:t>
            </w:r>
          </w:p>
          <w:p w14:paraId="1780130E">
            <w:pPr>
              <w:pStyle w:val="247"/>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□小微企业</w:t>
            </w:r>
          </w:p>
          <w:p w14:paraId="7FFA423A">
            <w:pPr>
              <w:pStyle w:val="247"/>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□其他</w:t>
            </w:r>
          </w:p>
        </w:tc>
        <w:tc>
          <w:tcPr>
            <w:tcW w:w="1125" w:type="dxa"/>
            <w:noWrap w:val="0"/>
            <w:vAlign w:val="center"/>
          </w:tcPr>
          <w:p w14:paraId="6228155B">
            <w:pPr>
              <w:pStyle w:val="247"/>
              <w:jc w:val="center"/>
              <w:rPr>
                <w:rFonts w:ascii="Times New Roman" w:hAnsi="Times New Roman" w:cs="Times New Roman"/>
                <w:sz w:val="30"/>
                <w:lang w:eastAsia="zh-CN"/>
              </w:rPr>
            </w:pPr>
          </w:p>
        </w:tc>
        <w:tc>
          <w:tcPr>
            <w:tcW w:w="1558" w:type="dxa"/>
            <w:noWrap w:val="0"/>
            <w:vAlign w:val="center"/>
          </w:tcPr>
          <w:p w14:paraId="6C288B38">
            <w:pPr>
              <w:pStyle w:val="247"/>
              <w:jc w:val="center"/>
              <w:rPr>
                <w:rFonts w:ascii="Times New Roman" w:hAnsi="Times New Roman" w:cs="Times New Roman"/>
                <w:sz w:val="30"/>
                <w:lang w:eastAsia="zh-CN"/>
              </w:rPr>
            </w:pPr>
          </w:p>
        </w:tc>
        <w:tc>
          <w:tcPr>
            <w:tcW w:w="1498" w:type="dxa"/>
            <w:noWrap w:val="0"/>
            <w:vAlign w:val="center"/>
          </w:tcPr>
          <w:p w14:paraId="72CAEEF6">
            <w:pPr>
              <w:pStyle w:val="247"/>
              <w:jc w:val="center"/>
              <w:rPr>
                <w:rFonts w:ascii="Times New Roman" w:hAnsi="Times New Roman" w:cs="Times New Roman"/>
                <w:sz w:val="30"/>
                <w:lang w:eastAsia="zh-CN"/>
              </w:rPr>
            </w:pPr>
          </w:p>
        </w:tc>
        <w:tc>
          <w:tcPr>
            <w:tcW w:w="1564" w:type="dxa"/>
            <w:noWrap w:val="0"/>
            <w:vAlign w:val="center"/>
          </w:tcPr>
          <w:p w14:paraId="00D88A1C">
            <w:pPr>
              <w:pStyle w:val="247"/>
              <w:jc w:val="center"/>
              <w:rPr>
                <w:rFonts w:ascii="Times New Roman" w:hAnsi="Times New Roman" w:cs="Times New Roman"/>
                <w:sz w:val="30"/>
                <w:lang w:eastAsia="zh-CN"/>
              </w:rPr>
            </w:pPr>
          </w:p>
        </w:tc>
      </w:tr>
      <w:tr w14:paraId="3528F2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noWrap w:val="0"/>
            <w:vAlign w:val="center"/>
          </w:tcPr>
          <w:p w14:paraId="040B2250">
            <w:pPr>
              <w:pStyle w:val="247"/>
              <w:jc w:val="center"/>
              <w:rPr>
                <w:rFonts w:ascii="Times New Roman" w:hAnsi="Times New Roman" w:cs="Times New Roman"/>
                <w:sz w:val="24"/>
                <w:lang w:eastAsia="zh-CN"/>
              </w:rPr>
            </w:pPr>
            <w:r>
              <w:rPr>
                <w:rFonts w:ascii="Times New Roman" w:hAnsi="Times New Roman" w:cs="Times New Roman"/>
                <w:sz w:val="24"/>
                <w:lang w:eastAsia="zh-CN"/>
              </w:rPr>
              <w:t>2</w:t>
            </w:r>
          </w:p>
        </w:tc>
        <w:tc>
          <w:tcPr>
            <w:tcW w:w="1287" w:type="dxa"/>
            <w:noWrap w:val="0"/>
            <w:vAlign w:val="center"/>
          </w:tcPr>
          <w:p w14:paraId="7C83C793">
            <w:pPr>
              <w:pStyle w:val="247"/>
              <w:jc w:val="center"/>
              <w:rPr>
                <w:rFonts w:ascii="Times New Roman" w:hAnsi="Times New Roman" w:cs="Times New Roman"/>
                <w:sz w:val="30"/>
              </w:rPr>
            </w:pPr>
          </w:p>
        </w:tc>
        <w:tc>
          <w:tcPr>
            <w:tcW w:w="1513" w:type="dxa"/>
            <w:noWrap w:val="0"/>
            <w:vAlign w:val="center"/>
          </w:tcPr>
          <w:p w14:paraId="3D38C134">
            <w:pPr>
              <w:pStyle w:val="247"/>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□中型企业</w:t>
            </w:r>
          </w:p>
          <w:p w14:paraId="7F3F40B4">
            <w:pPr>
              <w:pStyle w:val="247"/>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□小微企业</w:t>
            </w:r>
          </w:p>
          <w:p w14:paraId="1B007447">
            <w:pPr>
              <w:pStyle w:val="247"/>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□其他</w:t>
            </w:r>
          </w:p>
        </w:tc>
        <w:tc>
          <w:tcPr>
            <w:tcW w:w="1125" w:type="dxa"/>
            <w:noWrap w:val="0"/>
            <w:vAlign w:val="center"/>
          </w:tcPr>
          <w:p w14:paraId="3D6E1FA6">
            <w:pPr>
              <w:pStyle w:val="247"/>
              <w:jc w:val="center"/>
              <w:rPr>
                <w:rFonts w:ascii="Times New Roman" w:hAnsi="Times New Roman" w:cs="Times New Roman"/>
                <w:sz w:val="30"/>
                <w:lang w:eastAsia="zh-CN"/>
              </w:rPr>
            </w:pPr>
          </w:p>
        </w:tc>
        <w:tc>
          <w:tcPr>
            <w:tcW w:w="1558" w:type="dxa"/>
            <w:noWrap w:val="0"/>
            <w:vAlign w:val="center"/>
          </w:tcPr>
          <w:p w14:paraId="7653CE45">
            <w:pPr>
              <w:pStyle w:val="247"/>
              <w:jc w:val="center"/>
              <w:rPr>
                <w:rFonts w:ascii="Times New Roman" w:hAnsi="Times New Roman" w:cs="Times New Roman"/>
                <w:sz w:val="30"/>
                <w:lang w:eastAsia="zh-CN"/>
              </w:rPr>
            </w:pPr>
          </w:p>
        </w:tc>
        <w:tc>
          <w:tcPr>
            <w:tcW w:w="1498" w:type="dxa"/>
            <w:noWrap w:val="0"/>
            <w:vAlign w:val="center"/>
          </w:tcPr>
          <w:p w14:paraId="4025E204">
            <w:pPr>
              <w:pStyle w:val="247"/>
              <w:jc w:val="center"/>
              <w:rPr>
                <w:rFonts w:ascii="Times New Roman" w:hAnsi="Times New Roman" w:cs="Times New Roman"/>
                <w:sz w:val="30"/>
                <w:lang w:eastAsia="zh-CN"/>
              </w:rPr>
            </w:pPr>
          </w:p>
        </w:tc>
        <w:tc>
          <w:tcPr>
            <w:tcW w:w="1564" w:type="dxa"/>
            <w:noWrap w:val="0"/>
            <w:vAlign w:val="center"/>
          </w:tcPr>
          <w:p w14:paraId="63B61A2A">
            <w:pPr>
              <w:pStyle w:val="247"/>
              <w:jc w:val="center"/>
              <w:rPr>
                <w:rFonts w:ascii="Times New Roman" w:hAnsi="Times New Roman" w:cs="Times New Roman"/>
                <w:sz w:val="30"/>
                <w:lang w:eastAsia="zh-CN"/>
              </w:rPr>
            </w:pPr>
          </w:p>
        </w:tc>
      </w:tr>
      <w:tr w14:paraId="6D09E8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noWrap w:val="0"/>
            <w:vAlign w:val="center"/>
          </w:tcPr>
          <w:p w14:paraId="47F8C70D">
            <w:pPr>
              <w:pStyle w:val="247"/>
              <w:jc w:val="center"/>
              <w:rPr>
                <w:rFonts w:ascii="Times New Roman" w:hAnsi="Times New Roman" w:cs="Times New Roman"/>
                <w:sz w:val="24"/>
                <w:lang w:eastAsia="zh-CN"/>
              </w:rPr>
            </w:pPr>
            <w:r>
              <w:rPr>
                <w:rFonts w:ascii="Times New Roman" w:hAnsi="Times New Roman" w:cs="Times New Roman"/>
                <w:sz w:val="24"/>
                <w:lang w:eastAsia="zh-CN"/>
              </w:rPr>
              <w:t>…</w:t>
            </w:r>
          </w:p>
        </w:tc>
        <w:tc>
          <w:tcPr>
            <w:tcW w:w="1287" w:type="dxa"/>
            <w:noWrap w:val="0"/>
            <w:vAlign w:val="center"/>
          </w:tcPr>
          <w:p w14:paraId="6F2091E4">
            <w:pPr>
              <w:pStyle w:val="247"/>
              <w:jc w:val="center"/>
              <w:rPr>
                <w:rFonts w:ascii="Times New Roman" w:hAnsi="Times New Roman" w:cs="Times New Roman"/>
                <w:sz w:val="30"/>
              </w:rPr>
            </w:pPr>
          </w:p>
        </w:tc>
        <w:tc>
          <w:tcPr>
            <w:tcW w:w="1513" w:type="dxa"/>
            <w:noWrap w:val="0"/>
            <w:vAlign w:val="center"/>
          </w:tcPr>
          <w:p w14:paraId="65902FC3">
            <w:pPr>
              <w:pStyle w:val="247"/>
              <w:tabs>
                <w:tab w:val="left" w:pos="235"/>
              </w:tabs>
              <w:jc w:val="center"/>
              <w:rPr>
                <w:rFonts w:ascii="Times New Roman" w:hAnsi="Times New Roman" w:cs="Times New Roman"/>
                <w:sz w:val="24"/>
              </w:rPr>
            </w:pPr>
          </w:p>
        </w:tc>
        <w:tc>
          <w:tcPr>
            <w:tcW w:w="1125" w:type="dxa"/>
            <w:noWrap w:val="0"/>
            <w:vAlign w:val="center"/>
          </w:tcPr>
          <w:p w14:paraId="78607B87">
            <w:pPr>
              <w:pStyle w:val="247"/>
              <w:jc w:val="center"/>
              <w:rPr>
                <w:rFonts w:ascii="Times New Roman" w:hAnsi="Times New Roman" w:cs="Times New Roman"/>
                <w:sz w:val="30"/>
              </w:rPr>
            </w:pPr>
          </w:p>
        </w:tc>
        <w:tc>
          <w:tcPr>
            <w:tcW w:w="1558" w:type="dxa"/>
            <w:noWrap w:val="0"/>
            <w:vAlign w:val="center"/>
          </w:tcPr>
          <w:p w14:paraId="0E6F7E7A">
            <w:pPr>
              <w:pStyle w:val="247"/>
              <w:jc w:val="center"/>
              <w:rPr>
                <w:rFonts w:ascii="Times New Roman" w:hAnsi="Times New Roman" w:cs="Times New Roman"/>
                <w:sz w:val="30"/>
              </w:rPr>
            </w:pPr>
          </w:p>
        </w:tc>
        <w:tc>
          <w:tcPr>
            <w:tcW w:w="1498" w:type="dxa"/>
            <w:noWrap w:val="0"/>
            <w:vAlign w:val="center"/>
          </w:tcPr>
          <w:p w14:paraId="43BC7D5C">
            <w:pPr>
              <w:pStyle w:val="247"/>
              <w:jc w:val="center"/>
              <w:rPr>
                <w:rFonts w:ascii="Times New Roman" w:hAnsi="Times New Roman" w:cs="Times New Roman"/>
                <w:sz w:val="30"/>
              </w:rPr>
            </w:pPr>
          </w:p>
        </w:tc>
        <w:tc>
          <w:tcPr>
            <w:tcW w:w="1564" w:type="dxa"/>
            <w:noWrap w:val="0"/>
            <w:vAlign w:val="center"/>
          </w:tcPr>
          <w:p w14:paraId="5D882313">
            <w:pPr>
              <w:pStyle w:val="247"/>
              <w:jc w:val="center"/>
              <w:rPr>
                <w:rFonts w:ascii="Times New Roman" w:hAnsi="Times New Roman" w:cs="Times New Roman"/>
                <w:sz w:val="30"/>
              </w:rPr>
            </w:pPr>
          </w:p>
        </w:tc>
      </w:tr>
      <w:tr w14:paraId="2D2EDD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noWrap w:val="0"/>
            <w:vAlign w:val="center"/>
          </w:tcPr>
          <w:p w14:paraId="57216265">
            <w:pPr>
              <w:pStyle w:val="247"/>
              <w:ind w:right="57" w:rightChars="27"/>
              <w:jc w:val="right"/>
              <w:rPr>
                <w:rFonts w:ascii="Times New Roman" w:hAnsi="Times New Roman" w:cs="Times New Roman"/>
                <w:sz w:val="24"/>
                <w:lang w:eastAsia="zh-CN"/>
              </w:rPr>
            </w:pPr>
            <w:r>
              <w:rPr>
                <w:rFonts w:ascii="Times New Roman" w:hAnsi="Times New Roman" w:cs="Times New Roman"/>
                <w:sz w:val="24"/>
                <w:lang w:eastAsia="zh-CN"/>
              </w:rPr>
              <w:t>合计：</w:t>
            </w:r>
          </w:p>
        </w:tc>
        <w:tc>
          <w:tcPr>
            <w:tcW w:w="1498" w:type="dxa"/>
            <w:noWrap w:val="0"/>
            <w:vAlign w:val="center"/>
          </w:tcPr>
          <w:p w14:paraId="3F7C1C58">
            <w:pPr>
              <w:pStyle w:val="247"/>
              <w:jc w:val="center"/>
              <w:rPr>
                <w:rFonts w:ascii="Times New Roman" w:hAnsi="Times New Roman" w:cs="Times New Roman"/>
                <w:sz w:val="30"/>
              </w:rPr>
            </w:pPr>
          </w:p>
        </w:tc>
        <w:tc>
          <w:tcPr>
            <w:tcW w:w="1564" w:type="dxa"/>
            <w:noWrap w:val="0"/>
            <w:vAlign w:val="center"/>
          </w:tcPr>
          <w:p w14:paraId="782C3FA8">
            <w:pPr>
              <w:pStyle w:val="247"/>
              <w:jc w:val="center"/>
              <w:rPr>
                <w:rFonts w:ascii="Times New Roman" w:hAnsi="Times New Roman" w:cs="Times New Roman"/>
                <w:sz w:val="30"/>
              </w:rPr>
            </w:pPr>
          </w:p>
        </w:tc>
      </w:tr>
    </w:tbl>
    <w:p w14:paraId="0B682F01">
      <w:pPr>
        <w:adjustRightInd w:val="0"/>
        <w:snapToGrid w:val="0"/>
        <w:spacing w:line="360" w:lineRule="auto"/>
        <w:ind w:firstLine="480" w:firstLineChars="200"/>
        <w:jc w:val="left"/>
        <w:rPr>
          <w:sz w:val="24"/>
        </w:rPr>
      </w:pPr>
    </w:p>
    <w:p w14:paraId="1066EBF6">
      <w:pPr>
        <w:adjustRightInd w:val="0"/>
        <w:snapToGrid w:val="0"/>
        <w:spacing w:line="360" w:lineRule="auto"/>
        <w:jc w:val="left"/>
        <w:rPr>
          <w:sz w:val="24"/>
        </w:rPr>
      </w:pPr>
    </w:p>
    <w:p w14:paraId="3329ECEE">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：____________</w:t>
      </w:r>
    </w:p>
    <w:p w14:paraId="73C7C706">
      <w:pPr>
        <w:spacing w:line="360" w:lineRule="auto"/>
        <w:ind w:right="-57" w:firstLine="480"/>
        <w:jc w:val="right"/>
        <w:rPr>
          <w:color w:val="000000"/>
          <w:sz w:val="24"/>
        </w:rPr>
      </w:pPr>
      <w:r>
        <w:rPr>
          <w:color w:val="000000"/>
          <w:sz w:val="24"/>
          <w:szCs w:val="20"/>
        </w:rPr>
        <w:t>日期：_____年______月______日</w:t>
      </w:r>
    </w:p>
    <w:p w14:paraId="3559C9DA">
      <w:pPr>
        <w:adjustRightInd w:val="0"/>
        <w:snapToGrid w:val="0"/>
        <w:spacing w:line="360" w:lineRule="auto"/>
        <w:jc w:val="left"/>
        <w:rPr>
          <w:sz w:val="24"/>
        </w:rPr>
      </w:pPr>
      <w:r>
        <w:rPr>
          <w:sz w:val="24"/>
        </w:rPr>
        <w:t>注：</w:t>
      </w:r>
    </w:p>
    <w:p w14:paraId="14CEB049">
      <w:pPr>
        <w:adjustRightInd w:val="0"/>
        <w:snapToGrid w:val="0"/>
        <w:spacing w:line="360" w:lineRule="auto"/>
        <w:jc w:val="left"/>
        <w:rPr>
          <w:sz w:val="24"/>
        </w:rPr>
      </w:pPr>
      <w:r>
        <w:rPr>
          <w:sz w:val="24"/>
        </w:rPr>
        <w:t>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2DE5B36D">
      <w:pPr>
        <w:adjustRightInd w:val="0"/>
        <w:snapToGrid w:val="0"/>
        <w:spacing w:line="360" w:lineRule="auto"/>
        <w:jc w:val="left"/>
        <w:rPr>
          <w:color w:val="000000"/>
          <w:sz w:val="30"/>
          <w:szCs w:val="30"/>
        </w:rPr>
      </w:pPr>
    </w:p>
    <w:p w14:paraId="79432C9A">
      <w:pPr>
        <w:autoSpaceDE w:val="0"/>
        <w:autoSpaceDN w:val="0"/>
        <w:adjustRightInd w:val="0"/>
        <w:spacing w:line="360" w:lineRule="auto"/>
        <w:jc w:val="center"/>
        <w:rPr>
          <w:b/>
          <w:color w:val="000000"/>
          <w:sz w:val="36"/>
          <w:szCs w:val="36"/>
        </w:rPr>
      </w:pPr>
      <w:r>
        <w:rPr>
          <w:color w:val="000000"/>
          <w:sz w:val="30"/>
          <w:szCs w:val="30"/>
        </w:rPr>
        <w:br w:type="page"/>
      </w:r>
      <w:r>
        <w:rPr>
          <w:b/>
          <w:color w:val="000000"/>
          <w:sz w:val="36"/>
          <w:szCs w:val="36"/>
        </w:rPr>
        <w:t>分包意向协议（不适用）</w:t>
      </w:r>
    </w:p>
    <w:p w14:paraId="1ABBA270">
      <w:pPr>
        <w:adjustRightInd w:val="0"/>
        <w:snapToGrid w:val="0"/>
        <w:spacing w:line="360" w:lineRule="auto"/>
        <w:ind w:firstLine="480" w:firstLineChars="200"/>
        <w:jc w:val="left"/>
        <w:rPr>
          <w:sz w:val="24"/>
        </w:rPr>
      </w:pPr>
      <w:r>
        <w:rPr>
          <w:sz w:val="24"/>
        </w:rPr>
        <w:t>甲方（投标人）：________</w:t>
      </w:r>
    </w:p>
    <w:p w14:paraId="2810C136">
      <w:pPr>
        <w:adjustRightInd w:val="0"/>
        <w:snapToGrid w:val="0"/>
        <w:spacing w:line="360" w:lineRule="auto"/>
        <w:ind w:firstLine="480" w:firstLineChars="200"/>
        <w:jc w:val="left"/>
        <w:rPr>
          <w:sz w:val="24"/>
        </w:rPr>
      </w:pPr>
      <w:r>
        <w:rPr>
          <w:sz w:val="24"/>
        </w:rPr>
        <w:t>乙方（拟分包单位）：________</w:t>
      </w:r>
    </w:p>
    <w:p w14:paraId="7FAC5927">
      <w:pPr>
        <w:adjustRightInd w:val="0"/>
        <w:snapToGrid w:val="0"/>
        <w:spacing w:line="360" w:lineRule="auto"/>
        <w:ind w:firstLine="480" w:firstLineChars="200"/>
        <w:jc w:val="left"/>
        <w:rPr>
          <w:sz w:val="24"/>
        </w:rPr>
      </w:pPr>
      <w:r>
        <w:rPr>
          <w:sz w:val="24"/>
        </w:rPr>
        <w:t>甲方承诺，一旦在_________（采购项目名称）（项目编号/包号为：_______）招标采购项目中获得采购合同，将按照下述约定将合同项下部分内容分包给乙方：</w:t>
      </w:r>
    </w:p>
    <w:p w14:paraId="289C4B18">
      <w:pPr>
        <w:adjustRightInd w:val="0"/>
        <w:snapToGrid w:val="0"/>
        <w:spacing w:line="360" w:lineRule="auto"/>
        <w:ind w:firstLine="480" w:firstLineChars="200"/>
        <w:jc w:val="left"/>
        <w:rPr>
          <w:sz w:val="24"/>
        </w:rPr>
      </w:pPr>
      <w:r>
        <w:rPr>
          <w:sz w:val="24"/>
        </w:rPr>
        <w:t>1.分包内容：_____。</w:t>
      </w:r>
    </w:p>
    <w:p w14:paraId="78A7734B">
      <w:pPr>
        <w:adjustRightInd w:val="0"/>
        <w:snapToGrid w:val="0"/>
        <w:spacing w:line="360" w:lineRule="auto"/>
        <w:ind w:firstLine="480" w:firstLineChars="200"/>
        <w:jc w:val="left"/>
        <w:rPr>
          <w:sz w:val="24"/>
        </w:rPr>
      </w:pPr>
      <w:r>
        <w:rPr>
          <w:sz w:val="24"/>
        </w:rPr>
        <w:t>2.分包金额：_____，该金额占该采购包合同金额的比例为___%。</w:t>
      </w:r>
    </w:p>
    <w:p w14:paraId="750125BE">
      <w:pPr>
        <w:adjustRightInd w:val="0"/>
        <w:snapToGrid w:val="0"/>
        <w:spacing w:line="360" w:lineRule="auto"/>
        <w:ind w:firstLine="480" w:firstLineChars="200"/>
        <w:jc w:val="left"/>
        <w:rPr>
          <w:bCs/>
          <w:color w:val="000000"/>
          <w:sz w:val="24"/>
        </w:rPr>
      </w:pPr>
      <w:r>
        <w:rPr>
          <w:sz w:val="24"/>
        </w:rPr>
        <w:t>乙方承诺将在上述情况下与甲方签订分包合同。</w:t>
      </w:r>
    </w:p>
    <w:p w14:paraId="416F793E">
      <w:pPr>
        <w:adjustRightInd w:val="0"/>
        <w:snapToGrid w:val="0"/>
        <w:spacing w:line="360" w:lineRule="auto"/>
        <w:ind w:firstLine="480" w:firstLineChars="200"/>
        <w:jc w:val="left"/>
        <w:rPr>
          <w:sz w:val="24"/>
        </w:rPr>
      </w:pPr>
      <w:r>
        <w:rPr>
          <w:sz w:val="24"/>
        </w:rPr>
        <w:t>本协议自各方盖章之日起生效，如甲方未在该项目（采购包）中标，本协议自动终止。</w:t>
      </w:r>
    </w:p>
    <w:p w14:paraId="7DD2760A">
      <w:pPr>
        <w:spacing w:line="360" w:lineRule="auto"/>
        <w:ind w:firstLine="471"/>
        <w:rPr>
          <w:b/>
          <w:color w:val="000000"/>
          <w:sz w:val="24"/>
        </w:rPr>
      </w:pPr>
    </w:p>
    <w:p w14:paraId="7A5E26AA">
      <w:pPr>
        <w:spacing w:line="360" w:lineRule="auto"/>
        <w:ind w:firstLine="471"/>
        <w:rPr>
          <w:b/>
          <w:color w:val="000000"/>
          <w:sz w:val="24"/>
        </w:rPr>
      </w:pPr>
      <w:r>
        <w:rPr>
          <w:color w:val="000000"/>
          <w:sz w:val="24"/>
        </w:rPr>
        <w:t>甲方（盖章）：_________                 乙方（盖章）：_________</w:t>
      </w:r>
    </w:p>
    <w:p w14:paraId="11F611A6">
      <w:pPr>
        <w:spacing w:line="360" w:lineRule="auto"/>
        <w:ind w:left="480"/>
        <w:jc w:val="right"/>
        <w:rPr>
          <w:color w:val="000000"/>
          <w:sz w:val="24"/>
        </w:rPr>
      </w:pPr>
    </w:p>
    <w:p w14:paraId="4ACABDC8">
      <w:pPr>
        <w:wordWrap w:val="0"/>
        <w:spacing w:line="360" w:lineRule="auto"/>
        <w:ind w:left="480"/>
        <w:jc w:val="right"/>
        <w:rPr>
          <w:b/>
          <w:color w:val="000000"/>
          <w:sz w:val="24"/>
        </w:rPr>
      </w:pPr>
      <w:r>
        <w:rPr>
          <w:color w:val="000000"/>
          <w:sz w:val="24"/>
          <w:szCs w:val="20"/>
        </w:rPr>
        <w:t xml:space="preserve">日期：_____年______月______日   </w:t>
      </w:r>
    </w:p>
    <w:p w14:paraId="7C7D60AF">
      <w:pPr>
        <w:tabs>
          <w:tab w:val="left" w:pos="8280"/>
        </w:tabs>
        <w:spacing w:line="360" w:lineRule="auto"/>
        <w:ind w:firstLine="480"/>
        <w:rPr>
          <w:color w:val="000000"/>
          <w:sz w:val="24"/>
        </w:rPr>
      </w:pPr>
    </w:p>
    <w:p w14:paraId="2A1B0BE7">
      <w:pPr>
        <w:tabs>
          <w:tab w:val="left" w:pos="8280"/>
        </w:tabs>
        <w:spacing w:line="360" w:lineRule="auto"/>
        <w:rPr>
          <w:color w:val="000000"/>
          <w:sz w:val="24"/>
        </w:rPr>
      </w:pPr>
      <w:r>
        <w:rPr>
          <w:color w:val="000000"/>
          <w:sz w:val="24"/>
        </w:rPr>
        <w:t>注：</w:t>
      </w:r>
    </w:p>
    <w:p w14:paraId="62B97459">
      <w:pPr>
        <w:tabs>
          <w:tab w:val="left" w:pos="8280"/>
        </w:tabs>
        <w:spacing w:line="360" w:lineRule="auto"/>
        <w:rPr>
          <w:color w:val="000000"/>
          <w:sz w:val="24"/>
        </w:rPr>
      </w:pPr>
      <w:r>
        <w:rPr>
          <w:sz w:val="24"/>
        </w:rPr>
        <w:t>本协议仅在投标人“为落实政府采购政策”而向中小企业分包时必须提供，否则</w:t>
      </w:r>
      <w:r>
        <w:rPr>
          <w:b/>
          <w:sz w:val="24"/>
        </w:rPr>
        <w:t>投标无效</w:t>
      </w:r>
      <w:r>
        <w:rPr>
          <w:sz w:val="24"/>
        </w:rPr>
        <w:t>；</w:t>
      </w:r>
      <w:r>
        <w:rPr>
          <w:color w:val="000000"/>
          <w:sz w:val="24"/>
        </w:rPr>
        <w:t>且投标人须与所有拟分包单位分别签订《分包意向协议》，每单位签订一份，并在投标文件中提交全部协议原件的电子件，否则</w:t>
      </w:r>
      <w:r>
        <w:rPr>
          <w:b/>
          <w:color w:val="000000"/>
          <w:sz w:val="24"/>
        </w:rPr>
        <w:t>投标无效</w:t>
      </w:r>
      <w:r>
        <w:rPr>
          <w:color w:val="000000"/>
          <w:sz w:val="24"/>
        </w:rPr>
        <w:t>。</w:t>
      </w:r>
    </w:p>
    <w:p w14:paraId="3F7254D3">
      <w:pPr>
        <w:widowControl/>
        <w:jc w:val="left"/>
        <w:rPr>
          <w:color w:val="000000"/>
          <w:sz w:val="24"/>
          <w:szCs w:val="20"/>
        </w:rPr>
      </w:pPr>
      <w:r>
        <w:rPr>
          <w:color w:val="000000"/>
          <w:sz w:val="24"/>
          <w:szCs w:val="20"/>
        </w:rPr>
        <w:br w:type="page"/>
      </w:r>
    </w:p>
    <w:p w14:paraId="5F6DD2E3">
      <w:pPr>
        <w:spacing w:line="360" w:lineRule="auto"/>
        <w:outlineLvl w:val="2"/>
        <w:rPr>
          <w:color w:val="000000"/>
          <w:sz w:val="24"/>
          <w:szCs w:val="20"/>
        </w:rPr>
      </w:pPr>
      <w:r>
        <w:rPr>
          <w:color w:val="000000"/>
          <w:sz w:val="24"/>
          <w:szCs w:val="20"/>
        </w:rPr>
        <w:t xml:space="preserve">2-2 </w:t>
      </w:r>
      <w:r>
        <w:rPr>
          <w:sz w:val="24"/>
        </w:rPr>
        <w:t>其它落实政府采购政策的资格要求</w:t>
      </w:r>
      <w:r>
        <w:rPr>
          <w:color w:val="000000"/>
          <w:sz w:val="24"/>
          <w:szCs w:val="20"/>
        </w:rPr>
        <w:t>（如有）</w:t>
      </w:r>
    </w:p>
    <w:p w14:paraId="749F39A3">
      <w:pPr>
        <w:widowControl/>
        <w:jc w:val="left"/>
        <w:rPr>
          <w:sz w:val="24"/>
        </w:rPr>
      </w:pPr>
    </w:p>
    <w:p w14:paraId="217CEC99">
      <w:pPr>
        <w:widowControl/>
        <w:jc w:val="left"/>
        <w:rPr>
          <w:sz w:val="24"/>
        </w:rPr>
      </w:pPr>
      <w:r>
        <w:rPr>
          <w:sz w:val="24"/>
        </w:rPr>
        <w:br w:type="page"/>
      </w:r>
    </w:p>
    <w:p w14:paraId="6D957893">
      <w:pPr>
        <w:numPr>
          <w:ilvl w:val="0"/>
          <w:numId w:val="28"/>
        </w:numPr>
        <w:tabs>
          <w:tab w:val="left" w:pos="360"/>
        </w:tabs>
        <w:snapToGrid w:val="0"/>
        <w:spacing w:line="360" w:lineRule="auto"/>
        <w:outlineLvl w:val="1"/>
        <w:rPr>
          <w:sz w:val="24"/>
        </w:rPr>
      </w:pPr>
      <w:r>
        <w:rPr>
          <w:sz w:val="24"/>
        </w:rPr>
        <w:t>本项目的特定资格要求</w:t>
      </w:r>
      <w:r>
        <w:rPr>
          <w:color w:val="000000"/>
          <w:sz w:val="24"/>
          <w:szCs w:val="20"/>
        </w:rPr>
        <w:t>（如有）</w:t>
      </w:r>
    </w:p>
    <w:p w14:paraId="3E27048D">
      <w:pPr>
        <w:spacing w:line="360" w:lineRule="auto"/>
        <w:outlineLvl w:val="2"/>
        <w:rPr>
          <w:color w:val="000000"/>
          <w:sz w:val="24"/>
          <w:szCs w:val="20"/>
        </w:rPr>
      </w:pPr>
      <w:r>
        <w:rPr>
          <w:color w:val="000000"/>
          <w:sz w:val="24"/>
          <w:szCs w:val="20"/>
        </w:rPr>
        <w:t>3-1 联合协议（如有）</w:t>
      </w:r>
    </w:p>
    <w:p w14:paraId="1B4E7CF7">
      <w:pPr>
        <w:autoSpaceDE w:val="0"/>
        <w:autoSpaceDN w:val="0"/>
        <w:adjustRightInd w:val="0"/>
        <w:spacing w:line="360" w:lineRule="auto"/>
        <w:jc w:val="center"/>
        <w:rPr>
          <w:b/>
          <w:color w:val="000000"/>
          <w:sz w:val="36"/>
          <w:szCs w:val="36"/>
        </w:rPr>
      </w:pPr>
      <w:r>
        <w:rPr>
          <w:b/>
          <w:color w:val="000000"/>
          <w:sz w:val="36"/>
          <w:szCs w:val="36"/>
        </w:rPr>
        <w:t>联合协议（不适用）</w:t>
      </w:r>
    </w:p>
    <w:p w14:paraId="109D5C52">
      <w:pPr>
        <w:spacing w:line="360" w:lineRule="auto"/>
        <w:ind w:firstLine="828" w:firstLineChars="345"/>
        <w:rPr>
          <w:bCs/>
          <w:color w:val="000000"/>
        </w:rPr>
      </w:pPr>
      <w:r>
        <w:rPr>
          <w:bCs/>
          <w:color w:val="000000"/>
          <w:sz w:val="24"/>
        </w:rPr>
        <w:t>______ 、 _____ 及 _____就“________（项目名称）</w:t>
      </w:r>
      <w:r>
        <w:rPr>
          <w:color w:val="000000"/>
          <w:sz w:val="24"/>
        </w:rPr>
        <w:t>”____包</w:t>
      </w:r>
      <w:r>
        <w:rPr>
          <w:bCs/>
          <w:color w:val="000000"/>
          <w:sz w:val="24"/>
        </w:rPr>
        <w:t>招标项目的投标事宜，经各方充分协商一致，达成如下协议：</w:t>
      </w:r>
    </w:p>
    <w:p w14:paraId="7711DE8E">
      <w:pPr>
        <w:numPr>
          <w:ilvl w:val="0"/>
          <w:numId w:val="31"/>
        </w:numPr>
        <w:spacing w:line="360" w:lineRule="auto"/>
        <w:rPr>
          <w:bCs/>
          <w:color w:val="000000"/>
          <w:sz w:val="24"/>
        </w:rPr>
      </w:pPr>
      <w:r>
        <w:rPr>
          <w:bCs/>
          <w:color w:val="000000"/>
          <w:sz w:val="24"/>
        </w:rPr>
        <w:t>由_________牵头，_________、__________参加，组成联合体共同进行招标项目的投标工作。</w:t>
      </w:r>
    </w:p>
    <w:p w14:paraId="3E97EC75">
      <w:pPr>
        <w:numPr>
          <w:ilvl w:val="0"/>
          <w:numId w:val="31"/>
        </w:numPr>
        <w:spacing w:line="360" w:lineRule="auto"/>
        <w:rPr>
          <w:bCs/>
          <w:color w:val="000000"/>
          <w:sz w:val="24"/>
        </w:rPr>
      </w:pPr>
      <w:r>
        <w:rPr>
          <w:bCs/>
          <w:color w:val="000000"/>
          <w:sz w:val="24"/>
        </w:rPr>
        <w:t>联合体中标后，联合体各方共同与采购人签订合同，就采购合同约定的事项对采购人承担连带责任。</w:t>
      </w:r>
    </w:p>
    <w:p w14:paraId="504E4510">
      <w:pPr>
        <w:numPr>
          <w:ilvl w:val="0"/>
          <w:numId w:val="31"/>
        </w:numPr>
        <w:spacing w:line="360" w:lineRule="auto"/>
        <w:rPr>
          <w:bCs/>
          <w:color w:val="000000"/>
          <w:sz w:val="24"/>
        </w:rPr>
      </w:pPr>
      <w:r>
        <w:rPr>
          <w:bCs/>
          <w:color w:val="000000"/>
          <w:sz w:val="24"/>
        </w:rPr>
        <w:t>联合体各方均同意由牵头人代表其他联合体成员单位按招标文件要求出具《授权委托书》。</w:t>
      </w:r>
    </w:p>
    <w:p w14:paraId="33AF062B">
      <w:pPr>
        <w:numPr>
          <w:ilvl w:val="0"/>
          <w:numId w:val="31"/>
        </w:numPr>
        <w:spacing w:line="360" w:lineRule="auto"/>
        <w:rPr>
          <w:bCs/>
          <w:color w:val="000000"/>
          <w:sz w:val="24"/>
        </w:rPr>
      </w:pPr>
      <w:r>
        <w:rPr>
          <w:bCs/>
          <w:color w:val="000000"/>
          <w:sz w:val="24"/>
        </w:rPr>
        <w:t>牵头人为项目的总负责单位；组织各参加方进行项目实施工作。</w:t>
      </w:r>
    </w:p>
    <w:p w14:paraId="553C820E">
      <w:pPr>
        <w:numPr>
          <w:ilvl w:val="0"/>
          <w:numId w:val="31"/>
        </w:numPr>
        <w:spacing w:line="360" w:lineRule="auto"/>
        <w:rPr>
          <w:bCs/>
          <w:color w:val="000000"/>
          <w:sz w:val="24"/>
        </w:rPr>
      </w:pPr>
      <w:r>
        <w:rPr>
          <w:bCs/>
          <w:color w:val="000000"/>
          <w:sz w:val="24"/>
        </w:rPr>
        <w:t>______负责_____，具体工作范围、内容以投标文件及合同为准。</w:t>
      </w:r>
    </w:p>
    <w:p w14:paraId="6B9D0B49">
      <w:pPr>
        <w:numPr>
          <w:ilvl w:val="0"/>
          <w:numId w:val="31"/>
        </w:numPr>
        <w:spacing w:line="360" w:lineRule="auto"/>
        <w:rPr>
          <w:bCs/>
          <w:color w:val="000000"/>
          <w:sz w:val="24"/>
        </w:rPr>
      </w:pPr>
      <w:r>
        <w:rPr>
          <w:bCs/>
          <w:color w:val="000000"/>
          <w:sz w:val="24"/>
        </w:rPr>
        <w:t>______负责_____，具体工作范围、内容以投标文件及合同为准。</w:t>
      </w:r>
    </w:p>
    <w:p w14:paraId="0B64A369">
      <w:pPr>
        <w:numPr>
          <w:ilvl w:val="0"/>
          <w:numId w:val="31"/>
        </w:numPr>
        <w:spacing w:line="360" w:lineRule="auto"/>
        <w:rPr>
          <w:bCs/>
          <w:color w:val="000000"/>
          <w:sz w:val="24"/>
        </w:rPr>
      </w:pPr>
      <w:r>
        <w:rPr>
          <w:bCs/>
          <w:color w:val="000000"/>
          <w:sz w:val="24"/>
        </w:rPr>
        <w:t>______负责_____（如有），具体工作范围、内容以投标文件及合同为准。</w:t>
      </w:r>
    </w:p>
    <w:p w14:paraId="41F500DF">
      <w:pPr>
        <w:numPr>
          <w:ilvl w:val="0"/>
          <w:numId w:val="31"/>
        </w:numPr>
        <w:spacing w:line="360" w:lineRule="auto"/>
        <w:rPr>
          <w:sz w:val="24"/>
        </w:rPr>
      </w:pPr>
      <w:r>
        <w:rPr>
          <w:sz w:val="24"/>
        </w:rPr>
        <w:t>本项目联合协议合同总额为________元，联合体各成员按照如下比例分摊（按联合体成员分别列明）：</w:t>
      </w:r>
    </w:p>
    <w:p w14:paraId="0CFF4DBF">
      <w:pPr>
        <w:tabs>
          <w:tab w:val="left" w:pos="720"/>
          <w:tab w:val="left" w:pos="900"/>
        </w:tabs>
        <w:spacing w:line="360" w:lineRule="auto"/>
        <w:ind w:left="851"/>
        <w:rPr>
          <w:color w:val="000000"/>
          <w:sz w:val="24"/>
          <w:szCs w:val="20"/>
        </w:rPr>
      </w:pPr>
      <w:r>
        <w:rPr>
          <w:color w:val="000000"/>
          <w:sz w:val="24"/>
          <w:szCs w:val="20"/>
        </w:rPr>
        <w:t>（1）</w:t>
      </w:r>
      <w:r>
        <w:rPr>
          <w:bCs/>
          <w:color w:val="000000"/>
          <w:sz w:val="24"/>
          <w:szCs w:val="20"/>
        </w:rPr>
        <w:t>______</w:t>
      </w:r>
      <w:r>
        <w:rPr>
          <w:color w:val="000000"/>
          <w:sz w:val="24"/>
          <w:szCs w:val="20"/>
        </w:rPr>
        <w:t>为□大型企业□中型企业、□小微企业（包含监狱企业、残疾人福利性单位）、□其他，合同金额为_____元；</w:t>
      </w:r>
    </w:p>
    <w:p w14:paraId="22978C0A">
      <w:pPr>
        <w:tabs>
          <w:tab w:val="left" w:pos="720"/>
          <w:tab w:val="left" w:pos="900"/>
        </w:tabs>
        <w:spacing w:line="360" w:lineRule="auto"/>
        <w:ind w:left="851"/>
        <w:rPr>
          <w:color w:val="000000"/>
          <w:sz w:val="24"/>
          <w:szCs w:val="20"/>
        </w:rPr>
      </w:pPr>
      <w:r>
        <w:rPr>
          <w:color w:val="000000"/>
          <w:sz w:val="24"/>
          <w:szCs w:val="20"/>
        </w:rPr>
        <w:t>（2）</w:t>
      </w:r>
      <w:r>
        <w:rPr>
          <w:bCs/>
          <w:color w:val="000000"/>
          <w:sz w:val="24"/>
          <w:szCs w:val="20"/>
        </w:rPr>
        <w:t>______</w:t>
      </w:r>
      <w:r>
        <w:rPr>
          <w:color w:val="000000"/>
          <w:sz w:val="24"/>
          <w:szCs w:val="20"/>
        </w:rPr>
        <w:t>为□大型企业□中型企业、□小微企业（包含监狱企业、残疾人福利性单位）、□其他，合同金额为_____元；</w:t>
      </w:r>
    </w:p>
    <w:p w14:paraId="3059BCBE">
      <w:pPr>
        <w:tabs>
          <w:tab w:val="left" w:pos="720"/>
          <w:tab w:val="left" w:pos="900"/>
        </w:tabs>
        <w:spacing w:line="360" w:lineRule="auto"/>
        <w:ind w:left="851"/>
        <w:rPr>
          <w:color w:val="000000"/>
          <w:sz w:val="24"/>
          <w:szCs w:val="20"/>
        </w:rPr>
      </w:pPr>
      <w:r>
        <w:rPr>
          <w:color w:val="000000"/>
          <w:sz w:val="24"/>
          <w:szCs w:val="20"/>
        </w:rPr>
        <w:t>（…）</w:t>
      </w:r>
      <w:r>
        <w:rPr>
          <w:bCs/>
          <w:color w:val="000000"/>
          <w:sz w:val="24"/>
          <w:szCs w:val="20"/>
        </w:rPr>
        <w:t>______</w:t>
      </w:r>
      <w:r>
        <w:rPr>
          <w:color w:val="000000"/>
          <w:sz w:val="24"/>
          <w:szCs w:val="20"/>
        </w:rPr>
        <w:t>为□大型企业□中型企业、□小微企业（包含监狱企业、残疾人福利性单位）、□其他，合同金额为_____元。</w:t>
      </w:r>
    </w:p>
    <w:p w14:paraId="6A83BC5E">
      <w:pPr>
        <w:numPr>
          <w:ilvl w:val="0"/>
          <w:numId w:val="31"/>
        </w:numPr>
        <w:tabs>
          <w:tab w:val="left" w:pos="993"/>
        </w:tabs>
        <w:spacing w:line="360" w:lineRule="auto"/>
        <w:rPr>
          <w:bCs/>
          <w:color w:val="000000"/>
          <w:sz w:val="24"/>
        </w:rPr>
      </w:pPr>
      <w:r>
        <w:rPr>
          <w:bCs/>
          <w:color w:val="000000"/>
          <w:sz w:val="24"/>
        </w:rPr>
        <w:t>以联合体形式参加政府采购活动的，联合体各方不得再单独参加或者与其他供应商另外组成联合体参加同一合同项下的政府采购活动。</w:t>
      </w:r>
    </w:p>
    <w:p w14:paraId="0A7107CB">
      <w:pPr>
        <w:numPr>
          <w:ilvl w:val="0"/>
          <w:numId w:val="31"/>
        </w:numPr>
        <w:spacing w:line="360" w:lineRule="auto"/>
        <w:rPr>
          <w:bCs/>
          <w:color w:val="000000"/>
          <w:sz w:val="24"/>
        </w:rPr>
      </w:pPr>
      <w:r>
        <w:rPr>
          <w:bCs/>
          <w:color w:val="000000"/>
          <w:sz w:val="24"/>
        </w:rPr>
        <w:t>其他约定（如有）：_______。</w:t>
      </w:r>
    </w:p>
    <w:p w14:paraId="67295A26">
      <w:pPr>
        <w:tabs>
          <w:tab w:val="left" w:pos="780"/>
        </w:tabs>
        <w:spacing w:line="360" w:lineRule="auto"/>
        <w:ind w:firstLine="480" w:firstLineChars="200"/>
        <w:rPr>
          <w:color w:val="000000"/>
          <w:sz w:val="24"/>
        </w:rPr>
      </w:pPr>
      <w:r>
        <w:rPr>
          <w:bCs/>
          <w:color w:val="000000"/>
          <w:sz w:val="24"/>
        </w:rPr>
        <w:t>本协议自各方盖章后生效，采购合同履行完毕后自动失效。如未中标，本协议自动终止。</w:t>
      </w:r>
      <w:r>
        <w:rPr>
          <w:color w:val="000000"/>
          <w:sz w:val="24"/>
        </w:rPr>
        <w:br w:type="page"/>
      </w:r>
    </w:p>
    <w:p w14:paraId="1F95AE20">
      <w:pPr>
        <w:spacing w:line="360" w:lineRule="auto"/>
        <w:ind w:firstLine="471"/>
        <w:rPr>
          <w:color w:val="000000"/>
          <w:sz w:val="24"/>
        </w:rPr>
      </w:pPr>
      <w:r>
        <w:rPr>
          <w:color w:val="000000"/>
          <w:sz w:val="24"/>
        </w:rPr>
        <w:t>联合体牵头人名称：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r>
      <w:r>
        <w:rPr>
          <w:color w:val="000000"/>
          <w:sz w:val="24"/>
        </w:rPr>
        <w:t xml:space="preserve"> 联合体成员名称：</w:t>
      </w:r>
      <w:r>
        <w:rPr>
          <w:color w:val="000000"/>
          <w:sz w:val="24"/>
          <w:szCs w:val="20"/>
        </w:rPr>
        <w:t>______</w:t>
      </w:r>
    </w:p>
    <w:p w14:paraId="18634629">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盖章：</w:t>
      </w:r>
      <w:r>
        <w:rPr>
          <w:color w:val="000000"/>
          <w:sz w:val="24"/>
          <w:szCs w:val="20"/>
        </w:rPr>
        <w:t>______</w:t>
      </w:r>
    </w:p>
    <w:p w14:paraId="778C15A7">
      <w:pPr>
        <w:spacing w:line="360" w:lineRule="auto"/>
        <w:ind w:firstLine="471"/>
        <w:rPr>
          <w:color w:val="000000"/>
          <w:sz w:val="24"/>
        </w:rPr>
      </w:pPr>
    </w:p>
    <w:p w14:paraId="3D3B8423">
      <w:pPr>
        <w:spacing w:line="360" w:lineRule="auto"/>
        <w:ind w:firstLine="471"/>
        <w:rPr>
          <w:color w:val="000000"/>
          <w:sz w:val="24"/>
        </w:rPr>
      </w:pPr>
    </w:p>
    <w:p w14:paraId="5ECC2ED5">
      <w:pPr>
        <w:spacing w:line="360" w:lineRule="auto"/>
        <w:ind w:firstLine="471"/>
        <w:rPr>
          <w:color w:val="000000"/>
          <w:sz w:val="24"/>
        </w:rPr>
      </w:pPr>
      <w:r>
        <w:rPr>
          <w:color w:val="000000"/>
          <w:sz w:val="24"/>
        </w:rPr>
        <w:t>联合体成员名称：</w:t>
      </w:r>
      <w:r>
        <w:rPr>
          <w:color w:val="000000"/>
          <w:sz w:val="24"/>
          <w:szCs w:val="20"/>
        </w:rPr>
        <w:t>______</w:t>
      </w:r>
    </w:p>
    <w:p w14:paraId="027991E1">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p>
    <w:p w14:paraId="3988985D">
      <w:pPr>
        <w:spacing w:line="360" w:lineRule="auto"/>
        <w:ind w:firstLine="471"/>
        <w:rPr>
          <w:color w:val="000000"/>
          <w:sz w:val="24"/>
        </w:rPr>
      </w:pPr>
    </w:p>
    <w:p w14:paraId="4CD552B8">
      <w:pPr>
        <w:spacing w:line="360" w:lineRule="auto"/>
        <w:ind w:firstLine="471"/>
        <w:rPr>
          <w:color w:val="000000"/>
          <w:sz w:val="24"/>
        </w:rPr>
      </w:pPr>
    </w:p>
    <w:p w14:paraId="7413325E">
      <w:pPr>
        <w:spacing w:line="360" w:lineRule="auto"/>
        <w:ind w:left="480"/>
        <w:jc w:val="right"/>
        <w:rPr>
          <w:color w:val="000000"/>
          <w:sz w:val="24"/>
        </w:rPr>
      </w:pPr>
    </w:p>
    <w:p w14:paraId="095B7C84">
      <w:pPr>
        <w:spacing w:line="360" w:lineRule="auto"/>
        <w:ind w:left="480"/>
        <w:jc w:val="right"/>
        <w:rPr>
          <w:color w:val="000000"/>
          <w:sz w:val="24"/>
        </w:rPr>
      </w:pPr>
      <w:r>
        <w:rPr>
          <w:color w:val="000000"/>
          <w:sz w:val="24"/>
          <w:szCs w:val="20"/>
        </w:rPr>
        <w:t>日期：_____年______月______日</w:t>
      </w:r>
    </w:p>
    <w:p w14:paraId="1F68BFED">
      <w:pPr>
        <w:spacing w:line="360" w:lineRule="auto"/>
        <w:ind w:left="480"/>
        <w:jc w:val="right"/>
        <w:rPr>
          <w:b/>
          <w:color w:val="000000"/>
          <w:sz w:val="24"/>
        </w:rPr>
      </w:pPr>
    </w:p>
    <w:p w14:paraId="646C68BF">
      <w:pPr>
        <w:tabs>
          <w:tab w:val="left" w:pos="8280"/>
        </w:tabs>
        <w:spacing w:line="360" w:lineRule="auto"/>
        <w:ind w:firstLine="480"/>
        <w:rPr>
          <w:color w:val="000000"/>
          <w:sz w:val="24"/>
        </w:rPr>
      </w:pPr>
    </w:p>
    <w:p w14:paraId="4950DD38">
      <w:pPr>
        <w:tabs>
          <w:tab w:val="left" w:pos="8280"/>
        </w:tabs>
        <w:spacing w:line="360" w:lineRule="auto"/>
        <w:ind w:firstLine="480"/>
        <w:rPr>
          <w:color w:val="000000"/>
          <w:sz w:val="24"/>
        </w:rPr>
      </w:pPr>
    </w:p>
    <w:p w14:paraId="654CD472">
      <w:pPr>
        <w:spacing w:line="360" w:lineRule="auto"/>
        <w:ind w:left="719" w:leftChars="228" w:hanging="240" w:hangingChars="100"/>
        <w:rPr>
          <w:color w:val="000000"/>
          <w:sz w:val="24"/>
        </w:rPr>
      </w:pPr>
      <w:r>
        <w:rPr>
          <w:color w:val="000000"/>
          <w:sz w:val="24"/>
        </w:rPr>
        <w:t>注：</w:t>
      </w:r>
    </w:p>
    <w:p w14:paraId="07C79513">
      <w:pPr>
        <w:spacing w:line="360" w:lineRule="auto"/>
        <w:ind w:left="719" w:leftChars="228" w:hanging="240" w:hangingChars="100"/>
        <w:rPr>
          <w:color w:val="000000"/>
          <w:sz w:val="24"/>
        </w:rPr>
      </w:pPr>
      <w:r>
        <w:rPr>
          <w:color w:val="000000"/>
          <w:sz w:val="24"/>
        </w:rPr>
        <w:t>1. 如本项目（包）接受供应商以联合体形式参加采购活动，且供应商以联合体形式参与时，须提供《联合协议》，否则</w:t>
      </w:r>
      <w:r>
        <w:rPr>
          <w:b/>
          <w:color w:val="000000"/>
          <w:sz w:val="24"/>
        </w:rPr>
        <w:t>投标无效</w:t>
      </w:r>
      <w:r>
        <w:rPr>
          <w:color w:val="000000"/>
          <w:sz w:val="24"/>
        </w:rPr>
        <w:t>。</w:t>
      </w:r>
    </w:p>
    <w:p w14:paraId="296B7CFE">
      <w:pPr>
        <w:spacing w:line="360" w:lineRule="auto"/>
        <w:ind w:left="719" w:leftChars="228" w:hanging="240" w:hangingChars="100"/>
        <w:rPr>
          <w:sz w:val="24"/>
        </w:rPr>
      </w:pPr>
      <w:r>
        <w:rPr>
          <w:color w:val="000000"/>
          <w:sz w:val="24"/>
        </w:rPr>
        <w:t>2. 联合体各方成员须在本协议上共同盖章。</w:t>
      </w:r>
    </w:p>
    <w:p w14:paraId="753AF448">
      <w:pPr>
        <w:spacing w:line="360" w:lineRule="auto"/>
        <w:ind w:left="719" w:leftChars="228" w:hanging="240" w:hangingChars="100"/>
        <w:rPr>
          <w:sz w:val="24"/>
        </w:rPr>
      </w:pPr>
      <w:r>
        <w:rPr>
          <w:sz w:val="24"/>
        </w:rPr>
        <w:br w:type="page"/>
      </w:r>
    </w:p>
    <w:p w14:paraId="35F7EF13">
      <w:pPr>
        <w:spacing w:line="360" w:lineRule="auto"/>
        <w:outlineLvl w:val="2"/>
        <w:rPr>
          <w:sz w:val="24"/>
          <w:szCs w:val="20"/>
        </w:rPr>
      </w:pPr>
      <w:r>
        <w:rPr>
          <w:color w:val="000000"/>
          <w:sz w:val="24"/>
          <w:szCs w:val="20"/>
        </w:rPr>
        <w:t>3-2 其他</w:t>
      </w:r>
      <w:r>
        <w:rPr>
          <w:sz w:val="24"/>
          <w:szCs w:val="20"/>
        </w:rPr>
        <w:t>特定资格要求</w:t>
      </w:r>
    </w:p>
    <w:p w14:paraId="6F3EAF28">
      <w:pPr>
        <w:widowControl/>
        <w:jc w:val="left"/>
        <w:rPr>
          <w:sz w:val="24"/>
          <w:szCs w:val="20"/>
        </w:rPr>
      </w:pPr>
      <w:r>
        <w:rPr>
          <w:sz w:val="24"/>
          <w:szCs w:val="20"/>
        </w:rPr>
        <w:br w:type="page"/>
      </w:r>
    </w:p>
    <w:p w14:paraId="7D75BAA4">
      <w:pPr>
        <w:numPr>
          <w:ilvl w:val="0"/>
          <w:numId w:val="28"/>
        </w:numPr>
        <w:tabs>
          <w:tab w:val="left" w:pos="360"/>
        </w:tabs>
        <w:snapToGrid w:val="0"/>
        <w:spacing w:line="360" w:lineRule="auto"/>
        <w:outlineLvl w:val="1"/>
        <w:rPr>
          <w:sz w:val="24"/>
          <w:szCs w:val="20"/>
        </w:rPr>
      </w:pPr>
      <w:r>
        <w:rPr>
          <w:color w:val="000000"/>
          <w:sz w:val="24"/>
          <w:szCs w:val="20"/>
        </w:rPr>
        <w:t>投标保证金凭证/交款单据电子件（不适用）</w:t>
      </w:r>
    </w:p>
    <w:p w14:paraId="164F3F13">
      <w:pPr>
        <w:spacing w:line="360" w:lineRule="auto"/>
        <w:rPr>
          <w:sz w:val="24"/>
          <w:szCs w:val="20"/>
        </w:rPr>
      </w:pPr>
    </w:p>
    <w:p w14:paraId="15E3500B">
      <w:pPr>
        <w:spacing w:line="360" w:lineRule="auto"/>
        <w:rPr>
          <w:sz w:val="24"/>
          <w:szCs w:val="20"/>
        </w:rPr>
      </w:pPr>
    </w:p>
    <w:p w14:paraId="17358A6D">
      <w:pPr>
        <w:widowControl/>
        <w:jc w:val="left"/>
        <w:rPr>
          <w:kern w:val="0"/>
          <w:sz w:val="24"/>
          <w:szCs w:val="20"/>
        </w:rPr>
      </w:pPr>
      <w:r>
        <w:rPr>
          <w:sz w:val="24"/>
          <w:szCs w:val="20"/>
        </w:rPr>
        <w:br w:type="page"/>
      </w:r>
    </w:p>
    <w:p w14:paraId="12086570">
      <w:pPr>
        <w:keepNext/>
        <w:keepLines/>
        <w:autoSpaceDE w:val="0"/>
        <w:autoSpaceDN w:val="0"/>
        <w:adjustRightInd w:val="0"/>
        <w:spacing w:before="120" w:line="300" w:lineRule="auto"/>
        <w:jc w:val="left"/>
        <w:outlineLvl w:val="1"/>
        <w:rPr>
          <w:b/>
          <w:spacing w:val="20"/>
          <w:sz w:val="24"/>
        </w:rPr>
      </w:pPr>
      <w:r>
        <w:rPr>
          <w:b/>
          <w:spacing w:val="20"/>
          <w:sz w:val="24"/>
        </w:rPr>
        <w:t>二、商务技术文件格式</w:t>
      </w:r>
    </w:p>
    <w:p w14:paraId="7AD07602">
      <w:pPr>
        <w:rPr>
          <w:b/>
          <w:spacing w:val="20"/>
          <w:szCs w:val="21"/>
        </w:rPr>
      </w:pPr>
    </w:p>
    <w:p w14:paraId="13630BAC">
      <w:pPr>
        <w:rPr>
          <w:b/>
          <w:sz w:val="24"/>
        </w:rPr>
      </w:pPr>
      <w:r>
        <w:rPr>
          <w:b/>
          <w:spacing w:val="20"/>
          <w:sz w:val="24"/>
        </w:rPr>
        <w:t>投标文件（商务技术文件）</w:t>
      </w:r>
      <w:r>
        <w:rPr>
          <w:b/>
          <w:sz w:val="24"/>
        </w:rPr>
        <w:t>封面（非实质性格式）</w:t>
      </w:r>
    </w:p>
    <w:p w14:paraId="7811C282">
      <w:pPr>
        <w:jc w:val="center"/>
        <w:rPr>
          <w:szCs w:val="21"/>
        </w:rPr>
      </w:pPr>
    </w:p>
    <w:p w14:paraId="3B3969E5">
      <w:pPr>
        <w:jc w:val="center"/>
        <w:rPr>
          <w:b/>
          <w:spacing w:val="60"/>
          <w:sz w:val="84"/>
          <w:szCs w:val="84"/>
        </w:rPr>
      </w:pPr>
      <w:r>
        <w:rPr>
          <w:b/>
          <w:spacing w:val="60"/>
          <w:sz w:val="84"/>
          <w:szCs w:val="84"/>
        </w:rPr>
        <w:t>投 标 文 件</w:t>
      </w:r>
    </w:p>
    <w:p w14:paraId="42ECA667">
      <w:pPr>
        <w:jc w:val="center"/>
        <w:rPr>
          <w:b/>
          <w:spacing w:val="60"/>
          <w:sz w:val="52"/>
          <w:szCs w:val="52"/>
        </w:rPr>
      </w:pPr>
      <w:r>
        <w:rPr>
          <w:b/>
          <w:spacing w:val="60"/>
          <w:sz w:val="52"/>
          <w:szCs w:val="52"/>
        </w:rPr>
        <w:t>（商务技术文件）</w:t>
      </w:r>
    </w:p>
    <w:p w14:paraId="3DF802D2">
      <w:pPr>
        <w:ind w:firstLine="542" w:firstLineChars="150"/>
        <w:rPr>
          <w:b/>
          <w:spacing w:val="20"/>
          <w:sz w:val="32"/>
          <w:szCs w:val="32"/>
        </w:rPr>
      </w:pPr>
    </w:p>
    <w:p w14:paraId="5F47ED15">
      <w:pPr>
        <w:ind w:firstLine="542" w:firstLineChars="150"/>
        <w:rPr>
          <w:b/>
          <w:spacing w:val="20"/>
          <w:sz w:val="32"/>
          <w:szCs w:val="32"/>
        </w:rPr>
      </w:pPr>
    </w:p>
    <w:p w14:paraId="40666EBF">
      <w:pPr>
        <w:ind w:firstLine="542" w:firstLineChars="150"/>
        <w:rPr>
          <w:b/>
          <w:spacing w:val="20"/>
          <w:sz w:val="32"/>
          <w:szCs w:val="32"/>
        </w:rPr>
      </w:pPr>
      <w:r>
        <w:rPr>
          <w:b/>
          <w:spacing w:val="20"/>
          <w:sz w:val="32"/>
          <w:szCs w:val="32"/>
        </w:rPr>
        <w:t>项目名称:</w:t>
      </w:r>
    </w:p>
    <w:p w14:paraId="487564ED">
      <w:pPr>
        <w:ind w:firstLine="542" w:firstLineChars="150"/>
        <w:rPr>
          <w:b/>
          <w:spacing w:val="20"/>
          <w:sz w:val="32"/>
          <w:szCs w:val="32"/>
        </w:rPr>
      </w:pPr>
      <w:r>
        <w:rPr>
          <w:b/>
          <w:spacing w:val="20"/>
          <w:sz w:val="32"/>
          <w:szCs w:val="32"/>
        </w:rPr>
        <w:t>项目编号/包号：</w:t>
      </w:r>
    </w:p>
    <w:p w14:paraId="6C67FD66">
      <w:pPr>
        <w:ind w:firstLine="542" w:firstLineChars="150"/>
        <w:rPr>
          <w:b/>
          <w:spacing w:val="20"/>
          <w:sz w:val="32"/>
          <w:szCs w:val="32"/>
        </w:rPr>
      </w:pPr>
    </w:p>
    <w:p w14:paraId="00F70036">
      <w:pPr>
        <w:ind w:firstLine="542" w:firstLineChars="150"/>
        <w:rPr>
          <w:b/>
          <w:spacing w:val="20"/>
          <w:sz w:val="32"/>
          <w:szCs w:val="32"/>
        </w:rPr>
      </w:pPr>
    </w:p>
    <w:p w14:paraId="254A01B9">
      <w:pPr>
        <w:jc w:val="center"/>
        <w:rPr>
          <w:b/>
          <w:sz w:val="32"/>
          <w:szCs w:val="32"/>
        </w:rPr>
      </w:pPr>
    </w:p>
    <w:p w14:paraId="28586D5A">
      <w:pPr>
        <w:jc w:val="center"/>
        <w:rPr>
          <w:b/>
          <w:sz w:val="32"/>
          <w:szCs w:val="32"/>
        </w:rPr>
      </w:pPr>
    </w:p>
    <w:p w14:paraId="248E2713">
      <w:pPr>
        <w:jc w:val="center"/>
        <w:rPr>
          <w:b/>
          <w:sz w:val="32"/>
          <w:szCs w:val="32"/>
        </w:rPr>
      </w:pPr>
    </w:p>
    <w:p w14:paraId="4CC1C1E5">
      <w:pPr>
        <w:jc w:val="center"/>
        <w:rPr>
          <w:b/>
          <w:spacing w:val="20"/>
          <w:sz w:val="32"/>
          <w:szCs w:val="32"/>
        </w:rPr>
      </w:pPr>
    </w:p>
    <w:p w14:paraId="1299A264">
      <w:pPr>
        <w:jc w:val="center"/>
        <w:rPr>
          <w:b/>
          <w:spacing w:val="20"/>
          <w:sz w:val="32"/>
          <w:szCs w:val="32"/>
        </w:rPr>
      </w:pPr>
    </w:p>
    <w:p w14:paraId="3D81D448">
      <w:pPr>
        <w:jc w:val="center"/>
        <w:rPr>
          <w:b/>
          <w:spacing w:val="20"/>
          <w:sz w:val="32"/>
          <w:szCs w:val="32"/>
        </w:rPr>
      </w:pPr>
    </w:p>
    <w:p w14:paraId="76838CB5">
      <w:pPr>
        <w:spacing w:line="360" w:lineRule="auto"/>
        <w:ind w:firstLine="1445" w:firstLineChars="400"/>
        <w:jc w:val="left"/>
        <w:rPr>
          <w:b/>
          <w:spacing w:val="20"/>
          <w:sz w:val="32"/>
          <w:szCs w:val="32"/>
        </w:rPr>
      </w:pPr>
      <w:r>
        <w:rPr>
          <w:b/>
          <w:spacing w:val="20"/>
          <w:sz w:val="32"/>
          <w:szCs w:val="32"/>
        </w:rPr>
        <w:t>投标人名称：</w:t>
      </w:r>
    </w:p>
    <w:p w14:paraId="1EFBE64B">
      <w:pPr>
        <w:jc w:val="center"/>
        <w:rPr>
          <w:b/>
          <w:sz w:val="32"/>
          <w:szCs w:val="32"/>
        </w:rPr>
      </w:pPr>
    </w:p>
    <w:p w14:paraId="2C9E5DF7">
      <w:pPr>
        <w:widowControl/>
        <w:jc w:val="left"/>
        <w:rPr>
          <w:b/>
          <w:sz w:val="24"/>
        </w:rPr>
      </w:pPr>
      <w:r>
        <w:rPr>
          <w:b/>
          <w:sz w:val="24"/>
        </w:rPr>
        <w:br w:type="page"/>
      </w:r>
    </w:p>
    <w:p w14:paraId="0D7D7D30">
      <w:pPr>
        <w:numPr>
          <w:ilvl w:val="0"/>
          <w:numId w:val="32"/>
        </w:numPr>
        <w:tabs>
          <w:tab w:val="left" w:pos="360"/>
        </w:tabs>
        <w:snapToGrid w:val="0"/>
        <w:spacing w:line="360" w:lineRule="auto"/>
        <w:outlineLvl w:val="1"/>
        <w:rPr>
          <w:color w:val="000000"/>
          <w:sz w:val="24"/>
          <w:szCs w:val="20"/>
        </w:rPr>
      </w:pPr>
      <w:bookmarkStart w:id="856" w:name="_Hlt520343392"/>
      <w:bookmarkEnd w:id="856"/>
      <w:bookmarkStart w:id="857" w:name="_Hlt520274121"/>
      <w:bookmarkEnd w:id="857"/>
      <w:bookmarkStart w:id="858" w:name="_Hlt520274065"/>
      <w:bookmarkEnd w:id="858"/>
      <w:bookmarkStart w:id="859" w:name="_Hlt520350918"/>
      <w:bookmarkEnd w:id="859"/>
      <w:bookmarkStart w:id="860" w:name="_Hlt520273711"/>
      <w:bookmarkEnd w:id="860"/>
      <w:bookmarkStart w:id="861" w:name="_Hlt520271212"/>
      <w:bookmarkEnd w:id="861"/>
      <w:bookmarkStart w:id="862" w:name="_Hlt520274393"/>
      <w:bookmarkEnd w:id="862"/>
      <w:bookmarkStart w:id="863" w:name="_Hlt520343000"/>
      <w:bookmarkEnd w:id="863"/>
      <w:bookmarkStart w:id="864" w:name="_Hlt520274407"/>
      <w:bookmarkEnd w:id="864"/>
      <w:bookmarkStart w:id="865" w:name="_Hlt520355504"/>
      <w:bookmarkEnd w:id="865"/>
      <w:bookmarkStart w:id="866" w:name="_Ref467988698"/>
      <w:bookmarkStart w:id="867" w:name="_Toc480942349"/>
      <w:bookmarkStart w:id="868" w:name="_Toc142311058"/>
      <w:bookmarkStart w:id="869" w:name="_Toc150774761"/>
      <w:bookmarkStart w:id="870" w:name="_Toc226309800"/>
      <w:bookmarkStart w:id="871" w:name="_Toc195842921"/>
      <w:bookmarkStart w:id="872" w:name="_Toc520356217"/>
      <w:bookmarkStart w:id="873" w:name="_Toc226337252"/>
      <w:bookmarkStart w:id="874" w:name="_Toc226965746"/>
      <w:bookmarkStart w:id="875" w:name="_Toc150480794"/>
      <w:bookmarkStart w:id="876" w:name="_Toc127151556"/>
      <w:bookmarkStart w:id="877" w:name="_Toc226965829"/>
      <w:r>
        <w:rPr>
          <w:color w:val="000000"/>
          <w:sz w:val="24"/>
        </w:rPr>
        <w:t>投标</w:t>
      </w:r>
      <w:bookmarkEnd w:id="866"/>
      <w:bookmarkEnd w:id="867"/>
      <w:r>
        <w:rPr>
          <w:color w:val="000000"/>
          <w:sz w:val="24"/>
        </w:rPr>
        <w:t>书</w:t>
      </w:r>
      <w:bookmarkEnd w:id="868"/>
      <w:bookmarkEnd w:id="869"/>
      <w:bookmarkEnd w:id="870"/>
      <w:bookmarkEnd w:id="871"/>
      <w:bookmarkEnd w:id="872"/>
      <w:bookmarkEnd w:id="873"/>
      <w:bookmarkEnd w:id="874"/>
      <w:bookmarkEnd w:id="875"/>
      <w:bookmarkEnd w:id="876"/>
      <w:bookmarkEnd w:id="877"/>
      <w:r>
        <w:rPr>
          <w:color w:val="000000"/>
          <w:sz w:val="24"/>
          <w:szCs w:val="20"/>
        </w:rPr>
        <w:t>（实质性格式）</w:t>
      </w:r>
    </w:p>
    <w:p w14:paraId="7F0EE45A">
      <w:pPr>
        <w:tabs>
          <w:tab w:val="left" w:pos="5580"/>
        </w:tabs>
        <w:spacing w:line="360" w:lineRule="auto"/>
        <w:rPr>
          <w:color w:val="000000"/>
          <w:sz w:val="24"/>
        </w:rPr>
      </w:pPr>
    </w:p>
    <w:p w14:paraId="11D57565">
      <w:pPr>
        <w:spacing w:line="360" w:lineRule="auto"/>
        <w:jc w:val="center"/>
        <w:rPr>
          <w:b/>
          <w:color w:val="000000"/>
          <w:sz w:val="36"/>
          <w:szCs w:val="36"/>
        </w:rPr>
      </w:pPr>
      <w:r>
        <w:rPr>
          <w:b/>
          <w:color w:val="000000"/>
          <w:sz w:val="36"/>
          <w:szCs w:val="36"/>
        </w:rPr>
        <w:t>投标书</w:t>
      </w:r>
    </w:p>
    <w:p w14:paraId="33638C85">
      <w:pPr>
        <w:tabs>
          <w:tab w:val="left" w:pos="5580"/>
        </w:tabs>
        <w:spacing w:line="360" w:lineRule="auto"/>
        <w:rPr>
          <w:color w:val="000000"/>
          <w:sz w:val="24"/>
        </w:rPr>
      </w:pPr>
      <w:r>
        <w:rPr>
          <w:color w:val="000000"/>
          <w:sz w:val="24"/>
        </w:rPr>
        <w:t>致：</w:t>
      </w:r>
      <w:r>
        <w:rPr>
          <w:color w:val="000000"/>
          <w:sz w:val="24"/>
          <w:u w:val="single"/>
        </w:rPr>
        <w:t>（采购人或采购代理机构）</w:t>
      </w:r>
    </w:p>
    <w:p w14:paraId="49018F0E">
      <w:pPr>
        <w:tabs>
          <w:tab w:val="left" w:pos="5580"/>
        </w:tabs>
        <w:spacing w:line="360" w:lineRule="auto"/>
        <w:rPr>
          <w:color w:val="000000"/>
          <w:sz w:val="24"/>
          <w:szCs w:val="20"/>
        </w:rPr>
      </w:pPr>
    </w:p>
    <w:p w14:paraId="036B7D99">
      <w:pPr>
        <w:tabs>
          <w:tab w:val="left" w:pos="5580"/>
        </w:tabs>
        <w:spacing w:line="360" w:lineRule="auto"/>
        <w:ind w:firstLine="408"/>
        <w:rPr>
          <w:color w:val="000000"/>
          <w:sz w:val="24"/>
          <w:szCs w:val="20"/>
        </w:rPr>
      </w:pPr>
      <w:r>
        <w:rPr>
          <w:color w:val="000000"/>
          <w:sz w:val="24"/>
          <w:szCs w:val="20"/>
        </w:rPr>
        <w:t>我方参加你方就___________（项目名称，项目编号/包号）组织的招标活动，并对此项目进行投标。</w:t>
      </w:r>
    </w:p>
    <w:p w14:paraId="172FD61D">
      <w:pPr>
        <w:tabs>
          <w:tab w:val="left" w:pos="5580"/>
        </w:tabs>
        <w:spacing w:line="360" w:lineRule="auto"/>
        <w:ind w:firstLine="408"/>
        <w:rPr>
          <w:color w:val="000000"/>
          <w:sz w:val="24"/>
          <w:szCs w:val="20"/>
        </w:rPr>
      </w:pPr>
      <w:r>
        <w:rPr>
          <w:color w:val="000000"/>
          <w:sz w:val="24"/>
          <w:szCs w:val="20"/>
        </w:rPr>
        <w:t>1. 我方</w:t>
      </w:r>
      <w:r>
        <w:rPr>
          <w:color w:val="000000"/>
          <w:sz w:val="24"/>
        </w:rPr>
        <w:t>已详细审查全部招标文件</w:t>
      </w:r>
      <w:r>
        <w:rPr>
          <w:color w:val="000000"/>
          <w:sz w:val="24"/>
          <w:szCs w:val="20"/>
        </w:rPr>
        <w:t>，自愿参与投标并承诺如下：</w:t>
      </w:r>
    </w:p>
    <w:p w14:paraId="38D749BB">
      <w:pPr>
        <w:tabs>
          <w:tab w:val="left" w:pos="720"/>
          <w:tab w:val="left" w:pos="900"/>
        </w:tabs>
        <w:spacing w:line="360" w:lineRule="auto"/>
        <w:ind w:left="360" w:firstLine="72" w:firstLineChars="30"/>
        <w:rPr>
          <w:color w:val="000000"/>
          <w:sz w:val="24"/>
          <w:szCs w:val="20"/>
        </w:rPr>
      </w:pPr>
      <w:r>
        <w:rPr>
          <w:color w:val="000000"/>
          <w:sz w:val="24"/>
          <w:szCs w:val="20"/>
        </w:rPr>
        <w:t>（1）本投标有效期为自提交投标文件的截止之日起</w:t>
      </w:r>
      <w:r>
        <w:rPr>
          <w:sz w:val="24"/>
        </w:rPr>
        <w:t>_____</w:t>
      </w:r>
      <w:r>
        <w:rPr>
          <w:color w:val="000000"/>
          <w:sz w:val="24"/>
          <w:szCs w:val="20"/>
        </w:rPr>
        <w:t>个日历日。</w:t>
      </w:r>
    </w:p>
    <w:p w14:paraId="5A7F98A9">
      <w:pPr>
        <w:tabs>
          <w:tab w:val="left" w:pos="720"/>
          <w:tab w:val="left" w:pos="900"/>
        </w:tabs>
        <w:spacing w:line="360" w:lineRule="auto"/>
        <w:ind w:left="360" w:firstLine="72" w:firstLineChars="30"/>
        <w:rPr>
          <w:color w:val="000000"/>
          <w:sz w:val="24"/>
          <w:szCs w:val="20"/>
        </w:rPr>
      </w:pPr>
      <w:r>
        <w:rPr>
          <w:color w:val="000000"/>
          <w:sz w:val="24"/>
          <w:szCs w:val="20"/>
        </w:rPr>
        <w:t>（2）除合同条款及采购需求偏离表列出的偏离外，我方响应招标文件的全部要求。</w:t>
      </w:r>
    </w:p>
    <w:p w14:paraId="456F0F7E">
      <w:pPr>
        <w:tabs>
          <w:tab w:val="left" w:pos="5580"/>
        </w:tabs>
        <w:spacing w:line="360" w:lineRule="auto"/>
        <w:ind w:firstLine="420" w:firstLineChars="175"/>
        <w:rPr>
          <w:color w:val="000000"/>
          <w:sz w:val="24"/>
          <w:szCs w:val="20"/>
        </w:rPr>
      </w:pPr>
      <w:r>
        <w:rPr>
          <w:color w:val="000000"/>
          <w:sz w:val="24"/>
          <w:szCs w:val="20"/>
        </w:rPr>
        <w:t>（3）我方已提供的全部文件资料是真实、准确的，并对此承担一切法律后果。</w:t>
      </w:r>
    </w:p>
    <w:p w14:paraId="63A228D3">
      <w:pPr>
        <w:tabs>
          <w:tab w:val="left" w:pos="5580"/>
        </w:tabs>
        <w:spacing w:line="360" w:lineRule="auto"/>
        <w:ind w:firstLine="420" w:firstLineChars="175"/>
        <w:rPr>
          <w:color w:val="000000"/>
          <w:sz w:val="24"/>
        </w:rPr>
      </w:pPr>
      <w:r>
        <w:rPr>
          <w:color w:val="000000"/>
          <w:sz w:val="24"/>
          <w:szCs w:val="20"/>
        </w:rPr>
        <w:t>（4）如我方中标，我方将在法律规定的期限内与你方签订合同，按照招标文件要求提交履约保证金，并在合同约定的期限内完成合同规定的全部义务。</w:t>
      </w:r>
    </w:p>
    <w:p w14:paraId="6D0DAD96">
      <w:pPr>
        <w:spacing w:line="360" w:lineRule="auto"/>
        <w:ind w:left="420"/>
        <w:rPr>
          <w:color w:val="000000"/>
          <w:sz w:val="24"/>
        </w:rPr>
      </w:pPr>
      <w:r>
        <w:rPr>
          <w:color w:val="000000"/>
          <w:sz w:val="24"/>
        </w:rPr>
        <w:t>2. 其他补充条款（如有）：</w:t>
      </w:r>
      <w:r>
        <w:rPr>
          <w:color w:val="000000"/>
          <w:sz w:val="24"/>
          <w:szCs w:val="20"/>
        </w:rPr>
        <w:t>___________</w:t>
      </w:r>
      <w:r>
        <w:rPr>
          <w:color w:val="000000"/>
          <w:sz w:val="24"/>
        </w:rPr>
        <w:t>。</w:t>
      </w:r>
    </w:p>
    <w:p w14:paraId="72EDD82B">
      <w:pPr>
        <w:spacing w:line="360" w:lineRule="auto"/>
        <w:ind w:firstLine="480" w:firstLineChars="200"/>
        <w:rPr>
          <w:color w:val="000000"/>
          <w:sz w:val="24"/>
        </w:rPr>
      </w:pPr>
      <w:r>
        <w:rPr>
          <w:color w:val="000000"/>
          <w:sz w:val="24"/>
        </w:rPr>
        <w:t>与本投标有关的一切正式往来信函请寄：</w:t>
      </w:r>
    </w:p>
    <w:p w14:paraId="582F3DD4">
      <w:pPr>
        <w:tabs>
          <w:tab w:val="left" w:pos="5580"/>
        </w:tabs>
        <w:spacing w:line="360" w:lineRule="auto"/>
        <w:ind w:left="420"/>
        <w:rPr>
          <w:color w:val="000000"/>
          <w:sz w:val="24"/>
          <w:szCs w:val="20"/>
        </w:rPr>
      </w:pPr>
    </w:p>
    <w:p w14:paraId="21F0A16C">
      <w:pPr>
        <w:tabs>
          <w:tab w:val="left" w:pos="5580"/>
        </w:tabs>
        <w:spacing w:line="360" w:lineRule="auto"/>
        <w:ind w:left="420"/>
        <w:rPr>
          <w:color w:val="000000"/>
          <w:sz w:val="24"/>
          <w:szCs w:val="20"/>
        </w:rPr>
      </w:pPr>
      <w:r>
        <w:rPr>
          <w:color w:val="000000"/>
          <w:sz w:val="24"/>
          <w:szCs w:val="20"/>
        </w:rPr>
        <w:t>地址_________________________     传真____________________________</w:t>
      </w:r>
    </w:p>
    <w:p w14:paraId="5C9DFA74">
      <w:pPr>
        <w:tabs>
          <w:tab w:val="left" w:pos="5580"/>
        </w:tabs>
        <w:spacing w:line="360" w:lineRule="auto"/>
        <w:ind w:left="420"/>
        <w:rPr>
          <w:color w:val="000000"/>
          <w:sz w:val="24"/>
          <w:szCs w:val="20"/>
        </w:rPr>
      </w:pPr>
      <w:r>
        <w:rPr>
          <w:color w:val="000000"/>
          <w:sz w:val="24"/>
          <w:szCs w:val="20"/>
        </w:rPr>
        <w:t>电话_________________________     电子函件________________________</w:t>
      </w:r>
    </w:p>
    <w:p w14:paraId="44CE8008">
      <w:pPr>
        <w:tabs>
          <w:tab w:val="left" w:pos="5580"/>
        </w:tabs>
        <w:spacing w:line="360" w:lineRule="auto"/>
        <w:ind w:left="420"/>
        <w:rPr>
          <w:color w:val="000000"/>
          <w:sz w:val="24"/>
          <w:szCs w:val="20"/>
        </w:rPr>
      </w:pPr>
    </w:p>
    <w:p w14:paraId="3A1F5EE2">
      <w:pPr>
        <w:tabs>
          <w:tab w:val="left" w:pos="5580"/>
        </w:tabs>
        <w:spacing w:line="360" w:lineRule="auto"/>
        <w:ind w:left="420"/>
        <w:rPr>
          <w:color w:val="000000"/>
          <w:sz w:val="24"/>
          <w:szCs w:val="20"/>
        </w:rPr>
      </w:pPr>
      <w:r>
        <w:rPr>
          <w:color w:val="000000"/>
          <w:sz w:val="24"/>
          <w:szCs w:val="20"/>
        </w:rPr>
        <w:t>投标人名称（加盖公章） ___________</w:t>
      </w:r>
    </w:p>
    <w:p w14:paraId="426973B5">
      <w:pPr>
        <w:tabs>
          <w:tab w:val="left" w:pos="5580"/>
        </w:tabs>
        <w:spacing w:line="360" w:lineRule="auto"/>
        <w:ind w:left="420"/>
        <w:rPr>
          <w:color w:val="000000"/>
          <w:sz w:val="24"/>
          <w:szCs w:val="20"/>
        </w:rPr>
      </w:pPr>
      <w:r>
        <w:rPr>
          <w:color w:val="000000"/>
          <w:sz w:val="24"/>
          <w:szCs w:val="20"/>
        </w:rPr>
        <w:t xml:space="preserve">日期：_____年______月______日    </w:t>
      </w:r>
    </w:p>
    <w:p w14:paraId="1940039A">
      <w:pPr>
        <w:tabs>
          <w:tab w:val="left" w:pos="5580"/>
        </w:tabs>
        <w:spacing w:line="360" w:lineRule="auto"/>
        <w:ind w:left="420"/>
        <w:rPr>
          <w:color w:val="000000"/>
          <w:sz w:val="24"/>
          <w:szCs w:val="20"/>
          <w:u w:val="single"/>
        </w:rPr>
      </w:pPr>
    </w:p>
    <w:p w14:paraId="17F37513">
      <w:pPr>
        <w:widowControl/>
        <w:jc w:val="left"/>
        <w:rPr>
          <w:color w:val="000000"/>
          <w:sz w:val="24"/>
        </w:rPr>
      </w:pPr>
      <w:bookmarkStart w:id="878" w:name="_Hlt520356243"/>
      <w:bookmarkEnd w:id="878"/>
      <w:bookmarkStart w:id="879" w:name="_Hlt520355938"/>
      <w:bookmarkEnd w:id="879"/>
      <w:bookmarkStart w:id="880" w:name="_Toc226337253"/>
      <w:bookmarkStart w:id="881" w:name="_Toc142311059"/>
      <w:bookmarkStart w:id="882" w:name="_Toc150480795"/>
      <w:bookmarkStart w:id="883" w:name="_Toc127151557"/>
      <w:bookmarkStart w:id="884" w:name="_Toc305158825"/>
      <w:bookmarkStart w:id="885" w:name="_Toc226309801"/>
      <w:bookmarkStart w:id="886" w:name="_Toc265228395"/>
      <w:bookmarkStart w:id="887" w:name="_Toc150774762"/>
      <w:bookmarkStart w:id="888" w:name="_Ref467988705"/>
      <w:bookmarkStart w:id="889" w:name="_Toc226965830"/>
      <w:bookmarkStart w:id="890" w:name="_Toc195842922"/>
      <w:bookmarkStart w:id="891" w:name="_Toc264969247"/>
      <w:bookmarkStart w:id="892" w:name="_Toc226965747"/>
      <w:bookmarkStart w:id="893" w:name="_Toc305158899"/>
      <w:bookmarkStart w:id="894" w:name="_Toc520356218"/>
      <w:bookmarkStart w:id="895" w:name="_Toc480942350"/>
      <w:r>
        <w:rPr>
          <w:color w:val="000000"/>
          <w:sz w:val="24"/>
        </w:rPr>
        <w:br w:type="page"/>
      </w:r>
    </w:p>
    <w:p w14:paraId="5A155888">
      <w:pPr>
        <w:numPr>
          <w:ilvl w:val="0"/>
          <w:numId w:val="32"/>
        </w:numPr>
        <w:tabs>
          <w:tab w:val="left" w:pos="360"/>
        </w:tabs>
        <w:snapToGrid w:val="0"/>
        <w:spacing w:line="360" w:lineRule="auto"/>
        <w:outlineLvl w:val="1"/>
        <w:rPr>
          <w:color w:val="000000"/>
          <w:sz w:val="24"/>
        </w:rPr>
      </w:pPr>
      <w:r>
        <w:rPr>
          <w:color w:val="000000"/>
          <w:sz w:val="24"/>
        </w:rPr>
        <w:t>授权委托书（实质性格式）</w:t>
      </w:r>
    </w:p>
    <w:p w14:paraId="6D893389">
      <w:pPr>
        <w:spacing w:line="360" w:lineRule="exact"/>
        <w:jc w:val="center"/>
        <w:rPr>
          <w:b/>
          <w:color w:val="000000"/>
          <w:sz w:val="36"/>
          <w:szCs w:val="36"/>
        </w:rPr>
      </w:pPr>
      <w:r>
        <w:rPr>
          <w:b/>
          <w:color w:val="000000"/>
          <w:sz w:val="36"/>
          <w:szCs w:val="36"/>
        </w:rPr>
        <w:t>授权委托书</w:t>
      </w:r>
    </w:p>
    <w:p w14:paraId="3CF6D412">
      <w:pPr>
        <w:spacing w:line="360" w:lineRule="auto"/>
        <w:ind w:firstLine="420"/>
        <w:rPr>
          <w:color w:val="000000"/>
          <w:sz w:val="24"/>
          <w:szCs w:val="20"/>
        </w:rPr>
      </w:pPr>
    </w:p>
    <w:p w14:paraId="1B05D3F2">
      <w:pPr>
        <w:spacing w:line="360" w:lineRule="auto"/>
        <w:ind w:firstLine="420"/>
        <w:rPr>
          <w:color w:val="000000"/>
          <w:sz w:val="24"/>
          <w:szCs w:val="20"/>
        </w:rPr>
      </w:pPr>
      <w:r>
        <w:rPr>
          <w:color w:val="000000"/>
          <w:sz w:val="24"/>
          <w:szCs w:val="20"/>
        </w:rPr>
        <w:t>本人</w:t>
      </w:r>
      <w:r>
        <w:rPr>
          <w:color w:val="000000"/>
          <w:sz w:val="24"/>
          <w:lang w:val="zh-CN"/>
        </w:rPr>
        <w:t>_______</w:t>
      </w:r>
      <w:r>
        <w:rPr>
          <w:color w:val="000000"/>
          <w:sz w:val="24"/>
          <w:szCs w:val="20"/>
        </w:rPr>
        <w:t>（姓名）系</w:t>
      </w:r>
      <w:r>
        <w:rPr>
          <w:color w:val="000000"/>
          <w:sz w:val="24"/>
          <w:lang w:val="zh-CN"/>
        </w:rPr>
        <w:t>________________</w:t>
      </w:r>
      <w:r>
        <w:rPr>
          <w:color w:val="000000"/>
          <w:sz w:val="24"/>
          <w:szCs w:val="20"/>
        </w:rPr>
        <w:t>（投标人名称）的法定代表人（单位负责人），现委托</w:t>
      </w:r>
      <w:r>
        <w:rPr>
          <w:color w:val="000000"/>
          <w:sz w:val="24"/>
          <w:lang w:val="zh-CN"/>
        </w:rPr>
        <w:t>_______</w:t>
      </w:r>
      <w:r>
        <w:rPr>
          <w:color w:val="000000"/>
          <w:sz w:val="24"/>
          <w:szCs w:val="20"/>
        </w:rPr>
        <w:t>（姓名）为我方代理人。代理人根据授权，以我方名义签署、澄清确认、提交、撤回、修改</w:t>
      </w:r>
      <w:r>
        <w:rPr>
          <w:color w:val="000000"/>
          <w:sz w:val="24"/>
          <w:lang w:val="zh-CN"/>
        </w:rPr>
        <w:t>________________</w:t>
      </w:r>
      <w:r>
        <w:rPr>
          <w:color w:val="000000"/>
          <w:sz w:val="24"/>
          <w:szCs w:val="20"/>
        </w:rPr>
        <w:t>（项目名称）投标文件和处理有关事宜，其法律后果由我方承担。</w:t>
      </w:r>
    </w:p>
    <w:p w14:paraId="03F46730">
      <w:pPr>
        <w:spacing w:line="360" w:lineRule="auto"/>
        <w:ind w:firstLine="420"/>
        <w:rPr>
          <w:color w:val="000000"/>
          <w:sz w:val="24"/>
          <w:szCs w:val="20"/>
        </w:rPr>
      </w:pPr>
      <w:r>
        <w:rPr>
          <w:color w:val="000000"/>
          <w:sz w:val="24"/>
          <w:szCs w:val="20"/>
        </w:rPr>
        <w:t>委托期限：自本授权委托书签署之日起至投标有效期届满之日止。</w:t>
      </w:r>
    </w:p>
    <w:p w14:paraId="0677D196">
      <w:pPr>
        <w:spacing w:line="360" w:lineRule="auto"/>
        <w:ind w:firstLine="420"/>
        <w:rPr>
          <w:color w:val="000000"/>
          <w:sz w:val="24"/>
          <w:szCs w:val="20"/>
        </w:rPr>
      </w:pPr>
      <w:r>
        <w:rPr>
          <w:color w:val="000000"/>
          <w:sz w:val="24"/>
          <w:szCs w:val="20"/>
        </w:rPr>
        <w:t>代理人无转委托权。</w:t>
      </w:r>
      <w:r>
        <w:rPr>
          <w:color w:val="000000"/>
          <w:sz w:val="24"/>
          <w:szCs w:val="20"/>
        </w:rPr>
        <w:cr/>
      </w:r>
    </w:p>
    <w:p w14:paraId="7D46608D">
      <w:pPr>
        <w:spacing w:line="360" w:lineRule="auto"/>
        <w:rPr>
          <w:color w:val="000000"/>
          <w:sz w:val="24"/>
          <w:lang w:val="zh-CN"/>
        </w:rPr>
      </w:pPr>
      <w:r>
        <w:rPr>
          <w:color w:val="000000"/>
          <w:sz w:val="24"/>
        </w:rPr>
        <w:t>投标人名称（加盖公章）</w:t>
      </w:r>
      <w:r>
        <w:rPr>
          <w:color w:val="000000"/>
          <w:sz w:val="24"/>
          <w:lang w:val="zh-CN"/>
        </w:rPr>
        <w:t>：________________</w:t>
      </w:r>
    </w:p>
    <w:p w14:paraId="61244A61">
      <w:pPr>
        <w:spacing w:line="360" w:lineRule="auto"/>
        <w:rPr>
          <w:color w:val="000000"/>
          <w:sz w:val="24"/>
          <w:szCs w:val="20"/>
        </w:rPr>
      </w:pPr>
      <w:r>
        <w:rPr>
          <w:color w:val="000000"/>
          <w:sz w:val="24"/>
          <w:szCs w:val="20"/>
        </w:rPr>
        <w:t>法定代表人（单位负责人）（签字或</w:t>
      </w:r>
      <w:r>
        <w:rPr>
          <w:rFonts w:hint="eastAsia"/>
          <w:color w:val="000000"/>
          <w:sz w:val="24"/>
          <w:szCs w:val="20"/>
        </w:rPr>
        <w:t>盖章</w:t>
      </w:r>
      <w:r>
        <w:rPr>
          <w:color w:val="000000"/>
          <w:sz w:val="24"/>
          <w:szCs w:val="20"/>
        </w:rPr>
        <w:t>）：</w:t>
      </w:r>
      <w:r>
        <w:rPr>
          <w:color w:val="000000"/>
          <w:sz w:val="24"/>
          <w:lang w:val="zh-CN"/>
        </w:rPr>
        <w:t>________________</w:t>
      </w:r>
    </w:p>
    <w:p w14:paraId="1F11682C">
      <w:pPr>
        <w:autoSpaceDE w:val="0"/>
        <w:autoSpaceDN w:val="0"/>
        <w:adjustRightInd w:val="0"/>
        <w:snapToGrid w:val="0"/>
        <w:spacing w:line="360" w:lineRule="auto"/>
        <w:rPr>
          <w:color w:val="000000"/>
          <w:sz w:val="24"/>
          <w:lang w:val="zh-CN"/>
        </w:rPr>
      </w:pPr>
      <w:r>
        <w:rPr>
          <w:color w:val="000000"/>
          <w:sz w:val="24"/>
        </w:rPr>
        <w:t>委托代理人（签字或</w:t>
      </w:r>
      <w:r>
        <w:rPr>
          <w:rFonts w:hint="eastAsia"/>
          <w:color w:val="000000"/>
          <w:sz w:val="24"/>
          <w:szCs w:val="20"/>
        </w:rPr>
        <w:t>盖章</w:t>
      </w:r>
      <w:r>
        <w:rPr>
          <w:color w:val="000000"/>
          <w:sz w:val="24"/>
        </w:rPr>
        <w:t>）：</w:t>
      </w:r>
      <w:r>
        <w:rPr>
          <w:color w:val="000000"/>
          <w:sz w:val="24"/>
          <w:lang w:val="zh-CN"/>
        </w:rPr>
        <w:t>________________</w:t>
      </w:r>
      <w:r>
        <w:rPr>
          <w:color w:val="000000"/>
          <w:sz w:val="24"/>
        </w:rPr>
        <w:t xml:space="preserve">    </w:t>
      </w:r>
      <w:r>
        <w:rPr>
          <w:color w:val="000000"/>
          <w:sz w:val="24"/>
          <w:lang w:val="zh-CN"/>
        </w:rPr>
        <w:t xml:space="preserve">                      </w:t>
      </w:r>
    </w:p>
    <w:p w14:paraId="4DBC3D17">
      <w:pPr>
        <w:autoSpaceDE w:val="0"/>
        <w:autoSpaceDN w:val="0"/>
        <w:adjustRightInd w:val="0"/>
        <w:snapToGrid w:val="0"/>
        <w:spacing w:line="360" w:lineRule="auto"/>
        <w:rPr>
          <w:color w:val="000000"/>
          <w:sz w:val="24"/>
          <w:lang w:val="zh-CN"/>
        </w:rPr>
      </w:pPr>
      <w:r>
        <w:rPr>
          <w:color w:val="000000"/>
          <w:sz w:val="24"/>
        </w:rPr>
        <w:t>日期：_____年______月______日</w:t>
      </w:r>
    </w:p>
    <w:p w14:paraId="57C1326A">
      <w:pPr>
        <w:tabs>
          <w:tab w:val="left" w:pos="5580"/>
        </w:tabs>
        <w:spacing w:line="360" w:lineRule="auto"/>
        <w:ind w:firstLine="480" w:firstLineChars="200"/>
        <w:rPr>
          <w:color w:val="000000"/>
          <w:sz w:val="24"/>
          <w:szCs w:val="20"/>
        </w:rPr>
      </w:pPr>
    </w:p>
    <w:p w14:paraId="0ED43F7E">
      <w:pPr>
        <w:tabs>
          <w:tab w:val="left" w:pos="5580"/>
        </w:tabs>
        <w:spacing w:line="360" w:lineRule="auto"/>
        <w:rPr>
          <w:color w:val="000000"/>
          <w:sz w:val="24"/>
          <w:szCs w:val="20"/>
        </w:rPr>
      </w:pPr>
      <w:r>
        <w:rPr>
          <w:color w:val="000000"/>
          <w:sz w:val="24"/>
          <w:szCs w:val="20"/>
        </w:rPr>
        <w:t>附：法定代表人</w:t>
      </w:r>
      <w:r>
        <w:rPr>
          <w:rFonts w:hint="eastAsia"/>
          <w:sz w:val="24"/>
          <w:szCs w:val="20"/>
        </w:rPr>
        <w:t>（单位负责人）</w:t>
      </w:r>
      <w:r>
        <w:rPr>
          <w:color w:val="000000"/>
          <w:sz w:val="24"/>
          <w:szCs w:val="20"/>
        </w:rPr>
        <w:t>及委托代理人身份证明文件电子件：</w:t>
      </w:r>
    </w:p>
    <w:p w14:paraId="0C925416">
      <w:pPr>
        <w:tabs>
          <w:tab w:val="left" w:pos="5580"/>
        </w:tabs>
        <w:spacing w:line="360" w:lineRule="auto"/>
        <w:jc w:val="left"/>
        <w:rPr>
          <w:color w:val="000000"/>
          <w:sz w:val="24"/>
          <w:szCs w:val="20"/>
        </w:rPr>
      </w:pPr>
    </w:p>
    <w:p w14:paraId="6C187876">
      <w:pPr>
        <w:tabs>
          <w:tab w:val="left" w:pos="5580"/>
        </w:tabs>
        <w:spacing w:line="360" w:lineRule="auto"/>
        <w:jc w:val="left"/>
        <w:rPr>
          <w:color w:val="000000"/>
          <w:sz w:val="24"/>
          <w:szCs w:val="20"/>
        </w:rPr>
      </w:pPr>
    </w:p>
    <w:p w14:paraId="61EA80DD">
      <w:pPr>
        <w:tabs>
          <w:tab w:val="left" w:pos="5580"/>
        </w:tabs>
        <w:spacing w:line="360" w:lineRule="auto"/>
        <w:jc w:val="left"/>
        <w:rPr>
          <w:color w:val="000000"/>
          <w:sz w:val="24"/>
          <w:szCs w:val="20"/>
        </w:rPr>
      </w:pPr>
    </w:p>
    <w:p w14:paraId="47C3A9C6">
      <w:pPr>
        <w:tabs>
          <w:tab w:val="left" w:pos="5580"/>
        </w:tabs>
        <w:spacing w:line="360" w:lineRule="auto"/>
        <w:jc w:val="left"/>
        <w:rPr>
          <w:color w:val="000000"/>
          <w:sz w:val="24"/>
          <w:szCs w:val="20"/>
        </w:rPr>
      </w:pPr>
    </w:p>
    <w:p w14:paraId="7A218626">
      <w:pPr>
        <w:tabs>
          <w:tab w:val="left" w:pos="5580"/>
        </w:tabs>
        <w:spacing w:line="360" w:lineRule="auto"/>
        <w:jc w:val="left"/>
        <w:rPr>
          <w:color w:val="000000"/>
          <w:sz w:val="24"/>
          <w:szCs w:val="20"/>
        </w:rPr>
      </w:pPr>
    </w:p>
    <w:p w14:paraId="0848DCA9">
      <w:pPr>
        <w:tabs>
          <w:tab w:val="left" w:pos="5580"/>
        </w:tabs>
        <w:spacing w:line="360" w:lineRule="auto"/>
        <w:jc w:val="left"/>
        <w:rPr>
          <w:color w:val="000000"/>
          <w:sz w:val="24"/>
          <w:szCs w:val="20"/>
        </w:rPr>
      </w:pPr>
      <w:r>
        <w:rPr>
          <w:color w:val="000000"/>
          <w:sz w:val="24"/>
          <w:szCs w:val="20"/>
        </w:rPr>
        <w:t>说明：</w:t>
      </w:r>
    </w:p>
    <w:p w14:paraId="04A760AA">
      <w:pPr>
        <w:tabs>
          <w:tab w:val="left" w:pos="5580"/>
        </w:tabs>
        <w:spacing w:line="360" w:lineRule="auto"/>
        <w:jc w:val="left"/>
        <w:rPr>
          <w:color w:val="000000"/>
          <w:sz w:val="24"/>
          <w:szCs w:val="20"/>
        </w:rPr>
      </w:pPr>
      <w:r>
        <w:rPr>
          <w:color w:val="000000"/>
          <w:sz w:val="24"/>
          <w:szCs w:val="20"/>
        </w:rPr>
        <w:t>1.若供应商为事业单位或其他组织或分支机构，则法定代表人（单位负责人）处的签署人可为单位负责人。</w:t>
      </w:r>
    </w:p>
    <w:p w14:paraId="75E3EA7B">
      <w:pPr>
        <w:tabs>
          <w:tab w:val="left" w:pos="5580"/>
        </w:tabs>
        <w:spacing w:line="360" w:lineRule="auto"/>
        <w:jc w:val="left"/>
        <w:rPr>
          <w:color w:val="000000"/>
          <w:sz w:val="24"/>
          <w:szCs w:val="20"/>
        </w:rPr>
      </w:pPr>
      <w:r>
        <w:rPr>
          <w:color w:val="000000"/>
          <w:sz w:val="24"/>
          <w:szCs w:val="20"/>
        </w:rPr>
        <w:t>2.若投标文件中签字之处均为法定代表人（单位负责人）本人签署，则可不提供本《授权委托书》，但须提供《法定代表人（单位负责人）身份证明》；否则，不需要提供《法定代表人（单位负责人）身份证明》。</w:t>
      </w:r>
    </w:p>
    <w:p w14:paraId="4E081BB8">
      <w:pPr>
        <w:tabs>
          <w:tab w:val="left" w:pos="5580"/>
        </w:tabs>
        <w:spacing w:line="360" w:lineRule="auto"/>
        <w:jc w:val="left"/>
        <w:rPr>
          <w:color w:val="000000"/>
          <w:sz w:val="24"/>
          <w:szCs w:val="20"/>
        </w:rPr>
      </w:pPr>
      <w:r>
        <w:rPr>
          <w:color w:val="000000"/>
          <w:sz w:val="24"/>
          <w:szCs w:val="20"/>
        </w:rPr>
        <w:t>3.供应商为自然人的情形，可不提供本《授权委托书》。</w:t>
      </w:r>
    </w:p>
    <w:p w14:paraId="78C767FF">
      <w:pPr>
        <w:tabs>
          <w:tab w:val="left" w:pos="5580"/>
        </w:tabs>
        <w:spacing w:line="360" w:lineRule="auto"/>
        <w:jc w:val="left"/>
        <w:rPr>
          <w:color w:val="000000"/>
          <w:sz w:val="30"/>
          <w:szCs w:val="30"/>
        </w:rPr>
      </w:pPr>
      <w:r>
        <w:rPr>
          <w:color w:val="000000"/>
          <w:sz w:val="24"/>
          <w:szCs w:val="20"/>
        </w:rPr>
        <w:t>4.供应商应随本《授权委托书》同时提供法定代表人（单位负责人）及委托代理人的有效的身份证</w:t>
      </w:r>
      <w:r>
        <w:rPr>
          <w:rFonts w:hint="eastAsia"/>
          <w:color w:val="000000"/>
          <w:sz w:val="24"/>
          <w:szCs w:val="20"/>
        </w:rPr>
        <w:t>或</w:t>
      </w:r>
      <w:r>
        <w:rPr>
          <w:color w:val="000000"/>
          <w:sz w:val="24"/>
          <w:szCs w:val="20"/>
        </w:rPr>
        <w:t>护照等身份证明文件电子件。提供身份证的，应同时提供身份证</w:t>
      </w:r>
      <w:r>
        <w:rPr>
          <w:b/>
          <w:color w:val="000000"/>
          <w:sz w:val="24"/>
          <w:szCs w:val="20"/>
        </w:rPr>
        <w:t>双面</w:t>
      </w:r>
      <w:r>
        <w:rPr>
          <w:color w:val="000000"/>
          <w:sz w:val="24"/>
          <w:szCs w:val="20"/>
        </w:rPr>
        <w:t>电子件。</w:t>
      </w:r>
      <w:r>
        <w:rPr>
          <w:color w:val="000000"/>
          <w:sz w:val="30"/>
          <w:szCs w:val="30"/>
        </w:rPr>
        <w:br w:type="page"/>
      </w:r>
    </w:p>
    <w:p w14:paraId="420FD55E">
      <w:pPr>
        <w:spacing w:line="360" w:lineRule="exact"/>
        <w:jc w:val="center"/>
        <w:rPr>
          <w:b/>
          <w:color w:val="000000"/>
          <w:sz w:val="36"/>
          <w:szCs w:val="36"/>
        </w:rPr>
      </w:pPr>
      <w:r>
        <w:rPr>
          <w:b/>
          <w:color w:val="000000"/>
          <w:sz w:val="36"/>
          <w:szCs w:val="36"/>
        </w:rPr>
        <w:t>法定代表人（单位负责人）身份证明</w:t>
      </w:r>
    </w:p>
    <w:p w14:paraId="1D34689D">
      <w:pPr>
        <w:kinsoku w:val="0"/>
        <w:overflowPunct w:val="0"/>
        <w:spacing w:line="200" w:lineRule="exact"/>
        <w:rPr>
          <w:sz w:val="20"/>
          <w:szCs w:val="20"/>
        </w:rPr>
      </w:pPr>
    </w:p>
    <w:p w14:paraId="5CA75F53">
      <w:pPr>
        <w:tabs>
          <w:tab w:val="left" w:pos="5580"/>
        </w:tabs>
        <w:spacing w:line="360" w:lineRule="auto"/>
        <w:rPr>
          <w:color w:val="000000"/>
          <w:sz w:val="24"/>
        </w:rPr>
      </w:pPr>
      <w:r>
        <w:rPr>
          <w:color w:val="000000"/>
          <w:sz w:val="24"/>
        </w:rPr>
        <w:t>致：</w:t>
      </w:r>
      <w:r>
        <w:rPr>
          <w:color w:val="000000"/>
          <w:sz w:val="24"/>
          <w:u w:val="single"/>
        </w:rPr>
        <w:t>（采购人或采购代理机构）</w:t>
      </w:r>
    </w:p>
    <w:p w14:paraId="21C2DC1E">
      <w:pPr>
        <w:pStyle w:val="17"/>
        <w:tabs>
          <w:tab w:val="left" w:pos="2412"/>
          <w:tab w:val="left" w:pos="3883"/>
          <w:tab w:val="left" w:pos="5352"/>
          <w:tab w:val="left" w:pos="6821"/>
        </w:tabs>
        <w:kinsoku w:val="0"/>
        <w:overflowPunct w:val="0"/>
        <w:spacing w:line="335" w:lineRule="exact"/>
        <w:ind w:firstLine="480" w:firstLineChars="200"/>
        <w:rPr>
          <w:rFonts w:ascii="Times New Roman" w:hAnsi="Times New Roman"/>
        </w:rPr>
      </w:pPr>
      <w:r>
        <w:rPr>
          <w:rFonts w:ascii="Times New Roman" w:hAnsi="Times New Roman"/>
        </w:rPr>
        <w:t>兹证明，</w:t>
      </w:r>
    </w:p>
    <w:p w14:paraId="680DA88F">
      <w:pPr>
        <w:pStyle w:val="17"/>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姓名：____性别：____年龄：____职务：____</w:t>
      </w:r>
    </w:p>
    <w:p w14:paraId="26332376">
      <w:pPr>
        <w:pStyle w:val="17"/>
        <w:tabs>
          <w:tab w:val="left" w:pos="2412"/>
          <w:tab w:val="left" w:pos="3883"/>
          <w:tab w:val="left" w:pos="5352"/>
          <w:tab w:val="left" w:pos="6821"/>
        </w:tabs>
        <w:kinsoku w:val="0"/>
        <w:overflowPunct w:val="0"/>
        <w:spacing w:line="335" w:lineRule="exact"/>
        <w:rPr>
          <w:rFonts w:ascii="Times New Roman" w:hAnsi="Times New Roman"/>
        </w:rPr>
      </w:pPr>
    </w:p>
    <w:p w14:paraId="4DFF090C">
      <w:pPr>
        <w:pStyle w:val="17"/>
        <w:tabs>
          <w:tab w:val="left" w:pos="2250"/>
          <w:tab w:val="left" w:pos="2412"/>
          <w:tab w:val="left" w:pos="3883"/>
          <w:tab w:val="left" w:pos="5352"/>
          <w:tab w:val="left" w:pos="6821"/>
          <w:tab w:val="clear" w:pos="567"/>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u w:val="single"/>
        </w:rPr>
        <w:tab/>
      </w:r>
      <w:r>
        <w:rPr>
          <w:rFonts w:ascii="Times New Roman" w:hAnsi="Times New Roman"/>
        </w:rPr>
        <w:t>（投标人名称）的法定代表人（单位负责人）。</w:t>
      </w:r>
    </w:p>
    <w:p w14:paraId="67235C7C">
      <w:pPr>
        <w:pStyle w:val="17"/>
        <w:tabs>
          <w:tab w:val="left" w:pos="2412"/>
          <w:tab w:val="left" w:pos="3883"/>
          <w:tab w:val="left" w:pos="5352"/>
          <w:tab w:val="left" w:pos="6821"/>
        </w:tabs>
        <w:kinsoku w:val="0"/>
        <w:overflowPunct w:val="0"/>
        <w:spacing w:line="335" w:lineRule="exact"/>
        <w:rPr>
          <w:rFonts w:ascii="Times New Roman" w:hAnsi="Times New Roman"/>
        </w:rPr>
      </w:pPr>
    </w:p>
    <w:p w14:paraId="2CE215D0">
      <w:pPr>
        <w:pStyle w:val="17"/>
        <w:kinsoku w:val="0"/>
        <w:overflowPunct w:val="0"/>
        <w:spacing w:line="583" w:lineRule="auto"/>
        <w:ind w:right="-46"/>
        <w:rPr>
          <w:rFonts w:ascii="Times New Roman" w:hAnsi="Times New Roman"/>
          <w:color w:val="000000"/>
          <w:szCs w:val="20"/>
        </w:rPr>
      </w:pPr>
      <w:r>
        <w:rPr>
          <w:rFonts w:ascii="Times New Roman" w:hAnsi="Times New Roman"/>
          <w:color w:val="000000"/>
          <w:szCs w:val="20"/>
        </w:rPr>
        <w:t>附：法定代表人（单位负责人）身份证</w:t>
      </w:r>
      <w:r>
        <w:rPr>
          <w:rFonts w:hint="eastAsia" w:ascii="Times New Roman" w:hAnsi="Times New Roman"/>
          <w:color w:val="000000"/>
          <w:szCs w:val="20"/>
        </w:rPr>
        <w:t>或</w:t>
      </w:r>
      <w:r>
        <w:rPr>
          <w:rFonts w:ascii="Times New Roman" w:hAnsi="Times New Roman"/>
          <w:color w:val="000000"/>
          <w:szCs w:val="20"/>
        </w:rPr>
        <w:t>护照等身份证明文件电子件：</w:t>
      </w:r>
    </w:p>
    <w:p w14:paraId="54A7EDE3">
      <w:pPr>
        <w:pStyle w:val="17"/>
        <w:kinsoku w:val="0"/>
        <w:overflowPunct w:val="0"/>
        <w:spacing w:line="583" w:lineRule="auto"/>
        <w:ind w:right="4305"/>
        <w:rPr>
          <w:rFonts w:ascii="Times New Roman" w:hAnsi="Times New Roman"/>
          <w:spacing w:val="-3"/>
        </w:rPr>
      </w:pPr>
    </w:p>
    <w:p w14:paraId="15B25CF5">
      <w:pPr>
        <w:autoSpaceDE w:val="0"/>
        <w:autoSpaceDN w:val="0"/>
        <w:adjustRightInd w:val="0"/>
        <w:snapToGrid w:val="0"/>
        <w:spacing w:line="360" w:lineRule="auto"/>
        <w:rPr>
          <w:color w:val="000000"/>
          <w:sz w:val="24"/>
          <w:lang w:val="zh-CN"/>
        </w:rPr>
      </w:pPr>
      <w:r>
        <w:rPr>
          <w:color w:val="000000"/>
          <w:sz w:val="24"/>
        </w:rPr>
        <w:t>投标人名称（加盖公章）</w:t>
      </w:r>
      <w:r>
        <w:rPr>
          <w:color w:val="000000"/>
          <w:sz w:val="24"/>
          <w:lang w:val="zh-CN"/>
        </w:rPr>
        <w:t>：________________</w:t>
      </w:r>
    </w:p>
    <w:p w14:paraId="33880599">
      <w:pPr>
        <w:pStyle w:val="17"/>
        <w:kinsoku w:val="0"/>
        <w:overflowPunct w:val="0"/>
        <w:spacing w:line="583" w:lineRule="auto"/>
        <w:ind w:right="95"/>
        <w:rPr>
          <w:rFonts w:ascii="Times New Roman" w:hAnsi="Times New Roman"/>
          <w:spacing w:val="-3"/>
        </w:rPr>
      </w:pPr>
      <w:r>
        <w:rPr>
          <w:rFonts w:ascii="Times New Roman" w:hAnsi="Times New Roman"/>
          <w:spacing w:val="-3"/>
        </w:rPr>
        <w:t>法定代表人（</w:t>
      </w:r>
      <w:r>
        <w:rPr>
          <w:rFonts w:ascii="Times New Roman" w:hAnsi="Times New Roman"/>
        </w:rPr>
        <w:t>单位负责人</w:t>
      </w:r>
      <w:r>
        <w:rPr>
          <w:rFonts w:ascii="Times New Roman" w:hAnsi="Times New Roman"/>
          <w:spacing w:val="-3"/>
        </w:rPr>
        <w:t>）（签字或</w:t>
      </w:r>
      <w:r>
        <w:rPr>
          <w:rFonts w:hint="eastAsia"/>
          <w:color w:val="000000"/>
          <w:szCs w:val="20"/>
        </w:rPr>
        <w:t>盖章</w:t>
      </w:r>
      <w:r>
        <w:rPr>
          <w:rFonts w:ascii="Times New Roman" w:hAnsi="Times New Roman"/>
          <w:spacing w:val="-3"/>
        </w:rPr>
        <w:t>）：_______</w:t>
      </w:r>
    </w:p>
    <w:p w14:paraId="36424C82">
      <w:pPr>
        <w:autoSpaceDE w:val="0"/>
        <w:autoSpaceDN w:val="0"/>
        <w:adjustRightInd w:val="0"/>
        <w:snapToGrid w:val="0"/>
        <w:spacing w:line="360" w:lineRule="auto"/>
        <w:rPr>
          <w:color w:val="000000"/>
          <w:sz w:val="24"/>
        </w:rPr>
      </w:pPr>
    </w:p>
    <w:p w14:paraId="616B19D9">
      <w:pPr>
        <w:autoSpaceDE w:val="0"/>
        <w:autoSpaceDN w:val="0"/>
        <w:adjustRightInd w:val="0"/>
        <w:snapToGrid w:val="0"/>
        <w:spacing w:line="360" w:lineRule="auto"/>
        <w:rPr>
          <w:color w:val="000000"/>
          <w:sz w:val="24"/>
          <w:lang w:val="zh-CN"/>
        </w:rPr>
      </w:pPr>
      <w:r>
        <w:rPr>
          <w:color w:val="000000"/>
          <w:sz w:val="24"/>
        </w:rPr>
        <w:t>日期：_____年______月______日</w:t>
      </w:r>
    </w:p>
    <w:p w14:paraId="395382BB">
      <w:pPr>
        <w:widowControl/>
        <w:jc w:val="left"/>
        <w:rPr>
          <w:i/>
          <w:color w:val="000000"/>
          <w:sz w:val="24"/>
          <w:szCs w:val="20"/>
          <w:u w:val="single"/>
        </w:rPr>
      </w:pPr>
    </w:p>
    <w:p w14:paraId="3481CC9B">
      <w:pPr>
        <w:widowControl/>
        <w:jc w:val="left"/>
        <w:rPr>
          <w:color w:val="000000"/>
          <w:sz w:val="24"/>
          <w:szCs w:val="20"/>
        </w:rPr>
      </w:pPr>
      <w:r>
        <w:rPr>
          <w:color w:val="000000"/>
          <w:sz w:val="24"/>
          <w:szCs w:val="20"/>
        </w:rPr>
        <w:br w:type="page"/>
      </w:r>
    </w:p>
    <w:p w14:paraId="756F4713">
      <w:pPr>
        <w:numPr>
          <w:ilvl w:val="0"/>
          <w:numId w:val="32"/>
        </w:numPr>
        <w:tabs>
          <w:tab w:val="left" w:pos="360"/>
        </w:tabs>
        <w:snapToGrid w:val="0"/>
        <w:spacing w:line="360" w:lineRule="auto"/>
        <w:outlineLvl w:val="1"/>
        <w:rPr>
          <w:color w:val="000000"/>
          <w:sz w:val="24"/>
          <w:szCs w:val="20"/>
        </w:rPr>
      </w:pPr>
      <w:r>
        <w:rPr>
          <w:color w:val="000000"/>
          <w:sz w:val="24"/>
          <w:szCs w:val="20"/>
        </w:rPr>
        <w:t>开标一览表</w:t>
      </w:r>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r>
        <w:rPr>
          <w:color w:val="000000"/>
          <w:sz w:val="24"/>
          <w:szCs w:val="20"/>
        </w:rPr>
        <w:t>（实质性格式）</w:t>
      </w:r>
    </w:p>
    <w:p w14:paraId="67BBCA50">
      <w:pPr>
        <w:spacing w:line="360" w:lineRule="exact"/>
        <w:jc w:val="center"/>
        <w:rPr>
          <w:b/>
          <w:color w:val="000000"/>
          <w:sz w:val="36"/>
          <w:szCs w:val="36"/>
        </w:rPr>
      </w:pPr>
      <w:bookmarkStart w:id="896" w:name="_Toc226337254"/>
      <w:bookmarkStart w:id="897" w:name="_Toc195842923"/>
      <w:bookmarkStart w:id="898" w:name="_Toc164608672"/>
      <w:bookmarkStart w:id="899" w:name="_Toc305158826"/>
      <w:bookmarkStart w:id="900" w:name="_Toc305158900"/>
      <w:bookmarkStart w:id="901" w:name="_Toc264969248"/>
      <w:bookmarkStart w:id="902" w:name="_Toc226965831"/>
      <w:bookmarkStart w:id="903" w:name="_Toc265228396"/>
      <w:bookmarkStart w:id="904" w:name="_Toc226309802"/>
      <w:bookmarkStart w:id="905" w:name="_Toc164608827"/>
      <w:bookmarkStart w:id="906" w:name="_Toc226965748"/>
      <w:r>
        <w:rPr>
          <w:b/>
          <w:color w:val="000000"/>
          <w:sz w:val="36"/>
          <w:szCs w:val="36"/>
        </w:rPr>
        <w:t>开标一览表</w:t>
      </w:r>
      <w:bookmarkEnd w:id="896"/>
      <w:bookmarkEnd w:id="897"/>
      <w:bookmarkEnd w:id="898"/>
      <w:bookmarkEnd w:id="899"/>
      <w:bookmarkEnd w:id="900"/>
      <w:bookmarkEnd w:id="901"/>
      <w:bookmarkEnd w:id="902"/>
      <w:bookmarkEnd w:id="903"/>
      <w:bookmarkEnd w:id="904"/>
      <w:bookmarkEnd w:id="905"/>
      <w:bookmarkEnd w:id="906"/>
    </w:p>
    <w:p w14:paraId="65EC74FE">
      <w:pPr>
        <w:tabs>
          <w:tab w:val="left" w:pos="1800"/>
          <w:tab w:val="left" w:pos="5580"/>
        </w:tabs>
        <w:spacing w:line="360" w:lineRule="auto"/>
        <w:jc w:val="left"/>
        <w:rPr>
          <w:i/>
          <w:color w:val="FF0000"/>
          <w:sz w:val="24"/>
        </w:rPr>
      </w:pPr>
    </w:p>
    <w:p w14:paraId="4C9A74F0">
      <w:pPr>
        <w:tabs>
          <w:tab w:val="left" w:pos="1800"/>
          <w:tab w:val="left" w:pos="5580"/>
        </w:tabs>
        <w:spacing w:line="360" w:lineRule="auto"/>
        <w:ind w:firstLine="240" w:firstLineChars="100"/>
        <w:jc w:val="left"/>
        <w:rPr>
          <w:color w:val="000000"/>
          <w:sz w:val="24"/>
          <w:u w:val="single"/>
        </w:rPr>
      </w:pPr>
      <w:r>
        <w:rPr>
          <w:color w:val="000000"/>
          <w:sz w:val="24"/>
        </w:rPr>
        <w:t>项目编号</w:t>
      </w:r>
      <w:r>
        <w:rPr>
          <w:rFonts w:hint="eastAsia"/>
          <w:color w:val="000000"/>
          <w:sz w:val="24"/>
        </w:rPr>
        <w:t>/</w:t>
      </w:r>
      <w:r>
        <w:rPr>
          <w:rFonts w:hint="eastAsia"/>
          <w:color w:val="000000"/>
          <w:sz w:val="24"/>
          <w:lang w:val="en-US" w:eastAsia="zh-CN"/>
        </w:rPr>
        <w:t>包号</w:t>
      </w:r>
      <w:r>
        <w:rPr>
          <w:color w:val="000000"/>
          <w:sz w:val="24"/>
        </w:rPr>
        <w:t>：_____________________     项目名称：____________</w:t>
      </w:r>
    </w:p>
    <w:tbl>
      <w:tblPr>
        <w:tblStyle w:val="4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07"/>
        <w:gridCol w:w="2728"/>
        <w:gridCol w:w="1464"/>
        <w:gridCol w:w="1460"/>
        <w:gridCol w:w="2923"/>
      </w:tblGrid>
      <w:tr w14:paraId="76730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279" w:type="pct"/>
            <w:vMerge w:val="restart"/>
            <w:noWrap w:val="0"/>
            <w:vAlign w:val="center"/>
          </w:tcPr>
          <w:p w14:paraId="38E9EB6E">
            <w:pPr>
              <w:tabs>
                <w:tab w:val="left" w:pos="5580"/>
              </w:tabs>
              <w:jc w:val="center"/>
              <w:rPr>
                <w:b/>
                <w:sz w:val="24"/>
              </w:rPr>
            </w:pPr>
            <w:r>
              <w:rPr>
                <w:rFonts w:hint="eastAsia"/>
                <w:b/>
                <w:sz w:val="24"/>
              </w:rPr>
              <w:t>序号</w:t>
            </w:r>
          </w:p>
        </w:tc>
        <w:tc>
          <w:tcPr>
            <w:tcW w:w="1502" w:type="pct"/>
            <w:vMerge w:val="restart"/>
            <w:noWrap w:val="0"/>
            <w:vAlign w:val="center"/>
          </w:tcPr>
          <w:p w14:paraId="1C2DA196">
            <w:pPr>
              <w:tabs>
                <w:tab w:val="left" w:pos="5580"/>
              </w:tabs>
              <w:jc w:val="center"/>
              <w:rPr>
                <w:b/>
                <w:sz w:val="24"/>
              </w:rPr>
            </w:pPr>
            <w:r>
              <w:rPr>
                <w:b/>
                <w:sz w:val="24"/>
              </w:rPr>
              <w:t>投标人名称</w:t>
            </w:r>
          </w:p>
        </w:tc>
        <w:tc>
          <w:tcPr>
            <w:tcW w:w="1610" w:type="pct"/>
            <w:gridSpan w:val="2"/>
            <w:noWrap w:val="0"/>
            <w:vAlign w:val="center"/>
          </w:tcPr>
          <w:p w14:paraId="4A0FF8D9">
            <w:pPr>
              <w:tabs>
                <w:tab w:val="left" w:pos="5580"/>
              </w:tabs>
              <w:jc w:val="center"/>
              <w:rPr>
                <w:b/>
                <w:sz w:val="24"/>
              </w:rPr>
            </w:pPr>
            <w:r>
              <w:rPr>
                <w:b/>
                <w:sz w:val="24"/>
              </w:rPr>
              <w:t>投标报价</w:t>
            </w:r>
          </w:p>
        </w:tc>
        <w:tc>
          <w:tcPr>
            <w:tcW w:w="1609" w:type="pct"/>
            <w:vMerge w:val="restart"/>
            <w:noWrap w:val="0"/>
            <w:vAlign w:val="center"/>
          </w:tcPr>
          <w:p w14:paraId="35F4F6D7">
            <w:pPr>
              <w:tabs>
                <w:tab w:val="left" w:pos="5580"/>
              </w:tabs>
              <w:jc w:val="center"/>
              <w:rPr>
                <w:b/>
                <w:sz w:val="24"/>
              </w:rPr>
            </w:pPr>
            <w:r>
              <w:rPr>
                <w:rFonts w:hint="eastAsia"/>
                <w:b/>
                <w:sz w:val="24"/>
              </w:rPr>
              <w:t>合同履行期限</w:t>
            </w:r>
          </w:p>
        </w:tc>
      </w:tr>
      <w:tr w14:paraId="51B60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279" w:type="pct"/>
            <w:vMerge w:val="continue"/>
            <w:noWrap w:val="0"/>
            <w:vAlign w:val="center"/>
          </w:tcPr>
          <w:p w14:paraId="0000B302">
            <w:pPr>
              <w:tabs>
                <w:tab w:val="left" w:pos="5580"/>
              </w:tabs>
              <w:jc w:val="center"/>
              <w:rPr>
                <w:sz w:val="24"/>
              </w:rPr>
            </w:pPr>
          </w:p>
        </w:tc>
        <w:tc>
          <w:tcPr>
            <w:tcW w:w="1502" w:type="pct"/>
            <w:vMerge w:val="continue"/>
            <w:noWrap w:val="0"/>
            <w:vAlign w:val="center"/>
          </w:tcPr>
          <w:p w14:paraId="72294937">
            <w:pPr>
              <w:tabs>
                <w:tab w:val="left" w:pos="5580"/>
              </w:tabs>
              <w:jc w:val="center"/>
              <w:rPr>
                <w:sz w:val="24"/>
              </w:rPr>
            </w:pPr>
          </w:p>
        </w:tc>
        <w:tc>
          <w:tcPr>
            <w:tcW w:w="806" w:type="pct"/>
            <w:noWrap w:val="0"/>
            <w:vAlign w:val="center"/>
          </w:tcPr>
          <w:p w14:paraId="62893D09">
            <w:pPr>
              <w:tabs>
                <w:tab w:val="left" w:pos="5580"/>
              </w:tabs>
              <w:jc w:val="center"/>
              <w:rPr>
                <w:b/>
                <w:sz w:val="24"/>
              </w:rPr>
            </w:pPr>
            <w:r>
              <w:rPr>
                <w:b/>
                <w:sz w:val="24"/>
              </w:rPr>
              <w:t>大写</w:t>
            </w:r>
          </w:p>
        </w:tc>
        <w:tc>
          <w:tcPr>
            <w:tcW w:w="804" w:type="pct"/>
            <w:noWrap w:val="0"/>
            <w:vAlign w:val="center"/>
          </w:tcPr>
          <w:p w14:paraId="03CE1AD2">
            <w:pPr>
              <w:tabs>
                <w:tab w:val="left" w:pos="5580"/>
              </w:tabs>
              <w:jc w:val="center"/>
              <w:rPr>
                <w:b/>
                <w:sz w:val="24"/>
              </w:rPr>
            </w:pPr>
            <w:r>
              <w:rPr>
                <w:b/>
                <w:sz w:val="24"/>
              </w:rPr>
              <w:t>小写</w:t>
            </w:r>
          </w:p>
        </w:tc>
        <w:tc>
          <w:tcPr>
            <w:tcW w:w="1609" w:type="pct"/>
            <w:vMerge w:val="continue"/>
            <w:noWrap w:val="0"/>
            <w:vAlign w:val="top"/>
          </w:tcPr>
          <w:p w14:paraId="6C74847D">
            <w:pPr>
              <w:tabs>
                <w:tab w:val="left" w:pos="5580"/>
              </w:tabs>
              <w:jc w:val="center"/>
              <w:rPr>
                <w:b/>
                <w:sz w:val="24"/>
              </w:rPr>
            </w:pPr>
          </w:p>
        </w:tc>
      </w:tr>
      <w:tr w14:paraId="675BF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279" w:type="pct"/>
            <w:noWrap w:val="0"/>
            <w:vAlign w:val="center"/>
          </w:tcPr>
          <w:p w14:paraId="58E6D41A">
            <w:pPr>
              <w:tabs>
                <w:tab w:val="left" w:pos="5580"/>
              </w:tabs>
              <w:jc w:val="center"/>
              <w:rPr>
                <w:sz w:val="24"/>
              </w:rPr>
            </w:pPr>
          </w:p>
        </w:tc>
        <w:tc>
          <w:tcPr>
            <w:tcW w:w="1502" w:type="pct"/>
            <w:noWrap w:val="0"/>
            <w:vAlign w:val="center"/>
          </w:tcPr>
          <w:p w14:paraId="51731B20">
            <w:pPr>
              <w:tabs>
                <w:tab w:val="left" w:pos="5580"/>
              </w:tabs>
              <w:jc w:val="center"/>
              <w:rPr>
                <w:sz w:val="24"/>
              </w:rPr>
            </w:pPr>
          </w:p>
        </w:tc>
        <w:tc>
          <w:tcPr>
            <w:tcW w:w="806" w:type="pct"/>
            <w:noWrap w:val="0"/>
            <w:vAlign w:val="center"/>
          </w:tcPr>
          <w:p w14:paraId="24277F10">
            <w:pPr>
              <w:tabs>
                <w:tab w:val="left" w:pos="5580"/>
              </w:tabs>
              <w:jc w:val="center"/>
              <w:rPr>
                <w:sz w:val="24"/>
              </w:rPr>
            </w:pPr>
          </w:p>
        </w:tc>
        <w:tc>
          <w:tcPr>
            <w:tcW w:w="804" w:type="pct"/>
            <w:noWrap w:val="0"/>
            <w:vAlign w:val="center"/>
          </w:tcPr>
          <w:p w14:paraId="325C0019">
            <w:pPr>
              <w:tabs>
                <w:tab w:val="left" w:pos="5580"/>
              </w:tabs>
              <w:jc w:val="center"/>
              <w:rPr>
                <w:sz w:val="24"/>
              </w:rPr>
            </w:pPr>
          </w:p>
        </w:tc>
        <w:tc>
          <w:tcPr>
            <w:tcW w:w="1609" w:type="pct"/>
            <w:noWrap w:val="0"/>
            <w:vAlign w:val="top"/>
          </w:tcPr>
          <w:p w14:paraId="27235775">
            <w:pPr>
              <w:tabs>
                <w:tab w:val="left" w:pos="5580"/>
              </w:tabs>
              <w:jc w:val="center"/>
              <w:rPr>
                <w:sz w:val="24"/>
              </w:rPr>
            </w:pPr>
          </w:p>
        </w:tc>
      </w:tr>
    </w:tbl>
    <w:p w14:paraId="75D6F962">
      <w:pPr>
        <w:autoSpaceDE w:val="0"/>
        <w:autoSpaceDN w:val="0"/>
        <w:adjustRightInd w:val="0"/>
        <w:jc w:val="left"/>
        <w:rPr>
          <w:color w:val="000000"/>
          <w:kern w:val="0"/>
          <w:sz w:val="24"/>
        </w:rPr>
      </w:pPr>
    </w:p>
    <w:p w14:paraId="7A7466A5">
      <w:pPr>
        <w:autoSpaceDE w:val="0"/>
        <w:autoSpaceDN w:val="0"/>
        <w:adjustRightInd w:val="0"/>
        <w:jc w:val="left"/>
        <w:rPr>
          <w:color w:val="000000"/>
          <w:sz w:val="24"/>
          <w:szCs w:val="20"/>
        </w:rPr>
      </w:pPr>
      <w:r>
        <w:rPr>
          <w:color w:val="000000"/>
          <w:kern w:val="0"/>
          <w:sz w:val="24"/>
        </w:rPr>
        <w:t>注：1</w:t>
      </w:r>
      <w:r>
        <w:rPr>
          <w:color w:val="000000"/>
          <w:sz w:val="24"/>
          <w:szCs w:val="20"/>
        </w:rPr>
        <w:t>.此表中，每包的投标报价应和《投标分项报价表》中的总价相一致。</w:t>
      </w:r>
    </w:p>
    <w:p w14:paraId="204C60F5">
      <w:pPr>
        <w:tabs>
          <w:tab w:val="left" w:pos="5580"/>
        </w:tabs>
        <w:ind w:firstLine="480" w:firstLineChars="200"/>
        <w:rPr>
          <w:color w:val="000000"/>
          <w:sz w:val="24"/>
          <w:szCs w:val="20"/>
        </w:rPr>
      </w:pPr>
      <w:r>
        <w:rPr>
          <w:color w:val="000000"/>
          <w:sz w:val="24"/>
          <w:szCs w:val="20"/>
        </w:rPr>
        <w:t>2.本表必须按包分别填写。</w:t>
      </w:r>
    </w:p>
    <w:p w14:paraId="5C30B367">
      <w:pPr>
        <w:autoSpaceDE w:val="0"/>
        <w:autoSpaceDN w:val="0"/>
        <w:adjustRightInd w:val="0"/>
        <w:snapToGrid w:val="0"/>
        <w:spacing w:before="25" w:after="25" w:line="360" w:lineRule="auto"/>
        <w:rPr>
          <w:color w:val="000000"/>
          <w:sz w:val="24"/>
          <w:lang w:val="zh-CN"/>
        </w:rPr>
      </w:pPr>
    </w:p>
    <w:p w14:paraId="5D3A675F">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22089C2B">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14:paraId="034B764B">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16A4F521">
      <w:pPr>
        <w:widowControl/>
        <w:jc w:val="left"/>
        <w:rPr>
          <w:color w:val="000000"/>
          <w:sz w:val="24"/>
          <w:szCs w:val="20"/>
        </w:rPr>
      </w:pPr>
      <w:bookmarkStart w:id="907" w:name="_Toc226965749"/>
      <w:bookmarkStart w:id="908" w:name="_Toc195842924"/>
      <w:bookmarkStart w:id="909" w:name="_Toc226965832"/>
      <w:bookmarkStart w:id="910" w:name="_Toc127151558"/>
      <w:bookmarkStart w:id="911" w:name="_Toc265228397"/>
      <w:bookmarkStart w:id="912" w:name="_Toc226309803"/>
      <w:bookmarkStart w:id="913" w:name="_Toc150774763"/>
      <w:bookmarkStart w:id="914" w:name="_Toc142311060"/>
      <w:bookmarkStart w:id="915" w:name="_Toc226337255"/>
      <w:bookmarkStart w:id="916" w:name="_Toc305158901"/>
      <w:bookmarkStart w:id="917" w:name="_Toc305158827"/>
      <w:bookmarkStart w:id="918" w:name="_Toc150480796"/>
      <w:bookmarkStart w:id="919" w:name="_Toc264969249"/>
    </w:p>
    <w:p w14:paraId="7F341A21">
      <w:pPr>
        <w:widowControl/>
        <w:jc w:val="left"/>
        <w:rPr>
          <w:color w:val="000000"/>
          <w:sz w:val="24"/>
          <w:szCs w:val="20"/>
        </w:rPr>
      </w:pPr>
    </w:p>
    <w:p w14:paraId="764938DF">
      <w:pPr>
        <w:numPr>
          <w:ilvl w:val="0"/>
          <w:numId w:val="32"/>
        </w:numPr>
        <w:tabs>
          <w:tab w:val="left" w:pos="360"/>
        </w:tabs>
        <w:snapToGrid w:val="0"/>
        <w:spacing w:line="360" w:lineRule="auto"/>
        <w:outlineLvl w:val="1"/>
        <w:rPr>
          <w:color w:val="000000"/>
          <w:sz w:val="24"/>
          <w:szCs w:val="20"/>
        </w:rPr>
        <w:sectPr>
          <w:headerReference r:id="rId16" w:type="first"/>
          <w:footerReference r:id="rId18" w:type="first"/>
          <w:headerReference r:id="rId15" w:type="even"/>
          <w:footerReference r:id="rId17" w:type="even"/>
          <w:pgSz w:w="11907" w:h="16840"/>
          <w:pgMar w:top="1418" w:right="1134" w:bottom="1418" w:left="1701" w:header="851" w:footer="851" w:gutter="0"/>
          <w:cols w:space="720" w:num="1"/>
          <w:docGrid w:linePitch="462" w:charSpace="0"/>
        </w:sectPr>
      </w:pPr>
    </w:p>
    <w:p w14:paraId="486811DE">
      <w:pPr>
        <w:numPr>
          <w:ilvl w:val="0"/>
          <w:numId w:val="32"/>
        </w:numPr>
        <w:tabs>
          <w:tab w:val="left" w:pos="360"/>
        </w:tabs>
        <w:snapToGrid w:val="0"/>
        <w:spacing w:line="360" w:lineRule="auto"/>
        <w:outlineLvl w:val="1"/>
        <w:rPr>
          <w:color w:val="000000"/>
          <w:sz w:val="24"/>
          <w:szCs w:val="20"/>
        </w:rPr>
      </w:pPr>
      <w:r>
        <w:rPr>
          <w:color w:val="000000"/>
          <w:sz w:val="24"/>
          <w:szCs w:val="20"/>
        </w:rPr>
        <w:t>投标分项报价表</w:t>
      </w:r>
      <w:bookmarkEnd w:id="907"/>
      <w:bookmarkEnd w:id="908"/>
      <w:bookmarkEnd w:id="909"/>
      <w:bookmarkEnd w:id="910"/>
      <w:bookmarkEnd w:id="911"/>
      <w:bookmarkEnd w:id="912"/>
      <w:bookmarkEnd w:id="913"/>
      <w:bookmarkEnd w:id="914"/>
      <w:bookmarkEnd w:id="915"/>
      <w:bookmarkEnd w:id="916"/>
      <w:bookmarkEnd w:id="917"/>
      <w:bookmarkEnd w:id="918"/>
      <w:bookmarkEnd w:id="919"/>
      <w:r>
        <w:rPr>
          <w:color w:val="000000"/>
          <w:sz w:val="24"/>
          <w:szCs w:val="20"/>
        </w:rPr>
        <w:t>（实质性格式）</w:t>
      </w:r>
    </w:p>
    <w:p w14:paraId="67B6C6AF">
      <w:pPr>
        <w:tabs>
          <w:tab w:val="left" w:pos="1800"/>
          <w:tab w:val="left" w:pos="5580"/>
        </w:tabs>
        <w:jc w:val="center"/>
        <w:rPr>
          <w:color w:val="000000"/>
          <w:sz w:val="24"/>
        </w:rPr>
      </w:pPr>
      <w:r>
        <w:rPr>
          <w:rFonts w:hint="eastAsia"/>
          <w:color w:val="000000"/>
          <w:sz w:val="24"/>
        </w:rPr>
        <w:t>投标分项报价表</w:t>
      </w:r>
    </w:p>
    <w:p w14:paraId="7E6AA8CF">
      <w:pPr>
        <w:tabs>
          <w:tab w:val="left" w:pos="1800"/>
          <w:tab w:val="left" w:pos="5580"/>
        </w:tabs>
        <w:rPr>
          <w:rFonts w:hint="eastAsia"/>
          <w:color w:val="000000"/>
          <w:sz w:val="24"/>
        </w:rPr>
      </w:pPr>
    </w:p>
    <w:p w14:paraId="794DB2F2">
      <w:pPr>
        <w:tabs>
          <w:tab w:val="left" w:pos="1800"/>
          <w:tab w:val="left" w:pos="5580"/>
        </w:tabs>
        <w:rPr>
          <w:color w:val="000000"/>
          <w:sz w:val="24"/>
        </w:rPr>
      </w:pPr>
      <w:r>
        <w:rPr>
          <w:color w:val="000000"/>
          <w:sz w:val="24"/>
        </w:rPr>
        <w:t>项目编号/包号：___________ 项目名称：__________报价单位：人民币元</w:t>
      </w:r>
    </w:p>
    <w:tbl>
      <w:tblPr>
        <w:tblStyle w:val="42"/>
        <w:tblW w:w="492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8"/>
        <w:gridCol w:w="2937"/>
        <w:gridCol w:w="1347"/>
        <w:gridCol w:w="1206"/>
        <w:gridCol w:w="1345"/>
        <w:gridCol w:w="1708"/>
      </w:tblGrid>
      <w:tr w14:paraId="02F94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32" w:type="pct"/>
            <w:noWrap w:val="0"/>
            <w:vAlign w:val="center"/>
          </w:tcPr>
          <w:p w14:paraId="1466BFED">
            <w:pPr>
              <w:adjustRightInd w:val="0"/>
              <w:snapToGrid w:val="0"/>
              <w:jc w:val="left"/>
              <w:rPr>
                <w:b/>
                <w:color w:val="000000"/>
                <w:sz w:val="24"/>
              </w:rPr>
            </w:pPr>
            <w:r>
              <w:rPr>
                <w:b/>
                <w:color w:val="000000"/>
                <w:sz w:val="24"/>
              </w:rPr>
              <w:t>序号</w:t>
            </w:r>
          </w:p>
        </w:tc>
        <w:tc>
          <w:tcPr>
            <w:tcW w:w="1605" w:type="pct"/>
            <w:noWrap w:val="0"/>
            <w:vAlign w:val="center"/>
          </w:tcPr>
          <w:p w14:paraId="37579E2A">
            <w:pPr>
              <w:adjustRightInd w:val="0"/>
              <w:snapToGrid w:val="0"/>
              <w:jc w:val="left"/>
              <w:rPr>
                <w:b/>
                <w:color w:val="000000"/>
                <w:sz w:val="24"/>
              </w:rPr>
            </w:pPr>
            <w:r>
              <w:rPr>
                <w:b/>
                <w:color w:val="000000"/>
                <w:sz w:val="24"/>
              </w:rPr>
              <w:t>分项名称</w:t>
            </w:r>
          </w:p>
        </w:tc>
        <w:tc>
          <w:tcPr>
            <w:tcW w:w="736" w:type="pct"/>
            <w:noWrap w:val="0"/>
            <w:vAlign w:val="center"/>
          </w:tcPr>
          <w:p w14:paraId="16DC4B09">
            <w:pPr>
              <w:adjustRightInd w:val="0"/>
              <w:snapToGrid w:val="0"/>
              <w:jc w:val="left"/>
              <w:rPr>
                <w:b/>
                <w:color w:val="000000"/>
                <w:sz w:val="24"/>
              </w:rPr>
            </w:pPr>
            <w:r>
              <w:rPr>
                <w:b/>
                <w:color w:val="000000"/>
                <w:sz w:val="24"/>
              </w:rPr>
              <w:t>单价（元）</w:t>
            </w:r>
          </w:p>
        </w:tc>
        <w:tc>
          <w:tcPr>
            <w:tcW w:w="659" w:type="pct"/>
            <w:noWrap w:val="0"/>
            <w:vAlign w:val="center"/>
          </w:tcPr>
          <w:p w14:paraId="353811F4">
            <w:pPr>
              <w:adjustRightInd w:val="0"/>
              <w:snapToGrid w:val="0"/>
              <w:jc w:val="center"/>
              <w:rPr>
                <w:b/>
                <w:color w:val="000000"/>
                <w:sz w:val="24"/>
              </w:rPr>
            </w:pPr>
            <w:r>
              <w:rPr>
                <w:b/>
                <w:color w:val="000000"/>
                <w:sz w:val="24"/>
              </w:rPr>
              <w:t>数量</w:t>
            </w:r>
          </w:p>
        </w:tc>
        <w:tc>
          <w:tcPr>
            <w:tcW w:w="735" w:type="pct"/>
            <w:noWrap w:val="0"/>
            <w:vAlign w:val="center"/>
          </w:tcPr>
          <w:p w14:paraId="43BE756C">
            <w:pPr>
              <w:adjustRightInd w:val="0"/>
              <w:snapToGrid w:val="0"/>
              <w:jc w:val="left"/>
              <w:rPr>
                <w:b/>
                <w:color w:val="000000"/>
                <w:sz w:val="24"/>
              </w:rPr>
            </w:pPr>
            <w:r>
              <w:rPr>
                <w:b/>
                <w:color w:val="000000"/>
                <w:sz w:val="24"/>
              </w:rPr>
              <w:t>合价（元）</w:t>
            </w:r>
          </w:p>
        </w:tc>
        <w:tc>
          <w:tcPr>
            <w:tcW w:w="933" w:type="pct"/>
            <w:noWrap w:val="0"/>
            <w:vAlign w:val="center"/>
          </w:tcPr>
          <w:p w14:paraId="28DC2E53">
            <w:pPr>
              <w:adjustRightInd w:val="0"/>
              <w:snapToGrid w:val="0"/>
              <w:jc w:val="left"/>
              <w:rPr>
                <w:b/>
                <w:color w:val="000000"/>
                <w:sz w:val="24"/>
              </w:rPr>
            </w:pPr>
            <w:r>
              <w:rPr>
                <w:b/>
                <w:color w:val="000000"/>
                <w:sz w:val="24"/>
              </w:rPr>
              <w:t>备注/说明</w:t>
            </w:r>
          </w:p>
        </w:tc>
      </w:tr>
      <w:tr w14:paraId="155D4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32" w:type="pct"/>
            <w:noWrap w:val="0"/>
            <w:vAlign w:val="center"/>
          </w:tcPr>
          <w:p w14:paraId="63BB9F86">
            <w:pPr>
              <w:adjustRightInd w:val="0"/>
              <w:snapToGrid w:val="0"/>
              <w:jc w:val="center"/>
              <w:rPr>
                <w:color w:val="000000"/>
                <w:sz w:val="24"/>
              </w:rPr>
            </w:pPr>
            <w:r>
              <w:rPr>
                <w:color w:val="000000"/>
                <w:sz w:val="24"/>
              </w:rPr>
              <w:t>1</w:t>
            </w:r>
          </w:p>
        </w:tc>
        <w:tc>
          <w:tcPr>
            <w:tcW w:w="1605" w:type="pct"/>
            <w:noWrap w:val="0"/>
            <w:vAlign w:val="center"/>
          </w:tcPr>
          <w:p w14:paraId="21B982AA">
            <w:pPr>
              <w:adjustRightInd w:val="0"/>
              <w:snapToGrid w:val="0"/>
              <w:jc w:val="left"/>
              <w:rPr>
                <w:color w:val="000000"/>
                <w:sz w:val="24"/>
              </w:rPr>
            </w:pPr>
          </w:p>
        </w:tc>
        <w:tc>
          <w:tcPr>
            <w:tcW w:w="736" w:type="pct"/>
            <w:noWrap w:val="0"/>
            <w:vAlign w:val="center"/>
          </w:tcPr>
          <w:p w14:paraId="5322F664">
            <w:pPr>
              <w:adjustRightInd w:val="0"/>
              <w:snapToGrid w:val="0"/>
              <w:jc w:val="left"/>
              <w:rPr>
                <w:color w:val="000000"/>
                <w:sz w:val="24"/>
              </w:rPr>
            </w:pPr>
          </w:p>
        </w:tc>
        <w:tc>
          <w:tcPr>
            <w:tcW w:w="659" w:type="pct"/>
            <w:noWrap w:val="0"/>
            <w:vAlign w:val="center"/>
          </w:tcPr>
          <w:p w14:paraId="45641426">
            <w:pPr>
              <w:adjustRightInd w:val="0"/>
              <w:snapToGrid w:val="0"/>
              <w:jc w:val="center"/>
              <w:rPr>
                <w:color w:val="000000"/>
                <w:sz w:val="24"/>
              </w:rPr>
            </w:pPr>
          </w:p>
        </w:tc>
        <w:tc>
          <w:tcPr>
            <w:tcW w:w="735" w:type="pct"/>
            <w:noWrap w:val="0"/>
            <w:vAlign w:val="center"/>
          </w:tcPr>
          <w:p w14:paraId="7F276F7C">
            <w:pPr>
              <w:adjustRightInd w:val="0"/>
              <w:snapToGrid w:val="0"/>
              <w:jc w:val="left"/>
              <w:rPr>
                <w:color w:val="000000"/>
                <w:sz w:val="24"/>
              </w:rPr>
            </w:pPr>
          </w:p>
        </w:tc>
        <w:tc>
          <w:tcPr>
            <w:tcW w:w="933" w:type="pct"/>
            <w:noWrap w:val="0"/>
            <w:vAlign w:val="center"/>
          </w:tcPr>
          <w:p w14:paraId="3747774C">
            <w:pPr>
              <w:adjustRightInd w:val="0"/>
              <w:snapToGrid w:val="0"/>
              <w:jc w:val="left"/>
              <w:rPr>
                <w:color w:val="000000"/>
                <w:sz w:val="24"/>
              </w:rPr>
            </w:pPr>
          </w:p>
        </w:tc>
      </w:tr>
      <w:tr w14:paraId="5EE44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32" w:type="pct"/>
            <w:noWrap w:val="0"/>
            <w:vAlign w:val="center"/>
          </w:tcPr>
          <w:p w14:paraId="43F2BAD2">
            <w:pPr>
              <w:adjustRightInd w:val="0"/>
              <w:snapToGrid w:val="0"/>
              <w:jc w:val="center"/>
              <w:rPr>
                <w:color w:val="000000"/>
                <w:sz w:val="24"/>
              </w:rPr>
            </w:pPr>
            <w:r>
              <w:rPr>
                <w:color w:val="000000"/>
                <w:sz w:val="24"/>
              </w:rPr>
              <w:t>2</w:t>
            </w:r>
          </w:p>
        </w:tc>
        <w:tc>
          <w:tcPr>
            <w:tcW w:w="1605" w:type="pct"/>
            <w:noWrap w:val="0"/>
            <w:vAlign w:val="center"/>
          </w:tcPr>
          <w:p w14:paraId="20DA2A10">
            <w:pPr>
              <w:adjustRightInd w:val="0"/>
              <w:snapToGrid w:val="0"/>
              <w:jc w:val="left"/>
              <w:rPr>
                <w:color w:val="000000"/>
                <w:sz w:val="24"/>
              </w:rPr>
            </w:pPr>
          </w:p>
        </w:tc>
        <w:tc>
          <w:tcPr>
            <w:tcW w:w="736" w:type="pct"/>
            <w:noWrap w:val="0"/>
            <w:vAlign w:val="center"/>
          </w:tcPr>
          <w:p w14:paraId="363DC3B0">
            <w:pPr>
              <w:adjustRightInd w:val="0"/>
              <w:snapToGrid w:val="0"/>
              <w:jc w:val="left"/>
              <w:rPr>
                <w:color w:val="000000"/>
                <w:sz w:val="24"/>
              </w:rPr>
            </w:pPr>
          </w:p>
        </w:tc>
        <w:tc>
          <w:tcPr>
            <w:tcW w:w="659" w:type="pct"/>
            <w:noWrap w:val="0"/>
            <w:vAlign w:val="center"/>
          </w:tcPr>
          <w:p w14:paraId="7AC28DC8">
            <w:pPr>
              <w:adjustRightInd w:val="0"/>
              <w:snapToGrid w:val="0"/>
              <w:jc w:val="center"/>
              <w:rPr>
                <w:color w:val="000000"/>
                <w:sz w:val="24"/>
              </w:rPr>
            </w:pPr>
          </w:p>
        </w:tc>
        <w:tc>
          <w:tcPr>
            <w:tcW w:w="735" w:type="pct"/>
            <w:noWrap w:val="0"/>
            <w:vAlign w:val="center"/>
          </w:tcPr>
          <w:p w14:paraId="6FB9FF29">
            <w:pPr>
              <w:adjustRightInd w:val="0"/>
              <w:snapToGrid w:val="0"/>
              <w:jc w:val="left"/>
              <w:rPr>
                <w:color w:val="000000"/>
                <w:sz w:val="24"/>
              </w:rPr>
            </w:pPr>
          </w:p>
        </w:tc>
        <w:tc>
          <w:tcPr>
            <w:tcW w:w="933" w:type="pct"/>
            <w:noWrap w:val="0"/>
            <w:vAlign w:val="center"/>
          </w:tcPr>
          <w:p w14:paraId="340CB405">
            <w:pPr>
              <w:adjustRightInd w:val="0"/>
              <w:snapToGrid w:val="0"/>
              <w:jc w:val="left"/>
              <w:rPr>
                <w:color w:val="000000"/>
                <w:sz w:val="24"/>
              </w:rPr>
            </w:pPr>
          </w:p>
        </w:tc>
      </w:tr>
      <w:tr w14:paraId="4DAB7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32" w:type="pct"/>
            <w:noWrap w:val="0"/>
            <w:vAlign w:val="center"/>
          </w:tcPr>
          <w:p w14:paraId="1ACD503D">
            <w:pPr>
              <w:adjustRightInd w:val="0"/>
              <w:snapToGrid w:val="0"/>
              <w:jc w:val="center"/>
              <w:rPr>
                <w:color w:val="000000"/>
                <w:sz w:val="24"/>
              </w:rPr>
            </w:pPr>
            <w:r>
              <w:rPr>
                <w:color w:val="000000"/>
                <w:sz w:val="24"/>
              </w:rPr>
              <w:t>3</w:t>
            </w:r>
          </w:p>
        </w:tc>
        <w:tc>
          <w:tcPr>
            <w:tcW w:w="1605" w:type="pct"/>
            <w:noWrap w:val="0"/>
            <w:vAlign w:val="center"/>
          </w:tcPr>
          <w:p w14:paraId="57C00118">
            <w:pPr>
              <w:adjustRightInd w:val="0"/>
              <w:snapToGrid w:val="0"/>
              <w:jc w:val="left"/>
              <w:rPr>
                <w:color w:val="000000"/>
                <w:sz w:val="24"/>
              </w:rPr>
            </w:pPr>
            <w:r>
              <w:rPr>
                <w:color w:val="000000"/>
                <w:sz w:val="24"/>
              </w:rPr>
              <w:t>…</w:t>
            </w:r>
          </w:p>
        </w:tc>
        <w:tc>
          <w:tcPr>
            <w:tcW w:w="736" w:type="pct"/>
            <w:noWrap w:val="0"/>
            <w:vAlign w:val="center"/>
          </w:tcPr>
          <w:p w14:paraId="43D2C5E0">
            <w:pPr>
              <w:adjustRightInd w:val="0"/>
              <w:snapToGrid w:val="0"/>
              <w:jc w:val="left"/>
              <w:rPr>
                <w:color w:val="000000"/>
                <w:sz w:val="24"/>
              </w:rPr>
            </w:pPr>
          </w:p>
        </w:tc>
        <w:tc>
          <w:tcPr>
            <w:tcW w:w="659" w:type="pct"/>
            <w:noWrap w:val="0"/>
            <w:vAlign w:val="center"/>
          </w:tcPr>
          <w:p w14:paraId="5D210CF0">
            <w:pPr>
              <w:adjustRightInd w:val="0"/>
              <w:snapToGrid w:val="0"/>
              <w:jc w:val="center"/>
              <w:rPr>
                <w:color w:val="000000"/>
                <w:sz w:val="24"/>
              </w:rPr>
            </w:pPr>
          </w:p>
        </w:tc>
        <w:tc>
          <w:tcPr>
            <w:tcW w:w="735" w:type="pct"/>
            <w:noWrap w:val="0"/>
            <w:vAlign w:val="center"/>
          </w:tcPr>
          <w:p w14:paraId="7626776B">
            <w:pPr>
              <w:adjustRightInd w:val="0"/>
              <w:snapToGrid w:val="0"/>
              <w:jc w:val="left"/>
              <w:rPr>
                <w:color w:val="000000"/>
                <w:sz w:val="24"/>
              </w:rPr>
            </w:pPr>
          </w:p>
        </w:tc>
        <w:tc>
          <w:tcPr>
            <w:tcW w:w="933" w:type="pct"/>
            <w:noWrap w:val="0"/>
            <w:vAlign w:val="center"/>
          </w:tcPr>
          <w:p w14:paraId="56E28FD9">
            <w:pPr>
              <w:adjustRightInd w:val="0"/>
              <w:snapToGrid w:val="0"/>
              <w:jc w:val="left"/>
              <w:rPr>
                <w:color w:val="000000"/>
                <w:sz w:val="24"/>
              </w:rPr>
            </w:pPr>
          </w:p>
        </w:tc>
      </w:tr>
      <w:tr w14:paraId="45549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1" w:type="pct"/>
            <w:gridSpan w:val="4"/>
            <w:noWrap w:val="0"/>
            <w:vAlign w:val="center"/>
          </w:tcPr>
          <w:p w14:paraId="06AA7AD1">
            <w:pPr>
              <w:adjustRightInd w:val="0"/>
              <w:snapToGrid w:val="0"/>
              <w:jc w:val="right"/>
              <w:rPr>
                <w:color w:val="000000"/>
                <w:sz w:val="24"/>
              </w:rPr>
            </w:pPr>
            <w:r>
              <w:rPr>
                <w:b/>
                <w:color w:val="000000"/>
                <w:sz w:val="24"/>
              </w:rPr>
              <w:t>总价（元）</w:t>
            </w:r>
          </w:p>
        </w:tc>
        <w:tc>
          <w:tcPr>
            <w:tcW w:w="735" w:type="pct"/>
            <w:noWrap w:val="0"/>
            <w:vAlign w:val="center"/>
          </w:tcPr>
          <w:p w14:paraId="17D0D422">
            <w:pPr>
              <w:adjustRightInd w:val="0"/>
              <w:snapToGrid w:val="0"/>
              <w:jc w:val="left"/>
              <w:rPr>
                <w:color w:val="000000"/>
                <w:sz w:val="24"/>
              </w:rPr>
            </w:pPr>
          </w:p>
        </w:tc>
        <w:tc>
          <w:tcPr>
            <w:tcW w:w="933" w:type="pct"/>
            <w:noWrap w:val="0"/>
            <w:vAlign w:val="center"/>
          </w:tcPr>
          <w:p w14:paraId="19DA6247">
            <w:pPr>
              <w:adjustRightInd w:val="0"/>
              <w:snapToGrid w:val="0"/>
              <w:jc w:val="left"/>
              <w:rPr>
                <w:color w:val="000000"/>
                <w:sz w:val="24"/>
              </w:rPr>
            </w:pPr>
          </w:p>
        </w:tc>
      </w:tr>
    </w:tbl>
    <w:p w14:paraId="6E2E0109">
      <w:pPr>
        <w:tabs>
          <w:tab w:val="left" w:pos="1800"/>
          <w:tab w:val="left" w:pos="5580"/>
        </w:tabs>
        <w:jc w:val="left"/>
        <w:rPr>
          <w:color w:val="000000"/>
          <w:sz w:val="24"/>
        </w:rPr>
      </w:pPr>
    </w:p>
    <w:p w14:paraId="3EF505C3">
      <w:pPr>
        <w:tabs>
          <w:tab w:val="left" w:pos="1800"/>
          <w:tab w:val="left" w:pos="5580"/>
        </w:tabs>
        <w:jc w:val="left"/>
        <w:rPr>
          <w:color w:val="000000"/>
          <w:sz w:val="24"/>
        </w:rPr>
      </w:pPr>
    </w:p>
    <w:p w14:paraId="58D85031">
      <w:pPr>
        <w:tabs>
          <w:tab w:val="left" w:pos="1800"/>
          <w:tab w:val="left" w:pos="5580"/>
        </w:tabs>
        <w:jc w:val="left"/>
        <w:rPr>
          <w:color w:val="000000"/>
          <w:sz w:val="24"/>
        </w:rPr>
      </w:pPr>
    </w:p>
    <w:p w14:paraId="0145963E">
      <w:pPr>
        <w:tabs>
          <w:tab w:val="left" w:pos="1800"/>
          <w:tab w:val="left" w:pos="5580"/>
        </w:tabs>
        <w:jc w:val="left"/>
        <w:rPr>
          <w:color w:val="000000"/>
          <w:sz w:val="24"/>
        </w:rPr>
      </w:pPr>
    </w:p>
    <w:p w14:paraId="7AEAF1A6">
      <w:pPr>
        <w:tabs>
          <w:tab w:val="left" w:pos="1800"/>
          <w:tab w:val="left" w:pos="5580"/>
        </w:tabs>
        <w:jc w:val="left"/>
        <w:rPr>
          <w:color w:val="000000"/>
          <w:sz w:val="24"/>
        </w:rPr>
      </w:pPr>
      <w:r>
        <w:rPr>
          <w:color w:val="000000"/>
          <w:sz w:val="24"/>
        </w:rPr>
        <w:t>注：1.本表应按包分别填写。</w:t>
      </w:r>
    </w:p>
    <w:p w14:paraId="7EF2C617">
      <w:pPr>
        <w:tabs>
          <w:tab w:val="left" w:pos="1800"/>
          <w:tab w:val="left" w:pos="5580"/>
        </w:tabs>
        <w:ind w:firstLine="480" w:firstLineChars="200"/>
        <w:jc w:val="left"/>
        <w:rPr>
          <w:color w:val="000000"/>
          <w:sz w:val="24"/>
        </w:rPr>
      </w:pPr>
      <w:r>
        <w:rPr>
          <w:color w:val="000000"/>
          <w:sz w:val="24"/>
        </w:rPr>
        <w:t>2.上述各项的详细规格（如有），可另页描述。</w:t>
      </w:r>
    </w:p>
    <w:p w14:paraId="3D9BE17C">
      <w:pPr>
        <w:tabs>
          <w:tab w:val="left" w:pos="1800"/>
          <w:tab w:val="left" w:pos="5580"/>
        </w:tabs>
        <w:ind w:firstLine="480" w:firstLineChars="200"/>
        <w:jc w:val="left"/>
        <w:rPr>
          <w:color w:val="000000"/>
          <w:sz w:val="24"/>
        </w:rPr>
      </w:pPr>
    </w:p>
    <w:p w14:paraId="49D7E82B">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635F6489">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14:paraId="6F7782ED">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294C1BAF">
      <w:pPr>
        <w:numPr>
          <w:ilvl w:val="0"/>
          <w:numId w:val="32"/>
        </w:numPr>
        <w:tabs>
          <w:tab w:val="left" w:pos="360"/>
        </w:tabs>
        <w:snapToGrid w:val="0"/>
        <w:spacing w:line="360" w:lineRule="auto"/>
        <w:outlineLvl w:val="1"/>
        <w:rPr>
          <w:color w:val="000000"/>
          <w:sz w:val="24"/>
          <w:szCs w:val="20"/>
        </w:rPr>
      </w:pPr>
      <w:bookmarkStart w:id="920" w:name="_Toc226965752"/>
      <w:bookmarkStart w:id="921" w:name="_Toc127151562"/>
      <w:bookmarkStart w:id="922" w:name="_Toc264969252"/>
      <w:bookmarkStart w:id="923" w:name="_Toc226309806"/>
      <w:bookmarkStart w:id="924" w:name="_Toc226337258"/>
      <w:bookmarkStart w:id="925" w:name="_Toc195842927"/>
      <w:bookmarkStart w:id="926" w:name="_Toc305158830"/>
      <w:bookmarkStart w:id="927" w:name="_Toc150774765"/>
      <w:bookmarkStart w:id="928" w:name="_Toc150480798"/>
      <w:bookmarkStart w:id="929" w:name="_Toc142311062"/>
      <w:bookmarkStart w:id="930" w:name="_Toc305158904"/>
      <w:bookmarkStart w:id="931" w:name="_Toc226965835"/>
      <w:bookmarkStart w:id="932" w:name="_Toc265228400"/>
      <w:bookmarkStart w:id="933" w:name="_Toc127151561"/>
      <w:bookmarkStart w:id="934" w:name="_Toc305158903"/>
      <w:bookmarkStart w:id="935" w:name="_Toc150774764"/>
      <w:bookmarkStart w:id="936" w:name="_Toc142311061"/>
      <w:bookmarkStart w:id="937" w:name="_Toc195842926"/>
      <w:bookmarkStart w:id="938" w:name="_Toc226309805"/>
      <w:bookmarkStart w:id="939" w:name="_Toc226965751"/>
      <w:bookmarkStart w:id="940" w:name="_Toc265228399"/>
      <w:bookmarkStart w:id="941" w:name="_Toc226337257"/>
      <w:bookmarkStart w:id="942" w:name="_Toc226965834"/>
      <w:bookmarkStart w:id="943" w:name="_Toc305158829"/>
      <w:bookmarkStart w:id="944" w:name="_Toc264969251"/>
      <w:bookmarkStart w:id="945" w:name="_Toc150480797"/>
      <w:r>
        <w:rPr>
          <w:color w:val="000000"/>
          <w:sz w:val="24"/>
          <w:szCs w:val="20"/>
        </w:rPr>
        <w:br w:type="page"/>
      </w:r>
      <w:r>
        <w:rPr>
          <w:color w:val="000000"/>
          <w:sz w:val="24"/>
          <w:szCs w:val="20"/>
        </w:rPr>
        <w:t>合同条款偏离表</w:t>
      </w:r>
      <w:bookmarkEnd w:id="920"/>
      <w:bookmarkEnd w:id="921"/>
      <w:bookmarkEnd w:id="922"/>
      <w:bookmarkEnd w:id="923"/>
      <w:bookmarkEnd w:id="924"/>
      <w:bookmarkEnd w:id="925"/>
      <w:bookmarkEnd w:id="926"/>
      <w:bookmarkEnd w:id="927"/>
      <w:bookmarkEnd w:id="928"/>
      <w:bookmarkEnd w:id="929"/>
      <w:bookmarkEnd w:id="930"/>
      <w:bookmarkEnd w:id="931"/>
      <w:bookmarkEnd w:id="932"/>
      <w:r>
        <w:rPr>
          <w:color w:val="000000"/>
          <w:sz w:val="24"/>
          <w:szCs w:val="20"/>
        </w:rPr>
        <w:t>（实质性格式）</w:t>
      </w:r>
    </w:p>
    <w:p w14:paraId="2F6C49AD">
      <w:pPr>
        <w:spacing w:line="360" w:lineRule="auto"/>
        <w:rPr>
          <w:color w:val="000000"/>
          <w:sz w:val="24"/>
          <w:szCs w:val="20"/>
        </w:rPr>
      </w:pPr>
    </w:p>
    <w:p w14:paraId="3A74BCDB">
      <w:pPr>
        <w:tabs>
          <w:tab w:val="left" w:pos="2775"/>
          <w:tab w:val="center" w:pos="4153"/>
        </w:tabs>
        <w:autoSpaceDE w:val="0"/>
        <w:autoSpaceDN w:val="0"/>
        <w:adjustRightInd w:val="0"/>
        <w:spacing w:line="360" w:lineRule="auto"/>
        <w:jc w:val="center"/>
        <w:rPr>
          <w:b/>
          <w:color w:val="000000"/>
          <w:sz w:val="36"/>
          <w:szCs w:val="36"/>
        </w:rPr>
      </w:pPr>
      <w:r>
        <w:rPr>
          <w:b/>
          <w:color w:val="000000"/>
          <w:sz w:val="36"/>
          <w:szCs w:val="36"/>
        </w:rPr>
        <w:t>合同条款偏离表</w:t>
      </w:r>
    </w:p>
    <w:p w14:paraId="5272A533">
      <w:pPr>
        <w:spacing w:line="360" w:lineRule="auto"/>
        <w:rPr>
          <w:color w:val="000000"/>
          <w:sz w:val="24"/>
          <w:szCs w:val="20"/>
        </w:rPr>
      </w:pPr>
    </w:p>
    <w:p w14:paraId="5F6B5F78">
      <w:pPr>
        <w:tabs>
          <w:tab w:val="left" w:pos="1800"/>
          <w:tab w:val="left" w:pos="5580"/>
        </w:tabs>
        <w:spacing w:line="360" w:lineRule="auto"/>
        <w:ind w:firstLine="360" w:firstLineChars="150"/>
        <w:jc w:val="left"/>
        <w:rPr>
          <w:color w:val="000000"/>
          <w:sz w:val="24"/>
        </w:rPr>
      </w:pPr>
      <w:r>
        <w:rPr>
          <w:color w:val="000000"/>
          <w:sz w:val="24"/>
        </w:rPr>
        <w:t>项目编号/包号：_____________________     项目名称：_____________</w:t>
      </w: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4"/>
        <w:gridCol w:w="1773"/>
        <w:gridCol w:w="1676"/>
        <w:gridCol w:w="1676"/>
        <w:gridCol w:w="1875"/>
        <w:gridCol w:w="1134"/>
      </w:tblGrid>
      <w:tr w14:paraId="1ABCB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noWrap w:val="0"/>
            <w:vAlign w:val="center"/>
          </w:tcPr>
          <w:p w14:paraId="780F1C65">
            <w:pPr>
              <w:adjustRightInd w:val="0"/>
              <w:snapToGrid w:val="0"/>
              <w:jc w:val="center"/>
              <w:rPr>
                <w:color w:val="000000"/>
                <w:sz w:val="24"/>
              </w:rPr>
            </w:pPr>
            <w:bookmarkStart w:id="946" w:name="_Hlk144279231"/>
            <w:r>
              <w:rPr>
                <w:color w:val="000000"/>
                <w:sz w:val="24"/>
              </w:rPr>
              <w:t>序号</w:t>
            </w:r>
          </w:p>
        </w:tc>
        <w:tc>
          <w:tcPr>
            <w:tcW w:w="1646" w:type="dxa"/>
            <w:noWrap w:val="0"/>
            <w:vAlign w:val="center"/>
          </w:tcPr>
          <w:p w14:paraId="6BAF1D49">
            <w:pPr>
              <w:adjustRightInd w:val="0"/>
              <w:snapToGrid w:val="0"/>
              <w:jc w:val="center"/>
              <w:rPr>
                <w:color w:val="000000"/>
                <w:sz w:val="24"/>
              </w:rPr>
            </w:pPr>
            <w:r>
              <w:rPr>
                <w:color w:val="000000"/>
                <w:sz w:val="24"/>
                <w:szCs w:val="21"/>
              </w:rPr>
              <w:t>招标文件</w:t>
            </w:r>
            <w:r>
              <w:rPr>
                <w:color w:val="000000"/>
                <w:sz w:val="24"/>
              </w:rPr>
              <w:t>条目号（页码）</w:t>
            </w:r>
          </w:p>
        </w:tc>
        <w:tc>
          <w:tcPr>
            <w:tcW w:w="1688" w:type="dxa"/>
            <w:noWrap w:val="0"/>
            <w:vAlign w:val="center"/>
          </w:tcPr>
          <w:p w14:paraId="37E9132C">
            <w:pPr>
              <w:adjustRightInd w:val="0"/>
              <w:snapToGrid w:val="0"/>
              <w:jc w:val="center"/>
              <w:rPr>
                <w:color w:val="000000"/>
                <w:sz w:val="24"/>
              </w:rPr>
            </w:pPr>
            <w:r>
              <w:rPr>
                <w:color w:val="000000"/>
                <w:sz w:val="24"/>
                <w:szCs w:val="21"/>
              </w:rPr>
              <w:t>招标文件</w:t>
            </w:r>
            <w:r>
              <w:rPr>
                <w:color w:val="000000"/>
                <w:sz w:val="24"/>
              </w:rPr>
              <w:t>要求</w:t>
            </w:r>
          </w:p>
        </w:tc>
        <w:tc>
          <w:tcPr>
            <w:tcW w:w="1688" w:type="dxa"/>
            <w:noWrap w:val="0"/>
            <w:vAlign w:val="center"/>
          </w:tcPr>
          <w:p w14:paraId="55C531D0">
            <w:pPr>
              <w:adjustRightInd w:val="0"/>
              <w:snapToGrid w:val="0"/>
              <w:jc w:val="center"/>
              <w:rPr>
                <w:color w:val="000000"/>
                <w:sz w:val="24"/>
              </w:rPr>
            </w:pPr>
            <w:r>
              <w:rPr>
                <w:color w:val="000000"/>
                <w:sz w:val="24"/>
              </w:rPr>
              <w:t>投标文件内容</w:t>
            </w:r>
          </w:p>
        </w:tc>
        <w:tc>
          <w:tcPr>
            <w:tcW w:w="1925" w:type="dxa"/>
            <w:noWrap w:val="0"/>
            <w:vAlign w:val="center"/>
          </w:tcPr>
          <w:p w14:paraId="11939385">
            <w:pPr>
              <w:adjustRightInd w:val="0"/>
              <w:snapToGrid w:val="0"/>
              <w:jc w:val="center"/>
              <w:rPr>
                <w:color w:val="000000"/>
                <w:sz w:val="24"/>
              </w:rPr>
            </w:pPr>
            <w:r>
              <w:rPr>
                <w:color w:val="000000"/>
                <w:sz w:val="24"/>
              </w:rPr>
              <w:t>偏离情况</w:t>
            </w:r>
          </w:p>
        </w:tc>
        <w:tc>
          <w:tcPr>
            <w:tcW w:w="1045" w:type="dxa"/>
            <w:noWrap w:val="0"/>
            <w:vAlign w:val="center"/>
          </w:tcPr>
          <w:p w14:paraId="2C94C10D">
            <w:pPr>
              <w:adjustRightInd w:val="0"/>
              <w:snapToGrid w:val="0"/>
              <w:jc w:val="center"/>
              <w:rPr>
                <w:color w:val="000000"/>
                <w:sz w:val="24"/>
              </w:rPr>
            </w:pPr>
            <w:r>
              <w:rPr>
                <w:color w:val="000000"/>
                <w:sz w:val="24"/>
              </w:rPr>
              <w:t>说明</w:t>
            </w:r>
          </w:p>
        </w:tc>
      </w:tr>
      <w:tr w14:paraId="05655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noWrap w:val="0"/>
            <w:vAlign w:val="center"/>
          </w:tcPr>
          <w:p w14:paraId="7044C55A">
            <w:pPr>
              <w:adjustRightInd w:val="0"/>
              <w:snapToGrid w:val="0"/>
              <w:jc w:val="left"/>
              <w:rPr>
                <w:bCs/>
                <w:color w:val="000000"/>
                <w:sz w:val="24"/>
              </w:rPr>
            </w:pPr>
            <w:r>
              <w:rPr>
                <w:b/>
                <w:color w:val="000000"/>
                <w:sz w:val="24"/>
              </w:rPr>
              <w:t>对本项目合同条款的偏离情况</w:t>
            </w:r>
            <w:r>
              <w:rPr>
                <w:bCs/>
                <w:color w:val="000000"/>
                <w:sz w:val="24"/>
              </w:rPr>
              <w:t>（应进行选择，未选择</w:t>
            </w:r>
            <w:r>
              <w:rPr>
                <w:b/>
                <w:color w:val="000000"/>
                <w:sz w:val="24"/>
              </w:rPr>
              <w:t>投标无效</w:t>
            </w:r>
            <w:r>
              <w:rPr>
                <w:bCs/>
                <w:color w:val="000000"/>
                <w:sz w:val="24"/>
              </w:rPr>
              <w:t>）：</w:t>
            </w:r>
          </w:p>
          <w:p w14:paraId="4F060826">
            <w:pPr>
              <w:adjustRightInd w:val="0"/>
              <w:snapToGrid w:val="0"/>
              <w:jc w:val="left"/>
              <w:rPr>
                <w:color w:val="000000"/>
                <w:sz w:val="24"/>
              </w:rPr>
            </w:pPr>
            <w:r>
              <w:rPr>
                <w:b/>
                <w:color w:val="000000"/>
                <w:sz w:val="24"/>
              </w:rPr>
              <w:t>□无偏离</w:t>
            </w:r>
            <w:r>
              <w:rPr>
                <w:color w:val="000000"/>
                <w:sz w:val="24"/>
              </w:rPr>
              <w:t>（</w:t>
            </w:r>
            <w:r>
              <w:rPr>
                <w:color w:val="000000"/>
                <w:sz w:val="24"/>
                <w:szCs w:val="21"/>
              </w:rPr>
              <w:t>如无偏离，仅选择无偏离即可；</w:t>
            </w:r>
            <w:r>
              <w:rPr>
                <w:bCs/>
                <w:color w:val="000000"/>
                <w:sz w:val="24"/>
              </w:rPr>
              <w:t>无偏离即为</w:t>
            </w:r>
            <w:r>
              <w:rPr>
                <w:sz w:val="24"/>
              </w:rPr>
              <w:t>对合同条款中的所有要求，均视作供应商已对之理解和响应。</w:t>
            </w:r>
            <w:r>
              <w:rPr>
                <w:color w:val="000000"/>
                <w:sz w:val="24"/>
              </w:rPr>
              <w:t>）</w:t>
            </w:r>
          </w:p>
          <w:p w14:paraId="1B91CA30">
            <w:pPr>
              <w:adjustRightInd w:val="0"/>
              <w:snapToGrid w:val="0"/>
              <w:jc w:val="left"/>
              <w:rPr>
                <w:color w:val="000000"/>
                <w:sz w:val="24"/>
              </w:rPr>
            </w:pPr>
            <w:r>
              <w:rPr>
                <w:b/>
                <w:color w:val="000000"/>
                <w:sz w:val="24"/>
              </w:rPr>
              <w:t>□有偏离</w:t>
            </w:r>
            <w:r>
              <w:rPr>
                <w:color w:val="000000"/>
                <w:sz w:val="24"/>
              </w:rPr>
              <w:t>（</w:t>
            </w:r>
            <w:r>
              <w:rPr>
                <w:color w:val="000000"/>
                <w:sz w:val="24"/>
                <w:szCs w:val="21"/>
              </w:rPr>
              <w:t>如有偏离，</w:t>
            </w:r>
            <w:r>
              <w:rPr>
                <w:color w:val="000000"/>
                <w:sz w:val="24"/>
              </w:rPr>
              <w:t>则应在本表中对</w:t>
            </w:r>
            <w:r>
              <w:rPr>
                <w:rFonts w:hint="eastAsia"/>
                <w:color w:val="000000"/>
                <w:sz w:val="24"/>
              </w:rPr>
              <w:t>负</w:t>
            </w:r>
            <w:r>
              <w:rPr>
                <w:color w:val="000000"/>
                <w:sz w:val="24"/>
              </w:rPr>
              <w:t>偏离项逐一列明，否则</w:t>
            </w:r>
            <w:r>
              <w:rPr>
                <w:b/>
                <w:bCs/>
                <w:color w:val="000000"/>
                <w:sz w:val="24"/>
              </w:rPr>
              <w:t>投标无效</w:t>
            </w:r>
            <w:r>
              <w:rPr>
                <w:color w:val="000000"/>
                <w:sz w:val="24"/>
              </w:rPr>
              <w:t>；</w:t>
            </w:r>
            <w:r>
              <w:rPr>
                <w:sz w:val="24"/>
              </w:rPr>
              <w:t>对合同条款中的所有要求，除本表列明的偏离外，均视作供应商已对之理解和响应。</w:t>
            </w:r>
            <w:r>
              <w:rPr>
                <w:color w:val="000000"/>
                <w:sz w:val="24"/>
              </w:rPr>
              <w:t>）</w:t>
            </w:r>
          </w:p>
        </w:tc>
      </w:tr>
      <w:tr w14:paraId="1A33D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noWrap w:val="0"/>
            <w:vAlign w:val="center"/>
          </w:tcPr>
          <w:p w14:paraId="6962557E">
            <w:pPr>
              <w:adjustRightInd w:val="0"/>
              <w:snapToGrid w:val="0"/>
              <w:jc w:val="center"/>
              <w:rPr>
                <w:color w:val="000000"/>
                <w:sz w:val="24"/>
              </w:rPr>
            </w:pPr>
          </w:p>
        </w:tc>
        <w:tc>
          <w:tcPr>
            <w:tcW w:w="1646" w:type="dxa"/>
            <w:noWrap w:val="0"/>
            <w:vAlign w:val="center"/>
          </w:tcPr>
          <w:p w14:paraId="537A7123">
            <w:pPr>
              <w:adjustRightInd w:val="0"/>
              <w:snapToGrid w:val="0"/>
              <w:jc w:val="center"/>
              <w:rPr>
                <w:color w:val="000000"/>
                <w:sz w:val="24"/>
              </w:rPr>
            </w:pPr>
          </w:p>
        </w:tc>
        <w:tc>
          <w:tcPr>
            <w:tcW w:w="1688" w:type="dxa"/>
            <w:noWrap w:val="0"/>
            <w:vAlign w:val="center"/>
          </w:tcPr>
          <w:p w14:paraId="0D27FA2B">
            <w:pPr>
              <w:adjustRightInd w:val="0"/>
              <w:snapToGrid w:val="0"/>
              <w:jc w:val="center"/>
              <w:rPr>
                <w:color w:val="000000"/>
                <w:sz w:val="24"/>
              </w:rPr>
            </w:pPr>
          </w:p>
        </w:tc>
        <w:tc>
          <w:tcPr>
            <w:tcW w:w="1688" w:type="dxa"/>
            <w:noWrap w:val="0"/>
            <w:vAlign w:val="center"/>
          </w:tcPr>
          <w:p w14:paraId="09C7AF2D">
            <w:pPr>
              <w:adjustRightInd w:val="0"/>
              <w:snapToGrid w:val="0"/>
              <w:jc w:val="center"/>
              <w:rPr>
                <w:color w:val="000000"/>
                <w:sz w:val="24"/>
              </w:rPr>
            </w:pPr>
          </w:p>
        </w:tc>
        <w:tc>
          <w:tcPr>
            <w:tcW w:w="1925" w:type="dxa"/>
            <w:noWrap w:val="0"/>
            <w:vAlign w:val="center"/>
          </w:tcPr>
          <w:p w14:paraId="1EF5A30E">
            <w:pPr>
              <w:adjustRightInd w:val="0"/>
              <w:snapToGrid w:val="0"/>
              <w:jc w:val="center"/>
              <w:rPr>
                <w:color w:val="000000"/>
                <w:sz w:val="24"/>
              </w:rPr>
            </w:pPr>
          </w:p>
        </w:tc>
        <w:tc>
          <w:tcPr>
            <w:tcW w:w="1045" w:type="dxa"/>
            <w:noWrap w:val="0"/>
            <w:vAlign w:val="center"/>
          </w:tcPr>
          <w:p w14:paraId="3DBE7F3D">
            <w:pPr>
              <w:adjustRightInd w:val="0"/>
              <w:snapToGrid w:val="0"/>
              <w:jc w:val="center"/>
              <w:rPr>
                <w:color w:val="000000"/>
                <w:sz w:val="24"/>
              </w:rPr>
            </w:pPr>
          </w:p>
        </w:tc>
      </w:tr>
      <w:tr w14:paraId="2E213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noWrap w:val="0"/>
            <w:vAlign w:val="center"/>
          </w:tcPr>
          <w:p w14:paraId="3403AEE0">
            <w:pPr>
              <w:adjustRightInd w:val="0"/>
              <w:snapToGrid w:val="0"/>
              <w:jc w:val="center"/>
              <w:rPr>
                <w:color w:val="000000"/>
                <w:sz w:val="24"/>
              </w:rPr>
            </w:pPr>
          </w:p>
        </w:tc>
        <w:tc>
          <w:tcPr>
            <w:tcW w:w="1646" w:type="dxa"/>
            <w:noWrap w:val="0"/>
            <w:vAlign w:val="center"/>
          </w:tcPr>
          <w:p w14:paraId="7C73907C">
            <w:pPr>
              <w:adjustRightInd w:val="0"/>
              <w:snapToGrid w:val="0"/>
              <w:jc w:val="center"/>
              <w:rPr>
                <w:color w:val="000000"/>
                <w:sz w:val="24"/>
              </w:rPr>
            </w:pPr>
          </w:p>
        </w:tc>
        <w:tc>
          <w:tcPr>
            <w:tcW w:w="1688" w:type="dxa"/>
            <w:noWrap w:val="0"/>
            <w:vAlign w:val="center"/>
          </w:tcPr>
          <w:p w14:paraId="528AF89B">
            <w:pPr>
              <w:adjustRightInd w:val="0"/>
              <w:snapToGrid w:val="0"/>
              <w:jc w:val="center"/>
              <w:rPr>
                <w:color w:val="000000"/>
                <w:sz w:val="24"/>
              </w:rPr>
            </w:pPr>
          </w:p>
        </w:tc>
        <w:tc>
          <w:tcPr>
            <w:tcW w:w="1688" w:type="dxa"/>
            <w:noWrap w:val="0"/>
            <w:vAlign w:val="center"/>
          </w:tcPr>
          <w:p w14:paraId="12AE1379">
            <w:pPr>
              <w:adjustRightInd w:val="0"/>
              <w:snapToGrid w:val="0"/>
              <w:jc w:val="center"/>
              <w:rPr>
                <w:color w:val="000000"/>
                <w:sz w:val="24"/>
              </w:rPr>
            </w:pPr>
          </w:p>
        </w:tc>
        <w:tc>
          <w:tcPr>
            <w:tcW w:w="1925" w:type="dxa"/>
            <w:noWrap w:val="0"/>
            <w:vAlign w:val="center"/>
          </w:tcPr>
          <w:p w14:paraId="4C94FEF0">
            <w:pPr>
              <w:adjustRightInd w:val="0"/>
              <w:snapToGrid w:val="0"/>
              <w:jc w:val="center"/>
              <w:rPr>
                <w:color w:val="000000"/>
                <w:sz w:val="24"/>
              </w:rPr>
            </w:pPr>
          </w:p>
        </w:tc>
        <w:tc>
          <w:tcPr>
            <w:tcW w:w="1045" w:type="dxa"/>
            <w:noWrap w:val="0"/>
            <w:vAlign w:val="center"/>
          </w:tcPr>
          <w:p w14:paraId="581A47F4">
            <w:pPr>
              <w:adjustRightInd w:val="0"/>
              <w:snapToGrid w:val="0"/>
              <w:jc w:val="center"/>
              <w:rPr>
                <w:color w:val="000000"/>
                <w:sz w:val="24"/>
              </w:rPr>
            </w:pPr>
          </w:p>
        </w:tc>
      </w:tr>
      <w:tr w14:paraId="4495A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noWrap w:val="0"/>
            <w:vAlign w:val="center"/>
          </w:tcPr>
          <w:p w14:paraId="0A19E792">
            <w:pPr>
              <w:adjustRightInd w:val="0"/>
              <w:snapToGrid w:val="0"/>
              <w:jc w:val="center"/>
              <w:rPr>
                <w:color w:val="000000"/>
                <w:sz w:val="24"/>
              </w:rPr>
            </w:pPr>
          </w:p>
        </w:tc>
        <w:tc>
          <w:tcPr>
            <w:tcW w:w="1646" w:type="dxa"/>
            <w:noWrap w:val="0"/>
            <w:vAlign w:val="center"/>
          </w:tcPr>
          <w:p w14:paraId="7C407EDA">
            <w:pPr>
              <w:adjustRightInd w:val="0"/>
              <w:snapToGrid w:val="0"/>
              <w:jc w:val="center"/>
              <w:rPr>
                <w:color w:val="000000"/>
                <w:sz w:val="24"/>
              </w:rPr>
            </w:pPr>
          </w:p>
        </w:tc>
        <w:tc>
          <w:tcPr>
            <w:tcW w:w="1688" w:type="dxa"/>
            <w:noWrap w:val="0"/>
            <w:vAlign w:val="center"/>
          </w:tcPr>
          <w:p w14:paraId="24EED5B1">
            <w:pPr>
              <w:adjustRightInd w:val="0"/>
              <w:snapToGrid w:val="0"/>
              <w:jc w:val="center"/>
              <w:rPr>
                <w:color w:val="000000"/>
                <w:sz w:val="24"/>
              </w:rPr>
            </w:pPr>
          </w:p>
        </w:tc>
        <w:tc>
          <w:tcPr>
            <w:tcW w:w="1688" w:type="dxa"/>
            <w:noWrap w:val="0"/>
            <w:vAlign w:val="center"/>
          </w:tcPr>
          <w:p w14:paraId="4BB2550A">
            <w:pPr>
              <w:adjustRightInd w:val="0"/>
              <w:snapToGrid w:val="0"/>
              <w:jc w:val="center"/>
              <w:rPr>
                <w:color w:val="000000"/>
                <w:sz w:val="24"/>
              </w:rPr>
            </w:pPr>
          </w:p>
        </w:tc>
        <w:tc>
          <w:tcPr>
            <w:tcW w:w="1925" w:type="dxa"/>
            <w:noWrap w:val="0"/>
            <w:vAlign w:val="center"/>
          </w:tcPr>
          <w:p w14:paraId="10602E63">
            <w:pPr>
              <w:adjustRightInd w:val="0"/>
              <w:snapToGrid w:val="0"/>
              <w:jc w:val="center"/>
              <w:rPr>
                <w:color w:val="000000"/>
                <w:sz w:val="24"/>
              </w:rPr>
            </w:pPr>
          </w:p>
        </w:tc>
        <w:tc>
          <w:tcPr>
            <w:tcW w:w="1045" w:type="dxa"/>
            <w:noWrap w:val="0"/>
            <w:vAlign w:val="center"/>
          </w:tcPr>
          <w:p w14:paraId="46B9F17B">
            <w:pPr>
              <w:adjustRightInd w:val="0"/>
              <w:snapToGrid w:val="0"/>
              <w:jc w:val="center"/>
              <w:rPr>
                <w:color w:val="000000"/>
                <w:sz w:val="24"/>
              </w:rPr>
            </w:pPr>
          </w:p>
        </w:tc>
      </w:tr>
      <w:tr w14:paraId="75453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noWrap w:val="0"/>
            <w:vAlign w:val="center"/>
          </w:tcPr>
          <w:p w14:paraId="2040B5B0">
            <w:pPr>
              <w:adjustRightInd w:val="0"/>
              <w:snapToGrid w:val="0"/>
              <w:jc w:val="center"/>
              <w:rPr>
                <w:color w:val="000000"/>
                <w:sz w:val="24"/>
              </w:rPr>
            </w:pPr>
          </w:p>
        </w:tc>
        <w:tc>
          <w:tcPr>
            <w:tcW w:w="1646" w:type="dxa"/>
            <w:noWrap w:val="0"/>
            <w:vAlign w:val="center"/>
          </w:tcPr>
          <w:p w14:paraId="25687735">
            <w:pPr>
              <w:adjustRightInd w:val="0"/>
              <w:snapToGrid w:val="0"/>
              <w:jc w:val="center"/>
              <w:rPr>
                <w:color w:val="000000"/>
                <w:sz w:val="24"/>
              </w:rPr>
            </w:pPr>
          </w:p>
        </w:tc>
        <w:tc>
          <w:tcPr>
            <w:tcW w:w="1688" w:type="dxa"/>
            <w:noWrap w:val="0"/>
            <w:vAlign w:val="center"/>
          </w:tcPr>
          <w:p w14:paraId="7B5FDFBC">
            <w:pPr>
              <w:adjustRightInd w:val="0"/>
              <w:snapToGrid w:val="0"/>
              <w:jc w:val="center"/>
              <w:rPr>
                <w:color w:val="000000"/>
                <w:sz w:val="24"/>
              </w:rPr>
            </w:pPr>
          </w:p>
        </w:tc>
        <w:tc>
          <w:tcPr>
            <w:tcW w:w="1688" w:type="dxa"/>
            <w:noWrap w:val="0"/>
            <w:vAlign w:val="center"/>
          </w:tcPr>
          <w:p w14:paraId="0C65397A">
            <w:pPr>
              <w:adjustRightInd w:val="0"/>
              <w:snapToGrid w:val="0"/>
              <w:jc w:val="center"/>
              <w:rPr>
                <w:color w:val="000000"/>
                <w:sz w:val="24"/>
              </w:rPr>
            </w:pPr>
          </w:p>
        </w:tc>
        <w:tc>
          <w:tcPr>
            <w:tcW w:w="1925" w:type="dxa"/>
            <w:noWrap w:val="0"/>
            <w:vAlign w:val="center"/>
          </w:tcPr>
          <w:p w14:paraId="6F8F9A90">
            <w:pPr>
              <w:adjustRightInd w:val="0"/>
              <w:snapToGrid w:val="0"/>
              <w:jc w:val="center"/>
              <w:rPr>
                <w:color w:val="000000"/>
                <w:sz w:val="24"/>
              </w:rPr>
            </w:pPr>
          </w:p>
        </w:tc>
        <w:tc>
          <w:tcPr>
            <w:tcW w:w="1045" w:type="dxa"/>
            <w:noWrap w:val="0"/>
            <w:vAlign w:val="center"/>
          </w:tcPr>
          <w:p w14:paraId="2B1E4816">
            <w:pPr>
              <w:adjustRightInd w:val="0"/>
              <w:snapToGrid w:val="0"/>
              <w:jc w:val="center"/>
              <w:rPr>
                <w:color w:val="000000"/>
                <w:sz w:val="24"/>
              </w:rPr>
            </w:pPr>
          </w:p>
        </w:tc>
      </w:tr>
      <w:bookmarkEnd w:id="946"/>
    </w:tbl>
    <w:p w14:paraId="61E3F76A">
      <w:pPr>
        <w:tabs>
          <w:tab w:val="left" w:pos="1800"/>
          <w:tab w:val="left" w:pos="5580"/>
        </w:tabs>
        <w:jc w:val="left"/>
        <w:rPr>
          <w:color w:val="000000"/>
          <w:sz w:val="24"/>
        </w:rPr>
      </w:pPr>
    </w:p>
    <w:p w14:paraId="6C7B7F5B">
      <w:pPr>
        <w:tabs>
          <w:tab w:val="left" w:pos="1800"/>
          <w:tab w:val="left" w:pos="5580"/>
        </w:tabs>
        <w:jc w:val="left"/>
        <w:rPr>
          <w:color w:val="000000"/>
          <w:sz w:val="24"/>
        </w:rPr>
      </w:pPr>
      <w:r>
        <w:rPr>
          <w:color w:val="000000"/>
          <w:sz w:val="24"/>
        </w:rPr>
        <w:t>注：</w:t>
      </w:r>
      <w:r>
        <w:rPr>
          <w:sz w:val="24"/>
        </w:rPr>
        <w:t>“偏离情况”列应</w:t>
      </w:r>
      <w:r>
        <w:rPr>
          <w:color w:val="000000"/>
          <w:sz w:val="24"/>
        </w:rPr>
        <w:t>据实</w:t>
      </w:r>
      <w:r>
        <w:rPr>
          <w:sz w:val="24"/>
        </w:rPr>
        <w:t>填写“正偏离”或“负偏离”。</w:t>
      </w:r>
    </w:p>
    <w:p w14:paraId="47896970">
      <w:pPr>
        <w:spacing w:line="360" w:lineRule="auto"/>
        <w:rPr>
          <w:color w:val="000000"/>
          <w:sz w:val="24"/>
          <w:szCs w:val="20"/>
        </w:rPr>
      </w:pPr>
    </w:p>
    <w:p w14:paraId="4D575628">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1CAA237D">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6D598E23">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6C3091E4">
      <w:pPr>
        <w:numPr>
          <w:ilvl w:val="0"/>
          <w:numId w:val="32"/>
        </w:numPr>
        <w:tabs>
          <w:tab w:val="left" w:pos="360"/>
        </w:tabs>
        <w:snapToGrid w:val="0"/>
        <w:spacing w:line="360" w:lineRule="auto"/>
        <w:outlineLvl w:val="1"/>
        <w:rPr>
          <w:color w:val="000000"/>
          <w:sz w:val="24"/>
          <w:szCs w:val="20"/>
        </w:rPr>
      </w:pPr>
      <w:r>
        <w:rPr>
          <w:color w:val="000000"/>
          <w:sz w:val="24"/>
          <w:szCs w:val="20"/>
        </w:rPr>
        <w:br w:type="page"/>
      </w:r>
      <w:bookmarkEnd w:id="933"/>
      <w:bookmarkEnd w:id="934"/>
      <w:bookmarkEnd w:id="935"/>
      <w:bookmarkEnd w:id="936"/>
      <w:bookmarkEnd w:id="937"/>
      <w:bookmarkEnd w:id="938"/>
      <w:bookmarkEnd w:id="939"/>
      <w:bookmarkEnd w:id="940"/>
      <w:bookmarkEnd w:id="941"/>
      <w:bookmarkEnd w:id="942"/>
      <w:bookmarkEnd w:id="943"/>
      <w:bookmarkEnd w:id="944"/>
      <w:bookmarkEnd w:id="945"/>
      <w:r>
        <w:rPr>
          <w:color w:val="000000"/>
          <w:sz w:val="24"/>
          <w:szCs w:val="20"/>
        </w:rPr>
        <w:t>采购需求偏离表（实质性格式）</w:t>
      </w:r>
    </w:p>
    <w:p w14:paraId="6A1C3CFA">
      <w:pPr>
        <w:autoSpaceDE w:val="0"/>
        <w:autoSpaceDN w:val="0"/>
        <w:adjustRightInd w:val="0"/>
        <w:spacing w:line="360" w:lineRule="auto"/>
        <w:jc w:val="center"/>
        <w:rPr>
          <w:b/>
          <w:color w:val="000000"/>
          <w:sz w:val="36"/>
          <w:szCs w:val="36"/>
        </w:rPr>
      </w:pPr>
      <w:r>
        <w:rPr>
          <w:b/>
          <w:color w:val="000000"/>
          <w:sz w:val="36"/>
          <w:szCs w:val="36"/>
        </w:rPr>
        <w:t>采购需求偏离表</w:t>
      </w:r>
    </w:p>
    <w:p w14:paraId="788F01CE">
      <w:pPr>
        <w:tabs>
          <w:tab w:val="left" w:pos="1800"/>
          <w:tab w:val="left" w:pos="5580"/>
        </w:tabs>
        <w:spacing w:line="360" w:lineRule="auto"/>
        <w:ind w:firstLine="360" w:firstLineChars="150"/>
        <w:jc w:val="left"/>
        <w:rPr>
          <w:color w:val="000000"/>
          <w:sz w:val="24"/>
          <w:u w:val="single"/>
        </w:rPr>
      </w:pPr>
      <w:r>
        <w:rPr>
          <w:color w:val="000000"/>
          <w:sz w:val="24"/>
        </w:rPr>
        <w:t>项目编号/包号：_____________________     项目名称：____________</w:t>
      </w:r>
    </w:p>
    <w:tbl>
      <w:tblPr>
        <w:tblStyle w:val="42"/>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0F808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noWrap w:val="0"/>
            <w:vAlign w:val="center"/>
          </w:tcPr>
          <w:p w14:paraId="13736377">
            <w:pPr>
              <w:adjustRightInd w:val="0"/>
              <w:snapToGrid w:val="0"/>
              <w:jc w:val="center"/>
              <w:rPr>
                <w:color w:val="000000"/>
                <w:sz w:val="24"/>
              </w:rPr>
            </w:pPr>
            <w:r>
              <w:rPr>
                <w:color w:val="000000"/>
                <w:sz w:val="24"/>
              </w:rPr>
              <w:t>序号</w:t>
            </w:r>
          </w:p>
        </w:tc>
        <w:tc>
          <w:tcPr>
            <w:tcW w:w="1482" w:type="dxa"/>
            <w:noWrap w:val="0"/>
            <w:vAlign w:val="center"/>
          </w:tcPr>
          <w:p w14:paraId="66300AA7">
            <w:pPr>
              <w:adjustRightInd w:val="0"/>
              <w:snapToGrid w:val="0"/>
              <w:jc w:val="center"/>
              <w:rPr>
                <w:color w:val="000000"/>
                <w:sz w:val="24"/>
              </w:rPr>
            </w:pPr>
            <w:r>
              <w:rPr>
                <w:color w:val="000000"/>
                <w:sz w:val="24"/>
              </w:rPr>
              <w:t>招标文件条目号</w:t>
            </w:r>
          </w:p>
        </w:tc>
        <w:tc>
          <w:tcPr>
            <w:tcW w:w="2384" w:type="dxa"/>
            <w:noWrap w:val="0"/>
            <w:vAlign w:val="center"/>
          </w:tcPr>
          <w:p w14:paraId="344121A9">
            <w:pPr>
              <w:adjustRightInd w:val="0"/>
              <w:snapToGrid w:val="0"/>
              <w:jc w:val="center"/>
              <w:rPr>
                <w:color w:val="000000"/>
                <w:sz w:val="24"/>
              </w:rPr>
            </w:pPr>
            <w:r>
              <w:rPr>
                <w:color w:val="000000"/>
                <w:sz w:val="24"/>
              </w:rPr>
              <w:t>招标文件要求</w:t>
            </w:r>
          </w:p>
        </w:tc>
        <w:tc>
          <w:tcPr>
            <w:tcW w:w="2126" w:type="dxa"/>
            <w:noWrap w:val="0"/>
            <w:vAlign w:val="center"/>
          </w:tcPr>
          <w:p w14:paraId="637356B2">
            <w:pPr>
              <w:adjustRightInd w:val="0"/>
              <w:snapToGrid w:val="0"/>
              <w:jc w:val="center"/>
              <w:rPr>
                <w:color w:val="000000"/>
                <w:sz w:val="24"/>
              </w:rPr>
            </w:pPr>
            <w:r>
              <w:rPr>
                <w:color w:val="000000"/>
                <w:sz w:val="24"/>
              </w:rPr>
              <w:t>投标响应内容</w:t>
            </w:r>
          </w:p>
        </w:tc>
        <w:tc>
          <w:tcPr>
            <w:tcW w:w="1875" w:type="dxa"/>
            <w:noWrap w:val="0"/>
            <w:vAlign w:val="center"/>
          </w:tcPr>
          <w:p w14:paraId="077156CE">
            <w:pPr>
              <w:adjustRightInd w:val="0"/>
              <w:snapToGrid w:val="0"/>
              <w:jc w:val="center"/>
              <w:rPr>
                <w:color w:val="000000"/>
                <w:sz w:val="24"/>
              </w:rPr>
            </w:pPr>
            <w:r>
              <w:rPr>
                <w:color w:val="000000"/>
                <w:sz w:val="24"/>
              </w:rPr>
              <w:t>偏离情况</w:t>
            </w:r>
          </w:p>
        </w:tc>
        <w:tc>
          <w:tcPr>
            <w:tcW w:w="1009" w:type="dxa"/>
            <w:noWrap w:val="0"/>
            <w:vAlign w:val="center"/>
          </w:tcPr>
          <w:p w14:paraId="5C249CF9">
            <w:pPr>
              <w:adjustRightInd w:val="0"/>
              <w:snapToGrid w:val="0"/>
              <w:jc w:val="center"/>
              <w:rPr>
                <w:color w:val="000000"/>
                <w:sz w:val="24"/>
              </w:rPr>
            </w:pPr>
            <w:r>
              <w:rPr>
                <w:color w:val="000000"/>
                <w:sz w:val="24"/>
              </w:rPr>
              <w:t>说明</w:t>
            </w:r>
          </w:p>
        </w:tc>
      </w:tr>
      <w:tr w14:paraId="3DAB1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4BD88FF3">
            <w:pPr>
              <w:adjustRightInd w:val="0"/>
              <w:snapToGrid w:val="0"/>
              <w:jc w:val="center"/>
              <w:rPr>
                <w:color w:val="000000"/>
                <w:sz w:val="24"/>
              </w:rPr>
            </w:pPr>
          </w:p>
        </w:tc>
        <w:tc>
          <w:tcPr>
            <w:tcW w:w="1482" w:type="dxa"/>
            <w:noWrap w:val="0"/>
            <w:vAlign w:val="center"/>
          </w:tcPr>
          <w:p w14:paraId="474355A1">
            <w:pPr>
              <w:adjustRightInd w:val="0"/>
              <w:snapToGrid w:val="0"/>
              <w:jc w:val="center"/>
              <w:rPr>
                <w:color w:val="000000"/>
                <w:sz w:val="24"/>
              </w:rPr>
            </w:pPr>
          </w:p>
        </w:tc>
        <w:tc>
          <w:tcPr>
            <w:tcW w:w="2384" w:type="dxa"/>
            <w:noWrap w:val="0"/>
            <w:vAlign w:val="center"/>
          </w:tcPr>
          <w:p w14:paraId="0283073E">
            <w:pPr>
              <w:adjustRightInd w:val="0"/>
              <w:snapToGrid w:val="0"/>
              <w:jc w:val="center"/>
              <w:rPr>
                <w:color w:val="000000"/>
                <w:sz w:val="24"/>
              </w:rPr>
            </w:pPr>
          </w:p>
        </w:tc>
        <w:tc>
          <w:tcPr>
            <w:tcW w:w="2126" w:type="dxa"/>
            <w:noWrap w:val="0"/>
            <w:vAlign w:val="center"/>
          </w:tcPr>
          <w:p w14:paraId="175C54B0">
            <w:pPr>
              <w:adjustRightInd w:val="0"/>
              <w:snapToGrid w:val="0"/>
              <w:jc w:val="center"/>
              <w:rPr>
                <w:color w:val="000000"/>
                <w:sz w:val="24"/>
              </w:rPr>
            </w:pPr>
          </w:p>
        </w:tc>
        <w:tc>
          <w:tcPr>
            <w:tcW w:w="1875" w:type="dxa"/>
            <w:noWrap w:val="0"/>
            <w:vAlign w:val="center"/>
          </w:tcPr>
          <w:p w14:paraId="5E88B9A1">
            <w:pPr>
              <w:adjustRightInd w:val="0"/>
              <w:snapToGrid w:val="0"/>
              <w:jc w:val="center"/>
              <w:rPr>
                <w:color w:val="000000"/>
                <w:sz w:val="24"/>
              </w:rPr>
            </w:pPr>
          </w:p>
        </w:tc>
        <w:tc>
          <w:tcPr>
            <w:tcW w:w="1009" w:type="dxa"/>
            <w:noWrap w:val="0"/>
            <w:vAlign w:val="center"/>
          </w:tcPr>
          <w:p w14:paraId="3C37FDFE">
            <w:pPr>
              <w:adjustRightInd w:val="0"/>
              <w:snapToGrid w:val="0"/>
              <w:jc w:val="center"/>
              <w:rPr>
                <w:color w:val="000000"/>
                <w:sz w:val="24"/>
              </w:rPr>
            </w:pPr>
          </w:p>
        </w:tc>
      </w:tr>
      <w:tr w14:paraId="79DC8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60DA629E">
            <w:pPr>
              <w:adjustRightInd w:val="0"/>
              <w:snapToGrid w:val="0"/>
              <w:jc w:val="center"/>
              <w:rPr>
                <w:color w:val="000000"/>
                <w:sz w:val="24"/>
              </w:rPr>
            </w:pPr>
          </w:p>
        </w:tc>
        <w:tc>
          <w:tcPr>
            <w:tcW w:w="1482" w:type="dxa"/>
            <w:noWrap w:val="0"/>
            <w:vAlign w:val="center"/>
          </w:tcPr>
          <w:p w14:paraId="5C4304DF">
            <w:pPr>
              <w:adjustRightInd w:val="0"/>
              <w:snapToGrid w:val="0"/>
              <w:jc w:val="center"/>
              <w:rPr>
                <w:color w:val="000000"/>
                <w:sz w:val="24"/>
              </w:rPr>
            </w:pPr>
          </w:p>
        </w:tc>
        <w:tc>
          <w:tcPr>
            <w:tcW w:w="2384" w:type="dxa"/>
            <w:noWrap w:val="0"/>
            <w:vAlign w:val="center"/>
          </w:tcPr>
          <w:p w14:paraId="23A5CB7B">
            <w:pPr>
              <w:adjustRightInd w:val="0"/>
              <w:snapToGrid w:val="0"/>
              <w:jc w:val="center"/>
              <w:rPr>
                <w:color w:val="000000"/>
                <w:sz w:val="24"/>
              </w:rPr>
            </w:pPr>
          </w:p>
        </w:tc>
        <w:tc>
          <w:tcPr>
            <w:tcW w:w="2126" w:type="dxa"/>
            <w:noWrap w:val="0"/>
            <w:vAlign w:val="center"/>
          </w:tcPr>
          <w:p w14:paraId="3DD2B0FE">
            <w:pPr>
              <w:adjustRightInd w:val="0"/>
              <w:snapToGrid w:val="0"/>
              <w:jc w:val="center"/>
              <w:rPr>
                <w:color w:val="000000"/>
                <w:sz w:val="24"/>
              </w:rPr>
            </w:pPr>
          </w:p>
        </w:tc>
        <w:tc>
          <w:tcPr>
            <w:tcW w:w="1875" w:type="dxa"/>
            <w:noWrap w:val="0"/>
            <w:vAlign w:val="center"/>
          </w:tcPr>
          <w:p w14:paraId="4EA77E08">
            <w:pPr>
              <w:adjustRightInd w:val="0"/>
              <w:snapToGrid w:val="0"/>
              <w:jc w:val="center"/>
              <w:rPr>
                <w:color w:val="000000"/>
                <w:sz w:val="24"/>
              </w:rPr>
            </w:pPr>
          </w:p>
        </w:tc>
        <w:tc>
          <w:tcPr>
            <w:tcW w:w="1009" w:type="dxa"/>
            <w:noWrap w:val="0"/>
            <w:vAlign w:val="center"/>
          </w:tcPr>
          <w:p w14:paraId="176C9E10">
            <w:pPr>
              <w:adjustRightInd w:val="0"/>
              <w:snapToGrid w:val="0"/>
              <w:jc w:val="center"/>
              <w:rPr>
                <w:color w:val="000000"/>
                <w:sz w:val="24"/>
              </w:rPr>
            </w:pPr>
          </w:p>
        </w:tc>
      </w:tr>
      <w:tr w14:paraId="3A135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18A7598C">
            <w:pPr>
              <w:adjustRightInd w:val="0"/>
              <w:snapToGrid w:val="0"/>
              <w:jc w:val="center"/>
              <w:rPr>
                <w:color w:val="000000"/>
                <w:sz w:val="24"/>
              </w:rPr>
            </w:pPr>
          </w:p>
        </w:tc>
        <w:tc>
          <w:tcPr>
            <w:tcW w:w="1482" w:type="dxa"/>
            <w:noWrap w:val="0"/>
            <w:vAlign w:val="center"/>
          </w:tcPr>
          <w:p w14:paraId="14C28447">
            <w:pPr>
              <w:adjustRightInd w:val="0"/>
              <w:snapToGrid w:val="0"/>
              <w:jc w:val="center"/>
              <w:rPr>
                <w:color w:val="000000"/>
                <w:sz w:val="24"/>
              </w:rPr>
            </w:pPr>
          </w:p>
        </w:tc>
        <w:tc>
          <w:tcPr>
            <w:tcW w:w="2384" w:type="dxa"/>
            <w:noWrap w:val="0"/>
            <w:vAlign w:val="center"/>
          </w:tcPr>
          <w:p w14:paraId="1E538F24">
            <w:pPr>
              <w:adjustRightInd w:val="0"/>
              <w:snapToGrid w:val="0"/>
              <w:jc w:val="center"/>
              <w:rPr>
                <w:color w:val="000000"/>
                <w:sz w:val="24"/>
              </w:rPr>
            </w:pPr>
          </w:p>
        </w:tc>
        <w:tc>
          <w:tcPr>
            <w:tcW w:w="2126" w:type="dxa"/>
            <w:noWrap w:val="0"/>
            <w:vAlign w:val="center"/>
          </w:tcPr>
          <w:p w14:paraId="0342895A">
            <w:pPr>
              <w:adjustRightInd w:val="0"/>
              <w:snapToGrid w:val="0"/>
              <w:jc w:val="center"/>
              <w:rPr>
                <w:color w:val="000000"/>
                <w:sz w:val="24"/>
              </w:rPr>
            </w:pPr>
          </w:p>
        </w:tc>
        <w:tc>
          <w:tcPr>
            <w:tcW w:w="1875" w:type="dxa"/>
            <w:noWrap w:val="0"/>
            <w:vAlign w:val="center"/>
          </w:tcPr>
          <w:p w14:paraId="656BE4A7">
            <w:pPr>
              <w:adjustRightInd w:val="0"/>
              <w:snapToGrid w:val="0"/>
              <w:jc w:val="center"/>
              <w:rPr>
                <w:color w:val="000000"/>
                <w:sz w:val="24"/>
              </w:rPr>
            </w:pPr>
          </w:p>
        </w:tc>
        <w:tc>
          <w:tcPr>
            <w:tcW w:w="1009" w:type="dxa"/>
            <w:noWrap w:val="0"/>
            <w:vAlign w:val="center"/>
          </w:tcPr>
          <w:p w14:paraId="4E8C5F04">
            <w:pPr>
              <w:adjustRightInd w:val="0"/>
              <w:snapToGrid w:val="0"/>
              <w:jc w:val="center"/>
              <w:rPr>
                <w:color w:val="000000"/>
                <w:sz w:val="24"/>
              </w:rPr>
            </w:pPr>
          </w:p>
        </w:tc>
      </w:tr>
      <w:tr w14:paraId="6C0C9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5134B85B">
            <w:pPr>
              <w:adjustRightInd w:val="0"/>
              <w:snapToGrid w:val="0"/>
              <w:jc w:val="center"/>
              <w:rPr>
                <w:color w:val="000000"/>
                <w:sz w:val="24"/>
              </w:rPr>
            </w:pPr>
          </w:p>
        </w:tc>
        <w:tc>
          <w:tcPr>
            <w:tcW w:w="1482" w:type="dxa"/>
            <w:noWrap w:val="0"/>
            <w:vAlign w:val="center"/>
          </w:tcPr>
          <w:p w14:paraId="1A250242">
            <w:pPr>
              <w:adjustRightInd w:val="0"/>
              <w:snapToGrid w:val="0"/>
              <w:jc w:val="center"/>
              <w:rPr>
                <w:color w:val="000000"/>
                <w:sz w:val="24"/>
              </w:rPr>
            </w:pPr>
          </w:p>
        </w:tc>
        <w:tc>
          <w:tcPr>
            <w:tcW w:w="2384" w:type="dxa"/>
            <w:noWrap w:val="0"/>
            <w:vAlign w:val="center"/>
          </w:tcPr>
          <w:p w14:paraId="24939840">
            <w:pPr>
              <w:adjustRightInd w:val="0"/>
              <w:snapToGrid w:val="0"/>
              <w:jc w:val="center"/>
              <w:rPr>
                <w:color w:val="000000"/>
                <w:sz w:val="24"/>
              </w:rPr>
            </w:pPr>
          </w:p>
        </w:tc>
        <w:tc>
          <w:tcPr>
            <w:tcW w:w="2126" w:type="dxa"/>
            <w:noWrap w:val="0"/>
            <w:vAlign w:val="center"/>
          </w:tcPr>
          <w:p w14:paraId="2184B7EE">
            <w:pPr>
              <w:adjustRightInd w:val="0"/>
              <w:snapToGrid w:val="0"/>
              <w:jc w:val="center"/>
              <w:rPr>
                <w:color w:val="000000"/>
                <w:sz w:val="24"/>
              </w:rPr>
            </w:pPr>
          </w:p>
        </w:tc>
        <w:tc>
          <w:tcPr>
            <w:tcW w:w="1875" w:type="dxa"/>
            <w:noWrap w:val="0"/>
            <w:vAlign w:val="center"/>
          </w:tcPr>
          <w:p w14:paraId="26917F7C">
            <w:pPr>
              <w:adjustRightInd w:val="0"/>
              <w:snapToGrid w:val="0"/>
              <w:jc w:val="center"/>
              <w:rPr>
                <w:color w:val="000000"/>
                <w:sz w:val="24"/>
              </w:rPr>
            </w:pPr>
          </w:p>
        </w:tc>
        <w:tc>
          <w:tcPr>
            <w:tcW w:w="1009" w:type="dxa"/>
            <w:noWrap w:val="0"/>
            <w:vAlign w:val="center"/>
          </w:tcPr>
          <w:p w14:paraId="41DE0B1A">
            <w:pPr>
              <w:adjustRightInd w:val="0"/>
              <w:snapToGrid w:val="0"/>
              <w:jc w:val="center"/>
              <w:rPr>
                <w:color w:val="000000"/>
                <w:sz w:val="24"/>
              </w:rPr>
            </w:pPr>
          </w:p>
        </w:tc>
      </w:tr>
      <w:tr w14:paraId="6863A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143432DC">
            <w:pPr>
              <w:adjustRightInd w:val="0"/>
              <w:snapToGrid w:val="0"/>
              <w:jc w:val="center"/>
              <w:rPr>
                <w:color w:val="000000"/>
                <w:sz w:val="24"/>
              </w:rPr>
            </w:pPr>
          </w:p>
        </w:tc>
        <w:tc>
          <w:tcPr>
            <w:tcW w:w="1482" w:type="dxa"/>
            <w:noWrap w:val="0"/>
            <w:vAlign w:val="center"/>
          </w:tcPr>
          <w:p w14:paraId="34F77E45">
            <w:pPr>
              <w:adjustRightInd w:val="0"/>
              <w:snapToGrid w:val="0"/>
              <w:jc w:val="center"/>
              <w:rPr>
                <w:color w:val="000000"/>
                <w:sz w:val="24"/>
              </w:rPr>
            </w:pPr>
          </w:p>
        </w:tc>
        <w:tc>
          <w:tcPr>
            <w:tcW w:w="2384" w:type="dxa"/>
            <w:noWrap w:val="0"/>
            <w:vAlign w:val="center"/>
          </w:tcPr>
          <w:p w14:paraId="6F256167">
            <w:pPr>
              <w:adjustRightInd w:val="0"/>
              <w:snapToGrid w:val="0"/>
              <w:jc w:val="center"/>
              <w:rPr>
                <w:color w:val="000000"/>
                <w:sz w:val="24"/>
              </w:rPr>
            </w:pPr>
          </w:p>
        </w:tc>
        <w:tc>
          <w:tcPr>
            <w:tcW w:w="2126" w:type="dxa"/>
            <w:noWrap w:val="0"/>
            <w:vAlign w:val="center"/>
          </w:tcPr>
          <w:p w14:paraId="591B5DB3">
            <w:pPr>
              <w:adjustRightInd w:val="0"/>
              <w:snapToGrid w:val="0"/>
              <w:jc w:val="center"/>
              <w:rPr>
                <w:color w:val="000000"/>
                <w:sz w:val="24"/>
              </w:rPr>
            </w:pPr>
          </w:p>
        </w:tc>
        <w:tc>
          <w:tcPr>
            <w:tcW w:w="1875" w:type="dxa"/>
            <w:noWrap w:val="0"/>
            <w:vAlign w:val="center"/>
          </w:tcPr>
          <w:p w14:paraId="540F0C66">
            <w:pPr>
              <w:adjustRightInd w:val="0"/>
              <w:snapToGrid w:val="0"/>
              <w:jc w:val="center"/>
              <w:rPr>
                <w:color w:val="000000"/>
                <w:sz w:val="24"/>
              </w:rPr>
            </w:pPr>
          </w:p>
        </w:tc>
        <w:tc>
          <w:tcPr>
            <w:tcW w:w="1009" w:type="dxa"/>
            <w:noWrap w:val="0"/>
            <w:vAlign w:val="center"/>
          </w:tcPr>
          <w:p w14:paraId="0237E7BF">
            <w:pPr>
              <w:adjustRightInd w:val="0"/>
              <w:snapToGrid w:val="0"/>
              <w:jc w:val="center"/>
              <w:rPr>
                <w:color w:val="000000"/>
                <w:sz w:val="24"/>
              </w:rPr>
            </w:pPr>
          </w:p>
        </w:tc>
      </w:tr>
      <w:tr w14:paraId="73E3A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17EC5549">
            <w:pPr>
              <w:adjustRightInd w:val="0"/>
              <w:snapToGrid w:val="0"/>
              <w:jc w:val="center"/>
              <w:rPr>
                <w:color w:val="000000"/>
                <w:sz w:val="24"/>
              </w:rPr>
            </w:pPr>
          </w:p>
        </w:tc>
        <w:tc>
          <w:tcPr>
            <w:tcW w:w="1482" w:type="dxa"/>
            <w:noWrap w:val="0"/>
            <w:vAlign w:val="center"/>
          </w:tcPr>
          <w:p w14:paraId="014855D4">
            <w:pPr>
              <w:adjustRightInd w:val="0"/>
              <w:snapToGrid w:val="0"/>
              <w:jc w:val="center"/>
              <w:rPr>
                <w:color w:val="000000"/>
                <w:sz w:val="24"/>
              </w:rPr>
            </w:pPr>
          </w:p>
        </w:tc>
        <w:tc>
          <w:tcPr>
            <w:tcW w:w="2384" w:type="dxa"/>
            <w:noWrap w:val="0"/>
            <w:vAlign w:val="center"/>
          </w:tcPr>
          <w:p w14:paraId="43AFD2C2">
            <w:pPr>
              <w:adjustRightInd w:val="0"/>
              <w:snapToGrid w:val="0"/>
              <w:jc w:val="center"/>
              <w:rPr>
                <w:color w:val="000000"/>
                <w:sz w:val="24"/>
              </w:rPr>
            </w:pPr>
          </w:p>
        </w:tc>
        <w:tc>
          <w:tcPr>
            <w:tcW w:w="2126" w:type="dxa"/>
            <w:noWrap w:val="0"/>
            <w:vAlign w:val="center"/>
          </w:tcPr>
          <w:p w14:paraId="3BF27F3F">
            <w:pPr>
              <w:adjustRightInd w:val="0"/>
              <w:snapToGrid w:val="0"/>
              <w:jc w:val="center"/>
              <w:rPr>
                <w:color w:val="000000"/>
                <w:sz w:val="24"/>
              </w:rPr>
            </w:pPr>
          </w:p>
        </w:tc>
        <w:tc>
          <w:tcPr>
            <w:tcW w:w="1875" w:type="dxa"/>
            <w:noWrap w:val="0"/>
            <w:vAlign w:val="center"/>
          </w:tcPr>
          <w:p w14:paraId="78DDDB63">
            <w:pPr>
              <w:adjustRightInd w:val="0"/>
              <w:snapToGrid w:val="0"/>
              <w:jc w:val="center"/>
              <w:rPr>
                <w:color w:val="000000"/>
                <w:sz w:val="24"/>
              </w:rPr>
            </w:pPr>
          </w:p>
        </w:tc>
        <w:tc>
          <w:tcPr>
            <w:tcW w:w="1009" w:type="dxa"/>
            <w:noWrap w:val="0"/>
            <w:vAlign w:val="center"/>
          </w:tcPr>
          <w:p w14:paraId="73F91B89">
            <w:pPr>
              <w:adjustRightInd w:val="0"/>
              <w:snapToGrid w:val="0"/>
              <w:jc w:val="center"/>
              <w:rPr>
                <w:color w:val="000000"/>
                <w:sz w:val="24"/>
              </w:rPr>
            </w:pPr>
          </w:p>
        </w:tc>
      </w:tr>
    </w:tbl>
    <w:p w14:paraId="1DF1E506">
      <w:pPr>
        <w:tabs>
          <w:tab w:val="left" w:pos="1800"/>
          <w:tab w:val="left" w:pos="5580"/>
        </w:tabs>
        <w:spacing w:line="360" w:lineRule="auto"/>
        <w:ind w:firstLine="360" w:firstLineChars="150"/>
        <w:jc w:val="left"/>
        <w:rPr>
          <w:color w:val="000000"/>
          <w:sz w:val="24"/>
          <w:u w:val="single"/>
        </w:rPr>
      </w:pPr>
    </w:p>
    <w:p w14:paraId="1013FA1F">
      <w:pPr>
        <w:tabs>
          <w:tab w:val="left" w:pos="1800"/>
          <w:tab w:val="left" w:pos="5580"/>
        </w:tabs>
        <w:spacing w:line="360" w:lineRule="auto"/>
        <w:ind w:firstLine="360" w:firstLineChars="150"/>
        <w:jc w:val="left"/>
        <w:rPr>
          <w:color w:val="000000"/>
          <w:sz w:val="24"/>
          <w:u w:val="single"/>
        </w:rPr>
      </w:pPr>
    </w:p>
    <w:p w14:paraId="0BF2537B">
      <w:pPr>
        <w:tabs>
          <w:tab w:val="left" w:pos="1800"/>
          <w:tab w:val="left" w:pos="5580"/>
        </w:tabs>
        <w:jc w:val="left"/>
        <w:rPr>
          <w:color w:val="000000"/>
          <w:sz w:val="24"/>
        </w:rPr>
      </w:pPr>
      <w:r>
        <w:rPr>
          <w:color w:val="000000"/>
          <w:sz w:val="24"/>
        </w:rPr>
        <w:t>注：</w:t>
      </w:r>
    </w:p>
    <w:p w14:paraId="537C3371">
      <w:pPr>
        <w:tabs>
          <w:tab w:val="left" w:pos="1800"/>
          <w:tab w:val="left" w:pos="5580"/>
        </w:tabs>
        <w:jc w:val="left"/>
        <w:rPr>
          <w:sz w:val="24"/>
        </w:rPr>
      </w:pPr>
      <w:r>
        <w:rPr>
          <w:color w:val="000000"/>
          <w:sz w:val="24"/>
        </w:rPr>
        <w:t xml:space="preserve">1. </w:t>
      </w:r>
      <w:r>
        <w:rPr>
          <w:sz w:val="24"/>
        </w:rPr>
        <w:t>对招标文件中的所有商务、技术要求，除本表所列明的所有偏离外，均视作供应商已对之理解和响应。此表中若无任何文字说明，内容为空白的，</w:t>
      </w:r>
      <w:r>
        <w:rPr>
          <w:b/>
          <w:sz w:val="24"/>
        </w:rPr>
        <w:t>投标无效。</w:t>
      </w:r>
    </w:p>
    <w:p w14:paraId="4BB340E9">
      <w:pPr>
        <w:tabs>
          <w:tab w:val="left" w:pos="1800"/>
          <w:tab w:val="left" w:pos="5580"/>
        </w:tabs>
        <w:jc w:val="left"/>
        <w:rPr>
          <w:color w:val="000000"/>
          <w:sz w:val="24"/>
        </w:rPr>
      </w:pPr>
      <w:r>
        <w:rPr>
          <w:sz w:val="24"/>
        </w:rPr>
        <w:t>2.“偏离情况”列应</w:t>
      </w:r>
      <w:r>
        <w:rPr>
          <w:color w:val="000000"/>
          <w:sz w:val="24"/>
        </w:rPr>
        <w:t>据实</w:t>
      </w:r>
      <w:r>
        <w:rPr>
          <w:sz w:val="24"/>
        </w:rPr>
        <w:t>填写“无偏离”、“正偏离”或“负偏离”。</w:t>
      </w:r>
    </w:p>
    <w:p w14:paraId="7962192D">
      <w:pPr>
        <w:tabs>
          <w:tab w:val="left" w:pos="1800"/>
          <w:tab w:val="left" w:pos="5580"/>
        </w:tabs>
        <w:jc w:val="left"/>
        <w:rPr>
          <w:sz w:val="24"/>
        </w:rPr>
      </w:pPr>
    </w:p>
    <w:p w14:paraId="1E667718">
      <w:pPr>
        <w:tabs>
          <w:tab w:val="left" w:pos="1800"/>
          <w:tab w:val="left" w:pos="5580"/>
        </w:tabs>
        <w:jc w:val="left"/>
        <w:rPr>
          <w:color w:val="000000"/>
          <w:sz w:val="24"/>
        </w:rPr>
      </w:pPr>
    </w:p>
    <w:p w14:paraId="5CEFE02F">
      <w:pPr>
        <w:rPr>
          <w:color w:val="000000"/>
          <w:sz w:val="24"/>
          <w:szCs w:val="20"/>
        </w:rPr>
      </w:pPr>
    </w:p>
    <w:p w14:paraId="4462758A">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008B3373">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644894CC">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7A14A374">
      <w:pPr>
        <w:numPr>
          <w:ilvl w:val="0"/>
          <w:numId w:val="32"/>
        </w:numPr>
        <w:tabs>
          <w:tab w:val="left" w:pos="360"/>
        </w:tabs>
        <w:snapToGrid w:val="0"/>
        <w:spacing w:line="360" w:lineRule="auto"/>
        <w:outlineLvl w:val="1"/>
        <w:rPr>
          <w:color w:val="000000"/>
          <w:sz w:val="24"/>
          <w:szCs w:val="20"/>
        </w:rPr>
      </w:pPr>
      <w:r>
        <w:rPr>
          <w:color w:val="000000"/>
          <w:sz w:val="24"/>
          <w:szCs w:val="20"/>
        </w:rPr>
        <w:br w:type="page"/>
      </w:r>
      <w:r>
        <w:rPr>
          <w:color w:val="000000"/>
          <w:sz w:val="24"/>
          <w:szCs w:val="20"/>
        </w:rPr>
        <w:t>中小企业证明文件</w:t>
      </w:r>
    </w:p>
    <w:p w14:paraId="3BF43DDC">
      <w:pPr>
        <w:tabs>
          <w:tab w:val="left" w:pos="5580"/>
        </w:tabs>
        <w:spacing w:line="360" w:lineRule="auto"/>
        <w:rPr>
          <w:sz w:val="24"/>
        </w:rPr>
      </w:pPr>
      <w:r>
        <w:rPr>
          <w:sz w:val="24"/>
        </w:rPr>
        <w:t>说明：</w:t>
      </w:r>
    </w:p>
    <w:p w14:paraId="5DE07C16">
      <w:pPr>
        <w:tabs>
          <w:tab w:val="left" w:pos="5580"/>
        </w:tabs>
        <w:spacing w:line="360" w:lineRule="auto"/>
        <w:rPr>
          <w:sz w:val="24"/>
        </w:rPr>
      </w:pPr>
      <w:r>
        <w:rPr>
          <w:sz w:val="24"/>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07430667">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3696A74C">
      <w:pPr>
        <w:tabs>
          <w:tab w:val="left" w:pos="5580"/>
        </w:tabs>
        <w:spacing w:line="360" w:lineRule="auto"/>
        <w:rPr>
          <w:sz w:val="24"/>
        </w:rPr>
      </w:pPr>
      <w:r>
        <w:rPr>
          <w:sz w:val="24"/>
        </w:rPr>
        <w:t>3）对于多标的采购项目，投标人应充分、准确地了解所提供货物的制造企业、提供服务的承接企业信息。对相关情况了解不清楚的，不建议填报本声明函。</w:t>
      </w:r>
    </w:p>
    <w:p w14:paraId="35B7F701">
      <w:pPr>
        <w:tabs>
          <w:tab w:val="left" w:pos="5580"/>
        </w:tabs>
        <w:spacing w:line="360" w:lineRule="auto"/>
        <w:rPr>
          <w:sz w:val="24"/>
        </w:rPr>
      </w:pPr>
      <w:r>
        <w:rPr>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本项目文件规定的中小企业划分标准所属行业执行。</w:t>
      </w:r>
    </w:p>
    <w:p w14:paraId="2CD6218C">
      <w:pPr>
        <w:widowControl/>
        <w:jc w:val="left"/>
        <w:rPr>
          <w:b/>
          <w:bCs/>
          <w:color w:val="000000"/>
          <w:sz w:val="24"/>
        </w:rPr>
      </w:pPr>
      <w:r>
        <w:rPr>
          <w:b/>
          <w:bCs/>
          <w:color w:val="000000"/>
          <w:sz w:val="24"/>
        </w:rPr>
        <w:br w:type="page"/>
      </w:r>
    </w:p>
    <w:p w14:paraId="4E141986">
      <w:pPr>
        <w:spacing w:before="240" w:beforeLines="100" w:after="240" w:afterLines="100" w:line="360" w:lineRule="auto"/>
        <w:jc w:val="center"/>
        <w:rPr>
          <w:b/>
          <w:bCs/>
          <w:color w:val="000000"/>
          <w:sz w:val="36"/>
          <w:szCs w:val="36"/>
        </w:rPr>
      </w:pPr>
      <w:r>
        <w:rPr>
          <w:b/>
          <w:bCs/>
          <w:color w:val="000000"/>
          <w:sz w:val="36"/>
          <w:szCs w:val="36"/>
        </w:rPr>
        <w:t>中小企业声明函（工程、服务）格式</w:t>
      </w:r>
    </w:p>
    <w:p w14:paraId="7AD32C7F">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本公司（联合体）郑重声明，根据《政府采购促进中小企业发展管理办法》（财库﹝2020﹞46号）的规定，本公司（联合体）参加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0C0FCC51">
      <w:pPr>
        <w:numPr>
          <w:ilvl w:val="0"/>
          <w:numId w:val="33"/>
        </w:numPr>
        <w:tabs>
          <w:tab w:val="left" w:pos="1276"/>
          <w:tab w:val="left" w:pos="5005"/>
          <w:tab w:val="left" w:pos="7227"/>
        </w:tabs>
        <w:autoSpaceDE w:val="0"/>
        <w:autoSpaceDN w:val="0"/>
        <w:spacing w:line="360" w:lineRule="auto"/>
        <w:ind w:left="284" w:right="236" w:firstLine="576"/>
        <w:jc w:val="left"/>
        <w:rPr>
          <w:kern w:val="0"/>
          <w:sz w:val="24"/>
        </w:rPr>
      </w:pPr>
      <w:r>
        <w:rPr>
          <w:rFonts w:hint="eastAsia"/>
          <w:spacing w:val="6"/>
          <w:sz w:val="24"/>
          <w:u w:val="single"/>
          <w:lang w:val="en-US" w:eastAsia="zh-CN"/>
        </w:rPr>
        <w:t xml:space="preserve">   </w:t>
      </w:r>
      <w:r>
        <w:rPr>
          <w:i/>
          <w:kern w:val="0"/>
          <w:sz w:val="24"/>
          <w:u w:val="single" w:color="000000"/>
        </w:rPr>
        <w:t>（标的名称）</w:t>
      </w:r>
      <w:r>
        <w:rPr>
          <w:kern w:val="0"/>
          <w:sz w:val="24"/>
        </w:rPr>
        <w:t>，属于</w:t>
      </w:r>
      <w:r>
        <w:rPr>
          <w:rFonts w:hint="eastAsia"/>
          <w:spacing w:val="6"/>
          <w:sz w:val="24"/>
          <w:u w:val="single"/>
          <w:lang w:val="en-US" w:eastAsia="zh-CN"/>
        </w:rPr>
        <w:t xml:space="preserve">   </w:t>
      </w:r>
      <w:r>
        <w:rPr>
          <w:i/>
          <w:kern w:val="0"/>
          <w:sz w:val="24"/>
          <w:u w:val="single" w:color="auto"/>
        </w:rPr>
        <w:t>（采</w:t>
      </w:r>
      <w:r>
        <w:rPr>
          <w:i/>
          <w:kern w:val="0"/>
          <w:sz w:val="24"/>
          <w:u w:val="single" w:color="000000"/>
        </w:rPr>
        <w:t>购文件中明确的所属行业）</w:t>
      </w:r>
      <w:r>
        <w:rPr>
          <w:kern w:val="0"/>
          <w:sz w:val="24"/>
        </w:rPr>
        <w:t>；承建（承接）企业为</w:t>
      </w:r>
      <w:r>
        <w:rPr>
          <w:rFonts w:hint="eastAsia"/>
          <w:spacing w:val="6"/>
          <w:sz w:val="24"/>
          <w:u w:val="single"/>
          <w:lang w:val="en-US" w:eastAsia="zh-CN"/>
        </w:rPr>
        <w:t xml:space="preserve">   </w:t>
      </w:r>
      <w:r>
        <w:rPr>
          <w:i/>
          <w:kern w:val="0"/>
          <w:sz w:val="24"/>
          <w:u w:val="single"/>
        </w:rPr>
        <w:t>（企业名称）</w:t>
      </w:r>
      <w:r>
        <w:rPr>
          <w:kern w:val="0"/>
          <w:sz w:val="24"/>
        </w:rPr>
        <w:t>，从业人员</w:t>
      </w:r>
      <w:r>
        <w:rPr>
          <w:kern w:val="0"/>
          <w:sz w:val="24"/>
          <w:u w:val="single"/>
        </w:rPr>
        <w:tab/>
      </w:r>
      <w:r>
        <w:rPr>
          <w:kern w:val="0"/>
          <w:sz w:val="24"/>
        </w:rPr>
        <w:t>人，营业收入为</w:t>
      </w:r>
      <w:r>
        <w:rPr>
          <w:kern w:val="0"/>
          <w:sz w:val="24"/>
          <w:u w:val="single"/>
        </w:rPr>
        <w:tab/>
      </w:r>
      <w:r>
        <w:rPr>
          <w:kern w:val="0"/>
          <w:sz w:val="24"/>
        </w:rPr>
        <w:t>万元，资产总额为</w:t>
      </w:r>
      <w:r>
        <w:rPr>
          <w:kern w:val="0"/>
          <w:sz w:val="24"/>
          <w:u w:val="single"/>
        </w:rPr>
        <w:tab/>
      </w:r>
      <w:r>
        <w:rPr>
          <w:kern w:val="0"/>
          <w:sz w:val="24"/>
        </w:rPr>
        <w:t>万元</w:t>
      </w:r>
      <w:r>
        <w:fldChar w:fldCharType="begin"/>
      </w:r>
      <w:r>
        <w:instrText xml:space="preserve"> HYPERLINK \l "_bookmark1" </w:instrText>
      </w:r>
      <w:r>
        <w:fldChar w:fldCharType="separate"/>
      </w:r>
      <w:r>
        <w:rPr>
          <w:kern w:val="0"/>
          <w:position w:val="16"/>
          <w:sz w:val="24"/>
        </w:rPr>
        <w:t>1</w:t>
      </w:r>
      <w:r>
        <w:rPr>
          <w:kern w:val="0"/>
          <w:position w:val="16"/>
          <w:sz w:val="24"/>
        </w:rPr>
        <w:fldChar w:fldCharType="end"/>
      </w:r>
      <w:r>
        <w:rPr>
          <w:kern w:val="0"/>
          <w:sz w:val="24"/>
        </w:rPr>
        <w:t>，属于</w:t>
      </w:r>
      <w:r>
        <w:rPr>
          <w:rFonts w:hint="eastAsia"/>
          <w:spacing w:val="6"/>
          <w:sz w:val="24"/>
          <w:u w:val="single"/>
          <w:lang w:val="en-US" w:eastAsia="zh-CN"/>
        </w:rPr>
        <w:t xml:space="preserve">   </w:t>
      </w:r>
      <w:r>
        <w:rPr>
          <w:i/>
          <w:kern w:val="0"/>
          <w:sz w:val="24"/>
          <w:u w:val="single"/>
        </w:rPr>
        <w:t>（中型企业、小型企业、微型企业）</w:t>
      </w:r>
      <w:r>
        <w:rPr>
          <w:kern w:val="0"/>
          <w:sz w:val="24"/>
        </w:rPr>
        <w:t>；</w:t>
      </w:r>
    </w:p>
    <w:p w14:paraId="7BAAF836">
      <w:pPr>
        <w:numPr>
          <w:ilvl w:val="0"/>
          <w:numId w:val="33"/>
        </w:numPr>
        <w:tabs>
          <w:tab w:val="left" w:pos="1243"/>
          <w:tab w:val="left" w:pos="1806"/>
          <w:tab w:val="left" w:pos="5005"/>
          <w:tab w:val="left" w:pos="7213"/>
        </w:tabs>
        <w:autoSpaceDE w:val="0"/>
        <w:autoSpaceDN w:val="0"/>
        <w:spacing w:line="360" w:lineRule="auto"/>
        <w:ind w:left="205" w:right="258" w:firstLine="655"/>
        <w:jc w:val="left"/>
        <w:rPr>
          <w:kern w:val="0"/>
          <w:sz w:val="24"/>
        </w:rPr>
      </w:pPr>
      <w:r>
        <w:rPr>
          <w:rFonts w:hint="eastAsia"/>
          <w:spacing w:val="6"/>
          <w:sz w:val="24"/>
          <w:u w:val="single"/>
          <w:lang w:val="en-US" w:eastAsia="zh-CN"/>
        </w:rPr>
        <w:t xml:space="preserve">   </w:t>
      </w:r>
      <w:r>
        <w:rPr>
          <w:i/>
          <w:kern w:val="0"/>
          <w:sz w:val="24"/>
          <w:u w:val="single" w:color="000000"/>
        </w:rPr>
        <w:t>（标的名称）</w:t>
      </w:r>
      <w:r>
        <w:rPr>
          <w:kern w:val="0"/>
          <w:sz w:val="24"/>
        </w:rPr>
        <w:t>，属于</w:t>
      </w:r>
      <w:r>
        <w:rPr>
          <w:rFonts w:hint="eastAsia"/>
          <w:spacing w:val="6"/>
          <w:sz w:val="24"/>
          <w:u w:val="single"/>
          <w:lang w:val="en-US" w:eastAsia="zh-CN"/>
        </w:rPr>
        <w:t xml:space="preserve"> </w:t>
      </w:r>
      <w:r>
        <w:rPr>
          <w:rFonts w:hint="eastAsia"/>
          <w:spacing w:val="6"/>
          <w:sz w:val="24"/>
          <w:u w:val="single" w:color="auto"/>
          <w:lang w:val="en-US" w:eastAsia="zh-CN"/>
        </w:rPr>
        <w:t xml:space="preserve">  </w:t>
      </w:r>
      <w:r>
        <w:rPr>
          <w:i/>
          <w:kern w:val="0"/>
          <w:sz w:val="24"/>
          <w:u w:val="single" w:color="auto"/>
        </w:rPr>
        <w:t>（采</w:t>
      </w:r>
      <w:r>
        <w:rPr>
          <w:i/>
          <w:kern w:val="0"/>
          <w:sz w:val="24"/>
          <w:u w:val="single" w:color="000000"/>
        </w:rPr>
        <w:t>购文件中明确的所属行业）</w:t>
      </w:r>
      <w:r>
        <w:rPr>
          <w:kern w:val="0"/>
          <w:sz w:val="24"/>
        </w:rPr>
        <w:t>；承建（承接）企业为</w:t>
      </w:r>
      <w:r>
        <w:rPr>
          <w:rFonts w:hint="eastAsia"/>
          <w:spacing w:val="6"/>
          <w:sz w:val="24"/>
          <w:u w:val="single"/>
          <w:lang w:val="en-US" w:eastAsia="zh-CN"/>
        </w:rPr>
        <w:t xml:space="preserve">   </w:t>
      </w:r>
      <w:r>
        <w:rPr>
          <w:i/>
          <w:kern w:val="0"/>
          <w:sz w:val="24"/>
          <w:u w:val="single" w:color="000000"/>
        </w:rPr>
        <w:t>（企业名称）</w:t>
      </w:r>
      <w:r>
        <w:rPr>
          <w:kern w:val="0"/>
          <w:sz w:val="24"/>
        </w:rPr>
        <w:t>，从业人员</w:t>
      </w:r>
      <w:r>
        <w:rPr>
          <w:kern w:val="0"/>
          <w:sz w:val="24"/>
          <w:u w:val="single" w:color="000000"/>
        </w:rPr>
        <w:tab/>
      </w:r>
      <w:r>
        <w:rPr>
          <w:kern w:val="0"/>
          <w:sz w:val="24"/>
        </w:rPr>
        <w:t>人，营业收入为</w:t>
      </w:r>
      <w:r>
        <w:rPr>
          <w:kern w:val="0"/>
          <w:sz w:val="24"/>
          <w:u w:val="single" w:color="000000"/>
        </w:rPr>
        <w:tab/>
      </w:r>
      <w:r>
        <w:rPr>
          <w:kern w:val="0"/>
          <w:sz w:val="24"/>
        </w:rPr>
        <w:t>万元，资产总额为</w:t>
      </w:r>
      <w:r>
        <w:rPr>
          <w:kern w:val="0"/>
          <w:sz w:val="24"/>
          <w:u w:val="single" w:color="000000"/>
        </w:rPr>
        <w:tab/>
      </w:r>
      <w:r>
        <w:rPr>
          <w:kern w:val="0"/>
          <w:sz w:val="24"/>
        </w:rPr>
        <w:t>万元，属于</w:t>
      </w:r>
      <w:r>
        <w:rPr>
          <w:rFonts w:hint="eastAsia"/>
          <w:spacing w:val="6"/>
          <w:sz w:val="24"/>
          <w:u w:val="single"/>
          <w:lang w:val="en-US" w:eastAsia="zh-CN"/>
        </w:rPr>
        <w:t xml:space="preserve">   </w:t>
      </w:r>
      <w:r>
        <w:rPr>
          <w:i/>
          <w:kern w:val="0"/>
          <w:sz w:val="24"/>
          <w:u w:val="single" w:color="000000"/>
        </w:rPr>
        <w:t>（中型企业、小型企业、微型企业）</w:t>
      </w:r>
      <w:r>
        <w:rPr>
          <w:kern w:val="0"/>
          <w:sz w:val="24"/>
        </w:rPr>
        <w:t>；</w:t>
      </w:r>
    </w:p>
    <w:p w14:paraId="62C68B54">
      <w:pPr>
        <w:autoSpaceDE w:val="0"/>
        <w:autoSpaceDN w:val="0"/>
        <w:spacing w:line="360" w:lineRule="auto"/>
        <w:ind w:left="860"/>
        <w:jc w:val="left"/>
        <w:rPr>
          <w:kern w:val="0"/>
          <w:sz w:val="24"/>
        </w:rPr>
      </w:pPr>
      <w:r>
        <w:rPr>
          <w:kern w:val="0"/>
          <w:sz w:val="24"/>
        </w:rPr>
        <w:t>……</w:t>
      </w:r>
    </w:p>
    <w:p w14:paraId="7179C82D">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14:paraId="6F0EDE08">
      <w:pPr>
        <w:spacing w:line="360" w:lineRule="auto"/>
        <w:ind w:firstLine="504"/>
        <w:rPr>
          <w:spacing w:val="6"/>
          <w:sz w:val="24"/>
        </w:rPr>
      </w:pPr>
      <w:r>
        <w:rPr>
          <w:kern w:val="0"/>
          <w:sz w:val="24"/>
        </w:rPr>
        <w:t>本企业对上述声明内容的真实性负责。如有虚假，将依法承担相应责任。</w:t>
      </w:r>
    </w:p>
    <w:p w14:paraId="41918DFB">
      <w:pPr>
        <w:spacing w:line="360" w:lineRule="auto"/>
        <w:ind w:firstLine="504"/>
        <w:rPr>
          <w:spacing w:val="6"/>
          <w:sz w:val="24"/>
        </w:rPr>
      </w:pPr>
    </w:p>
    <w:p w14:paraId="2DFA9082">
      <w:pPr>
        <w:spacing w:line="360" w:lineRule="auto"/>
        <w:ind w:right="360" w:firstLine="480"/>
        <w:jc w:val="right"/>
        <w:rPr>
          <w:color w:val="000000"/>
          <w:sz w:val="24"/>
        </w:rPr>
      </w:pPr>
    </w:p>
    <w:p w14:paraId="3529142D">
      <w:pPr>
        <w:spacing w:line="360" w:lineRule="auto"/>
        <w:ind w:right="360" w:firstLine="480"/>
        <w:jc w:val="right"/>
        <w:rPr>
          <w:color w:val="000000"/>
          <w:sz w:val="24"/>
        </w:rPr>
      </w:pPr>
      <w:r>
        <w:rPr>
          <w:color w:val="000000"/>
          <w:sz w:val="24"/>
        </w:rPr>
        <w:t>企业名称（盖章）：________</w:t>
      </w:r>
    </w:p>
    <w:p w14:paraId="2AD3C718">
      <w:pPr>
        <w:spacing w:line="360" w:lineRule="auto"/>
        <w:ind w:right="360" w:firstLine="480"/>
        <w:jc w:val="right"/>
        <w:rPr>
          <w:color w:val="000000"/>
          <w:sz w:val="24"/>
        </w:rPr>
      </w:pPr>
      <w:r>
        <w:rPr>
          <w:color w:val="000000"/>
          <w:sz w:val="24"/>
        </w:rPr>
        <w:t>日 期：________</w:t>
      </w:r>
    </w:p>
    <w:p w14:paraId="55A78332">
      <w:pPr>
        <w:spacing w:line="360" w:lineRule="auto"/>
        <w:ind w:right="360" w:firstLine="480"/>
        <w:jc w:val="right"/>
        <w:rPr>
          <w:color w:val="000000"/>
          <w:sz w:val="24"/>
        </w:rPr>
      </w:pPr>
    </w:p>
    <w:p w14:paraId="2DF9E957">
      <w:pPr>
        <w:adjustRightInd w:val="0"/>
        <w:snapToGrid w:val="0"/>
        <w:jc w:val="left"/>
        <w:rPr>
          <w:color w:val="000000"/>
          <w:sz w:val="24"/>
          <w:szCs w:val="21"/>
        </w:rPr>
      </w:pPr>
    </w:p>
    <w:tbl>
      <w:tblPr>
        <w:tblStyle w:val="4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65E24BFF">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noWrap w:val="0"/>
            <w:vAlign w:val="top"/>
          </w:tcPr>
          <w:p w14:paraId="01A75E81">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081C8C33">
      <w:pPr>
        <w:adjustRightInd w:val="0"/>
        <w:snapToGrid w:val="0"/>
        <w:jc w:val="left"/>
        <w:rPr>
          <w:color w:val="000000"/>
          <w:szCs w:val="21"/>
          <w:vertAlign w:val="superscript"/>
        </w:rPr>
      </w:pPr>
    </w:p>
    <w:p w14:paraId="0A9A097A">
      <w:pPr>
        <w:spacing w:line="360" w:lineRule="auto"/>
        <w:ind w:right="360" w:firstLine="480"/>
        <w:jc w:val="right"/>
        <w:rPr>
          <w:color w:val="000000"/>
          <w:sz w:val="24"/>
        </w:rPr>
      </w:pPr>
    </w:p>
    <w:p w14:paraId="0DD1516B">
      <w:pPr>
        <w:spacing w:line="360" w:lineRule="auto"/>
        <w:ind w:right="360" w:firstLine="480"/>
        <w:jc w:val="right"/>
        <w:rPr>
          <w:color w:val="000000"/>
          <w:sz w:val="24"/>
        </w:rPr>
      </w:pPr>
    </w:p>
    <w:p w14:paraId="1B54800E">
      <w:pPr>
        <w:spacing w:line="360" w:lineRule="auto"/>
        <w:outlineLvl w:val="2"/>
        <w:rPr>
          <w:color w:val="000000"/>
          <w:sz w:val="24"/>
          <w:szCs w:val="20"/>
        </w:rPr>
      </w:pPr>
      <w:r>
        <w:rPr>
          <w:color w:val="000000"/>
          <w:sz w:val="24"/>
          <w:szCs w:val="20"/>
        </w:rPr>
        <w:br w:type="page"/>
      </w:r>
    </w:p>
    <w:p w14:paraId="64B61B51">
      <w:pPr>
        <w:spacing w:before="240" w:beforeLines="100" w:after="240" w:afterLines="100" w:line="360" w:lineRule="auto"/>
        <w:jc w:val="center"/>
        <w:rPr>
          <w:color w:val="000000"/>
          <w:sz w:val="36"/>
          <w:szCs w:val="36"/>
        </w:rPr>
      </w:pPr>
      <w:r>
        <w:rPr>
          <w:b/>
          <w:bCs/>
          <w:color w:val="000000"/>
          <w:sz w:val="36"/>
          <w:szCs w:val="36"/>
        </w:rPr>
        <w:t>残疾人福利性单位声明函格式</w:t>
      </w:r>
      <w:r>
        <w:rPr>
          <w:color w:val="000000"/>
          <w:sz w:val="36"/>
          <w:szCs w:val="36"/>
        </w:rPr>
        <w:t xml:space="preserve"> </w:t>
      </w:r>
    </w:p>
    <w:p w14:paraId="01EB869B">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〔2017〕141</w:t>
      </w:r>
      <w:r>
        <w:rPr>
          <w:spacing w:val="6"/>
          <w:sz w:val="24"/>
        </w:rPr>
        <w:t>号）的规定，本单位</w:t>
      </w:r>
      <w:r>
        <w:rPr>
          <w:b/>
          <w:sz w:val="24"/>
        </w:rPr>
        <w:t>（请进行选择）</w:t>
      </w:r>
      <w:r>
        <w:rPr>
          <w:spacing w:val="6"/>
          <w:sz w:val="24"/>
        </w:rPr>
        <w:t>：</w:t>
      </w:r>
    </w:p>
    <w:p w14:paraId="18C0BDD6">
      <w:pPr>
        <w:spacing w:line="588" w:lineRule="exact"/>
        <w:ind w:firstLine="482"/>
        <w:rPr>
          <w:b/>
          <w:spacing w:val="6"/>
          <w:sz w:val="24"/>
        </w:rPr>
      </w:pPr>
      <w:r>
        <w:rPr>
          <w:b/>
          <w:sz w:val="24"/>
        </w:rPr>
        <w:t>□</w:t>
      </w:r>
      <w:r>
        <w:rPr>
          <w:b/>
          <w:spacing w:val="6"/>
          <w:sz w:val="24"/>
        </w:rPr>
        <w:t>不属于符合条件的残疾人福利性单位。</w:t>
      </w:r>
    </w:p>
    <w:p w14:paraId="6658C294">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2B98922A">
      <w:pPr>
        <w:spacing w:line="588" w:lineRule="exact"/>
        <w:ind w:firstLine="506" w:firstLineChars="200"/>
        <w:rPr>
          <w:spacing w:val="6"/>
          <w:sz w:val="24"/>
        </w:rPr>
      </w:pPr>
      <w:r>
        <w:rPr>
          <w:b/>
          <w:spacing w:val="6"/>
          <w:sz w:val="24"/>
        </w:rPr>
        <w:t>本单位对上述声明的真实性负责。如有虚假，将依法承担相应责任。</w:t>
      </w:r>
    </w:p>
    <w:p w14:paraId="00502FE4">
      <w:pPr>
        <w:spacing w:line="588" w:lineRule="exact"/>
        <w:ind w:firstLine="504" w:firstLineChars="200"/>
        <w:rPr>
          <w:spacing w:val="6"/>
          <w:sz w:val="24"/>
        </w:rPr>
      </w:pPr>
    </w:p>
    <w:p w14:paraId="4B16053B">
      <w:pPr>
        <w:spacing w:line="588" w:lineRule="exact"/>
        <w:ind w:firstLine="504" w:firstLineChars="200"/>
        <w:rPr>
          <w:spacing w:val="6"/>
          <w:sz w:val="24"/>
        </w:rPr>
      </w:pPr>
    </w:p>
    <w:p w14:paraId="487D4E66">
      <w:pPr>
        <w:tabs>
          <w:tab w:val="left" w:pos="4860"/>
        </w:tabs>
        <w:spacing w:line="588" w:lineRule="exact"/>
        <w:ind w:right="1560" w:firstLine="504" w:firstLineChars="200"/>
        <w:jc w:val="center"/>
        <w:rPr>
          <w:spacing w:val="6"/>
          <w:sz w:val="24"/>
        </w:rPr>
      </w:pPr>
      <w:r>
        <w:rPr>
          <w:spacing w:val="6"/>
          <w:sz w:val="24"/>
        </w:rPr>
        <w:t xml:space="preserve">               单位名称（盖章）：</w:t>
      </w:r>
    </w:p>
    <w:p w14:paraId="2A76DFF4">
      <w:pPr>
        <w:tabs>
          <w:tab w:val="left" w:pos="4860"/>
        </w:tabs>
        <w:spacing w:line="588" w:lineRule="exact"/>
        <w:ind w:right="1560" w:firstLine="504" w:firstLineChars="200"/>
        <w:jc w:val="center"/>
        <w:rPr>
          <w:spacing w:val="6"/>
          <w:sz w:val="24"/>
        </w:rPr>
      </w:pPr>
      <w:r>
        <w:rPr>
          <w:spacing w:val="6"/>
          <w:sz w:val="24"/>
        </w:rPr>
        <w:t xml:space="preserve">       日  期：</w:t>
      </w:r>
    </w:p>
    <w:p w14:paraId="4D3A610F">
      <w:pPr>
        <w:numPr>
          <w:ilvl w:val="0"/>
          <w:numId w:val="32"/>
        </w:numPr>
        <w:tabs>
          <w:tab w:val="left" w:pos="360"/>
        </w:tabs>
        <w:snapToGrid w:val="0"/>
        <w:spacing w:line="360" w:lineRule="auto"/>
        <w:outlineLvl w:val="1"/>
        <w:rPr>
          <w:color w:val="000000"/>
          <w:sz w:val="24"/>
          <w:szCs w:val="20"/>
        </w:rPr>
      </w:pPr>
      <w:r>
        <w:rPr>
          <w:color w:val="000000"/>
          <w:szCs w:val="20"/>
        </w:rPr>
        <w:br w:type="page"/>
      </w:r>
      <w:r>
        <w:rPr>
          <w:color w:val="000000"/>
          <w:sz w:val="24"/>
          <w:szCs w:val="20"/>
        </w:rPr>
        <w:t>拟分包情况说明</w:t>
      </w:r>
    </w:p>
    <w:p w14:paraId="27838304">
      <w:pPr>
        <w:autoSpaceDE w:val="0"/>
        <w:autoSpaceDN w:val="0"/>
        <w:adjustRightInd w:val="0"/>
        <w:spacing w:line="360" w:lineRule="auto"/>
        <w:jc w:val="center"/>
        <w:rPr>
          <w:b/>
          <w:color w:val="000000"/>
          <w:sz w:val="36"/>
          <w:szCs w:val="36"/>
        </w:rPr>
      </w:pPr>
      <w:r>
        <w:rPr>
          <w:b/>
          <w:color w:val="000000"/>
          <w:sz w:val="36"/>
          <w:szCs w:val="36"/>
        </w:rPr>
        <w:t>拟分包情况说明（不适用）</w:t>
      </w:r>
    </w:p>
    <w:p w14:paraId="25E3E06B">
      <w:pPr>
        <w:tabs>
          <w:tab w:val="left" w:pos="5580"/>
        </w:tabs>
        <w:spacing w:line="360" w:lineRule="auto"/>
        <w:rPr>
          <w:color w:val="000000"/>
          <w:sz w:val="24"/>
        </w:rPr>
      </w:pPr>
      <w:r>
        <w:rPr>
          <w:color w:val="000000"/>
          <w:sz w:val="24"/>
        </w:rPr>
        <w:t>致：</w:t>
      </w:r>
      <w:r>
        <w:rPr>
          <w:color w:val="000000"/>
          <w:sz w:val="24"/>
          <w:u w:val="single"/>
        </w:rPr>
        <w:t>（采购人或采购代理机构）</w:t>
      </w:r>
    </w:p>
    <w:p w14:paraId="6EED9025">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42"/>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0538F4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noWrap w:val="0"/>
            <w:vAlign w:val="center"/>
          </w:tcPr>
          <w:p w14:paraId="3143DC03">
            <w:pPr>
              <w:pStyle w:val="247"/>
              <w:jc w:val="center"/>
              <w:rPr>
                <w:rFonts w:ascii="Times New Roman" w:hAnsi="Times New Roman" w:cs="Times New Roman"/>
                <w:sz w:val="24"/>
              </w:rPr>
            </w:pPr>
            <w:r>
              <w:rPr>
                <w:rFonts w:ascii="Times New Roman" w:hAnsi="Times New Roman" w:cs="Times New Roman"/>
                <w:sz w:val="24"/>
              </w:rPr>
              <w:t>序号</w:t>
            </w:r>
          </w:p>
        </w:tc>
        <w:tc>
          <w:tcPr>
            <w:tcW w:w="1287" w:type="dxa"/>
            <w:noWrap w:val="0"/>
            <w:vAlign w:val="center"/>
          </w:tcPr>
          <w:p w14:paraId="5984DE20">
            <w:pPr>
              <w:pStyle w:val="247"/>
              <w:jc w:val="center"/>
              <w:rPr>
                <w:rFonts w:ascii="Times New Roman" w:hAnsi="Times New Roman" w:cs="Times New Roman"/>
                <w:sz w:val="24"/>
              </w:rPr>
            </w:pPr>
            <w:r>
              <w:rPr>
                <w:rFonts w:ascii="Times New Roman" w:hAnsi="Times New Roman" w:cs="Times New Roman"/>
                <w:sz w:val="24"/>
              </w:rPr>
              <w:t>分包承担</w:t>
            </w:r>
          </w:p>
          <w:p w14:paraId="62C56BA0">
            <w:pPr>
              <w:pStyle w:val="247"/>
              <w:jc w:val="center"/>
              <w:rPr>
                <w:rFonts w:ascii="Times New Roman" w:hAnsi="Times New Roman" w:cs="Times New Roman"/>
                <w:sz w:val="24"/>
              </w:rPr>
            </w:pPr>
            <w:r>
              <w:rPr>
                <w:rFonts w:ascii="Times New Roman" w:hAnsi="Times New Roman" w:cs="Times New Roman"/>
                <w:sz w:val="24"/>
              </w:rPr>
              <w:t>主体名称</w:t>
            </w:r>
          </w:p>
        </w:tc>
        <w:tc>
          <w:tcPr>
            <w:tcW w:w="1513" w:type="dxa"/>
            <w:noWrap w:val="0"/>
            <w:vAlign w:val="center"/>
          </w:tcPr>
          <w:p w14:paraId="0C3AF581">
            <w:pPr>
              <w:pStyle w:val="247"/>
              <w:jc w:val="center"/>
              <w:rPr>
                <w:rFonts w:ascii="Times New Roman" w:hAnsi="Times New Roman" w:cs="Times New Roman"/>
                <w:sz w:val="24"/>
                <w:lang w:eastAsia="zh-CN"/>
              </w:rPr>
            </w:pPr>
            <w:r>
              <w:rPr>
                <w:rFonts w:ascii="Times New Roman" w:hAnsi="Times New Roman" w:cs="Times New Roman"/>
                <w:sz w:val="24"/>
                <w:lang w:eastAsia="zh-CN"/>
              </w:rPr>
              <w:t>分包承担</w:t>
            </w:r>
          </w:p>
          <w:p w14:paraId="15430F42">
            <w:pPr>
              <w:pStyle w:val="247"/>
              <w:jc w:val="center"/>
              <w:rPr>
                <w:rFonts w:ascii="Times New Roman" w:hAnsi="Times New Roman" w:cs="Times New Roman"/>
                <w:sz w:val="24"/>
                <w:lang w:eastAsia="zh-CN"/>
              </w:rPr>
            </w:pPr>
            <w:r>
              <w:rPr>
                <w:rFonts w:ascii="Times New Roman" w:hAnsi="Times New Roman" w:cs="Times New Roman"/>
                <w:sz w:val="24"/>
                <w:lang w:eastAsia="zh-CN"/>
              </w:rPr>
              <w:t>主体类型</w:t>
            </w:r>
          </w:p>
          <w:p w14:paraId="4C369018">
            <w:pPr>
              <w:pStyle w:val="247"/>
              <w:jc w:val="center"/>
              <w:rPr>
                <w:rFonts w:ascii="Times New Roman" w:hAnsi="Times New Roman" w:cs="Times New Roman"/>
                <w:sz w:val="24"/>
                <w:lang w:eastAsia="zh-CN"/>
              </w:rPr>
            </w:pPr>
            <w:r>
              <w:rPr>
                <w:rFonts w:ascii="Times New Roman" w:hAnsi="Times New Roman" w:cs="Times New Roman"/>
                <w:sz w:val="24"/>
                <w:lang w:eastAsia="zh-CN"/>
              </w:rPr>
              <w:t>（选择）</w:t>
            </w:r>
          </w:p>
        </w:tc>
        <w:tc>
          <w:tcPr>
            <w:tcW w:w="1125" w:type="dxa"/>
            <w:noWrap w:val="0"/>
            <w:vAlign w:val="center"/>
          </w:tcPr>
          <w:p w14:paraId="694497A3">
            <w:pPr>
              <w:pStyle w:val="247"/>
              <w:jc w:val="center"/>
              <w:rPr>
                <w:rFonts w:ascii="Times New Roman" w:hAnsi="Times New Roman" w:cs="Times New Roman"/>
                <w:sz w:val="24"/>
              </w:rPr>
            </w:pPr>
            <w:r>
              <w:rPr>
                <w:rFonts w:ascii="Times New Roman" w:hAnsi="Times New Roman" w:cs="Times New Roman"/>
                <w:sz w:val="24"/>
              </w:rPr>
              <w:t>资质等级</w:t>
            </w:r>
          </w:p>
        </w:tc>
        <w:tc>
          <w:tcPr>
            <w:tcW w:w="1558" w:type="dxa"/>
            <w:noWrap w:val="0"/>
            <w:vAlign w:val="center"/>
          </w:tcPr>
          <w:p w14:paraId="6FD0CB6C">
            <w:pPr>
              <w:pStyle w:val="247"/>
              <w:jc w:val="center"/>
              <w:rPr>
                <w:rFonts w:ascii="Times New Roman" w:hAnsi="Times New Roman" w:cs="Times New Roman"/>
                <w:sz w:val="24"/>
              </w:rPr>
            </w:pPr>
            <w:r>
              <w:rPr>
                <w:rFonts w:ascii="Times New Roman" w:hAnsi="Times New Roman" w:cs="Times New Roman"/>
                <w:sz w:val="24"/>
              </w:rPr>
              <w:t>拟分包</w:t>
            </w:r>
          </w:p>
          <w:p w14:paraId="4849D175">
            <w:pPr>
              <w:pStyle w:val="247"/>
              <w:jc w:val="center"/>
              <w:rPr>
                <w:rFonts w:ascii="Times New Roman" w:hAnsi="Times New Roman" w:cs="Times New Roman"/>
                <w:sz w:val="24"/>
              </w:rPr>
            </w:pPr>
            <w:r>
              <w:rPr>
                <w:rFonts w:ascii="Times New Roman" w:hAnsi="Times New Roman" w:cs="Times New Roman"/>
                <w:sz w:val="24"/>
              </w:rPr>
              <w:t>合同内容</w:t>
            </w:r>
          </w:p>
        </w:tc>
        <w:tc>
          <w:tcPr>
            <w:tcW w:w="1498" w:type="dxa"/>
            <w:noWrap w:val="0"/>
            <w:vAlign w:val="center"/>
          </w:tcPr>
          <w:p w14:paraId="1F186AEE">
            <w:pPr>
              <w:pStyle w:val="247"/>
              <w:jc w:val="center"/>
              <w:rPr>
                <w:rFonts w:ascii="Times New Roman" w:hAnsi="Times New Roman" w:cs="Times New Roman"/>
                <w:sz w:val="24"/>
                <w:lang w:eastAsia="zh-CN"/>
              </w:rPr>
            </w:pPr>
            <w:r>
              <w:rPr>
                <w:rFonts w:ascii="Times New Roman" w:hAnsi="Times New Roman" w:cs="Times New Roman"/>
                <w:sz w:val="24"/>
                <w:lang w:eastAsia="zh-CN"/>
              </w:rPr>
              <w:t>拟分包</w:t>
            </w:r>
          </w:p>
          <w:p w14:paraId="7338AC87">
            <w:pPr>
              <w:pStyle w:val="247"/>
              <w:jc w:val="center"/>
              <w:rPr>
                <w:rFonts w:ascii="Times New Roman" w:hAnsi="Times New Roman" w:cs="Times New Roman"/>
                <w:sz w:val="24"/>
                <w:lang w:eastAsia="zh-CN"/>
              </w:rPr>
            </w:pPr>
            <w:r>
              <w:rPr>
                <w:rFonts w:ascii="Times New Roman" w:hAnsi="Times New Roman" w:cs="Times New Roman"/>
                <w:sz w:val="24"/>
                <w:lang w:eastAsia="zh-CN"/>
              </w:rPr>
              <w:t>合同金额</w:t>
            </w:r>
          </w:p>
          <w:p w14:paraId="06EEB6F3">
            <w:pPr>
              <w:pStyle w:val="247"/>
              <w:jc w:val="center"/>
              <w:rPr>
                <w:rFonts w:ascii="Times New Roman" w:hAnsi="Times New Roman" w:cs="Times New Roman"/>
                <w:sz w:val="24"/>
                <w:lang w:eastAsia="zh-CN"/>
              </w:rPr>
            </w:pPr>
            <w:r>
              <w:rPr>
                <w:rFonts w:ascii="Times New Roman" w:hAnsi="Times New Roman" w:cs="Times New Roman"/>
                <w:sz w:val="24"/>
                <w:lang w:eastAsia="zh-CN"/>
              </w:rPr>
              <w:t>（人民币元）</w:t>
            </w:r>
          </w:p>
        </w:tc>
        <w:tc>
          <w:tcPr>
            <w:tcW w:w="1564" w:type="dxa"/>
            <w:noWrap w:val="0"/>
            <w:vAlign w:val="center"/>
          </w:tcPr>
          <w:p w14:paraId="12E04131">
            <w:pPr>
              <w:pStyle w:val="247"/>
              <w:jc w:val="center"/>
              <w:rPr>
                <w:rFonts w:ascii="Times New Roman" w:hAnsi="Times New Roman" w:cs="Times New Roman"/>
                <w:b/>
                <w:sz w:val="24"/>
                <w:lang w:eastAsia="zh-CN"/>
              </w:rPr>
            </w:pPr>
            <w:r>
              <w:rPr>
                <w:rFonts w:ascii="Times New Roman" w:hAnsi="Times New Roman" w:cs="Times New Roman"/>
                <w:b/>
                <w:sz w:val="24"/>
                <w:lang w:eastAsia="zh-CN"/>
              </w:rPr>
              <w:t>占合同金额</w:t>
            </w:r>
          </w:p>
          <w:p w14:paraId="318B5E69">
            <w:pPr>
              <w:pStyle w:val="247"/>
              <w:jc w:val="center"/>
              <w:rPr>
                <w:rFonts w:ascii="Times New Roman" w:hAnsi="Times New Roman" w:cs="Times New Roman"/>
                <w:sz w:val="24"/>
                <w:lang w:eastAsia="zh-CN"/>
              </w:rPr>
            </w:pPr>
            <w:r>
              <w:rPr>
                <w:rFonts w:ascii="Times New Roman" w:hAnsi="Times New Roman" w:cs="Times New Roman"/>
                <w:b/>
                <w:sz w:val="24"/>
                <w:lang w:eastAsia="zh-CN"/>
              </w:rPr>
              <w:t>的比例（</w:t>
            </w:r>
            <w:r>
              <w:rPr>
                <w:rFonts w:ascii="Times New Roman" w:hAnsi="Times New Roman" w:eastAsia="Times New Roman" w:cs="Times New Roman"/>
                <w:b/>
                <w:sz w:val="24"/>
                <w:lang w:eastAsia="zh-CN"/>
              </w:rPr>
              <w:t>%</w:t>
            </w:r>
            <w:r>
              <w:rPr>
                <w:rFonts w:ascii="Times New Roman" w:hAnsi="Times New Roman" w:cs="Times New Roman"/>
                <w:b/>
                <w:sz w:val="24"/>
                <w:lang w:eastAsia="zh-CN"/>
              </w:rPr>
              <w:t>）</w:t>
            </w:r>
          </w:p>
        </w:tc>
      </w:tr>
      <w:tr w14:paraId="3844E1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noWrap w:val="0"/>
            <w:vAlign w:val="center"/>
          </w:tcPr>
          <w:p w14:paraId="691B326C">
            <w:pPr>
              <w:pStyle w:val="247"/>
              <w:jc w:val="center"/>
              <w:rPr>
                <w:rFonts w:ascii="Times New Roman" w:hAnsi="Times New Roman" w:cs="Times New Roman"/>
                <w:sz w:val="24"/>
              </w:rPr>
            </w:pPr>
            <w:r>
              <w:rPr>
                <w:rFonts w:ascii="Times New Roman" w:hAnsi="Times New Roman" w:cs="Times New Roman"/>
                <w:sz w:val="24"/>
              </w:rPr>
              <w:t>1</w:t>
            </w:r>
          </w:p>
        </w:tc>
        <w:tc>
          <w:tcPr>
            <w:tcW w:w="1287" w:type="dxa"/>
            <w:noWrap w:val="0"/>
            <w:vAlign w:val="center"/>
          </w:tcPr>
          <w:p w14:paraId="5E3FE549">
            <w:pPr>
              <w:pStyle w:val="247"/>
              <w:jc w:val="center"/>
              <w:rPr>
                <w:rFonts w:ascii="Times New Roman" w:hAnsi="Times New Roman" w:cs="Times New Roman"/>
                <w:sz w:val="30"/>
              </w:rPr>
            </w:pPr>
          </w:p>
        </w:tc>
        <w:tc>
          <w:tcPr>
            <w:tcW w:w="1513" w:type="dxa"/>
            <w:noWrap w:val="0"/>
            <w:vAlign w:val="center"/>
          </w:tcPr>
          <w:p w14:paraId="12EE490D">
            <w:pPr>
              <w:pStyle w:val="247"/>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□中型企业</w:t>
            </w:r>
          </w:p>
          <w:p w14:paraId="2DD7778A">
            <w:pPr>
              <w:pStyle w:val="247"/>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□小微企业</w:t>
            </w:r>
          </w:p>
          <w:p w14:paraId="1F20BC67">
            <w:pPr>
              <w:pStyle w:val="247"/>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□其他</w:t>
            </w:r>
          </w:p>
        </w:tc>
        <w:tc>
          <w:tcPr>
            <w:tcW w:w="1125" w:type="dxa"/>
            <w:noWrap w:val="0"/>
            <w:vAlign w:val="center"/>
          </w:tcPr>
          <w:p w14:paraId="38FEF954">
            <w:pPr>
              <w:pStyle w:val="247"/>
              <w:jc w:val="center"/>
              <w:rPr>
                <w:rFonts w:ascii="Times New Roman" w:hAnsi="Times New Roman" w:cs="Times New Roman"/>
                <w:sz w:val="30"/>
                <w:lang w:eastAsia="zh-CN"/>
              </w:rPr>
            </w:pPr>
          </w:p>
        </w:tc>
        <w:tc>
          <w:tcPr>
            <w:tcW w:w="1558" w:type="dxa"/>
            <w:noWrap w:val="0"/>
            <w:vAlign w:val="center"/>
          </w:tcPr>
          <w:p w14:paraId="6116BE82">
            <w:pPr>
              <w:pStyle w:val="247"/>
              <w:jc w:val="center"/>
              <w:rPr>
                <w:rFonts w:ascii="Times New Roman" w:hAnsi="Times New Roman" w:cs="Times New Roman"/>
                <w:sz w:val="30"/>
                <w:lang w:eastAsia="zh-CN"/>
              </w:rPr>
            </w:pPr>
          </w:p>
        </w:tc>
        <w:tc>
          <w:tcPr>
            <w:tcW w:w="1498" w:type="dxa"/>
            <w:noWrap w:val="0"/>
            <w:vAlign w:val="center"/>
          </w:tcPr>
          <w:p w14:paraId="73629D8D">
            <w:pPr>
              <w:pStyle w:val="247"/>
              <w:jc w:val="center"/>
              <w:rPr>
                <w:rFonts w:ascii="Times New Roman" w:hAnsi="Times New Roman" w:cs="Times New Roman"/>
                <w:sz w:val="30"/>
                <w:lang w:eastAsia="zh-CN"/>
              </w:rPr>
            </w:pPr>
          </w:p>
        </w:tc>
        <w:tc>
          <w:tcPr>
            <w:tcW w:w="1564" w:type="dxa"/>
            <w:noWrap w:val="0"/>
            <w:vAlign w:val="center"/>
          </w:tcPr>
          <w:p w14:paraId="5119E061">
            <w:pPr>
              <w:pStyle w:val="247"/>
              <w:jc w:val="center"/>
              <w:rPr>
                <w:rFonts w:ascii="Times New Roman" w:hAnsi="Times New Roman" w:cs="Times New Roman"/>
                <w:sz w:val="30"/>
                <w:lang w:eastAsia="zh-CN"/>
              </w:rPr>
            </w:pPr>
          </w:p>
        </w:tc>
      </w:tr>
      <w:tr w14:paraId="042A5C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noWrap w:val="0"/>
            <w:vAlign w:val="center"/>
          </w:tcPr>
          <w:p w14:paraId="7F70CD5E">
            <w:pPr>
              <w:pStyle w:val="247"/>
              <w:jc w:val="center"/>
              <w:rPr>
                <w:rFonts w:ascii="Times New Roman" w:hAnsi="Times New Roman" w:cs="Times New Roman"/>
                <w:sz w:val="24"/>
                <w:lang w:eastAsia="zh-CN"/>
              </w:rPr>
            </w:pPr>
            <w:r>
              <w:rPr>
                <w:rFonts w:ascii="Times New Roman" w:hAnsi="Times New Roman" w:cs="Times New Roman"/>
                <w:sz w:val="24"/>
                <w:lang w:eastAsia="zh-CN"/>
              </w:rPr>
              <w:t>2</w:t>
            </w:r>
          </w:p>
        </w:tc>
        <w:tc>
          <w:tcPr>
            <w:tcW w:w="1287" w:type="dxa"/>
            <w:noWrap w:val="0"/>
            <w:vAlign w:val="center"/>
          </w:tcPr>
          <w:p w14:paraId="197D7F6A">
            <w:pPr>
              <w:pStyle w:val="247"/>
              <w:jc w:val="center"/>
              <w:rPr>
                <w:rFonts w:ascii="Times New Roman" w:hAnsi="Times New Roman" w:cs="Times New Roman"/>
                <w:sz w:val="30"/>
              </w:rPr>
            </w:pPr>
          </w:p>
        </w:tc>
        <w:tc>
          <w:tcPr>
            <w:tcW w:w="1513" w:type="dxa"/>
            <w:noWrap w:val="0"/>
            <w:vAlign w:val="center"/>
          </w:tcPr>
          <w:p w14:paraId="0C9A7905">
            <w:pPr>
              <w:pStyle w:val="247"/>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□中型企业</w:t>
            </w:r>
          </w:p>
          <w:p w14:paraId="22DD7AC8">
            <w:pPr>
              <w:pStyle w:val="247"/>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□小微企业</w:t>
            </w:r>
          </w:p>
          <w:p w14:paraId="132D6DDE">
            <w:pPr>
              <w:pStyle w:val="247"/>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□其他</w:t>
            </w:r>
          </w:p>
        </w:tc>
        <w:tc>
          <w:tcPr>
            <w:tcW w:w="1125" w:type="dxa"/>
            <w:noWrap w:val="0"/>
            <w:vAlign w:val="center"/>
          </w:tcPr>
          <w:p w14:paraId="14599A25">
            <w:pPr>
              <w:pStyle w:val="247"/>
              <w:jc w:val="center"/>
              <w:rPr>
                <w:rFonts w:ascii="Times New Roman" w:hAnsi="Times New Roman" w:cs="Times New Roman"/>
                <w:sz w:val="30"/>
                <w:lang w:eastAsia="zh-CN"/>
              </w:rPr>
            </w:pPr>
          </w:p>
        </w:tc>
        <w:tc>
          <w:tcPr>
            <w:tcW w:w="1558" w:type="dxa"/>
            <w:noWrap w:val="0"/>
            <w:vAlign w:val="center"/>
          </w:tcPr>
          <w:p w14:paraId="3793A5E5">
            <w:pPr>
              <w:pStyle w:val="247"/>
              <w:jc w:val="center"/>
              <w:rPr>
                <w:rFonts w:ascii="Times New Roman" w:hAnsi="Times New Roman" w:cs="Times New Roman"/>
                <w:sz w:val="30"/>
                <w:lang w:eastAsia="zh-CN"/>
              </w:rPr>
            </w:pPr>
          </w:p>
        </w:tc>
        <w:tc>
          <w:tcPr>
            <w:tcW w:w="1498" w:type="dxa"/>
            <w:noWrap w:val="0"/>
            <w:vAlign w:val="center"/>
          </w:tcPr>
          <w:p w14:paraId="079D256C">
            <w:pPr>
              <w:pStyle w:val="247"/>
              <w:jc w:val="center"/>
              <w:rPr>
                <w:rFonts w:ascii="Times New Roman" w:hAnsi="Times New Roman" w:cs="Times New Roman"/>
                <w:sz w:val="30"/>
                <w:lang w:eastAsia="zh-CN"/>
              </w:rPr>
            </w:pPr>
          </w:p>
        </w:tc>
        <w:tc>
          <w:tcPr>
            <w:tcW w:w="1564" w:type="dxa"/>
            <w:noWrap w:val="0"/>
            <w:vAlign w:val="center"/>
          </w:tcPr>
          <w:p w14:paraId="1D280A8E">
            <w:pPr>
              <w:pStyle w:val="247"/>
              <w:jc w:val="center"/>
              <w:rPr>
                <w:rFonts w:ascii="Times New Roman" w:hAnsi="Times New Roman" w:cs="Times New Roman"/>
                <w:sz w:val="30"/>
                <w:lang w:eastAsia="zh-CN"/>
              </w:rPr>
            </w:pPr>
          </w:p>
        </w:tc>
      </w:tr>
      <w:tr w14:paraId="7476C6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noWrap w:val="0"/>
            <w:vAlign w:val="center"/>
          </w:tcPr>
          <w:p w14:paraId="01B68ACE">
            <w:pPr>
              <w:pStyle w:val="247"/>
              <w:jc w:val="center"/>
              <w:rPr>
                <w:rFonts w:ascii="Times New Roman" w:hAnsi="Times New Roman" w:cs="Times New Roman"/>
                <w:sz w:val="24"/>
                <w:lang w:eastAsia="zh-CN"/>
              </w:rPr>
            </w:pPr>
            <w:r>
              <w:rPr>
                <w:rFonts w:ascii="Times New Roman" w:hAnsi="Times New Roman" w:cs="Times New Roman"/>
                <w:sz w:val="24"/>
                <w:lang w:eastAsia="zh-CN"/>
              </w:rPr>
              <w:t>…</w:t>
            </w:r>
          </w:p>
        </w:tc>
        <w:tc>
          <w:tcPr>
            <w:tcW w:w="1287" w:type="dxa"/>
            <w:noWrap w:val="0"/>
            <w:vAlign w:val="center"/>
          </w:tcPr>
          <w:p w14:paraId="2F53F6F0">
            <w:pPr>
              <w:pStyle w:val="247"/>
              <w:jc w:val="center"/>
              <w:rPr>
                <w:rFonts w:ascii="Times New Roman" w:hAnsi="Times New Roman" w:cs="Times New Roman"/>
                <w:sz w:val="30"/>
              </w:rPr>
            </w:pPr>
          </w:p>
        </w:tc>
        <w:tc>
          <w:tcPr>
            <w:tcW w:w="1513" w:type="dxa"/>
            <w:noWrap w:val="0"/>
            <w:vAlign w:val="center"/>
          </w:tcPr>
          <w:p w14:paraId="32E837F7">
            <w:pPr>
              <w:pStyle w:val="247"/>
              <w:tabs>
                <w:tab w:val="left" w:pos="235"/>
              </w:tabs>
              <w:jc w:val="center"/>
              <w:rPr>
                <w:rFonts w:ascii="Times New Roman" w:hAnsi="Times New Roman" w:cs="Times New Roman"/>
                <w:sz w:val="24"/>
              </w:rPr>
            </w:pPr>
          </w:p>
        </w:tc>
        <w:tc>
          <w:tcPr>
            <w:tcW w:w="1125" w:type="dxa"/>
            <w:noWrap w:val="0"/>
            <w:vAlign w:val="center"/>
          </w:tcPr>
          <w:p w14:paraId="0B35B7E2">
            <w:pPr>
              <w:pStyle w:val="247"/>
              <w:jc w:val="center"/>
              <w:rPr>
                <w:rFonts w:ascii="Times New Roman" w:hAnsi="Times New Roman" w:cs="Times New Roman"/>
                <w:sz w:val="30"/>
              </w:rPr>
            </w:pPr>
          </w:p>
        </w:tc>
        <w:tc>
          <w:tcPr>
            <w:tcW w:w="1558" w:type="dxa"/>
            <w:noWrap w:val="0"/>
            <w:vAlign w:val="center"/>
          </w:tcPr>
          <w:p w14:paraId="79D2D56B">
            <w:pPr>
              <w:pStyle w:val="247"/>
              <w:jc w:val="center"/>
              <w:rPr>
                <w:rFonts w:ascii="Times New Roman" w:hAnsi="Times New Roman" w:cs="Times New Roman"/>
                <w:sz w:val="30"/>
              </w:rPr>
            </w:pPr>
          </w:p>
        </w:tc>
        <w:tc>
          <w:tcPr>
            <w:tcW w:w="1498" w:type="dxa"/>
            <w:noWrap w:val="0"/>
            <w:vAlign w:val="center"/>
          </w:tcPr>
          <w:p w14:paraId="291F291B">
            <w:pPr>
              <w:pStyle w:val="247"/>
              <w:jc w:val="center"/>
              <w:rPr>
                <w:rFonts w:ascii="Times New Roman" w:hAnsi="Times New Roman" w:cs="Times New Roman"/>
                <w:sz w:val="30"/>
              </w:rPr>
            </w:pPr>
          </w:p>
        </w:tc>
        <w:tc>
          <w:tcPr>
            <w:tcW w:w="1564" w:type="dxa"/>
            <w:noWrap w:val="0"/>
            <w:vAlign w:val="center"/>
          </w:tcPr>
          <w:p w14:paraId="669B60DA">
            <w:pPr>
              <w:pStyle w:val="247"/>
              <w:jc w:val="center"/>
              <w:rPr>
                <w:rFonts w:ascii="Times New Roman" w:hAnsi="Times New Roman" w:cs="Times New Roman"/>
                <w:sz w:val="30"/>
              </w:rPr>
            </w:pPr>
          </w:p>
        </w:tc>
      </w:tr>
      <w:tr w14:paraId="013738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noWrap w:val="0"/>
            <w:vAlign w:val="center"/>
          </w:tcPr>
          <w:p w14:paraId="3EACE539">
            <w:pPr>
              <w:pStyle w:val="247"/>
              <w:ind w:right="57" w:rightChars="27"/>
              <w:jc w:val="right"/>
              <w:rPr>
                <w:rFonts w:ascii="Times New Roman" w:hAnsi="Times New Roman" w:cs="Times New Roman"/>
                <w:sz w:val="24"/>
                <w:lang w:eastAsia="zh-CN"/>
              </w:rPr>
            </w:pPr>
            <w:r>
              <w:rPr>
                <w:rFonts w:ascii="Times New Roman" w:hAnsi="Times New Roman" w:cs="Times New Roman"/>
                <w:sz w:val="24"/>
                <w:lang w:eastAsia="zh-CN"/>
              </w:rPr>
              <w:t>合计：</w:t>
            </w:r>
          </w:p>
        </w:tc>
        <w:tc>
          <w:tcPr>
            <w:tcW w:w="1498" w:type="dxa"/>
            <w:noWrap w:val="0"/>
            <w:vAlign w:val="center"/>
          </w:tcPr>
          <w:p w14:paraId="6A7AC226">
            <w:pPr>
              <w:pStyle w:val="247"/>
              <w:jc w:val="center"/>
              <w:rPr>
                <w:rFonts w:ascii="Times New Roman" w:hAnsi="Times New Roman" w:cs="Times New Roman"/>
                <w:sz w:val="30"/>
              </w:rPr>
            </w:pPr>
          </w:p>
        </w:tc>
        <w:tc>
          <w:tcPr>
            <w:tcW w:w="1564" w:type="dxa"/>
            <w:noWrap w:val="0"/>
            <w:vAlign w:val="center"/>
          </w:tcPr>
          <w:p w14:paraId="52988C8C">
            <w:pPr>
              <w:pStyle w:val="247"/>
              <w:jc w:val="center"/>
              <w:rPr>
                <w:rFonts w:ascii="Times New Roman" w:hAnsi="Times New Roman" w:cs="Times New Roman"/>
                <w:sz w:val="30"/>
              </w:rPr>
            </w:pPr>
          </w:p>
        </w:tc>
      </w:tr>
    </w:tbl>
    <w:p w14:paraId="16C13E03">
      <w:pPr>
        <w:adjustRightInd w:val="0"/>
        <w:snapToGrid w:val="0"/>
        <w:spacing w:line="360" w:lineRule="auto"/>
        <w:ind w:firstLine="480" w:firstLineChars="200"/>
        <w:jc w:val="left"/>
        <w:rPr>
          <w:sz w:val="24"/>
        </w:rPr>
      </w:pPr>
    </w:p>
    <w:p w14:paraId="23CDE373">
      <w:pPr>
        <w:adjustRightInd w:val="0"/>
        <w:snapToGrid w:val="0"/>
        <w:spacing w:line="360" w:lineRule="auto"/>
        <w:jc w:val="left"/>
        <w:rPr>
          <w:sz w:val="24"/>
        </w:rPr>
      </w:pPr>
      <w:r>
        <w:rPr>
          <w:sz w:val="24"/>
        </w:rPr>
        <w:t>注：</w:t>
      </w:r>
      <w:r>
        <w:rPr>
          <w:color w:val="FF0000"/>
          <w:sz w:val="24"/>
        </w:rPr>
        <w:t xml:space="preserve"> </w:t>
      </w:r>
    </w:p>
    <w:p w14:paraId="6015FD52">
      <w:pPr>
        <w:adjustRightInd w:val="0"/>
        <w:snapToGrid w:val="0"/>
        <w:spacing w:line="360" w:lineRule="auto"/>
        <w:jc w:val="left"/>
        <w:rPr>
          <w:sz w:val="24"/>
        </w:rPr>
      </w:pPr>
      <w:r>
        <w:rPr>
          <w:sz w:val="24"/>
        </w:rPr>
        <w:t>1. 如本项目（包）允许分包，且投标人拟进行分包时，必须提供；如未提供，或提供了但未填写分包承担主体名称、拟分包合同内容、拟分包合同金额，</w:t>
      </w:r>
      <w:r>
        <w:rPr>
          <w:b/>
          <w:sz w:val="24"/>
        </w:rPr>
        <w:t>投标无效</w:t>
      </w:r>
      <w:r>
        <w:rPr>
          <w:sz w:val="24"/>
        </w:rPr>
        <w:t>。</w:t>
      </w:r>
    </w:p>
    <w:p w14:paraId="1D273DC4">
      <w:pPr>
        <w:adjustRightInd w:val="0"/>
        <w:snapToGrid w:val="0"/>
        <w:spacing w:line="360" w:lineRule="auto"/>
        <w:jc w:val="left"/>
        <w:rPr>
          <w:sz w:val="24"/>
        </w:rPr>
      </w:pPr>
      <w:r>
        <w:rPr>
          <w:sz w:val="24"/>
        </w:rPr>
        <w:t>2.如本招标文件《投标人须知资料表》载明本项目分包承担主体应具备的相应资质条件，则投标人须在本表中列明分包承担主体的资质等级，并后附资质证书电子件，否则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408A2800">
      <w:pPr>
        <w:adjustRightInd w:val="0"/>
        <w:snapToGrid w:val="0"/>
        <w:spacing w:line="360" w:lineRule="auto"/>
        <w:jc w:val="left"/>
        <w:rPr>
          <w:sz w:val="24"/>
        </w:rPr>
      </w:pPr>
      <w:r>
        <w:rPr>
          <w:sz w:val="24"/>
        </w:rPr>
        <w:t>3. 投标人“为落实政府采购政策”而向中小企业分包时请仔细阅读资格证明文件格式2-1中说明，并建议按要求在资格证明文件中提供相关全部文件；投标人非“为落实政府采购政策”而向中小企业分包时，建议在本册提供。</w:t>
      </w:r>
    </w:p>
    <w:p w14:paraId="7ADDEBCF">
      <w:pPr>
        <w:adjustRightInd w:val="0"/>
        <w:snapToGrid w:val="0"/>
        <w:spacing w:line="360" w:lineRule="auto"/>
        <w:jc w:val="left"/>
        <w:rPr>
          <w:sz w:val="24"/>
        </w:rPr>
      </w:pPr>
    </w:p>
    <w:p w14:paraId="1612A7A2">
      <w:pPr>
        <w:adjustRightInd w:val="0"/>
        <w:snapToGrid w:val="0"/>
        <w:spacing w:line="360" w:lineRule="auto"/>
        <w:ind w:firstLine="480" w:firstLineChars="200"/>
        <w:jc w:val="right"/>
        <w:rPr>
          <w:sz w:val="24"/>
        </w:rPr>
      </w:pPr>
      <w:r>
        <w:rPr>
          <w:sz w:val="24"/>
        </w:rPr>
        <w:t>投标人名称（盖章）：______</w:t>
      </w:r>
    </w:p>
    <w:p w14:paraId="7D565BF4">
      <w:pPr>
        <w:adjustRightInd w:val="0"/>
        <w:snapToGrid w:val="0"/>
        <w:spacing w:line="360" w:lineRule="auto"/>
        <w:ind w:firstLine="480" w:firstLineChars="200"/>
        <w:jc w:val="right"/>
        <w:rPr>
          <w:color w:val="000000"/>
          <w:sz w:val="24"/>
        </w:rPr>
      </w:pPr>
      <w:r>
        <w:rPr>
          <w:color w:val="000000"/>
          <w:sz w:val="24"/>
        </w:rPr>
        <w:t>日期：_____年______月______日</w:t>
      </w:r>
    </w:p>
    <w:p w14:paraId="241E27EB">
      <w:pPr>
        <w:widowControl/>
        <w:jc w:val="left"/>
        <w:rPr>
          <w:color w:val="000000"/>
          <w:sz w:val="24"/>
        </w:rPr>
      </w:pPr>
      <w:r>
        <w:rPr>
          <w:color w:val="000000"/>
          <w:sz w:val="24"/>
        </w:rPr>
        <w:br w:type="page"/>
      </w:r>
    </w:p>
    <w:p w14:paraId="4CA552E4">
      <w:pPr>
        <w:autoSpaceDE w:val="0"/>
        <w:autoSpaceDN w:val="0"/>
        <w:adjustRightInd w:val="0"/>
        <w:spacing w:line="360" w:lineRule="auto"/>
        <w:jc w:val="center"/>
        <w:rPr>
          <w:b/>
          <w:color w:val="000000"/>
          <w:sz w:val="36"/>
          <w:szCs w:val="36"/>
        </w:rPr>
      </w:pPr>
      <w:bookmarkStart w:id="947" w:name="_Hlk176956326"/>
      <w:r>
        <w:rPr>
          <w:b/>
          <w:color w:val="000000"/>
          <w:sz w:val="36"/>
          <w:szCs w:val="36"/>
        </w:rPr>
        <w:t>分包意向协议（不适用）</w:t>
      </w:r>
    </w:p>
    <w:p w14:paraId="42252C10">
      <w:pPr>
        <w:adjustRightInd w:val="0"/>
        <w:snapToGrid w:val="0"/>
        <w:spacing w:line="360" w:lineRule="auto"/>
        <w:ind w:firstLine="480" w:firstLineChars="200"/>
        <w:jc w:val="left"/>
        <w:rPr>
          <w:sz w:val="24"/>
        </w:rPr>
      </w:pPr>
      <w:r>
        <w:rPr>
          <w:sz w:val="24"/>
        </w:rPr>
        <w:t>甲方（投标人）：________</w:t>
      </w:r>
    </w:p>
    <w:p w14:paraId="4A25424F">
      <w:pPr>
        <w:adjustRightInd w:val="0"/>
        <w:snapToGrid w:val="0"/>
        <w:spacing w:line="360" w:lineRule="auto"/>
        <w:ind w:firstLine="480" w:firstLineChars="200"/>
        <w:jc w:val="left"/>
        <w:rPr>
          <w:sz w:val="24"/>
        </w:rPr>
      </w:pPr>
      <w:r>
        <w:rPr>
          <w:sz w:val="24"/>
        </w:rPr>
        <w:t>乙方（拟分包单位）：________</w:t>
      </w:r>
    </w:p>
    <w:p w14:paraId="767C2D3B">
      <w:pPr>
        <w:adjustRightInd w:val="0"/>
        <w:snapToGrid w:val="0"/>
        <w:spacing w:line="360" w:lineRule="auto"/>
        <w:ind w:firstLine="480" w:firstLineChars="200"/>
        <w:jc w:val="left"/>
        <w:rPr>
          <w:sz w:val="24"/>
        </w:rPr>
      </w:pPr>
      <w:r>
        <w:rPr>
          <w:sz w:val="24"/>
        </w:rPr>
        <w:t>甲方承诺，一旦在_________（采购项目名称）（项目编号/包号为：_______）招标采购项目中获得采购合同，将按照下述约定将合同项下部分内容分包给乙方：</w:t>
      </w:r>
    </w:p>
    <w:p w14:paraId="02E61AD3">
      <w:pPr>
        <w:adjustRightInd w:val="0"/>
        <w:snapToGrid w:val="0"/>
        <w:spacing w:line="360" w:lineRule="auto"/>
        <w:ind w:firstLine="480" w:firstLineChars="200"/>
        <w:jc w:val="left"/>
        <w:rPr>
          <w:sz w:val="24"/>
        </w:rPr>
      </w:pPr>
      <w:r>
        <w:rPr>
          <w:sz w:val="24"/>
        </w:rPr>
        <w:t>1.分包内容：_____。</w:t>
      </w:r>
    </w:p>
    <w:p w14:paraId="4728FBB9">
      <w:pPr>
        <w:adjustRightInd w:val="0"/>
        <w:snapToGrid w:val="0"/>
        <w:spacing w:line="360" w:lineRule="auto"/>
        <w:ind w:firstLine="480" w:firstLineChars="200"/>
        <w:jc w:val="left"/>
        <w:rPr>
          <w:sz w:val="24"/>
        </w:rPr>
      </w:pPr>
      <w:r>
        <w:rPr>
          <w:sz w:val="24"/>
        </w:rPr>
        <w:t>2.分包金额：_____，该金额占该采购包合同金额的比例为___%。</w:t>
      </w:r>
    </w:p>
    <w:p w14:paraId="07DB704C">
      <w:pPr>
        <w:adjustRightInd w:val="0"/>
        <w:snapToGrid w:val="0"/>
        <w:spacing w:line="360" w:lineRule="auto"/>
        <w:ind w:firstLine="480" w:firstLineChars="200"/>
        <w:jc w:val="left"/>
        <w:rPr>
          <w:bCs/>
          <w:color w:val="000000"/>
          <w:sz w:val="24"/>
        </w:rPr>
      </w:pPr>
      <w:r>
        <w:rPr>
          <w:sz w:val="24"/>
        </w:rPr>
        <w:t>乙方承诺将在上述情况下与甲方签订分包合同。</w:t>
      </w:r>
    </w:p>
    <w:p w14:paraId="2D2F4CFC">
      <w:pPr>
        <w:adjustRightInd w:val="0"/>
        <w:snapToGrid w:val="0"/>
        <w:spacing w:line="360" w:lineRule="auto"/>
        <w:ind w:firstLine="480" w:firstLineChars="200"/>
        <w:jc w:val="left"/>
        <w:rPr>
          <w:sz w:val="24"/>
        </w:rPr>
      </w:pPr>
      <w:r>
        <w:rPr>
          <w:sz w:val="24"/>
        </w:rPr>
        <w:t>本协议自各方盖章之日起生效，如甲方未在该项目（采购包）中标，本协议自动终止。</w:t>
      </w:r>
    </w:p>
    <w:p w14:paraId="1443F7A4">
      <w:pPr>
        <w:spacing w:line="360" w:lineRule="auto"/>
        <w:ind w:firstLine="471"/>
        <w:rPr>
          <w:b/>
          <w:color w:val="000000"/>
          <w:sz w:val="24"/>
        </w:rPr>
      </w:pPr>
    </w:p>
    <w:p w14:paraId="13DB7614">
      <w:pPr>
        <w:spacing w:line="360" w:lineRule="auto"/>
        <w:ind w:firstLine="471"/>
        <w:rPr>
          <w:b/>
          <w:color w:val="000000"/>
          <w:sz w:val="24"/>
        </w:rPr>
      </w:pPr>
      <w:r>
        <w:rPr>
          <w:color w:val="000000"/>
          <w:sz w:val="24"/>
        </w:rPr>
        <w:t>甲方（盖章）：_________                 乙方（盖章）：_________</w:t>
      </w:r>
    </w:p>
    <w:p w14:paraId="2D5D8A66">
      <w:pPr>
        <w:spacing w:line="360" w:lineRule="auto"/>
        <w:ind w:left="480"/>
        <w:jc w:val="right"/>
        <w:rPr>
          <w:color w:val="000000"/>
          <w:sz w:val="24"/>
        </w:rPr>
      </w:pPr>
    </w:p>
    <w:p w14:paraId="20A99D55">
      <w:pPr>
        <w:wordWrap w:val="0"/>
        <w:spacing w:line="360" w:lineRule="auto"/>
        <w:ind w:left="480"/>
        <w:jc w:val="right"/>
        <w:rPr>
          <w:b/>
          <w:color w:val="000000"/>
          <w:sz w:val="24"/>
        </w:rPr>
      </w:pPr>
      <w:r>
        <w:rPr>
          <w:color w:val="000000"/>
          <w:sz w:val="24"/>
          <w:szCs w:val="20"/>
        </w:rPr>
        <w:t xml:space="preserve">日期：_____年______月______日   </w:t>
      </w:r>
    </w:p>
    <w:p w14:paraId="227C60B1">
      <w:pPr>
        <w:tabs>
          <w:tab w:val="left" w:pos="8280"/>
        </w:tabs>
        <w:spacing w:line="360" w:lineRule="auto"/>
        <w:ind w:firstLine="480"/>
        <w:rPr>
          <w:color w:val="000000"/>
          <w:sz w:val="24"/>
        </w:rPr>
      </w:pPr>
    </w:p>
    <w:p w14:paraId="1F78F923">
      <w:pPr>
        <w:tabs>
          <w:tab w:val="left" w:pos="8280"/>
        </w:tabs>
        <w:spacing w:line="360" w:lineRule="auto"/>
        <w:rPr>
          <w:color w:val="000000"/>
          <w:sz w:val="24"/>
        </w:rPr>
      </w:pPr>
      <w:bookmarkStart w:id="948" w:name="_Hlk176956306"/>
      <w:r>
        <w:rPr>
          <w:color w:val="000000"/>
          <w:sz w:val="24"/>
        </w:rPr>
        <w:t>注：</w:t>
      </w:r>
    </w:p>
    <w:p w14:paraId="621C440D">
      <w:pPr>
        <w:adjustRightInd w:val="0"/>
        <w:snapToGrid w:val="0"/>
        <w:spacing w:line="360" w:lineRule="auto"/>
        <w:jc w:val="left"/>
        <w:rPr>
          <w:sz w:val="24"/>
        </w:rPr>
      </w:pPr>
      <w:r>
        <w:rPr>
          <w:rFonts w:hint="eastAsia"/>
          <w:sz w:val="24"/>
        </w:rPr>
        <w:t>1</w:t>
      </w:r>
      <w:r>
        <w:rPr>
          <w:sz w:val="24"/>
        </w:rPr>
        <w:t>. 投标人“为落实政府采购政策”而向中小企业分包时必须提供，否则</w:t>
      </w:r>
      <w:r>
        <w:rPr>
          <w:b/>
          <w:sz w:val="24"/>
        </w:rPr>
        <w:t>投标无效</w:t>
      </w:r>
      <w:r>
        <w:rPr>
          <w:sz w:val="24"/>
        </w:rPr>
        <w:t>；</w:t>
      </w:r>
      <w:r>
        <w:rPr>
          <w:rFonts w:hint="eastAsia"/>
          <w:sz w:val="24"/>
        </w:rPr>
        <w:t>且建议按照采购文件要求在资格证明文件部分提供；</w:t>
      </w:r>
    </w:p>
    <w:p w14:paraId="1B934655">
      <w:pPr>
        <w:adjustRightInd w:val="0"/>
        <w:snapToGrid w:val="0"/>
        <w:spacing w:line="360" w:lineRule="auto"/>
        <w:jc w:val="left"/>
        <w:rPr>
          <w:sz w:val="24"/>
        </w:rPr>
      </w:pPr>
      <w:r>
        <w:rPr>
          <w:sz w:val="24"/>
        </w:rPr>
        <w:t>2. 投标人</w:t>
      </w:r>
      <w:r>
        <w:rPr>
          <w:rFonts w:hint="eastAsia"/>
          <w:sz w:val="24"/>
        </w:rPr>
        <w:t>满足《政府采购促进中小企业发展管理办法》（财库〔2020〕46号）第九条有关规定，拟享受中小企业</w:t>
      </w:r>
      <w:r>
        <w:rPr>
          <w:sz w:val="24"/>
        </w:rPr>
        <w:t>政策</w:t>
      </w:r>
      <w:r>
        <w:rPr>
          <w:rFonts w:hint="eastAsia"/>
          <w:sz w:val="24"/>
        </w:rPr>
        <w:t>优惠措施的，仍需提供本协议，否则不予认可；</w:t>
      </w:r>
    </w:p>
    <w:p w14:paraId="4321CA19">
      <w:pPr>
        <w:adjustRightInd w:val="0"/>
        <w:snapToGrid w:val="0"/>
        <w:spacing w:line="360" w:lineRule="auto"/>
        <w:jc w:val="left"/>
        <w:rPr>
          <w:color w:val="000000"/>
          <w:sz w:val="24"/>
        </w:rPr>
      </w:pPr>
      <w:r>
        <w:rPr>
          <w:rFonts w:hint="eastAsia"/>
          <w:color w:val="000000"/>
          <w:sz w:val="24"/>
        </w:rPr>
        <w:t>3</w:t>
      </w:r>
      <w:r>
        <w:rPr>
          <w:color w:val="000000"/>
          <w:sz w:val="24"/>
        </w:rPr>
        <w:t>. 投标人须与所有拟分包单位分别签订《分包意向协议》，每单位签订一份，并在投标文件中提交全部协议原件的电子件，否则</w:t>
      </w:r>
      <w:r>
        <w:rPr>
          <w:rFonts w:hint="eastAsia"/>
          <w:bCs/>
          <w:color w:val="000000"/>
          <w:sz w:val="24"/>
        </w:rPr>
        <w:t>不予认可</w:t>
      </w:r>
      <w:r>
        <w:rPr>
          <w:color w:val="000000"/>
          <w:sz w:val="24"/>
        </w:rPr>
        <w:t>。</w:t>
      </w:r>
      <w:bookmarkEnd w:id="948"/>
    </w:p>
    <w:p w14:paraId="2E3C2826">
      <w:pPr>
        <w:numPr>
          <w:ilvl w:val="0"/>
          <w:numId w:val="32"/>
        </w:numPr>
        <w:tabs>
          <w:tab w:val="left" w:pos="360"/>
        </w:tabs>
        <w:snapToGrid w:val="0"/>
        <w:spacing w:line="360" w:lineRule="auto"/>
        <w:outlineLvl w:val="1"/>
        <w:rPr>
          <w:b/>
          <w:color w:val="000000"/>
          <w:sz w:val="24"/>
        </w:rPr>
      </w:pPr>
      <w:r>
        <w:rPr>
          <w:color w:val="000000"/>
          <w:sz w:val="24"/>
        </w:rPr>
        <w:br w:type="page"/>
      </w:r>
      <w:r>
        <w:rPr>
          <w:rFonts w:hint="eastAsia"/>
          <w:color w:val="000000"/>
          <w:sz w:val="24"/>
          <w:szCs w:val="20"/>
        </w:rPr>
        <w:t>项目实施详细方案</w:t>
      </w:r>
    </w:p>
    <w:bookmarkEnd w:id="947"/>
    <w:p w14:paraId="26457BE6">
      <w:pPr>
        <w:adjustRightInd w:val="0"/>
        <w:snapToGrid w:val="0"/>
        <w:spacing w:line="360" w:lineRule="auto"/>
        <w:ind w:firstLine="480" w:firstLineChars="200"/>
        <w:jc w:val="left"/>
        <w:rPr>
          <w:rFonts w:hint="eastAsia"/>
          <w:sz w:val="24"/>
        </w:rPr>
      </w:pPr>
      <w:r>
        <w:rPr>
          <w:rFonts w:hint="eastAsia"/>
          <w:sz w:val="24"/>
        </w:rPr>
        <w:t>投标人应提供项目实施详细方案，包括但不限于对项目理解程度、项目服务方案、保密措施、资料管理制度、突发事件预案、服务保障方案、服务承诺等。</w:t>
      </w:r>
    </w:p>
    <w:p w14:paraId="6669A1D9">
      <w:pPr>
        <w:numPr>
          <w:ilvl w:val="0"/>
          <w:numId w:val="32"/>
        </w:numPr>
        <w:tabs>
          <w:tab w:val="left" w:pos="360"/>
        </w:tabs>
        <w:snapToGrid w:val="0"/>
        <w:spacing w:line="360" w:lineRule="auto"/>
        <w:outlineLvl w:val="1"/>
        <w:rPr>
          <w:color w:val="000000"/>
          <w:sz w:val="24"/>
          <w:szCs w:val="20"/>
        </w:rPr>
      </w:pPr>
      <w:r>
        <w:rPr>
          <w:sz w:val="24"/>
          <w:szCs w:val="20"/>
        </w:rPr>
        <w:br w:type="page"/>
      </w:r>
      <w:r>
        <w:rPr>
          <w:color w:val="000000"/>
          <w:sz w:val="24"/>
          <w:szCs w:val="20"/>
        </w:rPr>
        <w:t>招标文件要求提供或投标人认为应附的其他材料</w:t>
      </w:r>
    </w:p>
    <w:p w14:paraId="31A1218E">
      <w:pPr>
        <w:widowControl/>
        <w:jc w:val="left"/>
        <w:rPr>
          <w:color w:val="000000"/>
          <w:sz w:val="24"/>
          <w:szCs w:val="20"/>
        </w:rPr>
      </w:pPr>
      <w:r>
        <w:rPr>
          <w:color w:val="000000"/>
          <w:sz w:val="24"/>
          <w:szCs w:val="20"/>
        </w:rPr>
        <w:t>10-1</w:t>
      </w:r>
      <w:r>
        <w:rPr>
          <w:rFonts w:hint="eastAsia"/>
          <w:color w:val="000000"/>
          <w:sz w:val="24"/>
          <w:szCs w:val="20"/>
        </w:rPr>
        <w:t>供应商信息采集表</w:t>
      </w:r>
    </w:p>
    <w:tbl>
      <w:tblPr>
        <w:tblStyle w:val="4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096"/>
        <w:gridCol w:w="3097"/>
        <w:gridCol w:w="3095"/>
      </w:tblGrid>
      <w:tr w14:paraId="302268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trPr>
        <w:tc>
          <w:tcPr>
            <w:tcW w:w="1667" w:type="pct"/>
            <w:noWrap w:val="0"/>
            <w:vAlign w:val="top"/>
          </w:tcPr>
          <w:p w14:paraId="36E88A0C">
            <w:pPr>
              <w:rPr>
                <w:sz w:val="24"/>
              </w:rPr>
            </w:pPr>
            <w:r>
              <w:rPr>
                <w:rFonts w:hint="eastAsia"/>
                <w:sz w:val="24"/>
              </w:rPr>
              <w:t>供应商名称</w:t>
            </w:r>
          </w:p>
        </w:tc>
        <w:tc>
          <w:tcPr>
            <w:tcW w:w="1667" w:type="pct"/>
            <w:noWrap w:val="0"/>
            <w:vAlign w:val="top"/>
          </w:tcPr>
          <w:p w14:paraId="524CE9D5">
            <w:pPr>
              <w:rPr>
                <w:sz w:val="24"/>
              </w:rPr>
            </w:pPr>
            <w:r>
              <w:rPr>
                <w:rFonts w:hint="eastAsia"/>
                <w:sz w:val="24"/>
              </w:rPr>
              <w:t>供应商所属性别</w:t>
            </w:r>
          </w:p>
        </w:tc>
        <w:tc>
          <w:tcPr>
            <w:tcW w:w="1667" w:type="pct"/>
            <w:noWrap w:val="0"/>
            <w:vAlign w:val="top"/>
          </w:tcPr>
          <w:p w14:paraId="3A117A1A">
            <w:pPr>
              <w:rPr>
                <w:sz w:val="24"/>
              </w:rPr>
            </w:pPr>
            <w:r>
              <w:rPr>
                <w:rFonts w:hint="eastAsia"/>
                <w:sz w:val="24"/>
              </w:rPr>
              <w:t>外商投资类型</w:t>
            </w:r>
          </w:p>
        </w:tc>
      </w:tr>
      <w:tr w14:paraId="49B659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1667" w:type="pct"/>
            <w:noWrap w:val="0"/>
            <w:vAlign w:val="top"/>
          </w:tcPr>
          <w:p w14:paraId="5624AEA0">
            <w:pPr>
              <w:rPr>
                <w:sz w:val="24"/>
              </w:rPr>
            </w:pPr>
          </w:p>
        </w:tc>
        <w:tc>
          <w:tcPr>
            <w:tcW w:w="1667" w:type="pct"/>
            <w:noWrap w:val="0"/>
            <w:vAlign w:val="top"/>
          </w:tcPr>
          <w:p w14:paraId="4C8B9384">
            <w:pPr>
              <w:rPr>
                <w:sz w:val="24"/>
              </w:rPr>
            </w:pPr>
          </w:p>
        </w:tc>
        <w:tc>
          <w:tcPr>
            <w:tcW w:w="1667" w:type="pct"/>
            <w:noWrap w:val="0"/>
            <w:vAlign w:val="top"/>
          </w:tcPr>
          <w:p w14:paraId="250121EB">
            <w:pPr>
              <w:rPr>
                <w:sz w:val="24"/>
              </w:rPr>
            </w:pPr>
          </w:p>
        </w:tc>
      </w:tr>
      <w:tr w14:paraId="6B3433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1667" w:type="pct"/>
            <w:noWrap w:val="0"/>
            <w:vAlign w:val="top"/>
          </w:tcPr>
          <w:p w14:paraId="05A4FC6D">
            <w:pPr>
              <w:rPr>
                <w:sz w:val="24"/>
              </w:rPr>
            </w:pPr>
          </w:p>
        </w:tc>
        <w:tc>
          <w:tcPr>
            <w:tcW w:w="1667" w:type="pct"/>
            <w:noWrap w:val="0"/>
            <w:vAlign w:val="top"/>
          </w:tcPr>
          <w:p w14:paraId="1BB44F0C">
            <w:pPr>
              <w:rPr>
                <w:sz w:val="24"/>
              </w:rPr>
            </w:pPr>
          </w:p>
        </w:tc>
        <w:tc>
          <w:tcPr>
            <w:tcW w:w="1667" w:type="pct"/>
            <w:noWrap w:val="0"/>
            <w:vAlign w:val="top"/>
          </w:tcPr>
          <w:p w14:paraId="2F3C2A62">
            <w:pPr>
              <w:rPr>
                <w:sz w:val="24"/>
              </w:rPr>
            </w:pPr>
          </w:p>
        </w:tc>
      </w:tr>
      <w:tr w14:paraId="191BE3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1667" w:type="pct"/>
            <w:noWrap w:val="0"/>
            <w:vAlign w:val="top"/>
          </w:tcPr>
          <w:p w14:paraId="1F2BFF8E">
            <w:pPr>
              <w:rPr>
                <w:sz w:val="24"/>
              </w:rPr>
            </w:pPr>
          </w:p>
        </w:tc>
        <w:tc>
          <w:tcPr>
            <w:tcW w:w="1667" w:type="pct"/>
            <w:noWrap w:val="0"/>
            <w:vAlign w:val="top"/>
          </w:tcPr>
          <w:p w14:paraId="48BB6E08">
            <w:pPr>
              <w:rPr>
                <w:sz w:val="24"/>
              </w:rPr>
            </w:pPr>
          </w:p>
        </w:tc>
        <w:tc>
          <w:tcPr>
            <w:tcW w:w="1667" w:type="pct"/>
            <w:noWrap w:val="0"/>
            <w:vAlign w:val="top"/>
          </w:tcPr>
          <w:p w14:paraId="510ED1C3">
            <w:pPr>
              <w:rPr>
                <w:sz w:val="24"/>
              </w:rPr>
            </w:pPr>
          </w:p>
        </w:tc>
      </w:tr>
      <w:tr w14:paraId="376E12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1667" w:type="pct"/>
            <w:noWrap w:val="0"/>
            <w:vAlign w:val="top"/>
          </w:tcPr>
          <w:p w14:paraId="4D39AB35">
            <w:pPr>
              <w:rPr>
                <w:sz w:val="24"/>
              </w:rPr>
            </w:pPr>
          </w:p>
        </w:tc>
        <w:tc>
          <w:tcPr>
            <w:tcW w:w="1667" w:type="pct"/>
            <w:noWrap w:val="0"/>
            <w:vAlign w:val="top"/>
          </w:tcPr>
          <w:p w14:paraId="35B6BBB8">
            <w:pPr>
              <w:rPr>
                <w:sz w:val="24"/>
              </w:rPr>
            </w:pPr>
          </w:p>
        </w:tc>
        <w:tc>
          <w:tcPr>
            <w:tcW w:w="1667" w:type="pct"/>
            <w:noWrap w:val="0"/>
            <w:vAlign w:val="top"/>
          </w:tcPr>
          <w:p w14:paraId="472ABADD">
            <w:pPr>
              <w:rPr>
                <w:sz w:val="24"/>
              </w:rPr>
            </w:pPr>
          </w:p>
        </w:tc>
      </w:tr>
    </w:tbl>
    <w:p w14:paraId="77EBA3E7">
      <w:pPr>
        <w:tabs>
          <w:tab w:val="left" w:pos="1800"/>
          <w:tab w:val="left" w:pos="5580"/>
        </w:tabs>
        <w:jc w:val="left"/>
        <w:rPr>
          <w:color w:val="000000"/>
          <w:sz w:val="24"/>
        </w:rPr>
      </w:pPr>
      <w:r>
        <w:rPr>
          <w:color w:val="000000"/>
          <w:sz w:val="24"/>
        </w:rPr>
        <w:t>注：1.供应商如为联合体，则应填写联合体各成员信息。</w:t>
      </w:r>
    </w:p>
    <w:p w14:paraId="43FFD299">
      <w:pPr>
        <w:tabs>
          <w:tab w:val="left" w:pos="1800"/>
          <w:tab w:val="left" w:pos="5580"/>
        </w:tabs>
        <w:ind w:firstLine="480" w:firstLineChars="200"/>
        <w:jc w:val="left"/>
        <w:rPr>
          <w:color w:val="000000"/>
          <w:sz w:val="24"/>
        </w:rPr>
      </w:pPr>
      <w:r>
        <w:rPr>
          <w:color w:val="000000"/>
          <w:sz w:val="24"/>
        </w:rPr>
        <w:t>2.供应商所属性别请填写“男”</w:t>
      </w:r>
      <w:r>
        <w:rPr>
          <w:rFonts w:hint="eastAsia"/>
          <w:color w:val="000000"/>
          <w:sz w:val="24"/>
        </w:rPr>
        <w:t>或</w:t>
      </w:r>
      <w:r>
        <w:rPr>
          <w:color w:val="000000"/>
          <w:sz w:val="24"/>
        </w:rPr>
        <w:t>“女”，</w:t>
      </w:r>
      <w:r>
        <w:rPr>
          <w:rFonts w:hint="eastAsia"/>
          <w:color w:val="000000"/>
          <w:sz w:val="24"/>
        </w:rPr>
        <w:t>指拥有供应商5</w:t>
      </w:r>
      <w:r>
        <w:rPr>
          <w:color w:val="000000"/>
          <w:sz w:val="24"/>
        </w:rPr>
        <w:t>1%</w:t>
      </w:r>
      <w:r>
        <w:rPr>
          <w:rFonts w:hint="eastAsia"/>
          <w:color w:val="000000"/>
          <w:sz w:val="24"/>
        </w:rPr>
        <w:t>以上绝对所有权的性别；绝对所有权拥有者可以是一个人，也可以是多人合计计算</w:t>
      </w:r>
      <w:r>
        <w:rPr>
          <w:color w:val="000000"/>
          <w:sz w:val="24"/>
        </w:rPr>
        <w:t>。</w:t>
      </w:r>
    </w:p>
    <w:p w14:paraId="2BFB3DE2">
      <w:pPr>
        <w:tabs>
          <w:tab w:val="left" w:pos="1800"/>
          <w:tab w:val="left" w:pos="5580"/>
        </w:tabs>
        <w:ind w:firstLine="480" w:firstLineChars="200"/>
        <w:jc w:val="left"/>
        <w:rPr>
          <w:color w:val="000000"/>
          <w:sz w:val="24"/>
        </w:rPr>
      </w:pPr>
      <w:r>
        <w:rPr>
          <w:color w:val="000000"/>
          <w:sz w:val="24"/>
        </w:rPr>
        <w:t>3.外商投资类型请填写“外商单独投资”、“外商部分投资”</w:t>
      </w:r>
      <w:r>
        <w:rPr>
          <w:rFonts w:hint="eastAsia"/>
          <w:color w:val="000000"/>
          <w:sz w:val="24"/>
        </w:rPr>
        <w:t>或</w:t>
      </w:r>
      <w:r>
        <w:rPr>
          <w:color w:val="000000"/>
          <w:sz w:val="24"/>
        </w:rPr>
        <w:t>“内资”。</w:t>
      </w:r>
    </w:p>
    <w:p w14:paraId="0D9845C9">
      <w:pPr>
        <w:widowControl/>
        <w:jc w:val="left"/>
        <w:rPr>
          <w:color w:val="000000"/>
          <w:sz w:val="24"/>
        </w:rPr>
      </w:pPr>
      <w:r>
        <w:rPr>
          <w:color w:val="000000"/>
          <w:sz w:val="24"/>
        </w:rPr>
        <w:br w:type="page"/>
      </w:r>
      <w:r>
        <w:rPr>
          <w:color w:val="000000"/>
          <w:sz w:val="24"/>
          <w:szCs w:val="20"/>
        </w:rPr>
        <w:t>10-2 其他</w:t>
      </w:r>
    </w:p>
    <w:p w14:paraId="07244C4C">
      <w:pPr>
        <w:widowControl/>
        <w:jc w:val="left"/>
        <w:rPr>
          <w:b/>
          <w:sz w:val="36"/>
          <w:szCs w:val="36"/>
        </w:rPr>
      </w:pPr>
    </w:p>
    <w:sectPr>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ˎ̥">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Arial Unicode MS">
    <w:panose1 w:val="020B0604020202020204"/>
    <w:charset w:val="86"/>
    <w:family w:val="swiss"/>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entury Gothic">
    <w:panose1 w:val="020B0502020202020204"/>
    <w:charset w:val="00"/>
    <w:family w:val="swiss"/>
    <w:pitch w:val="default"/>
    <w:sig w:usb0="00000287" w:usb1="00000000" w:usb2="00000000" w:usb3="00000000" w:csb0="2000009F" w:csb1="DFD70000"/>
  </w:font>
  <w:font w:name="Microsoft YaHei UI">
    <w:panose1 w:val="020B0503020204020204"/>
    <w:charset w:val="86"/>
    <w:family w:val="swiss"/>
    <w:pitch w:val="default"/>
    <w:sig w:usb0="80000287" w:usb1="2ACF3C50" w:usb2="00000016" w:usb3="00000000" w:csb0="0004001F" w:csb1="00000000"/>
  </w:font>
  <w:font w:name="PMingLiU">
    <w:altName w:val="Microsoft JhengHei UI"/>
    <w:panose1 w:val="02010601000101010101"/>
    <w:charset w:val="88"/>
    <w:family w:val="auto"/>
    <w:pitch w:val="default"/>
    <w:sig w:usb0="00000000" w:usb1="00000000" w:usb2="00000010" w:usb3="00000000" w:csb0="00100000" w:csb1="00000000"/>
  </w:font>
  <w:font w:name="Microsoft JhengHei UI">
    <w:panose1 w:val="020B0604030504040204"/>
    <w:charset w:val="88"/>
    <w:family w:val="auto"/>
    <w:pitch w:val="default"/>
    <w:sig w:usb0="000002A7" w:usb1="28CF4400" w:usb2="00000016" w:usb3="00000000" w:csb0="00100009" w:csb1="00000000"/>
  </w:font>
  <w:font w:name="Segoe UI Symbol">
    <w:panose1 w:val="020B0502040204020203"/>
    <w:charset w:val="00"/>
    <w:family w:val="swiss"/>
    <w:pitch w:val="default"/>
    <w:sig w:usb0="800001E3" w:usb1="1200FFEF" w:usb2="00040000" w:usb3="04000000" w:csb0="00000001" w:csb1="40000000"/>
  </w:font>
  <w:font w:name="等线">
    <w:panose1 w:val="02010600030101010101"/>
    <w:charset w:val="86"/>
    <w:family w:val="auto"/>
    <w:pitch w:val="default"/>
    <w:sig w:usb0="A00002BF" w:usb1="38CF7CFA" w:usb2="00000016" w:usb3="00000000" w:csb0="0004000F"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FF9AA0">
    <w:pPr>
      <w:pStyle w:val="28"/>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22</w:t>
    </w:r>
    <w:r>
      <w:rPr>
        <w:rFonts w:ascii="Times New Roma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A1F6A3">
    <w:pPr>
      <w:pStyle w:val="28"/>
      <w:framePr w:wrap="around" w:vAnchor="text" w:hAnchor="margin" w:xAlign="right" w:y="1"/>
      <w:rPr>
        <w:rStyle w:val="47"/>
      </w:rPr>
    </w:pPr>
    <w:r>
      <w:rPr>
        <w:rStyle w:val="47"/>
      </w:rPr>
      <w:fldChar w:fldCharType="begin"/>
    </w:r>
    <w:r>
      <w:rPr>
        <w:rStyle w:val="47"/>
      </w:rPr>
      <w:instrText xml:space="preserve">PAGE  </w:instrText>
    </w:r>
    <w:r>
      <w:rPr>
        <w:rStyle w:val="47"/>
      </w:rPr>
      <w:fldChar w:fldCharType="end"/>
    </w:r>
  </w:p>
  <w:p w14:paraId="02FD8CCD">
    <w:pPr>
      <w:pStyle w:val="28"/>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47921F">
    <w:pPr>
      <w:pStyle w:val="2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6696B2">
    <w:pPr>
      <w:pStyle w:val="28"/>
      <w:ind w:firstLine="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F79368C">
                          <w:pPr>
                            <w:pStyle w:val="2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B4HF0wAgAAY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eEybMsbPXO&#10;8ggd5fF2dQyQs1M5itIrge7EDWav69PwTuJw/7nvoh7/Dcv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s0lY7tAAAAAFAQAADwAAAAAAAAABACAAAAAiAAAAZHJzL2Rvd25yZXYueG1sUEsBAhQAFAAA&#10;AAgAh07iQFB4HF0wAgAAYwQAAA4AAAAAAAAAAQAgAAAAHwEAAGRycy9lMm9Eb2MueG1sUEsFBgAA&#10;AAAGAAYAWQEAAMEFAAAAAA==&#10;">
              <v:fill on="f" focussize="0,0"/>
              <v:stroke on="f" weight="0.5pt"/>
              <v:imagedata o:title=""/>
              <o:lock v:ext="edit" aspectratio="f"/>
              <v:textbox inset="0mm,0mm,0mm,0mm" style="mso-fit-shape-to-text:t;">
                <w:txbxContent>
                  <w:p w14:paraId="6F79368C">
                    <w:pPr>
                      <w:pStyle w:val="2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C97AEC">
    <w:pPr>
      <w:pStyle w:val="28"/>
      <w:ind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6920F9">
    <w:pPr>
      <w:pStyle w:val="28"/>
      <w:ind w:firstLine="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9586C4">
    <w:pPr>
      <w:pStyle w:val="28"/>
      <w:framePr w:wrap="around" w:vAnchor="text" w:hAnchor="margin" w:xAlign="right" w:y="1"/>
      <w:rPr>
        <w:rStyle w:val="47"/>
      </w:rPr>
    </w:pPr>
    <w:r>
      <w:rPr>
        <w:rStyle w:val="47"/>
      </w:rPr>
      <w:fldChar w:fldCharType="begin"/>
    </w:r>
    <w:r>
      <w:rPr>
        <w:rStyle w:val="47"/>
      </w:rPr>
      <w:instrText xml:space="preserve">PAGE  </w:instrText>
    </w:r>
    <w:r>
      <w:rPr>
        <w:rStyle w:val="47"/>
      </w:rPr>
      <w:fldChar w:fldCharType="end"/>
    </w:r>
  </w:p>
  <w:p w14:paraId="65884BB8">
    <w:pPr>
      <w:pStyle w:val="28"/>
      <w:ind w:right="360"/>
    </w:pPr>
  </w:p>
  <w:p w14:paraId="1196E974"/>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19BBA">
    <w:pPr>
      <w:pStyle w:val="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C18829">
    <w:pPr>
      <w:pStyle w:val="29"/>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77FE8A">
    <w:pPr>
      <w:pStyle w:val="2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F54372">
    <w:pPr>
      <w:pStyle w:val="29"/>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FDC977">
    <w:pPr>
      <w:pStyle w:val="29"/>
      <w:ind w:firstLine="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82BC7A">
    <w:pPr>
      <w:pStyle w:val="29"/>
      <w:ind w:firstLine="36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0848D3">
    <w:pPr>
      <w:pStyle w:val="29"/>
      <w:ind w:firstLine="36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8CE964">
    <w:pPr>
      <w:pStyle w:val="29"/>
    </w:pPr>
  </w:p>
  <w:p w14:paraId="5443A1C7"/>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F72A72">
    <w:pPr>
      <w:pStyle w:val="2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5141CCB"/>
    <w:multiLevelType w:val="singleLevel"/>
    <w:tmpl w:val="D5141CCB"/>
    <w:lvl w:ilvl="0" w:tentative="0">
      <w:start w:val="1"/>
      <w:numFmt w:val="decimal"/>
      <w:suff w:val="space"/>
      <w:lvlText w:val="%1."/>
      <w:lvlJc w:val="left"/>
    </w:lvl>
  </w:abstractNum>
  <w:abstractNum w:abstractNumId="1">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2">
    <w:nsid w:val="0000000A"/>
    <w:multiLevelType w:val="multilevel"/>
    <w:tmpl w:val="0000000A"/>
    <w:lvl w:ilvl="0" w:tentative="0">
      <w:start w:val="1"/>
      <w:numFmt w:val="decimal"/>
      <w:pStyle w:val="109"/>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0000000D"/>
    <w:multiLevelType w:val="multilevel"/>
    <w:tmpl w:val="0000000D"/>
    <w:lvl w:ilvl="0" w:tentative="0">
      <w:start w:val="1"/>
      <w:numFmt w:val="lowerLetter"/>
      <w:pStyle w:val="184"/>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4">
    <w:nsid w:val="00000013"/>
    <w:multiLevelType w:val="singleLevel"/>
    <w:tmpl w:val="00000013"/>
    <w:lvl w:ilvl="0" w:tentative="0">
      <w:start w:val="1"/>
      <w:numFmt w:val="decimal"/>
      <w:pStyle w:val="154"/>
      <w:lvlText w:val="%1."/>
      <w:lvlJc w:val="left"/>
      <w:pPr>
        <w:tabs>
          <w:tab w:val="left" w:pos="360"/>
        </w:tabs>
        <w:ind w:left="360" w:hanging="360"/>
      </w:pPr>
      <w:rPr>
        <w:rFonts w:hint="default"/>
      </w:rPr>
    </w:lvl>
  </w:abstractNum>
  <w:abstractNum w:abstractNumId="5">
    <w:nsid w:val="00000026"/>
    <w:multiLevelType w:val="multilevel"/>
    <w:tmpl w:val="00000026"/>
    <w:lvl w:ilvl="0" w:tentative="0">
      <w:start w:val="1"/>
      <w:numFmt w:val="decimal"/>
      <w:pStyle w:val="103"/>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02"/>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39"/>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38"/>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47"/>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60"/>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23"/>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6">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41"/>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7">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8">
    <w:nsid w:val="0000002F"/>
    <w:multiLevelType w:val="multilevel"/>
    <w:tmpl w:val="0000002F"/>
    <w:lvl w:ilvl="0" w:tentative="0">
      <w:start w:val="1"/>
      <w:numFmt w:val="decimal"/>
      <w:pStyle w:val="108"/>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1986205"/>
    <w:multiLevelType w:val="multilevel"/>
    <w:tmpl w:val="01986205"/>
    <w:lvl w:ilvl="0" w:tentative="0">
      <w:start w:val="1"/>
      <w:numFmt w:val="decimal"/>
      <w:lvlText w:val="%1."/>
      <w:lvlJc w:val="left"/>
      <w:pPr>
        <w:ind w:left="1242" w:hanging="382"/>
      </w:pPr>
      <w:rPr>
        <w:rFonts w:hint="default" w:ascii="仿宋" w:hAnsi="仿宋" w:eastAsia="仿宋" w:cs="仿宋"/>
        <w:spacing w:val="0"/>
        <w:w w:val="99"/>
        <w:sz w:val="32"/>
        <w:szCs w:val="32"/>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10">
    <w:nsid w:val="084C6E6F"/>
    <w:multiLevelType w:val="multilevel"/>
    <w:tmpl w:val="084C6E6F"/>
    <w:lvl w:ilvl="0" w:tentative="0">
      <w:start w:val="1"/>
      <w:numFmt w:val="bullet"/>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11">
    <w:nsid w:val="0E230849"/>
    <w:multiLevelType w:val="multilevel"/>
    <w:tmpl w:val="0E230849"/>
    <w:lvl w:ilvl="0" w:tentative="0">
      <w:start w:val="1"/>
      <w:numFmt w:val="decimal"/>
      <w:pStyle w:val="209"/>
      <w:lvlText w:val="%1"/>
      <w:lvlJc w:val="left"/>
      <w:pPr>
        <w:ind w:left="680" w:hanging="680"/>
      </w:pPr>
      <w:rPr>
        <w:rFonts w:hint="eastAsia" w:ascii="宋体" w:hAnsi="宋体" w:eastAsia="宋体"/>
      </w:rPr>
    </w:lvl>
    <w:lvl w:ilvl="1" w:tentative="0">
      <w:start w:val="1"/>
      <w:numFmt w:val="decimal"/>
      <w:pStyle w:val="210"/>
      <w:lvlText w:val="%1.%2"/>
      <w:lvlJc w:val="left"/>
      <w:pPr>
        <w:ind w:left="851" w:hanging="851"/>
      </w:pPr>
      <w:rPr>
        <w:rFonts w:hint="eastAsia" w:ascii="宋体" w:hAnsi="宋体" w:eastAsia="宋体"/>
        <w:color w:val="auto"/>
      </w:rPr>
    </w:lvl>
    <w:lvl w:ilvl="2" w:tentative="0">
      <w:start w:val="1"/>
      <w:numFmt w:val="decimal"/>
      <w:pStyle w:val="211"/>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2">
    <w:nsid w:val="0F8D4893"/>
    <w:multiLevelType w:val="multilevel"/>
    <w:tmpl w:val="0F8D4893"/>
    <w:lvl w:ilvl="0" w:tentative="0">
      <w:start w:val="1"/>
      <w:numFmt w:val="lowerLetter"/>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3">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4">
    <w:nsid w:val="152D1A2C"/>
    <w:multiLevelType w:val="multilevel"/>
    <w:tmpl w:val="152D1A2C"/>
    <w:lvl w:ilvl="0" w:tentative="0">
      <w:start w:val="1"/>
      <w:numFmt w:val="decimal"/>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5">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6">
    <w:nsid w:val="1A89361C"/>
    <w:multiLevelType w:val="multilevel"/>
    <w:tmpl w:val="1A89361C"/>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7">
    <w:nsid w:val="23F22681"/>
    <w:multiLevelType w:val="multilevel"/>
    <w:tmpl w:val="23F22681"/>
    <w:lvl w:ilvl="0" w:tentative="0">
      <w:start w:val="1"/>
      <w:numFmt w:val="lowerLetter"/>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8">
    <w:nsid w:val="242848A5"/>
    <w:multiLevelType w:val="multilevel"/>
    <w:tmpl w:val="242848A5"/>
    <w:lvl w:ilvl="0" w:tentative="0">
      <w:start w:val="1"/>
      <w:numFmt w:val="lowerLetter"/>
      <w:lvlText w:val="%1)"/>
      <w:lvlJc w:val="left"/>
      <w:pPr>
        <w:ind w:left="900" w:hanging="420"/>
      </w:pPr>
    </w:lvl>
    <w:lvl w:ilvl="1" w:tentative="0">
      <w:start w:val="1"/>
      <w:numFmt w:val="lowerLetter"/>
      <w:lvlText w:val="%2）"/>
      <w:lvlJc w:val="left"/>
      <w:pPr>
        <w:ind w:left="1260" w:hanging="360"/>
      </w:pPr>
      <w:rPr>
        <w:rFonts w:hint="default"/>
      </w:r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9">
    <w:nsid w:val="26BF3977"/>
    <w:multiLevelType w:val="multilevel"/>
    <w:tmpl w:val="26BF3977"/>
    <w:lvl w:ilvl="0" w:tentative="0">
      <w:start w:val="1"/>
      <w:numFmt w:val="decimal"/>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0">
    <w:nsid w:val="2AFB1936"/>
    <w:multiLevelType w:val="multilevel"/>
    <w:tmpl w:val="2AFB1936"/>
    <w:lvl w:ilvl="0" w:tentative="0">
      <w:start w:val="1"/>
      <w:numFmt w:val="lowerLetter"/>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1">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22">
    <w:nsid w:val="36367779"/>
    <w:multiLevelType w:val="multilevel"/>
    <w:tmpl w:val="363677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3">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4">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25">
    <w:nsid w:val="49D533CE"/>
    <w:multiLevelType w:val="multilevel"/>
    <w:tmpl w:val="49D533CE"/>
    <w:lvl w:ilvl="0" w:tentative="0">
      <w:start w:val="1"/>
      <w:numFmt w:val="bullet"/>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26">
    <w:nsid w:val="4A0312AF"/>
    <w:multiLevelType w:val="multilevel"/>
    <w:tmpl w:val="4A0312AF"/>
    <w:lvl w:ilvl="0" w:tentative="0">
      <w:start w:val="1"/>
      <w:numFmt w:val="decimal"/>
      <w:lvlText w:val="%1、"/>
      <w:lvlJc w:val="left"/>
      <w:pPr>
        <w:ind w:left="1320" w:hanging="360"/>
      </w:pPr>
      <w:rPr>
        <w:rFonts w:hint="default"/>
      </w:rPr>
    </w:lvl>
    <w:lvl w:ilvl="1" w:tentative="0">
      <w:start w:val="1"/>
      <w:numFmt w:val="decimal"/>
      <w:lvlText w:val="（%2）"/>
      <w:lvlJc w:val="left"/>
      <w:pPr>
        <w:ind w:left="1320" w:hanging="420"/>
      </w:pPr>
      <w:rPr>
        <w:rFonts w:hint="eastAsia"/>
      </w:r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7">
    <w:nsid w:val="55B536AB"/>
    <w:multiLevelType w:val="multilevel"/>
    <w:tmpl w:val="55B536AB"/>
    <w:lvl w:ilvl="0" w:tentative="0">
      <w:start w:val="1"/>
      <w:numFmt w:val="lowerLetter"/>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8">
    <w:nsid w:val="5A232928"/>
    <w:multiLevelType w:val="multilevel"/>
    <w:tmpl w:val="5A232928"/>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9">
    <w:nsid w:val="5ACA3E02"/>
    <w:multiLevelType w:val="multilevel"/>
    <w:tmpl w:val="5ACA3E02"/>
    <w:lvl w:ilvl="0" w:tentative="0">
      <w:start w:val="1"/>
      <w:numFmt w:val="lowerLetter"/>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30">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31">
    <w:nsid w:val="71AB0876"/>
    <w:multiLevelType w:val="multilevel"/>
    <w:tmpl w:val="71AB0876"/>
    <w:lvl w:ilvl="0" w:tentative="0">
      <w:start w:val="1"/>
      <w:numFmt w:val="lowerLetter"/>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32">
    <w:nsid w:val="79366B59"/>
    <w:multiLevelType w:val="multilevel"/>
    <w:tmpl w:val="79366B59"/>
    <w:lvl w:ilvl="0" w:tentative="0">
      <w:start w:val="1"/>
      <w:numFmt w:val="lowerLetter"/>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num w:numId="1">
    <w:abstractNumId w:val="5"/>
  </w:num>
  <w:num w:numId="2">
    <w:abstractNumId w:val="8"/>
  </w:num>
  <w:num w:numId="3">
    <w:abstractNumId w:val="2"/>
  </w:num>
  <w:num w:numId="4">
    <w:abstractNumId w:val="6"/>
  </w:num>
  <w:num w:numId="5">
    <w:abstractNumId w:val="4"/>
  </w:num>
  <w:num w:numId="6">
    <w:abstractNumId w:val="3"/>
  </w:num>
  <w:num w:numId="7">
    <w:abstractNumId w:val="11"/>
  </w:num>
  <w:num w:numId="8">
    <w:abstractNumId w:val="7"/>
  </w:num>
  <w:num w:numId="9">
    <w:abstractNumId w:val="15"/>
  </w:num>
  <w:num w:numId="10">
    <w:abstractNumId w:val="1"/>
  </w:num>
  <w:num w:numId="11">
    <w:abstractNumId w:val="23"/>
  </w:num>
  <w:num w:numId="12">
    <w:abstractNumId w:val="13"/>
  </w:num>
  <w:num w:numId="13">
    <w:abstractNumId w:val="30"/>
  </w:num>
  <w:num w:numId="14">
    <w:abstractNumId w:val="32"/>
  </w:num>
  <w:num w:numId="15">
    <w:abstractNumId w:val="20"/>
  </w:num>
  <w:num w:numId="16">
    <w:abstractNumId w:val="17"/>
  </w:num>
  <w:num w:numId="17">
    <w:abstractNumId w:val="29"/>
  </w:num>
  <w:num w:numId="18">
    <w:abstractNumId w:val="19"/>
  </w:num>
  <w:num w:numId="19">
    <w:abstractNumId w:val="10"/>
  </w:num>
  <w:num w:numId="20">
    <w:abstractNumId w:val="25"/>
  </w:num>
  <w:num w:numId="21">
    <w:abstractNumId w:val="14"/>
  </w:num>
  <w:num w:numId="22">
    <w:abstractNumId w:val="12"/>
  </w:num>
  <w:num w:numId="23">
    <w:abstractNumId w:val="18"/>
  </w:num>
  <w:num w:numId="24">
    <w:abstractNumId w:val="27"/>
  </w:num>
  <w:num w:numId="25">
    <w:abstractNumId w:val="31"/>
  </w:num>
  <w:num w:numId="26">
    <w:abstractNumId w:val="26"/>
  </w:num>
  <w:num w:numId="27">
    <w:abstractNumId w:val="16"/>
  </w:num>
  <w:num w:numId="28">
    <w:abstractNumId w:val="28"/>
  </w:num>
  <w:num w:numId="29">
    <w:abstractNumId w:val="21"/>
  </w:num>
  <w:num w:numId="30">
    <w:abstractNumId w:val="0"/>
  </w:num>
  <w:num w:numId="31">
    <w:abstractNumId w:val="24"/>
  </w:num>
  <w:num w:numId="32">
    <w:abstractNumId w:val="22"/>
  </w:num>
  <w:num w:numId="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2"/>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OTEzYjc2NTE1MzVlOTQ4YjRhNTAxMjFhZjg0NTZmZTA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4B5"/>
    <w:rsid w:val="000024DE"/>
    <w:rsid w:val="000026F7"/>
    <w:rsid w:val="0000279B"/>
    <w:rsid w:val="000027EB"/>
    <w:rsid w:val="00002944"/>
    <w:rsid w:val="00002F3D"/>
    <w:rsid w:val="00002FE1"/>
    <w:rsid w:val="00003279"/>
    <w:rsid w:val="000032E5"/>
    <w:rsid w:val="0000344C"/>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CFD"/>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5FCD"/>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8E8"/>
    <w:rsid w:val="00021AEB"/>
    <w:rsid w:val="00021C9E"/>
    <w:rsid w:val="00021E42"/>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87"/>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1F"/>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8B8"/>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1C0"/>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9E3"/>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9F2"/>
    <w:rsid w:val="00084A05"/>
    <w:rsid w:val="00084B23"/>
    <w:rsid w:val="00084FE2"/>
    <w:rsid w:val="00085002"/>
    <w:rsid w:val="000851B1"/>
    <w:rsid w:val="00085227"/>
    <w:rsid w:val="000852B5"/>
    <w:rsid w:val="0008547C"/>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221"/>
    <w:rsid w:val="000A77E9"/>
    <w:rsid w:val="000A79A7"/>
    <w:rsid w:val="000A7ACC"/>
    <w:rsid w:val="000A7D7F"/>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BAB"/>
    <w:rsid w:val="000B1CAA"/>
    <w:rsid w:val="000B2097"/>
    <w:rsid w:val="000B21DC"/>
    <w:rsid w:val="000B224F"/>
    <w:rsid w:val="000B2422"/>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09"/>
    <w:rsid w:val="000C5ED7"/>
    <w:rsid w:val="000C5F12"/>
    <w:rsid w:val="000C6043"/>
    <w:rsid w:val="000C6211"/>
    <w:rsid w:val="000C655D"/>
    <w:rsid w:val="000C692E"/>
    <w:rsid w:val="000C69D5"/>
    <w:rsid w:val="000C6D78"/>
    <w:rsid w:val="000C6EBF"/>
    <w:rsid w:val="000C6F00"/>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1F2"/>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B6F"/>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3FB4"/>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9C0"/>
    <w:rsid w:val="000F5A9B"/>
    <w:rsid w:val="000F5B31"/>
    <w:rsid w:val="000F5E7A"/>
    <w:rsid w:val="000F616A"/>
    <w:rsid w:val="000F6258"/>
    <w:rsid w:val="000F636C"/>
    <w:rsid w:val="000F64E1"/>
    <w:rsid w:val="000F66A1"/>
    <w:rsid w:val="000F67F0"/>
    <w:rsid w:val="000F6A6B"/>
    <w:rsid w:val="000F6CE4"/>
    <w:rsid w:val="000F6EE6"/>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D5C"/>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90"/>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99"/>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2AF"/>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0D8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861"/>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4C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010"/>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C01"/>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62B"/>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5BC"/>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03D"/>
    <w:rsid w:val="00182348"/>
    <w:rsid w:val="00182464"/>
    <w:rsid w:val="001824BE"/>
    <w:rsid w:val="001826C3"/>
    <w:rsid w:val="001829EB"/>
    <w:rsid w:val="00182C70"/>
    <w:rsid w:val="00183026"/>
    <w:rsid w:val="001834AA"/>
    <w:rsid w:val="001835E4"/>
    <w:rsid w:val="001835F6"/>
    <w:rsid w:val="001838C6"/>
    <w:rsid w:val="001838F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195"/>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8E"/>
    <w:rsid w:val="001971A4"/>
    <w:rsid w:val="0019751C"/>
    <w:rsid w:val="00197AD9"/>
    <w:rsid w:val="00197DAC"/>
    <w:rsid w:val="00197DB5"/>
    <w:rsid w:val="00197F02"/>
    <w:rsid w:val="00197F40"/>
    <w:rsid w:val="001A0090"/>
    <w:rsid w:val="001A022D"/>
    <w:rsid w:val="001A0286"/>
    <w:rsid w:val="001A02AF"/>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527"/>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0A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67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08"/>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3FB1"/>
    <w:rsid w:val="00214137"/>
    <w:rsid w:val="002141E2"/>
    <w:rsid w:val="002142AE"/>
    <w:rsid w:val="00214368"/>
    <w:rsid w:val="00214473"/>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3FB1"/>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1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5D43"/>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9E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7D"/>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6E3"/>
    <w:rsid w:val="0026386D"/>
    <w:rsid w:val="00263C90"/>
    <w:rsid w:val="00263D03"/>
    <w:rsid w:val="00263F77"/>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0F"/>
    <w:rsid w:val="00275C3F"/>
    <w:rsid w:val="00275D51"/>
    <w:rsid w:val="00275DF0"/>
    <w:rsid w:val="00276129"/>
    <w:rsid w:val="002761B8"/>
    <w:rsid w:val="00276239"/>
    <w:rsid w:val="00276311"/>
    <w:rsid w:val="0027647D"/>
    <w:rsid w:val="002764C9"/>
    <w:rsid w:val="002764F5"/>
    <w:rsid w:val="00276556"/>
    <w:rsid w:val="00276631"/>
    <w:rsid w:val="002766F9"/>
    <w:rsid w:val="00276761"/>
    <w:rsid w:val="00276AEA"/>
    <w:rsid w:val="00276B43"/>
    <w:rsid w:val="00276B8D"/>
    <w:rsid w:val="00276D92"/>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379"/>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012"/>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4A"/>
    <w:rsid w:val="002D6392"/>
    <w:rsid w:val="002D6402"/>
    <w:rsid w:val="002D6554"/>
    <w:rsid w:val="002D66E1"/>
    <w:rsid w:val="002D6B40"/>
    <w:rsid w:val="002D6B9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9C2"/>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CFA"/>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B2"/>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834"/>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50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0C"/>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9D"/>
    <w:rsid w:val="00326A80"/>
    <w:rsid w:val="00326B2E"/>
    <w:rsid w:val="00326FF0"/>
    <w:rsid w:val="00327291"/>
    <w:rsid w:val="003275CB"/>
    <w:rsid w:val="003277C6"/>
    <w:rsid w:val="003278B6"/>
    <w:rsid w:val="00327A60"/>
    <w:rsid w:val="00327C96"/>
    <w:rsid w:val="00327F45"/>
    <w:rsid w:val="00327FE1"/>
    <w:rsid w:val="0033016A"/>
    <w:rsid w:val="003301B9"/>
    <w:rsid w:val="003301C3"/>
    <w:rsid w:val="00330B18"/>
    <w:rsid w:val="00330D71"/>
    <w:rsid w:val="00330E85"/>
    <w:rsid w:val="003312D8"/>
    <w:rsid w:val="003315DC"/>
    <w:rsid w:val="00331758"/>
    <w:rsid w:val="00331C19"/>
    <w:rsid w:val="00331F7B"/>
    <w:rsid w:val="00332228"/>
    <w:rsid w:val="003322B4"/>
    <w:rsid w:val="003322E8"/>
    <w:rsid w:val="003325BF"/>
    <w:rsid w:val="003325EB"/>
    <w:rsid w:val="003325F4"/>
    <w:rsid w:val="003327DF"/>
    <w:rsid w:val="00332908"/>
    <w:rsid w:val="00332A0B"/>
    <w:rsid w:val="00332AA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4A1"/>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B9E"/>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79F"/>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3DB"/>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2ED5"/>
    <w:rsid w:val="003732B2"/>
    <w:rsid w:val="00373340"/>
    <w:rsid w:val="00373643"/>
    <w:rsid w:val="0037380D"/>
    <w:rsid w:val="003739F5"/>
    <w:rsid w:val="00373A9F"/>
    <w:rsid w:val="00373C05"/>
    <w:rsid w:val="00373D9C"/>
    <w:rsid w:val="00373F6D"/>
    <w:rsid w:val="0037403B"/>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5FA1"/>
    <w:rsid w:val="0038613F"/>
    <w:rsid w:val="00386444"/>
    <w:rsid w:val="003865C2"/>
    <w:rsid w:val="0038679C"/>
    <w:rsid w:val="00386B1B"/>
    <w:rsid w:val="00386B70"/>
    <w:rsid w:val="00386F4D"/>
    <w:rsid w:val="003871C9"/>
    <w:rsid w:val="003872CF"/>
    <w:rsid w:val="0038761E"/>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3E6B"/>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8A8"/>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51E"/>
    <w:rsid w:val="003C5687"/>
    <w:rsid w:val="003C578D"/>
    <w:rsid w:val="003C5793"/>
    <w:rsid w:val="003C5C29"/>
    <w:rsid w:val="003C5E34"/>
    <w:rsid w:val="003C5FC9"/>
    <w:rsid w:val="003C602D"/>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19D6"/>
    <w:rsid w:val="003F2191"/>
    <w:rsid w:val="003F21E4"/>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B4D"/>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2AAD"/>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00"/>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BD"/>
    <w:rsid w:val="004336C1"/>
    <w:rsid w:val="004336DF"/>
    <w:rsid w:val="00433978"/>
    <w:rsid w:val="00433B4F"/>
    <w:rsid w:val="00433CDD"/>
    <w:rsid w:val="00433E0B"/>
    <w:rsid w:val="00433FAF"/>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2F"/>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1A2"/>
    <w:rsid w:val="00455273"/>
    <w:rsid w:val="004553A0"/>
    <w:rsid w:val="004553BC"/>
    <w:rsid w:val="00455458"/>
    <w:rsid w:val="0045593F"/>
    <w:rsid w:val="00455A69"/>
    <w:rsid w:val="00455D66"/>
    <w:rsid w:val="00455F7A"/>
    <w:rsid w:val="00455FBB"/>
    <w:rsid w:val="004560F5"/>
    <w:rsid w:val="004561F0"/>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352"/>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133"/>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B8"/>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D80"/>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2A"/>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8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51B"/>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A8"/>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5A7"/>
    <w:rsid w:val="00507698"/>
    <w:rsid w:val="00507A8B"/>
    <w:rsid w:val="00507CF5"/>
    <w:rsid w:val="00507DD1"/>
    <w:rsid w:val="00507EC6"/>
    <w:rsid w:val="005100D9"/>
    <w:rsid w:val="0051058D"/>
    <w:rsid w:val="0051066B"/>
    <w:rsid w:val="00510766"/>
    <w:rsid w:val="0051082E"/>
    <w:rsid w:val="00510C64"/>
    <w:rsid w:val="005110C6"/>
    <w:rsid w:val="00511188"/>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1D"/>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960"/>
    <w:rsid w:val="00540BD0"/>
    <w:rsid w:val="00540C88"/>
    <w:rsid w:val="00540D31"/>
    <w:rsid w:val="00540D35"/>
    <w:rsid w:val="00540D81"/>
    <w:rsid w:val="00540D97"/>
    <w:rsid w:val="00540EBE"/>
    <w:rsid w:val="00540F79"/>
    <w:rsid w:val="005410DE"/>
    <w:rsid w:val="0054111A"/>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87E"/>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A"/>
    <w:rsid w:val="0056256F"/>
    <w:rsid w:val="005627B4"/>
    <w:rsid w:val="005629EA"/>
    <w:rsid w:val="00562C5D"/>
    <w:rsid w:val="00562DAE"/>
    <w:rsid w:val="00562DD8"/>
    <w:rsid w:val="00562ED1"/>
    <w:rsid w:val="00562F79"/>
    <w:rsid w:val="00562FBC"/>
    <w:rsid w:val="00563140"/>
    <w:rsid w:val="00563370"/>
    <w:rsid w:val="0056349C"/>
    <w:rsid w:val="005636B6"/>
    <w:rsid w:val="00563980"/>
    <w:rsid w:val="005639BD"/>
    <w:rsid w:val="00563A23"/>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5E04"/>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B8D"/>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872"/>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2B5"/>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E25"/>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25"/>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17C"/>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CBB"/>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4A7"/>
    <w:rsid w:val="005B752E"/>
    <w:rsid w:val="005B7BBC"/>
    <w:rsid w:val="005C0398"/>
    <w:rsid w:val="005C04CD"/>
    <w:rsid w:val="005C0C8D"/>
    <w:rsid w:val="005C0D6F"/>
    <w:rsid w:val="005C0E2C"/>
    <w:rsid w:val="005C11B0"/>
    <w:rsid w:val="005C129A"/>
    <w:rsid w:val="005C17B9"/>
    <w:rsid w:val="005C1913"/>
    <w:rsid w:val="005C1B09"/>
    <w:rsid w:val="005C1C0E"/>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1D12"/>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B9"/>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CEC"/>
    <w:rsid w:val="00600D25"/>
    <w:rsid w:val="006011AF"/>
    <w:rsid w:val="00601496"/>
    <w:rsid w:val="0060159A"/>
    <w:rsid w:val="006016F4"/>
    <w:rsid w:val="006018A3"/>
    <w:rsid w:val="00601B94"/>
    <w:rsid w:val="00601C8E"/>
    <w:rsid w:val="00601D67"/>
    <w:rsid w:val="00602023"/>
    <w:rsid w:val="00602032"/>
    <w:rsid w:val="00602117"/>
    <w:rsid w:val="006022CD"/>
    <w:rsid w:val="00602768"/>
    <w:rsid w:val="006027AF"/>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1C0"/>
    <w:rsid w:val="0060537C"/>
    <w:rsid w:val="0060559C"/>
    <w:rsid w:val="006055A9"/>
    <w:rsid w:val="00605641"/>
    <w:rsid w:val="00605732"/>
    <w:rsid w:val="006057E4"/>
    <w:rsid w:val="00605DB1"/>
    <w:rsid w:val="00605DE2"/>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4E13"/>
    <w:rsid w:val="00615B17"/>
    <w:rsid w:val="00615E7C"/>
    <w:rsid w:val="00615FA2"/>
    <w:rsid w:val="00616057"/>
    <w:rsid w:val="006162AE"/>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7D5"/>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230"/>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434"/>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DA4"/>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44"/>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46"/>
    <w:rsid w:val="00666097"/>
    <w:rsid w:val="00666355"/>
    <w:rsid w:val="006663B8"/>
    <w:rsid w:val="00666528"/>
    <w:rsid w:val="0066659E"/>
    <w:rsid w:val="00666AAF"/>
    <w:rsid w:val="00666BFE"/>
    <w:rsid w:val="00666C37"/>
    <w:rsid w:val="00666EA7"/>
    <w:rsid w:val="00667066"/>
    <w:rsid w:val="00667222"/>
    <w:rsid w:val="00667266"/>
    <w:rsid w:val="00667283"/>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14A"/>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1BF"/>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A11"/>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808"/>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0DB6"/>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0DB"/>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CDA"/>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179"/>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4C"/>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A2"/>
    <w:rsid w:val="00713962"/>
    <w:rsid w:val="0071398F"/>
    <w:rsid w:val="00713B24"/>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954"/>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92"/>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1CA"/>
    <w:rsid w:val="007343BA"/>
    <w:rsid w:val="0073441F"/>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6A"/>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8"/>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0A5"/>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521"/>
    <w:rsid w:val="00763623"/>
    <w:rsid w:val="007636DA"/>
    <w:rsid w:val="0076395A"/>
    <w:rsid w:val="00763999"/>
    <w:rsid w:val="00763A7E"/>
    <w:rsid w:val="00763D1E"/>
    <w:rsid w:val="00763DCF"/>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5B"/>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1E3"/>
    <w:rsid w:val="00783302"/>
    <w:rsid w:val="0078339C"/>
    <w:rsid w:val="007833D8"/>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C47"/>
    <w:rsid w:val="007B3E21"/>
    <w:rsid w:val="007B3E31"/>
    <w:rsid w:val="007B40B6"/>
    <w:rsid w:val="007B4457"/>
    <w:rsid w:val="007B4898"/>
    <w:rsid w:val="007B4C20"/>
    <w:rsid w:val="007B4D58"/>
    <w:rsid w:val="007B500A"/>
    <w:rsid w:val="007B5149"/>
    <w:rsid w:val="007B523E"/>
    <w:rsid w:val="007B53B6"/>
    <w:rsid w:val="007B53CF"/>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2FB2"/>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CDB"/>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54"/>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4F0"/>
    <w:rsid w:val="007F16CB"/>
    <w:rsid w:val="007F1709"/>
    <w:rsid w:val="007F1864"/>
    <w:rsid w:val="007F19CB"/>
    <w:rsid w:val="007F1AF1"/>
    <w:rsid w:val="007F1B3D"/>
    <w:rsid w:val="007F1B44"/>
    <w:rsid w:val="007F1BB4"/>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9B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1DC"/>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0F"/>
    <w:rsid w:val="00817EEC"/>
    <w:rsid w:val="0082025B"/>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02"/>
    <w:rsid w:val="00831D99"/>
    <w:rsid w:val="00831FA9"/>
    <w:rsid w:val="00832103"/>
    <w:rsid w:val="008323B0"/>
    <w:rsid w:val="008324E0"/>
    <w:rsid w:val="00832556"/>
    <w:rsid w:val="008326FC"/>
    <w:rsid w:val="00832890"/>
    <w:rsid w:val="0083290A"/>
    <w:rsid w:val="00832F7A"/>
    <w:rsid w:val="008337A3"/>
    <w:rsid w:val="0083395D"/>
    <w:rsid w:val="00833A00"/>
    <w:rsid w:val="00833B1C"/>
    <w:rsid w:val="00834BA0"/>
    <w:rsid w:val="00834EE2"/>
    <w:rsid w:val="00834F3A"/>
    <w:rsid w:val="0083530C"/>
    <w:rsid w:val="00835420"/>
    <w:rsid w:val="00835645"/>
    <w:rsid w:val="0083566F"/>
    <w:rsid w:val="008356BE"/>
    <w:rsid w:val="00835753"/>
    <w:rsid w:val="00835A5F"/>
    <w:rsid w:val="00835B7E"/>
    <w:rsid w:val="00835BE3"/>
    <w:rsid w:val="00835ECD"/>
    <w:rsid w:val="00835F94"/>
    <w:rsid w:val="00836134"/>
    <w:rsid w:val="00836613"/>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24"/>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0D5"/>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919"/>
    <w:rsid w:val="00856A89"/>
    <w:rsid w:val="00856BB0"/>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537"/>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724"/>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2B"/>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5E9"/>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1A"/>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8E8"/>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3F75"/>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BAD"/>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246"/>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0A5"/>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685"/>
    <w:rsid w:val="009618BA"/>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67F62"/>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79"/>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EED"/>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12E"/>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3D6"/>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D55"/>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5FAF"/>
    <w:rsid w:val="009B6031"/>
    <w:rsid w:val="009B635A"/>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5DB8"/>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697"/>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896"/>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53A"/>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517"/>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AF0"/>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BAB"/>
    <w:rsid w:val="00A43C50"/>
    <w:rsid w:val="00A43C6F"/>
    <w:rsid w:val="00A43D3F"/>
    <w:rsid w:val="00A43D46"/>
    <w:rsid w:val="00A43ED8"/>
    <w:rsid w:val="00A443B8"/>
    <w:rsid w:val="00A44732"/>
    <w:rsid w:val="00A44789"/>
    <w:rsid w:val="00A44897"/>
    <w:rsid w:val="00A449CD"/>
    <w:rsid w:val="00A44B68"/>
    <w:rsid w:val="00A45222"/>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6C0"/>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B8E"/>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54"/>
    <w:rsid w:val="00A704A9"/>
    <w:rsid w:val="00A704FC"/>
    <w:rsid w:val="00A70505"/>
    <w:rsid w:val="00A70812"/>
    <w:rsid w:val="00A7096A"/>
    <w:rsid w:val="00A709FA"/>
    <w:rsid w:val="00A70CD7"/>
    <w:rsid w:val="00A71159"/>
    <w:rsid w:val="00A711B4"/>
    <w:rsid w:val="00A712E1"/>
    <w:rsid w:val="00A7132A"/>
    <w:rsid w:val="00A718FB"/>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6D27"/>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AD0"/>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A0C"/>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B44"/>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3B4"/>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76D"/>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1B0"/>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7CD"/>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6D8"/>
    <w:rsid w:val="00B00B19"/>
    <w:rsid w:val="00B00D80"/>
    <w:rsid w:val="00B00F03"/>
    <w:rsid w:val="00B012CC"/>
    <w:rsid w:val="00B0177D"/>
    <w:rsid w:val="00B01887"/>
    <w:rsid w:val="00B01E07"/>
    <w:rsid w:val="00B0237B"/>
    <w:rsid w:val="00B02A19"/>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0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8FB"/>
    <w:rsid w:val="00B1791F"/>
    <w:rsid w:val="00B17C2C"/>
    <w:rsid w:val="00B17C49"/>
    <w:rsid w:val="00B17D83"/>
    <w:rsid w:val="00B17E55"/>
    <w:rsid w:val="00B17E99"/>
    <w:rsid w:val="00B203E8"/>
    <w:rsid w:val="00B203F9"/>
    <w:rsid w:val="00B2087F"/>
    <w:rsid w:val="00B20B60"/>
    <w:rsid w:val="00B20D55"/>
    <w:rsid w:val="00B21494"/>
    <w:rsid w:val="00B21ADF"/>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5F23"/>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7C5"/>
    <w:rsid w:val="00B36817"/>
    <w:rsid w:val="00B36A04"/>
    <w:rsid w:val="00B36CF9"/>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863"/>
    <w:rsid w:val="00B45BB7"/>
    <w:rsid w:val="00B45F88"/>
    <w:rsid w:val="00B4604D"/>
    <w:rsid w:val="00B46080"/>
    <w:rsid w:val="00B461B6"/>
    <w:rsid w:val="00B463FF"/>
    <w:rsid w:val="00B464EF"/>
    <w:rsid w:val="00B466E4"/>
    <w:rsid w:val="00B4682D"/>
    <w:rsid w:val="00B46918"/>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750"/>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97E"/>
    <w:rsid w:val="00B63AB7"/>
    <w:rsid w:val="00B63C37"/>
    <w:rsid w:val="00B63CBC"/>
    <w:rsid w:val="00B63E94"/>
    <w:rsid w:val="00B63F7D"/>
    <w:rsid w:val="00B6437B"/>
    <w:rsid w:val="00B644CF"/>
    <w:rsid w:val="00B645A6"/>
    <w:rsid w:val="00B64875"/>
    <w:rsid w:val="00B64BC8"/>
    <w:rsid w:val="00B64D0E"/>
    <w:rsid w:val="00B654E9"/>
    <w:rsid w:val="00B656C5"/>
    <w:rsid w:val="00B656FE"/>
    <w:rsid w:val="00B65C71"/>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D1"/>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2C1"/>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2C12"/>
    <w:rsid w:val="00BA3350"/>
    <w:rsid w:val="00BA388A"/>
    <w:rsid w:val="00BA3A40"/>
    <w:rsid w:val="00BA3FED"/>
    <w:rsid w:val="00BA401F"/>
    <w:rsid w:val="00BA424C"/>
    <w:rsid w:val="00BA43C9"/>
    <w:rsid w:val="00BA44F8"/>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4D7"/>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1AA"/>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9B5"/>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114"/>
    <w:rsid w:val="00BF521E"/>
    <w:rsid w:val="00BF5268"/>
    <w:rsid w:val="00BF5342"/>
    <w:rsid w:val="00BF538E"/>
    <w:rsid w:val="00BF54EE"/>
    <w:rsid w:val="00BF55D6"/>
    <w:rsid w:val="00BF5702"/>
    <w:rsid w:val="00BF579F"/>
    <w:rsid w:val="00BF580D"/>
    <w:rsid w:val="00BF581D"/>
    <w:rsid w:val="00BF592D"/>
    <w:rsid w:val="00BF5A3F"/>
    <w:rsid w:val="00BF5EF0"/>
    <w:rsid w:val="00BF5F8D"/>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E15"/>
    <w:rsid w:val="00C07F1C"/>
    <w:rsid w:val="00C10462"/>
    <w:rsid w:val="00C10560"/>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9C6"/>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BB1"/>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53E"/>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59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5B"/>
    <w:rsid w:val="00C7147D"/>
    <w:rsid w:val="00C715D6"/>
    <w:rsid w:val="00C71727"/>
    <w:rsid w:val="00C71909"/>
    <w:rsid w:val="00C71B91"/>
    <w:rsid w:val="00C71BFC"/>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D29"/>
    <w:rsid w:val="00C74EBE"/>
    <w:rsid w:val="00C75063"/>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4DFA"/>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5DA"/>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AD"/>
    <w:rsid w:val="00C96DB6"/>
    <w:rsid w:val="00C96FA7"/>
    <w:rsid w:val="00C971CD"/>
    <w:rsid w:val="00C97211"/>
    <w:rsid w:val="00C97279"/>
    <w:rsid w:val="00C97323"/>
    <w:rsid w:val="00C9742A"/>
    <w:rsid w:val="00C978E0"/>
    <w:rsid w:val="00C97AF1"/>
    <w:rsid w:val="00C97C2A"/>
    <w:rsid w:val="00C97CB4"/>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72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752"/>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4AC"/>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6B8"/>
    <w:rsid w:val="00CD47D4"/>
    <w:rsid w:val="00CD48AB"/>
    <w:rsid w:val="00CD490A"/>
    <w:rsid w:val="00CD4999"/>
    <w:rsid w:val="00CD49D7"/>
    <w:rsid w:val="00CD4ACC"/>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C65"/>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D65"/>
    <w:rsid w:val="00CF7E65"/>
    <w:rsid w:val="00D0041B"/>
    <w:rsid w:val="00D00C21"/>
    <w:rsid w:val="00D00FD7"/>
    <w:rsid w:val="00D0112E"/>
    <w:rsid w:val="00D012CB"/>
    <w:rsid w:val="00D0137F"/>
    <w:rsid w:val="00D01726"/>
    <w:rsid w:val="00D01B3A"/>
    <w:rsid w:val="00D01BC3"/>
    <w:rsid w:val="00D02470"/>
    <w:rsid w:val="00D0249C"/>
    <w:rsid w:val="00D024E0"/>
    <w:rsid w:val="00D0252E"/>
    <w:rsid w:val="00D026AB"/>
    <w:rsid w:val="00D027E7"/>
    <w:rsid w:val="00D02865"/>
    <w:rsid w:val="00D02E63"/>
    <w:rsid w:val="00D02E7F"/>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002"/>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4D3"/>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18D"/>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19"/>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5ED"/>
    <w:rsid w:val="00D7764C"/>
    <w:rsid w:val="00D776DA"/>
    <w:rsid w:val="00D77781"/>
    <w:rsid w:val="00D777CF"/>
    <w:rsid w:val="00D77D28"/>
    <w:rsid w:val="00D77EDF"/>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70F"/>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3D8A"/>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2B7"/>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357"/>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A81"/>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07DD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D2F"/>
    <w:rsid w:val="00E12E55"/>
    <w:rsid w:val="00E13046"/>
    <w:rsid w:val="00E131E8"/>
    <w:rsid w:val="00E13486"/>
    <w:rsid w:val="00E135F8"/>
    <w:rsid w:val="00E138FB"/>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BA3"/>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5EBA"/>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45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97D"/>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80D"/>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373"/>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178"/>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1F2B"/>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69A"/>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3AF"/>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986"/>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15D"/>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E0A"/>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029"/>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2D2"/>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217"/>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58A"/>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B0B"/>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1813"/>
    <w:rsid w:val="00F72086"/>
    <w:rsid w:val="00F721FA"/>
    <w:rsid w:val="00F7226B"/>
    <w:rsid w:val="00F7257C"/>
    <w:rsid w:val="00F728DC"/>
    <w:rsid w:val="00F72A45"/>
    <w:rsid w:val="00F72E31"/>
    <w:rsid w:val="00F73078"/>
    <w:rsid w:val="00F73363"/>
    <w:rsid w:val="00F7342F"/>
    <w:rsid w:val="00F737C0"/>
    <w:rsid w:val="00F7384E"/>
    <w:rsid w:val="00F738A5"/>
    <w:rsid w:val="00F73A9B"/>
    <w:rsid w:val="00F73FBA"/>
    <w:rsid w:val="00F743D0"/>
    <w:rsid w:val="00F7448A"/>
    <w:rsid w:val="00F744C4"/>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7B8"/>
    <w:rsid w:val="00F848E2"/>
    <w:rsid w:val="00F84A13"/>
    <w:rsid w:val="00F84A8C"/>
    <w:rsid w:val="00F84CF8"/>
    <w:rsid w:val="00F84D63"/>
    <w:rsid w:val="00F84DE9"/>
    <w:rsid w:val="00F84F8F"/>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3BF"/>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5E2C"/>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F"/>
    <w:rsid w:val="00FE3989"/>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7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2D37B0"/>
    <w:rsid w:val="013B2B96"/>
    <w:rsid w:val="015E0632"/>
    <w:rsid w:val="01C0309B"/>
    <w:rsid w:val="01E2627D"/>
    <w:rsid w:val="0227136C"/>
    <w:rsid w:val="02306473"/>
    <w:rsid w:val="026223A4"/>
    <w:rsid w:val="030D2310"/>
    <w:rsid w:val="03280EF8"/>
    <w:rsid w:val="03824AAC"/>
    <w:rsid w:val="03DB3612"/>
    <w:rsid w:val="04402271"/>
    <w:rsid w:val="045301F6"/>
    <w:rsid w:val="04C256F2"/>
    <w:rsid w:val="05630036"/>
    <w:rsid w:val="058C1C12"/>
    <w:rsid w:val="05A14F91"/>
    <w:rsid w:val="05A60D08"/>
    <w:rsid w:val="05C9468B"/>
    <w:rsid w:val="05D70424"/>
    <w:rsid w:val="063D2F0C"/>
    <w:rsid w:val="065D710A"/>
    <w:rsid w:val="067B1C86"/>
    <w:rsid w:val="069E344E"/>
    <w:rsid w:val="06C947A0"/>
    <w:rsid w:val="06D17EE2"/>
    <w:rsid w:val="0754675F"/>
    <w:rsid w:val="07807554"/>
    <w:rsid w:val="07943000"/>
    <w:rsid w:val="07BE007D"/>
    <w:rsid w:val="07C338E5"/>
    <w:rsid w:val="07CF5DE6"/>
    <w:rsid w:val="07DE071F"/>
    <w:rsid w:val="07F41CF0"/>
    <w:rsid w:val="08191757"/>
    <w:rsid w:val="08403200"/>
    <w:rsid w:val="085A4B49"/>
    <w:rsid w:val="086F1AAE"/>
    <w:rsid w:val="087D3A94"/>
    <w:rsid w:val="087D5842"/>
    <w:rsid w:val="08DD09D6"/>
    <w:rsid w:val="09307573"/>
    <w:rsid w:val="094D790A"/>
    <w:rsid w:val="09734E97"/>
    <w:rsid w:val="09CC2259"/>
    <w:rsid w:val="09E55D95"/>
    <w:rsid w:val="0A310FDA"/>
    <w:rsid w:val="0A36214C"/>
    <w:rsid w:val="0A367FCC"/>
    <w:rsid w:val="0A374116"/>
    <w:rsid w:val="0A4A3E4A"/>
    <w:rsid w:val="0A9D21CB"/>
    <w:rsid w:val="0B332E62"/>
    <w:rsid w:val="0B660C1A"/>
    <w:rsid w:val="0BE04A65"/>
    <w:rsid w:val="0C3E178C"/>
    <w:rsid w:val="0C3E79DE"/>
    <w:rsid w:val="0C7634FF"/>
    <w:rsid w:val="0C9B273A"/>
    <w:rsid w:val="0CB34EAC"/>
    <w:rsid w:val="0CCF4ADA"/>
    <w:rsid w:val="0CF35E35"/>
    <w:rsid w:val="0D091D9A"/>
    <w:rsid w:val="0D2512B6"/>
    <w:rsid w:val="0D505F74"/>
    <w:rsid w:val="0D8C6527"/>
    <w:rsid w:val="0E0D58BA"/>
    <w:rsid w:val="0E981627"/>
    <w:rsid w:val="0E9F5DF3"/>
    <w:rsid w:val="0F742064"/>
    <w:rsid w:val="0F767555"/>
    <w:rsid w:val="0F7F6343"/>
    <w:rsid w:val="0F8E7511"/>
    <w:rsid w:val="0FCE1079"/>
    <w:rsid w:val="10265826"/>
    <w:rsid w:val="10BE10ED"/>
    <w:rsid w:val="10CC380A"/>
    <w:rsid w:val="10F81694"/>
    <w:rsid w:val="115F642C"/>
    <w:rsid w:val="11A77DD3"/>
    <w:rsid w:val="11B12A00"/>
    <w:rsid w:val="11D010D8"/>
    <w:rsid w:val="11F36B75"/>
    <w:rsid w:val="123A29F6"/>
    <w:rsid w:val="12902616"/>
    <w:rsid w:val="12BA7692"/>
    <w:rsid w:val="136A5E2F"/>
    <w:rsid w:val="13EE5846"/>
    <w:rsid w:val="14067033"/>
    <w:rsid w:val="140C03C2"/>
    <w:rsid w:val="143A4F2F"/>
    <w:rsid w:val="146975C2"/>
    <w:rsid w:val="147246C9"/>
    <w:rsid w:val="147C72F5"/>
    <w:rsid w:val="14C73674"/>
    <w:rsid w:val="15415E49"/>
    <w:rsid w:val="155B7335"/>
    <w:rsid w:val="156758B0"/>
    <w:rsid w:val="15761F97"/>
    <w:rsid w:val="1598015F"/>
    <w:rsid w:val="15C50828"/>
    <w:rsid w:val="17034063"/>
    <w:rsid w:val="173F59C9"/>
    <w:rsid w:val="178169D1"/>
    <w:rsid w:val="17DD62FD"/>
    <w:rsid w:val="17DE09B4"/>
    <w:rsid w:val="17F93E0B"/>
    <w:rsid w:val="187379FD"/>
    <w:rsid w:val="189F1804"/>
    <w:rsid w:val="18B74DA0"/>
    <w:rsid w:val="18D771F0"/>
    <w:rsid w:val="18DF249D"/>
    <w:rsid w:val="1923563E"/>
    <w:rsid w:val="1998697F"/>
    <w:rsid w:val="19A2414E"/>
    <w:rsid w:val="19BE21E6"/>
    <w:rsid w:val="19DD0836"/>
    <w:rsid w:val="19F36B5C"/>
    <w:rsid w:val="1A620D3B"/>
    <w:rsid w:val="1A7A42D7"/>
    <w:rsid w:val="1A8F0467"/>
    <w:rsid w:val="1ADD6614"/>
    <w:rsid w:val="1B244243"/>
    <w:rsid w:val="1B416BA3"/>
    <w:rsid w:val="1B4346C9"/>
    <w:rsid w:val="1BE826A7"/>
    <w:rsid w:val="1C455CA5"/>
    <w:rsid w:val="1C4E5356"/>
    <w:rsid w:val="1C536B5D"/>
    <w:rsid w:val="1C647615"/>
    <w:rsid w:val="1C92426F"/>
    <w:rsid w:val="1CD41C94"/>
    <w:rsid w:val="1CDC3027"/>
    <w:rsid w:val="1CDC4DD5"/>
    <w:rsid w:val="1D063C00"/>
    <w:rsid w:val="1D1327C1"/>
    <w:rsid w:val="1D2C69D2"/>
    <w:rsid w:val="1D3369BF"/>
    <w:rsid w:val="1D3C3403"/>
    <w:rsid w:val="1D5A6430"/>
    <w:rsid w:val="1D8B05A9"/>
    <w:rsid w:val="1D8E4E63"/>
    <w:rsid w:val="1D9A46E9"/>
    <w:rsid w:val="1DAD6772"/>
    <w:rsid w:val="1DBB0E8E"/>
    <w:rsid w:val="1DE13B91"/>
    <w:rsid w:val="1DEF6D8A"/>
    <w:rsid w:val="1E0C1593"/>
    <w:rsid w:val="1ED02718"/>
    <w:rsid w:val="1EDD3086"/>
    <w:rsid w:val="1F5844BB"/>
    <w:rsid w:val="1FDE70B6"/>
    <w:rsid w:val="202F7912"/>
    <w:rsid w:val="209E05F3"/>
    <w:rsid w:val="20B322F1"/>
    <w:rsid w:val="20E95D13"/>
    <w:rsid w:val="211D776A"/>
    <w:rsid w:val="213056EF"/>
    <w:rsid w:val="21494A03"/>
    <w:rsid w:val="216C1DA0"/>
    <w:rsid w:val="21B06830"/>
    <w:rsid w:val="21B31E7D"/>
    <w:rsid w:val="21EE6EEB"/>
    <w:rsid w:val="22286511"/>
    <w:rsid w:val="22482B79"/>
    <w:rsid w:val="22717D6E"/>
    <w:rsid w:val="228026A7"/>
    <w:rsid w:val="22844ADB"/>
    <w:rsid w:val="22C5630B"/>
    <w:rsid w:val="237815D0"/>
    <w:rsid w:val="237C18C4"/>
    <w:rsid w:val="239E00B4"/>
    <w:rsid w:val="24217571"/>
    <w:rsid w:val="24803136"/>
    <w:rsid w:val="248A15BB"/>
    <w:rsid w:val="24C543A1"/>
    <w:rsid w:val="24F56782"/>
    <w:rsid w:val="24FF0039"/>
    <w:rsid w:val="251E74A4"/>
    <w:rsid w:val="25583467"/>
    <w:rsid w:val="256C6F12"/>
    <w:rsid w:val="25861D82"/>
    <w:rsid w:val="25882A0D"/>
    <w:rsid w:val="258C4EBE"/>
    <w:rsid w:val="25985EE3"/>
    <w:rsid w:val="25EE5B79"/>
    <w:rsid w:val="26395046"/>
    <w:rsid w:val="26431A21"/>
    <w:rsid w:val="26D7660D"/>
    <w:rsid w:val="27402404"/>
    <w:rsid w:val="27441EF5"/>
    <w:rsid w:val="274E4B21"/>
    <w:rsid w:val="27843CE5"/>
    <w:rsid w:val="28123DA1"/>
    <w:rsid w:val="28164F07"/>
    <w:rsid w:val="282B4E63"/>
    <w:rsid w:val="283A6E54"/>
    <w:rsid w:val="289724F8"/>
    <w:rsid w:val="28A06885"/>
    <w:rsid w:val="28BB61E6"/>
    <w:rsid w:val="28DC5EA4"/>
    <w:rsid w:val="29134581"/>
    <w:rsid w:val="29E277A3"/>
    <w:rsid w:val="29F15C38"/>
    <w:rsid w:val="2A41096D"/>
    <w:rsid w:val="2A5F7045"/>
    <w:rsid w:val="2ACA0D3E"/>
    <w:rsid w:val="2ACD0453"/>
    <w:rsid w:val="2B1E2A5D"/>
    <w:rsid w:val="2B6F32B8"/>
    <w:rsid w:val="2B764647"/>
    <w:rsid w:val="2B886128"/>
    <w:rsid w:val="2BAC7B19"/>
    <w:rsid w:val="2C534988"/>
    <w:rsid w:val="2C803D54"/>
    <w:rsid w:val="2D2D51D9"/>
    <w:rsid w:val="2DA14432"/>
    <w:rsid w:val="2DB9081B"/>
    <w:rsid w:val="2E141EF5"/>
    <w:rsid w:val="2EA94D33"/>
    <w:rsid w:val="2F527179"/>
    <w:rsid w:val="2FAA0D63"/>
    <w:rsid w:val="304F36B8"/>
    <w:rsid w:val="30711881"/>
    <w:rsid w:val="30A1102E"/>
    <w:rsid w:val="30EF4A32"/>
    <w:rsid w:val="317F1658"/>
    <w:rsid w:val="31C221B8"/>
    <w:rsid w:val="31D40319"/>
    <w:rsid w:val="32110C25"/>
    <w:rsid w:val="322546D1"/>
    <w:rsid w:val="32270449"/>
    <w:rsid w:val="32696CB3"/>
    <w:rsid w:val="32A3745F"/>
    <w:rsid w:val="32B06690"/>
    <w:rsid w:val="32EB653A"/>
    <w:rsid w:val="32EF11E8"/>
    <w:rsid w:val="33243E3B"/>
    <w:rsid w:val="33E83C08"/>
    <w:rsid w:val="340F3E18"/>
    <w:rsid w:val="353A66E5"/>
    <w:rsid w:val="35AF114F"/>
    <w:rsid w:val="36603F29"/>
    <w:rsid w:val="366559E4"/>
    <w:rsid w:val="36962041"/>
    <w:rsid w:val="37555A58"/>
    <w:rsid w:val="375A6BCB"/>
    <w:rsid w:val="37607782"/>
    <w:rsid w:val="37DD4400"/>
    <w:rsid w:val="386D6DD1"/>
    <w:rsid w:val="3882287D"/>
    <w:rsid w:val="38B93DC5"/>
    <w:rsid w:val="38C34C43"/>
    <w:rsid w:val="391159AF"/>
    <w:rsid w:val="39557F91"/>
    <w:rsid w:val="397C1E1E"/>
    <w:rsid w:val="39FA3DA9"/>
    <w:rsid w:val="3A2B0CF2"/>
    <w:rsid w:val="3AC4344A"/>
    <w:rsid w:val="3B152347"/>
    <w:rsid w:val="3B1C3C75"/>
    <w:rsid w:val="3B56085F"/>
    <w:rsid w:val="3B710FB3"/>
    <w:rsid w:val="3BB371F1"/>
    <w:rsid w:val="3BCB6780"/>
    <w:rsid w:val="3BE63123"/>
    <w:rsid w:val="3CA8487C"/>
    <w:rsid w:val="3CFC24D2"/>
    <w:rsid w:val="3D5642D8"/>
    <w:rsid w:val="3D733273"/>
    <w:rsid w:val="3D956BAE"/>
    <w:rsid w:val="3DDA6E42"/>
    <w:rsid w:val="3E067AAC"/>
    <w:rsid w:val="3E155F41"/>
    <w:rsid w:val="3E2B306F"/>
    <w:rsid w:val="3E522CF1"/>
    <w:rsid w:val="3E7569E0"/>
    <w:rsid w:val="3E907376"/>
    <w:rsid w:val="3EB70DA6"/>
    <w:rsid w:val="3EE17BD1"/>
    <w:rsid w:val="3EF45B57"/>
    <w:rsid w:val="3F340649"/>
    <w:rsid w:val="3F4D5267"/>
    <w:rsid w:val="3F5D4601"/>
    <w:rsid w:val="3F60143E"/>
    <w:rsid w:val="3FC419CD"/>
    <w:rsid w:val="407A02DD"/>
    <w:rsid w:val="408B24EB"/>
    <w:rsid w:val="40923879"/>
    <w:rsid w:val="40B42058"/>
    <w:rsid w:val="41483F38"/>
    <w:rsid w:val="4162149D"/>
    <w:rsid w:val="41A95466"/>
    <w:rsid w:val="41B15F81"/>
    <w:rsid w:val="425D7555"/>
    <w:rsid w:val="4269685C"/>
    <w:rsid w:val="429733C9"/>
    <w:rsid w:val="42CD0A98"/>
    <w:rsid w:val="431A0C09"/>
    <w:rsid w:val="431C38CE"/>
    <w:rsid w:val="433E1A96"/>
    <w:rsid w:val="43A22025"/>
    <w:rsid w:val="44191BBB"/>
    <w:rsid w:val="44ED5522"/>
    <w:rsid w:val="45941E41"/>
    <w:rsid w:val="459D5559"/>
    <w:rsid w:val="46476EB4"/>
    <w:rsid w:val="464C1B5B"/>
    <w:rsid w:val="46A55988"/>
    <w:rsid w:val="46CD03D6"/>
    <w:rsid w:val="46F32B98"/>
    <w:rsid w:val="46F72688"/>
    <w:rsid w:val="470902D0"/>
    <w:rsid w:val="474A6C5C"/>
    <w:rsid w:val="47A65E5C"/>
    <w:rsid w:val="47E32C0C"/>
    <w:rsid w:val="47F83B51"/>
    <w:rsid w:val="480E2158"/>
    <w:rsid w:val="48EE1869"/>
    <w:rsid w:val="491F1A22"/>
    <w:rsid w:val="492D05E3"/>
    <w:rsid w:val="49331890"/>
    <w:rsid w:val="49830203"/>
    <w:rsid w:val="49865F45"/>
    <w:rsid w:val="499A49CE"/>
    <w:rsid w:val="49A308A5"/>
    <w:rsid w:val="49DC3DB7"/>
    <w:rsid w:val="4A056E6A"/>
    <w:rsid w:val="4A275968"/>
    <w:rsid w:val="4ABD14F2"/>
    <w:rsid w:val="4AF33166"/>
    <w:rsid w:val="4AF60EA8"/>
    <w:rsid w:val="4B005883"/>
    <w:rsid w:val="4B207620"/>
    <w:rsid w:val="4B65373A"/>
    <w:rsid w:val="4B885FA4"/>
    <w:rsid w:val="4BFA2B96"/>
    <w:rsid w:val="4BFB4538"/>
    <w:rsid w:val="4C552648"/>
    <w:rsid w:val="4CD40D75"/>
    <w:rsid w:val="4CD45F2A"/>
    <w:rsid w:val="4D00163A"/>
    <w:rsid w:val="4D106251"/>
    <w:rsid w:val="4D27359B"/>
    <w:rsid w:val="4D2F41FE"/>
    <w:rsid w:val="4D57462B"/>
    <w:rsid w:val="4DDF3E76"/>
    <w:rsid w:val="4DF3347D"/>
    <w:rsid w:val="4E114ADA"/>
    <w:rsid w:val="4E516B22"/>
    <w:rsid w:val="4E720846"/>
    <w:rsid w:val="4EAC1FAA"/>
    <w:rsid w:val="4F05790C"/>
    <w:rsid w:val="4F0F5BE3"/>
    <w:rsid w:val="4F5839F6"/>
    <w:rsid w:val="4F6208BA"/>
    <w:rsid w:val="4F9C3DCC"/>
    <w:rsid w:val="4FD5108C"/>
    <w:rsid w:val="4FE85264"/>
    <w:rsid w:val="4FE92D8A"/>
    <w:rsid w:val="500A6A1F"/>
    <w:rsid w:val="50131BB5"/>
    <w:rsid w:val="505A5A36"/>
    <w:rsid w:val="50970A38"/>
    <w:rsid w:val="50AA42C7"/>
    <w:rsid w:val="51037E7B"/>
    <w:rsid w:val="51167616"/>
    <w:rsid w:val="512F0C70"/>
    <w:rsid w:val="516C155C"/>
    <w:rsid w:val="51954F77"/>
    <w:rsid w:val="51A52CE0"/>
    <w:rsid w:val="51B868DE"/>
    <w:rsid w:val="51CB6BEB"/>
    <w:rsid w:val="521E31BF"/>
    <w:rsid w:val="52422029"/>
    <w:rsid w:val="52627685"/>
    <w:rsid w:val="52724E97"/>
    <w:rsid w:val="52D464C0"/>
    <w:rsid w:val="52D928C3"/>
    <w:rsid w:val="52EC5022"/>
    <w:rsid w:val="52FD61A9"/>
    <w:rsid w:val="5305327E"/>
    <w:rsid w:val="533B38FC"/>
    <w:rsid w:val="537868FE"/>
    <w:rsid w:val="540E1011"/>
    <w:rsid w:val="54134879"/>
    <w:rsid w:val="54316AAD"/>
    <w:rsid w:val="543E18F6"/>
    <w:rsid w:val="546131AF"/>
    <w:rsid w:val="54A83213"/>
    <w:rsid w:val="54E104EC"/>
    <w:rsid w:val="550151F6"/>
    <w:rsid w:val="55040901"/>
    <w:rsid w:val="554C3B9F"/>
    <w:rsid w:val="5596306C"/>
    <w:rsid w:val="55E02539"/>
    <w:rsid w:val="56B71B35"/>
    <w:rsid w:val="56CE4A87"/>
    <w:rsid w:val="56DF05DE"/>
    <w:rsid w:val="56EA7B13"/>
    <w:rsid w:val="56EF42BA"/>
    <w:rsid w:val="57925AB5"/>
    <w:rsid w:val="57C2283E"/>
    <w:rsid w:val="57EA769F"/>
    <w:rsid w:val="57FC6189"/>
    <w:rsid w:val="58101A31"/>
    <w:rsid w:val="59491B4B"/>
    <w:rsid w:val="595C45CC"/>
    <w:rsid w:val="59723DF0"/>
    <w:rsid w:val="597C07CB"/>
    <w:rsid w:val="599D70BF"/>
    <w:rsid w:val="59D40FF4"/>
    <w:rsid w:val="59E6688A"/>
    <w:rsid w:val="5A1E1882"/>
    <w:rsid w:val="5A7D0C9E"/>
    <w:rsid w:val="5A9653EC"/>
    <w:rsid w:val="5AF820D3"/>
    <w:rsid w:val="5AF96577"/>
    <w:rsid w:val="5B09162C"/>
    <w:rsid w:val="5B213377"/>
    <w:rsid w:val="5B4142B1"/>
    <w:rsid w:val="5B42334E"/>
    <w:rsid w:val="5B612747"/>
    <w:rsid w:val="5B6B4F9B"/>
    <w:rsid w:val="5B7C0F56"/>
    <w:rsid w:val="5B982E74"/>
    <w:rsid w:val="5BD20B76"/>
    <w:rsid w:val="5BD60666"/>
    <w:rsid w:val="5BE2525D"/>
    <w:rsid w:val="5C0C22DA"/>
    <w:rsid w:val="5C164F06"/>
    <w:rsid w:val="5C317F92"/>
    <w:rsid w:val="5CAE3391"/>
    <w:rsid w:val="5CD66444"/>
    <w:rsid w:val="5CF8285E"/>
    <w:rsid w:val="5D0336DD"/>
    <w:rsid w:val="5D235E58"/>
    <w:rsid w:val="5D2F19EE"/>
    <w:rsid w:val="5D7243BE"/>
    <w:rsid w:val="5D7B7878"/>
    <w:rsid w:val="5D963292"/>
    <w:rsid w:val="5DA16A52"/>
    <w:rsid w:val="5DB46785"/>
    <w:rsid w:val="5E5D3E5D"/>
    <w:rsid w:val="5E694C83"/>
    <w:rsid w:val="5E895AC3"/>
    <w:rsid w:val="5E8C325E"/>
    <w:rsid w:val="5F073306"/>
    <w:rsid w:val="5F1E27A5"/>
    <w:rsid w:val="5F2F5EE0"/>
    <w:rsid w:val="5F3758C0"/>
    <w:rsid w:val="5F5F73B9"/>
    <w:rsid w:val="5F6661A5"/>
    <w:rsid w:val="5F7C7776"/>
    <w:rsid w:val="5F7F40F4"/>
    <w:rsid w:val="5F9C5723"/>
    <w:rsid w:val="5FAC3111"/>
    <w:rsid w:val="60136A83"/>
    <w:rsid w:val="60496758"/>
    <w:rsid w:val="60996056"/>
    <w:rsid w:val="61047A23"/>
    <w:rsid w:val="612260FC"/>
    <w:rsid w:val="61414EC5"/>
    <w:rsid w:val="61477910"/>
    <w:rsid w:val="6218759F"/>
    <w:rsid w:val="622F287E"/>
    <w:rsid w:val="622F6D22"/>
    <w:rsid w:val="62600C89"/>
    <w:rsid w:val="62606EDB"/>
    <w:rsid w:val="62957FCE"/>
    <w:rsid w:val="62B31701"/>
    <w:rsid w:val="62BB74FC"/>
    <w:rsid w:val="62E06D1C"/>
    <w:rsid w:val="63AA0DD1"/>
    <w:rsid w:val="63B73DBA"/>
    <w:rsid w:val="63E43B3C"/>
    <w:rsid w:val="63ED197A"/>
    <w:rsid w:val="63FC0E86"/>
    <w:rsid w:val="642037FE"/>
    <w:rsid w:val="649D4417"/>
    <w:rsid w:val="64AC31D6"/>
    <w:rsid w:val="657607C4"/>
    <w:rsid w:val="6612673F"/>
    <w:rsid w:val="662841B4"/>
    <w:rsid w:val="664E34EF"/>
    <w:rsid w:val="66846F11"/>
    <w:rsid w:val="669056EB"/>
    <w:rsid w:val="66AB26EF"/>
    <w:rsid w:val="674A015A"/>
    <w:rsid w:val="677E1BB2"/>
    <w:rsid w:val="67AC4971"/>
    <w:rsid w:val="67B0620F"/>
    <w:rsid w:val="67CA4DF7"/>
    <w:rsid w:val="67E83794"/>
    <w:rsid w:val="67EC2FBF"/>
    <w:rsid w:val="68345F94"/>
    <w:rsid w:val="6838144E"/>
    <w:rsid w:val="687D00A1"/>
    <w:rsid w:val="687E630D"/>
    <w:rsid w:val="68866F70"/>
    <w:rsid w:val="68AA7398"/>
    <w:rsid w:val="68B00491"/>
    <w:rsid w:val="68C64763"/>
    <w:rsid w:val="692D6EB7"/>
    <w:rsid w:val="692E4ED3"/>
    <w:rsid w:val="69674FF3"/>
    <w:rsid w:val="6990454A"/>
    <w:rsid w:val="69B30239"/>
    <w:rsid w:val="69BA15C7"/>
    <w:rsid w:val="6A260536"/>
    <w:rsid w:val="6A3F7D1E"/>
    <w:rsid w:val="6A575068"/>
    <w:rsid w:val="6A690733"/>
    <w:rsid w:val="6A757D0F"/>
    <w:rsid w:val="6AE35C5B"/>
    <w:rsid w:val="6B286A04"/>
    <w:rsid w:val="6B783005"/>
    <w:rsid w:val="6B9320D0"/>
    <w:rsid w:val="6C092392"/>
    <w:rsid w:val="6C4D7283"/>
    <w:rsid w:val="6C8B0FF9"/>
    <w:rsid w:val="6C937EAD"/>
    <w:rsid w:val="6C9E6F7E"/>
    <w:rsid w:val="6CE301ED"/>
    <w:rsid w:val="6CFC157E"/>
    <w:rsid w:val="6D1014FE"/>
    <w:rsid w:val="6D262AD0"/>
    <w:rsid w:val="6D4D2752"/>
    <w:rsid w:val="6D4D62AE"/>
    <w:rsid w:val="6D9B1E51"/>
    <w:rsid w:val="6DC522E8"/>
    <w:rsid w:val="6DE170D3"/>
    <w:rsid w:val="6DF64B98"/>
    <w:rsid w:val="6E0E1EE1"/>
    <w:rsid w:val="6E31797E"/>
    <w:rsid w:val="6E49116B"/>
    <w:rsid w:val="6E8D72AA"/>
    <w:rsid w:val="6E9879FD"/>
    <w:rsid w:val="6EAC488C"/>
    <w:rsid w:val="6F173018"/>
    <w:rsid w:val="6F3040D9"/>
    <w:rsid w:val="6FC566E6"/>
    <w:rsid w:val="6FE253D4"/>
    <w:rsid w:val="7053007F"/>
    <w:rsid w:val="706704E8"/>
    <w:rsid w:val="70BC3E77"/>
    <w:rsid w:val="70F3716D"/>
    <w:rsid w:val="71662034"/>
    <w:rsid w:val="71BC7EA6"/>
    <w:rsid w:val="71E2790D"/>
    <w:rsid w:val="71EE1406"/>
    <w:rsid w:val="720D425E"/>
    <w:rsid w:val="72247BD2"/>
    <w:rsid w:val="722515A8"/>
    <w:rsid w:val="727E6F0A"/>
    <w:rsid w:val="72EC6569"/>
    <w:rsid w:val="730D09BA"/>
    <w:rsid w:val="732301DD"/>
    <w:rsid w:val="73306456"/>
    <w:rsid w:val="73BA4C48"/>
    <w:rsid w:val="74045C9F"/>
    <w:rsid w:val="74106CBB"/>
    <w:rsid w:val="742C597A"/>
    <w:rsid w:val="74CE23CA"/>
    <w:rsid w:val="74EC45FF"/>
    <w:rsid w:val="756357C0"/>
    <w:rsid w:val="75856CF0"/>
    <w:rsid w:val="75C13CDD"/>
    <w:rsid w:val="75F66B70"/>
    <w:rsid w:val="764A3CD3"/>
    <w:rsid w:val="76515061"/>
    <w:rsid w:val="76676633"/>
    <w:rsid w:val="76816148"/>
    <w:rsid w:val="76982C90"/>
    <w:rsid w:val="7731383A"/>
    <w:rsid w:val="77C27E49"/>
    <w:rsid w:val="77D5581E"/>
    <w:rsid w:val="78240938"/>
    <w:rsid w:val="78283BA0"/>
    <w:rsid w:val="78670B6C"/>
    <w:rsid w:val="790F6B0E"/>
    <w:rsid w:val="79C63670"/>
    <w:rsid w:val="79DF29C5"/>
    <w:rsid w:val="7A266805"/>
    <w:rsid w:val="7A57076C"/>
    <w:rsid w:val="7A5A200A"/>
    <w:rsid w:val="7A684727"/>
    <w:rsid w:val="7AA17C39"/>
    <w:rsid w:val="7AC73B44"/>
    <w:rsid w:val="7AD93877"/>
    <w:rsid w:val="7B113011"/>
    <w:rsid w:val="7B3E48AE"/>
    <w:rsid w:val="7B4A02D1"/>
    <w:rsid w:val="7BE75B20"/>
    <w:rsid w:val="7BE92EDF"/>
    <w:rsid w:val="7C137A39"/>
    <w:rsid w:val="7C372603"/>
    <w:rsid w:val="7C66113B"/>
    <w:rsid w:val="7C9C2DD9"/>
    <w:rsid w:val="7D006E99"/>
    <w:rsid w:val="7D80622C"/>
    <w:rsid w:val="7DA010E6"/>
    <w:rsid w:val="7DBA02A2"/>
    <w:rsid w:val="7DDF2F52"/>
    <w:rsid w:val="7E2E3EDA"/>
    <w:rsid w:val="7E7318ED"/>
    <w:rsid w:val="7E9D54D5"/>
    <w:rsid w:val="7F7122D0"/>
    <w:rsid w:val="7F731F22"/>
    <w:rsid w:val="7FAA57E2"/>
    <w:rsid w:val="7FC83E64"/>
    <w:rsid w:val="7FD4460D"/>
    <w:rsid w:val="F7FF0220"/>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99"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3"/>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link w:val="54"/>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4"/>
    <w:link w:val="56"/>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57"/>
    <w:qFormat/>
    <w:uiPriority w:val="0"/>
    <w:pPr>
      <w:keepNext/>
      <w:keepLines/>
      <w:adjustRightInd w:val="0"/>
      <w:spacing w:before="280" w:after="290" w:line="376" w:lineRule="atLeast"/>
      <w:textAlignment w:val="baseline"/>
      <w:outlineLvl w:val="3"/>
    </w:pPr>
    <w:rPr>
      <w:kern w:val="0"/>
      <w:sz w:val="24"/>
      <w:szCs w:val="20"/>
    </w:rPr>
  </w:style>
  <w:style w:type="paragraph" w:styleId="7">
    <w:name w:val="heading 5"/>
    <w:basedOn w:val="1"/>
    <w:next w:val="1"/>
    <w:link w:val="58"/>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59"/>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60"/>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61"/>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62"/>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5">
    <w:name w:val="Default Paragraph Font"/>
    <w:unhideWhenUsed/>
    <w:qFormat/>
    <w:uiPriority w:val="1"/>
  </w:style>
  <w:style w:type="table" w:default="1" w:styleId="42">
    <w:name w:val="Normal Table"/>
    <w:unhideWhenUsed/>
    <w:qFormat/>
    <w:uiPriority w:val="99"/>
    <w:tblPr>
      <w:tblCellMar>
        <w:top w:w="0" w:type="dxa"/>
        <w:left w:w="108" w:type="dxa"/>
        <w:bottom w:w="0" w:type="dxa"/>
        <w:right w:w="108" w:type="dxa"/>
      </w:tblCellMar>
    </w:tblPr>
  </w:style>
  <w:style w:type="paragraph" w:styleId="4">
    <w:name w:val="Normal Indent"/>
    <w:basedOn w:val="1"/>
    <w:link w:val="55"/>
    <w:qFormat/>
    <w:uiPriority w:val="99"/>
    <w:pPr>
      <w:autoSpaceDE w:val="0"/>
      <w:autoSpaceDN w:val="0"/>
      <w:adjustRightInd w:val="0"/>
      <w:ind w:firstLine="420"/>
      <w:jc w:val="left"/>
    </w:pPr>
    <w:rPr>
      <w:rFonts w:ascii="宋体"/>
      <w:sz w:val="24"/>
    </w:rPr>
  </w:style>
  <w:style w:type="paragraph" w:styleId="12">
    <w:name w:val="toc 7"/>
    <w:basedOn w:val="1"/>
    <w:next w:val="1"/>
    <w:qFormat/>
    <w:uiPriority w:val="0"/>
    <w:pPr>
      <w:ind w:left="2520" w:leftChars="1200"/>
    </w:pPr>
  </w:style>
  <w:style w:type="paragraph" w:styleId="13">
    <w:name w:val="caption"/>
    <w:basedOn w:val="1"/>
    <w:next w:val="1"/>
    <w:qFormat/>
    <w:uiPriority w:val="0"/>
    <w:pPr>
      <w:spacing w:line="480" w:lineRule="auto"/>
    </w:pPr>
    <w:rPr>
      <w:rFonts w:ascii="华文中宋" w:hAnsi="华文中宋" w:eastAsia="华文中宋"/>
      <w:sz w:val="36"/>
      <w:szCs w:val="20"/>
    </w:rPr>
  </w:style>
  <w:style w:type="paragraph" w:styleId="14">
    <w:name w:val="Document Map"/>
    <w:basedOn w:val="1"/>
    <w:link w:val="63"/>
    <w:qFormat/>
    <w:uiPriority w:val="0"/>
    <w:pPr>
      <w:shd w:val="clear" w:color="auto" w:fill="000080"/>
    </w:pPr>
  </w:style>
  <w:style w:type="paragraph" w:styleId="15">
    <w:name w:val="annotation text"/>
    <w:basedOn w:val="1"/>
    <w:link w:val="64"/>
    <w:qFormat/>
    <w:uiPriority w:val="99"/>
    <w:pPr>
      <w:jc w:val="left"/>
    </w:pPr>
  </w:style>
  <w:style w:type="paragraph" w:styleId="16">
    <w:name w:val="Body Text 3"/>
    <w:basedOn w:val="1"/>
    <w:link w:val="65"/>
    <w:qFormat/>
    <w:uiPriority w:val="0"/>
    <w:pPr>
      <w:spacing w:after="120"/>
    </w:pPr>
    <w:rPr>
      <w:sz w:val="16"/>
      <w:szCs w:val="16"/>
    </w:rPr>
  </w:style>
  <w:style w:type="paragraph" w:styleId="17">
    <w:name w:val="Body Text"/>
    <w:basedOn w:val="1"/>
    <w:link w:val="66"/>
    <w:qFormat/>
    <w:uiPriority w:val="0"/>
    <w:pPr>
      <w:tabs>
        <w:tab w:val="left" w:pos="567"/>
      </w:tabs>
      <w:spacing w:before="120" w:line="22" w:lineRule="atLeast"/>
    </w:pPr>
    <w:rPr>
      <w:rFonts w:ascii="宋体" w:hAnsi="宋体"/>
      <w:sz w:val="24"/>
    </w:rPr>
  </w:style>
  <w:style w:type="paragraph" w:styleId="18">
    <w:name w:val="Body Text Indent"/>
    <w:basedOn w:val="1"/>
    <w:link w:val="67"/>
    <w:qFormat/>
    <w:uiPriority w:val="0"/>
    <w:pPr>
      <w:spacing w:line="360" w:lineRule="auto"/>
      <w:ind w:firstLine="570"/>
    </w:pPr>
    <w:rPr>
      <w:sz w:val="24"/>
    </w:rPr>
  </w:style>
  <w:style w:type="paragraph" w:styleId="19">
    <w:name w:val="List 2"/>
    <w:basedOn w:val="1"/>
    <w:qFormat/>
    <w:uiPriority w:val="0"/>
    <w:pPr>
      <w:ind w:left="100" w:leftChars="200" w:hanging="200" w:hangingChars="200"/>
    </w:pPr>
  </w:style>
  <w:style w:type="paragraph" w:styleId="20">
    <w:name w:val="Block Text"/>
    <w:basedOn w:val="1"/>
    <w:qFormat/>
    <w:uiPriority w:val="0"/>
    <w:pPr>
      <w:widowControl/>
      <w:ind w:left="480" w:right="-341" w:firstLine="513"/>
    </w:pPr>
    <w:rPr>
      <w:kern w:val="0"/>
      <w:sz w:val="24"/>
      <w:szCs w:val="20"/>
    </w:rPr>
  </w:style>
  <w:style w:type="paragraph" w:styleId="21">
    <w:name w:val="toc 5"/>
    <w:basedOn w:val="1"/>
    <w:next w:val="1"/>
    <w:qFormat/>
    <w:uiPriority w:val="0"/>
    <w:pPr>
      <w:ind w:left="1680" w:leftChars="800"/>
    </w:pPr>
  </w:style>
  <w:style w:type="paragraph" w:styleId="22">
    <w:name w:val="toc 3"/>
    <w:basedOn w:val="1"/>
    <w:next w:val="1"/>
    <w:qFormat/>
    <w:uiPriority w:val="39"/>
    <w:pPr>
      <w:ind w:left="840" w:leftChars="400"/>
    </w:pPr>
  </w:style>
  <w:style w:type="paragraph" w:styleId="23">
    <w:name w:val="Plain Text"/>
    <w:basedOn w:val="1"/>
    <w:link w:val="68"/>
    <w:qFormat/>
    <w:uiPriority w:val="0"/>
    <w:rPr>
      <w:rFonts w:hint="eastAsia" w:ascii="宋体" w:hAnsi="Courier New"/>
      <w:szCs w:val="20"/>
    </w:rPr>
  </w:style>
  <w:style w:type="paragraph" w:styleId="24">
    <w:name w:val="toc 8"/>
    <w:basedOn w:val="1"/>
    <w:next w:val="1"/>
    <w:qFormat/>
    <w:uiPriority w:val="0"/>
    <w:pPr>
      <w:ind w:left="2940" w:leftChars="1400"/>
    </w:pPr>
  </w:style>
  <w:style w:type="paragraph" w:styleId="25">
    <w:name w:val="Date"/>
    <w:basedOn w:val="1"/>
    <w:next w:val="1"/>
    <w:link w:val="69"/>
    <w:qFormat/>
    <w:uiPriority w:val="0"/>
    <w:pPr>
      <w:ind w:left="100" w:leftChars="2500"/>
    </w:pPr>
    <w:rPr>
      <w:rFonts w:ascii="仿宋_GB2312" w:hAnsi="宋体" w:eastAsia="仿宋_GB2312"/>
      <w:color w:val="000000"/>
      <w:sz w:val="24"/>
    </w:rPr>
  </w:style>
  <w:style w:type="paragraph" w:styleId="26">
    <w:name w:val="Body Text Indent 2"/>
    <w:basedOn w:val="1"/>
    <w:link w:val="70"/>
    <w:qFormat/>
    <w:uiPriority w:val="0"/>
    <w:pPr>
      <w:ind w:firstLine="480" w:firstLineChars="200"/>
    </w:pPr>
    <w:rPr>
      <w:rFonts w:ascii="仿宋_GB2312" w:eastAsia="仿宋_GB2312"/>
      <w:sz w:val="24"/>
    </w:rPr>
  </w:style>
  <w:style w:type="paragraph" w:styleId="27">
    <w:name w:val="Balloon Text"/>
    <w:basedOn w:val="1"/>
    <w:link w:val="71"/>
    <w:qFormat/>
    <w:uiPriority w:val="0"/>
    <w:rPr>
      <w:sz w:val="18"/>
      <w:szCs w:val="18"/>
    </w:rPr>
  </w:style>
  <w:style w:type="paragraph" w:styleId="28">
    <w:name w:val="footer"/>
    <w:basedOn w:val="1"/>
    <w:link w:val="72"/>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29">
    <w:name w:val="header"/>
    <w:basedOn w:val="1"/>
    <w:link w:val="73"/>
    <w:qFormat/>
    <w:uiPriority w:val="0"/>
    <w:pPr>
      <w:pBdr>
        <w:bottom w:val="single" w:color="auto" w:sz="6" w:space="1"/>
      </w:pBdr>
      <w:tabs>
        <w:tab w:val="center" w:pos="4153"/>
        <w:tab w:val="right" w:pos="8306"/>
      </w:tabs>
      <w:snapToGrid w:val="0"/>
      <w:jc w:val="center"/>
    </w:pPr>
    <w:rPr>
      <w:sz w:val="18"/>
      <w:szCs w:val="18"/>
    </w:rPr>
  </w:style>
  <w:style w:type="paragraph" w:styleId="30">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1">
    <w:name w:val="toc 4"/>
    <w:basedOn w:val="1"/>
    <w:next w:val="1"/>
    <w:qFormat/>
    <w:uiPriority w:val="0"/>
    <w:pPr>
      <w:ind w:left="1260" w:leftChars="600"/>
    </w:pPr>
  </w:style>
  <w:style w:type="paragraph" w:styleId="32">
    <w:name w:val="toc 6"/>
    <w:basedOn w:val="1"/>
    <w:next w:val="1"/>
    <w:qFormat/>
    <w:uiPriority w:val="0"/>
    <w:pPr>
      <w:ind w:left="2100" w:leftChars="1000"/>
    </w:pPr>
  </w:style>
  <w:style w:type="paragraph" w:styleId="33">
    <w:name w:val="Body Text Indent 3"/>
    <w:basedOn w:val="1"/>
    <w:link w:val="74"/>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4">
    <w:name w:val="toc 2"/>
    <w:basedOn w:val="1"/>
    <w:next w:val="1"/>
    <w:qFormat/>
    <w:uiPriority w:val="39"/>
    <w:pPr>
      <w:tabs>
        <w:tab w:val="right" w:leader="dot" w:pos="8937"/>
      </w:tabs>
      <w:spacing w:line="312" w:lineRule="auto"/>
      <w:ind w:left="420" w:leftChars="200"/>
    </w:pPr>
  </w:style>
  <w:style w:type="paragraph" w:styleId="35">
    <w:name w:val="toc 9"/>
    <w:basedOn w:val="1"/>
    <w:next w:val="1"/>
    <w:qFormat/>
    <w:uiPriority w:val="0"/>
    <w:pPr>
      <w:ind w:left="3360" w:leftChars="1600"/>
    </w:pPr>
  </w:style>
  <w:style w:type="paragraph" w:styleId="36">
    <w:name w:val="HTML Preformatted"/>
    <w:basedOn w:val="1"/>
    <w:link w:val="75"/>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7">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38">
    <w:name w:val="index 1"/>
    <w:basedOn w:val="1"/>
    <w:next w:val="1"/>
    <w:qFormat/>
    <w:uiPriority w:val="0"/>
    <w:rPr>
      <w:szCs w:val="20"/>
    </w:rPr>
  </w:style>
  <w:style w:type="paragraph" w:styleId="39">
    <w:name w:val="Title"/>
    <w:basedOn w:val="1"/>
    <w:link w:val="76"/>
    <w:qFormat/>
    <w:uiPriority w:val="0"/>
    <w:pPr>
      <w:jc w:val="center"/>
      <w:outlineLvl w:val="0"/>
    </w:pPr>
    <w:rPr>
      <w:b/>
      <w:sz w:val="32"/>
      <w:szCs w:val="20"/>
    </w:rPr>
  </w:style>
  <w:style w:type="paragraph" w:styleId="40">
    <w:name w:val="annotation subject"/>
    <w:basedOn w:val="15"/>
    <w:next w:val="15"/>
    <w:link w:val="77"/>
    <w:qFormat/>
    <w:uiPriority w:val="0"/>
    <w:rPr>
      <w:b/>
      <w:bCs/>
    </w:rPr>
  </w:style>
  <w:style w:type="paragraph" w:styleId="41">
    <w:name w:val="Body Text First Indent 2"/>
    <w:basedOn w:val="18"/>
    <w:link w:val="78"/>
    <w:qFormat/>
    <w:uiPriority w:val="0"/>
    <w:pPr>
      <w:spacing w:after="120" w:line="480" w:lineRule="exact"/>
      <w:ind w:left="420" w:leftChars="200" w:firstLine="420" w:firstLineChars="200"/>
    </w:pPr>
    <w:rPr>
      <w:szCs w:val="20"/>
    </w:rPr>
  </w:style>
  <w:style w:type="table" w:styleId="43">
    <w:name w:val="Table Grid"/>
    <w:basedOn w:val="42"/>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4">
    <w:name w:val="Medium Grid 1 Accent 2"/>
    <w:basedOn w:val="42"/>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6">
    <w:name w:val="Strong"/>
    <w:qFormat/>
    <w:uiPriority w:val="0"/>
    <w:rPr>
      <w:b/>
      <w:bCs/>
    </w:rPr>
  </w:style>
  <w:style w:type="character" w:styleId="47">
    <w:name w:val="page number"/>
    <w:qFormat/>
    <w:uiPriority w:val="0"/>
  </w:style>
  <w:style w:type="character" w:styleId="48">
    <w:name w:val="FollowedHyperlink"/>
    <w:qFormat/>
    <w:uiPriority w:val="0"/>
    <w:rPr>
      <w:color w:val="800080"/>
      <w:u w:val="single"/>
    </w:rPr>
  </w:style>
  <w:style w:type="character" w:styleId="49">
    <w:name w:val="Emphasis"/>
    <w:qFormat/>
    <w:uiPriority w:val="0"/>
    <w:rPr>
      <w:color w:val="CC0033"/>
    </w:rPr>
  </w:style>
  <w:style w:type="character" w:styleId="50">
    <w:name w:val="Hyperlink"/>
    <w:qFormat/>
    <w:uiPriority w:val="99"/>
    <w:rPr>
      <w:color w:val="0000FF"/>
      <w:u w:val="single"/>
    </w:rPr>
  </w:style>
  <w:style w:type="character" w:styleId="51">
    <w:name w:val="annotation reference"/>
    <w:qFormat/>
    <w:uiPriority w:val="99"/>
    <w:rPr>
      <w:sz w:val="21"/>
      <w:szCs w:val="21"/>
    </w:rPr>
  </w:style>
  <w:style w:type="character" w:styleId="52">
    <w:name w:val="HTML Cite"/>
    <w:qFormat/>
    <w:uiPriority w:val="0"/>
    <w:rPr>
      <w:i/>
      <w:iCs/>
    </w:rPr>
  </w:style>
  <w:style w:type="character" w:customStyle="1" w:styleId="53">
    <w:name w:val="标题 1 Char"/>
    <w:link w:val="2"/>
    <w:qFormat/>
    <w:uiPriority w:val="0"/>
    <w:rPr>
      <w:rFonts w:ascii="宋体"/>
      <w:b/>
      <w:kern w:val="44"/>
      <w:sz w:val="32"/>
    </w:rPr>
  </w:style>
  <w:style w:type="character" w:customStyle="1" w:styleId="54">
    <w:name w:val="标题 2 Char1"/>
    <w:link w:val="3"/>
    <w:qFormat/>
    <w:uiPriority w:val="0"/>
    <w:rPr>
      <w:rFonts w:ascii="Arial" w:hAnsi="Arial" w:eastAsia="黑体"/>
      <w:b/>
      <w:sz w:val="30"/>
      <w:lang w:val="en-US" w:eastAsia="zh-CN" w:bidi="ar-SA"/>
    </w:rPr>
  </w:style>
  <w:style w:type="character" w:customStyle="1" w:styleId="55">
    <w:name w:val="正文缩进 Char1"/>
    <w:link w:val="4"/>
    <w:qFormat/>
    <w:uiPriority w:val="0"/>
    <w:rPr>
      <w:rFonts w:ascii="宋体" w:eastAsia="宋体"/>
      <w:kern w:val="2"/>
      <w:sz w:val="24"/>
      <w:szCs w:val="24"/>
      <w:lang w:val="en-US" w:eastAsia="zh-CN" w:bidi="ar-SA"/>
    </w:rPr>
  </w:style>
  <w:style w:type="character" w:customStyle="1" w:styleId="56">
    <w:name w:val="标题 3 Char1"/>
    <w:link w:val="5"/>
    <w:qFormat/>
    <w:uiPriority w:val="0"/>
    <w:rPr>
      <w:rFonts w:ascii="宋体" w:eastAsia="宋体"/>
      <w:b/>
      <w:sz w:val="24"/>
      <w:u w:val="single"/>
      <w:lang w:val="en-US" w:eastAsia="zh-CN" w:bidi="ar-SA"/>
    </w:rPr>
  </w:style>
  <w:style w:type="character" w:customStyle="1" w:styleId="57">
    <w:name w:val="标题 4 Char"/>
    <w:link w:val="6"/>
    <w:qFormat/>
    <w:uiPriority w:val="0"/>
    <w:rPr>
      <w:sz w:val="24"/>
    </w:rPr>
  </w:style>
  <w:style w:type="character" w:customStyle="1" w:styleId="58">
    <w:name w:val="标题 5 Char"/>
    <w:link w:val="7"/>
    <w:qFormat/>
    <w:uiPriority w:val="0"/>
    <w:rPr>
      <w:b/>
      <w:sz w:val="28"/>
    </w:rPr>
  </w:style>
  <w:style w:type="character" w:customStyle="1" w:styleId="59">
    <w:name w:val="标题 6 Char"/>
    <w:link w:val="8"/>
    <w:qFormat/>
    <w:uiPriority w:val="0"/>
    <w:rPr>
      <w:rFonts w:ascii="Arial" w:hAnsi="Arial" w:eastAsia="黑体"/>
      <w:b/>
      <w:sz w:val="24"/>
    </w:rPr>
  </w:style>
  <w:style w:type="character" w:customStyle="1" w:styleId="60">
    <w:name w:val="标题 7 Char"/>
    <w:link w:val="9"/>
    <w:qFormat/>
    <w:uiPriority w:val="0"/>
    <w:rPr>
      <w:b/>
      <w:sz w:val="24"/>
    </w:rPr>
  </w:style>
  <w:style w:type="character" w:customStyle="1" w:styleId="61">
    <w:name w:val="标题 8 Char"/>
    <w:link w:val="10"/>
    <w:qFormat/>
    <w:uiPriority w:val="0"/>
    <w:rPr>
      <w:rFonts w:ascii="Arial" w:hAnsi="Arial" w:eastAsia="黑体"/>
      <w:sz w:val="24"/>
    </w:rPr>
  </w:style>
  <w:style w:type="character" w:customStyle="1" w:styleId="62">
    <w:name w:val="标题 9 Char"/>
    <w:link w:val="11"/>
    <w:qFormat/>
    <w:uiPriority w:val="0"/>
    <w:rPr>
      <w:rFonts w:ascii="Arial" w:hAnsi="Arial" w:eastAsia="黑体"/>
      <w:sz w:val="21"/>
    </w:rPr>
  </w:style>
  <w:style w:type="character" w:customStyle="1" w:styleId="63">
    <w:name w:val="文档结构图 Char"/>
    <w:link w:val="14"/>
    <w:qFormat/>
    <w:uiPriority w:val="0"/>
    <w:rPr>
      <w:kern w:val="2"/>
      <w:sz w:val="21"/>
      <w:szCs w:val="24"/>
      <w:shd w:val="clear" w:color="auto" w:fill="000080"/>
    </w:rPr>
  </w:style>
  <w:style w:type="character" w:customStyle="1" w:styleId="64">
    <w:name w:val="批注文字 Char1"/>
    <w:link w:val="15"/>
    <w:qFormat/>
    <w:uiPriority w:val="99"/>
    <w:rPr>
      <w:kern w:val="2"/>
      <w:sz w:val="21"/>
      <w:szCs w:val="24"/>
    </w:rPr>
  </w:style>
  <w:style w:type="character" w:customStyle="1" w:styleId="65">
    <w:name w:val="正文文本 3 Char"/>
    <w:link w:val="16"/>
    <w:qFormat/>
    <w:uiPriority w:val="0"/>
    <w:rPr>
      <w:kern w:val="2"/>
      <w:sz w:val="16"/>
      <w:szCs w:val="16"/>
    </w:rPr>
  </w:style>
  <w:style w:type="character" w:customStyle="1" w:styleId="66">
    <w:name w:val="正文文本 Char"/>
    <w:link w:val="17"/>
    <w:qFormat/>
    <w:uiPriority w:val="0"/>
    <w:rPr>
      <w:rFonts w:ascii="宋体" w:hAnsi="宋体"/>
      <w:kern w:val="2"/>
      <w:sz w:val="24"/>
      <w:szCs w:val="24"/>
    </w:rPr>
  </w:style>
  <w:style w:type="character" w:customStyle="1" w:styleId="67">
    <w:name w:val="正文文本缩进 Char2"/>
    <w:link w:val="18"/>
    <w:qFormat/>
    <w:uiPriority w:val="0"/>
    <w:rPr>
      <w:rFonts w:eastAsia="宋体"/>
      <w:kern w:val="2"/>
      <w:sz w:val="24"/>
      <w:szCs w:val="24"/>
      <w:lang w:val="en-US" w:eastAsia="zh-CN" w:bidi="ar-SA"/>
    </w:rPr>
  </w:style>
  <w:style w:type="character" w:customStyle="1" w:styleId="68">
    <w:name w:val="纯文本 Char"/>
    <w:link w:val="23"/>
    <w:qFormat/>
    <w:uiPriority w:val="0"/>
    <w:rPr>
      <w:rFonts w:hint="eastAsia" w:ascii="宋体" w:hAnsi="Courier New" w:eastAsia="宋体" w:cs="宋体"/>
      <w:kern w:val="2"/>
      <w:sz w:val="21"/>
    </w:rPr>
  </w:style>
  <w:style w:type="character" w:customStyle="1" w:styleId="69">
    <w:name w:val="日期 Char"/>
    <w:link w:val="25"/>
    <w:qFormat/>
    <w:uiPriority w:val="0"/>
    <w:rPr>
      <w:rFonts w:ascii="仿宋_GB2312" w:hAnsi="宋体" w:eastAsia="仿宋_GB2312"/>
      <w:color w:val="000000"/>
      <w:kern w:val="2"/>
      <w:sz w:val="24"/>
      <w:szCs w:val="24"/>
    </w:rPr>
  </w:style>
  <w:style w:type="character" w:customStyle="1" w:styleId="70">
    <w:name w:val="正文文本缩进 2 Char"/>
    <w:link w:val="26"/>
    <w:qFormat/>
    <w:uiPriority w:val="0"/>
    <w:rPr>
      <w:rFonts w:ascii="仿宋_GB2312" w:eastAsia="仿宋_GB2312"/>
      <w:kern w:val="2"/>
      <w:sz w:val="24"/>
      <w:szCs w:val="24"/>
    </w:rPr>
  </w:style>
  <w:style w:type="character" w:customStyle="1" w:styleId="71">
    <w:name w:val="批注框文本 Char"/>
    <w:link w:val="27"/>
    <w:qFormat/>
    <w:uiPriority w:val="0"/>
    <w:rPr>
      <w:kern w:val="2"/>
      <w:sz w:val="18"/>
      <w:szCs w:val="18"/>
    </w:rPr>
  </w:style>
  <w:style w:type="character" w:customStyle="1" w:styleId="72">
    <w:name w:val="页脚 Char1"/>
    <w:link w:val="28"/>
    <w:qFormat/>
    <w:uiPriority w:val="99"/>
    <w:rPr>
      <w:rFonts w:ascii="宋体" w:eastAsia="宋体"/>
      <w:sz w:val="18"/>
      <w:lang w:val="en-US" w:eastAsia="zh-CN" w:bidi="ar-SA"/>
    </w:rPr>
  </w:style>
  <w:style w:type="character" w:customStyle="1" w:styleId="73">
    <w:name w:val="页眉 Char1"/>
    <w:link w:val="29"/>
    <w:qFormat/>
    <w:uiPriority w:val="0"/>
    <w:rPr>
      <w:rFonts w:eastAsia="宋体"/>
      <w:kern w:val="2"/>
      <w:sz w:val="18"/>
      <w:szCs w:val="18"/>
      <w:lang w:val="en-US" w:eastAsia="zh-CN" w:bidi="ar-SA"/>
    </w:rPr>
  </w:style>
  <w:style w:type="character" w:customStyle="1" w:styleId="74">
    <w:name w:val="正文文本缩进 3 Char"/>
    <w:link w:val="33"/>
    <w:qFormat/>
    <w:uiPriority w:val="0"/>
    <w:rPr>
      <w:rFonts w:ascii="宋体"/>
      <w:sz w:val="24"/>
    </w:rPr>
  </w:style>
  <w:style w:type="character" w:customStyle="1" w:styleId="75">
    <w:name w:val="HTML 预设格式 Char"/>
    <w:link w:val="36"/>
    <w:qFormat/>
    <w:uiPriority w:val="0"/>
    <w:rPr>
      <w:rFonts w:ascii="宋体" w:hAnsi="宋体" w:cs="宋体"/>
      <w:sz w:val="24"/>
      <w:szCs w:val="24"/>
    </w:rPr>
  </w:style>
  <w:style w:type="character" w:customStyle="1" w:styleId="76">
    <w:name w:val="标题 Char1"/>
    <w:link w:val="39"/>
    <w:qFormat/>
    <w:uiPriority w:val="0"/>
    <w:rPr>
      <w:b/>
      <w:kern w:val="2"/>
      <w:sz w:val="32"/>
    </w:rPr>
  </w:style>
  <w:style w:type="character" w:customStyle="1" w:styleId="77">
    <w:name w:val="批注主题 Char"/>
    <w:link w:val="40"/>
    <w:qFormat/>
    <w:uiPriority w:val="0"/>
    <w:rPr>
      <w:rFonts w:ascii="Times New Roman" w:hAnsi="Times New Roman" w:eastAsia="宋体" w:cs="Times New Roman"/>
      <w:b/>
      <w:bCs/>
      <w:kern w:val="2"/>
      <w:sz w:val="21"/>
      <w:szCs w:val="24"/>
      <w:lang w:val="en-US" w:eastAsia="zh-CN" w:bidi="ar-SA"/>
    </w:rPr>
  </w:style>
  <w:style w:type="character" w:customStyle="1" w:styleId="78">
    <w:name w:val="正文首行缩进 2 Char"/>
    <w:link w:val="41"/>
    <w:qFormat/>
    <w:uiPriority w:val="0"/>
    <w:rPr>
      <w:rFonts w:eastAsia="宋体"/>
      <w:kern w:val="2"/>
      <w:sz w:val="24"/>
      <w:szCs w:val="24"/>
      <w:lang w:val="en-US" w:eastAsia="zh-CN" w:bidi="ar-SA"/>
    </w:rPr>
  </w:style>
  <w:style w:type="character" w:customStyle="1" w:styleId="79">
    <w:name w:val="批注文字 字符"/>
    <w:qFormat/>
    <w:uiPriority w:val="99"/>
    <w:rPr>
      <w:rFonts w:ascii="Times New Roman" w:hAnsi="Times New Roman" w:eastAsia="宋体" w:cs="Times New Roman"/>
      <w:sz w:val="24"/>
      <w:lang w:val="en-US" w:eastAsia="zh-CN" w:bidi="ar-SA"/>
    </w:rPr>
  </w:style>
  <w:style w:type="character" w:customStyle="1" w:styleId="80">
    <w:name w:val="c21"/>
    <w:qFormat/>
    <w:uiPriority w:val="0"/>
    <w:rPr>
      <w:rFonts w:hint="default" w:ascii="ˎ̥" w:hAnsi="ˎ̥"/>
      <w:color w:val="000000"/>
      <w:sz w:val="20"/>
      <w:szCs w:val="20"/>
      <w:u w:val="none"/>
    </w:rPr>
  </w:style>
  <w:style w:type="character" w:customStyle="1" w:styleId="81">
    <w:name w:val="title4"/>
    <w:qFormat/>
    <w:uiPriority w:val="0"/>
    <w:rPr>
      <w:b/>
      <w:bCs/>
      <w:color w:val="1D87B3"/>
      <w:sz w:val="15"/>
      <w:szCs w:val="15"/>
    </w:rPr>
  </w:style>
  <w:style w:type="character" w:customStyle="1" w:styleId="82">
    <w:name w:val="标题 2 Char Char"/>
    <w:qFormat/>
    <w:uiPriority w:val="0"/>
    <w:rPr>
      <w:rFonts w:ascii="Arial" w:hAnsi="Arial" w:eastAsia="黑体"/>
      <w:b/>
      <w:bCs/>
      <w:kern w:val="2"/>
      <w:sz w:val="32"/>
      <w:szCs w:val="32"/>
      <w:lang w:val="en-US" w:eastAsia="zh-CN" w:bidi="ar-SA"/>
    </w:rPr>
  </w:style>
  <w:style w:type="character" w:customStyle="1" w:styleId="83">
    <w:name w:val="black1"/>
    <w:qFormat/>
    <w:uiPriority w:val="0"/>
    <w:rPr>
      <w:color w:val="000000"/>
    </w:rPr>
  </w:style>
  <w:style w:type="character" w:customStyle="1" w:styleId="84">
    <w:name w:val="street-address"/>
    <w:qFormat/>
    <w:uiPriority w:val="0"/>
  </w:style>
  <w:style w:type="character" w:customStyle="1" w:styleId="85">
    <w:name w:val="locality"/>
    <w:qFormat/>
    <w:uiPriority w:val="0"/>
  </w:style>
  <w:style w:type="character" w:customStyle="1" w:styleId="86">
    <w:name w:val="正文文本缩进 Char1"/>
    <w:link w:val="87"/>
    <w:qFormat/>
    <w:uiPriority w:val="0"/>
    <w:rPr>
      <w:rFonts w:ascii="宋体" w:hAnsi="宋体" w:eastAsia="宋体"/>
      <w:sz w:val="24"/>
      <w:szCs w:val="24"/>
      <w:lang w:bidi="ar-SA"/>
    </w:rPr>
  </w:style>
  <w:style w:type="paragraph" w:customStyle="1" w:styleId="87">
    <w:name w:val="正文文本缩进1"/>
    <w:basedOn w:val="1"/>
    <w:link w:val="86"/>
    <w:qFormat/>
    <w:uiPriority w:val="0"/>
    <w:pPr>
      <w:spacing w:line="480" w:lineRule="exact"/>
      <w:ind w:firstLine="480" w:firstLineChars="200"/>
    </w:pPr>
    <w:rPr>
      <w:rFonts w:ascii="宋体" w:hAnsi="宋体"/>
      <w:kern w:val="0"/>
      <w:sz w:val="24"/>
    </w:rPr>
  </w:style>
  <w:style w:type="character" w:customStyle="1" w:styleId="88">
    <w:name w:val="Char Char11"/>
    <w:qFormat/>
    <w:uiPriority w:val="0"/>
    <w:rPr>
      <w:rFonts w:ascii="宋体" w:eastAsia="宋体"/>
      <w:b/>
      <w:sz w:val="24"/>
      <w:u w:val="single"/>
      <w:lang w:val="en-US" w:eastAsia="zh-CN" w:bidi="ar-SA"/>
    </w:rPr>
  </w:style>
  <w:style w:type="character" w:customStyle="1" w:styleId="89">
    <w:name w:val="txt"/>
    <w:qFormat/>
    <w:uiPriority w:val="0"/>
  </w:style>
  <w:style w:type="character" w:customStyle="1" w:styleId="90">
    <w:name w:val="正文缩进 Char Char"/>
    <w:link w:val="91"/>
    <w:qFormat/>
    <w:uiPriority w:val="0"/>
    <w:rPr>
      <w:rFonts w:ascii="宋体" w:eastAsia="宋体"/>
      <w:snapToGrid w:val="0"/>
      <w:color w:val="000000"/>
      <w:kern w:val="28"/>
      <w:sz w:val="28"/>
      <w:lang w:bidi="ar-SA"/>
    </w:rPr>
  </w:style>
  <w:style w:type="paragraph" w:customStyle="1" w:styleId="91">
    <w:name w:val="正文缩进1"/>
    <w:basedOn w:val="1"/>
    <w:link w:val="90"/>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92">
    <w:name w:val="普通文字1 Char1"/>
    <w:qFormat/>
    <w:uiPriority w:val="0"/>
    <w:rPr>
      <w:rFonts w:ascii="宋体" w:hAnsi="Courier New" w:eastAsia="宋体"/>
      <w:kern w:val="2"/>
      <w:sz w:val="21"/>
      <w:lang w:val="en-US" w:eastAsia="zh-CN" w:bidi="ar-SA"/>
    </w:rPr>
  </w:style>
  <w:style w:type="character" w:customStyle="1" w:styleId="93">
    <w:name w:val="chanpin1"/>
    <w:qFormat/>
    <w:uiPriority w:val="0"/>
    <w:rPr>
      <w:rFonts w:hint="default" w:ascii="ˎ̥" w:hAnsi="ˎ̥"/>
      <w:color w:val="000000"/>
      <w:sz w:val="20"/>
      <w:szCs w:val="20"/>
      <w:u w:val="none"/>
    </w:rPr>
  </w:style>
  <w:style w:type="character" w:customStyle="1" w:styleId="94">
    <w:name w:val="列出段落 Char1"/>
    <w:link w:val="95"/>
    <w:qFormat/>
    <w:uiPriority w:val="34"/>
    <w:rPr>
      <w:rFonts w:ascii="Calibri" w:hAnsi="Calibri" w:eastAsia="宋体"/>
      <w:kern w:val="2"/>
      <w:sz w:val="21"/>
      <w:szCs w:val="22"/>
      <w:lang w:val="en-US" w:eastAsia="zh-CN" w:bidi="ar-SA"/>
    </w:rPr>
  </w:style>
  <w:style w:type="paragraph" w:styleId="95">
    <w:name w:val="List Paragraph"/>
    <w:basedOn w:val="1"/>
    <w:link w:val="94"/>
    <w:qFormat/>
    <w:uiPriority w:val="34"/>
    <w:pPr>
      <w:ind w:firstLine="420" w:firstLineChars="200"/>
    </w:pPr>
    <w:rPr>
      <w:rFonts w:ascii="Calibri" w:hAnsi="Calibri"/>
      <w:szCs w:val="22"/>
    </w:rPr>
  </w:style>
  <w:style w:type="character" w:customStyle="1" w:styleId="96">
    <w:name w:val="标题 3 Char Char"/>
    <w:qFormat/>
    <w:uiPriority w:val="0"/>
    <w:rPr>
      <w:rFonts w:eastAsia="宋体"/>
      <w:b/>
      <w:bCs/>
      <w:kern w:val="2"/>
      <w:sz w:val="32"/>
      <w:szCs w:val="32"/>
      <w:lang w:val="en-US" w:eastAsia="zh-CN" w:bidi="ar-SA"/>
    </w:rPr>
  </w:style>
  <w:style w:type="character" w:customStyle="1" w:styleId="97">
    <w:name w:val="段1 Char"/>
    <w:qFormat/>
    <w:uiPriority w:val="0"/>
    <w:rPr>
      <w:rFonts w:ascii="宋体" w:eastAsia="宋体"/>
      <w:sz w:val="24"/>
      <w:lang w:val="en-US" w:eastAsia="zh-CN" w:bidi="ar-SA"/>
    </w:rPr>
  </w:style>
  <w:style w:type="character" w:customStyle="1" w:styleId="98">
    <w:name w:val="chanpin拷贝"/>
    <w:qFormat/>
    <w:uiPriority w:val="0"/>
  </w:style>
  <w:style w:type="character" w:customStyle="1" w:styleId="99">
    <w:name w:val="纯文本 Char1"/>
    <w:qFormat/>
    <w:uiPriority w:val="0"/>
    <w:rPr>
      <w:rFonts w:ascii="宋体" w:hAnsi="Courier New" w:eastAsia="宋体"/>
      <w:kern w:val="2"/>
      <w:sz w:val="21"/>
      <w:lang w:val="en-US" w:eastAsia="zh-CN" w:bidi="ar-SA"/>
    </w:rPr>
  </w:style>
  <w:style w:type="character" w:customStyle="1" w:styleId="100">
    <w:name w:val="apple-style-span"/>
    <w:qFormat/>
    <w:uiPriority w:val="0"/>
    <w:rPr>
      <w:rFonts w:cs="Times New Roman"/>
    </w:rPr>
  </w:style>
  <w:style w:type="paragraph" w:customStyle="1" w:styleId="101">
    <w:name w:val="二级条标题"/>
    <w:basedOn w:val="102"/>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102">
    <w:name w:val="一级条标题"/>
    <w:basedOn w:val="103"/>
    <w:next w:val="1"/>
    <w:qFormat/>
    <w:uiPriority w:val="0"/>
    <w:pPr>
      <w:numPr>
        <w:ilvl w:val="1"/>
      </w:numPr>
      <w:tabs>
        <w:tab w:val="left" w:pos="360"/>
        <w:tab w:val="left" w:pos="840"/>
      </w:tabs>
      <w:ind w:left="0" w:hanging="840"/>
      <w:outlineLvl w:val="1"/>
    </w:pPr>
  </w:style>
  <w:style w:type="paragraph" w:customStyle="1" w:styleId="103">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04">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05">
    <w:name w:val="字元 字元"/>
    <w:basedOn w:val="1"/>
    <w:qFormat/>
    <w:uiPriority w:val="0"/>
    <w:rPr>
      <w:rFonts w:ascii="Tahoma" w:hAnsi="Tahoma"/>
      <w:sz w:val="24"/>
      <w:szCs w:val="20"/>
    </w:rPr>
  </w:style>
  <w:style w:type="paragraph" w:customStyle="1" w:styleId="106">
    <w:name w:val="Char3 Char Char Char"/>
    <w:basedOn w:val="1"/>
    <w:qFormat/>
    <w:uiPriority w:val="0"/>
    <w:rPr>
      <w:rFonts w:ascii="Tahoma" w:hAnsi="Tahoma"/>
      <w:sz w:val="24"/>
      <w:szCs w:val="20"/>
    </w:rPr>
  </w:style>
  <w:style w:type="paragraph" w:customStyle="1" w:styleId="107">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08">
    <w:name w:val="项目编号2"/>
    <w:basedOn w:val="109"/>
    <w:qFormat/>
    <w:uiPriority w:val="0"/>
    <w:pPr>
      <w:numPr>
        <w:numId w:val="2"/>
      </w:numPr>
    </w:pPr>
  </w:style>
  <w:style w:type="paragraph" w:customStyle="1" w:styleId="109">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110">
    <w:name w:val="图中文字"/>
    <w:basedOn w:val="1"/>
    <w:qFormat/>
    <w:uiPriority w:val="0"/>
    <w:pPr>
      <w:adjustRightInd w:val="0"/>
      <w:snapToGrid w:val="0"/>
      <w:spacing w:line="0" w:lineRule="atLeast"/>
      <w:jc w:val="center"/>
    </w:pPr>
    <w:rPr>
      <w:sz w:val="24"/>
      <w:szCs w:val="20"/>
    </w:rPr>
  </w:style>
  <w:style w:type="paragraph" w:customStyle="1" w:styleId="111">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2">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13">
    <w:name w:val="Char2"/>
    <w:basedOn w:val="1"/>
    <w:qFormat/>
    <w:uiPriority w:val="0"/>
    <w:rPr>
      <w:rFonts w:ascii="Tahoma" w:hAnsi="Tahoma"/>
      <w:sz w:val="24"/>
      <w:szCs w:val="20"/>
    </w:rPr>
  </w:style>
  <w:style w:type="paragraph" w:customStyle="1" w:styleId="114">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5">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6">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17">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8">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19">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20">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21">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2">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23">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24">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5">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6">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27">
    <w:name w:val="font8"/>
    <w:basedOn w:val="1"/>
    <w:qFormat/>
    <w:uiPriority w:val="0"/>
    <w:pPr>
      <w:widowControl/>
      <w:spacing w:before="100" w:beforeAutospacing="1" w:after="100" w:afterAutospacing="1"/>
      <w:jc w:val="left"/>
    </w:pPr>
    <w:rPr>
      <w:kern w:val="0"/>
      <w:sz w:val="36"/>
      <w:szCs w:val="36"/>
    </w:rPr>
  </w:style>
  <w:style w:type="paragraph" w:customStyle="1" w:styleId="128">
    <w:name w:val="Char"/>
    <w:basedOn w:val="1"/>
    <w:qFormat/>
    <w:uiPriority w:val="0"/>
    <w:pPr>
      <w:tabs>
        <w:tab w:val="left" w:pos="360"/>
      </w:tabs>
    </w:pPr>
    <w:rPr>
      <w:sz w:val="24"/>
    </w:rPr>
  </w:style>
  <w:style w:type="paragraph" w:customStyle="1" w:styleId="129">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30">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31">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32">
    <w:name w:val="Char Char1"/>
    <w:basedOn w:val="14"/>
    <w:qFormat/>
    <w:uiPriority w:val="0"/>
    <w:rPr>
      <w:rFonts w:ascii="Tahoma" w:hAnsi="Tahoma"/>
      <w:sz w:val="24"/>
    </w:rPr>
  </w:style>
  <w:style w:type="paragraph" w:customStyle="1" w:styleId="133">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34">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5">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36">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37">
    <w:name w:val="Char1 Char Char Char1"/>
    <w:basedOn w:val="1"/>
    <w:qFormat/>
    <w:uiPriority w:val="0"/>
    <w:rPr>
      <w:rFonts w:ascii="Tahoma" w:hAnsi="Tahoma" w:cs="仿宋_GB2312"/>
      <w:sz w:val="24"/>
      <w:szCs w:val="28"/>
    </w:rPr>
  </w:style>
  <w:style w:type="paragraph" w:customStyle="1" w:styleId="138">
    <w:name w:val="四级条标题"/>
    <w:basedOn w:val="139"/>
    <w:next w:val="1"/>
    <w:qFormat/>
    <w:uiPriority w:val="0"/>
    <w:pPr>
      <w:numPr>
        <w:ilvl w:val="4"/>
      </w:numPr>
      <w:tabs>
        <w:tab w:val="left" w:pos="360"/>
        <w:tab w:val="left" w:pos="840"/>
      </w:tabs>
      <w:ind w:left="0" w:hanging="840"/>
      <w:outlineLvl w:val="4"/>
    </w:pPr>
  </w:style>
  <w:style w:type="paragraph" w:customStyle="1" w:styleId="139">
    <w:name w:val="三级条标题"/>
    <w:basedOn w:val="101"/>
    <w:next w:val="1"/>
    <w:qFormat/>
    <w:uiPriority w:val="0"/>
    <w:pPr>
      <w:numPr>
        <w:ilvl w:val="3"/>
        <w:numId w:val="1"/>
      </w:numPr>
      <w:ind w:left="0" w:hanging="840"/>
      <w:outlineLvl w:val="3"/>
    </w:pPr>
  </w:style>
  <w:style w:type="paragraph" w:customStyle="1" w:styleId="140">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41">
    <w:name w:val="样式 标题 2 + 宋体 五号 行距: 单倍行距"/>
    <w:basedOn w:val="3"/>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42">
    <w:name w:val="List Paragraph1"/>
    <w:basedOn w:val="1"/>
    <w:qFormat/>
    <w:uiPriority w:val="0"/>
    <w:pPr>
      <w:ind w:firstLine="420" w:firstLineChars="200"/>
    </w:pPr>
    <w:rPr>
      <w:rFonts w:ascii="Calibri" w:hAnsi="Calibri"/>
      <w:szCs w:val="22"/>
    </w:rPr>
  </w:style>
  <w:style w:type="paragraph" w:customStyle="1" w:styleId="143">
    <w:name w:val="项目符号1"/>
    <w:basedOn w:val="144"/>
    <w:qFormat/>
    <w:uiPriority w:val="0"/>
    <w:pPr>
      <w:ind w:left="-25" w:firstLine="0"/>
    </w:pPr>
  </w:style>
  <w:style w:type="paragraph" w:customStyle="1" w:styleId="144">
    <w:name w:val="正文文本样式"/>
    <w:basedOn w:val="1"/>
    <w:qFormat/>
    <w:uiPriority w:val="0"/>
    <w:pPr>
      <w:spacing w:line="360" w:lineRule="auto"/>
      <w:ind w:firstLine="482"/>
    </w:pPr>
    <w:rPr>
      <w:rFonts w:cs="宋体"/>
      <w:sz w:val="24"/>
      <w:szCs w:val="20"/>
    </w:rPr>
  </w:style>
  <w:style w:type="paragraph" w:customStyle="1" w:styleId="145">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46">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47">
    <w:name w:val="五级条标题"/>
    <w:basedOn w:val="138"/>
    <w:next w:val="1"/>
    <w:qFormat/>
    <w:uiPriority w:val="0"/>
    <w:pPr>
      <w:numPr>
        <w:ilvl w:val="5"/>
      </w:numPr>
      <w:ind w:left="0" w:hanging="840"/>
      <w:outlineLvl w:val="5"/>
    </w:pPr>
  </w:style>
  <w:style w:type="paragraph" w:customStyle="1" w:styleId="148">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49">
    <w:name w:val="文档正文"/>
    <w:basedOn w:val="1"/>
    <w:qFormat/>
    <w:uiPriority w:val="0"/>
    <w:pPr>
      <w:snapToGrid w:val="0"/>
      <w:spacing w:before="120" w:after="120" w:line="180" w:lineRule="auto"/>
    </w:pPr>
    <w:rPr>
      <w:rFonts w:ascii="Arial" w:hAnsi="Arial"/>
      <w:szCs w:val="20"/>
    </w:rPr>
  </w:style>
  <w:style w:type="paragraph" w:customStyle="1" w:styleId="150">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51">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52">
    <w:name w:val="Char Char Char1 Char"/>
    <w:basedOn w:val="1"/>
    <w:qFormat/>
    <w:uiPriority w:val="0"/>
    <w:rPr>
      <w:rFonts w:ascii="Tahoma" w:hAnsi="Tahoma"/>
      <w:sz w:val="24"/>
      <w:szCs w:val="20"/>
    </w:rPr>
  </w:style>
  <w:style w:type="paragraph" w:customStyle="1" w:styleId="153">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54">
    <w:name w:val="1名"/>
    <w:basedOn w:val="1"/>
    <w:qFormat/>
    <w:uiPriority w:val="0"/>
    <w:pPr>
      <w:numPr>
        <w:ilvl w:val="0"/>
        <w:numId w:val="5"/>
      </w:numPr>
      <w:spacing w:before="120"/>
    </w:pPr>
    <w:rPr>
      <w:rFonts w:ascii="宋体"/>
      <w:sz w:val="28"/>
      <w:szCs w:val="20"/>
    </w:rPr>
  </w:style>
  <w:style w:type="paragraph" w:customStyle="1" w:styleId="155">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56">
    <w:name w:val="Char Char Char1 Char1"/>
    <w:basedOn w:val="1"/>
    <w:qFormat/>
    <w:uiPriority w:val="0"/>
    <w:rPr>
      <w:rFonts w:ascii="Tahoma" w:hAnsi="Tahoma"/>
      <w:sz w:val="24"/>
      <w:szCs w:val="20"/>
    </w:rPr>
  </w:style>
  <w:style w:type="paragraph" w:customStyle="1" w:styleId="157">
    <w:name w:val="Char Char Char Char Char Char Char Char Char Char"/>
    <w:basedOn w:val="1"/>
    <w:qFormat/>
    <w:uiPriority w:val="0"/>
  </w:style>
  <w:style w:type="paragraph" w:customStyle="1" w:styleId="158">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59">
    <w:name w:val="Char1"/>
    <w:basedOn w:val="1"/>
    <w:qFormat/>
    <w:uiPriority w:val="0"/>
    <w:pPr>
      <w:tabs>
        <w:tab w:val="left" w:pos="360"/>
      </w:tabs>
    </w:pPr>
    <w:rPr>
      <w:sz w:val="24"/>
    </w:rPr>
  </w:style>
  <w:style w:type="paragraph" w:customStyle="1" w:styleId="160">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61">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62">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63">
    <w:name w:val="默认段落字体 Para Char Char Char Char"/>
    <w:basedOn w:val="1"/>
    <w:qFormat/>
    <w:uiPriority w:val="0"/>
    <w:rPr>
      <w:rFonts w:ascii="Arial" w:hAnsi="Arial" w:cs="Arial"/>
      <w:szCs w:val="21"/>
    </w:rPr>
  </w:style>
  <w:style w:type="paragraph" w:customStyle="1" w:styleId="164">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65">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66">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67">
    <w:name w:val="Char Char Char"/>
    <w:basedOn w:val="1"/>
    <w:qFormat/>
    <w:uiPriority w:val="0"/>
    <w:rPr>
      <w:rFonts w:ascii="Tahoma" w:hAnsi="Tahoma"/>
      <w:sz w:val="24"/>
      <w:szCs w:val="20"/>
    </w:rPr>
  </w:style>
  <w:style w:type="paragraph" w:customStyle="1" w:styleId="168">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69">
    <w:name w:val="缺省文本"/>
    <w:basedOn w:val="1"/>
    <w:qFormat/>
    <w:uiPriority w:val="0"/>
    <w:pPr>
      <w:autoSpaceDE w:val="0"/>
      <w:autoSpaceDN w:val="0"/>
      <w:adjustRightInd w:val="0"/>
      <w:jc w:val="left"/>
    </w:pPr>
    <w:rPr>
      <w:kern w:val="0"/>
      <w:sz w:val="24"/>
    </w:rPr>
  </w:style>
  <w:style w:type="paragraph" w:customStyle="1" w:styleId="170">
    <w:name w:val="Char Char Char1"/>
    <w:basedOn w:val="1"/>
    <w:qFormat/>
    <w:uiPriority w:val="0"/>
    <w:rPr>
      <w:rFonts w:ascii="Tahoma" w:hAnsi="Tahoma"/>
      <w:sz w:val="24"/>
      <w:szCs w:val="20"/>
    </w:rPr>
  </w:style>
  <w:style w:type="paragraph" w:customStyle="1" w:styleId="171">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72">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73">
    <w:name w:val="样式2"/>
    <w:basedOn w:val="38"/>
    <w:qFormat/>
    <w:uiPriority w:val="0"/>
    <w:pPr>
      <w:spacing w:line="360" w:lineRule="auto"/>
      <w:jc w:val="center"/>
    </w:pPr>
    <w:rPr>
      <w:sz w:val="24"/>
    </w:rPr>
  </w:style>
  <w:style w:type="paragraph" w:customStyle="1" w:styleId="174">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75">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76">
    <w:name w:val="正文 + 楷体_GB2312"/>
    <w:basedOn w:val="1"/>
    <w:qFormat/>
    <w:uiPriority w:val="0"/>
    <w:pPr>
      <w:widowControl/>
      <w:jc w:val="left"/>
    </w:pPr>
    <w:rPr>
      <w:rFonts w:ascii="楷体_GB2312" w:eastAsia="楷体_GB2312" w:cs="Arial"/>
      <w:kern w:val="0"/>
      <w:sz w:val="24"/>
    </w:rPr>
  </w:style>
  <w:style w:type="paragraph" w:customStyle="1" w:styleId="177">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78">
    <w:name w:val="1 Char Char Char Char"/>
    <w:basedOn w:val="1"/>
    <w:qFormat/>
    <w:uiPriority w:val="0"/>
    <w:rPr>
      <w:rFonts w:ascii="Tahoma" w:hAnsi="Tahoma"/>
      <w:sz w:val="24"/>
      <w:szCs w:val="20"/>
    </w:rPr>
  </w:style>
  <w:style w:type="paragraph" w:customStyle="1" w:styleId="179">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80">
    <w:name w:val="列出段落1"/>
    <w:basedOn w:val="1"/>
    <w:qFormat/>
    <w:uiPriority w:val="34"/>
    <w:pPr>
      <w:ind w:firstLine="420" w:firstLineChars="200"/>
    </w:pPr>
    <w:rPr>
      <w:rFonts w:ascii="Calibri" w:hAnsi="Calibri"/>
      <w:szCs w:val="22"/>
    </w:rPr>
  </w:style>
  <w:style w:type="paragraph" w:customStyle="1" w:styleId="181">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2">
    <w:name w:val="字元 字元1"/>
    <w:basedOn w:val="1"/>
    <w:qFormat/>
    <w:uiPriority w:val="0"/>
    <w:rPr>
      <w:rFonts w:ascii="Tahoma" w:hAnsi="Tahoma"/>
      <w:sz w:val="24"/>
      <w:szCs w:val="20"/>
    </w:rPr>
  </w:style>
  <w:style w:type="paragraph" w:customStyle="1" w:styleId="183">
    <w:name w:val="_Style 160"/>
    <w:qFormat/>
    <w:uiPriority w:val="0"/>
    <w:rPr>
      <w:rFonts w:ascii="Times New Roman" w:hAnsi="Times New Roman" w:eastAsia="宋体" w:cs="Times New Roman"/>
      <w:kern w:val="2"/>
      <w:sz w:val="21"/>
      <w:szCs w:val="24"/>
      <w:lang w:val="en-US" w:eastAsia="zh-CN" w:bidi="ar-SA"/>
    </w:rPr>
  </w:style>
  <w:style w:type="paragraph" w:customStyle="1" w:styleId="184">
    <w:name w:val="项目编号3"/>
    <w:basedOn w:val="144"/>
    <w:qFormat/>
    <w:uiPriority w:val="0"/>
    <w:pPr>
      <w:numPr>
        <w:ilvl w:val="0"/>
        <w:numId w:val="6"/>
      </w:numPr>
    </w:pPr>
  </w:style>
  <w:style w:type="paragraph" w:customStyle="1" w:styleId="185">
    <w:name w:val="Char21"/>
    <w:basedOn w:val="1"/>
    <w:qFormat/>
    <w:uiPriority w:val="0"/>
    <w:rPr>
      <w:rFonts w:ascii="Tahoma" w:hAnsi="Tahoma"/>
      <w:sz w:val="24"/>
      <w:szCs w:val="20"/>
    </w:rPr>
  </w:style>
  <w:style w:type="paragraph" w:customStyle="1" w:styleId="186">
    <w:name w:val="表格文字"/>
    <w:basedOn w:val="18"/>
    <w:qFormat/>
    <w:uiPriority w:val="0"/>
    <w:pPr>
      <w:spacing w:before="20" w:after="20" w:line="240" w:lineRule="auto"/>
      <w:ind w:firstLine="0"/>
    </w:pPr>
    <w:rPr>
      <w:rFonts w:ascii="Century Gothic" w:hAnsi="Century Gothic"/>
      <w:sz w:val="20"/>
      <w:szCs w:val="20"/>
    </w:rPr>
  </w:style>
  <w:style w:type="paragraph" w:customStyle="1" w:styleId="187">
    <w:name w:val="Char Char Char Char Char Char Char Char Char Char1"/>
    <w:basedOn w:val="1"/>
    <w:qFormat/>
    <w:uiPriority w:val="0"/>
    <w:rPr>
      <w:rFonts w:ascii="宋体" w:hAnsi="宋体" w:cs="Courier New"/>
      <w:sz w:val="32"/>
      <w:szCs w:val="32"/>
    </w:rPr>
  </w:style>
  <w:style w:type="paragraph" w:customStyle="1" w:styleId="188">
    <w:name w:val="正文文本样式 加粗"/>
    <w:basedOn w:val="144"/>
    <w:qFormat/>
    <w:uiPriority w:val="0"/>
    <w:rPr>
      <w:b/>
    </w:rPr>
  </w:style>
  <w:style w:type="paragraph" w:customStyle="1" w:styleId="189">
    <w:name w:val="Char2 Char Char Char Char Char Char"/>
    <w:basedOn w:val="1"/>
    <w:qFormat/>
    <w:uiPriority w:val="0"/>
    <w:pPr>
      <w:widowControl/>
      <w:spacing w:line="400" w:lineRule="exact"/>
      <w:jc w:val="center"/>
    </w:pPr>
  </w:style>
  <w:style w:type="paragraph" w:customStyle="1" w:styleId="190">
    <w:name w:val="Char Char4"/>
    <w:basedOn w:val="1"/>
    <w:qFormat/>
    <w:uiPriority w:val="0"/>
    <w:pPr>
      <w:widowControl/>
      <w:spacing w:line="400" w:lineRule="exact"/>
      <w:jc w:val="center"/>
    </w:pPr>
  </w:style>
  <w:style w:type="paragraph" w:customStyle="1" w:styleId="191">
    <w:name w:val="Char3 Char Char Char1"/>
    <w:basedOn w:val="1"/>
    <w:qFormat/>
    <w:uiPriority w:val="0"/>
    <w:rPr>
      <w:rFonts w:ascii="Tahoma" w:hAnsi="Tahoma"/>
      <w:sz w:val="24"/>
      <w:szCs w:val="20"/>
    </w:rPr>
  </w:style>
  <w:style w:type="paragraph" w:styleId="192">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3">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94">
    <w:name w:val="中等深浅网格 1 - 强调文字颜色 2 Char"/>
    <w:link w:val="195"/>
    <w:qFormat/>
    <w:uiPriority w:val="0"/>
    <w:rPr>
      <w:kern w:val="2"/>
      <w:sz w:val="21"/>
      <w:szCs w:val="24"/>
      <w:lang w:val="zh-CN" w:eastAsia="zh-CN"/>
    </w:rPr>
  </w:style>
  <w:style w:type="paragraph" w:customStyle="1" w:styleId="195">
    <w:name w:val="1"/>
    <w:link w:val="194"/>
    <w:qFormat/>
    <w:uiPriority w:val="0"/>
    <w:rPr>
      <w:rFonts w:ascii="Times New Roman" w:hAnsi="Times New Roman" w:eastAsia="宋体" w:cs="Times New Roman"/>
      <w:kern w:val="2"/>
      <w:sz w:val="21"/>
      <w:szCs w:val="24"/>
      <w:lang w:val="zh-CN" w:eastAsia="zh-CN" w:bidi="ar-SA"/>
    </w:rPr>
  </w:style>
  <w:style w:type="paragraph" w:customStyle="1" w:styleId="196">
    <w:name w:val="图文"/>
    <w:basedOn w:val="1"/>
    <w:qFormat/>
    <w:uiPriority w:val="0"/>
    <w:pPr>
      <w:adjustRightInd w:val="0"/>
      <w:snapToGrid w:val="0"/>
      <w:spacing w:after="50" w:line="360" w:lineRule="auto"/>
    </w:pPr>
    <w:rPr>
      <w:sz w:val="24"/>
    </w:rPr>
  </w:style>
  <w:style w:type="paragraph" w:customStyle="1" w:styleId="197">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98">
    <w:name w:val="正文表格"/>
    <w:basedOn w:val="1"/>
    <w:link w:val="199"/>
    <w:qFormat/>
    <w:uiPriority w:val="0"/>
    <w:pPr>
      <w:adjustRightInd w:val="0"/>
      <w:snapToGrid w:val="0"/>
      <w:jc w:val="left"/>
    </w:pPr>
    <w:rPr>
      <w:rFonts w:ascii="宋体" w:hAnsi="宋体"/>
      <w:color w:val="000000"/>
      <w:szCs w:val="21"/>
    </w:rPr>
  </w:style>
  <w:style w:type="character" w:customStyle="1" w:styleId="199">
    <w:name w:val="正文表格 Char"/>
    <w:link w:val="198"/>
    <w:qFormat/>
    <w:uiPriority w:val="0"/>
    <w:rPr>
      <w:rFonts w:ascii="宋体" w:hAnsi="宋体"/>
      <w:color w:val="000000"/>
      <w:kern w:val="2"/>
      <w:sz w:val="21"/>
      <w:szCs w:val="21"/>
    </w:rPr>
  </w:style>
  <w:style w:type="paragraph" w:customStyle="1" w:styleId="200">
    <w:name w:val="正文重点"/>
    <w:basedOn w:val="1"/>
    <w:link w:val="201"/>
    <w:qFormat/>
    <w:uiPriority w:val="0"/>
    <w:pPr>
      <w:adjustRightInd w:val="0"/>
      <w:spacing w:line="360" w:lineRule="auto"/>
      <w:ind w:firstLine="482" w:firstLineChars="200"/>
      <w:jc w:val="left"/>
      <w:textAlignment w:val="baseline"/>
    </w:pPr>
    <w:rPr>
      <w:b/>
      <w:kern w:val="0"/>
      <w:sz w:val="24"/>
      <w:szCs w:val="20"/>
    </w:rPr>
  </w:style>
  <w:style w:type="character" w:customStyle="1" w:styleId="201">
    <w:name w:val="正文重点 Char"/>
    <w:link w:val="200"/>
    <w:qFormat/>
    <w:uiPriority w:val="0"/>
    <w:rPr>
      <w:b/>
      <w:sz w:val="24"/>
    </w:rPr>
  </w:style>
  <w:style w:type="paragraph" w:customStyle="1" w:styleId="202">
    <w:name w:val="标题1-附件"/>
    <w:basedOn w:val="2"/>
    <w:qFormat/>
    <w:uiPriority w:val="0"/>
    <w:pPr>
      <w:jc w:val="left"/>
    </w:pPr>
    <w:rPr>
      <w:sz w:val="24"/>
      <w:szCs w:val="24"/>
    </w:rPr>
  </w:style>
  <w:style w:type="paragraph" w:customStyle="1" w:styleId="203">
    <w:name w:val="正文小标题"/>
    <w:basedOn w:val="1"/>
    <w:next w:val="4"/>
    <w:link w:val="204"/>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204">
    <w:name w:val="正文小标题 Char"/>
    <w:link w:val="203"/>
    <w:qFormat/>
    <w:uiPriority w:val="0"/>
    <w:rPr>
      <w:rFonts w:ascii="宋体" w:hAnsi="宋体"/>
      <w:b/>
      <w:i/>
      <w:color w:val="FF0000"/>
      <w:kern w:val="2"/>
      <w:sz w:val="24"/>
    </w:rPr>
  </w:style>
  <w:style w:type="paragraph" w:customStyle="1" w:styleId="205">
    <w:name w:val="正文大标题"/>
    <w:basedOn w:val="203"/>
    <w:next w:val="4"/>
    <w:link w:val="206"/>
    <w:qFormat/>
    <w:uiPriority w:val="0"/>
    <w:pPr>
      <w:jc w:val="center"/>
    </w:pPr>
    <w:rPr>
      <w:i w:val="0"/>
      <w:color w:val="000000"/>
      <w:sz w:val="28"/>
      <w:szCs w:val="21"/>
    </w:rPr>
  </w:style>
  <w:style w:type="character" w:customStyle="1" w:styleId="206">
    <w:name w:val="正文大标题 Char"/>
    <w:link w:val="205"/>
    <w:qFormat/>
    <w:uiPriority w:val="0"/>
    <w:rPr>
      <w:rFonts w:ascii="宋体" w:hAnsi="宋体"/>
      <w:b/>
      <w:color w:val="000000"/>
      <w:kern w:val="2"/>
      <w:sz w:val="28"/>
      <w:szCs w:val="21"/>
    </w:rPr>
  </w:style>
  <w:style w:type="paragraph" w:customStyle="1" w:styleId="207">
    <w:name w:val="注释"/>
    <w:basedOn w:val="1"/>
    <w:link w:val="208"/>
    <w:qFormat/>
    <w:uiPriority w:val="0"/>
    <w:pPr>
      <w:adjustRightInd w:val="0"/>
      <w:snapToGrid w:val="0"/>
      <w:ind w:left="420" w:hanging="420" w:hangingChars="200"/>
      <w:jc w:val="left"/>
    </w:pPr>
    <w:rPr>
      <w:rFonts w:ascii="宋体" w:hAnsi="宋体"/>
      <w:szCs w:val="21"/>
    </w:rPr>
  </w:style>
  <w:style w:type="character" w:customStyle="1" w:styleId="208">
    <w:name w:val="注释 Char"/>
    <w:link w:val="207"/>
    <w:qFormat/>
    <w:uiPriority w:val="0"/>
    <w:rPr>
      <w:rFonts w:ascii="宋体" w:hAnsi="宋体"/>
      <w:kern w:val="2"/>
      <w:sz w:val="21"/>
      <w:szCs w:val="21"/>
    </w:rPr>
  </w:style>
  <w:style w:type="paragraph" w:customStyle="1" w:styleId="209">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210">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211">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212">
    <w:name w:val="纯文本 字符"/>
    <w:qFormat/>
    <w:uiPriority w:val="99"/>
    <w:rPr>
      <w:rFonts w:ascii="宋体" w:hAnsi="Courier New" w:eastAsia="宋体" w:cs="Times New Roman"/>
      <w:kern w:val="2"/>
      <w:sz w:val="21"/>
      <w:szCs w:val="21"/>
      <w:lang w:val="en-US" w:eastAsia="zh-CN" w:bidi="ar-SA"/>
    </w:rPr>
  </w:style>
  <w:style w:type="paragraph" w:customStyle="1" w:styleId="213">
    <w:name w:val="表格1"/>
    <w:basedOn w:val="1"/>
    <w:qFormat/>
    <w:uiPriority w:val="0"/>
    <w:pPr>
      <w:ind w:firstLine="480" w:firstLineChars="200"/>
      <w:jc w:val="center"/>
    </w:pPr>
    <w:rPr>
      <w:sz w:val="24"/>
      <w:szCs w:val="20"/>
    </w:rPr>
  </w:style>
  <w:style w:type="character" w:customStyle="1" w:styleId="214">
    <w:name w:val="纯文本 字符1"/>
    <w:qFormat/>
    <w:uiPriority w:val="0"/>
    <w:rPr>
      <w:rFonts w:ascii="宋体" w:hAnsi="Courier New"/>
    </w:rPr>
  </w:style>
  <w:style w:type="character" w:customStyle="1" w:styleId="215">
    <w:name w:val="bjh-p"/>
    <w:qFormat/>
    <w:uiPriority w:val="0"/>
  </w:style>
  <w:style w:type="paragraph" w:customStyle="1" w:styleId="216">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17">
    <w:name w:val="正文格式 Char"/>
    <w:link w:val="218"/>
    <w:qFormat/>
    <w:locked/>
    <w:uiPriority w:val="0"/>
    <w:rPr>
      <w:rFonts w:ascii="宋体" w:hAnsi="宋体"/>
      <w:sz w:val="24"/>
      <w:szCs w:val="24"/>
      <w:lang w:val="en-GB"/>
    </w:rPr>
  </w:style>
  <w:style w:type="paragraph" w:customStyle="1" w:styleId="218">
    <w:name w:val="正文格式"/>
    <w:basedOn w:val="1"/>
    <w:link w:val="217"/>
    <w:qFormat/>
    <w:uiPriority w:val="0"/>
    <w:pPr>
      <w:spacing w:beforeLines="50" w:line="360" w:lineRule="auto"/>
      <w:ind w:firstLine="480" w:firstLineChars="200"/>
    </w:pPr>
    <w:rPr>
      <w:rFonts w:ascii="宋体" w:hAnsi="宋体"/>
      <w:kern w:val="0"/>
      <w:sz w:val="24"/>
      <w:lang w:val="en-GB"/>
    </w:rPr>
  </w:style>
  <w:style w:type="character" w:customStyle="1" w:styleId="219">
    <w:name w:val="标题 3 Char"/>
    <w:qFormat/>
    <w:uiPriority w:val="0"/>
    <w:rPr>
      <w:rFonts w:ascii="宋体" w:eastAsia="宋体"/>
      <w:b/>
      <w:sz w:val="24"/>
      <w:u w:val="single"/>
      <w:lang w:val="en-US" w:eastAsia="zh-CN" w:bidi="ar-SA"/>
    </w:rPr>
  </w:style>
  <w:style w:type="character" w:customStyle="1" w:styleId="220">
    <w:name w:val="正文缩进 Char"/>
    <w:qFormat/>
    <w:uiPriority w:val="99"/>
    <w:rPr>
      <w:rFonts w:ascii="宋体" w:eastAsia="宋体"/>
      <w:kern w:val="2"/>
      <w:sz w:val="24"/>
      <w:szCs w:val="24"/>
      <w:lang w:val="en-US" w:eastAsia="zh-CN" w:bidi="ar-SA"/>
    </w:rPr>
  </w:style>
  <w:style w:type="character" w:customStyle="1" w:styleId="221">
    <w:name w:val="Char Char111"/>
    <w:qFormat/>
    <w:uiPriority w:val="0"/>
    <w:rPr>
      <w:rFonts w:ascii="宋体" w:eastAsia="宋体"/>
      <w:b/>
      <w:sz w:val="24"/>
      <w:u w:val="single"/>
      <w:lang w:val="en-US" w:eastAsia="zh-CN" w:bidi="ar-SA"/>
    </w:rPr>
  </w:style>
  <w:style w:type="character" w:customStyle="1" w:styleId="222">
    <w:name w:val="正文文本缩进 Char"/>
    <w:qFormat/>
    <w:uiPriority w:val="0"/>
    <w:rPr>
      <w:rFonts w:eastAsia="宋体"/>
      <w:kern w:val="2"/>
      <w:sz w:val="24"/>
      <w:szCs w:val="24"/>
      <w:lang w:val="en-US" w:eastAsia="zh-CN" w:bidi="ar-SA"/>
    </w:rPr>
  </w:style>
  <w:style w:type="character" w:customStyle="1" w:styleId="223">
    <w:name w:val="列出段落 Char"/>
    <w:qFormat/>
    <w:uiPriority w:val="0"/>
    <w:rPr>
      <w:rFonts w:ascii="Calibri" w:hAnsi="Calibri" w:eastAsia="宋体"/>
      <w:kern w:val="2"/>
      <w:sz w:val="21"/>
      <w:szCs w:val="22"/>
      <w:lang w:val="en-US" w:eastAsia="zh-CN" w:bidi="ar-SA"/>
    </w:rPr>
  </w:style>
  <w:style w:type="character" w:customStyle="1" w:styleId="224">
    <w:name w:val="页眉 Char"/>
    <w:qFormat/>
    <w:uiPriority w:val="0"/>
    <w:rPr>
      <w:rFonts w:eastAsia="宋体"/>
      <w:kern w:val="2"/>
      <w:sz w:val="18"/>
      <w:szCs w:val="18"/>
      <w:lang w:val="en-US" w:eastAsia="zh-CN" w:bidi="ar-SA"/>
    </w:rPr>
  </w:style>
  <w:style w:type="character" w:customStyle="1" w:styleId="225">
    <w:name w:val="标题 2 Char"/>
    <w:qFormat/>
    <w:uiPriority w:val="0"/>
    <w:rPr>
      <w:rFonts w:ascii="Arial" w:hAnsi="Arial" w:eastAsia="黑体"/>
      <w:b/>
      <w:sz w:val="30"/>
      <w:lang w:val="en-US" w:eastAsia="zh-CN" w:bidi="ar-SA"/>
    </w:rPr>
  </w:style>
  <w:style w:type="paragraph" w:customStyle="1" w:styleId="226">
    <w:name w:val="字元 字元2"/>
    <w:basedOn w:val="1"/>
    <w:qFormat/>
    <w:uiPriority w:val="0"/>
    <w:rPr>
      <w:rFonts w:ascii="Tahoma" w:hAnsi="Tahoma"/>
      <w:sz w:val="24"/>
      <w:szCs w:val="20"/>
    </w:rPr>
  </w:style>
  <w:style w:type="paragraph" w:customStyle="1" w:styleId="227">
    <w:name w:val="Char3 Char Char Char2"/>
    <w:basedOn w:val="1"/>
    <w:qFormat/>
    <w:uiPriority w:val="0"/>
    <w:rPr>
      <w:rFonts w:ascii="Tahoma" w:hAnsi="Tahoma"/>
      <w:sz w:val="24"/>
      <w:szCs w:val="20"/>
    </w:rPr>
  </w:style>
  <w:style w:type="paragraph" w:customStyle="1" w:styleId="228">
    <w:name w:val="正文文本缩进2"/>
    <w:basedOn w:val="1"/>
    <w:qFormat/>
    <w:uiPriority w:val="0"/>
    <w:pPr>
      <w:spacing w:line="480" w:lineRule="exact"/>
      <w:ind w:firstLine="480" w:firstLineChars="200"/>
    </w:pPr>
    <w:rPr>
      <w:rFonts w:ascii="宋体" w:hAnsi="宋体"/>
      <w:kern w:val="0"/>
      <w:sz w:val="24"/>
      <w:lang w:val="zh-CN" w:eastAsia="zh-CN"/>
    </w:rPr>
  </w:style>
  <w:style w:type="paragraph" w:customStyle="1" w:styleId="229">
    <w:name w:val="Char3"/>
    <w:basedOn w:val="1"/>
    <w:qFormat/>
    <w:uiPriority w:val="0"/>
    <w:pPr>
      <w:tabs>
        <w:tab w:val="left" w:pos="360"/>
      </w:tabs>
    </w:pPr>
    <w:rPr>
      <w:sz w:val="24"/>
    </w:rPr>
  </w:style>
  <w:style w:type="paragraph" w:customStyle="1" w:styleId="230">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31">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2">
    <w:name w:val="列出段落2"/>
    <w:basedOn w:val="1"/>
    <w:qFormat/>
    <w:uiPriority w:val="0"/>
    <w:pPr>
      <w:ind w:firstLine="420" w:firstLineChars="200"/>
    </w:pPr>
    <w:rPr>
      <w:rFonts w:ascii="Calibri" w:hAnsi="Calibri"/>
      <w:szCs w:val="22"/>
    </w:rPr>
  </w:style>
  <w:style w:type="paragraph" w:customStyle="1" w:styleId="233">
    <w:name w:val="Char Char Char1 Char2"/>
    <w:basedOn w:val="1"/>
    <w:qFormat/>
    <w:uiPriority w:val="0"/>
    <w:rPr>
      <w:rFonts w:ascii="Tahoma" w:hAnsi="Tahoma"/>
      <w:sz w:val="24"/>
      <w:szCs w:val="20"/>
    </w:rPr>
  </w:style>
  <w:style w:type="paragraph" w:customStyle="1" w:styleId="234">
    <w:name w:val="Char Char Char2"/>
    <w:basedOn w:val="1"/>
    <w:qFormat/>
    <w:uiPriority w:val="0"/>
    <w:rPr>
      <w:rFonts w:ascii="Tahoma" w:hAnsi="Tahoma"/>
      <w:sz w:val="24"/>
      <w:szCs w:val="20"/>
    </w:rPr>
  </w:style>
  <w:style w:type="paragraph" w:customStyle="1" w:styleId="235">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36">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eastAsia="zh-CN"/>
    </w:rPr>
  </w:style>
  <w:style w:type="paragraph" w:customStyle="1" w:styleId="237">
    <w:name w:val="Revision"/>
    <w:qFormat/>
    <w:uiPriority w:val="0"/>
    <w:rPr>
      <w:rFonts w:ascii="Times New Roman" w:hAnsi="Times New Roman" w:eastAsia="宋体" w:cs="Times New Roman"/>
      <w:kern w:val="2"/>
      <w:sz w:val="21"/>
      <w:szCs w:val="24"/>
      <w:lang w:val="en-US" w:eastAsia="zh-CN" w:bidi="ar-SA"/>
    </w:rPr>
  </w:style>
  <w:style w:type="paragraph" w:customStyle="1" w:styleId="238">
    <w:name w:val="Char22"/>
    <w:basedOn w:val="1"/>
    <w:qFormat/>
    <w:uiPriority w:val="0"/>
    <w:rPr>
      <w:rFonts w:ascii="Tahoma" w:hAnsi="Tahoma"/>
      <w:sz w:val="24"/>
      <w:szCs w:val="20"/>
    </w:rPr>
  </w:style>
  <w:style w:type="paragraph" w:customStyle="1" w:styleId="239">
    <w:name w:val="Char Char Char Char Char Char Char Char Char Char2"/>
    <w:basedOn w:val="1"/>
    <w:qFormat/>
    <w:uiPriority w:val="0"/>
    <w:rPr>
      <w:rFonts w:ascii="宋体" w:hAnsi="宋体" w:cs="Courier New"/>
      <w:sz w:val="32"/>
      <w:szCs w:val="32"/>
    </w:rPr>
  </w:style>
  <w:style w:type="paragraph" w:customStyle="1" w:styleId="240">
    <w:name w:val="Char2 Char Char Char Char Char Char1"/>
    <w:basedOn w:val="1"/>
    <w:qFormat/>
    <w:uiPriority w:val="0"/>
    <w:pPr>
      <w:widowControl/>
      <w:spacing w:line="400" w:lineRule="exact"/>
      <w:jc w:val="center"/>
    </w:pPr>
  </w:style>
  <w:style w:type="character" w:customStyle="1" w:styleId="241">
    <w:name w:val="页脚 Char"/>
    <w:qFormat/>
    <w:uiPriority w:val="0"/>
    <w:rPr>
      <w:rFonts w:ascii="宋体" w:eastAsia="宋体"/>
      <w:sz w:val="18"/>
      <w:lang w:val="en-US" w:eastAsia="zh-CN" w:bidi="ar-SA"/>
    </w:rPr>
  </w:style>
  <w:style w:type="paragraph" w:customStyle="1" w:styleId="242">
    <w:name w:val="Char Char41"/>
    <w:basedOn w:val="1"/>
    <w:qFormat/>
    <w:uiPriority w:val="0"/>
    <w:pPr>
      <w:widowControl/>
      <w:spacing w:line="400" w:lineRule="exact"/>
      <w:jc w:val="center"/>
    </w:pPr>
  </w:style>
  <w:style w:type="character" w:customStyle="1" w:styleId="243">
    <w:name w:val="批注文字 Char"/>
    <w:qFormat/>
    <w:uiPriority w:val="99"/>
    <w:rPr>
      <w:kern w:val="2"/>
      <w:sz w:val="21"/>
      <w:szCs w:val="24"/>
    </w:rPr>
  </w:style>
  <w:style w:type="character" w:customStyle="1" w:styleId="244">
    <w:name w:val="标题 Char"/>
    <w:qFormat/>
    <w:uiPriority w:val="0"/>
    <w:rPr>
      <w:b/>
      <w:kern w:val="2"/>
      <w:sz w:val="32"/>
    </w:rPr>
  </w:style>
  <w:style w:type="paragraph" w:customStyle="1" w:styleId="245">
    <w:name w:val="图例"/>
    <w:basedOn w:val="1"/>
    <w:qFormat/>
    <w:uiPriority w:val="0"/>
    <w:pPr>
      <w:spacing w:before="120" w:after="120" w:line="360" w:lineRule="auto"/>
      <w:jc w:val="center"/>
    </w:pPr>
    <w:rPr>
      <w:rFonts w:eastAsia="仿宋_GB2312"/>
      <w:b/>
      <w:sz w:val="24"/>
      <w:szCs w:val="20"/>
    </w:rPr>
  </w:style>
  <w:style w:type="table" w:customStyle="1" w:styleId="246">
    <w:name w:val="Table Normal"/>
    <w:unhideWhenUsed/>
    <w:qFormat/>
    <w:uiPriority w:val="2"/>
    <w:pPr>
      <w:widowControl w:val="0"/>
      <w:autoSpaceDE w:val="0"/>
      <w:autoSpaceDN w:val="0"/>
    </w:pPr>
    <w:rPr>
      <w:rFonts w:ascii="Calibri" w:hAnsi="Calibri"/>
      <w:sz w:val="22"/>
      <w:szCs w:val="22"/>
      <w:lang w:val="en-US" w:eastAsia="en-US" w:bidi="ar-SA"/>
    </w:rPr>
    <w:tblPr>
      <w:tblCellMar>
        <w:top w:w="0" w:type="dxa"/>
        <w:left w:w="0" w:type="dxa"/>
        <w:bottom w:w="0" w:type="dxa"/>
        <w:right w:w="0" w:type="dxa"/>
      </w:tblCellMar>
    </w:tblPr>
  </w:style>
  <w:style w:type="paragraph" w:customStyle="1" w:styleId="247">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48">
    <w:name w:val="pf0"/>
    <w:basedOn w:val="1"/>
    <w:qFormat/>
    <w:uiPriority w:val="0"/>
    <w:pPr>
      <w:widowControl/>
      <w:spacing w:before="100" w:beforeAutospacing="1" w:after="100" w:afterAutospacing="1"/>
      <w:jc w:val="left"/>
    </w:pPr>
    <w:rPr>
      <w:rFonts w:ascii="宋体" w:hAnsi="宋体" w:cs="宋体"/>
      <w:kern w:val="0"/>
      <w:sz w:val="24"/>
    </w:rPr>
  </w:style>
  <w:style w:type="character" w:customStyle="1" w:styleId="249">
    <w:name w:val="cf01"/>
    <w:qFormat/>
    <w:uiPriority w:val="0"/>
    <w:rPr>
      <w:rFonts w:hint="eastAsia" w:ascii="Microsoft YaHei UI" w:hAnsi="Microsoft YaHei UI" w:eastAsia="Microsoft YaHei UI"/>
      <w:sz w:val="18"/>
      <w:szCs w:val="18"/>
    </w:rPr>
  </w:style>
  <w:style w:type="character" w:customStyle="1" w:styleId="250">
    <w:name w:val="cf21"/>
    <w:qFormat/>
    <w:uiPriority w:val="0"/>
    <w:rPr>
      <w:rFonts w:hint="eastAsia" w:ascii="Microsoft YaHei UI" w:hAnsi="Microsoft YaHei UI" w:eastAsia="Microsoft YaHei UI"/>
      <w:sz w:val="18"/>
      <w:szCs w:val="18"/>
      <w:shd w:val="clear" w:color="auto" w:fill="FFFFFF"/>
    </w:rPr>
  </w:style>
  <w:style w:type="character" w:customStyle="1" w:styleId="251">
    <w:name w:val="cf11"/>
    <w:qFormat/>
    <w:uiPriority w:val="0"/>
    <w:rPr>
      <w:rFonts w:hint="eastAsia" w:ascii="Microsoft YaHei UI" w:hAnsi="Microsoft YaHei UI" w:eastAsia="Microsoft YaHei UI"/>
      <w:sz w:val="18"/>
      <w:szCs w:val="18"/>
    </w:rPr>
  </w:style>
  <w:style w:type="character" w:customStyle="1" w:styleId="252">
    <w:name w:val="纯文本 Char2"/>
    <w:qFormat/>
    <w:uiPriority w:val="0"/>
    <w:rPr>
      <w:rFonts w:hint="eastAsia" w:ascii="宋体" w:hAnsi="Courier New" w:eastAsia="宋体" w:cs="宋体"/>
      <w:kern w:val="2"/>
      <w:sz w:val="21"/>
    </w:rPr>
  </w:style>
  <w:style w:type="paragraph" w:customStyle="1" w:styleId="253">
    <w:name w:val="Body text|1"/>
    <w:basedOn w:val="1"/>
    <w:qFormat/>
    <w:uiPriority w:val="0"/>
    <w:pPr>
      <w:spacing w:line="420" w:lineRule="auto"/>
      <w:ind w:firstLine="400"/>
    </w:pPr>
    <w:rPr>
      <w:rFonts w:ascii="宋体" w:hAnsi="宋体" w:cs="宋体"/>
      <w:sz w:val="22"/>
      <w:szCs w:val="22"/>
      <w:lang w:val="zh-TW" w:eastAsia="zh-TW" w:bidi="zh-TW"/>
    </w:rPr>
  </w:style>
  <w:style w:type="paragraph" w:customStyle="1" w:styleId="254">
    <w:name w:val="正文_0"/>
    <w:qFormat/>
    <w:uiPriority w:val="0"/>
    <w:pPr>
      <w:widowControl w:val="0"/>
      <w:jc w:val="both"/>
    </w:pPr>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3" Type="http://schemas.openxmlformats.org/officeDocument/2006/relationships/fontTable" Target="fontTable.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image" Target="media/image1.png"/><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8.xml"/><Relationship Id="rId17" Type="http://schemas.openxmlformats.org/officeDocument/2006/relationships/footer" Target="footer7.xml"/><Relationship Id="rId16" Type="http://schemas.openxmlformats.org/officeDocument/2006/relationships/header" Target="header8.xml"/><Relationship Id="rId15" Type="http://schemas.openxmlformats.org/officeDocument/2006/relationships/header" Target="header7.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6.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95</Pages>
  <Words>43238</Words>
  <Characters>45608</Characters>
  <Lines>286</Lines>
  <Paragraphs>80</Paragraphs>
  <TotalTime>7</TotalTime>
  <ScaleCrop>false</ScaleCrop>
  <LinksUpToDate>false</LinksUpToDate>
  <CharactersWithSpaces>47686</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2024-06-04T17:36:00Z</dcterms:created>
  <dc:creator>Yin Hao</dc:creator>
  <cp:lastModifiedBy>解解解大仁</cp:lastModifiedBy>
  <cp:lastPrinted>2020-04-01T11:13:00Z</cp:lastPrinted>
  <dcterms:modified xsi:type="dcterms:W3CDTF">2025-05-26T02:22:22Z</dcterms:modified>
  <dc:title>政府采购示范文本（2023）</dc:title>
  <cp:revision>46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9ED914CF19184B388261E0B32D42CD7A_13</vt:lpwstr>
  </property>
  <property fmtid="{D5CDD505-2E9C-101B-9397-08002B2CF9AE}" pid="4" name="KSOTemplateDocerSaveRecord">
    <vt:lpwstr>eyJoZGlkIjoiMDYwMzc1MjBlYTQ5NDA5ZmMyZTJlNTNhYTVmZWM0NzIiLCJ1c2VySWQiOiI0Mzc1NDEzMTkifQ==</vt:lpwstr>
  </property>
</Properties>
</file>