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C0447">
      <w:pPr>
        <w:pStyle w:val="2"/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社会组织审计服务（第1~6包）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6A6F38E2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2025-005</w:t>
      </w:r>
      <w:r>
        <w:rPr>
          <w:rFonts w:hint="eastAsia" w:ascii="Times New Roman" w:hAnsi="Times New Roman" w:eastAsia="宋体"/>
          <w:bCs/>
          <w:sz w:val="24"/>
          <w:szCs w:val="24"/>
        </w:rPr>
        <w:t>/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01~</w:t>
      </w: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06</w:t>
      </w:r>
    </w:p>
    <w:p w14:paraId="27D33AC1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社会组织审计服务（第1~6包）</w:t>
      </w:r>
    </w:p>
    <w:p w14:paraId="5C4177A9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tbl>
      <w:tblPr>
        <w:tblStyle w:val="16"/>
        <w:tblW w:w="107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2396"/>
        <w:gridCol w:w="2200"/>
        <w:gridCol w:w="2856"/>
        <w:gridCol w:w="1524"/>
        <w:gridCol w:w="1104"/>
      </w:tblGrid>
      <w:tr w14:paraId="4FBFC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1FBF5E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  <w:t>包号</w:t>
            </w:r>
          </w:p>
        </w:tc>
        <w:tc>
          <w:tcPr>
            <w:tcW w:w="2396" w:type="dxa"/>
            <w:vAlign w:val="center"/>
          </w:tcPr>
          <w:p w14:paraId="170492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  <w:t>供应商名称</w:t>
            </w:r>
          </w:p>
        </w:tc>
        <w:tc>
          <w:tcPr>
            <w:tcW w:w="2200" w:type="dxa"/>
            <w:vAlign w:val="center"/>
          </w:tcPr>
          <w:p w14:paraId="3D408A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</w:pPr>
            <w:r>
              <w:rPr>
                <w:rFonts w:hint="eastAsia" w:ascii="Times New Roman" w:hAnsi="Times New Roman" w:eastAsiaTheme="minorEastAsia"/>
                <w:b/>
                <w:bCs w:val="0"/>
                <w:sz w:val="21"/>
                <w:szCs w:val="21"/>
              </w:rPr>
              <w:t>统一社会信用代码</w:t>
            </w:r>
          </w:p>
        </w:tc>
        <w:tc>
          <w:tcPr>
            <w:tcW w:w="2856" w:type="dxa"/>
            <w:vAlign w:val="center"/>
          </w:tcPr>
          <w:p w14:paraId="43F51A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</w:rPr>
              <w:t>供应商地址</w:t>
            </w:r>
          </w:p>
        </w:tc>
        <w:tc>
          <w:tcPr>
            <w:tcW w:w="1524" w:type="dxa"/>
            <w:vAlign w:val="center"/>
          </w:tcPr>
          <w:p w14:paraId="61F410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  <w:highlight w:val="none"/>
              </w:rPr>
            </w:pPr>
            <w:r>
              <w:rPr>
                <w:rFonts w:ascii="Times New Roman" w:hAnsi="Times New Roman" w:eastAsiaTheme="minorEastAsia"/>
                <w:b/>
                <w:bCs w:val="0"/>
                <w:sz w:val="21"/>
                <w:szCs w:val="21"/>
                <w:highlight w:val="none"/>
              </w:rPr>
              <w:t>中标金额</w:t>
            </w:r>
          </w:p>
        </w:tc>
        <w:tc>
          <w:tcPr>
            <w:tcW w:w="1104" w:type="dxa"/>
            <w:vAlign w:val="center"/>
          </w:tcPr>
          <w:p w14:paraId="237E75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eastAsiaTheme="minorEastAsia"/>
                <w:b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/>
                <w:bCs w:val="0"/>
                <w:sz w:val="21"/>
                <w:szCs w:val="21"/>
                <w:highlight w:val="none"/>
                <w:lang w:val="en-US" w:eastAsia="zh-CN"/>
              </w:rPr>
              <w:t>评审得分</w:t>
            </w:r>
          </w:p>
        </w:tc>
      </w:tr>
      <w:tr w14:paraId="426A8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09139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01</w:t>
            </w:r>
          </w:p>
        </w:tc>
        <w:tc>
          <w:tcPr>
            <w:tcW w:w="2396" w:type="dxa"/>
            <w:shd w:val="clear" w:color="auto" w:fill="auto"/>
            <w:vAlign w:val="center"/>
          </w:tcPr>
          <w:p w14:paraId="2784A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北京罗马禾会计师事务所（普通合伙）</w:t>
            </w:r>
          </w:p>
        </w:tc>
        <w:tc>
          <w:tcPr>
            <w:tcW w:w="2200" w:type="dxa"/>
            <w:vAlign w:val="center"/>
          </w:tcPr>
          <w:p w14:paraId="7E2E5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91110108MA01MF3X8K</w:t>
            </w:r>
          </w:p>
        </w:tc>
        <w:tc>
          <w:tcPr>
            <w:tcW w:w="2856" w:type="dxa"/>
            <w:vAlign w:val="center"/>
          </w:tcPr>
          <w:p w14:paraId="08C45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北京市海淀区上地三街9号D座9层D904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3098A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￥332,450.00</w:t>
            </w:r>
          </w:p>
        </w:tc>
        <w:tc>
          <w:tcPr>
            <w:tcW w:w="1104" w:type="dxa"/>
            <w:vAlign w:val="center"/>
          </w:tcPr>
          <w:p w14:paraId="65BD4A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eastAsia" w:ascii="Times New Roman" w:hAnsi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  <w:t>89.17</w:t>
            </w:r>
          </w:p>
        </w:tc>
      </w:tr>
      <w:tr w14:paraId="54D7A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64E62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02</w:t>
            </w:r>
          </w:p>
        </w:tc>
        <w:tc>
          <w:tcPr>
            <w:tcW w:w="2396" w:type="dxa"/>
            <w:vAlign w:val="center"/>
          </w:tcPr>
          <w:p w14:paraId="34642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北京和兴会计师事务所有限责任公司</w:t>
            </w:r>
          </w:p>
        </w:tc>
        <w:tc>
          <w:tcPr>
            <w:tcW w:w="2200" w:type="dxa"/>
            <w:vAlign w:val="center"/>
          </w:tcPr>
          <w:p w14:paraId="4C360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911101087877553933</w:t>
            </w:r>
          </w:p>
        </w:tc>
        <w:tc>
          <w:tcPr>
            <w:tcW w:w="2856" w:type="dxa"/>
            <w:vAlign w:val="center"/>
          </w:tcPr>
          <w:p w14:paraId="40F41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北京市海淀区西四环北路158号1幢1111室</w:t>
            </w:r>
          </w:p>
        </w:tc>
        <w:tc>
          <w:tcPr>
            <w:tcW w:w="1524" w:type="dxa"/>
            <w:vAlign w:val="center"/>
          </w:tcPr>
          <w:p w14:paraId="6CAE1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￥235,125.00</w:t>
            </w:r>
          </w:p>
        </w:tc>
        <w:tc>
          <w:tcPr>
            <w:tcW w:w="1104" w:type="dxa"/>
            <w:vAlign w:val="center"/>
          </w:tcPr>
          <w:p w14:paraId="03FDFA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ascii="Times New Roman" w:hAnsi="Times New Roman" w:eastAsiaTheme="minorEastAsia"/>
                <w:b w:val="0"/>
                <w:bCs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  <w:t>88.12</w:t>
            </w:r>
          </w:p>
        </w:tc>
      </w:tr>
      <w:tr w14:paraId="166F2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0924E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03</w:t>
            </w:r>
          </w:p>
        </w:tc>
        <w:tc>
          <w:tcPr>
            <w:tcW w:w="2396" w:type="dxa"/>
            <w:vAlign w:val="center"/>
          </w:tcPr>
          <w:p w14:paraId="43B3D6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北京晟灿政通会计师事务所（普通合伙）</w:t>
            </w:r>
          </w:p>
        </w:tc>
        <w:tc>
          <w:tcPr>
            <w:tcW w:w="2200" w:type="dxa"/>
            <w:vAlign w:val="center"/>
          </w:tcPr>
          <w:p w14:paraId="56DB0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911101053442473144</w:t>
            </w:r>
          </w:p>
        </w:tc>
        <w:tc>
          <w:tcPr>
            <w:tcW w:w="2856" w:type="dxa"/>
            <w:vAlign w:val="center"/>
          </w:tcPr>
          <w:p w14:paraId="46D1CE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北京市海淀区车公庄西路乙19号16层1607</w:t>
            </w:r>
          </w:p>
        </w:tc>
        <w:tc>
          <w:tcPr>
            <w:tcW w:w="1524" w:type="dxa"/>
            <w:vAlign w:val="center"/>
          </w:tcPr>
          <w:p w14:paraId="71DB2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￥250,000.00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50BF2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87.02</w:t>
            </w:r>
          </w:p>
        </w:tc>
      </w:tr>
      <w:tr w14:paraId="267CD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1982A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04</w:t>
            </w:r>
          </w:p>
        </w:tc>
        <w:tc>
          <w:tcPr>
            <w:tcW w:w="2396" w:type="dxa"/>
            <w:vAlign w:val="center"/>
          </w:tcPr>
          <w:p w14:paraId="71A55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北京中崇信会计师事务所有限责任公司</w:t>
            </w:r>
          </w:p>
        </w:tc>
        <w:tc>
          <w:tcPr>
            <w:tcW w:w="2200" w:type="dxa"/>
            <w:vAlign w:val="center"/>
          </w:tcPr>
          <w:p w14:paraId="66634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911101056675007753</w:t>
            </w:r>
          </w:p>
        </w:tc>
        <w:tc>
          <w:tcPr>
            <w:tcW w:w="2856" w:type="dxa"/>
            <w:vAlign w:val="center"/>
          </w:tcPr>
          <w:p w14:paraId="396DEF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北京市朝阳区慧忠里103楼10层1013</w:t>
            </w:r>
          </w:p>
        </w:tc>
        <w:tc>
          <w:tcPr>
            <w:tcW w:w="1524" w:type="dxa"/>
            <w:vAlign w:val="center"/>
          </w:tcPr>
          <w:p w14:paraId="5BF01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240,000.00</w:t>
            </w:r>
          </w:p>
        </w:tc>
        <w:tc>
          <w:tcPr>
            <w:tcW w:w="1104" w:type="dxa"/>
            <w:vAlign w:val="center"/>
          </w:tcPr>
          <w:p w14:paraId="228347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eastAsiaTheme="minorEastAsia"/>
                <w:b w:val="0"/>
                <w:bCs/>
                <w:sz w:val="21"/>
                <w:szCs w:val="21"/>
                <w:highlight w:val="none"/>
                <w:lang w:val="en-US"/>
              </w:rPr>
            </w:pPr>
            <w:r>
              <w:rPr>
                <w:rFonts w:hint="default" w:ascii="Times New Roman" w:hAnsi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  <w:t>90.76</w:t>
            </w:r>
          </w:p>
        </w:tc>
      </w:tr>
      <w:tr w14:paraId="69A27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5EB74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05</w:t>
            </w:r>
          </w:p>
        </w:tc>
        <w:tc>
          <w:tcPr>
            <w:tcW w:w="2396" w:type="dxa"/>
            <w:vAlign w:val="center"/>
          </w:tcPr>
          <w:p w14:paraId="22A93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北京中资信达会计师事务所有限公司</w:t>
            </w:r>
          </w:p>
        </w:tc>
        <w:tc>
          <w:tcPr>
            <w:tcW w:w="2200" w:type="dxa"/>
            <w:vAlign w:val="center"/>
          </w:tcPr>
          <w:p w14:paraId="5F5E8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91110108764246246D</w:t>
            </w:r>
          </w:p>
        </w:tc>
        <w:tc>
          <w:tcPr>
            <w:tcW w:w="2856" w:type="dxa"/>
            <w:vAlign w:val="center"/>
          </w:tcPr>
          <w:p w14:paraId="6E5EF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北京市丰台区海鹰路1号院2号楼6层1-13内618室</w:t>
            </w:r>
          </w:p>
        </w:tc>
        <w:tc>
          <w:tcPr>
            <w:tcW w:w="1524" w:type="dxa"/>
            <w:shd w:val="clear" w:color="auto" w:fill="auto"/>
            <w:vAlign w:val="center"/>
          </w:tcPr>
          <w:p w14:paraId="7D5D2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￥315,000.00</w:t>
            </w:r>
          </w:p>
        </w:tc>
        <w:tc>
          <w:tcPr>
            <w:tcW w:w="1104" w:type="dxa"/>
            <w:vAlign w:val="center"/>
          </w:tcPr>
          <w:p w14:paraId="66DAE8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  <w:t>88.06</w:t>
            </w:r>
          </w:p>
        </w:tc>
      </w:tr>
      <w:tr w14:paraId="26F08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1" w:type="dxa"/>
            <w:vAlign w:val="center"/>
          </w:tcPr>
          <w:p w14:paraId="76A33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06</w:t>
            </w:r>
          </w:p>
        </w:tc>
        <w:tc>
          <w:tcPr>
            <w:tcW w:w="2396" w:type="dxa"/>
            <w:vAlign w:val="center"/>
          </w:tcPr>
          <w:p w14:paraId="72E8D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信大茂通（北京）会计师事务所有限公司</w:t>
            </w:r>
          </w:p>
        </w:tc>
        <w:tc>
          <w:tcPr>
            <w:tcW w:w="2200" w:type="dxa"/>
            <w:vAlign w:val="center"/>
          </w:tcPr>
          <w:p w14:paraId="4C746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91110108755287732N</w:t>
            </w:r>
          </w:p>
        </w:tc>
        <w:tc>
          <w:tcPr>
            <w:tcW w:w="2856" w:type="dxa"/>
            <w:vAlign w:val="center"/>
          </w:tcPr>
          <w:p w14:paraId="36B2B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北京市海淀区知春路1号9层905G</w:t>
            </w:r>
          </w:p>
        </w:tc>
        <w:tc>
          <w:tcPr>
            <w:tcW w:w="1524" w:type="dxa"/>
            <w:vAlign w:val="center"/>
          </w:tcPr>
          <w:p w14:paraId="3CCE2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￥114,800.00</w:t>
            </w:r>
          </w:p>
        </w:tc>
        <w:tc>
          <w:tcPr>
            <w:tcW w:w="1104" w:type="dxa"/>
            <w:vAlign w:val="center"/>
          </w:tcPr>
          <w:p w14:paraId="7B950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eastAsiaTheme="minorEastAsia"/>
                <w:b w:val="0"/>
                <w:bCs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Times New Roman" w:hAnsi="Times New Roman" w:cs="Times New Roman" w:eastAsiaTheme="minorEastAsia"/>
                <w:b w:val="0"/>
                <w:bCs/>
                <w:sz w:val="21"/>
                <w:szCs w:val="21"/>
                <w:highlight w:val="none"/>
                <w:lang w:val="en-US" w:eastAsia="zh-CN"/>
              </w:rPr>
              <w:t>83.11</w:t>
            </w:r>
          </w:p>
        </w:tc>
      </w:tr>
    </w:tbl>
    <w:p w14:paraId="49AAB1E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4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2097"/>
        <w:gridCol w:w="676"/>
        <w:gridCol w:w="6138"/>
        <w:gridCol w:w="1580"/>
      </w:tblGrid>
      <w:tr w14:paraId="17378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5B79CE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包号</w:t>
            </w:r>
          </w:p>
        </w:tc>
        <w:tc>
          <w:tcPr>
            <w:tcW w:w="958" w:type="pct"/>
            <w:vAlign w:val="center"/>
          </w:tcPr>
          <w:p w14:paraId="281C76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标的名称</w:t>
            </w:r>
          </w:p>
        </w:tc>
        <w:tc>
          <w:tcPr>
            <w:tcW w:w="309" w:type="pct"/>
            <w:vAlign w:val="center"/>
          </w:tcPr>
          <w:p w14:paraId="1CE20C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数量</w:t>
            </w:r>
          </w:p>
        </w:tc>
        <w:tc>
          <w:tcPr>
            <w:tcW w:w="2804" w:type="pct"/>
            <w:vAlign w:val="center"/>
          </w:tcPr>
          <w:p w14:paraId="74E54A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服务范围、服务要求、服务标准</w:t>
            </w:r>
          </w:p>
        </w:tc>
        <w:tc>
          <w:tcPr>
            <w:tcW w:w="722" w:type="pct"/>
            <w:vAlign w:val="center"/>
          </w:tcPr>
          <w:p w14:paraId="4F2DD8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sz w:val="22"/>
                <w:szCs w:val="22"/>
              </w:rPr>
              <w:t>服务时间</w:t>
            </w:r>
          </w:p>
        </w:tc>
      </w:tr>
      <w:tr w14:paraId="50F8C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3C3EA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01</w:t>
            </w:r>
          </w:p>
        </w:tc>
        <w:tc>
          <w:tcPr>
            <w:tcW w:w="958" w:type="pct"/>
            <w:vAlign w:val="center"/>
          </w:tcPr>
          <w:p w14:paraId="62B85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eastAsia="zh-CN"/>
              </w:rPr>
              <w:t>北京市市级行业协会商会、中关村社会团体抽查审计</w:t>
            </w:r>
          </w:p>
        </w:tc>
        <w:tc>
          <w:tcPr>
            <w:tcW w:w="309" w:type="pct"/>
            <w:vAlign w:val="center"/>
          </w:tcPr>
          <w:p w14:paraId="53181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804" w:type="pct"/>
            <w:vAlign w:val="center"/>
          </w:tcPr>
          <w:p w14:paraId="581E8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对6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家北京市市级行业协会商会、中关村社会团体就2024会计年度开展抽查审计工作，出具真实、合</w:t>
            </w:r>
            <w:bookmarkStart w:id="6" w:name="_GoBack"/>
            <w:bookmarkEnd w:id="6"/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法、客观、公正的审计结果，撰写第1包抽查审计结项报告（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详见招标文件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）。</w:t>
            </w:r>
          </w:p>
        </w:tc>
        <w:tc>
          <w:tcPr>
            <w:tcW w:w="722" w:type="pct"/>
            <w:vAlign w:val="center"/>
          </w:tcPr>
          <w:p w14:paraId="3D391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自合同签订之日起至2025年09月30日。</w:t>
            </w:r>
          </w:p>
        </w:tc>
      </w:tr>
      <w:tr w14:paraId="33385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71BC5E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02</w:t>
            </w:r>
          </w:p>
        </w:tc>
        <w:tc>
          <w:tcPr>
            <w:tcW w:w="958" w:type="pct"/>
            <w:vAlign w:val="center"/>
          </w:tcPr>
          <w:p w14:paraId="65C6F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eastAsia="zh-CN"/>
              </w:rPr>
              <w:t>北京市市级专业类、学术类、联合类社会团体抽查审计</w:t>
            </w:r>
          </w:p>
        </w:tc>
        <w:tc>
          <w:tcPr>
            <w:tcW w:w="309" w:type="pct"/>
            <w:vAlign w:val="center"/>
          </w:tcPr>
          <w:p w14:paraId="7A459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804" w:type="pct"/>
            <w:vAlign w:val="center"/>
          </w:tcPr>
          <w:p w14:paraId="6E305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对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45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家北京市市级专业类、学术类、联合类社会团体就2024会计年度开展抽查审计工作，出具真实、合法、客观、公正的审计结果，撰写第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包抽查审计结项汇总报告（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详见招标文件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）。</w:t>
            </w:r>
          </w:p>
        </w:tc>
        <w:tc>
          <w:tcPr>
            <w:tcW w:w="722" w:type="pct"/>
            <w:vAlign w:val="center"/>
          </w:tcPr>
          <w:p w14:paraId="6D1862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自合同签订之日起至2025年09月30日。</w:t>
            </w:r>
          </w:p>
        </w:tc>
      </w:tr>
      <w:tr w14:paraId="5EBFB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41FBE8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03</w:t>
            </w:r>
          </w:p>
        </w:tc>
        <w:tc>
          <w:tcPr>
            <w:tcW w:w="958" w:type="pct"/>
            <w:vAlign w:val="center"/>
          </w:tcPr>
          <w:p w14:paraId="2F21F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eastAsia="zh-CN"/>
              </w:rPr>
              <w:t>北京市市级社会服务机构（民办非企业单位）抽查审计</w:t>
            </w:r>
          </w:p>
        </w:tc>
        <w:tc>
          <w:tcPr>
            <w:tcW w:w="309" w:type="pct"/>
            <w:vAlign w:val="center"/>
          </w:tcPr>
          <w:p w14:paraId="7D227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804" w:type="pct"/>
            <w:vAlign w:val="center"/>
          </w:tcPr>
          <w:p w14:paraId="3208D3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对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40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家北京市市级社会服务机构（民办非企业单位）就2023、2024会计年度开展抽查审计工作，出具真实、合法、客观、公正的审计结果，撰写第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包抽查审计结项报告及第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包抽查审计结项汇总报告（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详见招标文件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）。</w:t>
            </w:r>
          </w:p>
        </w:tc>
        <w:tc>
          <w:tcPr>
            <w:tcW w:w="722" w:type="pct"/>
            <w:vAlign w:val="center"/>
          </w:tcPr>
          <w:p w14:paraId="238F3E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自合同签订之日起至2025年09月30日。</w:t>
            </w:r>
          </w:p>
        </w:tc>
      </w:tr>
      <w:tr w14:paraId="0CC1E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255E09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04</w:t>
            </w:r>
          </w:p>
        </w:tc>
        <w:tc>
          <w:tcPr>
            <w:tcW w:w="958" w:type="pct"/>
            <w:vAlign w:val="center"/>
          </w:tcPr>
          <w:p w14:paraId="359C3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eastAsia="zh-CN"/>
              </w:rPr>
              <w:t>北京市市级社会服务机构（民办非企业单位）抽查审计</w:t>
            </w:r>
          </w:p>
        </w:tc>
        <w:tc>
          <w:tcPr>
            <w:tcW w:w="309" w:type="pct"/>
            <w:vAlign w:val="center"/>
          </w:tcPr>
          <w:p w14:paraId="521EE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804" w:type="pct"/>
            <w:vAlign w:val="center"/>
          </w:tcPr>
          <w:p w14:paraId="0753DD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对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40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家北京市市级社会服务机构（民办非企业单位）就2023、2024会计年度开展抽查审计工作，出具真实、合法、客观、公正的审计结果，撰写第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包抽查审计结项报告，配合第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包完成抽查审计结项汇总报告（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详见招标文件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）。</w:t>
            </w:r>
          </w:p>
        </w:tc>
        <w:tc>
          <w:tcPr>
            <w:tcW w:w="722" w:type="pct"/>
            <w:vAlign w:val="center"/>
          </w:tcPr>
          <w:p w14:paraId="352EB4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自合同签订之日起至2025年09月30日。</w:t>
            </w:r>
          </w:p>
        </w:tc>
      </w:tr>
      <w:tr w14:paraId="2E6A0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366D98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05</w:t>
            </w:r>
          </w:p>
        </w:tc>
        <w:tc>
          <w:tcPr>
            <w:tcW w:w="958" w:type="pct"/>
            <w:vAlign w:val="center"/>
          </w:tcPr>
          <w:p w14:paraId="1741D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eastAsia="zh-CN"/>
              </w:rPr>
              <w:t>北京市基金会抽查审计</w:t>
            </w:r>
          </w:p>
        </w:tc>
        <w:tc>
          <w:tcPr>
            <w:tcW w:w="309" w:type="pct"/>
            <w:vAlign w:val="center"/>
          </w:tcPr>
          <w:p w14:paraId="60280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804" w:type="pct"/>
            <w:vAlign w:val="center"/>
          </w:tcPr>
          <w:p w14:paraId="52FEEA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对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45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家北京市基金会就2023、2024会计年度开展抽查审计工作，出具真实、合法、客观、公正的审计结果，撰写第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包抽查审计结项报告（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详见招标文件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）。</w:t>
            </w:r>
          </w:p>
        </w:tc>
        <w:tc>
          <w:tcPr>
            <w:tcW w:w="722" w:type="pct"/>
            <w:vAlign w:val="center"/>
          </w:tcPr>
          <w:p w14:paraId="3A217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自合同签订之日起至2025年09月30日。</w:t>
            </w:r>
          </w:p>
        </w:tc>
      </w:tr>
      <w:tr w14:paraId="3A4EE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4" w:type="pct"/>
            <w:vAlign w:val="center"/>
          </w:tcPr>
          <w:p w14:paraId="732D15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  <w:t>06</w:t>
            </w:r>
          </w:p>
        </w:tc>
        <w:tc>
          <w:tcPr>
            <w:tcW w:w="958" w:type="pct"/>
            <w:vAlign w:val="center"/>
          </w:tcPr>
          <w:p w14:paraId="1D1DD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eastAsia="zh-CN"/>
              </w:rPr>
              <w:t>联合党委社会组织党建经费审计</w:t>
            </w:r>
          </w:p>
        </w:tc>
        <w:tc>
          <w:tcPr>
            <w:tcW w:w="309" w:type="pct"/>
            <w:vAlign w:val="center"/>
          </w:tcPr>
          <w:p w14:paraId="7267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2"/>
                <w:szCs w:val="22"/>
                <w:lang w:val="en-US" w:eastAsia="zh-CN"/>
              </w:rPr>
              <w:t>1项服务</w:t>
            </w:r>
          </w:p>
        </w:tc>
        <w:tc>
          <w:tcPr>
            <w:tcW w:w="2804" w:type="pct"/>
            <w:vAlign w:val="center"/>
          </w:tcPr>
          <w:p w14:paraId="220BB4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对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highlight w:val="none"/>
                <w:lang w:eastAsia="zh-CN"/>
              </w:rPr>
              <w:t>1家联合党委开展联合党委社会组织党建经费审计工作，出具真实、合法、客观、公正的审计报告，向采购人提出监管建议，并出具每个被审计联合党委的审计报告、管理建议书，撰写联合党委社会组织党建经费审计结项报告、问题台账汇总表、结余资金汇总表。审计期间为2024会计年度（如有必要可进行延伸审计）（详见招标文件）。</w:t>
            </w:r>
          </w:p>
        </w:tc>
        <w:tc>
          <w:tcPr>
            <w:tcW w:w="722" w:type="pct"/>
            <w:vAlign w:val="center"/>
          </w:tcPr>
          <w:p w14:paraId="59F15A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</w:rPr>
              <w:t>自合同签订之日起至2025年09月30日。</w:t>
            </w:r>
          </w:p>
        </w:tc>
      </w:tr>
    </w:tbl>
    <w:p w14:paraId="186B8FF4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color w:val="0000FF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李文霞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武雪萍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郑乐明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蔡建强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马璇</w:t>
      </w:r>
    </w:p>
    <w:p w14:paraId="715774C9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</w:t>
      </w:r>
      <w:r>
        <w:rPr>
          <w:rFonts w:ascii="Times New Roman" w:hAnsi="Times New Roman" w:eastAsia="宋体"/>
          <w:sz w:val="24"/>
          <w:szCs w:val="24"/>
          <w:highlight w:val="none"/>
        </w:rPr>
        <w:t>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2.2311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sz w:val="24"/>
          <w:szCs w:val="24"/>
        </w:rPr>
        <w:t>（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第</w:t>
      </w:r>
      <w:r>
        <w:rPr>
          <w:rFonts w:ascii="Times New Roman" w:hAnsi="Times New Roman" w:eastAsia="宋体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498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7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2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352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7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3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375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4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36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5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4725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；第</w:t>
      </w:r>
      <w:r>
        <w:rPr>
          <w:rFonts w:ascii="Times New Roman" w:hAnsi="Times New Roman" w:eastAsia="宋体"/>
          <w:sz w:val="24"/>
          <w:szCs w:val="24"/>
          <w:highlight w:val="none"/>
        </w:rPr>
        <w:t>6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包：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0.</w:t>
      </w:r>
      <w:r>
        <w:rPr>
          <w:rFonts w:hint="eastAsia" w:ascii="Times New Roman" w:hAnsi="Times New Roman" w:eastAsia="宋体"/>
          <w:sz w:val="24"/>
          <w:szCs w:val="24"/>
        </w:rPr>
        <w:t>1722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sz w:val="24"/>
          <w:szCs w:val="24"/>
          <w:highlight w:val="none"/>
        </w:rPr>
        <w:t>元）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；</w:t>
      </w:r>
      <w:r>
        <w:rPr>
          <w:rFonts w:ascii="Times New Roman" w:hAnsi="Times New Roman" w:eastAsia="宋体"/>
          <w:sz w:val="24"/>
          <w:szCs w:val="24"/>
        </w:rPr>
        <w:t>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07C3005D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3B8F0B2E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066E8B3A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6E52634F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4D01943F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default" w:ascii="Times New Roman" w:hAnsi="Times New Roman" w:eastAsia="宋体"/>
          <w:bCs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2025-005</w:t>
      </w:r>
      <w:r>
        <w:rPr>
          <w:rFonts w:hint="eastAsia" w:ascii="Times New Roman" w:hAnsi="Times New Roman" w:eastAsia="宋体"/>
          <w:bCs/>
          <w:sz w:val="24"/>
          <w:szCs w:val="24"/>
        </w:rPr>
        <w:t>/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01~</w:t>
      </w:r>
      <w:r>
        <w:rPr>
          <w:rFonts w:hint="eastAsia" w:ascii="Times New Roman" w:hAnsi="Times New Roman" w:eastAsia="宋体"/>
          <w:bCs/>
          <w:sz w:val="24"/>
          <w:szCs w:val="24"/>
          <w:lang w:val="en-US" w:eastAsia="zh-CN"/>
        </w:rPr>
        <w:t>06</w:t>
      </w:r>
    </w:p>
    <w:p w14:paraId="091388EB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28359023"/>
      <w:bookmarkStart w:id="4" w:name="_Toc35393641"/>
      <w:bookmarkStart w:id="5" w:name="_Toc35393810"/>
    </w:p>
    <w:bookmarkEnd w:id="2"/>
    <w:bookmarkEnd w:id="3"/>
    <w:bookmarkEnd w:id="4"/>
    <w:bookmarkEnd w:id="5"/>
    <w:p w14:paraId="491EE52E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282D40F6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名称：北京市社会组织管理中心</w:t>
      </w:r>
    </w:p>
    <w:p w14:paraId="7802598A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地址：北京市通州区留庄路4号院2号楼</w:t>
      </w:r>
    </w:p>
    <w:p w14:paraId="25715D55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  <w:lang w:val="en-US" w:eastAsia="zh-CN"/>
        </w:rPr>
        <w:t>孙老师，010-55521989</w:t>
      </w:r>
    </w:p>
    <w:p w14:paraId="6EA8850A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 w14:paraId="3C07C78C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55B7F074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 3号楼9层</w:t>
      </w:r>
    </w:p>
    <w:p w14:paraId="20703C9C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联系方式：李辰、王秋凌，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010-65173825、65699122、65244483</w:t>
      </w:r>
    </w:p>
    <w:p w14:paraId="136C580C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 w14:paraId="028E4AE9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项目联系人：李辰、王秋凌</w:t>
      </w:r>
    </w:p>
    <w:p w14:paraId="52D3354C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010-65173825、65699122、65244483</w:t>
      </w:r>
    </w:p>
    <w:p w14:paraId="216CFBCF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8942CF5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473BD2B2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</w:t>
      </w:r>
      <w:r>
        <w:rPr>
          <w:rFonts w:ascii="Times New Roman" w:hAnsi="Times New Roman" w:eastAsia="宋体"/>
          <w:kern w:val="0"/>
          <w:sz w:val="24"/>
          <w:szCs w:val="24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OWQwNGQ1OGJjNGQ2M2RmZDE2OTE0OWUzNTM4N2UyODUifQ=="/>
  </w:docVars>
  <w:rsids>
    <w:rsidRoot w:val="004D1179"/>
    <w:rsid w:val="00051475"/>
    <w:rsid w:val="000C6648"/>
    <w:rsid w:val="00141DC4"/>
    <w:rsid w:val="001A13B8"/>
    <w:rsid w:val="001A6B94"/>
    <w:rsid w:val="00216DE1"/>
    <w:rsid w:val="00276863"/>
    <w:rsid w:val="002D5279"/>
    <w:rsid w:val="003F049F"/>
    <w:rsid w:val="0041710E"/>
    <w:rsid w:val="004778F5"/>
    <w:rsid w:val="004818B1"/>
    <w:rsid w:val="004B3529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877F2A"/>
    <w:rsid w:val="009B6F26"/>
    <w:rsid w:val="009E442F"/>
    <w:rsid w:val="00A06B46"/>
    <w:rsid w:val="00A42D63"/>
    <w:rsid w:val="00A55884"/>
    <w:rsid w:val="00A83878"/>
    <w:rsid w:val="00A858CB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2083ACE"/>
    <w:rsid w:val="03B926DB"/>
    <w:rsid w:val="04CD4AB8"/>
    <w:rsid w:val="07262C9A"/>
    <w:rsid w:val="0A5E2D20"/>
    <w:rsid w:val="0CB52FD7"/>
    <w:rsid w:val="0E653000"/>
    <w:rsid w:val="0F026464"/>
    <w:rsid w:val="0FFD5273"/>
    <w:rsid w:val="10120204"/>
    <w:rsid w:val="12171490"/>
    <w:rsid w:val="15F20593"/>
    <w:rsid w:val="193900D7"/>
    <w:rsid w:val="1AA14D38"/>
    <w:rsid w:val="1E530D63"/>
    <w:rsid w:val="1FBD191B"/>
    <w:rsid w:val="20DE6C42"/>
    <w:rsid w:val="21C91D49"/>
    <w:rsid w:val="23B11E58"/>
    <w:rsid w:val="23D1633F"/>
    <w:rsid w:val="241F24F1"/>
    <w:rsid w:val="251972CD"/>
    <w:rsid w:val="27E35043"/>
    <w:rsid w:val="293D309F"/>
    <w:rsid w:val="29BA425A"/>
    <w:rsid w:val="29C5081E"/>
    <w:rsid w:val="31C115D3"/>
    <w:rsid w:val="337106C3"/>
    <w:rsid w:val="33AF1CC5"/>
    <w:rsid w:val="36CE35D9"/>
    <w:rsid w:val="373F7FE3"/>
    <w:rsid w:val="380725D5"/>
    <w:rsid w:val="396D45D2"/>
    <w:rsid w:val="3AC10AFB"/>
    <w:rsid w:val="3C651329"/>
    <w:rsid w:val="3D134466"/>
    <w:rsid w:val="4372551C"/>
    <w:rsid w:val="447C5A84"/>
    <w:rsid w:val="473442D3"/>
    <w:rsid w:val="47CD5197"/>
    <w:rsid w:val="4C4B52F4"/>
    <w:rsid w:val="4ECA497F"/>
    <w:rsid w:val="51714D12"/>
    <w:rsid w:val="51F97081"/>
    <w:rsid w:val="51FF51C4"/>
    <w:rsid w:val="546B750E"/>
    <w:rsid w:val="562437A5"/>
    <w:rsid w:val="59CA21A6"/>
    <w:rsid w:val="5B856852"/>
    <w:rsid w:val="5C787ACA"/>
    <w:rsid w:val="5CB219E1"/>
    <w:rsid w:val="60FD3BA3"/>
    <w:rsid w:val="62F8428B"/>
    <w:rsid w:val="667A21AA"/>
    <w:rsid w:val="67344870"/>
    <w:rsid w:val="676F546D"/>
    <w:rsid w:val="73874C3F"/>
    <w:rsid w:val="75BE4C11"/>
    <w:rsid w:val="781C7EF9"/>
    <w:rsid w:val="79AF166A"/>
    <w:rsid w:val="7B6B5A75"/>
    <w:rsid w:val="7EA340ED"/>
    <w:rsid w:val="7EF11DCD"/>
    <w:rsid w:val="7FE94C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31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8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8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9">
    <w:name w:val="Body Text Indent"/>
    <w:basedOn w:val="1"/>
    <w:next w:val="10"/>
    <w:qFormat/>
    <w:uiPriority w:val="0"/>
    <w:pPr>
      <w:spacing w:line="360" w:lineRule="auto"/>
      <w:ind w:firstLine="570"/>
    </w:pPr>
    <w:rPr>
      <w:sz w:val="24"/>
    </w:rPr>
  </w:style>
  <w:style w:type="paragraph" w:customStyle="1" w:styleId="10">
    <w:name w:val="样式 正文文本缩进 + 左  0 字符"/>
    <w:basedOn w:val="1"/>
    <w:next w:val="11"/>
    <w:autoRedefine/>
    <w:qFormat/>
    <w:uiPriority w:val="99"/>
    <w:pPr>
      <w:spacing w:line="360" w:lineRule="auto"/>
      <w:ind w:firstLine="250" w:firstLineChars="250"/>
    </w:pPr>
    <w:rPr>
      <w:rFonts w:cs="宋体"/>
      <w:kern w:val="0"/>
      <w:sz w:val="24"/>
      <w:szCs w:val="20"/>
    </w:rPr>
  </w:style>
  <w:style w:type="paragraph" w:styleId="11">
    <w:name w:val="Balloon Text"/>
    <w:basedOn w:val="1"/>
    <w:link w:val="32"/>
    <w:semiHidden/>
    <w:qFormat/>
    <w:uiPriority w:val="99"/>
    <w:rPr>
      <w:sz w:val="18"/>
      <w:szCs w:val="18"/>
    </w:rPr>
  </w:style>
  <w:style w:type="paragraph" w:styleId="12">
    <w:name w:val="Plain Text"/>
    <w:basedOn w:val="1"/>
    <w:link w:val="30"/>
    <w:qFormat/>
    <w:uiPriority w:val="99"/>
    <w:rPr>
      <w:rFonts w:ascii="宋体" w:hAnsi="Courier New"/>
    </w:rPr>
  </w:style>
  <w:style w:type="paragraph" w:styleId="13">
    <w:name w:val="footer"/>
    <w:basedOn w:val="1"/>
    <w:link w:val="3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6">
    <w:name w:val="Table Grid"/>
    <w:basedOn w:val="15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locked/>
    <w:uiPriority w:val="0"/>
  </w:style>
  <w:style w:type="character" w:styleId="19">
    <w:name w:val="FollowedHyperlink"/>
    <w:basedOn w:val="17"/>
    <w:semiHidden/>
    <w:unhideWhenUsed/>
    <w:qFormat/>
    <w:uiPriority w:val="99"/>
    <w:rPr>
      <w:color w:val="000000"/>
      <w:u w:val="none"/>
    </w:rPr>
  </w:style>
  <w:style w:type="character" w:styleId="20">
    <w:name w:val="Emphasis"/>
    <w:basedOn w:val="17"/>
    <w:qFormat/>
    <w:locked/>
    <w:uiPriority w:val="0"/>
    <w:rPr>
      <w:color w:val="555555"/>
      <w:sz w:val="22"/>
      <w:szCs w:val="22"/>
    </w:rPr>
  </w:style>
  <w:style w:type="character" w:styleId="21">
    <w:name w:val="HTML Definition"/>
    <w:basedOn w:val="17"/>
    <w:semiHidden/>
    <w:unhideWhenUsed/>
    <w:qFormat/>
    <w:uiPriority w:val="99"/>
  </w:style>
  <w:style w:type="character" w:styleId="22">
    <w:name w:val="HTML Acronym"/>
    <w:basedOn w:val="17"/>
    <w:semiHidden/>
    <w:unhideWhenUsed/>
    <w:qFormat/>
    <w:uiPriority w:val="99"/>
  </w:style>
  <w:style w:type="character" w:styleId="23">
    <w:name w:val="HTML Variable"/>
    <w:basedOn w:val="17"/>
    <w:semiHidden/>
    <w:unhideWhenUsed/>
    <w:qFormat/>
    <w:uiPriority w:val="99"/>
  </w:style>
  <w:style w:type="character" w:styleId="24">
    <w:name w:val="Hyperlink"/>
    <w:basedOn w:val="17"/>
    <w:semiHidden/>
    <w:unhideWhenUsed/>
    <w:qFormat/>
    <w:uiPriority w:val="99"/>
    <w:rPr>
      <w:color w:val="000000"/>
      <w:u w:val="none"/>
    </w:rPr>
  </w:style>
  <w:style w:type="character" w:styleId="25">
    <w:name w:val="HTML Code"/>
    <w:basedOn w:val="17"/>
    <w:semiHidden/>
    <w:unhideWhenUsed/>
    <w:qFormat/>
    <w:uiPriority w:val="99"/>
    <w:rPr>
      <w:rFonts w:ascii="Courier New" w:hAnsi="Courier New"/>
      <w:sz w:val="20"/>
    </w:rPr>
  </w:style>
  <w:style w:type="character" w:styleId="26">
    <w:name w:val="annotation reference"/>
    <w:semiHidden/>
    <w:qFormat/>
    <w:uiPriority w:val="99"/>
    <w:rPr>
      <w:rFonts w:cs="Times New Roman"/>
      <w:sz w:val="21"/>
      <w:szCs w:val="21"/>
    </w:rPr>
  </w:style>
  <w:style w:type="character" w:styleId="27">
    <w:name w:val="HTML Cite"/>
    <w:basedOn w:val="17"/>
    <w:semiHidden/>
    <w:unhideWhenUsed/>
    <w:qFormat/>
    <w:uiPriority w:val="99"/>
  </w:style>
  <w:style w:type="character" w:customStyle="1" w:styleId="28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12"/>
    <w:qFormat/>
    <w:locked/>
    <w:uiPriority w:val="99"/>
    <w:rPr>
      <w:rFonts w:ascii="宋体" w:hAnsi="Courier New" w:cs="Times New Roman"/>
    </w:rPr>
  </w:style>
  <w:style w:type="character" w:customStyle="1" w:styleId="31">
    <w:name w:val="批注文字 字符"/>
    <w:basedOn w:val="17"/>
    <w:link w:val="6"/>
    <w:semiHidden/>
    <w:qFormat/>
    <w:uiPriority w:val="99"/>
  </w:style>
  <w:style w:type="character" w:customStyle="1" w:styleId="32">
    <w:name w:val="批注框文本 字符"/>
    <w:link w:val="11"/>
    <w:semiHidden/>
    <w:qFormat/>
    <w:uiPriority w:val="99"/>
    <w:rPr>
      <w:sz w:val="0"/>
      <w:szCs w:val="0"/>
    </w:rPr>
  </w:style>
  <w:style w:type="character" w:customStyle="1" w:styleId="33">
    <w:name w:val="页眉 字符"/>
    <w:link w:val="14"/>
    <w:qFormat/>
    <w:uiPriority w:val="99"/>
    <w:rPr>
      <w:sz w:val="18"/>
      <w:szCs w:val="18"/>
    </w:rPr>
  </w:style>
  <w:style w:type="character" w:customStyle="1" w:styleId="34">
    <w:name w:val="页脚 字符"/>
    <w:link w:val="13"/>
    <w:qFormat/>
    <w:uiPriority w:val="99"/>
    <w:rPr>
      <w:sz w:val="18"/>
      <w:szCs w:val="18"/>
    </w:rPr>
  </w:style>
  <w:style w:type="character" w:customStyle="1" w:styleId="35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6">
    <w:name w:val="before"/>
    <w:basedOn w:val="17"/>
    <w:qFormat/>
    <w:uiPriority w:val="0"/>
    <w:rPr>
      <w:shd w:val="clear" w:color="auto" w:fill="E22323"/>
    </w:rPr>
  </w:style>
  <w:style w:type="character" w:customStyle="1" w:styleId="37">
    <w:name w:val="hover4"/>
    <w:basedOn w:val="17"/>
    <w:qFormat/>
    <w:uiPriority w:val="0"/>
    <w:rPr>
      <w:color w:val="0063BA"/>
    </w:rPr>
  </w:style>
  <w:style w:type="character" w:customStyle="1" w:styleId="38">
    <w:name w:val="margin_right202"/>
    <w:basedOn w:val="17"/>
    <w:qFormat/>
    <w:uiPriority w:val="0"/>
  </w:style>
  <w:style w:type="character" w:customStyle="1" w:styleId="39">
    <w:name w:val="margin_right20"/>
    <w:basedOn w:val="17"/>
    <w:qFormat/>
    <w:uiPriority w:val="0"/>
  </w:style>
  <w:style w:type="character" w:customStyle="1" w:styleId="40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41">
    <w:name w:val="hover5"/>
    <w:basedOn w:val="17"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1528</Words>
  <Characters>2005</Characters>
  <Lines>14</Lines>
  <Paragraphs>4</Paragraphs>
  <TotalTime>6</TotalTime>
  <ScaleCrop>false</ScaleCrop>
  <LinksUpToDate>false</LinksUpToDate>
  <CharactersWithSpaces>2007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2023-06-01T07:09:00Z</cp:lastPrinted>
  <dcterms:modified xsi:type="dcterms:W3CDTF">2025-06-03T05:12:54Z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