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C609F6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bookmarkStart w:id="0" w:name="_Toc28109"/>
      <w:bookmarkStart w:id="1" w:name="_Toc25013"/>
      <w:bookmarkStart w:id="2" w:name="_Toc3783"/>
      <w:bookmarkStart w:id="3" w:name="_Toc99301418"/>
    </w:p>
    <w:p w14:paraId="71CFB44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4844697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52F575C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2723F68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24D19B2D">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038F4B0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2B3F3AD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color w:val="auto"/>
          <w:sz w:val="32"/>
          <w:szCs w:val="32"/>
          <w:highlight w:val="none"/>
        </w:rPr>
      </w:pPr>
    </w:p>
    <w:p w14:paraId="33C1336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招标文件</w:t>
      </w:r>
    </w:p>
    <w:p w14:paraId="15DCF1F3">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color w:val="auto"/>
          <w:sz w:val="32"/>
          <w:szCs w:val="32"/>
          <w:highlight w:val="none"/>
        </w:rPr>
      </w:pPr>
    </w:p>
    <w:p w14:paraId="583AA55B">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color w:val="auto"/>
          <w:sz w:val="32"/>
          <w:szCs w:val="32"/>
          <w:highlight w:val="none"/>
        </w:rPr>
      </w:pPr>
    </w:p>
    <w:p w14:paraId="5CE68918">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color w:val="auto"/>
          <w:sz w:val="32"/>
          <w:szCs w:val="32"/>
          <w:highlight w:val="none"/>
        </w:rPr>
      </w:pPr>
    </w:p>
    <w:p w14:paraId="13265349">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p>
    <w:p w14:paraId="56865183">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p>
    <w:p w14:paraId="4055CAC5">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p>
    <w:p w14:paraId="3650CAB3">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p>
    <w:p w14:paraId="547CF46A">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lang w:eastAsia="zh-CN"/>
        </w:rPr>
        <w:t>杨镇智慧印章建设部署</w:t>
      </w:r>
    </w:p>
    <w:p w14:paraId="58B979F9">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项目编号：11011324210200017853-XM001</w:t>
      </w:r>
    </w:p>
    <w:p w14:paraId="5E891BC6">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采 购 人：北京市顺义区杨镇人民政府</w:t>
      </w:r>
    </w:p>
    <w:p w14:paraId="51D75E2D">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color w:val="auto"/>
          <w:sz w:val="32"/>
          <w:szCs w:val="32"/>
          <w:highlight w:val="none"/>
        </w:rPr>
        <w:sectPr>
          <w:headerReference r:id="rId4" w:type="first"/>
          <w:footerReference r:id="rId6" w:type="first"/>
          <w:headerReference r:id="rId3" w:type="default"/>
          <w:footerReference r:id="rId5" w:type="default"/>
          <w:pgSz w:w="11907" w:h="16840"/>
          <w:pgMar w:top="1440" w:right="1080" w:bottom="1440" w:left="1080" w:header="851" w:footer="851" w:gutter="0"/>
          <w:pgNumType w:fmt="decimal" w:start="1"/>
          <w:cols w:space="720" w:num="1"/>
          <w:titlePg/>
          <w:docGrid w:linePitch="462" w:charSpace="0"/>
        </w:sectPr>
      </w:pPr>
      <w:r>
        <w:rPr>
          <w:rFonts w:hint="eastAsia" w:ascii="仿宋" w:hAnsi="仿宋" w:eastAsia="仿宋" w:cs="仿宋"/>
          <w:color w:val="auto"/>
          <w:sz w:val="32"/>
          <w:szCs w:val="32"/>
          <w:highlight w:val="none"/>
        </w:rPr>
        <w:t>采购代理机构：北京中外建工程管理有限公司</w:t>
      </w:r>
    </w:p>
    <w:p w14:paraId="123D684B">
      <w:pPr>
        <w:keepNext w:val="0"/>
        <w:keepLines w:val="0"/>
        <w:pageBreakBefore w:val="0"/>
        <w:widowControl w:val="0"/>
        <w:kinsoku/>
        <w:wordWrap w:val="0"/>
        <w:overflowPunct/>
        <w:topLinePunct/>
        <w:autoSpaceDE/>
        <w:autoSpaceDN/>
        <w:bidi w:val="0"/>
        <w:adjustRightInd/>
        <w:snapToGrid/>
        <w:spacing w:line="360" w:lineRule="auto"/>
        <w:jc w:val="center"/>
        <w:textAlignment w:val="auto"/>
        <w:outlineLvl w:val="0"/>
        <w:rPr>
          <w:rFonts w:hint="eastAsia" w:ascii="仿宋" w:hAnsi="仿宋" w:eastAsia="仿宋" w:cs="仿宋"/>
          <w:b w:val="0"/>
          <w:bCs w:val="0"/>
          <w:color w:val="auto"/>
          <w:sz w:val="21"/>
          <w:szCs w:val="21"/>
          <w:highlight w:val="none"/>
        </w:rPr>
      </w:pPr>
      <w:bookmarkStart w:id="4" w:name="_Toc11362"/>
      <w:bookmarkStart w:id="5" w:name="_Toc16608"/>
      <w:bookmarkStart w:id="6" w:name="_Toc29394"/>
      <w:bookmarkStart w:id="7" w:name="_Toc11513"/>
      <w:bookmarkStart w:id="8" w:name="_Toc27518"/>
      <w:r>
        <w:rPr>
          <w:rFonts w:hint="eastAsia" w:ascii="仿宋" w:hAnsi="仿宋" w:eastAsia="仿宋" w:cs="仿宋"/>
          <w:b w:val="0"/>
          <w:bCs w:val="0"/>
          <w:color w:val="auto"/>
          <w:sz w:val="21"/>
          <w:szCs w:val="21"/>
          <w:highlight w:val="none"/>
        </w:rPr>
        <w:t>目      录</w:t>
      </w:r>
      <w:bookmarkEnd w:id="0"/>
      <w:bookmarkEnd w:id="1"/>
      <w:bookmarkEnd w:id="2"/>
      <w:bookmarkEnd w:id="3"/>
      <w:bookmarkEnd w:id="4"/>
      <w:bookmarkEnd w:id="5"/>
      <w:bookmarkEnd w:id="6"/>
      <w:bookmarkEnd w:id="7"/>
      <w:bookmarkEnd w:id="8"/>
    </w:p>
    <w:p w14:paraId="0133D141">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TOC \o "1-1" \h \z \u </w:instrText>
      </w:r>
      <w:r>
        <w:rPr>
          <w:rFonts w:hint="eastAsia" w:ascii="仿宋" w:hAnsi="仿宋" w:eastAsia="仿宋" w:cs="仿宋"/>
          <w:b w:val="0"/>
          <w:bCs w:val="0"/>
          <w:color w:val="auto"/>
          <w:sz w:val="21"/>
          <w:szCs w:val="21"/>
          <w:highlight w:val="none"/>
        </w:rPr>
        <w:fldChar w:fldCharType="separate"/>
      </w:r>
    </w:p>
    <w:p w14:paraId="56B531D4">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_Toc20899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第一章   投标邀请</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_Toc20899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1</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6FDC3329">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_Toc16436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第二章   投标人须知</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_Toc16436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5</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06D8446B">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_Toc6641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第三章   资格审查</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_Toc6641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18</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5F37C35A">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_Toc6938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第四章   评标程序、评标方法和评标标准</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_Toc6938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21</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4477C3EE">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_Toc12400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第五章   采购需求</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_Toc12400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29</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1F147301">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_Toc6704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第六章   拟签订的合同文本</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_Toc6704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35</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533587D0">
      <w:pPr>
        <w:pStyle w:val="32"/>
        <w:keepNext w:val="0"/>
        <w:keepLines w:val="0"/>
        <w:pageBreakBefore w:val="0"/>
        <w:widowControl w:val="0"/>
        <w:tabs>
          <w:tab w:val="right" w:leader="dot" w:pos="9747"/>
          <w:tab w:val="clear" w:pos="1050"/>
          <w:tab w:val="clear" w:pos="8937"/>
        </w:tabs>
        <w:kinsoku/>
        <w:wordWrap w:val="0"/>
        <w:overflowPunct/>
        <w:topLinePunct/>
        <w:autoSpaceDE/>
        <w:autoSpaceDN/>
        <w:bidi w:val="0"/>
        <w:adjustRightInd/>
        <w:snapToGrid/>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HYPERLINK \l _Toc17177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第七章   投标文件格式</w:t>
      </w:r>
      <w:r>
        <w:rPr>
          <w:rFonts w:hint="eastAsia" w:ascii="仿宋" w:hAnsi="仿宋" w:eastAsia="仿宋" w:cs="仿宋"/>
          <w:b w:val="0"/>
          <w:bCs w:val="0"/>
          <w:color w:val="auto"/>
          <w:sz w:val="21"/>
          <w:szCs w:val="21"/>
          <w:highlight w:val="none"/>
        </w:rPr>
        <w:tab/>
      </w:r>
      <w:r>
        <w:rPr>
          <w:rFonts w:hint="eastAsia" w:ascii="仿宋" w:hAnsi="仿宋" w:eastAsia="仿宋" w:cs="仿宋"/>
          <w:b w:val="0"/>
          <w:bCs w:val="0"/>
          <w:color w:val="auto"/>
          <w:sz w:val="21"/>
          <w:szCs w:val="21"/>
          <w:highlight w:val="none"/>
        </w:rPr>
        <w:fldChar w:fldCharType="begin"/>
      </w:r>
      <w:r>
        <w:rPr>
          <w:rFonts w:hint="eastAsia" w:ascii="仿宋" w:hAnsi="仿宋" w:eastAsia="仿宋" w:cs="仿宋"/>
          <w:b w:val="0"/>
          <w:bCs w:val="0"/>
          <w:color w:val="auto"/>
          <w:sz w:val="21"/>
          <w:szCs w:val="21"/>
          <w:highlight w:val="none"/>
        </w:rPr>
        <w:instrText xml:space="preserve"> PAGEREF _Toc17177 \h </w:instrText>
      </w:r>
      <w:r>
        <w:rPr>
          <w:rFonts w:hint="eastAsia" w:ascii="仿宋" w:hAnsi="仿宋" w:eastAsia="仿宋" w:cs="仿宋"/>
          <w:b w:val="0"/>
          <w:bCs w:val="0"/>
          <w:color w:val="auto"/>
          <w:sz w:val="21"/>
          <w:szCs w:val="21"/>
          <w:highlight w:val="none"/>
        </w:rPr>
        <w:fldChar w:fldCharType="separate"/>
      </w:r>
      <w:r>
        <w:rPr>
          <w:rFonts w:hint="eastAsia" w:ascii="仿宋" w:hAnsi="仿宋" w:eastAsia="仿宋" w:cs="仿宋"/>
          <w:b w:val="0"/>
          <w:bCs w:val="0"/>
          <w:color w:val="auto"/>
          <w:sz w:val="21"/>
          <w:szCs w:val="21"/>
          <w:highlight w:val="none"/>
        </w:rPr>
        <w:t>43</w:t>
      </w:r>
      <w:r>
        <w:rPr>
          <w:rFonts w:hint="eastAsia" w:ascii="仿宋" w:hAnsi="仿宋" w:eastAsia="仿宋" w:cs="仿宋"/>
          <w:b w:val="0"/>
          <w:bCs w:val="0"/>
          <w:color w:val="auto"/>
          <w:sz w:val="21"/>
          <w:szCs w:val="21"/>
          <w:highlight w:val="none"/>
        </w:rPr>
        <w:fldChar w:fldCharType="end"/>
      </w:r>
      <w:r>
        <w:rPr>
          <w:rFonts w:hint="eastAsia" w:ascii="仿宋" w:hAnsi="仿宋" w:eastAsia="仿宋" w:cs="仿宋"/>
          <w:b w:val="0"/>
          <w:bCs w:val="0"/>
          <w:color w:val="auto"/>
          <w:sz w:val="21"/>
          <w:szCs w:val="21"/>
          <w:highlight w:val="none"/>
        </w:rPr>
        <w:fldChar w:fldCharType="end"/>
      </w:r>
    </w:p>
    <w:p w14:paraId="0A20DF58">
      <w:pPr>
        <w:pStyle w:val="32"/>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rPr>
        <w:sectPr>
          <w:footerReference r:id="rId7" w:type="default"/>
          <w:pgSz w:w="11907" w:h="16840"/>
          <w:pgMar w:top="1440" w:right="1080" w:bottom="1440" w:left="1080" w:header="851" w:footer="851" w:gutter="0"/>
          <w:pgNumType w:fmt="decimal" w:start="1"/>
          <w:cols w:space="720" w:num="1"/>
          <w:docGrid w:linePitch="462" w:charSpace="0"/>
        </w:sectPr>
      </w:pPr>
      <w:r>
        <w:rPr>
          <w:rFonts w:hint="eastAsia" w:ascii="仿宋" w:hAnsi="仿宋" w:eastAsia="仿宋" w:cs="仿宋"/>
          <w:b w:val="0"/>
          <w:bCs w:val="0"/>
          <w:color w:val="auto"/>
          <w:sz w:val="21"/>
          <w:szCs w:val="21"/>
          <w:highlight w:val="none"/>
        </w:rPr>
        <w:fldChar w:fldCharType="end"/>
      </w:r>
      <w:bookmarkStart w:id="9" w:name="_Toc20899"/>
    </w:p>
    <w:p w14:paraId="0FD1CD3F">
      <w:pPr>
        <w:pStyle w:val="32"/>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第一章   投标邀请</w:t>
      </w:r>
      <w:bookmarkEnd w:id="9"/>
    </w:p>
    <w:p w14:paraId="24BB2949">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10" w:name="_Toc35393621"/>
      <w:bookmarkStart w:id="11" w:name="_Toc35393790"/>
      <w:bookmarkStart w:id="12" w:name="_Toc28359002"/>
      <w:bookmarkStart w:id="13" w:name="_Toc28359079"/>
      <w:bookmarkStart w:id="14" w:name="_Hlk24379207"/>
      <w:r>
        <w:rPr>
          <w:rFonts w:hint="eastAsia" w:ascii="仿宋" w:hAnsi="仿宋" w:eastAsia="仿宋" w:cs="仿宋"/>
          <w:b w:val="0"/>
          <w:bCs w:val="0"/>
          <w:color w:val="auto"/>
          <w:sz w:val="21"/>
          <w:szCs w:val="21"/>
          <w:highlight w:val="none"/>
        </w:rPr>
        <w:t>一、项目基本情况</w:t>
      </w:r>
      <w:bookmarkEnd w:id="10"/>
      <w:bookmarkEnd w:id="11"/>
      <w:bookmarkEnd w:id="12"/>
      <w:bookmarkEnd w:id="13"/>
    </w:p>
    <w:p w14:paraId="372B6384">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1.项目编号：11011324210200017853-XM001</w:t>
      </w:r>
    </w:p>
    <w:p w14:paraId="121998ED">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2.项目名称：</w:t>
      </w:r>
      <w:r>
        <w:rPr>
          <w:rFonts w:hint="eastAsia" w:ascii="仿宋" w:hAnsi="仿宋" w:eastAsia="仿宋" w:cs="仿宋"/>
          <w:b w:val="0"/>
          <w:bCs w:val="0"/>
          <w:color w:val="auto"/>
          <w:sz w:val="21"/>
          <w:szCs w:val="21"/>
          <w:highlight w:val="none"/>
          <w:lang w:eastAsia="zh-CN"/>
        </w:rPr>
        <w:t>杨镇智慧印章建设部署</w:t>
      </w:r>
    </w:p>
    <w:bookmarkEnd w:id="14"/>
    <w:p w14:paraId="52959051">
      <w:pPr>
        <w:keepNext w:val="0"/>
        <w:keepLines w:val="0"/>
        <w:pageBreakBefore w:val="0"/>
        <w:widowControl w:val="0"/>
        <w:kinsoku/>
        <w:wordWrap w:val="0"/>
        <w:overflowPunct/>
        <w:topLinePunct/>
        <w:autoSpaceDE/>
        <w:autoSpaceDN/>
        <w:bidi w:val="0"/>
        <w:spacing w:line="360" w:lineRule="auto"/>
        <w:ind w:right="-168" w:rightChars="-80"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3.项目预算金额：</w:t>
      </w:r>
      <w:r>
        <w:rPr>
          <w:rFonts w:hint="eastAsia" w:ascii="仿宋" w:hAnsi="仿宋" w:eastAsia="仿宋" w:cs="仿宋"/>
          <w:b w:val="0"/>
          <w:bCs w:val="0"/>
          <w:color w:val="auto"/>
          <w:sz w:val="21"/>
          <w:szCs w:val="21"/>
          <w:highlight w:val="none"/>
          <w:u w:val="single"/>
          <w:lang w:eastAsia="zh-CN"/>
        </w:rPr>
        <w:t>209.1500</w:t>
      </w:r>
      <w:r>
        <w:rPr>
          <w:rFonts w:hint="eastAsia" w:ascii="仿宋" w:hAnsi="仿宋" w:eastAsia="仿宋" w:cs="仿宋"/>
          <w:b w:val="0"/>
          <w:bCs w:val="0"/>
          <w:color w:val="auto"/>
          <w:sz w:val="21"/>
          <w:szCs w:val="21"/>
          <w:highlight w:val="none"/>
          <w:u w:val="none"/>
          <w:lang w:eastAsia="zh-CN"/>
        </w:rPr>
        <w:t>万元</w:t>
      </w:r>
      <w:r>
        <w:rPr>
          <w:rFonts w:hint="eastAsia" w:ascii="仿宋" w:hAnsi="仿宋" w:eastAsia="仿宋" w:cs="仿宋"/>
          <w:b w:val="0"/>
          <w:bCs w:val="0"/>
          <w:color w:val="auto"/>
          <w:sz w:val="21"/>
          <w:szCs w:val="21"/>
          <w:highlight w:val="none"/>
        </w:rPr>
        <w:t>、项目最高限价：</w:t>
      </w:r>
      <w:r>
        <w:rPr>
          <w:rFonts w:hint="eastAsia" w:ascii="仿宋" w:hAnsi="仿宋" w:eastAsia="仿宋" w:cs="仿宋"/>
          <w:b w:val="0"/>
          <w:bCs w:val="0"/>
          <w:color w:val="auto"/>
          <w:sz w:val="21"/>
          <w:szCs w:val="21"/>
          <w:highlight w:val="none"/>
          <w:u w:val="single"/>
          <w:lang w:eastAsia="zh-CN"/>
        </w:rPr>
        <w:t>209.1500</w:t>
      </w:r>
      <w:r>
        <w:rPr>
          <w:rFonts w:hint="eastAsia" w:ascii="仿宋" w:hAnsi="仿宋" w:eastAsia="仿宋" w:cs="仿宋"/>
          <w:b w:val="0"/>
          <w:bCs w:val="0"/>
          <w:color w:val="auto"/>
          <w:sz w:val="21"/>
          <w:szCs w:val="21"/>
          <w:highlight w:val="none"/>
        </w:rPr>
        <w:t>万元</w:t>
      </w:r>
    </w:p>
    <w:p w14:paraId="5B7837E7">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4.采购需求：</w:t>
      </w:r>
    </w:p>
    <w:tbl>
      <w:tblPr>
        <w:tblStyle w:val="46"/>
        <w:tblW w:w="4891" w:type="pct"/>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1461"/>
        <w:gridCol w:w="1465"/>
        <w:gridCol w:w="1182"/>
        <w:gridCol w:w="1182"/>
        <w:gridCol w:w="3677"/>
      </w:tblGrid>
      <w:tr w14:paraId="5A35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A70F73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包号</w:t>
            </w:r>
          </w:p>
        </w:tc>
        <w:tc>
          <w:tcPr>
            <w:tcW w:w="749" w:type="pct"/>
            <w:vAlign w:val="center"/>
          </w:tcPr>
          <w:p w14:paraId="6AC9780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采购包</w:t>
            </w:r>
            <w:r>
              <w:rPr>
                <w:rFonts w:hint="eastAsia" w:ascii="仿宋" w:hAnsi="仿宋" w:eastAsia="仿宋" w:cs="仿宋"/>
                <w:b w:val="0"/>
                <w:bCs w:val="0"/>
                <w:color w:val="auto"/>
                <w:sz w:val="21"/>
                <w:szCs w:val="21"/>
                <w:highlight w:val="none"/>
              </w:rPr>
              <w:t>名称</w:t>
            </w:r>
          </w:p>
        </w:tc>
        <w:tc>
          <w:tcPr>
            <w:tcW w:w="751" w:type="pct"/>
            <w:vAlign w:val="center"/>
          </w:tcPr>
          <w:p w14:paraId="0A9C982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采购包</w:t>
            </w:r>
            <w:r>
              <w:rPr>
                <w:rFonts w:hint="eastAsia" w:ascii="仿宋" w:hAnsi="仿宋" w:eastAsia="仿宋" w:cs="仿宋"/>
                <w:b w:val="0"/>
                <w:bCs w:val="0"/>
                <w:color w:val="auto"/>
                <w:sz w:val="21"/>
                <w:szCs w:val="21"/>
                <w:highlight w:val="none"/>
                <w:lang w:val="en-US" w:eastAsia="zh-CN"/>
              </w:rPr>
              <w:t>最高限价</w:t>
            </w:r>
            <w:r>
              <w:rPr>
                <w:rFonts w:hint="eastAsia" w:ascii="仿宋" w:hAnsi="仿宋" w:eastAsia="仿宋" w:cs="仿宋"/>
                <w:b w:val="0"/>
                <w:bCs w:val="0"/>
                <w:color w:val="auto"/>
                <w:sz w:val="21"/>
                <w:szCs w:val="21"/>
                <w:highlight w:val="none"/>
              </w:rPr>
              <w:t>（万元）</w:t>
            </w:r>
          </w:p>
        </w:tc>
        <w:tc>
          <w:tcPr>
            <w:tcW w:w="606" w:type="pct"/>
            <w:vAlign w:val="center"/>
          </w:tcPr>
          <w:p w14:paraId="6CEFF25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采购数量</w:t>
            </w:r>
          </w:p>
        </w:tc>
        <w:tc>
          <w:tcPr>
            <w:tcW w:w="606" w:type="pct"/>
            <w:vAlign w:val="center"/>
          </w:tcPr>
          <w:p w14:paraId="0D5ECAE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供货地点</w:t>
            </w:r>
          </w:p>
        </w:tc>
        <w:tc>
          <w:tcPr>
            <w:tcW w:w="1885" w:type="pct"/>
            <w:vAlign w:val="center"/>
          </w:tcPr>
          <w:p w14:paraId="08F2A52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简要技术需求或服务要求</w:t>
            </w:r>
          </w:p>
        </w:tc>
      </w:tr>
      <w:tr w14:paraId="50B4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0" w:type="pct"/>
            <w:vAlign w:val="center"/>
          </w:tcPr>
          <w:p w14:paraId="6EE2F90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01</w:t>
            </w:r>
          </w:p>
        </w:tc>
        <w:tc>
          <w:tcPr>
            <w:tcW w:w="749" w:type="pct"/>
            <w:vAlign w:val="center"/>
          </w:tcPr>
          <w:p w14:paraId="14797AB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杨镇智慧印章建设部署</w:t>
            </w:r>
          </w:p>
        </w:tc>
        <w:tc>
          <w:tcPr>
            <w:tcW w:w="751" w:type="pct"/>
            <w:vAlign w:val="center"/>
          </w:tcPr>
          <w:p w14:paraId="1366407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209.1500</w:t>
            </w:r>
          </w:p>
        </w:tc>
        <w:tc>
          <w:tcPr>
            <w:tcW w:w="606" w:type="pct"/>
            <w:vAlign w:val="center"/>
          </w:tcPr>
          <w:p w14:paraId="62AE4C3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详见采购需求</w:t>
            </w:r>
          </w:p>
        </w:tc>
        <w:tc>
          <w:tcPr>
            <w:tcW w:w="606" w:type="pct"/>
            <w:vAlign w:val="center"/>
          </w:tcPr>
          <w:p w14:paraId="76970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采购人指定地点</w:t>
            </w:r>
          </w:p>
        </w:tc>
        <w:tc>
          <w:tcPr>
            <w:tcW w:w="1885" w:type="pct"/>
            <w:vAlign w:val="center"/>
          </w:tcPr>
          <w:p w14:paraId="2ADE98F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eastAsia="zh-CN"/>
              </w:rPr>
            </w:pPr>
            <w:r>
              <w:rPr>
                <w:rFonts w:hint="eastAsia" w:ascii="仿宋" w:hAnsi="仿宋" w:eastAsia="仿宋" w:cs="仿宋"/>
                <w:b w:val="0"/>
                <w:bCs w:val="0"/>
                <w:color w:val="auto"/>
                <w:kern w:val="0"/>
                <w:sz w:val="21"/>
                <w:szCs w:val="21"/>
                <w:highlight w:val="none"/>
              </w:rPr>
              <w:t>采购目标：为进一步规范小微权力，推进村（社区）公章实现智慧化管理，提高办事效率和群众满意度，提升监督质效，现对镇域内村（社区）进行印章监控管理系统建设部署，实现各村（社区）五枚实体公章全覆盖监管</w:t>
            </w:r>
            <w:r>
              <w:rPr>
                <w:rFonts w:hint="eastAsia" w:ascii="仿宋" w:hAnsi="仿宋" w:eastAsia="仿宋" w:cs="仿宋"/>
                <w:b w:val="0"/>
                <w:bCs w:val="0"/>
                <w:color w:val="auto"/>
                <w:kern w:val="0"/>
                <w:sz w:val="21"/>
                <w:szCs w:val="21"/>
                <w:highlight w:val="none"/>
                <w:lang w:eastAsia="zh-CN"/>
              </w:rPr>
              <w:t>。</w:t>
            </w:r>
          </w:p>
          <w:p w14:paraId="349B1F9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eastAsia="zh-CN"/>
              </w:rPr>
            </w:pPr>
            <w:r>
              <w:rPr>
                <w:rFonts w:hint="eastAsia" w:ascii="仿宋" w:hAnsi="仿宋" w:eastAsia="仿宋" w:cs="仿宋"/>
                <w:b w:val="0"/>
                <w:bCs w:val="0"/>
                <w:color w:val="auto"/>
                <w:kern w:val="0"/>
                <w:sz w:val="21"/>
                <w:szCs w:val="21"/>
                <w:highlight w:val="none"/>
              </w:rPr>
              <w:t>采购内容：开放式一体机及批量扫描封闭式印控柜及操作系统。</w:t>
            </w:r>
          </w:p>
        </w:tc>
      </w:tr>
    </w:tbl>
    <w:p w14:paraId="1288CF9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5.合同履行期限：</w:t>
      </w:r>
      <w:r>
        <w:rPr>
          <w:rFonts w:hint="eastAsia" w:ascii="仿宋" w:hAnsi="仿宋" w:eastAsia="仿宋" w:cs="仿宋"/>
          <w:b w:val="0"/>
          <w:bCs w:val="0"/>
          <w:color w:val="auto"/>
          <w:sz w:val="21"/>
          <w:szCs w:val="21"/>
          <w:highlight w:val="none"/>
          <w:lang w:eastAsia="zh-CN"/>
        </w:rPr>
        <w:t>自合同签订之日起10个工作日内完成供货、安装及调试。</w:t>
      </w:r>
    </w:p>
    <w:p w14:paraId="7F8B0607">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6.本项目是否接受联合体投标：</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是  ■否。</w:t>
      </w:r>
    </w:p>
    <w:p w14:paraId="62F3B9F8">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15" w:name="_Toc35393622"/>
      <w:bookmarkStart w:id="16" w:name="_Toc28359003"/>
      <w:bookmarkStart w:id="17" w:name="_Toc28359080"/>
      <w:bookmarkStart w:id="18" w:name="_Toc35393791"/>
      <w:r>
        <w:rPr>
          <w:rFonts w:hint="eastAsia" w:ascii="仿宋" w:hAnsi="仿宋" w:eastAsia="仿宋" w:cs="仿宋"/>
          <w:b w:val="0"/>
          <w:bCs w:val="0"/>
          <w:color w:val="auto"/>
          <w:sz w:val="21"/>
          <w:szCs w:val="21"/>
          <w:highlight w:val="none"/>
        </w:rPr>
        <w:t>二、申请人的资格要求（须同时满足）</w:t>
      </w:r>
      <w:bookmarkEnd w:id="15"/>
      <w:bookmarkEnd w:id="16"/>
      <w:bookmarkEnd w:id="17"/>
      <w:bookmarkEnd w:id="18"/>
    </w:p>
    <w:p w14:paraId="28475331">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1.满足《中华人民共和国政府采购法》第二十二条规定；</w:t>
      </w:r>
    </w:p>
    <w:p w14:paraId="608EB10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bookmarkStart w:id="19" w:name="_Toc28359081"/>
      <w:bookmarkStart w:id="20" w:name="_Toc28359004"/>
      <w:r>
        <w:rPr>
          <w:rFonts w:hint="eastAsia" w:ascii="仿宋" w:hAnsi="仿宋" w:eastAsia="仿宋" w:cs="仿宋"/>
          <w:b w:val="0"/>
          <w:bCs w:val="0"/>
          <w:color w:val="auto"/>
          <w:sz w:val="21"/>
          <w:szCs w:val="21"/>
          <w:highlight w:val="none"/>
        </w:rPr>
        <w:t>2.落实政府采购政策需满足的资格要求：</w:t>
      </w:r>
    </w:p>
    <w:p w14:paraId="6CCB00E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2.1中小企业政策</w:t>
      </w:r>
    </w:p>
    <w:p w14:paraId="7AE06E64">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本项目不专门面向中小企业预留采购份额。</w:t>
      </w:r>
    </w:p>
    <w:p w14:paraId="5765D9A8">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■本项目专门面向 ■中小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小微企业 采购。即：提供的货物全部由符合政策要求的中小/小微企业制造、服务全部由符合政策要求的中小/小微企业承接。</w:t>
      </w:r>
    </w:p>
    <w:p w14:paraId="17A35043">
      <w:pPr>
        <w:keepNext w:val="0"/>
        <w:keepLines w:val="0"/>
        <w:pageBreakBefore w:val="0"/>
        <w:widowControl w:val="0"/>
        <w:numPr>
          <w:ilvl w:val="0"/>
          <w:numId w:val="0"/>
        </w:numPr>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u w:val="single"/>
          <w:lang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005F665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2.2其它落实政府采购政策的资格要求（如有）：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09FEE7E1">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3.本项目的特定资格要求：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1B865C2B">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3.1本项目是否属于政府购买服务：</w:t>
      </w:r>
    </w:p>
    <w:p w14:paraId="6C00A438">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p w14:paraId="3ACCE745">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□是，公益一类事业单位、使用事业编制且由财政拨款保障的群团组织，不得作为承接主体；</w:t>
      </w:r>
    </w:p>
    <w:p w14:paraId="0ACB746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3.2</w:t>
      </w:r>
      <w:r>
        <w:rPr>
          <w:rFonts w:hint="eastAsia" w:ascii="仿宋" w:hAnsi="仿宋" w:eastAsia="仿宋" w:cs="仿宋"/>
          <w:b w:val="0"/>
          <w:bCs w:val="0"/>
          <w:color w:val="auto"/>
          <w:sz w:val="21"/>
          <w:szCs w:val="21"/>
          <w:highlight w:val="none"/>
        </w:rPr>
        <w:t>其他特定资格要求：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bookmarkEnd w:id="19"/>
    <w:bookmarkEnd w:id="20"/>
    <w:p w14:paraId="2880306B">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21" w:name="_Toc35393792"/>
      <w:bookmarkStart w:id="22" w:name="_Toc35393623"/>
      <w:r>
        <w:rPr>
          <w:rFonts w:hint="eastAsia" w:ascii="仿宋" w:hAnsi="仿宋" w:eastAsia="仿宋" w:cs="仿宋"/>
          <w:b w:val="0"/>
          <w:bCs w:val="0"/>
          <w:color w:val="auto"/>
          <w:sz w:val="21"/>
          <w:szCs w:val="21"/>
          <w:highlight w:val="none"/>
        </w:rPr>
        <w:t>三、获取招标文件</w:t>
      </w:r>
      <w:bookmarkEnd w:id="21"/>
      <w:bookmarkEnd w:id="22"/>
    </w:p>
    <w:p w14:paraId="2B6306E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1.时间：2024年</w:t>
      </w:r>
      <w:r>
        <w:rPr>
          <w:rFonts w:hint="eastAsia" w:ascii="仿宋" w:hAnsi="仿宋" w:eastAsia="仿宋" w:cs="仿宋"/>
          <w:b w:val="0"/>
          <w:bCs w:val="0"/>
          <w:color w:val="auto"/>
          <w:sz w:val="21"/>
          <w:szCs w:val="21"/>
          <w:highlight w:val="none"/>
          <w:lang w:val="en-US" w:eastAsia="zh-CN"/>
        </w:rPr>
        <w:t>12</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lang w:val="en-US" w:eastAsia="zh-CN"/>
        </w:rPr>
        <w:t>19</w:t>
      </w:r>
      <w:r>
        <w:rPr>
          <w:rFonts w:hint="eastAsia" w:ascii="仿宋" w:hAnsi="仿宋" w:eastAsia="仿宋" w:cs="仿宋"/>
          <w:b w:val="0"/>
          <w:bCs w:val="0"/>
          <w:color w:val="auto"/>
          <w:sz w:val="21"/>
          <w:szCs w:val="21"/>
          <w:highlight w:val="none"/>
        </w:rPr>
        <w:t>日至2024年</w:t>
      </w:r>
      <w:r>
        <w:rPr>
          <w:rFonts w:hint="eastAsia" w:ascii="仿宋" w:hAnsi="仿宋" w:eastAsia="仿宋" w:cs="仿宋"/>
          <w:b w:val="0"/>
          <w:bCs w:val="0"/>
          <w:color w:val="auto"/>
          <w:sz w:val="21"/>
          <w:szCs w:val="21"/>
          <w:highlight w:val="none"/>
          <w:lang w:val="en-US" w:eastAsia="zh-CN"/>
        </w:rPr>
        <w:t>12</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lang w:val="en-US" w:eastAsia="zh-CN"/>
        </w:rPr>
        <w:t>25</w:t>
      </w:r>
      <w:r>
        <w:rPr>
          <w:rFonts w:hint="eastAsia" w:ascii="仿宋" w:hAnsi="仿宋" w:eastAsia="仿宋" w:cs="仿宋"/>
          <w:b w:val="0"/>
          <w:bCs w:val="0"/>
          <w:color w:val="auto"/>
          <w:sz w:val="21"/>
          <w:szCs w:val="21"/>
          <w:highlight w:val="none"/>
        </w:rPr>
        <w:t>日，每天上午</w:t>
      </w:r>
      <w:r>
        <w:rPr>
          <w:rFonts w:hint="eastAsia" w:ascii="仿宋" w:hAnsi="仿宋" w:eastAsia="仿宋" w:cs="仿宋"/>
          <w:b w:val="0"/>
          <w:bCs w:val="0"/>
          <w:color w:val="auto"/>
          <w:sz w:val="21"/>
          <w:szCs w:val="21"/>
          <w:highlight w:val="none"/>
          <w:lang w:val="en-US" w:eastAsia="zh-CN"/>
        </w:rPr>
        <w:t>09</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00至12</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00，下午12</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00至17</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00（北京时间，法定节假日除外）。</w:t>
      </w:r>
    </w:p>
    <w:p w14:paraId="036C8260">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2.地点：北京市政府采购电子交易平台（http://zbcg-bjzc.zhongcy.com/bjczj-portal-site/#/home）。</w:t>
      </w:r>
    </w:p>
    <w:p w14:paraId="5AA4287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bookmarkStart w:id="23" w:name="_Toc28359082"/>
      <w:bookmarkStart w:id="24" w:name="_Toc28359005"/>
      <w:bookmarkStart w:id="25" w:name="_Toc35393624"/>
      <w:bookmarkStart w:id="26" w:name="_Toc35393793"/>
      <w:r>
        <w:rPr>
          <w:rFonts w:hint="eastAsia" w:ascii="仿宋" w:hAnsi="仿宋" w:eastAsia="仿宋" w:cs="仿宋"/>
          <w:b w:val="0"/>
          <w:bCs w:val="0"/>
          <w:color w:val="auto"/>
          <w:sz w:val="21"/>
          <w:szCs w:val="21"/>
          <w:highlight w:val="none"/>
        </w:rPr>
        <w:t>3.方式：供应商使用CA数字证书或电子营业执照登录北京市政府采购电子交易平台（http://zbcg-bjzc.zhongcy.com/bjczj-portal-site/index.html#/home）获取电子版招标文件。</w:t>
      </w:r>
    </w:p>
    <w:p w14:paraId="029F2E9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售价：0元。</w:t>
      </w:r>
    </w:p>
    <w:p w14:paraId="7B1ACA0B">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四、提交投标文件</w:t>
      </w:r>
      <w:bookmarkEnd w:id="23"/>
      <w:bookmarkEnd w:id="24"/>
      <w:r>
        <w:rPr>
          <w:rFonts w:hint="eastAsia" w:ascii="仿宋" w:hAnsi="仿宋" w:eastAsia="仿宋" w:cs="仿宋"/>
          <w:b w:val="0"/>
          <w:bCs w:val="0"/>
          <w:color w:val="auto"/>
          <w:sz w:val="21"/>
          <w:szCs w:val="21"/>
          <w:highlight w:val="none"/>
        </w:rPr>
        <w:t>截止时间、开标时间和地点</w:t>
      </w:r>
      <w:bookmarkEnd w:id="25"/>
      <w:bookmarkEnd w:id="26"/>
    </w:p>
    <w:p w14:paraId="5B9BBC2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投标截止时间、开标时间：</w:t>
      </w:r>
      <w:r>
        <w:rPr>
          <w:rFonts w:hint="eastAsia" w:ascii="仿宋" w:hAnsi="仿宋" w:eastAsia="仿宋" w:cs="仿宋"/>
          <w:b w:val="0"/>
          <w:bCs w:val="0"/>
          <w:color w:val="auto"/>
          <w:sz w:val="21"/>
          <w:szCs w:val="21"/>
          <w:highlight w:val="none"/>
          <w:lang w:eastAsia="zh-CN"/>
        </w:rPr>
        <w:t>2025年01月09日09点30分</w:t>
      </w:r>
      <w:r>
        <w:rPr>
          <w:rFonts w:hint="eastAsia" w:ascii="仿宋" w:hAnsi="仿宋" w:eastAsia="仿宋" w:cs="仿宋"/>
          <w:b w:val="0"/>
          <w:bCs w:val="0"/>
          <w:color w:val="auto"/>
          <w:sz w:val="21"/>
          <w:szCs w:val="21"/>
          <w:highlight w:val="none"/>
        </w:rPr>
        <w:t>（北京时间）。</w:t>
      </w:r>
    </w:p>
    <w:p w14:paraId="352E8F4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zh-TW" w:bidi="ar"/>
        </w:rPr>
      </w:pPr>
      <w:r>
        <w:rPr>
          <w:rFonts w:hint="eastAsia" w:ascii="仿宋" w:hAnsi="仿宋" w:eastAsia="仿宋" w:cs="仿宋"/>
          <w:b w:val="0"/>
          <w:bCs w:val="0"/>
          <w:color w:val="auto"/>
          <w:sz w:val="21"/>
          <w:szCs w:val="21"/>
          <w:highlight w:val="none"/>
          <w:lang w:bidi="ar"/>
        </w:rPr>
        <w:t>地点：北京市顺义区复兴东街3号院顺义区政务服务中心6号电梯厅二层开标区（具体开标室见当日大屏幕）</w:t>
      </w:r>
      <w:r>
        <w:rPr>
          <w:rFonts w:hint="eastAsia" w:ascii="仿宋" w:hAnsi="仿宋" w:eastAsia="仿宋" w:cs="仿宋"/>
          <w:b w:val="0"/>
          <w:bCs w:val="0"/>
          <w:color w:val="auto"/>
          <w:sz w:val="21"/>
          <w:szCs w:val="21"/>
          <w:highlight w:val="none"/>
          <w:lang w:val="zh-TW" w:bidi="ar"/>
        </w:rPr>
        <w:t>。</w:t>
      </w:r>
    </w:p>
    <w:p w14:paraId="359DB8D7">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27" w:name="_Toc35393794"/>
      <w:bookmarkStart w:id="28" w:name="_Toc28359007"/>
      <w:bookmarkStart w:id="29" w:name="_Toc35393625"/>
      <w:bookmarkStart w:id="30" w:name="_Toc28359084"/>
      <w:r>
        <w:rPr>
          <w:rFonts w:hint="eastAsia" w:ascii="仿宋" w:hAnsi="仿宋" w:eastAsia="仿宋" w:cs="仿宋"/>
          <w:b w:val="0"/>
          <w:bCs w:val="0"/>
          <w:color w:val="auto"/>
          <w:sz w:val="21"/>
          <w:szCs w:val="21"/>
          <w:highlight w:val="none"/>
        </w:rPr>
        <w:t>五、公告期限</w:t>
      </w:r>
      <w:bookmarkEnd w:id="27"/>
      <w:bookmarkEnd w:id="28"/>
      <w:bookmarkEnd w:id="29"/>
      <w:bookmarkEnd w:id="30"/>
    </w:p>
    <w:p w14:paraId="32B6FD70">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自本公告发布之日起5个工作日。</w:t>
      </w:r>
    </w:p>
    <w:p w14:paraId="37C4D3DB">
      <w:pPr>
        <w:pStyle w:val="4"/>
        <w:keepNext w:val="0"/>
        <w:keepLines w:val="0"/>
        <w:pageBreakBefore w:val="0"/>
        <w:widowControl w:val="0"/>
        <w:numPr>
          <w:ilvl w:val="0"/>
          <w:numId w:val="0"/>
        </w:numPr>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31" w:name="_Toc35393626"/>
      <w:bookmarkStart w:id="32" w:name="_Toc35393795"/>
      <w:r>
        <w:rPr>
          <w:rFonts w:hint="eastAsia" w:ascii="仿宋" w:hAnsi="仿宋" w:eastAsia="仿宋" w:cs="仿宋"/>
          <w:b w:val="0"/>
          <w:bCs w:val="0"/>
          <w:color w:val="auto"/>
          <w:kern w:val="0"/>
          <w:sz w:val="21"/>
          <w:szCs w:val="21"/>
          <w:highlight w:val="none"/>
          <w:lang w:val="en-US" w:eastAsia="zh-CN" w:bidi="ar-SA"/>
        </w:rPr>
        <w:t>六、</w:t>
      </w:r>
      <w:r>
        <w:rPr>
          <w:rFonts w:hint="eastAsia" w:ascii="仿宋" w:hAnsi="仿宋" w:eastAsia="仿宋" w:cs="仿宋"/>
          <w:b w:val="0"/>
          <w:bCs w:val="0"/>
          <w:color w:val="auto"/>
          <w:sz w:val="21"/>
          <w:szCs w:val="21"/>
          <w:highlight w:val="none"/>
        </w:rPr>
        <w:t>其他补充事宜</w:t>
      </w:r>
      <w:bookmarkEnd w:id="31"/>
      <w:bookmarkEnd w:id="32"/>
      <w:bookmarkStart w:id="973" w:name="_GoBack"/>
      <w:bookmarkEnd w:id="973"/>
    </w:p>
    <w:p w14:paraId="5F69EF5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bidi="ar"/>
        </w:rPr>
      </w:pPr>
      <w:bookmarkStart w:id="33" w:name="_Toc28359008"/>
      <w:bookmarkStart w:id="34" w:name="_Toc35393627"/>
      <w:bookmarkStart w:id="35" w:name="_Toc28359085"/>
      <w:bookmarkStart w:id="36" w:name="_Toc35393796"/>
      <w:r>
        <w:rPr>
          <w:rFonts w:hint="eastAsia" w:ascii="仿宋" w:hAnsi="仿宋" w:eastAsia="仿宋" w:cs="仿宋"/>
          <w:b w:val="0"/>
          <w:bCs w:val="0"/>
          <w:color w:val="auto"/>
          <w:sz w:val="21"/>
          <w:szCs w:val="21"/>
          <w:highlight w:val="none"/>
        </w:rPr>
        <w:t>1、本项目需要落实的政府采购政策：</w:t>
      </w:r>
    </w:p>
    <w:p w14:paraId="6E9DC768">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1）执行《财政部发展改革委关于印发《节能产品政府采购品目清单》的通知》（财库[2019]19号）；</w:t>
      </w:r>
    </w:p>
    <w:p w14:paraId="2F32E2C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2）执行《财政部生态环境部关于印发《环境标志产品政府采购品目清单》的通知（财库[2019]18号）；</w:t>
      </w:r>
    </w:p>
    <w:p w14:paraId="3FA3BCCF">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3）执行财政部、工业和信息化部关于印发《政府采购促进中小企业发展管理办法》的通知财库〔2020〕46号；</w:t>
      </w:r>
    </w:p>
    <w:p w14:paraId="1D0E4306">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4）执行《财政部关于开展政府采购信用担保试点工作方案》（财库[2011]124号）；</w:t>
      </w:r>
    </w:p>
    <w:p w14:paraId="79298551">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5）执行《财政部、司法部关于政府采购支持监狱企业发展有关问题的通知》（财库[2014]68号）；</w:t>
      </w:r>
    </w:p>
    <w:p w14:paraId="098F3720">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6）执行《关于促进残疾人就业政府采购政策的通知》（财库〔2017〕141号）；</w:t>
      </w:r>
    </w:p>
    <w:p w14:paraId="604E00C4">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7）执行《财政部关于在政府采购活动中查询及使用信用记录有关问题的通知》（财库[2016]125号）等相关政策。</w:t>
      </w:r>
    </w:p>
    <w:p w14:paraId="1EAB511A">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8）执行《北京市财政局关于落实好政府采购支持中小企业发展的通知》（京财〔2022〕1143号）。</w:t>
      </w:r>
    </w:p>
    <w:p w14:paraId="02BD8D29">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9）执行《关于进一步加大政府采购支持中小企业力度的通知》（财库〔2022〕19号）。</w:t>
      </w:r>
    </w:p>
    <w:p w14:paraId="15ADBEAE">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2、供应商需递交电子投标文件1份。</w:t>
      </w:r>
    </w:p>
    <w:p w14:paraId="23E09014">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（1）供应商的法定代表人或其委托代理人，应携带加密电子投标文件相对应的移动数字证书CA，准时到现场参加开标。</w:t>
      </w:r>
    </w:p>
    <w:p w14:paraId="5CB9BD1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（2）不按照文件要求递交电子投标文件的，采购人及该授权采购代理均不予受理。</w:t>
      </w:r>
    </w:p>
    <w:p w14:paraId="0FAD887E">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3、电子标相关说明及注意事项</w:t>
      </w:r>
    </w:p>
    <w:p w14:paraId="59405F69">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7454C7F5">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CA数字证书服务热线010-58511086</w:t>
      </w:r>
    </w:p>
    <w:p w14:paraId="71701A4E">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电子营业执照服务热线400-699-7000</w:t>
      </w:r>
    </w:p>
    <w:p w14:paraId="3B782BC1">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技术支持服务热线010-86483801</w:t>
      </w:r>
    </w:p>
    <w:p w14:paraId="52387BA4">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3.1办理CA数字证书或电子营业执照</w:t>
      </w:r>
    </w:p>
    <w:p w14:paraId="7D13A52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供应商登录北京市政府采购电子交易平台查阅用户指南—操作指南—市场主体CA办理操作流程指引/电子营业执照使用指南，按照程序要求办理。</w:t>
      </w:r>
    </w:p>
    <w:p w14:paraId="4AE7575A">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3.2注册</w:t>
      </w:r>
    </w:p>
    <w:p w14:paraId="3375459F">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供应商登录北京市政府采购电子交易平台用户指南—操作指南—市场主体注册入库操作流程指引进行自助注册绑定。</w:t>
      </w:r>
    </w:p>
    <w:p w14:paraId="4FCD734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3.3驱动、客户端下载</w:t>
      </w:r>
    </w:p>
    <w:p w14:paraId="454072CC">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供应商登录北京市政府采购电子交易平台用户指南—工具下载—招标采购系统文件驱动安装包下载相关驱动。</w:t>
      </w:r>
    </w:p>
    <w:p w14:paraId="6DA6C3F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供应商登录北京市政府采购电子交易平台用户指南—工具下载—投标文件编制工具下载相关客户端。</w:t>
      </w:r>
    </w:p>
    <w:p w14:paraId="02C2F4B6">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3.4获取电子招标文件</w:t>
      </w:r>
    </w:p>
    <w:p w14:paraId="3EAA63B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供应商使用CA数字证书或电子营业执照登录北京市政府采购电子交易平台获取电子招标文件。</w:t>
      </w:r>
    </w:p>
    <w:p w14:paraId="781A3B4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59C000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3.5编制电子投标文件</w:t>
      </w:r>
    </w:p>
    <w:p w14:paraId="6862D22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67671281">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3.6提交电子投标文件</w:t>
      </w:r>
    </w:p>
    <w:p w14:paraId="610A59B6">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供应商应于投标截止时间前在北京市政府采购电子交易平台提交电子投标文件，上传电子投标文件过程中请保持与互联网的连接畅通。</w:t>
      </w:r>
    </w:p>
    <w:p w14:paraId="153C1D82">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3.7电子开标</w:t>
      </w:r>
    </w:p>
    <w:p w14:paraId="6E1FA9A5">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6274A063">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（2）在开标当天供应商签到完成且开标时间到达之后对已在系统中递交且完成签到的供应商的投标文件进行解密，解密需使用CA数字证书。</w:t>
      </w:r>
    </w:p>
    <w:p w14:paraId="71D2415B">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CEB653D">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（4）若供应商已申请多把数字证书，请注意使用差别，确保制作的投标文件和开标解密时使用的数字证书一致，造成解密失败的，由供应商负责。</w:t>
      </w:r>
    </w:p>
    <w:p w14:paraId="7E3C8F1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（5）供应商应充分考虑到网络及系统平台可能存在的非正常情况，在投标文件递交截止时间之前完成上传。</w:t>
      </w:r>
    </w:p>
    <w:p w14:paraId="4D572579">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4、公告媒体：本公告在中国政府采购网、北京市政府采购网发布。</w:t>
      </w:r>
    </w:p>
    <w:p w14:paraId="707E34C7">
      <w:pPr>
        <w:pStyle w:val="40"/>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5、中标人在领取中标通知书的当日，需提供加盖单位公章的纸质版投标文件2份。（须与上传电子交易平台的电子文件内容保持一致）</w:t>
      </w:r>
    </w:p>
    <w:p w14:paraId="663B92C2">
      <w:pPr>
        <w:pStyle w:val="4"/>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七、对本次招标提出询问，请按以下方式联系。</w:t>
      </w:r>
      <w:bookmarkEnd w:id="33"/>
      <w:bookmarkEnd w:id="34"/>
      <w:bookmarkEnd w:id="35"/>
      <w:bookmarkEnd w:id="36"/>
    </w:p>
    <w:p w14:paraId="2EAB791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1.采购人信息</w:t>
      </w:r>
      <w:bookmarkStart w:id="37" w:name="_Toc28359009"/>
      <w:bookmarkStart w:id="38" w:name="_Toc28359086"/>
    </w:p>
    <w:p w14:paraId="3EDA268A">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名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称：</w:t>
      </w:r>
      <w:r>
        <w:rPr>
          <w:rFonts w:hint="eastAsia" w:ascii="仿宋" w:hAnsi="仿宋" w:eastAsia="仿宋" w:cs="仿宋"/>
          <w:b w:val="0"/>
          <w:bCs w:val="0"/>
          <w:color w:val="auto"/>
          <w:sz w:val="21"/>
          <w:szCs w:val="21"/>
          <w:highlight w:val="none"/>
          <w:lang w:eastAsia="zh-CN"/>
        </w:rPr>
        <w:t>北京市顺义区杨镇人民政府</w:t>
      </w:r>
    </w:p>
    <w:p w14:paraId="49168C88">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地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址：</w:t>
      </w:r>
      <w:r>
        <w:rPr>
          <w:rFonts w:hint="eastAsia" w:ascii="仿宋" w:hAnsi="仿宋" w:eastAsia="仿宋" w:cs="仿宋"/>
          <w:b w:val="0"/>
          <w:bCs w:val="0"/>
          <w:color w:val="auto"/>
          <w:sz w:val="21"/>
          <w:szCs w:val="21"/>
          <w:highlight w:val="none"/>
          <w:lang w:eastAsia="zh-CN"/>
        </w:rPr>
        <w:t>北京市顺义区杨镇府前街3号</w:t>
      </w:r>
    </w:p>
    <w:p w14:paraId="459DC537">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联系方式：张幸炜</w:t>
      </w:r>
      <w:r>
        <w:rPr>
          <w:rFonts w:hint="eastAsia" w:ascii="仿宋" w:hAnsi="仿宋" w:eastAsia="仿宋" w:cs="仿宋"/>
          <w:b w:val="0"/>
          <w:bCs w:val="0"/>
          <w:color w:val="auto"/>
          <w:sz w:val="21"/>
          <w:szCs w:val="21"/>
          <w:highlight w:val="none"/>
          <w:lang w:val="en-US" w:eastAsia="zh-CN"/>
        </w:rPr>
        <w:t>/61456222</w:t>
      </w:r>
    </w:p>
    <w:p w14:paraId="0150AA87">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2.采购代理机构信息</w:t>
      </w:r>
      <w:bookmarkEnd w:id="37"/>
      <w:bookmarkEnd w:id="38"/>
      <w:bookmarkStart w:id="39" w:name="_Toc28359010"/>
      <w:bookmarkStart w:id="40" w:name="_Toc28359087"/>
    </w:p>
    <w:p w14:paraId="5A6427C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名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称：</w:t>
      </w:r>
      <w:r>
        <w:rPr>
          <w:rFonts w:hint="eastAsia" w:ascii="仿宋" w:hAnsi="仿宋" w:eastAsia="仿宋" w:cs="仿宋"/>
          <w:b w:val="0"/>
          <w:bCs w:val="0"/>
          <w:color w:val="auto"/>
          <w:sz w:val="21"/>
          <w:szCs w:val="21"/>
          <w:highlight w:val="none"/>
          <w:lang w:eastAsia="zh-CN"/>
        </w:rPr>
        <w:t>北京中外建工程管理有限公司</w:t>
      </w:r>
    </w:p>
    <w:p w14:paraId="15DEBFC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地</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址：</w:t>
      </w:r>
      <w:r>
        <w:rPr>
          <w:rFonts w:hint="eastAsia" w:ascii="仿宋" w:hAnsi="仿宋" w:eastAsia="仿宋" w:cs="仿宋"/>
          <w:b w:val="0"/>
          <w:bCs w:val="0"/>
          <w:color w:val="auto"/>
          <w:sz w:val="21"/>
          <w:szCs w:val="21"/>
          <w:highlight w:val="none"/>
          <w:lang w:eastAsia="zh-CN"/>
        </w:rPr>
        <w:t>北京市丰台区福宜街5号院1号楼15层1501</w:t>
      </w:r>
    </w:p>
    <w:p w14:paraId="6C7ADA50">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联系方式：</w:t>
      </w:r>
      <w:r>
        <w:rPr>
          <w:rFonts w:hint="eastAsia" w:ascii="仿宋" w:hAnsi="仿宋" w:eastAsia="仿宋" w:cs="仿宋"/>
          <w:b w:val="0"/>
          <w:bCs w:val="0"/>
          <w:color w:val="auto"/>
          <w:sz w:val="21"/>
          <w:szCs w:val="21"/>
          <w:highlight w:val="none"/>
          <w:lang w:eastAsia="zh-CN"/>
        </w:rPr>
        <w:t>沙鹏、张池阳</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lang w:eastAsia="zh-CN"/>
        </w:rPr>
        <w:t>17610275710</w:t>
      </w:r>
    </w:p>
    <w:p w14:paraId="36983D0A">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3.项目联系方式</w:t>
      </w:r>
      <w:bookmarkEnd w:id="39"/>
      <w:bookmarkEnd w:id="40"/>
    </w:p>
    <w:p w14:paraId="479A6D31">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项目联系人：</w:t>
      </w:r>
      <w:r>
        <w:rPr>
          <w:rFonts w:hint="eastAsia" w:ascii="仿宋" w:hAnsi="仿宋" w:eastAsia="仿宋" w:cs="仿宋"/>
          <w:b w:val="0"/>
          <w:bCs w:val="0"/>
          <w:color w:val="auto"/>
          <w:sz w:val="21"/>
          <w:szCs w:val="21"/>
          <w:highlight w:val="none"/>
          <w:lang w:eastAsia="zh-CN"/>
        </w:rPr>
        <w:t>沙鹏、张池阳</w:t>
      </w:r>
    </w:p>
    <w:p w14:paraId="236B5C06">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电</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话：</w:t>
      </w:r>
      <w:r>
        <w:rPr>
          <w:rFonts w:hint="eastAsia" w:ascii="仿宋" w:hAnsi="仿宋" w:eastAsia="仿宋" w:cs="仿宋"/>
          <w:b w:val="0"/>
          <w:bCs w:val="0"/>
          <w:color w:val="auto"/>
          <w:sz w:val="21"/>
          <w:szCs w:val="21"/>
          <w:highlight w:val="none"/>
          <w:lang w:eastAsia="zh-CN"/>
        </w:rPr>
        <w:t>17610275710</w:t>
      </w:r>
    </w:p>
    <w:p w14:paraId="4FDE6448">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bookmarkStart w:id="41" w:name="_Toc265228423"/>
      <w:bookmarkStart w:id="42" w:name="_Toc353825548"/>
      <w:bookmarkStart w:id="43" w:name="_Toc150774783"/>
      <w:bookmarkStart w:id="44" w:name="_Toc226965856"/>
      <w:bookmarkStart w:id="45" w:name="_Toc353873938"/>
      <w:bookmarkStart w:id="46" w:name="_Toc305158854"/>
      <w:bookmarkStart w:id="47" w:name="_Toc16436"/>
      <w:bookmarkStart w:id="48" w:name="_Toc195842950"/>
      <w:bookmarkStart w:id="49" w:name="_Toc264969275"/>
      <w:bookmarkStart w:id="50" w:name="_Toc127151777"/>
      <w:bookmarkStart w:id="51" w:name="_Toc127161488"/>
      <w:bookmarkStart w:id="52" w:name="_Toc512937850"/>
      <w:bookmarkStart w:id="53" w:name="_Toc305158928"/>
      <w:r>
        <w:rPr>
          <w:rFonts w:hint="eastAsia" w:ascii="仿宋" w:hAnsi="仿宋" w:eastAsia="仿宋" w:cs="仿宋"/>
          <w:b w:val="0"/>
          <w:bCs w:val="0"/>
          <w:color w:val="auto"/>
          <w:sz w:val="21"/>
          <w:szCs w:val="21"/>
          <w:highlight w:val="none"/>
        </w:rPr>
        <w:t>第二章   投标人须知</w:t>
      </w:r>
      <w:bookmarkEnd w:id="41"/>
      <w:bookmarkEnd w:id="42"/>
      <w:bookmarkEnd w:id="43"/>
      <w:bookmarkEnd w:id="44"/>
      <w:bookmarkEnd w:id="45"/>
      <w:bookmarkEnd w:id="46"/>
      <w:bookmarkEnd w:id="47"/>
      <w:bookmarkEnd w:id="48"/>
      <w:bookmarkEnd w:id="49"/>
      <w:bookmarkEnd w:id="50"/>
      <w:bookmarkEnd w:id="51"/>
      <w:bookmarkEnd w:id="52"/>
      <w:bookmarkEnd w:id="53"/>
    </w:p>
    <w:p w14:paraId="61F8573B">
      <w:pPr>
        <w:pStyle w:val="4"/>
        <w:keepNext w:val="0"/>
        <w:keepLines w:val="0"/>
        <w:pageBreakBefore w:val="0"/>
        <w:widowControl w:val="0"/>
        <w:tabs>
          <w:tab w:val="center" w:pos="4592"/>
          <w:tab w:val="left" w:pos="7860"/>
        </w:tabs>
        <w:kinsoku/>
        <w:wordWrap w:val="0"/>
        <w:overflowPunct/>
        <w:topLinePunct/>
        <w:autoSpaceDE/>
        <w:autoSpaceDN/>
        <w:bidi w:val="0"/>
        <w:spacing w:before="0" w:line="360" w:lineRule="auto"/>
        <w:rPr>
          <w:rFonts w:hint="eastAsia" w:ascii="仿宋" w:hAnsi="仿宋" w:eastAsia="仿宋" w:cs="仿宋"/>
          <w:b w:val="0"/>
          <w:bCs w:val="0"/>
          <w:color w:val="auto"/>
          <w:sz w:val="21"/>
          <w:szCs w:val="21"/>
          <w:highlight w:val="none"/>
        </w:rPr>
      </w:pPr>
      <w:bookmarkStart w:id="54" w:name="_Toc149720812"/>
      <w:bookmarkStart w:id="55" w:name="_Toc226337215"/>
      <w:bookmarkStart w:id="56" w:name="_Toc127151519"/>
      <w:bookmarkStart w:id="57" w:name="_Toc151193833"/>
      <w:bookmarkStart w:id="58" w:name="_Toc150480757"/>
      <w:bookmarkStart w:id="59" w:name="_Toc164608788"/>
      <w:bookmarkStart w:id="60" w:name="_Toc164608633"/>
      <w:bookmarkStart w:id="61" w:name="_Toc226965709"/>
      <w:bookmarkStart w:id="62" w:name="_Toc164351613"/>
      <w:bookmarkStart w:id="63" w:name="_Toc150774724"/>
      <w:bookmarkStart w:id="64" w:name="_Toc151193907"/>
      <w:bookmarkStart w:id="65" w:name="_Toc142311021"/>
      <w:bookmarkStart w:id="66" w:name="_Toc151193761"/>
      <w:bookmarkStart w:id="67" w:name="_Toc127151720"/>
      <w:bookmarkStart w:id="68" w:name="_Toc151193689"/>
      <w:bookmarkStart w:id="69" w:name="_Toc127161433"/>
      <w:bookmarkStart w:id="70" w:name="_Toc151193617"/>
      <w:bookmarkStart w:id="71" w:name="_Toc164229360"/>
      <w:bookmarkStart w:id="72" w:name="_Toc226965792"/>
      <w:bookmarkStart w:id="73" w:name="_Toc150774619"/>
      <w:bookmarkStart w:id="74" w:name="_Toc151190146"/>
      <w:bookmarkStart w:id="75" w:name="_Toc226309763"/>
      <w:bookmarkStart w:id="76" w:name="_Toc195842884"/>
      <w:bookmarkStart w:id="77" w:name="_Toc150509270"/>
      <w:bookmarkStart w:id="78" w:name="_Toc164229214"/>
      <w:bookmarkStart w:id="79" w:name="_Toc520356144"/>
      <w:r>
        <w:rPr>
          <w:rFonts w:hint="eastAsia" w:ascii="仿宋" w:hAnsi="仿宋" w:eastAsia="仿宋" w:cs="仿宋"/>
          <w:b w:val="0"/>
          <w:bCs w:val="0"/>
          <w:color w:val="auto"/>
          <w:sz w:val="21"/>
          <w:szCs w:val="21"/>
          <w:highlight w:val="none"/>
        </w:rPr>
        <w:t>投标人须知资料表</w:t>
      </w:r>
    </w:p>
    <w:p w14:paraId="628AA6FB">
      <w:pPr>
        <w:keepNext w:val="0"/>
        <w:keepLines w:val="0"/>
        <w:pageBreakBefore w:val="0"/>
        <w:widowControl w:val="0"/>
        <w:kinsoku/>
        <w:wordWrap w:val="0"/>
        <w:overflowPunct/>
        <w:topLinePunct/>
        <w:autoSpaceDE/>
        <w:autoSpaceDN/>
        <w:bidi w:val="0"/>
        <w:spacing w:line="360" w:lineRule="auto"/>
        <w:ind w:firstLine="48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本表是对投标人须知的具体补充和修改，如有矛盾，均以本资料表为准。标记“■”的选项意为适用于本项目，标记“□”的选项意为不适用于本项目。</w:t>
      </w:r>
    </w:p>
    <w:tbl>
      <w:tblPr>
        <w:tblStyle w:val="46"/>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065"/>
      </w:tblGrid>
      <w:tr w14:paraId="168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1D7E00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条款号</w:t>
            </w:r>
          </w:p>
        </w:tc>
        <w:tc>
          <w:tcPr>
            <w:tcW w:w="1701" w:type="dxa"/>
            <w:vAlign w:val="center"/>
          </w:tcPr>
          <w:p w14:paraId="67B2AA9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条目</w:t>
            </w:r>
          </w:p>
        </w:tc>
        <w:tc>
          <w:tcPr>
            <w:tcW w:w="7065" w:type="dxa"/>
            <w:vAlign w:val="center"/>
          </w:tcPr>
          <w:p w14:paraId="7FB8E8C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内容</w:t>
            </w:r>
          </w:p>
        </w:tc>
      </w:tr>
      <w:tr w14:paraId="12B9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28C89E">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w:t>
            </w:r>
          </w:p>
        </w:tc>
        <w:tc>
          <w:tcPr>
            <w:tcW w:w="1701" w:type="dxa"/>
            <w:vAlign w:val="center"/>
          </w:tcPr>
          <w:p w14:paraId="057C67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项目属性</w:t>
            </w:r>
          </w:p>
        </w:tc>
        <w:tc>
          <w:tcPr>
            <w:tcW w:w="7065" w:type="dxa"/>
            <w:vAlign w:val="center"/>
          </w:tcPr>
          <w:p w14:paraId="4DE58CD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项目属性：</w:t>
            </w:r>
          </w:p>
          <w:p w14:paraId="6ABE772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服务</w:t>
            </w:r>
          </w:p>
          <w:p w14:paraId="0CEA625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■货物</w:t>
            </w:r>
          </w:p>
        </w:tc>
      </w:tr>
      <w:tr w14:paraId="2A4D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1DCD29">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2.3</w:t>
            </w:r>
          </w:p>
        </w:tc>
        <w:tc>
          <w:tcPr>
            <w:tcW w:w="1701" w:type="dxa"/>
            <w:vAlign w:val="center"/>
          </w:tcPr>
          <w:p w14:paraId="1E5FFA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科研仪器设备</w:t>
            </w:r>
          </w:p>
        </w:tc>
        <w:tc>
          <w:tcPr>
            <w:tcW w:w="7065" w:type="dxa"/>
            <w:vAlign w:val="center"/>
          </w:tcPr>
          <w:p w14:paraId="4994343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是否属于科研仪器设备采购项目：</w:t>
            </w:r>
          </w:p>
          <w:p w14:paraId="3644FA9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w:t>
            </w:r>
          </w:p>
          <w:p w14:paraId="654B50B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tc>
      </w:tr>
      <w:tr w14:paraId="42EC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137939">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2.4</w:t>
            </w:r>
          </w:p>
        </w:tc>
        <w:tc>
          <w:tcPr>
            <w:tcW w:w="1701" w:type="dxa"/>
            <w:vAlign w:val="center"/>
          </w:tcPr>
          <w:p w14:paraId="3E50CD5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核心产品</w:t>
            </w:r>
          </w:p>
        </w:tc>
        <w:tc>
          <w:tcPr>
            <w:tcW w:w="7065" w:type="dxa"/>
            <w:vAlign w:val="center"/>
          </w:tcPr>
          <w:p w14:paraId="4464129B">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□关于核心产品本项目</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包不适用。</w:t>
            </w:r>
          </w:p>
          <w:p w14:paraId="63E62BD2">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包为单一产品采购项目。</w:t>
            </w:r>
          </w:p>
          <w:p w14:paraId="7546D6A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w:t>
            </w:r>
            <w:r>
              <w:rPr>
                <w:rFonts w:hint="eastAsia" w:ascii="仿宋" w:hAnsi="仿宋" w:eastAsia="仿宋" w:cs="仿宋"/>
                <w:b w:val="0"/>
                <w:bCs w:val="0"/>
                <w:color w:val="auto"/>
                <w:sz w:val="21"/>
                <w:szCs w:val="21"/>
                <w:highlight w:val="none"/>
                <w:u w:val="single"/>
                <w:lang w:val="en-US" w:eastAsia="zh-CN"/>
              </w:rPr>
              <w:t>01</w:t>
            </w:r>
            <w:r>
              <w:rPr>
                <w:rFonts w:hint="eastAsia" w:ascii="仿宋" w:hAnsi="仿宋" w:eastAsia="仿宋" w:cs="仿宋"/>
                <w:b w:val="0"/>
                <w:bCs w:val="0"/>
                <w:color w:val="auto"/>
                <w:sz w:val="21"/>
                <w:szCs w:val="21"/>
                <w:highlight w:val="none"/>
              </w:rPr>
              <w:t>包为非单一产品采购项目，核心产品为：</w:t>
            </w:r>
            <w:r>
              <w:rPr>
                <w:rFonts w:hint="eastAsia" w:ascii="仿宋" w:hAnsi="仿宋" w:eastAsia="仿宋" w:cs="仿宋"/>
                <w:b w:val="0"/>
                <w:bCs w:val="0"/>
                <w:color w:val="auto"/>
                <w:sz w:val="21"/>
                <w:szCs w:val="21"/>
                <w:highlight w:val="none"/>
                <w:u w:val="single"/>
              </w:rPr>
              <w:t>开放式四章一体机</w:t>
            </w:r>
            <w:r>
              <w:rPr>
                <w:rFonts w:hint="eastAsia" w:ascii="仿宋" w:hAnsi="仿宋" w:eastAsia="仿宋" w:cs="仿宋"/>
                <w:b w:val="0"/>
                <w:bCs w:val="0"/>
                <w:color w:val="auto"/>
                <w:sz w:val="21"/>
                <w:szCs w:val="21"/>
                <w:highlight w:val="none"/>
              </w:rPr>
              <w:t>。</w:t>
            </w:r>
          </w:p>
        </w:tc>
      </w:tr>
      <w:tr w14:paraId="42AC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6816591">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3.1</w:t>
            </w:r>
          </w:p>
        </w:tc>
        <w:tc>
          <w:tcPr>
            <w:tcW w:w="1701" w:type="dxa"/>
            <w:vAlign w:val="center"/>
          </w:tcPr>
          <w:p w14:paraId="2C3014B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现场考察</w:t>
            </w:r>
          </w:p>
        </w:tc>
        <w:tc>
          <w:tcPr>
            <w:tcW w:w="7065" w:type="dxa"/>
            <w:vAlign w:val="center"/>
          </w:tcPr>
          <w:p w14:paraId="5697180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■不组织</w:t>
            </w:r>
          </w:p>
          <w:p w14:paraId="1CD93C0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□组织，考察时间：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分</w:t>
            </w:r>
          </w:p>
          <w:p w14:paraId="3989C9DC">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考察地点：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2587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0E1881">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701" w:type="dxa"/>
            <w:vAlign w:val="center"/>
          </w:tcPr>
          <w:p w14:paraId="7C0CEA9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开标前答疑会</w:t>
            </w:r>
          </w:p>
        </w:tc>
        <w:tc>
          <w:tcPr>
            <w:tcW w:w="7065" w:type="dxa"/>
            <w:vAlign w:val="center"/>
          </w:tcPr>
          <w:p w14:paraId="5D9D3E4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■不召开</w:t>
            </w:r>
          </w:p>
          <w:p w14:paraId="27D7CBA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□召开，召开时间：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分</w:t>
            </w:r>
          </w:p>
          <w:p w14:paraId="38009DC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召开地点：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070C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391C1A">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4.1</w:t>
            </w:r>
          </w:p>
        </w:tc>
        <w:tc>
          <w:tcPr>
            <w:tcW w:w="1701" w:type="dxa"/>
            <w:vAlign w:val="center"/>
          </w:tcPr>
          <w:p w14:paraId="536B778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样品</w:t>
            </w:r>
          </w:p>
        </w:tc>
        <w:tc>
          <w:tcPr>
            <w:tcW w:w="7065" w:type="dxa"/>
            <w:vAlign w:val="center"/>
          </w:tcPr>
          <w:p w14:paraId="03CC503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投标样品递交：</w:t>
            </w:r>
          </w:p>
          <w:p w14:paraId="65F160E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■不需要</w:t>
            </w:r>
          </w:p>
          <w:p w14:paraId="6BA2322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□需要，具体要求如下：</w:t>
            </w:r>
          </w:p>
          <w:p w14:paraId="0660B52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（1）样品制作的标准和要求：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557A7D1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（2）是否需要随样品提交相关检测报告：</w:t>
            </w:r>
          </w:p>
          <w:p w14:paraId="58E09F71">
            <w:pPr>
              <w:keepNext w:val="0"/>
              <w:keepLines w:val="0"/>
              <w:pageBreakBefore w:val="0"/>
              <w:widowControl w:val="0"/>
              <w:kinsoku/>
              <w:wordWrap w:val="0"/>
              <w:overflowPunct/>
              <w:topLinePunct/>
              <w:autoSpaceDE/>
              <w:autoSpaceDN/>
              <w:bidi w:val="0"/>
              <w:spacing w:line="360" w:lineRule="auto"/>
              <w:ind w:firstLine="525" w:firstLineChars="25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□不需要</w:t>
            </w:r>
          </w:p>
          <w:p w14:paraId="13F90D7B">
            <w:pPr>
              <w:keepNext w:val="0"/>
              <w:keepLines w:val="0"/>
              <w:pageBreakBefore w:val="0"/>
              <w:widowControl w:val="0"/>
              <w:kinsoku/>
              <w:wordWrap w:val="0"/>
              <w:overflowPunct/>
              <w:topLinePunct/>
              <w:autoSpaceDE/>
              <w:autoSpaceDN/>
              <w:bidi w:val="0"/>
              <w:spacing w:line="360" w:lineRule="auto"/>
              <w:ind w:firstLine="525" w:firstLineChars="25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□需要</w:t>
            </w:r>
          </w:p>
          <w:p w14:paraId="1B6500D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（3）样品递交要求：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6FEB330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（4）未中标人样品退还：</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08E6A19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（5）中标人样品保管、封存及退还：</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1EBE973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（6）其他要求（如有）：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59BF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shd w:val="clear" w:color="auto" w:fill="auto"/>
            <w:vAlign w:val="center"/>
          </w:tcPr>
          <w:p w14:paraId="635EFCC2">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5.2.5</w:t>
            </w:r>
          </w:p>
        </w:tc>
        <w:tc>
          <w:tcPr>
            <w:tcW w:w="1701" w:type="dxa"/>
            <w:shd w:val="clear" w:color="auto" w:fill="auto"/>
            <w:vAlign w:val="center"/>
          </w:tcPr>
          <w:p w14:paraId="123E06E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标的所属行业</w:t>
            </w:r>
          </w:p>
        </w:tc>
        <w:tc>
          <w:tcPr>
            <w:tcW w:w="7065" w:type="dxa"/>
            <w:shd w:val="clear" w:color="auto" w:fill="auto"/>
            <w:vAlign w:val="center"/>
          </w:tcPr>
          <w:p w14:paraId="0B33294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本项目采购标的对应的中小企业划分标准所属行业：</w:t>
            </w:r>
          </w:p>
          <w:tbl>
            <w:tblPr>
              <w:tblStyle w:val="46"/>
              <w:tblW w:w="6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179"/>
            </w:tblGrid>
            <w:tr w14:paraId="6CF6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352A7EB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标的名称</w:t>
                  </w:r>
                </w:p>
              </w:tc>
              <w:tc>
                <w:tcPr>
                  <w:tcW w:w="3179" w:type="dxa"/>
                  <w:tcBorders>
                    <w:top w:val="single" w:color="auto" w:sz="4" w:space="0"/>
                    <w:left w:val="single" w:color="auto" w:sz="4" w:space="0"/>
                    <w:bottom w:val="single" w:color="auto" w:sz="4" w:space="0"/>
                    <w:right w:val="single" w:color="auto" w:sz="4" w:space="0"/>
                  </w:tcBorders>
                  <w:shd w:val="clear" w:color="auto" w:fill="auto"/>
                  <w:vAlign w:val="center"/>
                </w:tcPr>
                <w:p w14:paraId="22F3A5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中小企业划分标准所属行业</w:t>
                  </w:r>
                </w:p>
              </w:tc>
            </w:tr>
            <w:tr w14:paraId="4E89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78EFDE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lang w:val="en-US" w:eastAsia="zh-CN"/>
                    </w:rPr>
                    <w:t>详见采购需求</w:t>
                  </w:r>
                  <w:r>
                    <w:rPr>
                      <w:rFonts w:hint="eastAsia" w:ascii="仿宋" w:hAnsi="仿宋" w:eastAsia="仿宋" w:cs="仿宋"/>
                      <w:b w:val="0"/>
                      <w:bCs w:val="0"/>
                      <w:color w:val="auto"/>
                      <w:sz w:val="21"/>
                      <w:szCs w:val="21"/>
                      <w:highlight w:val="none"/>
                      <w:lang w:eastAsia="zh-CN"/>
                    </w:rPr>
                    <w:t>）</w:t>
                  </w:r>
                </w:p>
              </w:tc>
              <w:tc>
                <w:tcPr>
                  <w:tcW w:w="3179" w:type="dxa"/>
                  <w:tcBorders>
                    <w:top w:val="single" w:color="auto" w:sz="4" w:space="0"/>
                    <w:left w:val="single" w:color="auto" w:sz="4" w:space="0"/>
                    <w:bottom w:val="single" w:color="auto" w:sz="4" w:space="0"/>
                    <w:right w:val="single" w:color="auto" w:sz="4" w:space="0"/>
                  </w:tcBorders>
                  <w:shd w:val="clear" w:color="auto" w:fill="auto"/>
                  <w:vAlign w:val="center"/>
                </w:tcPr>
                <w:p w14:paraId="3FE2691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工业</w:t>
                  </w:r>
                </w:p>
              </w:tc>
            </w:tr>
          </w:tbl>
          <w:p w14:paraId="5CA711C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tc>
      </w:tr>
      <w:tr w14:paraId="55EE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shd w:val="clear" w:color="auto" w:fill="auto"/>
            <w:vAlign w:val="center"/>
          </w:tcPr>
          <w:p w14:paraId="40ECA88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r>
              <w:rPr>
                <w:rFonts w:hint="eastAsia" w:ascii="仿宋" w:hAnsi="仿宋" w:eastAsia="仿宋" w:cs="仿宋"/>
                <w:b w:val="0"/>
                <w:bCs w:val="0"/>
                <w:color w:val="auto"/>
                <w:sz w:val="21"/>
                <w:szCs w:val="21"/>
                <w:highlight w:val="none"/>
              </w:rPr>
              <w:t>11.2</w:t>
            </w:r>
          </w:p>
        </w:tc>
        <w:tc>
          <w:tcPr>
            <w:tcW w:w="1701" w:type="dxa"/>
            <w:shd w:val="clear" w:color="auto" w:fill="auto"/>
            <w:vAlign w:val="center"/>
          </w:tcPr>
          <w:p w14:paraId="7AB7E0D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7065" w:type="dxa"/>
            <w:shd w:val="clear" w:color="auto" w:fill="auto"/>
            <w:vAlign w:val="center"/>
          </w:tcPr>
          <w:p w14:paraId="3D03737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投标报价的特殊规定：</w:t>
            </w:r>
          </w:p>
          <w:p w14:paraId="41D0F8E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w:t>
            </w:r>
          </w:p>
          <w:p w14:paraId="6F88FAA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□有，具体情形：</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tc>
      </w:tr>
      <w:tr w14:paraId="0AD9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4C3B3507">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12.1</w:t>
            </w:r>
          </w:p>
        </w:tc>
        <w:tc>
          <w:tcPr>
            <w:tcW w:w="1701" w:type="dxa"/>
            <w:vMerge w:val="restart"/>
            <w:shd w:val="clear" w:color="auto" w:fill="auto"/>
            <w:vAlign w:val="center"/>
          </w:tcPr>
          <w:p w14:paraId="6E557C3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w:t>
            </w:r>
          </w:p>
        </w:tc>
        <w:tc>
          <w:tcPr>
            <w:tcW w:w="7065" w:type="dxa"/>
            <w:shd w:val="clear" w:color="auto" w:fill="auto"/>
            <w:vAlign w:val="center"/>
          </w:tcPr>
          <w:p w14:paraId="3A5DBF77">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收取 ■不收取 投标保证金</w:t>
            </w:r>
          </w:p>
          <w:p w14:paraId="7F9C0616">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投标保证金金额：</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元（大写：</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42F9EB3C">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投标保证金形式：</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30D01B7F">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账户名称：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632B3D08">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银行账号：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C87D872">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开户行：</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3C3E6B39">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投标保证金递交截止时间：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58050D50">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有效期：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4020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EEE870">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12.7.2</w:t>
            </w:r>
          </w:p>
        </w:tc>
        <w:tc>
          <w:tcPr>
            <w:tcW w:w="1701" w:type="dxa"/>
            <w:vMerge w:val="continue"/>
            <w:shd w:val="clear" w:color="auto" w:fill="auto"/>
            <w:vAlign w:val="center"/>
          </w:tcPr>
          <w:p w14:paraId="399C063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7065" w:type="dxa"/>
            <w:shd w:val="clear" w:color="auto" w:fill="auto"/>
            <w:vAlign w:val="center"/>
          </w:tcPr>
          <w:p w14:paraId="1BBD87F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投标保证金可以不予退还的其他情形：</w:t>
            </w:r>
          </w:p>
          <w:p w14:paraId="592C58B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w:t>
            </w:r>
          </w:p>
          <w:p w14:paraId="5CED4CED">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■有，具体情形：</w:t>
            </w:r>
          </w:p>
          <w:p w14:paraId="70B8CFF5">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（1）除因不可抗力或招标文件认可的情形以外，中标人放弃中标或者不按本须知的规定与采购人签订合同的；</w:t>
            </w:r>
          </w:p>
          <w:p w14:paraId="334D5483">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（2）提供虚假材料的；</w:t>
            </w:r>
          </w:p>
          <w:p w14:paraId="0808446A">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（3）投标人与其他投标人恶意串通的；</w:t>
            </w:r>
          </w:p>
          <w:p w14:paraId="037DDEF3">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（4）招标文件规定的其他情形。</w:t>
            </w:r>
          </w:p>
        </w:tc>
      </w:tr>
      <w:tr w14:paraId="30FD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3DA950">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13.1</w:t>
            </w:r>
          </w:p>
        </w:tc>
        <w:tc>
          <w:tcPr>
            <w:tcW w:w="1701" w:type="dxa"/>
            <w:vAlign w:val="center"/>
          </w:tcPr>
          <w:p w14:paraId="0D0241C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投标有效期</w:t>
            </w:r>
          </w:p>
        </w:tc>
        <w:tc>
          <w:tcPr>
            <w:tcW w:w="7065" w:type="dxa"/>
            <w:vAlign w:val="center"/>
          </w:tcPr>
          <w:p w14:paraId="7C857EA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自提交投标文件的截止之日起算</w:t>
            </w:r>
            <w:r>
              <w:rPr>
                <w:rFonts w:hint="eastAsia" w:ascii="仿宋" w:hAnsi="仿宋" w:eastAsia="仿宋" w:cs="仿宋"/>
                <w:b w:val="0"/>
                <w:bCs w:val="0"/>
                <w:color w:val="auto"/>
                <w:sz w:val="21"/>
                <w:szCs w:val="21"/>
                <w:highlight w:val="none"/>
                <w:u w:val="single"/>
              </w:rPr>
              <w:t>90</w:t>
            </w:r>
            <w:r>
              <w:rPr>
                <w:rFonts w:hint="eastAsia" w:ascii="仿宋" w:hAnsi="仿宋" w:eastAsia="仿宋" w:cs="仿宋"/>
                <w:b w:val="0"/>
                <w:bCs w:val="0"/>
                <w:color w:val="auto"/>
                <w:sz w:val="21"/>
                <w:szCs w:val="21"/>
                <w:highlight w:val="none"/>
              </w:rPr>
              <w:t>日历天。</w:t>
            </w:r>
          </w:p>
        </w:tc>
      </w:tr>
      <w:tr w14:paraId="20B8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19D546">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18.2</w:t>
            </w:r>
          </w:p>
        </w:tc>
        <w:tc>
          <w:tcPr>
            <w:tcW w:w="1701" w:type="dxa"/>
            <w:vAlign w:val="center"/>
          </w:tcPr>
          <w:p w14:paraId="17495B2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解密时间</w:t>
            </w:r>
          </w:p>
        </w:tc>
        <w:tc>
          <w:tcPr>
            <w:tcW w:w="7065" w:type="dxa"/>
            <w:vAlign w:val="center"/>
          </w:tcPr>
          <w:p w14:paraId="3EED034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解密时间：</w:t>
            </w:r>
            <w:r>
              <w:rPr>
                <w:rFonts w:hint="eastAsia" w:ascii="仿宋" w:hAnsi="仿宋" w:eastAsia="仿宋" w:cs="仿宋"/>
                <w:b w:val="0"/>
                <w:bCs w:val="0"/>
                <w:color w:val="auto"/>
                <w:sz w:val="21"/>
                <w:szCs w:val="21"/>
                <w:highlight w:val="none"/>
                <w:u w:val="single"/>
                <w:lang w:val="en-US" w:eastAsia="zh-CN"/>
              </w:rPr>
              <w:t>90</w:t>
            </w:r>
            <w:r>
              <w:rPr>
                <w:rFonts w:hint="eastAsia" w:ascii="仿宋" w:hAnsi="仿宋" w:eastAsia="仿宋" w:cs="仿宋"/>
                <w:b w:val="0"/>
                <w:bCs w:val="0"/>
                <w:color w:val="auto"/>
                <w:sz w:val="21"/>
                <w:szCs w:val="21"/>
                <w:highlight w:val="none"/>
              </w:rPr>
              <w:t>分钟（建议不少于10分钟）</w:t>
            </w:r>
          </w:p>
        </w:tc>
      </w:tr>
      <w:tr w14:paraId="04C8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AC6008">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18.2</w:t>
            </w:r>
          </w:p>
        </w:tc>
        <w:tc>
          <w:tcPr>
            <w:tcW w:w="1701" w:type="dxa"/>
            <w:vAlign w:val="center"/>
          </w:tcPr>
          <w:p w14:paraId="03BC432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开标会携带资料</w:t>
            </w:r>
          </w:p>
        </w:tc>
        <w:tc>
          <w:tcPr>
            <w:tcW w:w="7065" w:type="dxa"/>
            <w:vAlign w:val="center"/>
          </w:tcPr>
          <w:p w14:paraId="2F579CB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14:paraId="1674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FFFD13">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22.1</w:t>
            </w:r>
          </w:p>
        </w:tc>
        <w:tc>
          <w:tcPr>
            <w:tcW w:w="1701" w:type="dxa"/>
            <w:vAlign w:val="center"/>
          </w:tcPr>
          <w:p w14:paraId="68AF508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确定中标人</w:t>
            </w:r>
          </w:p>
        </w:tc>
        <w:tc>
          <w:tcPr>
            <w:tcW w:w="7065" w:type="dxa"/>
            <w:vAlign w:val="center"/>
          </w:tcPr>
          <w:p w14:paraId="61C002FB">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中标候选人并列的，采购人是否委托评标委员会确定中标人：</w:t>
            </w:r>
          </w:p>
          <w:p w14:paraId="4A974059">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p w14:paraId="6CE2311C">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w:t>
            </w:r>
          </w:p>
          <w:p w14:paraId="2CC19FF4">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中标候选人并列的，按照以下方式确定中标人：</w:t>
            </w:r>
          </w:p>
          <w:p w14:paraId="35EC74EB">
            <w:pPr>
              <w:pStyle w:val="24"/>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■得分且投标报价均相同的，以</w:t>
            </w:r>
            <w:r>
              <w:rPr>
                <w:rFonts w:hint="eastAsia" w:ascii="仿宋" w:hAnsi="仿宋" w:eastAsia="仿宋" w:cs="仿宋"/>
                <w:b w:val="0"/>
                <w:bCs w:val="0"/>
                <w:color w:val="auto"/>
                <w:sz w:val="21"/>
                <w:szCs w:val="21"/>
                <w:highlight w:val="none"/>
                <w:u w:val="single"/>
              </w:rPr>
              <w:t>技术评审</w:t>
            </w:r>
            <w:r>
              <w:rPr>
                <w:rFonts w:hint="eastAsia" w:ascii="仿宋" w:hAnsi="仿宋" w:eastAsia="仿宋" w:cs="仿宋"/>
                <w:b w:val="0"/>
                <w:bCs w:val="0"/>
                <w:color w:val="auto"/>
                <w:sz w:val="21"/>
                <w:szCs w:val="21"/>
                <w:highlight w:val="none"/>
              </w:rPr>
              <w:t>得分高者为中标人</w:t>
            </w:r>
          </w:p>
          <w:p w14:paraId="4A98F67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□随机抽取</w:t>
            </w:r>
          </w:p>
        </w:tc>
      </w:tr>
      <w:tr w14:paraId="08C6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C2DB20">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25.5</w:t>
            </w:r>
          </w:p>
        </w:tc>
        <w:tc>
          <w:tcPr>
            <w:tcW w:w="1701" w:type="dxa"/>
            <w:vAlign w:val="center"/>
          </w:tcPr>
          <w:p w14:paraId="52D6EAB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分包</w:t>
            </w:r>
          </w:p>
        </w:tc>
        <w:tc>
          <w:tcPr>
            <w:tcW w:w="7065" w:type="dxa"/>
            <w:vAlign w:val="center"/>
          </w:tcPr>
          <w:p w14:paraId="192BCF1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本项目的非主体、非关键性工作是否允许分包： </w:t>
            </w:r>
          </w:p>
          <w:p w14:paraId="33CAFA9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■不允许</w:t>
            </w:r>
          </w:p>
          <w:p w14:paraId="2C8B689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□允许，具体要求：</w:t>
            </w:r>
          </w:p>
          <w:p w14:paraId="607AA4F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（1）可以分包履行的具体内容：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3F1984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（2）允许分包的金额或者比例：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14EE23D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（3）其他要求：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2601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16FFBC">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25.6</w:t>
            </w:r>
          </w:p>
        </w:tc>
        <w:tc>
          <w:tcPr>
            <w:tcW w:w="1701" w:type="dxa"/>
            <w:vAlign w:val="center"/>
          </w:tcPr>
          <w:p w14:paraId="250BD6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rPr>
              <w:t>政采贷</w:t>
            </w:r>
          </w:p>
        </w:tc>
        <w:tc>
          <w:tcPr>
            <w:tcW w:w="7065" w:type="dxa"/>
            <w:vAlign w:val="center"/>
          </w:tcPr>
          <w:p w14:paraId="3879015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EF2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169853">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26.1.1</w:t>
            </w:r>
          </w:p>
        </w:tc>
        <w:tc>
          <w:tcPr>
            <w:tcW w:w="1701" w:type="dxa"/>
            <w:vAlign w:val="center"/>
          </w:tcPr>
          <w:p w14:paraId="6B6362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询问</w:t>
            </w:r>
          </w:p>
        </w:tc>
        <w:tc>
          <w:tcPr>
            <w:tcW w:w="7065" w:type="dxa"/>
            <w:vAlign w:val="center"/>
          </w:tcPr>
          <w:p w14:paraId="75F84C8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询问送达形式：</w:t>
            </w:r>
            <w:r>
              <w:rPr>
                <w:rFonts w:hint="eastAsia" w:ascii="仿宋" w:hAnsi="仿宋" w:eastAsia="仿宋" w:cs="仿宋"/>
                <w:b w:val="0"/>
                <w:bCs w:val="0"/>
                <w:color w:val="auto"/>
                <w:sz w:val="21"/>
                <w:szCs w:val="21"/>
                <w:highlight w:val="none"/>
                <w:u w:val="single"/>
              </w:rPr>
              <w:t>纸质</w:t>
            </w:r>
            <w:r>
              <w:rPr>
                <w:rFonts w:hint="eastAsia" w:ascii="仿宋" w:hAnsi="仿宋" w:eastAsia="仿宋" w:cs="仿宋"/>
                <w:b w:val="0"/>
                <w:bCs w:val="0"/>
                <w:color w:val="auto"/>
                <w:sz w:val="21"/>
                <w:szCs w:val="21"/>
                <w:highlight w:val="none"/>
                <w:u w:val="none"/>
                <w:lang w:eastAsia="zh-CN"/>
              </w:rPr>
              <w:t>；</w:t>
            </w:r>
          </w:p>
        </w:tc>
      </w:tr>
      <w:tr w14:paraId="67CF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09587C">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26.3</w:t>
            </w:r>
          </w:p>
        </w:tc>
        <w:tc>
          <w:tcPr>
            <w:tcW w:w="1701" w:type="dxa"/>
            <w:vAlign w:val="center"/>
          </w:tcPr>
          <w:p w14:paraId="708F22B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联系方式</w:t>
            </w:r>
          </w:p>
        </w:tc>
        <w:tc>
          <w:tcPr>
            <w:tcW w:w="7065" w:type="dxa"/>
            <w:vAlign w:val="center"/>
          </w:tcPr>
          <w:p w14:paraId="6F75972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接收询问和质疑的联系方式</w:t>
            </w:r>
          </w:p>
          <w:p w14:paraId="31F4446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联系部门：</w:t>
            </w:r>
            <w:r>
              <w:rPr>
                <w:rFonts w:hint="eastAsia" w:ascii="仿宋" w:hAnsi="仿宋" w:eastAsia="仿宋" w:cs="仿宋"/>
                <w:b w:val="0"/>
                <w:bCs w:val="0"/>
                <w:color w:val="auto"/>
                <w:sz w:val="21"/>
                <w:szCs w:val="21"/>
                <w:highlight w:val="none"/>
                <w:u w:val="single"/>
                <w:lang w:eastAsia="zh-CN"/>
              </w:rPr>
              <w:t>北京中外建工程管理有限公司</w:t>
            </w:r>
            <w:r>
              <w:rPr>
                <w:rFonts w:hint="eastAsia" w:ascii="仿宋" w:hAnsi="仿宋" w:eastAsia="仿宋" w:cs="仿宋"/>
                <w:b w:val="0"/>
                <w:bCs w:val="0"/>
                <w:color w:val="auto"/>
                <w:sz w:val="21"/>
                <w:szCs w:val="21"/>
                <w:highlight w:val="none"/>
              </w:rPr>
              <w:t>；</w:t>
            </w:r>
          </w:p>
          <w:p w14:paraId="35F9F0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联系电话：</w:t>
            </w:r>
            <w:r>
              <w:rPr>
                <w:rFonts w:hint="eastAsia" w:ascii="仿宋" w:hAnsi="仿宋" w:eastAsia="仿宋" w:cs="仿宋"/>
                <w:b w:val="0"/>
                <w:bCs w:val="0"/>
                <w:color w:val="auto"/>
                <w:sz w:val="21"/>
                <w:szCs w:val="21"/>
                <w:highlight w:val="none"/>
                <w:u w:val="single"/>
                <w:lang w:eastAsia="zh-CN"/>
              </w:rPr>
              <w:t>17610275710</w:t>
            </w:r>
            <w:r>
              <w:rPr>
                <w:rFonts w:hint="eastAsia" w:ascii="仿宋" w:hAnsi="仿宋" w:eastAsia="仿宋" w:cs="仿宋"/>
                <w:b w:val="0"/>
                <w:bCs w:val="0"/>
                <w:color w:val="auto"/>
                <w:sz w:val="21"/>
                <w:szCs w:val="21"/>
                <w:highlight w:val="none"/>
              </w:rPr>
              <w:t>；</w:t>
            </w:r>
          </w:p>
          <w:p w14:paraId="65A7C02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通讯地址：</w:t>
            </w:r>
            <w:r>
              <w:rPr>
                <w:rFonts w:hint="eastAsia" w:ascii="仿宋" w:hAnsi="仿宋" w:eastAsia="仿宋" w:cs="仿宋"/>
                <w:b w:val="0"/>
                <w:bCs w:val="0"/>
                <w:color w:val="auto"/>
                <w:sz w:val="21"/>
                <w:szCs w:val="21"/>
                <w:highlight w:val="none"/>
                <w:u w:val="single"/>
                <w:lang w:eastAsia="zh-CN"/>
              </w:rPr>
              <w:t>北京市丰台区福宜街5号院1号楼15层</w:t>
            </w:r>
            <w:r>
              <w:rPr>
                <w:rFonts w:hint="eastAsia" w:ascii="仿宋" w:hAnsi="仿宋" w:eastAsia="仿宋" w:cs="仿宋"/>
                <w:b w:val="0"/>
                <w:bCs w:val="0"/>
                <w:color w:val="auto"/>
                <w:sz w:val="21"/>
                <w:szCs w:val="21"/>
                <w:highlight w:val="none"/>
              </w:rPr>
              <w:t>。</w:t>
            </w:r>
          </w:p>
        </w:tc>
      </w:tr>
      <w:tr w14:paraId="3E97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0FD2D760">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27</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1E325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代理费</w:t>
            </w:r>
          </w:p>
        </w:tc>
        <w:tc>
          <w:tcPr>
            <w:tcW w:w="7065" w:type="dxa"/>
            <w:tcBorders>
              <w:top w:val="single" w:color="auto" w:sz="4" w:space="0"/>
              <w:left w:val="single" w:color="auto" w:sz="4" w:space="0"/>
              <w:bottom w:val="single" w:color="auto" w:sz="4" w:space="0"/>
              <w:right w:val="single" w:color="auto" w:sz="4" w:space="0"/>
            </w:tcBorders>
            <w:shd w:val="clear" w:color="auto" w:fill="auto"/>
            <w:vAlign w:val="center"/>
          </w:tcPr>
          <w:p w14:paraId="2ADCDD7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收费对象：</w:t>
            </w:r>
          </w:p>
          <w:p w14:paraId="1522A35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□采购人</w:t>
            </w:r>
          </w:p>
          <w:p w14:paraId="524C04C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■中标人</w:t>
            </w:r>
          </w:p>
          <w:p w14:paraId="242DF39E">
            <w:pPr>
              <w:keepNext w:val="0"/>
              <w:keepLines w:val="0"/>
              <w:pageBreakBefore w:val="0"/>
              <w:widowControl w:val="0"/>
              <w:numPr>
                <w:ilvl w:val="0"/>
                <w:numId w:val="0"/>
              </w:numPr>
              <w:tabs>
                <w:tab w:val="left" w:pos="156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rPr>
              <w:t>收费标准：</w:t>
            </w:r>
            <w:r>
              <w:rPr>
                <w:rFonts w:hint="eastAsia" w:ascii="仿宋" w:hAnsi="仿宋" w:eastAsia="仿宋" w:cs="仿宋"/>
                <w:b w:val="0"/>
                <w:bCs/>
                <w:color w:val="auto"/>
                <w:sz w:val="21"/>
                <w:szCs w:val="21"/>
                <w:highlight w:val="none"/>
                <w:u w:val="single"/>
              </w:rPr>
              <w:t>根据国家发改委299号文(发改价格〔2015〕299号)关于进一步放开建设项目专业服务价格的通知。参照附件:招标代理服务收费表中</w:t>
            </w:r>
            <w:r>
              <w:rPr>
                <w:rFonts w:hint="eastAsia" w:ascii="仿宋" w:hAnsi="仿宋" w:eastAsia="仿宋" w:cs="仿宋"/>
                <w:b w:val="0"/>
                <w:bCs/>
                <w:color w:val="auto"/>
                <w:sz w:val="21"/>
                <w:szCs w:val="21"/>
                <w:highlight w:val="none"/>
                <w:u w:val="single"/>
                <w:lang w:val="en-US" w:eastAsia="zh-CN"/>
              </w:rPr>
              <w:t>的</w:t>
            </w:r>
            <w:r>
              <w:rPr>
                <w:rFonts w:hint="eastAsia" w:ascii="仿宋" w:hAnsi="仿宋" w:eastAsia="仿宋" w:cs="仿宋"/>
                <w:b w:val="0"/>
                <w:bCs/>
                <w:color w:val="auto"/>
                <w:sz w:val="21"/>
                <w:szCs w:val="21"/>
                <w:highlight w:val="none"/>
                <w:u w:val="single"/>
              </w:rPr>
              <w:t>标准进行差额定率累进法计算，最终以</w:t>
            </w:r>
            <w:r>
              <w:rPr>
                <w:rFonts w:hint="eastAsia" w:ascii="仿宋" w:hAnsi="仿宋" w:eastAsia="仿宋" w:cs="仿宋"/>
                <w:b w:val="0"/>
                <w:bCs/>
                <w:color w:val="auto"/>
                <w:sz w:val="21"/>
                <w:szCs w:val="21"/>
                <w:highlight w:val="none"/>
                <w:u w:val="single"/>
                <w:lang w:val="en-US" w:eastAsia="zh-CN"/>
              </w:rPr>
              <w:t>中标/成交</w:t>
            </w:r>
            <w:r>
              <w:rPr>
                <w:rFonts w:hint="eastAsia" w:ascii="仿宋" w:hAnsi="仿宋" w:eastAsia="仿宋" w:cs="仿宋"/>
                <w:b w:val="0"/>
                <w:bCs/>
                <w:color w:val="auto"/>
                <w:sz w:val="21"/>
                <w:szCs w:val="21"/>
                <w:highlight w:val="none"/>
                <w:u w:val="single"/>
              </w:rPr>
              <w:t>金额为基数计取招标代理服务收费，并下浮20%。</w:t>
            </w:r>
          </w:p>
          <w:p w14:paraId="4FD24734">
            <w:pPr>
              <w:keepNext w:val="0"/>
              <w:keepLines w:val="0"/>
              <w:pageBreakBefore w:val="0"/>
              <w:widowControl w:val="0"/>
              <w:numPr>
                <w:ilvl w:val="0"/>
                <w:numId w:val="0"/>
              </w:numPr>
              <w:tabs>
                <w:tab w:val="left" w:pos="1560"/>
              </w:tabs>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附件:招标代理服务收费表</w:t>
            </w:r>
          </w:p>
          <w:tbl>
            <w:tblPr>
              <w:tblStyle w:val="46"/>
              <w:tblW w:w="500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152"/>
              <w:gridCol w:w="889"/>
              <w:gridCol w:w="889"/>
              <w:gridCol w:w="889"/>
            </w:tblGrid>
            <w:tr w14:paraId="63420F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vMerge w:val="restart"/>
                  <w:tcBorders>
                    <w:top w:val="outset" w:color="auto" w:sz="6" w:space="0"/>
                    <w:left w:val="outset" w:color="auto" w:sz="6" w:space="0"/>
                    <w:right w:val="outset" w:color="auto" w:sz="6" w:space="0"/>
                    <w:tl2br w:val="outset" w:color="auto" w:sz="6" w:space="0"/>
                  </w:tcBorders>
                  <w:noWrap w:val="0"/>
                  <w:vAlign w:val="center"/>
                </w:tcPr>
                <w:p w14:paraId="68013C4A">
                  <w:pPr>
                    <w:keepNext w:val="0"/>
                    <w:keepLines w:val="0"/>
                    <w:pageBreakBefore w:val="0"/>
                    <w:widowControl w:val="0"/>
                    <w:kinsoku/>
                    <w:wordWrap w:val="0"/>
                    <w:overflowPunct/>
                    <w:topLinePunct/>
                    <w:autoSpaceDE/>
                    <w:autoSpaceDN/>
                    <w:bidi w:val="0"/>
                    <w:spacing w:line="360" w:lineRule="auto"/>
                    <w:ind w:firstLine="3150" w:firstLineChars="15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项目类别</w:t>
                  </w:r>
                </w:p>
                <w:p w14:paraId="0FC0092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中标(成交)金额(万元)</w:t>
                  </w:r>
                </w:p>
              </w:tc>
              <w:tc>
                <w:tcPr>
                  <w:tcW w:w="964" w:type="dxa"/>
                  <w:gridSpan w:val="3"/>
                  <w:tcBorders>
                    <w:top w:val="outset" w:color="auto" w:sz="6" w:space="0"/>
                    <w:left w:val="outset" w:color="auto" w:sz="6" w:space="0"/>
                    <w:bottom w:val="outset" w:color="auto" w:sz="6" w:space="0"/>
                    <w:right w:val="outset" w:color="auto" w:sz="6" w:space="0"/>
                  </w:tcBorders>
                  <w:noWrap w:val="0"/>
                  <w:vAlign w:val="center"/>
                </w:tcPr>
                <w:p w14:paraId="69A65EA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标准费率（%）</w:t>
                  </w:r>
                </w:p>
              </w:tc>
            </w:tr>
            <w:tr w14:paraId="3CAEB2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vMerge w:val="continue"/>
                  <w:tcBorders>
                    <w:left w:val="outset" w:color="auto" w:sz="6" w:space="0"/>
                    <w:bottom w:val="outset" w:color="auto" w:sz="6" w:space="0"/>
                    <w:right w:val="outset" w:color="auto" w:sz="6" w:space="0"/>
                    <w:tl2br w:val="outset" w:color="auto" w:sz="6" w:space="0"/>
                  </w:tcBorders>
                  <w:noWrap w:val="0"/>
                  <w:vAlign w:val="center"/>
                </w:tcPr>
                <w:p w14:paraId="002BADA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tc>
              <w:tc>
                <w:tcPr>
                  <w:tcW w:w="964" w:type="dxa"/>
                  <w:tcBorders>
                    <w:top w:val="outset" w:color="auto" w:sz="6" w:space="0"/>
                    <w:left w:val="outset" w:color="auto" w:sz="6" w:space="0"/>
                    <w:bottom w:val="outset" w:color="auto" w:sz="6" w:space="0"/>
                    <w:right w:val="outset" w:color="auto" w:sz="6" w:space="0"/>
                  </w:tcBorders>
                  <w:noWrap w:val="0"/>
                  <w:vAlign w:val="center"/>
                </w:tcPr>
                <w:p w14:paraId="10FF909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531C7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服务</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C4A85D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工程</w:t>
                  </w:r>
                </w:p>
              </w:tc>
            </w:tr>
            <w:tr w14:paraId="732713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016FE89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100以下</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3DC10DB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5F65B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EFAA7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w:t>
                  </w:r>
                </w:p>
              </w:tc>
            </w:tr>
            <w:tr w14:paraId="6AFAFE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43CCB50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100—500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F1654B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793BE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1847B2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0.7</w:t>
                  </w:r>
                </w:p>
              </w:tc>
            </w:tr>
            <w:tr w14:paraId="068F52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769A787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500—1000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7FB63EE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5C46C6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0.45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818B12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0.55</w:t>
                  </w:r>
                </w:p>
              </w:tc>
            </w:tr>
          </w:tbl>
          <w:p w14:paraId="3AF363C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tc>
      </w:tr>
      <w:tr w14:paraId="13C7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4998D353">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14AA991">
            <w:pPr>
              <w:pStyle w:val="24"/>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其他要求</w:t>
            </w:r>
          </w:p>
        </w:tc>
        <w:tc>
          <w:tcPr>
            <w:tcW w:w="7065" w:type="dxa"/>
            <w:tcBorders>
              <w:top w:val="single" w:color="auto" w:sz="4" w:space="0"/>
              <w:left w:val="single" w:color="auto" w:sz="4" w:space="0"/>
              <w:bottom w:val="single" w:color="auto" w:sz="4" w:space="0"/>
              <w:right w:val="single" w:color="auto" w:sz="4" w:space="0"/>
            </w:tcBorders>
            <w:shd w:val="clear" w:color="auto" w:fill="auto"/>
            <w:vAlign w:val="center"/>
          </w:tcPr>
          <w:p w14:paraId="361C8F0A">
            <w:pPr>
              <w:pStyle w:val="24"/>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中标人在领取中标通知书的当日，需提供加盖单位公章的纸质版投标文件2份。（须与上传电子交易平台的电子文件内容保持一致）</w:t>
            </w:r>
          </w:p>
        </w:tc>
      </w:tr>
    </w:tbl>
    <w:p w14:paraId="7B74716B">
      <w:pPr>
        <w:keepNext w:val="0"/>
        <w:keepLines w:val="0"/>
        <w:pageBreakBefore w:val="0"/>
        <w:widowControl w:val="0"/>
        <w:tabs>
          <w:tab w:val="left" w:pos="5580"/>
        </w:tabs>
        <w:kinsoku/>
        <w:wordWrap w:val="0"/>
        <w:overflowPunct/>
        <w:topLinePunct/>
        <w:autoSpaceDE/>
        <w:autoSpaceDN/>
        <w:bidi w:val="0"/>
        <w:adjustRightInd w:val="0"/>
        <w:spacing w:line="360" w:lineRule="auto"/>
        <w:jc w:val="distribute"/>
        <w:rPr>
          <w:rFonts w:hint="eastAsia" w:ascii="仿宋" w:hAnsi="仿宋" w:eastAsia="仿宋" w:cs="仿宋"/>
          <w:b w:val="0"/>
          <w:bCs w:val="0"/>
          <w:color w:val="auto"/>
          <w:sz w:val="21"/>
          <w:szCs w:val="21"/>
          <w:highlight w:val="none"/>
        </w:rPr>
        <w:sectPr>
          <w:footerReference r:id="rId8" w:type="default"/>
          <w:pgSz w:w="11907" w:h="16840"/>
          <w:pgMar w:top="1440" w:right="1080" w:bottom="1440" w:left="1080" w:header="851" w:footer="851" w:gutter="0"/>
          <w:pgNumType w:fmt="decimal" w:start="1"/>
          <w:cols w:space="720" w:num="1"/>
          <w:docGrid w:linePitch="462" w:charSpace="0"/>
        </w:sectPr>
      </w:pPr>
    </w:p>
    <w:p w14:paraId="587E2E8F">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80" w:name="_Toc142311019"/>
      <w:bookmarkStart w:id="81" w:name="_Toc127151517"/>
      <w:bookmarkStart w:id="82" w:name="_Toc353873932"/>
      <w:bookmarkStart w:id="83" w:name="_Toc264969207"/>
      <w:bookmarkStart w:id="84" w:name="_Toc150480755"/>
      <w:bookmarkStart w:id="85" w:name="_Toc195842882"/>
      <w:bookmarkStart w:id="86" w:name="_Toc265228355"/>
      <w:bookmarkStart w:id="87" w:name="_Toc226965790"/>
      <w:bookmarkStart w:id="88" w:name="_Toc226337213"/>
      <w:bookmarkStart w:id="89" w:name="_Toc305158785"/>
      <w:bookmarkStart w:id="90" w:name="_Toc305158859"/>
      <w:bookmarkStart w:id="91" w:name="_Toc353873662"/>
      <w:bookmarkStart w:id="92" w:name="_Toc150774722"/>
      <w:bookmarkStart w:id="93" w:name="_Toc353825542"/>
      <w:r>
        <w:rPr>
          <w:rFonts w:hint="eastAsia" w:ascii="仿宋" w:hAnsi="仿宋" w:eastAsia="仿宋" w:cs="仿宋"/>
          <w:b w:val="0"/>
          <w:bCs w:val="0"/>
          <w:color w:val="auto"/>
          <w:sz w:val="21"/>
          <w:szCs w:val="21"/>
          <w:highlight w:val="none"/>
        </w:rPr>
        <w:t>投标人须知</w:t>
      </w:r>
      <w:bookmarkEnd w:id="80"/>
      <w:bookmarkEnd w:id="81"/>
      <w:bookmarkEnd w:id="82"/>
      <w:bookmarkEnd w:id="83"/>
      <w:bookmarkEnd w:id="84"/>
      <w:bookmarkEnd w:id="85"/>
      <w:bookmarkEnd w:id="86"/>
      <w:bookmarkEnd w:id="87"/>
      <w:bookmarkEnd w:id="88"/>
      <w:bookmarkEnd w:id="89"/>
      <w:bookmarkEnd w:id="90"/>
      <w:bookmarkEnd w:id="91"/>
      <w:bookmarkEnd w:id="92"/>
      <w:bookmarkEnd w:id="93"/>
    </w:p>
    <w:p w14:paraId="1628E4E7">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94" w:name="_Toc151190145"/>
      <w:bookmarkStart w:id="95" w:name="_Toc150480756"/>
      <w:bookmarkStart w:id="96" w:name="_Toc151193760"/>
      <w:bookmarkStart w:id="97" w:name="_Toc265228356"/>
      <w:bookmarkStart w:id="98" w:name="_Toc150774723"/>
      <w:bookmarkStart w:id="99" w:name="_Toc264969208"/>
      <w:bookmarkStart w:id="100" w:name="_Toc226965708"/>
      <w:bookmarkStart w:id="101" w:name="_Toc226965791"/>
      <w:bookmarkStart w:id="102" w:name="_Toc142311020"/>
      <w:bookmarkStart w:id="103" w:name="_Toc151193832"/>
      <w:bookmarkStart w:id="104" w:name="_Toc151193616"/>
      <w:bookmarkStart w:id="105" w:name="_Toc305158860"/>
      <w:bookmarkStart w:id="106" w:name="_Toc226309762"/>
      <w:bookmarkStart w:id="107" w:name="_Toc195842883"/>
      <w:bookmarkStart w:id="108" w:name="_Toc305158786"/>
      <w:bookmarkStart w:id="109" w:name="_Toc151193688"/>
      <w:bookmarkStart w:id="110" w:name="_Toc150509269"/>
      <w:bookmarkStart w:id="111" w:name="_Toc226337214"/>
      <w:bookmarkStart w:id="112" w:name="_Toc150774618"/>
      <w:bookmarkStart w:id="113" w:name="_Toc151193906"/>
      <w:r>
        <w:rPr>
          <w:rFonts w:hint="eastAsia" w:ascii="仿宋" w:hAnsi="仿宋" w:eastAsia="仿宋" w:cs="仿宋"/>
          <w:b w:val="0"/>
          <w:bCs w:val="0"/>
          <w:color w:val="auto"/>
          <w:sz w:val="21"/>
          <w:szCs w:val="21"/>
          <w:highlight w:val="none"/>
        </w:rPr>
        <w:t>一   说  明</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3D130A1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114" w:name="_Toc305158861"/>
      <w:bookmarkStart w:id="115" w:name="_Toc305158787"/>
      <w:bookmarkStart w:id="116" w:name="_Toc264969209"/>
      <w:bookmarkStart w:id="117" w:name="_Toc265228357"/>
      <w:r>
        <w:rPr>
          <w:rFonts w:hint="eastAsia" w:ascii="仿宋" w:hAnsi="仿宋" w:eastAsia="仿宋" w:cs="仿宋"/>
          <w:b w:val="0"/>
          <w:bCs/>
          <w:snapToGrid w:val="0"/>
          <w:color w:val="auto"/>
          <w:kern w:val="0"/>
          <w:sz w:val="21"/>
          <w:szCs w:val="21"/>
          <w:highlight w:val="none"/>
          <w:lang w:val="en-US" w:eastAsia="zh-CN"/>
        </w:rPr>
        <w:t>1采购人、采购代理机构、投标人</w:t>
      </w:r>
      <w:bookmarkEnd w:id="114"/>
      <w:bookmarkEnd w:id="115"/>
      <w:bookmarkEnd w:id="116"/>
      <w:bookmarkEnd w:id="117"/>
      <w:r>
        <w:rPr>
          <w:rFonts w:hint="eastAsia" w:ascii="仿宋" w:hAnsi="仿宋" w:eastAsia="仿宋" w:cs="仿宋"/>
          <w:b w:val="0"/>
          <w:bCs/>
          <w:snapToGrid w:val="0"/>
          <w:color w:val="auto"/>
          <w:kern w:val="0"/>
          <w:sz w:val="21"/>
          <w:szCs w:val="21"/>
          <w:highlight w:val="none"/>
          <w:lang w:val="en-US" w:eastAsia="zh-CN"/>
        </w:rPr>
        <w:t>、联合体</w:t>
      </w:r>
    </w:p>
    <w:p w14:paraId="13930A1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1.1采购人、采购代理机构：指依法进行政府采购的国家机关、事业单位、团体组织，及其委托的采购代理机构。本项目采购人、采购代理机构见第一章《投标邀请》。</w:t>
      </w:r>
    </w:p>
    <w:p w14:paraId="37D0997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1.2投标人（也称“供应商”、“申请人”）：指向采购人提供货物、工程或者服务的法人、其他组织或者自然人。</w:t>
      </w:r>
    </w:p>
    <w:p w14:paraId="74817B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1.3联合体：指两个以上的自然人、法人或者其他组织组成一个联合体，以一个供应商的身份共同参加政府采购。</w:t>
      </w:r>
    </w:p>
    <w:p w14:paraId="5D2014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118" w:name="_Toc164608789"/>
      <w:bookmarkStart w:id="119" w:name="_Toc305158788"/>
      <w:bookmarkStart w:id="120" w:name="_Toc195842885"/>
      <w:bookmarkStart w:id="121" w:name="_Toc150509271"/>
      <w:bookmarkStart w:id="122" w:name="_Toc151193618"/>
      <w:bookmarkStart w:id="123" w:name="_Toc151193690"/>
      <w:bookmarkStart w:id="124" w:name="_Toc164229215"/>
      <w:bookmarkStart w:id="125" w:name="_Toc164351614"/>
      <w:bookmarkStart w:id="126" w:name="_Toc226965710"/>
      <w:bookmarkStart w:id="127" w:name="_Toc149720813"/>
      <w:bookmarkStart w:id="128" w:name="_Toc164608634"/>
      <w:bookmarkStart w:id="129" w:name="_Toc127151520"/>
      <w:bookmarkStart w:id="130" w:name="_Toc150774620"/>
      <w:bookmarkStart w:id="131" w:name="_Toc226965793"/>
      <w:bookmarkStart w:id="132" w:name="_Toc305158862"/>
      <w:bookmarkStart w:id="133" w:name="_Toc127151721"/>
      <w:bookmarkStart w:id="134" w:name="_Toc226309764"/>
      <w:bookmarkStart w:id="135" w:name="_Toc151193908"/>
      <w:bookmarkStart w:id="136" w:name="_Toc264969210"/>
      <w:bookmarkStart w:id="137" w:name="_Toc164229361"/>
      <w:bookmarkStart w:id="138" w:name="_Toc127161434"/>
      <w:bookmarkStart w:id="139" w:name="_Toc226337216"/>
      <w:bookmarkStart w:id="140" w:name="_Toc150774725"/>
      <w:bookmarkStart w:id="141" w:name="_Toc150480758"/>
      <w:bookmarkStart w:id="142" w:name="_Toc142311022"/>
      <w:bookmarkStart w:id="143" w:name="_Toc151190147"/>
      <w:bookmarkStart w:id="144" w:name="_Toc265228358"/>
      <w:bookmarkStart w:id="145" w:name="_Toc151193762"/>
      <w:bookmarkStart w:id="146" w:name="_Toc151193834"/>
      <w:r>
        <w:rPr>
          <w:rFonts w:hint="eastAsia" w:ascii="仿宋" w:hAnsi="仿宋" w:eastAsia="仿宋" w:cs="仿宋"/>
          <w:b w:val="0"/>
          <w:bCs/>
          <w:snapToGrid w:val="0"/>
          <w:color w:val="auto"/>
          <w:kern w:val="0"/>
          <w:sz w:val="21"/>
          <w:szCs w:val="21"/>
          <w:highlight w:val="none"/>
          <w:lang w:val="en-US" w:eastAsia="zh-CN"/>
        </w:rPr>
        <w:t>2资金来源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仿宋" w:hAnsi="仿宋" w:eastAsia="仿宋" w:cs="仿宋"/>
          <w:b w:val="0"/>
          <w:bCs/>
          <w:snapToGrid w:val="0"/>
          <w:color w:val="auto"/>
          <w:kern w:val="0"/>
          <w:sz w:val="21"/>
          <w:szCs w:val="21"/>
          <w:highlight w:val="none"/>
          <w:lang w:val="en-US" w:eastAsia="zh-CN"/>
        </w:rPr>
        <w:t>、项目属性、科研仪器设备采购、核心产品</w:t>
      </w:r>
    </w:p>
    <w:p w14:paraId="032B84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2.1资金来源为财政性资金和/或本项目采购中无法与财政性资金分割的非财政性资金。</w:t>
      </w:r>
    </w:p>
    <w:p w14:paraId="6E4FABF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2.2项目属性见《投标人须知资料表》。</w:t>
      </w:r>
    </w:p>
    <w:p w14:paraId="3ED655F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2.3是否属于科研仪器设备采购见《投标人须知资料表》。</w:t>
      </w:r>
    </w:p>
    <w:p w14:paraId="672226F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2.4核心产品见《投标人须知资料表》。</w:t>
      </w:r>
    </w:p>
    <w:p w14:paraId="7ED4A3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3现场考察、开标前答疑会</w:t>
      </w:r>
    </w:p>
    <w:p w14:paraId="7A77657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3.1若《投标人须知资料表》中规定了组织现场考察、召开开标前答疑会，则投标人应按要求在规定的时间和地点参加。</w:t>
      </w:r>
      <w:bookmarkStart w:id="147" w:name="_Toc305158864"/>
      <w:bookmarkStart w:id="148" w:name="_Toc305158790"/>
      <w:bookmarkStart w:id="149" w:name="_Toc265228360"/>
      <w:bookmarkStart w:id="150" w:name="_Toc151193836"/>
      <w:bookmarkStart w:id="151" w:name="_Toc150774727"/>
      <w:bookmarkStart w:id="152" w:name="_Toc226965795"/>
      <w:bookmarkStart w:id="153" w:name="_Toc226309766"/>
      <w:bookmarkStart w:id="154" w:name="_Toc150774622"/>
      <w:bookmarkStart w:id="155" w:name="_Toc226337218"/>
      <w:bookmarkStart w:id="156" w:name="_Toc226965712"/>
      <w:bookmarkStart w:id="157" w:name="_Toc151190149"/>
      <w:bookmarkStart w:id="158" w:name="_Toc142311024"/>
      <w:bookmarkStart w:id="159" w:name="_Toc150509273"/>
      <w:bookmarkStart w:id="160" w:name="_Toc520356146"/>
      <w:bookmarkStart w:id="161" w:name="_Toc151193620"/>
      <w:bookmarkStart w:id="162" w:name="_Toc151193692"/>
      <w:bookmarkStart w:id="163" w:name="_Toc151193764"/>
      <w:bookmarkStart w:id="164" w:name="_Toc264969212"/>
      <w:bookmarkStart w:id="165" w:name="_Toc127151522"/>
      <w:bookmarkStart w:id="166" w:name="_Toc195842887"/>
      <w:bookmarkStart w:id="167" w:name="_Toc150480760"/>
      <w:bookmarkStart w:id="168" w:name="_Toc151193910"/>
    </w:p>
    <w:p w14:paraId="1BA7AE5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3.2由于未参加现场考察或开标前答疑会而导致对项目实际情况不了解，影响投标文件编制、投标报价准确性、综合因素响应不全面等问题的，由投标人自行承担不利评审后果。</w:t>
      </w:r>
    </w:p>
    <w:p w14:paraId="7E71A8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4样品</w:t>
      </w:r>
    </w:p>
    <w:p w14:paraId="69767F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4.1本项目是否要求投标人提供样品，以及样品制作的标准和要求、是否需要随样品提交相关检测报告、样品的递交与退还等要求见《投标人须知资料表》。</w:t>
      </w:r>
    </w:p>
    <w:p w14:paraId="579110F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4.2样品的评审方法以及评审标准等内容见第四章《评标方法和评标标准》。</w:t>
      </w:r>
    </w:p>
    <w:p w14:paraId="6D309FC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5政府采购政策（包括但不限于下列具体政策要求）</w:t>
      </w:r>
    </w:p>
    <w:p w14:paraId="3098E2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5.1采购本国货物、工程和服务</w:t>
      </w:r>
    </w:p>
    <w:p w14:paraId="34D72BF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5.1.1政府采购应当采购本国货物、工程和服务。但有《中华人民共和国政府采购法》第十条规定情形的除外。</w:t>
      </w:r>
    </w:p>
    <w:p w14:paraId="7C078D3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5.1.2本项目如接受非本国货物、工程、服务参与投标， 则具体要求见第四章《采购需求》。</w:t>
      </w:r>
    </w:p>
    <w:p w14:paraId="1393547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F2DD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5.2中小企业、监狱企业及残疾人福利性单位</w:t>
      </w:r>
    </w:p>
    <w:p w14:paraId="2E3A783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5.2.1中小企业定义：</w:t>
      </w:r>
    </w:p>
    <w:p w14:paraId="272E6D7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0B561AD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5.2.1.2供应商提供的货物、工程或者服务符合下列情形的，享受中小企业扶持政策：</w:t>
      </w:r>
    </w:p>
    <w:p w14:paraId="3142FF4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（1）在货物采购项目中，货物由中小企业制造，即货物由中小企业生产且使用该中小企业商号或者注册商标；</w:t>
      </w:r>
    </w:p>
    <w:p w14:paraId="38A6A0A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（2）在工程采购项目中，工程由中小企业承建，即工程施工单位为中小企业；</w:t>
      </w:r>
    </w:p>
    <w:p w14:paraId="0BF937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（3）在服务采购项目中，服务由中小企业承接，即提供服务的人员为中小企业依照《中华人民共和国劳动合同法》订立劳动合同的从业人员。</w:t>
      </w:r>
    </w:p>
    <w:p w14:paraId="0AC77C7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5.2.1.3在货物采购项目中，供应商提供的货物既有中小企业制造货物，也有大型企业制造货物的，不享受中小企业扶持政策。</w:t>
      </w:r>
    </w:p>
    <w:p w14:paraId="0CDDADD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5.2.1.4以联合体形式参加政府采购活动，联合体各方均为中小企业的，联合体视同中小企业。其中，联合体各方均为小微企业的，联合体视同小微企业。</w:t>
      </w:r>
    </w:p>
    <w:p w14:paraId="0A1391A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6FBE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9CE344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5.2.3.1安置的残疾人占本单位在职职工人数的比例不低于25%（含25%），并且安置的残疾人人数不少于10人（含10人）；</w:t>
      </w:r>
    </w:p>
    <w:p w14:paraId="5E129FC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5.2.3.2依法与安置的每位残疾人签订了一年以上（含一年）的劳动合同或服务协议；</w:t>
      </w:r>
    </w:p>
    <w:p w14:paraId="55F242F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5.2.3.3为安置的每位残疾人按月足额缴纳了基本养老保险、基本医疗保险、失业保险、工伤保险和生育保险等社会保险费；</w:t>
      </w:r>
    </w:p>
    <w:p w14:paraId="32B696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5.2.3.4通过银行等金融机构向安置的每位残疾人，按月支付了不低于单位所在区县适用的经省级人民政府批准的月最低工资标准的工资；</w:t>
      </w:r>
    </w:p>
    <w:p w14:paraId="7BDAF3D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5.2.3.5提供本单位制造的货物、承担的工程或者服务（以下简称产品），或者提供其他残疾人福利性单位制造的货物（不包括使用非残疾人福利性单位注册商标的货物）；</w:t>
      </w:r>
    </w:p>
    <w:p w14:paraId="33A1045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75D84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5.2.4本项目是否专门面向中小企业预留采购份额见第一章《投标邀请》。</w:t>
      </w:r>
    </w:p>
    <w:p w14:paraId="32342FA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5.2.5采购标的对应的中小企业划分标准所属行业见《投标人须知资料表》。</w:t>
      </w:r>
    </w:p>
    <w:p w14:paraId="42106D3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5.2.6小微企业价格评审优惠的政策调整：见第四章《评标程序、评标方法和评标标准》。</w:t>
      </w:r>
    </w:p>
    <w:p w14:paraId="12D282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5.3政府采购节能产品、环境标志产品</w:t>
      </w:r>
    </w:p>
    <w:p w14:paraId="67626F1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2F443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084B6D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5.3.3如本项目采购产品属于实施政府强制采购品目清单范围的节能产品，则投标人所报产品必须获得国家确定的认证机构出具的、处于有效期之内的节能产品认证证书，否则投标无效；</w:t>
      </w:r>
    </w:p>
    <w:p w14:paraId="5C68CC6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5.3.4非政府强制采购的节能产品或环境标志产品，依据品目清单和认证证书实施政府优先采购。优先采购的具体规定见第四章《评标方法和评标标准》（如涉及）。</w:t>
      </w:r>
    </w:p>
    <w:p w14:paraId="713717C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5.4正版软件</w:t>
      </w:r>
    </w:p>
    <w:p w14:paraId="7BB385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56562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5.5网络安全专用产品</w:t>
      </w:r>
    </w:p>
    <w:p w14:paraId="7888F4C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546879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5.6推广使用低挥发性有机化合物（VOCs）</w:t>
      </w:r>
    </w:p>
    <w:p w14:paraId="3A6D15F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投标无效；属于推荐性标准的，优先采购，具体见第四章《评标方法和评标标准》。</w:t>
      </w:r>
    </w:p>
    <w:p w14:paraId="359EEED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5.7采购需求标准</w:t>
      </w:r>
    </w:p>
    <w:p w14:paraId="2010F0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5.7.1商品包装、快递包装政府采购需求标准（试行）</w:t>
      </w:r>
    </w:p>
    <w:p w14:paraId="3E1B3C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7A16A8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5.7.2其他政府采购需求标准</w:t>
      </w:r>
    </w:p>
    <w:p w14:paraId="215F318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为贯彻落实《深化政府采购制度改革方案》有关要求，推动政府采购需求标准建设，财政部门会同有关部门制定发布的其他政府采购需求标准，本项目如涉及，则具体要求见第五章《采购需求》。</w:t>
      </w:r>
    </w:p>
    <w:p w14:paraId="6F2956F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6投标费用</w:t>
      </w:r>
    </w:p>
    <w:p w14:paraId="4CB2E57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6.1投标人应自行承担所有与准备和参加投标有关的费用，无论投标的结果如何，采购人或采购代理机构在任何情况下均无承担这些费用的义务和责任。</w:t>
      </w:r>
      <w:bookmarkStart w:id="169" w:name="_1.8_计量单位"/>
      <w:bookmarkEnd w:id="169"/>
    </w:p>
    <w:p w14:paraId="0563E0D6">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4104FA4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170" w:name="_Toc226309767"/>
      <w:bookmarkStart w:id="171" w:name="_Toc520356147"/>
      <w:bookmarkStart w:id="172" w:name="_Toc150480761"/>
      <w:bookmarkStart w:id="173" w:name="_Toc150509274"/>
      <w:bookmarkStart w:id="174" w:name="_Toc142311025"/>
      <w:bookmarkStart w:id="175" w:name="_Toc127151724"/>
      <w:bookmarkStart w:id="176" w:name="_Toc164229218"/>
      <w:bookmarkStart w:id="177" w:name="_Toc305158865"/>
      <w:bookmarkStart w:id="178" w:name="_Toc151193911"/>
      <w:bookmarkStart w:id="179" w:name="_Toc150774728"/>
      <w:bookmarkStart w:id="180" w:name="_Toc195842888"/>
      <w:bookmarkStart w:id="181" w:name="_Toc149720816"/>
      <w:bookmarkStart w:id="182" w:name="_Toc164608637"/>
      <w:bookmarkStart w:id="183" w:name="_Toc127151523"/>
      <w:bookmarkStart w:id="184" w:name="_Toc151193765"/>
      <w:bookmarkStart w:id="185" w:name="_Toc151193621"/>
      <w:bookmarkStart w:id="186" w:name="_Toc127161437"/>
      <w:bookmarkStart w:id="187" w:name="_Toc151193837"/>
      <w:bookmarkStart w:id="188" w:name="_Toc226965796"/>
      <w:bookmarkStart w:id="189" w:name="_Toc151190150"/>
      <w:bookmarkStart w:id="190" w:name="_Toc305158791"/>
      <w:bookmarkStart w:id="191" w:name="_Toc226337219"/>
      <w:bookmarkStart w:id="192" w:name="_Toc164608792"/>
      <w:bookmarkStart w:id="193" w:name="_Toc164229364"/>
      <w:bookmarkStart w:id="194" w:name="_Toc226965713"/>
      <w:bookmarkStart w:id="195" w:name="_Toc151193693"/>
      <w:bookmarkStart w:id="196" w:name="_Toc264969213"/>
      <w:bookmarkStart w:id="197" w:name="_Toc265228361"/>
      <w:bookmarkStart w:id="198" w:name="_Toc164351617"/>
      <w:bookmarkStart w:id="199" w:name="_Toc150774623"/>
      <w:r>
        <w:rPr>
          <w:rFonts w:hint="eastAsia" w:ascii="仿宋" w:hAnsi="仿宋" w:eastAsia="仿宋" w:cs="仿宋"/>
          <w:b w:val="0"/>
          <w:bCs/>
          <w:snapToGrid w:val="0"/>
          <w:color w:val="auto"/>
          <w:kern w:val="0"/>
          <w:sz w:val="21"/>
          <w:szCs w:val="21"/>
          <w:highlight w:val="none"/>
          <w:lang w:val="en-US" w:eastAsia="zh-CN"/>
        </w:rPr>
        <w:t>7招标文件构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仿宋" w:hAnsi="仿宋" w:eastAsia="仿宋" w:cs="仿宋"/>
          <w:b w:val="0"/>
          <w:bCs/>
          <w:snapToGrid w:val="0"/>
          <w:color w:val="auto"/>
          <w:kern w:val="0"/>
          <w:sz w:val="21"/>
          <w:szCs w:val="21"/>
          <w:highlight w:val="none"/>
          <w:lang w:val="en-US" w:eastAsia="zh-CN"/>
        </w:rPr>
        <w:t>成</w:t>
      </w:r>
    </w:p>
    <w:p w14:paraId="194996E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7.1招标文件包括以下部分：</w:t>
      </w:r>
    </w:p>
    <w:p w14:paraId="2679F64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第一章  投标邀请</w:t>
      </w:r>
    </w:p>
    <w:p w14:paraId="07C31ED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第二章  投标人须知</w:t>
      </w:r>
    </w:p>
    <w:p w14:paraId="1E216F8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第三章  资格审查</w:t>
      </w:r>
    </w:p>
    <w:p w14:paraId="6706F93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第四章  评标程序、评标方法和评标标准</w:t>
      </w:r>
    </w:p>
    <w:p w14:paraId="72A6BA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第五章  采购需求</w:t>
      </w:r>
    </w:p>
    <w:p w14:paraId="08AE2F2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第六章  拟签订的合同文本</w:t>
      </w:r>
    </w:p>
    <w:p w14:paraId="13FB7C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第七章  投标文件格式</w:t>
      </w:r>
    </w:p>
    <w:p w14:paraId="1A88C48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7.2投标人应认真阅读招标文件的全部内容。投标人应按照招标文件要求提交投标文件并保证所提供的全部资料的真实性，并对招标文件做出实质性响应，否则投标无效。</w:t>
      </w:r>
    </w:p>
    <w:p w14:paraId="7F973D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8对招标文件的澄清或修改</w:t>
      </w:r>
    </w:p>
    <w:p w14:paraId="208251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8.1采购人或采购代理机构对已发出的招标文件进行必要澄清或者修改的，将在原公告发布媒体上发布更正公告，并以书面形式通知所有获取招标文件的潜在投标人。</w:t>
      </w:r>
    </w:p>
    <w:p w14:paraId="1D0528D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8.2上述书面通知，按照获取招标文件的潜在投标人提供的联系方式发出，因提供的信息有误导致通知延迟或无法通知的，采购人或采购代理机构不承担责任。</w:t>
      </w:r>
    </w:p>
    <w:p w14:paraId="1EDEF1C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7CB79D">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snapToGrid w:val="0"/>
          <w:color w:val="auto"/>
          <w:kern w:val="0"/>
          <w:sz w:val="21"/>
          <w:szCs w:val="21"/>
          <w:highlight w:val="none"/>
          <w:lang w:val="en-US" w:eastAsia="zh-CN"/>
        </w:rPr>
      </w:pPr>
      <w:bookmarkStart w:id="200" w:name="_Toc516367020"/>
      <w:bookmarkStart w:id="201" w:name="_Toc151193914"/>
      <w:bookmarkStart w:id="202" w:name="_Toc305158868"/>
      <w:bookmarkStart w:id="203" w:name="_Toc195842891"/>
      <w:bookmarkStart w:id="204" w:name="_Toc150509277"/>
      <w:bookmarkStart w:id="205" w:name="_Toc520356150"/>
      <w:bookmarkStart w:id="206" w:name="_Toc142311028"/>
      <w:bookmarkStart w:id="207" w:name="_Toc226965799"/>
      <w:bookmarkStart w:id="208" w:name="_Toc150480764"/>
      <w:bookmarkStart w:id="209" w:name="_Toc226965716"/>
      <w:bookmarkStart w:id="210" w:name="_Toc127151526"/>
      <w:bookmarkStart w:id="211" w:name="_Toc150774626"/>
      <w:bookmarkStart w:id="212" w:name="_Toc151193696"/>
      <w:bookmarkStart w:id="213" w:name="_Toc151193840"/>
      <w:bookmarkStart w:id="214" w:name="_Toc151193768"/>
      <w:bookmarkStart w:id="215" w:name="_Toc151190153"/>
      <w:bookmarkStart w:id="216" w:name="_Toc226337222"/>
      <w:bookmarkStart w:id="217" w:name="_Toc305158794"/>
      <w:bookmarkStart w:id="218" w:name="_Toc265228364"/>
      <w:bookmarkStart w:id="219" w:name="_Toc264969216"/>
      <w:bookmarkStart w:id="220" w:name="_Toc150774731"/>
      <w:bookmarkStart w:id="221" w:name="_Toc226309770"/>
      <w:bookmarkStart w:id="222" w:name="_Toc151193624"/>
      <w:r>
        <w:rPr>
          <w:rFonts w:hint="eastAsia" w:ascii="仿宋" w:hAnsi="仿宋" w:eastAsia="仿宋" w:cs="仿宋"/>
          <w:b w:val="0"/>
          <w:bCs/>
          <w:snapToGrid w:val="0"/>
          <w:color w:val="auto"/>
          <w:kern w:val="0"/>
          <w:sz w:val="21"/>
          <w:szCs w:val="21"/>
          <w:highlight w:val="none"/>
          <w:lang w:val="en-US" w:eastAsia="zh-CN"/>
        </w:rPr>
        <w:t>三   投标文件</w:t>
      </w:r>
      <w:bookmarkEnd w:id="200"/>
      <w:r>
        <w:rPr>
          <w:rFonts w:hint="eastAsia" w:ascii="仿宋" w:hAnsi="仿宋" w:eastAsia="仿宋" w:cs="仿宋"/>
          <w:b w:val="0"/>
          <w:bCs/>
          <w:snapToGrid w:val="0"/>
          <w:color w:val="auto"/>
          <w:kern w:val="0"/>
          <w:sz w:val="21"/>
          <w:szCs w:val="21"/>
          <w:highlight w:val="none"/>
          <w:lang w:val="en-US" w:eastAsia="zh-CN"/>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08B247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223" w:name="_Toc226309771"/>
      <w:bookmarkStart w:id="224" w:name="_Toc151193769"/>
      <w:bookmarkStart w:id="225" w:name="_Toc150774732"/>
      <w:bookmarkStart w:id="226" w:name="_Toc151193697"/>
      <w:bookmarkStart w:id="227" w:name="_Toc164351621"/>
      <w:bookmarkStart w:id="228" w:name="_Toc164229368"/>
      <w:bookmarkStart w:id="229" w:name="_Toc305158869"/>
      <w:bookmarkStart w:id="230" w:name="_Toc150480765"/>
      <w:bookmarkStart w:id="231" w:name="_Toc226337223"/>
      <w:bookmarkStart w:id="232" w:name="_Toc151193625"/>
      <w:bookmarkStart w:id="233" w:name="_Toc516367021"/>
      <w:bookmarkStart w:id="234" w:name="_Toc127161441"/>
      <w:bookmarkStart w:id="235" w:name="_Toc151193915"/>
      <w:bookmarkStart w:id="236" w:name="_Toc164229222"/>
      <w:bookmarkStart w:id="237" w:name="_Toc149720820"/>
      <w:bookmarkStart w:id="238" w:name="_Toc151190154"/>
      <w:bookmarkStart w:id="239" w:name="_Toc264969217"/>
      <w:bookmarkStart w:id="240" w:name="_Toc127151527"/>
      <w:bookmarkStart w:id="241" w:name="_Toc151193841"/>
      <w:bookmarkStart w:id="242" w:name="_Toc195842892"/>
      <w:bookmarkStart w:id="243" w:name="_Toc150774627"/>
      <w:bookmarkStart w:id="244" w:name="_Toc226965800"/>
      <w:bookmarkStart w:id="245" w:name="_Toc226965717"/>
      <w:bookmarkStart w:id="246" w:name="_Toc164608796"/>
      <w:bookmarkStart w:id="247" w:name="_Toc142311029"/>
      <w:bookmarkStart w:id="248" w:name="_Toc520356151"/>
      <w:bookmarkStart w:id="249" w:name="_Toc265228365"/>
      <w:bookmarkStart w:id="250" w:name="_Toc127151728"/>
      <w:bookmarkStart w:id="251" w:name="_Toc164608641"/>
      <w:bookmarkStart w:id="252" w:name="_Toc305158795"/>
      <w:bookmarkStart w:id="253" w:name="_Toc150509278"/>
      <w:r>
        <w:rPr>
          <w:rFonts w:hint="eastAsia" w:ascii="仿宋" w:hAnsi="仿宋" w:eastAsia="仿宋" w:cs="仿宋"/>
          <w:b w:val="0"/>
          <w:bCs/>
          <w:snapToGrid w:val="0"/>
          <w:color w:val="auto"/>
          <w:kern w:val="0"/>
          <w:sz w:val="21"/>
          <w:szCs w:val="21"/>
          <w:highlight w:val="none"/>
          <w:lang w:val="en-US" w:eastAsia="zh-CN"/>
        </w:rPr>
        <w:t>9投标范围、投标文件中计量单位的使用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hint="eastAsia" w:ascii="仿宋" w:hAnsi="仿宋" w:eastAsia="仿宋" w:cs="仿宋"/>
          <w:b w:val="0"/>
          <w:bCs/>
          <w:snapToGrid w:val="0"/>
          <w:color w:val="auto"/>
          <w:kern w:val="0"/>
          <w:sz w:val="21"/>
          <w:szCs w:val="21"/>
          <w:highlight w:val="none"/>
          <w:lang w:val="en-US" w:eastAsia="zh-CN"/>
        </w:rPr>
        <w:t>及投标语言</w:t>
      </w:r>
    </w:p>
    <w:p w14:paraId="2DA491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p>
    <w:p w14:paraId="3102D5A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9.2除招标文件有特殊要求外，本项目投标所使用的计量单位，应采用中华人民共和国法定计量单位。</w:t>
      </w:r>
    </w:p>
    <w:p w14:paraId="40AF342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8904B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254" w:name="_Ref467306195"/>
      <w:bookmarkStart w:id="255" w:name="_Toc516367022"/>
      <w:bookmarkStart w:id="256" w:name="_Ref467306676"/>
      <w:bookmarkStart w:id="257" w:name="_Toc150480766"/>
      <w:bookmarkStart w:id="258" w:name="_Toc151193916"/>
      <w:bookmarkStart w:id="259" w:name="_Toc305158796"/>
      <w:bookmarkStart w:id="260" w:name="_Toc164608797"/>
      <w:bookmarkStart w:id="261" w:name="_Toc127161442"/>
      <w:bookmarkStart w:id="262" w:name="_Toc305158870"/>
      <w:bookmarkStart w:id="263" w:name="_Toc520356152"/>
      <w:bookmarkStart w:id="264" w:name="_Toc264969218"/>
      <w:bookmarkStart w:id="265" w:name="_Toc151193770"/>
      <w:bookmarkStart w:id="266" w:name="_Toc150774733"/>
      <w:bookmarkStart w:id="267" w:name="_Toc226337224"/>
      <w:bookmarkStart w:id="268" w:name="_Toc151193842"/>
      <w:bookmarkStart w:id="269" w:name="_Toc226965801"/>
      <w:bookmarkStart w:id="270" w:name="_Toc164608642"/>
      <w:bookmarkStart w:id="271" w:name="_Toc127151729"/>
      <w:bookmarkStart w:id="272" w:name="_Toc265228366"/>
      <w:bookmarkStart w:id="273" w:name="_Toc226965718"/>
      <w:bookmarkStart w:id="274" w:name="_Toc226309772"/>
      <w:bookmarkStart w:id="275" w:name="_Toc149720821"/>
      <w:bookmarkStart w:id="276" w:name="_Toc195842893"/>
      <w:bookmarkStart w:id="277" w:name="_Toc164229223"/>
      <w:bookmarkStart w:id="278" w:name="_Toc150509279"/>
      <w:bookmarkStart w:id="279" w:name="_Toc164229369"/>
      <w:bookmarkStart w:id="280" w:name="_Toc151193626"/>
      <w:bookmarkStart w:id="281" w:name="_Toc151193698"/>
      <w:bookmarkStart w:id="282" w:name="_Toc127151528"/>
      <w:bookmarkStart w:id="283" w:name="_Toc142311030"/>
      <w:bookmarkStart w:id="284" w:name="_Toc150774628"/>
      <w:bookmarkStart w:id="285" w:name="_Toc164351622"/>
      <w:bookmarkStart w:id="286" w:name="_Toc151190155"/>
      <w:r>
        <w:rPr>
          <w:rFonts w:hint="eastAsia" w:ascii="仿宋" w:hAnsi="仿宋" w:eastAsia="仿宋" w:cs="仿宋"/>
          <w:b w:val="0"/>
          <w:bCs/>
          <w:snapToGrid w:val="0"/>
          <w:color w:val="auto"/>
          <w:kern w:val="0"/>
          <w:sz w:val="21"/>
          <w:szCs w:val="21"/>
          <w:highlight w:val="none"/>
          <w:lang w:val="en-US" w:eastAsia="zh-CN"/>
        </w:rPr>
        <w:t>10投标文件</w:t>
      </w:r>
      <w:bookmarkEnd w:id="254"/>
      <w:bookmarkEnd w:id="255"/>
      <w:bookmarkEnd w:id="256"/>
      <w:r>
        <w:rPr>
          <w:rFonts w:hint="eastAsia" w:ascii="仿宋" w:hAnsi="仿宋" w:eastAsia="仿宋" w:cs="仿宋"/>
          <w:b w:val="0"/>
          <w:bCs/>
          <w:snapToGrid w:val="0"/>
          <w:color w:val="auto"/>
          <w:kern w:val="0"/>
          <w:sz w:val="21"/>
          <w:szCs w:val="21"/>
          <w:highlight w:val="none"/>
          <w:lang w:val="en-US" w:eastAsia="zh-CN"/>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1E92497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287" w:name="_Ref467052588"/>
      <w:r>
        <w:rPr>
          <w:rFonts w:hint="eastAsia" w:ascii="仿宋" w:hAnsi="仿宋" w:eastAsia="仿宋" w:cs="仿宋"/>
          <w:b w:val="0"/>
          <w:bCs/>
          <w:snapToGrid w:val="0"/>
          <w:color w:val="auto"/>
          <w:kern w:val="0"/>
          <w:sz w:val="21"/>
          <w:szCs w:val="21"/>
          <w:highlight w:val="none"/>
          <w:lang w:val="en-US" w:eastAsia="zh-CN"/>
        </w:rPr>
        <w:t>10.1投标人应当按照招标文件的要求编制投标文件。投标文件应由《资格证明文件》、《商务技术文件》两部分构成。投标文件的部分格式要求，见第七章《投标文件格式》。</w:t>
      </w:r>
    </w:p>
    <w:p w14:paraId="26A3478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2C746CC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10.3第四章《评标程序、评标方法和评标标准》中涉及的证明文件。</w:t>
      </w:r>
    </w:p>
    <w:p w14:paraId="7F2A03A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375B326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10.5投标人认为应附的其他材料。</w:t>
      </w:r>
      <w:bookmarkEnd w:id="287"/>
    </w:p>
    <w:p w14:paraId="12921D3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288" w:name="_Toc150480768"/>
      <w:bookmarkStart w:id="289" w:name="_Toc150509281"/>
      <w:bookmarkStart w:id="290" w:name="_Toc151193700"/>
      <w:bookmarkStart w:id="291" w:name="_Toc142311032"/>
      <w:bookmarkStart w:id="292" w:name="_Toc127161444"/>
      <w:bookmarkStart w:id="293" w:name="_Toc520356155"/>
      <w:bookmarkStart w:id="294" w:name="_Toc127151530"/>
      <w:bookmarkStart w:id="295" w:name="_Toc151193628"/>
      <w:bookmarkStart w:id="296" w:name="_Toc164608644"/>
      <w:bookmarkStart w:id="297" w:name="_Toc195842895"/>
      <w:bookmarkStart w:id="298" w:name="_Toc127151731"/>
      <w:bookmarkStart w:id="299" w:name="_Toc164351624"/>
      <w:bookmarkStart w:id="300" w:name="_Toc150774735"/>
      <w:bookmarkStart w:id="301" w:name="_Toc151193918"/>
      <w:bookmarkStart w:id="302" w:name="_Toc164229371"/>
      <w:bookmarkStart w:id="303" w:name="_Toc151193844"/>
      <w:bookmarkStart w:id="304" w:name="_Toc164608799"/>
      <w:bookmarkStart w:id="305" w:name="_Toc151190157"/>
      <w:bookmarkStart w:id="306" w:name="_Toc150774630"/>
      <w:bookmarkStart w:id="307" w:name="_Toc149720823"/>
      <w:bookmarkStart w:id="308" w:name="_Toc151193772"/>
      <w:bookmarkStart w:id="309" w:name="_Toc164229225"/>
      <w:r>
        <w:rPr>
          <w:rFonts w:hint="eastAsia" w:ascii="仿宋" w:hAnsi="仿宋" w:eastAsia="仿宋" w:cs="仿宋"/>
          <w:b w:val="0"/>
          <w:bCs/>
          <w:snapToGrid w:val="0"/>
          <w:color w:val="auto"/>
          <w:kern w:val="0"/>
          <w:sz w:val="21"/>
          <w:szCs w:val="21"/>
          <w:highlight w:val="none"/>
          <w:lang w:val="en-US" w:eastAsia="zh-CN"/>
        </w:rPr>
        <w:t>11投标报价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6A83F8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11.1所有投标均以人民币为计价货币。</w:t>
      </w:r>
    </w:p>
    <w:p w14:paraId="64EE0D5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11.2投标人的报价应包括为完成本项目所发生的一切费用和税费，招标人将不再支付报价以外的任何费用。投标人的报价应包括但不限于下列内容，《投标人须知资料表》中有特殊规定的，从其规定。</w:t>
      </w:r>
    </w:p>
    <w:p w14:paraId="28FAC94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CA41D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11.2.2按照招标文件要求完成本项目的全部相关服务费用。</w:t>
      </w:r>
    </w:p>
    <w:p w14:paraId="6390C18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11.3采购人不得向供应商索要或者接受其给予的赠品、回扣或者与采购无关的其他商品、服务。</w:t>
      </w:r>
    </w:p>
    <w:p w14:paraId="14E47D9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11.4投标人不能提供任何有选择性或可调整的报价（招标文件另有规定的除外），否则其投标无效。</w:t>
      </w:r>
    </w:p>
    <w:p w14:paraId="3DFDF8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310" w:name="_Toc164229372"/>
      <w:bookmarkStart w:id="311" w:name="_Toc151190158"/>
      <w:bookmarkStart w:id="312" w:name="_Toc150774736"/>
      <w:bookmarkStart w:id="313" w:name="_Toc149720824"/>
      <w:bookmarkStart w:id="314" w:name="_Ref467306513"/>
      <w:bookmarkStart w:id="315" w:name="_Toc164351625"/>
      <w:bookmarkStart w:id="316" w:name="_Toc226337227"/>
      <w:bookmarkStart w:id="317" w:name="_Toc226965804"/>
      <w:bookmarkStart w:id="318" w:name="_Toc195842896"/>
      <w:bookmarkStart w:id="319" w:name="_Toc164608800"/>
      <w:bookmarkStart w:id="320" w:name="_Toc226309775"/>
      <w:bookmarkStart w:id="321" w:name="_Toc164229226"/>
      <w:bookmarkStart w:id="322" w:name="_Toc520356156"/>
      <w:bookmarkStart w:id="323" w:name="_Toc151193919"/>
      <w:bookmarkStart w:id="324" w:name="_Toc164608645"/>
      <w:bookmarkStart w:id="325" w:name="_Toc150774631"/>
      <w:bookmarkStart w:id="326" w:name="_Toc142311033"/>
      <w:bookmarkStart w:id="327" w:name="_Toc150509282"/>
      <w:bookmarkStart w:id="328" w:name="_Toc127161445"/>
      <w:bookmarkStart w:id="329" w:name="_Toc305158799"/>
      <w:bookmarkStart w:id="330" w:name="_Toc127151531"/>
      <w:bookmarkStart w:id="331" w:name="_Toc127151732"/>
      <w:bookmarkStart w:id="332" w:name="_Toc226965721"/>
      <w:bookmarkStart w:id="333" w:name="_Toc265228369"/>
      <w:bookmarkStart w:id="334" w:name="_Toc151193845"/>
      <w:bookmarkStart w:id="335" w:name="_Toc151193773"/>
      <w:bookmarkStart w:id="336" w:name="_Toc151193701"/>
      <w:bookmarkStart w:id="337" w:name="_Toc264969221"/>
      <w:bookmarkStart w:id="338" w:name="_Toc150480769"/>
      <w:bookmarkStart w:id="339" w:name="_Toc305158873"/>
      <w:bookmarkStart w:id="340" w:name="_Toc151193629"/>
      <w:r>
        <w:rPr>
          <w:rFonts w:hint="eastAsia" w:ascii="仿宋" w:hAnsi="仿宋" w:eastAsia="仿宋" w:cs="仿宋"/>
          <w:b w:val="0"/>
          <w:bCs/>
          <w:snapToGrid w:val="0"/>
          <w:color w:val="auto"/>
          <w:kern w:val="0"/>
          <w:sz w:val="21"/>
          <w:szCs w:val="21"/>
          <w:highlight w:val="none"/>
          <w:lang w:val="en-US" w:eastAsia="zh-CN"/>
        </w:rPr>
        <w:t>12投标保证金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70CF68A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341" w:name="_Ref467306302"/>
      <w:r>
        <w:rPr>
          <w:rFonts w:hint="eastAsia" w:ascii="仿宋" w:hAnsi="仿宋" w:eastAsia="仿宋" w:cs="仿宋"/>
          <w:b w:val="0"/>
          <w:bCs/>
          <w:snapToGrid w:val="0"/>
          <w:color w:val="auto"/>
          <w:kern w:val="0"/>
          <w:sz w:val="21"/>
          <w:szCs w:val="21"/>
          <w:highlight w:val="none"/>
          <w:lang w:val="en-US" w:eastAsia="zh-CN"/>
        </w:rPr>
        <w:t>12.1投标人应按《投标人须知资料表》中规定的金额及要求交纳投标保证金</w:t>
      </w:r>
      <w:bookmarkEnd w:id="341"/>
      <w:r>
        <w:rPr>
          <w:rFonts w:hint="eastAsia" w:ascii="仿宋" w:hAnsi="仿宋" w:eastAsia="仿宋" w:cs="仿宋"/>
          <w:b w:val="0"/>
          <w:bCs/>
          <w:snapToGrid w:val="0"/>
          <w:color w:val="auto"/>
          <w:kern w:val="0"/>
          <w:sz w:val="21"/>
          <w:szCs w:val="21"/>
          <w:highlight w:val="none"/>
          <w:lang w:val="en-US" w:eastAsia="zh-CN"/>
        </w:rPr>
        <w:t>。投标人自愿超额缴纳投标保证金的，投标文件不做无效处理。</w:t>
      </w:r>
    </w:p>
    <w:p w14:paraId="6DAD674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12.2交纳投标保证金可采用的形式：政府采购法律法规接受的支票、汇票、本票、网上银行支付或者金融机构、担保机构出具的保函等非现金形式。</w:t>
      </w:r>
    </w:p>
    <w:p w14:paraId="54C924B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579C97E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12.4投标人除需在投标文件中提供“投标保证金凭证/交款单据电子件”，还需在投标截止时间前，通过电子交易平台上传“投标保证金凭证/交款单据电子件”。</w:t>
      </w:r>
    </w:p>
    <w:p w14:paraId="6255EAB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12.5投标保证金有效期同投标有效期。</w:t>
      </w:r>
    </w:p>
    <w:p w14:paraId="565F15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12.6投标人为联合体的，可以由联合体中的一方或者多方共同交纳投标保证金，其交纳的投标保证金对联合体各方均具有约束力。</w:t>
      </w:r>
    </w:p>
    <w:p w14:paraId="1053BE4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AAE03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12.7.1投标人在投标截止时间前撤回已提交的投标文件的，自收到投标人书面撤回通知之日起5个工作日内退还已收取的投标保证金；</w:t>
      </w:r>
    </w:p>
    <w:p w14:paraId="73F5349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12.7.2中标人的投标保证金，自采购合同签订之日起5个工作日内退还中标人；</w:t>
      </w:r>
    </w:p>
    <w:p w14:paraId="7C133BE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12.7.3未中标投标人的投标保证金，自中标通知书发出之日起5个工作日内退还未中标人；</w:t>
      </w:r>
    </w:p>
    <w:p w14:paraId="1E0E44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12.7.4终止招标项目已经收取投标保证金的，自终止采购活动后5个工作日内退还已收取的投标保证金及其在银行产生的孳息。</w:t>
      </w:r>
    </w:p>
    <w:p w14:paraId="12F1FB6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12.8有下列情形之一的，采购人或采购代理机构可以不予退还投标保证金：</w:t>
      </w:r>
    </w:p>
    <w:p w14:paraId="0E0BBB8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12.8.1投标有效期内投标人撤销投标文件的；</w:t>
      </w:r>
    </w:p>
    <w:p w14:paraId="37769E2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12.8.2《投标人须知资料表》中规定的其他情形。</w:t>
      </w:r>
    </w:p>
    <w:p w14:paraId="2BEACD5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342" w:name="_Toc127151532"/>
      <w:bookmarkStart w:id="343" w:name="_Toc142311034"/>
      <w:bookmarkStart w:id="344" w:name="_Toc151193702"/>
      <w:bookmarkStart w:id="345" w:name="_Toc150509283"/>
      <w:bookmarkStart w:id="346" w:name="_Toc151193630"/>
      <w:bookmarkStart w:id="347" w:name="_Toc164608646"/>
      <w:bookmarkStart w:id="348" w:name="_Toc150480770"/>
      <w:bookmarkStart w:id="349" w:name="_Toc164351626"/>
      <w:bookmarkStart w:id="350" w:name="_Toc226337228"/>
      <w:bookmarkStart w:id="351" w:name="_Toc150774632"/>
      <w:bookmarkStart w:id="352" w:name="_Toc226965805"/>
      <w:bookmarkStart w:id="353" w:name="_Toc127151733"/>
      <w:bookmarkStart w:id="354" w:name="_Toc127161446"/>
      <w:bookmarkStart w:id="355" w:name="_Toc264969222"/>
      <w:bookmarkStart w:id="356" w:name="_Toc164229373"/>
      <w:bookmarkStart w:id="357" w:name="_Toc226309776"/>
      <w:bookmarkStart w:id="358" w:name="_Toc151193920"/>
      <w:bookmarkStart w:id="359" w:name="_Toc164229227"/>
      <w:bookmarkStart w:id="360" w:name="_Toc520356157"/>
      <w:bookmarkStart w:id="361" w:name="_Toc151193846"/>
      <w:bookmarkStart w:id="362" w:name="_Toc305158874"/>
      <w:bookmarkStart w:id="363" w:name="_Toc195842897"/>
      <w:bookmarkStart w:id="364" w:name="_Toc226965722"/>
      <w:bookmarkStart w:id="365" w:name="_Toc305158800"/>
      <w:bookmarkStart w:id="366" w:name="_Toc265228370"/>
      <w:bookmarkStart w:id="367" w:name="_Toc149720825"/>
      <w:bookmarkStart w:id="368" w:name="_Toc151190159"/>
      <w:bookmarkStart w:id="369" w:name="_Toc150774737"/>
      <w:bookmarkStart w:id="370" w:name="_Toc164608801"/>
      <w:bookmarkStart w:id="371" w:name="_Toc151193774"/>
      <w:r>
        <w:rPr>
          <w:rFonts w:hint="eastAsia" w:ascii="仿宋" w:hAnsi="仿宋" w:eastAsia="仿宋" w:cs="仿宋"/>
          <w:b w:val="0"/>
          <w:bCs/>
          <w:snapToGrid w:val="0"/>
          <w:color w:val="auto"/>
          <w:kern w:val="0"/>
          <w:sz w:val="21"/>
          <w:szCs w:val="21"/>
          <w:highlight w:val="none"/>
          <w:lang w:val="en-US" w:eastAsia="zh-CN"/>
        </w:rPr>
        <w:t>13投标有效期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9CF42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13.1投标文件应在本招标文件《投标人须知资料表》中规定的投标有效期内保持有效，投标有效期少于招标文件规定期限的，其投标无效。</w:t>
      </w:r>
    </w:p>
    <w:p w14:paraId="42FE0A6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372" w:name="_Toc164229228"/>
      <w:bookmarkStart w:id="373" w:name="_Toc150774633"/>
      <w:bookmarkStart w:id="374" w:name="_Toc164229374"/>
      <w:bookmarkStart w:id="375" w:name="_Toc264969223"/>
      <w:bookmarkStart w:id="376" w:name="_Toc305158875"/>
      <w:bookmarkStart w:id="377" w:name="_Toc226965723"/>
      <w:bookmarkStart w:id="378" w:name="_Toc164608802"/>
      <w:bookmarkStart w:id="379" w:name="_Toc226309777"/>
      <w:bookmarkStart w:id="380" w:name="_Toc127151533"/>
      <w:bookmarkStart w:id="381" w:name="_Toc151190160"/>
      <w:bookmarkStart w:id="382" w:name="_Toc151193703"/>
      <w:bookmarkStart w:id="383" w:name="_Toc195842898"/>
      <w:bookmarkStart w:id="384" w:name="_Toc151193921"/>
      <w:bookmarkStart w:id="385" w:name="_Toc305158801"/>
      <w:bookmarkStart w:id="386" w:name="_Toc151193847"/>
      <w:bookmarkStart w:id="387" w:name="_Toc265228371"/>
      <w:bookmarkStart w:id="388" w:name="_Toc164351627"/>
      <w:bookmarkStart w:id="389" w:name="_Toc149720826"/>
      <w:bookmarkStart w:id="390" w:name="_Toc127161447"/>
      <w:bookmarkStart w:id="391" w:name="_Toc226337229"/>
      <w:bookmarkStart w:id="392" w:name="_Toc151193775"/>
      <w:bookmarkStart w:id="393" w:name="_Toc164608647"/>
      <w:bookmarkStart w:id="394" w:name="_Toc520356158"/>
      <w:bookmarkStart w:id="395" w:name="_Toc127151734"/>
      <w:bookmarkStart w:id="396" w:name="_Toc150774738"/>
      <w:bookmarkStart w:id="397" w:name="_Toc142311035"/>
      <w:bookmarkStart w:id="398" w:name="_Toc226965806"/>
      <w:bookmarkStart w:id="399" w:name="_Toc150509284"/>
      <w:bookmarkStart w:id="400" w:name="_Toc150480771"/>
      <w:bookmarkStart w:id="401" w:name="_Toc151193631"/>
      <w:r>
        <w:rPr>
          <w:rFonts w:hint="eastAsia" w:ascii="仿宋" w:hAnsi="仿宋" w:eastAsia="仿宋" w:cs="仿宋"/>
          <w:b w:val="0"/>
          <w:bCs/>
          <w:snapToGrid w:val="0"/>
          <w:color w:val="auto"/>
          <w:kern w:val="0"/>
          <w:sz w:val="21"/>
          <w:szCs w:val="21"/>
          <w:highlight w:val="none"/>
          <w:lang w:val="en-US" w:eastAsia="zh-CN"/>
        </w:rPr>
        <w:t>14投标文件的签署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仿宋" w:hAnsi="仿宋" w:eastAsia="仿宋" w:cs="仿宋"/>
          <w:b w:val="0"/>
          <w:bCs/>
          <w:snapToGrid w:val="0"/>
          <w:color w:val="auto"/>
          <w:kern w:val="0"/>
          <w:sz w:val="21"/>
          <w:szCs w:val="21"/>
          <w:highlight w:val="none"/>
          <w:lang w:val="en-US" w:eastAsia="zh-CN"/>
        </w:rPr>
        <w:t>、盖章</w:t>
      </w:r>
    </w:p>
    <w:p w14:paraId="63ABAA6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402" w:name="_Toc226309778"/>
      <w:bookmarkStart w:id="403" w:name="_Toc151193848"/>
      <w:bookmarkStart w:id="404" w:name="_Toc264969224"/>
      <w:bookmarkStart w:id="405" w:name="_Toc151193632"/>
      <w:bookmarkStart w:id="406" w:name="_Toc265228372"/>
      <w:bookmarkStart w:id="407" w:name="_Toc226337230"/>
      <w:bookmarkStart w:id="408" w:name="_Toc151193704"/>
      <w:bookmarkStart w:id="409" w:name="_Toc150774634"/>
      <w:bookmarkStart w:id="410" w:name="_Toc195842899"/>
      <w:bookmarkStart w:id="411" w:name="_Toc520356159"/>
      <w:bookmarkStart w:id="412" w:name="_Toc127151534"/>
      <w:bookmarkStart w:id="413" w:name="_Toc151193922"/>
      <w:bookmarkStart w:id="414" w:name="_Toc150774739"/>
      <w:bookmarkStart w:id="415" w:name="_Toc150509285"/>
      <w:bookmarkStart w:id="416" w:name="_Toc226965807"/>
      <w:bookmarkStart w:id="417" w:name="_Toc226965724"/>
      <w:bookmarkStart w:id="418" w:name="_Toc305158876"/>
      <w:bookmarkStart w:id="419" w:name="_Toc305158802"/>
      <w:bookmarkStart w:id="420" w:name="_Toc151190161"/>
      <w:bookmarkStart w:id="421" w:name="_Toc151193776"/>
      <w:bookmarkStart w:id="422" w:name="_Toc150480772"/>
      <w:bookmarkStart w:id="423" w:name="_Toc142311036"/>
      <w:r>
        <w:rPr>
          <w:rFonts w:hint="eastAsia" w:ascii="仿宋" w:hAnsi="仿宋" w:eastAsia="仿宋" w:cs="仿宋"/>
          <w:b w:val="0"/>
          <w:bCs/>
          <w:snapToGrid w:val="0"/>
          <w:color w:val="auto"/>
          <w:kern w:val="0"/>
          <w:sz w:val="21"/>
          <w:szCs w:val="21"/>
          <w:highlight w:val="none"/>
          <w:lang w:val="en-US" w:eastAsia="zh-CN"/>
        </w:rPr>
        <w:t>14.1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55FDFA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14.2招标文件要求盖章的内容，一般通过投标文件编制工具加盖电子签章。</w:t>
      </w:r>
    </w:p>
    <w:p w14:paraId="16E276F3">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CF31EB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424" w:name="_Toc164608649"/>
      <w:bookmarkStart w:id="425" w:name="_Toc150480773"/>
      <w:bookmarkStart w:id="426" w:name="_Toc151193923"/>
      <w:bookmarkStart w:id="427" w:name="_Toc226309779"/>
      <w:bookmarkStart w:id="428" w:name="_Toc150774740"/>
      <w:bookmarkStart w:id="429" w:name="_Toc151190162"/>
      <w:bookmarkStart w:id="430" w:name="_Toc127151535"/>
      <w:bookmarkStart w:id="431" w:name="_Toc151193633"/>
      <w:bookmarkStart w:id="432" w:name="_Toc164229230"/>
      <w:bookmarkStart w:id="433" w:name="_Toc142311037"/>
      <w:bookmarkStart w:id="434" w:name="_Toc226965808"/>
      <w:bookmarkStart w:id="435" w:name="_Toc151193777"/>
      <w:bookmarkStart w:id="436" w:name="_Toc150774635"/>
      <w:bookmarkStart w:id="437" w:name="_Toc149720828"/>
      <w:bookmarkStart w:id="438" w:name="_Toc305158803"/>
      <w:bookmarkStart w:id="439" w:name="_Toc164351629"/>
      <w:bookmarkStart w:id="440" w:name="_Toc151193849"/>
      <w:bookmarkStart w:id="441" w:name="_Toc127161449"/>
      <w:bookmarkStart w:id="442" w:name="_Toc265228373"/>
      <w:bookmarkStart w:id="443" w:name="_Toc164229376"/>
      <w:bookmarkStart w:id="444" w:name="_Toc150509286"/>
      <w:bookmarkStart w:id="445" w:name="_Toc226337231"/>
      <w:bookmarkStart w:id="446" w:name="_Toc264969225"/>
      <w:bookmarkStart w:id="447" w:name="_Toc127151736"/>
      <w:bookmarkStart w:id="448" w:name="_Toc305158877"/>
      <w:bookmarkStart w:id="449" w:name="_Toc151193705"/>
      <w:bookmarkStart w:id="450" w:name="_Toc164608804"/>
      <w:bookmarkStart w:id="451" w:name="_Toc520356160"/>
      <w:bookmarkStart w:id="452" w:name="_Toc195842900"/>
      <w:bookmarkStart w:id="453" w:name="_Toc226965725"/>
      <w:r>
        <w:rPr>
          <w:rFonts w:hint="eastAsia" w:ascii="仿宋" w:hAnsi="仿宋" w:eastAsia="仿宋" w:cs="仿宋"/>
          <w:b w:val="0"/>
          <w:bCs/>
          <w:snapToGrid w:val="0"/>
          <w:color w:val="auto"/>
          <w:kern w:val="0"/>
          <w:sz w:val="21"/>
          <w:szCs w:val="21"/>
          <w:highlight w:val="none"/>
          <w:lang w:val="en-US" w:eastAsia="zh-CN"/>
        </w:rPr>
        <w:t>15投标文件的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仿宋" w:hAnsi="仿宋" w:eastAsia="仿宋" w:cs="仿宋"/>
          <w:b w:val="0"/>
          <w:bCs/>
          <w:snapToGrid w:val="0"/>
          <w:color w:val="auto"/>
          <w:kern w:val="0"/>
          <w:sz w:val="21"/>
          <w:szCs w:val="21"/>
          <w:highlight w:val="none"/>
          <w:lang w:val="en-US" w:eastAsia="zh-CN"/>
        </w:rPr>
        <w:t>提交</w:t>
      </w:r>
    </w:p>
    <w:p w14:paraId="05CBF70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454" w:name="_Toc164351631"/>
      <w:bookmarkStart w:id="455" w:name="_Toc164229378"/>
      <w:bookmarkStart w:id="456" w:name="_Toc226337233"/>
      <w:bookmarkStart w:id="457" w:name="_Toc142311039"/>
      <w:bookmarkStart w:id="458" w:name="_Toc127151537"/>
      <w:bookmarkStart w:id="459" w:name="_Toc164608651"/>
      <w:bookmarkStart w:id="460" w:name="_Toc127161451"/>
      <w:bookmarkStart w:id="461" w:name="_Toc127151738"/>
      <w:bookmarkStart w:id="462" w:name="_Toc264969227"/>
      <w:bookmarkStart w:id="463" w:name="_Toc195842902"/>
      <w:bookmarkStart w:id="464" w:name="_Toc151193635"/>
      <w:bookmarkStart w:id="465" w:name="_Toc305158879"/>
      <w:bookmarkStart w:id="466" w:name="_Toc226309781"/>
      <w:bookmarkStart w:id="467" w:name="_Toc305158805"/>
      <w:bookmarkStart w:id="468" w:name="_Toc151193851"/>
      <w:bookmarkStart w:id="469" w:name="_Toc151193779"/>
      <w:bookmarkStart w:id="470" w:name="_Toc265228375"/>
      <w:bookmarkStart w:id="471" w:name="_Toc226965810"/>
      <w:bookmarkStart w:id="472" w:name="_Toc150774742"/>
      <w:bookmarkStart w:id="473" w:name="_Toc150480775"/>
      <w:bookmarkStart w:id="474" w:name="_Toc149720830"/>
      <w:bookmarkStart w:id="475" w:name="_Toc151193707"/>
      <w:bookmarkStart w:id="476" w:name="_Toc164608806"/>
      <w:bookmarkStart w:id="477" w:name="_Toc150509288"/>
      <w:bookmarkStart w:id="478" w:name="_Toc150774637"/>
      <w:bookmarkStart w:id="479" w:name="_Toc151190164"/>
      <w:bookmarkStart w:id="480" w:name="_Toc226965727"/>
      <w:bookmarkStart w:id="481" w:name="_Toc151193925"/>
      <w:bookmarkStart w:id="482" w:name="_Toc164229232"/>
      <w:bookmarkStart w:id="483" w:name="_Toc520356162"/>
      <w:r>
        <w:rPr>
          <w:rFonts w:hint="eastAsia" w:ascii="仿宋" w:hAnsi="仿宋" w:eastAsia="仿宋" w:cs="仿宋"/>
          <w:b w:val="0"/>
          <w:bCs/>
          <w:snapToGrid w:val="0"/>
          <w:color w:val="auto"/>
          <w:kern w:val="0"/>
          <w:sz w:val="21"/>
          <w:szCs w:val="21"/>
          <w:highlight w:val="none"/>
          <w:lang w:val="en-US" w:eastAsia="zh-CN"/>
        </w:rPr>
        <w:t>15.1本项目使用北京市政府采购电子交易平台。投标人根据招标文件及电子交易平台供应商操作手册要求编制、生成并提交电子投标文件。</w:t>
      </w:r>
    </w:p>
    <w:p w14:paraId="672A5CA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15.2采购人及采购代理机构拒绝接受通过电子交易平台以外任何形式提交的投标文件，投标保证金除外。</w:t>
      </w:r>
    </w:p>
    <w:p w14:paraId="159F42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484" w:name="_Toc151193634"/>
      <w:bookmarkStart w:id="485" w:name="_Toc150480774"/>
      <w:bookmarkStart w:id="486" w:name="_Toc149720829"/>
      <w:bookmarkStart w:id="487" w:name="_Toc164608650"/>
      <w:bookmarkStart w:id="488" w:name="_Toc151190163"/>
      <w:bookmarkStart w:id="489" w:name="_Toc226965809"/>
      <w:bookmarkStart w:id="490" w:name="_Toc127151737"/>
      <w:bookmarkStart w:id="491" w:name="_Toc226337232"/>
      <w:bookmarkStart w:id="492" w:name="_Toc127161450"/>
      <w:bookmarkStart w:id="493" w:name="_Toc195842901"/>
      <w:bookmarkStart w:id="494" w:name="_Toc226965726"/>
      <w:bookmarkStart w:id="495" w:name="_Toc151193924"/>
      <w:bookmarkStart w:id="496" w:name="_Toc150774636"/>
      <w:bookmarkStart w:id="497" w:name="_Toc305158878"/>
      <w:bookmarkStart w:id="498" w:name="_Toc226309780"/>
      <w:bookmarkStart w:id="499" w:name="_Toc305158804"/>
      <w:bookmarkStart w:id="500" w:name="_Toc151193706"/>
      <w:bookmarkStart w:id="501" w:name="_Toc151193778"/>
      <w:bookmarkStart w:id="502" w:name="_Toc264969226"/>
      <w:bookmarkStart w:id="503" w:name="_Toc142311038"/>
      <w:bookmarkStart w:id="504" w:name="_Toc127151536"/>
      <w:bookmarkStart w:id="505" w:name="_Toc164608805"/>
      <w:bookmarkStart w:id="506" w:name="_Toc164229377"/>
      <w:bookmarkStart w:id="507" w:name="_Toc164351630"/>
      <w:bookmarkStart w:id="508" w:name="_Toc164229231"/>
      <w:bookmarkStart w:id="509" w:name="_Toc151193850"/>
      <w:bookmarkStart w:id="510" w:name="_Toc265228374"/>
      <w:bookmarkStart w:id="511" w:name="_Toc150509287"/>
      <w:bookmarkStart w:id="512" w:name="_Toc150774741"/>
      <w:r>
        <w:rPr>
          <w:rFonts w:hint="eastAsia" w:ascii="仿宋" w:hAnsi="仿宋" w:eastAsia="仿宋" w:cs="仿宋"/>
          <w:b w:val="0"/>
          <w:bCs/>
          <w:snapToGrid w:val="0"/>
          <w:color w:val="auto"/>
          <w:kern w:val="0"/>
          <w:sz w:val="21"/>
          <w:szCs w:val="21"/>
          <w:highlight w:val="none"/>
          <w:lang w:val="en-US" w:eastAsia="zh-CN"/>
        </w:rPr>
        <w:t>16投标截止</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hint="eastAsia" w:ascii="仿宋" w:hAnsi="仿宋" w:eastAsia="仿宋" w:cs="仿宋"/>
          <w:b w:val="0"/>
          <w:bCs/>
          <w:snapToGrid w:val="0"/>
          <w:color w:val="auto"/>
          <w:kern w:val="0"/>
          <w:sz w:val="21"/>
          <w:szCs w:val="21"/>
          <w:highlight w:val="none"/>
          <w:lang w:val="en-US" w:eastAsia="zh-CN"/>
        </w:rPr>
        <w:t>时间</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692EDA1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16.1投标人应在招标文件要求提交投标文件截止时间前，将电子投标文件提交至电子交易平台。</w:t>
      </w:r>
    </w:p>
    <w:p w14:paraId="2E4B34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17投标文件的修改与撤回</w:t>
      </w:r>
    </w:p>
    <w:p w14:paraId="7827C5E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17.1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13969C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17.2投标人对投标文件的补充、修改的内容应当按照招标文件要求签署、盖章，作为投标文件的组成部分。</w:t>
      </w:r>
    </w:p>
    <w:p w14:paraId="31491D19">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snapToGrid w:val="0"/>
          <w:color w:val="auto"/>
          <w:kern w:val="0"/>
          <w:sz w:val="21"/>
          <w:szCs w:val="21"/>
          <w:highlight w:val="none"/>
          <w:lang w:val="en-US" w:eastAsia="zh-CN"/>
        </w:rPr>
      </w:pPr>
      <w:bookmarkStart w:id="513" w:name="_Toc265228376"/>
      <w:bookmarkStart w:id="514" w:name="_Toc226309782"/>
      <w:bookmarkStart w:id="515" w:name="_Toc226965811"/>
      <w:bookmarkStart w:id="516" w:name="_Toc305158806"/>
      <w:bookmarkStart w:id="517" w:name="_Toc226337234"/>
      <w:bookmarkStart w:id="518" w:name="_Toc264969228"/>
      <w:bookmarkStart w:id="519" w:name="_Toc151193780"/>
      <w:bookmarkStart w:id="520" w:name="_Toc151193852"/>
      <w:bookmarkStart w:id="521" w:name="_Toc520356163"/>
      <w:bookmarkStart w:id="522" w:name="_Toc150509289"/>
      <w:bookmarkStart w:id="523" w:name="_Toc142311040"/>
      <w:bookmarkStart w:id="524" w:name="_Toc151193926"/>
      <w:bookmarkStart w:id="525" w:name="_Toc226965728"/>
      <w:bookmarkStart w:id="526" w:name="_Toc151193636"/>
      <w:bookmarkStart w:id="527" w:name="_Toc127151538"/>
      <w:bookmarkStart w:id="528" w:name="_Toc150774743"/>
      <w:bookmarkStart w:id="529" w:name="_Toc150774638"/>
      <w:bookmarkStart w:id="530" w:name="_Toc195842903"/>
      <w:bookmarkStart w:id="531" w:name="_Toc151193708"/>
      <w:bookmarkStart w:id="532" w:name="_Toc150480776"/>
      <w:bookmarkStart w:id="533" w:name="_Toc151190165"/>
      <w:bookmarkStart w:id="534" w:name="_Toc305158880"/>
      <w:r>
        <w:rPr>
          <w:rFonts w:hint="eastAsia" w:ascii="仿宋" w:hAnsi="仿宋" w:eastAsia="仿宋" w:cs="仿宋"/>
          <w:b w:val="0"/>
          <w:bCs/>
          <w:snapToGrid w:val="0"/>
          <w:color w:val="auto"/>
          <w:kern w:val="0"/>
          <w:sz w:val="21"/>
          <w:szCs w:val="21"/>
          <w:highlight w:val="none"/>
          <w:lang w:val="en-US" w:eastAsia="zh-CN"/>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3F9AD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535" w:name="_Toc151193781"/>
      <w:bookmarkStart w:id="536" w:name="_Toc149720832"/>
      <w:bookmarkStart w:id="537" w:name="_Toc164229380"/>
      <w:bookmarkStart w:id="538" w:name="_Toc127151740"/>
      <w:bookmarkStart w:id="539" w:name="_Toc305158881"/>
      <w:bookmarkStart w:id="540" w:name="_Toc127151539"/>
      <w:bookmarkStart w:id="541" w:name="_Toc150774744"/>
      <w:bookmarkStart w:id="542" w:name="_Toc226309783"/>
      <w:bookmarkStart w:id="543" w:name="_Toc151193853"/>
      <w:bookmarkStart w:id="544" w:name="_Toc164608808"/>
      <w:bookmarkStart w:id="545" w:name="_Toc265228377"/>
      <w:bookmarkStart w:id="546" w:name="_Toc164229234"/>
      <w:bookmarkStart w:id="547" w:name="_Toc305158807"/>
      <w:bookmarkStart w:id="548" w:name="_Toc150480777"/>
      <w:bookmarkStart w:id="549" w:name="_Toc226965812"/>
      <w:bookmarkStart w:id="550" w:name="_Toc150509290"/>
      <w:bookmarkStart w:id="551" w:name="_Toc142311041"/>
      <w:bookmarkStart w:id="552" w:name="_Toc520356164"/>
      <w:bookmarkStart w:id="553" w:name="_Toc151193927"/>
      <w:bookmarkStart w:id="554" w:name="_Toc151193637"/>
      <w:bookmarkStart w:id="555" w:name="_Toc151193709"/>
      <w:bookmarkStart w:id="556" w:name="_Toc151190166"/>
      <w:bookmarkStart w:id="557" w:name="_Toc164351633"/>
      <w:bookmarkStart w:id="558" w:name="_Toc164608653"/>
      <w:bookmarkStart w:id="559" w:name="_Toc226965729"/>
      <w:bookmarkStart w:id="560" w:name="_Toc264969229"/>
      <w:bookmarkStart w:id="561" w:name="_Toc127161453"/>
      <w:bookmarkStart w:id="562" w:name="_Toc226337235"/>
      <w:bookmarkStart w:id="563" w:name="_Toc150774639"/>
      <w:bookmarkStart w:id="564" w:name="_Toc195842904"/>
      <w:r>
        <w:rPr>
          <w:rFonts w:hint="eastAsia" w:ascii="仿宋" w:hAnsi="仿宋" w:eastAsia="仿宋" w:cs="仿宋"/>
          <w:b w:val="0"/>
          <w:bCs/>
          <w:snapToGrid w:val="0"/>
          <w:color w:val="auto"/>
          <w:kern w:val="0"/>
          <w:sz w:val="21"/>
          <w:szCs w:val="21"/>
          <w:highlight w:val="none"/>
          <w:lang w:val="en-US" w:eastAsia="zh-CN"/>
        </w:rPr>
        <w:t>18开标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Start w:id="565" w:name="_Toc520356169"/>
    </w:p>
    <w:p w14:paraId="196081B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18.1采购人或采购代理机构将按招标文件的规定，在投标截止时间的同一时间和招标文件预先确定的地点组织开标。</w:t>
      </w:r>
    </w:p>
    <w:p w14:paraId="7B1F8C2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18.2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1DFE5F0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18.3开标过程将使用电子系统宣布投标人名称、投标价格和招标文件规定的需要宣布的其他内容并进行记录，并由参加开标的各投标人代表确认</w:t>
      </w:r>
      <w:bookmarkStart w:id="566" w:name="_Toc520356165"/>
      <w:r>
        <w:rPr>
          <w:rFonts w:hint="eastAsia" w:ascii="仿宋" w:hAnsi="仿宋" w:eastAsia="仿宋" w:cs="仿宋"/>
          <w:b w:val="0"/>
          <w:bCs/>
          <w:snapToGrid w:val="0"/>
          <w:color w:val="auto"/>
          <w:kern w:val="0"/>
          <w:sz w:val="21"/>
          <w:szCs w:val="21"/>
          <w:highlight w:val="none"/>
          <w:lang w:val="en-US" w:eastAsia="zh-CN"/>
        </w:rPr>
        <w:t>。投标人未在规定时间内提出疑义或确认一览表的，视同认可开标结果。</w:t>
      </w:r>
    </w:p>
    <w:p w14:paraId="17837B2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18.4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1397A27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18.5投标人不足3家的，不予开标。</w:t>
      </w:r>
    </w:p>
    <w:p w14:paraId="688CB52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19资格审查</w:t>
      </w:r>
    </w:p>
    <w:p w14:paraId="7A9A266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19.1见第三章《资格审查》。</w:t>
      </w:r>
    </w:p>
    <w:bookmarkEnd w:id="566"/>
    <w:p w14:paraId="0CCF1D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567" w:name="_Toc305158882"/>
      <w:bookmarkStart w:id="568" w:name="_Toc164608809"/>
      <w:bookmarkStart w:id="569" w:name="_Toc151193928"/>
      <w:bookmarkStart w:id="570" w:name="_Toc150509291"/>
      <w:bookmarkStart w:id="571" w:name="_Toc127151540"/>
      <w:bookmarkStart w:id="572" w:name="_Toc151193854"/>
      <w:bookmarkStart w:id="573" w:name="_Toc127151741"/>
      <w:bookmarkStart w:id="574" w:name="_Toc226337236"/>
      <w:bookmarkStart w:id="575" w:name="_Toc264969230"/>
      <w:bookmarkStart w:id="576" w:name="_Toc151190167"/>
      <w:bookmarkStart w:id="577" w:name="_Toc127161454"/>
      <w:bookmarkStart w:id="578" w:name="_Toc150480778"/>
      <w:bookmarkStart w:id="579" w:name="_Toc265228378"/>
      <w:bookmarkStart w:id="580" w:name="_Toc150774640"/>
      <w:bookmarkStart w:id="581" w:name="_Toc151193638"/>
      <w:bookmarkStart w:id="582" w:name="_Toc305158808"/>
      <w:bookmarkStart w:id="583" w:name="_Toc150774745"/>
      <w:bookmarkStart w:id="584" w:name="_Toc164229235"/>
      <w:bookmarkStart w:id="585" w:name="_Toc151193782"/>
      <w:bookmarkStart w:id="586" w:name="_Toc164608654"/>
      <w:bookmarkStart w:id="587" w:name="_Toc226309784"/>
      <w:bookmarkStart w:id="588" w:name="_Toc149720833"/>
      <w:bookmarkStart w:id="589" w:name="_Toc226965730"/>
      <w:bookmarkStart w:id="590" w:name="_Toc142311042"/>
      <w:bookmarkStart w:id="591" w:name="_Toc151193710"/>
      <w:bookmarkStart w:id="592" w:name="_Toc164229381"/>
      <w:bookmarkStart w:id="593" w:name="_Toc195842905"/>
      <w:bookmarkStart w:id="594" w:name="_Toc226965813"/>
      <w:bookmarkStart w:id="595" w:name="_Toc164351634"/>
      <w:r>
        <w:rPr>
          <w:rFonts w:hint="eastAsia" w:ascii="仿宋" w:hAnsi="仿宋" w:eastAsia="仿宋" w:cs="仿宋"/>
          <w:b w:val="0"/>
          <w:bCs/>
          <w:snapToGrid w:val="0"/>
          <w:color w:val="auto"/>
          <w:kern w:val="0"/>
          <w:sz w:val="21"/>
          <w:szCs w:val="21"/>
          <w:highlight w:val="none"/>
          <w:lang w:val="en-US" w:eastAsia="zh-CN"/>
        </w:rPr>
        <w:t>20评标委员会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E5E110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20.1评标委员会根据政府采购有关规定和本次招标采购项目的特点进行组建，并负责具体评标事务，独立履行职责。</w:t>
      </w:r>
      <w:bookmarkStart w:id="596" w:name="_Toc520356166"/>
    </w:p>
    <w:p w14:paraId="2E95417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p>
    <w:p w14:paraId="156DEEC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21评标程序、评标方法和评标标准</w:t>
      </w:r>
    </w:p>
    <w:p w14:paraId="469CCB3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21.1见第四章《评标程序、评标方法和评标标准》。</w:t>
      </w:r>
    </w:p>
    <w:p w14:paraId="245A52A9">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snapToGrid w:val="0"/>
          <w:color w:val="auto"/>
          <w:kern w:val="0"/>
          <w:sz w:val="21"/>
          <w:szCs w:val="21"/>
          <w:highlight w:val="none"/>
          <w:lang w:val="en-US" w:eastAsia="zh-CN"/>
        </w:rPr>
      </w:pPr>
      <w:bookmarkStart w:id="597" w:name="_Toc265228383"/>
      <w:bookmarkStart w:id="598" w:name="_Toc150774645"/>
      <w:bookmarkStart w:id="599" w:name="_Toc151193933"/>
      <w:bookmarkStart w:id="600" w:name="_Toc305158813"/>
      <w:bookmarkStart w:id="601" w:name="_Toc151190172"/>
      <w:bookmarkStart w:id="602" w:name="_Toc226965735"/>
      <w:bookmarkStart w:id="603" w:name="_Toc150509296"/>
      <w:bookmarkStart w:id="604" w:name="_Toc150774750"/>
      <w:bookmarkStart w:id="605" w:name="_Toc151193859"/>
      <w:bookmarkStart w:id="606" w:name="_Toc127151545"/>
      <w:bookmarkStart w:id="607" w:name="_Toc226337241"/>
      <w:bookmarkStart w:id="608" w:name="_Toc195842910"/>
      <w:bookmarkStart w:id="609" w:name="_Toc305158887"/>
      <w:bookmarkStart w:id="610" w:name="_Toc264969235"/>
      <w:bookmarkStart w:id="611" w:name="_Toc150480783"/>
      <w:bookmarkStart w:id="612" w:name="_Toc142311047"/>
      <w:bookmarkStart w:id="613" w:name="_Toc226309789"/>
      <w:bookmarkStart w:id="614" w:name="_Toc151193715"/>
      <w:bookmarkStart w:id="615" w:name="_Toc151193787"/>
      <w:bookmarkStart w:id="616" w:name="_Toc151193643"/>
      <w:bookmarkStart w:id="617" w:name="_Toc226965818"/>
      <w:r>
        <w:rPr>
          <w:rFonts w:hint="eastAsia" w:ascii="仿宋" w:hAnsi="仿宋" w:eastAsia="仿宋" w:cs="仿宋"/>
          <w:b w:val="0"/>
          <w:bCs/>
          <w:snapToGrid w:val="0"/>
          <w:color w:val="auto"/>
          <w:kern w:val="0"/>
          <w:sz w:val="21"/>
          <w:szCs w:val="21"/>
          <w:highlight w:val="none"/>
          <w:lang w:val="en-US" w:eastAsia="zh-CN"/>
        </w:rPr>
        <w:t xml:space="preserve">六   </w:t>
      </w:r>
      <w:bookmarkEnd w:id="565"/>
      <w:r>
        <w:rPr>
          <w:rFonts w:hint="eastAsia" w:ascii="仿宋" w:hAnsi="仿宋" w:eastAsia="仿宋" w:cs="仿宋"/>
          <w:b w:val="0"/>
          <w:bCs/>
          <w:snapToGrid w:val="0"/>
          <w:color w:val="auto"/>
          <w:kern w:val="0"/>
          <w:sz w:val="21"/>
          <w:szCs w:val="21"/>
          <w:highlight w:val="none"/>
          <w:lang w:val="en-US" w:eastAsia="zh-CN"/>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305158815"/>
      <w:bookmarkStart w:id="619" w:name="_Toc127151547"/>
      <w:bookmarkStart w:id="620" w:name="_Toc149720840"/>
      <w:bookmarkStart w:id="621" w:name="_Toc164229388"/>
      <w:bookmarkStart w:id="622" w:name="_Toc164351641"/>
      <w:bookmarkStart w:id="623" w:name="_Toc164608661"/>
      <w:bookmarkStart w:id="624" w:name="_Toc127151748"/>
      <w:bookmarkStart w:id="625" w:name="_Toc150774647"/>
      <w:bookmarkStart w:id="626" w:name="_Toc151193935"/>
      <w:bookmarkStart w:id="627" w:name="_Toc151190174"/>
      <w:bookmarkStart w:id="628" w:name="_Toc226965820"/>
      <w:bookmarkStart w:id="629" w:name="_Toc151193861"/>
      <w:bookmarkStart w:id="630" w:name="_Toc150480785"/>
      <w:bookmarkStart w:id="631" w:name="_Toc265228385"/>
      <w:bookmarkStart w:id="632" w:name="_Toc264969237"/>
      <w:bookmarkStart w:id="633" w:name="_Toc226309791"/>
      <w:bookmarkStart w:id="634" w:name="_Toc151193789"/>
      <w:bookmarkStart w:id="635" w:name="_Toc195842912"/>
      <w:bookmarkStart w:id="636" w:name="_Toc150509298"/>
      <w:bookmarkStart w:id="637" w:name="_Toc226965737"/>
      <w:bookmarkStart w:id="638" w:name="_Toc305158889"/>
      <w:bookmarkStart w:id="639" w:name="_Toc226337243"/>
      <w:bookmarkStart w:id="640" w:name="_Toc127161461"/>
      <w:bookmarkStart w:id="641" w:name="_Toc151193717"/>
      <w:bookmarkStart w:id="642" w:name="_Toc142311049"/>
      <w:bookmarkStart w:id="643" w:name="_Toc151193645"/>
      <w:bookmarkStart w:id="644" w:name="_Toc164608816"/>
      <w:bookmarkStart w:id="645" w:name="_Toc150774752"/>
      <w:bookmarkStart w:id="646" w:name="_Toc164229242"/>
    </w:p>
    <w:p w14:paraId="0078A4D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22确定中标人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035D7E6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FE1940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647" w:name="_Toc305158891"/>
      <w:bookmarkStart w:id="648" w:name="_Toc305158817"/>
      <w:bookmarkStart w:id="649" w:name="_Toc195842914"/>
      <w:bookmarkStart w:id="650" w:name="_Toc164229390"/>
      <w:bookmarkStart w:id="651" w:name="_Toc265228387"/>
      <w:bookmarkStart w:id="652" w:name="_Toc226965739"/>
      <w:bookmarkStart w:id="653" w:name="_Toc164229244"/>
      <w:bookmarkStart w:id="654" w:name="_Toc127161463"/>
      <w:bookmarkStart w:id="655" w:name="_Toc127151549"/>
      <w:bookmarkStart w:id="656" w:name="_Toc164351643"/>
      <w:bookmarkStart w:id="657" w:name="_Toc150774754"/>
      <w:bookmarkStart w:id="658" w:name="_Toc226965822"/>
      <w:bookmarkStart w:id="659" w:name="_Toc142311051"/>
      <w:bookmarkStart w:id="660" w:name="_Toc264969239"/>
      <w:bookmarkStart w:id="661" w:name="_Toc127151750"/>
      <w:bookmarkStart w:id="662" w:name="_Toc151193719"/>
      <w:bookmarkStart w:id="663" w:name="_Toc150509300"/>
      <w:bookmarkStart w:id="664" w:name="_Toc150774649"/>
      <w:bookmarkStart w:id="665" w:name="_Toc151193863"/>
      <w:bookmarkStart w:id="666" w:name="_Toc164608818"/>
      <w:bookmarkStart w:id="667" w:name="_Toc226309793"/>
      <w:bookmarkStart w:id="668" w:name="_Toc164608663"/>
      <w:bookmarkStart w:id="669" w:name="_Toc151193791"/>
      <w:bookmarkStart w:id="670" w:name="_Toc150480787"/>
      <w:bookmarkStart w:id="671" w:name="_Toc149720842"/>
      <w:bookmarkStart w:id="672" w:name="_Toc151193937"/>
      <w:bookmarkStart w:id="673" w:name="_Toc226337245"/>
      <w:bookmarkStart w:id="674" w:name="_Toc151190176"/>
      <w:bookmarkStart w:id="675" w:name="_Toc151193647"/>
      <w:bookmarkStart w:id="676" w:name="_Toc520356176"/>
      <w:bookmarkStart w:id="677" w:name="_Ref467307090"/>
      <w:bookmarkStart w:id="678" w:name="_Ref467306425"/>
      <w:r>
        <w:rPr>
          <w:rFonts w:hint="eastAsia" w:ascii="仿宋" w:hAnsi="仿宋" w:eastAsia="仿宋" w:cs="仿宋"/>
          <w:b w:val="0"/>
          <w:bCs/>
          <w:snapToGrid w:val="0"/>
          <w:color w:val="auto"/>
          <w:kern w:val="0"/>
          <w:sz w:val="21"/>
          <w:szCs w:val="21"/>
          <w:highlight w:val="none"/>
          <w:lang w:val="en-US" w:eastAsia="zh-CN"/>
        </w:rPr>
        <w:t>23中标公告与中标通知书</w:t>
      </w:r>
      <w:bookmarkEnd w:id="647"/>
      <w:bookmarkEnd w:id="648"/>
    </w:p>
    <w:p w14:paraId="5D170D7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23.1采购人或采购代理机构自中标人确定之日起2个工作日内，在中国政府采购网、北京市政府采购网公告中标结果，同时向中标人发出中标通知书，中标公告期限为1个工作日。</w:t>
      </w:r>
    </w:p>
    <w:p w14:paraId="1443AD3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23.2中标通知书对采购人和中标供应商均具有法律效力。中标通知书发出后，采购人改变中标结果的，或者中标供应商放弃中标项目的，应当依法承担法律责任。</w:t>
      </w:r>
    </w:p>
    <w:p w14:paraId="1FD12D9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24废标</w:t>
      </w:r>
    </w:p>
    <w:p w14:paraId="28AB907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24.1在招标采购中，出现下列情形之一的，应予废标：</w:t>
      </w:r>
    </w:p>
    <w:p w14:paraId="03D13CB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24.1.1符合专业条件的供应商或者对招标文件作实质响应的供应商不足三家的；</w:t>
      </w:r>
    </w:p>
    <w:p w14:paraId="04ADA6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24.1.2出现影响采购公正的违法、违规行为的；</w:t>
      </w:r>
    </w:p>
    <w:p w14:paraId="048BC2C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24.1.3投标人的报价均超过了采购预算，采购人不能支付的；</w:t>
      </w:r>
    </w:p>
    <w:p w14:paraId="3A6EF80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24.1.4因重大变故，采购任务取消的。</w:t>
      </w:r>
    </w:p>
    <w:p w14:paraId="058296C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24.2废标后，采购人将废标理由通知所有投标人。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354C3A4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679" w:name="_Toc305158892"/>
      <w:bookmarkStart w:id="680" w:name="_Toc151193938"/>
      <w:bookmarkStart w:id="681" w:name="_Toc164608664"/>
      <w:bookmarkStart w:id="682" w:name="_Toc150480788"/>
      <w:bookmarkStart w:id="683" w:name="_Ref467307204"/>
      <w:bookmarkStart w:id="684" w:name="_Toc164229245"/>
      <w:bookmarkStart w:id="685" w:name="_Toc150774650"/>
      <w:bookmarkStart w:id="686" w:name="_Ref467307062"/>
      <w:bookmarkStart w:id="687" w:name="_Toc226965823"/>
      <w:bookmarkStart w:id="688" w:name="_Toc142311052"/>
      <w:bookmarkStart w:id="689" w:name="_Toc164351644"/>
      <w:bookmarkStart w:id="690" w:name="_Toc226309794"/>
      <w:bookmarkStart w:id="691" w:name="_Toc520356175"/>
      <w:bookmarkStart w:id="692" w:name="_Toc151190177"/>
      <w:bookmarkStart w:id="693" w:name="_Toc149720843"/>
      <w:bookmarkStart w:id="694" w:name="_Toc151193864"/>
      <w:bookmarkStart w:id="695" w:name="_Toc151193648"/>
      <w:bookmarkStart w:id="696" w:name="_Ref467306978"/>
      <w:bookmarkStart w:id="697" w:name="_Toc164229391"/>
      <w:bookmarkStart w:id="698" w:name="_Toc151193792"/>
      <w:bookmarkStart w:id="699" w:name="_Toc127151550"/>
      <w:bookmarkStart w:id="700" w:name="_Toc127151751"/>
      <w:bookmarkStart w:id="701" w:name="_Toc127161464"/>
      <w:bookmarkStart w:id="702" w:name="_Toc226965740"/>
      <w:bookmarkStart w:id="703" w:name="_Toc226337246"/>
      <w:bookmarkStart w:id="704" w:name="_Toc305158818"/>
      <w:bookmarkStart w:id="705" w:name="_Toc195842915"/>
      <w:bookmarkStart w:id="706" w:name="_Toc151193720"/>
      <w:bookmarkStart w:id="707" w:name="_Toc264969240"/>
      <w:bookmarkStart w:id="708" w:name="_Toc265228388"/>
      <w:bookmarkStart w:id="709" w:name="_Ref467306377"/>
      <w:bookmarkStart w:id="710" w:name="_Toc164608819"/>
      <w:bookmarkStart w:id="711" w:name="_Toc150509301"/>
      <w:bookmarkStart w:id="712" w:name="_Toc150774755"/>
      <w:r>
        <w:rPr>
          <w:rFonts w:hint="eastAsia" w:ascii="仿宋" w:hAnsi="仿宋" w:eastAsia="仿宋" w:cs="仿宋"/>
          <w:b w:val="0"/>
          <w:bCs/>
          <w:snapToGrid w:val="0"/>
          <w:color w:val="auto"/>
          <w:kern w:val="0"/>
          <w:sz w:val="21"/>
          <w:szCs w:val="21"/>
          <w:highlight w:val="none"/>
          <w:lang w:val="en-US" w:eastAsia="zh-CN"/>
        </w:rPr>
        <w:t>25签订合同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7452C31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25.1中标人、采购人应当自中标通知书发出之日起30日内，按照招标文件和中标人投标文件的规定签订书面合同。所签订的合同不得对招标文件确定的事项和中标人投标文件作实质性修改。</w:t>
      </w:r>
    </w:p>
    <w:p w14:paraId="228A1FF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25.2中标人拒绝与采购人签订合同的，采购人可以按照评标报告推荐的中标候选人名单排序，确定下一候选人为中标人，也可以重新开展政府采购活动。</w:t>
      </w:r>
    </w:p>
    <w:p w14:paraId="57ECA32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25.3联合体中标的，联合体各方应当共同与采购人签订合同，就采购合同约定的事项向采购人承担连带责任。</w:t>
      </w:r>
    </w:p>
    <w:p w14:paraId="75D8F49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25.4政府采购合同不能转包。</w:t>
      </w:r>
    </w:p>
    <w:p w14:paraId="1749A72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4B7D2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25.6“政采贷”融资指引：详见《投标人须知资料表》。</w:t>
      </w:r>
    </w:p>
    <w:bookmarkEnd w:id="676"/>
    <w:bookmarkEnd w:id="677"/>
    <w:bookmarkEnd w:id="678"/>
    <w:p w14:paraId="44AA67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26询问与质疑</w:t>
      </w:r>
    </w:p>
    <w:p w14:paraId="250EF47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26.1询问</w:t>
      </w:r>
    </w:p>
    <w:p w14:paraId="4C61AF3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26.1.1投标人对政府采购活动事项有疑问的，可依法向采购人或采购代理机构提出询问，提出形式见《投标人须知资料表》</w:t>
      </w:r>
    </w:p>
    <w:p w14:paraId="40C5EC1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26.1.2采购人或采购代理机构对供应商依法提出的询问，在3个工作日内作出答复，但答复的内容不得涉及商业秘密。</w:t>
      </w:r>
    </w:p>
    <w:p w14:paraId="7D6A6C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26.2质疑</w:t>
      </w:r>
    </w:p>
    <w:p w14:paraId="1450F1D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2E7194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26.2.2质疑函须使用财政部制定的范本文件。投标人为自然人的，质疑函应当由本人签字；投标人为法人或者其他组织的，质疑函应当由法定代表人、主要负责人，或者其授权代表签字或者盖章，并加盖公章。</w:t>
      </w:r>
    </w:p>
    <w:p w14:paraId="021CAAB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0E9E4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26.2.4投标人应在法定质疑期内一次性提出针对同一采购程序环节的质疑，法定质疑期内针对同一采购程序环节再次提出的质疑，采购人、采购代理机构有权不予答复。</w:t>
      </w:r>
    </w:p>
    <w:p w14:paraId="24907EF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26.3接收询问和质疑的联系部门、联系电话和通讯地址见《投标人须知资料表》。</w:t>
      </w:r>
    </w:p>
    <w:p w14:paraId="5728330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27代理费</w:t>
      </w:r>
    </w:p>
    <w:p w14:paraId="0A0EBCA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27.1收费对象、收费标准及缴纳时间见《投标人须知资料表》。由中标人支付的，中标人须一次性向采购代理机构缴纳代理费，投标报价应包含代理费用。</w:t>
      </w:r>
    </w:p>
    <w:p w14:paraId="464F232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28其他要求</w:t>
      </w:r>
    </w:p>
    <w:p w14:paraId="41041C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28.1中标人在领取中标通知书的当日，需提供加盖单位公章的纸质版投标文件2份。（须与上传电子交易平台的电子文件内容保持一致）</w:t>
      </w:r>
    </w:p>
    <w:p w14:paraId="20BC6FDC">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713" w:name="_Toc150774759"/>
      <w:bookmarkStart w:id="714" w:name="_Toc264969244"/>
      <w:bookmarkStart w:id="715" w:name="_Toc353873934"/>
      <w:bookmarkStart w:id="716" w:name="_Toc353873664"/>
      <w:bookmarkStart w:id="717" w:name="_Toc142311056"/>
      <w:bookmarkStart w:id="718" w:name="_Toc127151554"/>
      <w:bookmarkStart w:id="719" w:name="_Toc226337250"/>
      <w:bookmarkStart w:id="720" w:name="_Toc265228392"/>
      <w:bookmarkStart w:id="721" w:name="_Toc305158822"/>
      <w:bookmarkStart w:id="722" w:name="_Toc305158896"/>
      <w:bookmarkStart w:id="723" w:name="_Toc353825544"/>
      <w:bookmarkStart w:id="724" w:name="_Toc150480792"/>
      <w:bookmarkStart w:id="725" w:name="_Toc226965827"/>
      <w:r>
        <w:rPr>
          <w:rFonts w:hint="eastAsia" w:ascii="仿宋" w:hAnsi="仿宋" w:eastAsia="仿宋" w:cs="仿宋"/>
          <w:b w:val="0"/>
          <w:bCs w:val="0"/>
          <w:color w:val="auto"/>
          <w:sz w:val="21"/>
          <w:szCs w:val="21"/>
          <w:highlight w:val="none"/>
        </w:rPr>
        <w:br w:type="page"/>
      </w:r>
      <w:bookmarkStart w:id="726" w:name="_Toc6641"/>
      <w:r>
        <w:rPr>
          <w:rFonts w:hint="eastAsia" w:ascii="仿宋" w:hAnsi="仿宋" w:eastAsia="仿宋" w:cs="仿宋"/>
          <w:b w:val="0"/>
          <w:bCs w:val="0"/>
          <w:color w:val="auto"/>
          <w:sz w:val="21"/>
          <w:szCs w:val="21"/>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hint="eastAsia" w:ascii="仿宋" w:hAnsi="仿宋" w:eastAsia="仿宋" w:cs="仿宋"/>
          <w:b w:val="0"/>
          <w:bCs w:val="0"/>
          <w:color w:val="auto"/>
          <w:sz w:val="21"/>
          <w:szCs w:val="21"/>
          <w:highlight w:val="none"/>
        </w:rPr>
        <w:t>资格审查</w:t>
      </w:r>
      <w:bookmarkEnd w:id="726"/>
      <w:bookmarkStart w:id="727" w:name="_Toc487900382"/>
    </w:p>
    <w:p w14:paraId="1E0A14D5">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bookmarkStart w:id="728" w:name="_Toc99301422"/>
      <w:r>
        <w:rPr>
          <w:rFonts w:hint="eastAsia" w:ascii="仿宋" w:hAnsi="仿宋" w:eastAsia="仿宋" w:cs="仿宋"/>
          <w:b w:val="0"/>
          <w:bCs w:val="0"/>
          <w:color w:val="auto"/>
          <w:sz w:val="21"/>
          <w:szCs w:val="21"/>
          <w:highlight w:val="none"/>
        </w:rPr>
        <w:t>一、资格审查程序</w:t>
      </w:r>
      <w:bookmarkEnd w:id="728"/>
    </w:p>
    <w:p w14:paraId="62489D0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1开标结束后，采购人或采购代理机构将根据《资格审查要求》中的规定，对投标人进行资格审查，并形成资格审查结果。</w:t>
      </w:r>
    </w:p>
    <w:p w14:paraId="34BD338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2《资格审查要求》中对格式有要求的，除招标文件另有规定外，均为“实质性格式”文件。</w:t>
      </w:r>
    </w:p>
    <w:p w14:paraId="2C705F9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3投标人《资格证明文件》有任何一项不符合《资格审查要求》的，资格审查不合格，其投标无效。</w:t>
      </w:r>
    </w:p>
    <w:p w14:paraId="2070BD0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rPr>
      </w:pPr>
      <w:r>
        <w:rPr>
          <w:rFonts w:hint="eastAsia" w:ascii="仿宋" w:hAnsi="仿宋" w:eastAsia="仿宋" w:cs="仿宋"/>
          <w:b w:val="0"/>
          <w:bCs/>
          <w:snapToGrid w:val="0"/>
          <w:color w:val="auto"/>
          <w:kern w:val="0"/>
          <w:sz w:val="21"/>
          <w:szCs w:val="21"/>
          <w:highlight w:val="none"/>
          <w:lang w:val="en-US" w:eastAsia="zh-CN"/>
        </w:rPr>
        <w:t>4资格审查合格的投标人不足3家的，不进行评标。</w:t>
      </w:r>
    </w:p>
    <w:p w14:paraId="777E59A1">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二、资格审查要求</w:t>
      </w:r>
    </w:p>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727"/>
    <w:tbl>
      <w:tblPr>
        <w:tblStyle w:val="46"/>
        <w:tblW w:w="4884"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2126"/>
        <w:gridCol w:w="5171"/>
        <w:gridCol w:w="1648"/>
      </w:tblGrid>
      <w:tr w14:paraId="69FE6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04" w:type="pct"/>
            <w:vAlign w:val="center"/>
          </w:tcPr>
          <w:p w14:paraId="79F5A048">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bookmarkStart w:id="729" w:name="_Hlt487972895"/>
            <w:bookmarkEnd w:id="729"/>
            <w:bookmarkStart w:id="730" w:name="_Hlk143693460"/>
            <w:bookmarkStart w:id="731" w:name="_Toc353873940"/>
            <w:bookmarkStart w:id="732" w:name="_Toc226965858"/>
            <w:bookmarkStart w:id="733" w:name="_Toc353825550"/>
            <w:bookmarkStart w:id="734" w:name="_Toc127151779"/>
            <w:bookmarkStart w:id="735" w:name="_Toc127161490"/>
            <w:r>
              <w:rPr>
                <w:rFonts w:hint="eastAsia" w:ascii="仿宋" w:hAnsi="仿宋" w:eastAsia="仿宋" w:cs="仿宋"/>
                <w:b w:val="0"/>
                <w:bCs w:val="0"/>
                <w:color w:val="auto"/>
                <w:sz w:val="21"/>
                <w:szCs w:val="21"/>
                <w:highlight w:val="none"/>
              </w:rPr>
              <w:t>序号</w:t>
            </w:r>
          </w:p>
        </w:tc>
        <w:tc>
          <w:tcPr>
            <w:tcW w:w="1092" w:type="pct"/>
            <w:vAlign w:val="center"/>
          </w:tcPr>
          <w:p w14:paraId="5F12E171">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审查因素</w:t>
            </w:r>
          </w:p>
        </w:tc>
        <w:tc>
          <w:tcPr>
            <w:tcW w:w="2656" w:type="pct"/>
            <w:vAlign w:val="center"/>
          </w:tcPr>
          <w:p w14:paraId="725F8C7B">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审查内容</w:t>
            </w:r>
          </w:p>
        </w:tc>
        <w:tc>
          <w:tcPr>
            <w:tcW w:w="846" w:type="pct"/>
            <w:vAlign w:val="center"/>
          </w:tcPr>
          <w:p w14:paraId="569D421E">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格式要求</w:t>
            </w:r>
          </w:p>
        </w:tc>
      </w:tr>
      <w:tr w14:paraId="0A477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5FD24AA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1092" w:type="pct"/>
            <w:vAlign w:val="center"/>
          </w:tcPr>
          <w:p w14:paraId="2186361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满足《中华人民共和国政府采购法》第二十二条规定</w:t>
            </w:r>
          </w:p>
        </w:tc>
        <w:tc>
          <w:tcPr>
            <w:tcW w:w="2656" w:type="pct"/>
            <w:vAlign w:val="center"/>
          </w:tcPr>
          <w:p w14:paraId="34D5F94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具体规定见第一章《投标邀请》</w:t>
            </w:r>
          </w:p>
        </w:tc>
        <w:tc>
          <w:tcPr>
            <w:tcW w:w="846" w:type="pct"/>
            <w:vAlign w:val="center"/>
          </w:tcPr>
          <w:p w14:paraId="0FC817D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7E977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372D754">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1092" w:type="pct"/>
            <w:vAlign w:val="center"/>
          </w:tcPr>
          <w:p w14:paraId="17BBB8B0">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营业执照等证明文件</w:t>
            </w:r>
          </w:p>
        </w:tc>
        <w:tc>
          <w:tcPr>
            <w:tcW w:w="2656" w:type="pct"/>
            <w:vAlign w:val="center"/>
          </w:tcPr>
          <w:p w14:paraId="17A9057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投标人为企业（包括合伙企业）的，应提供有效的“营业执照”；</w:t>
            </w:r>
          </w:p>
          <w:p w14:paraId="4A44662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投标人为事业单位的，应提供有效的“事业单位法人证书”；</w:t>
            </w:r>
          </w:p>
          <w:p w14:paraId="3D10970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投标人是非企业机构的，应提供有效的“执业许可证”、“登记证书”等证明文件；</w:t>
            </w:r>
          </w:p>
          <w:p w14:paraId="407FAB3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投标人是个体工商户的，应提供有效的“个体工商户营业执照”；</w:t>
            </w:r>
          </w:p>
          <w:p w14:paraId="46A0254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投标人是自然人的，应提供有效的自然人身份证明。</w:t>
            </w:r>
          </w:p>
          <w:p w14:paraId="50DF5B7F">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仿宋" w:hAnsi="仿宋" w:eastAsia="仿宋" w:cs="仿宋"/>
                <w:b w:val="0"/>
                <w:bCs w:val="0"/>
                <w:iCs/>
                <w:color w:val="auto"/>
                <w:sz w:val="21"/>
                <w:szCs w:val="21"/>
                <w:highlight w:val="none"/>
              </w:rPr>
              <w:t>银行、保险、石油石化、电力、电信等行业的分支机构，可以提供上述</w:t>
            </w:r>
            <w:r>
              <w:rPr>
                <w:rFonts w:hint="eastAsia" w:ascii="仿宋" w:hAnsi="仿宋" w:eastAsia="仿宋" w:cs="仿宋"/>
                <w:b w:val="0"/>
                <w:bCs w:val="0"/>
                <w:color w:val="auto"/>
                <w:sz w:val="21"/>
                <w:szCs w:val="21"/>
                <w:highlight w:val="none"/>
              </w:rPr>
              <w:t>授权，也可以提供其所属法人/其他组织的有关文件或制度等能够证明授权其独立开展业务的证明材料。</w:t>
            </w:r>
          </w:p>
        </w:tc>
        <w:tc>
          <w:tcPr>
            <w:tcW w:w="846" w:type="pct"/>
            <w:vAlign w:val="center"/>
          </w:tcPr>
          <w:p w14:paraId="23C6041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0180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13D0CD49">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w:t>
            </w:r>
          </w:p>
        </w:tc>
        <w:tc>
          <w:tcPr>
            <w:tcW w:w="1092" w:type="pct"/>
            <w:vAlign w:val="center"/>
          </w:tcPr>
          <w:p w14:paraId="4C602430">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投标人资格声明书</w:t>
            </w:r>
          </w:p>
        </w:tc>
        <w:tc>
          <w:tcPr>
            <w:tcW w:w="2656" w:type="pct"/>
            <w:vAlign w:val="center"/>
          </w:tcPr>
          <w:p w14:paraId="1F5927E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提供了符合招标文件要求的《投标人资格声明书》。</w:t>
            </w:r>
          </w:p>
        </w:tc>
        <w:tc>
          <w:tcPr>
            <w:tcW w:w="846" w:type="pct"/>
            <w:vAlign w:val="center"/>
          </w:tcPr>
          <w:p w14:paraId="3A5C499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276D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469CA19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1-3</w:t>
            </w:r>
          </w:p>
        </w:tc>
        <w:tc>
          <w:tcPr>
            <w:tcW w:w="1092" w:type="pct"/>
            <w:vAlign w:val="center"/>
          </w:tcPr>
          <w:p w14:paraId="01EF5C7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投标人信用记录</w:t>
            </w:r>
          </w:p>
        </w:tc>
        <w:tc>
          <w:tcPr>
            <w:tcW w:w="2656" w:type="pct"/>
            <w:vAlign w:val="center"/>
          </w:tcPr>
          <w:p w14:paraId="47A2378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查询渠道：信用中国网站和中国政府采购网（www.creditchina.gov.cn、www.ccgp.gov.cn）；</w:t>
            </w:r>
          </w:p>
          <w:p w14:paraId="3539AAAF">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截止时点：投标截止时间以后、资格审查阶段采购人或采购代理机构的实际查询时间；</w:t>
            </w:r>
          </w:p>
          <w:p w14:paraId="0055D797">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信用信息查询记录和证据留存具体方式：查询结果网页打印页作为查询记录和证据，与其他采购文件一并保存；</w:t>
            </w:r>
          </w:p>
          <w:p w14:paraId="56BA454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46" w:type="pct"/>
            <w:vAlign w:val="center"/>
          </w:tcPr>
          <w:p w14:paraId="4301642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无须投标人提供，由采购人或采购代理机构查询。</w:t>
            </w:r>
          </w:p>
        </w:tc>
      </w:tr>
      <w:tr w14:paraId="719D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14D3EFA0">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1-4</w:t>
            </w:r>
          </w:p>
        </w:tc>
        <w:tc>
          <w:tcPr>
            <w:tcW w:w="1092" w:type="pct"/>
            <w:vAlign w:val="center"/>
          </w:tcPr>
          <w:p w14:paraId="219C892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法律、行政法规规定的其他条件</w:t>
            </w:r>
          </w:p>
        </w:tc>
        <w:tc>
          <w:tcPr>
            <w:tcW w:w="2656" w:type="pct"/>
            <w:vAlign w:val="center"/>
          </w:tcPr>
          <w:p w14:paraId="0D4616E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法律、行政法规规定的其他条件</w:t>
            </w:r>
          </w:p>
        </w:tc>
        <w:tc>
          <w:tcPr>
            <w:tcW w:w="846" w:type="pct"/>
            <w:vAlign w:val="center"/>
          </w:tcPr>
          <w:p w14:paraId="54E85F5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p>
        </w:tc>
      </w:tr>
      <w:tr w14:paraId="46AB4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2A27574F">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1092" w:type="pct"/>
            <w:vAlign w:val="center"/>
          </w:tcPr>
          <w:p w14:paraId="424D281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落实政府采购政策需满足的资格要求</w:t>
            </w:r>
          </w:p>
        </w:tc>
        <w:tc>
          <w:tcPr>
            <w:tcW w:w="2656" w:type="pct"/>
            <w:vAlign w:val="center"/>
          </w:tcPr>
          <w:p w14:paraId="2508277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具体要求见第一章《投标邀请》</w:t>
            </w:r>
          </w:p>
        </w:tc>
        <w:tc>
          <w:tcPr>
            <w:tcW w:w="846" w:type="pct"/>
            <w:vAlign w:val="center"/>
          </w:tcPr>
          <w:p w14:paraId="44DF542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1CC6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7DB10BD1">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w:t>
            </w:r>
          </w:p>
        </w:tc>
        <w:tc>
          <w:tcPr>
            <w:tcW w:w="1092" w:type="pct"/>
            <w:shd w:val="clear" w:color="auto" w:fill="auto"/>
            <w:vAlign w:val="center"/>
          </w:tcPr>
          <w:p w14:paraId="0C1F52D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中小企业政策</w:t>
            </w:r>
          </w:p>
        </w:tc>
        <w:tc>
          <w:tcPr>
            <w:tcW w:w="2656" w:type="pct"/>
            <w:shd w:val="clear" w:color="auto" w:fill="auto"/>
            <w:vAlign w:val="center"/>
          </w:tcPr>
          <w:p w14:paraId="28BA4DD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具体要求见第一章《投标邀请》</w:t>
            </w:r>
          </w:p>
        </w:tc>
        <w:tc>
          <w:tcPr>
            <w:tcW w:w="846" w:type="pct"/>
            <w:shd w:val="clear" w:color="auto" w:fill="auto"/>
            <w:vAlign w:val="center"/>
          </w:tcPr>
          <w:p w14:paraId="0E48E004">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3C53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334ADEE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2-1-1</w:t>
            </w:r>
          </w:p>
        </w:tc>
        <w:tc>
          <w:tcPr>
            <w:tcW w:w="1092" w:type="pct"/>
            <w:shd w:val="clear" w:color="auto" w:fill="auto"/>
            <w:vAlign w:val="center"/>
          </w:tcPr>
          <w:p w14:paraId="5A55E84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中小企业证明文件</w:t>
            </w:r>
          </w:p>
        </w:tc>
        <w:tc>
          <w:tcPr>
            <w:tcW w:w="2656" w:type="pct"/>
            <w:shd w:val="clear" w:color="auto" w:fill="auto"/>
            <w:vAlign w:val="center"/>
          </w:tcPr>
          <w:p w14:paraId="2CBC097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当本项目（包）涉及预留份额专门面向中小企业采购，此时建议在《资格证明文件》中提供。</w:t>
            </w:r>
          </w:p>
          <w:p w14:paraId="5AA9E38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1、投标人单独投标的，应提供《中小企业声明函》或《残疾人福利性单位声明函》或由省级以上监狱管理局、戒毒管理局（含新疆生产建设兵团）出具的属于监狱企业的证明文件。</w:t>
            </w:r>
          </w:p>
          <w:p w14:paraId="5342FA9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46" w:type="pct"/>
            <w:shd w:val="clear" w:color="auto" w:fill="auto"/>
            <w:vAlign w:val="center"/>
          </w:tcPr>
          <w:p w14:paraId="4B955E6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45C03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6F773139">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2-1-2</w:t>
            </w:r>
          </w:p>
        </w:tc>
        <w:tc>
          <w:tcPr>
            <w:tcW w:w="1092" w:type="pct"/>
            <w:shd w:val="clear" w:color="auto" w:fill="auto"/>
            <w:vAlign w:val="center"/>
          </w:tcPr>
          <w:p w14:paraId="4AA83FC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拟分包情况说明及分包意向协议</w:t>
            </w:r>
          </w:p>
        </w:tc>
        <w:tc>
          <w:tcPr>
            <w:tcW w:w="2656" w:type="pct"/>
            <w:shd w:val="clear" w:color="auto" w:fill="auto"/>
            <w:vAlign w:val="center"/>
          </w:tcPr>
          <w:p w14:paraId="33A3C10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如本项目（包）要求通过分包措施预留部分采购份额面向中小企业采购、且投标人因落实政府采购政策拟进行分包的，必须提供；否则无须提供。</w:t>
            </w:r>
          </w:p>
          <w:p w14:paraId="2C3146E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对于预留份额专门面向中小企业采购的项目（包），组成联合体或者接受分包合同的中小企业与联合体内其他企业、分包企业之间不得存在直接控股、管理关系。</w:t>
            </w:r>
          </w:p>
        </w:tc>
        <w:tc>
          <w:tcPr>
            <w:tcW w:w="846" w:type="pct"/>
            <w:shd w:val="clear" w:color="auto" w:fill="auto"/>
            <w:vAlign w:val="center"/>
          </w:tcPr>
          <w:p w14:paraId="797983BF">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14FA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B23235A">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w:t>
            </w:r>
          </w:p>
        </w:tc>
        <w:tc>
          <w:tcPr>
            <w:tcW w:w="1092" w:type="pct"/>
            <w:vAlign w:val="center"/>
          </w:tcPr>
          <w:p w14:paraId="0E103EEA">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其它落实政府采购政策的资格要求</w:t>
            </w:r>
          </w:p>
        </w:tc>
        <w:tc>
          <w:tcPr>
            <w:tcW w:w="2656" w:type="pct"/>
            <w:vAlign w:val="center"/>
          </w:tcPr>
          <w:p w14:paraId="204A5D5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如有，见第一章《投标邀请》</w:t>
            </w:r>
          </w:p>
        </w:tc>
        <w:tc>
          <w:tcPr>
            <w:tcW w:w="846" w:type="pct"/>
            <w:vAlign w:val="center"/>
          </w:tcPr>
          <w:p w14:paraId="5FECA82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58B9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524831E">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p>
        </w:tc>
        <w:tc>
          <w:tcPr>
            <w:tcW w:w="1092" w:type="pct"/>
            <w:vAlign w:val="center"/>
          </w:tcPr>
          <w:p w14:paraId="14C702E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本项目的特定资格要求</w:t>
            </w:r>
          </w:p>
        </w:tc>
        <w:tc>
          <w:tcPr>
            <w:tcW w:w="2656" w:type="pct"/>
            <w:vAlign w:val="center"/>
          </w:tcPr>
          <w:p w14:paraId="31C7D64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如有，见第一章《投标邀请》</w:t>
            </w:r>
          </w:p>
        </w:tc>
        <w:tc>
          <w:tcPr>
            <w:tcW w:w="846" w:type="pct"/>
            <w:vAlign w:val="center"/>
          </w:tcPr>
          <w:p w14:paraId="5A75152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3DAE7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BB40A98">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3-</w:t>
            </w:r>
            <w:r>
              <w:rPr>
                <w:rFonts w:hint="eastAsia" w:ascii="仿宋" w:hAnsi="仿宋" w:eastAsia="仿宋" w:cs="仿宋"/>
                <w:b w:val="0"/>
                <w:bCs w:val="0"/>
                <w:color w:val="auto"/>
                <w:sz w:val="21"/>
                <w:szCs w:val="21"/>
                <w:highlight w:val="none"/>
                <w:lang w:val="en-US" w:eastAsia="zh-CN"/>
              </w:rPr>
              <w:t>1</w:t>
            </w:r>
          </w:p>
        </w:tc>
        <w:tc>
          <w:tcPr>
            <w:tcW w:w="1092" w:type="pct"/>
            <w:vAlign w:val="center"/>
          </w:tcPr>
          <w:p w14:paraId="45076C0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政府购买服务承接主体的要求</w:t>
            </w:r>
          </w:p>
        </w:tc>
        <w:tc>
          <w:tcPr>
            <w:tcW w:w="2656" w:type="pct"/>
            <w:vAlign w:val="center"/>
          </w:tcPr>
          <w:p w14:paraId="48C8C18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如本项目属于政府购买服务，投标人不属于公益一类事业单位、使用事业编制且由财政拨款保障的群团组织。</w:t>
            </w:r>
          </w:p>
        </w:tc>
        <w:tc>
          <w:tcPr>
            <w:tcW w:w="846" w:type="pct"/>
            <w:vAlign w:val="center"/>
          </w:tcPr>
          <w:p w14:paraId="58B5489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格式见《投标文件格式》“1-2投标人资格声明书”</w:t>
            </w:r>
          </w:p>
        </w:tc>
      </w:tr>
      <w:tr w14:paraId="3D44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04" w:type="pct"/>
            <w:vAlign w:val="center"/>
          </w:tcPr>
          <w:p w14:paraId="79C0CB1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3-</w:t>
            </w:r>
            <w:r>
              <w:rPr>
                <w:rFonts w:hint="eastAsia" w:ascii="仿宋" w:hAnsi="仿宋" w:eastAsia="仿宋" w:cs="仿宋"/>
                <w:b w:val="0"/>
                <w:bCs w:val="0"/>
                <w:color w:val="auto"/>
                <w:sz w:val="21"/>
                <w:szCs w:val="21"/>
                <w:highlight w:val="none"/>
                <w:lang w:val="en-US" w:eastAsia="zh-CN"/>
              </w:rPr>
              <w:t>2</w:t>
            </w:r>
          </w:p>
        </w:tc>
        <w:tc>
          <w:tcPr>
            <w:tcW w:w="1092" w:type="pct"/>
            <w:vAlign w:val="center"/>
          </w:tcPr>
          <w:p w14:paraId="743C092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其他特定资格要求</w:t>
            </w:r>
          </w:p>
        </w:tc>
        <w:tc>
          <w:tcPr>
            <w:tcW w:w="2656" w:type="pct"/>
            <w:vAlign w:val="center"/>
          </w:tcPr>
          <w:p w14:paraId="3E38B254">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如有，见第一章《投标邀请》</w:t>
            </w:r>
          </w:p>
        </w:tc>
        <w:tc>
          <w:tcPr>
            <w:tcW w:w="846" w:type="pct"/>
            <w:vAlign w:val="center"/>
          </w:tcPr>
          <w:p w14:paraId="201E162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20677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04" w:type="pct"/>
            <w:vAlign w:val="center"/>
          </w:tcPr>
          <w:p w14:paraId="4428B18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w:t>
            </w:r>
          </w:p>
        </w:tc>
        <w:tc>
          <w:tcPr>
            <w:tcW w:w="1092" w:type="pct"/>
            <w:vAlign w:val="center"/>
          </w:tcPr>
          <w:p w14:paraId="59959ED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获取招标文件</w:t>
            </w:r>
          </w:p>
        </w:tc>
        <w:tc>
          <w:tcPr>
            <w:tcW w:w="2656" w:type="pct"/>
            <w:vAlign w:val="center"/>
          </w:tcPr>
          <w:p w14:paraId="26D0E8B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在规定期限内通过北京市政府采购电子交易平台获取所参与包的招标文件。注：如本项目接受联合体，且供应商为联合体时，联合体中任一成员获取文件即视为满足要求。</w:t>
            </w:r>
          </w:p>
        </w:tc>
        <w:tc>
          <w:tcPr>
            <w:tcW w:w="846" w:type="pct"/>
            <w:vAlign w:val="center"/>
          </w:tcPr>
          <w:p w14:paraId="773FB60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bookmarkEnd w:id="730"/>
    </w:tbl>
    <w:p w14:paraId="048DA05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2670EE2">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736" w:name="_Toc6938"/>
      <w:r>
        <w:rPr>
          <w:rFonts w:hint="eastAsia" w:ascii="仿宋" w:hAnsi="仿宋" w:eastAsia="仿宋" w:cs="仿宋"/>
          <w:b w:val="0"/>
          <w:bCs w:val="0"/>
          <w:color w:val="auto"/>
          <w:sz w:val="21"/>
          <w:szCs w:val="21"/>
          <w:highlight w:val="none"/>
        </w:rPr>
        <w:t xml:space="preserve">第四章   </w:t>
      </w:r>
      <w:bookmarkEnd w:id="731"/>
      <w:bookmarkEnd w:id="732"/>
      <w:bookmarkEnd w:id="733"/>
      <w:bookmarkEnd w:id="734"/>
      <w:bookmarkEnd w:id="735"/>
      <w:bookmarkStart w:id="737" w:name="_Hlt164229061"/>
      <w:bookmarkEnd w:id="737"/>
      <w:r>
        <w:rPr>
          <w:rFonts w:hint="eastAsia" w:ascii="仿宋" w:hAnsi="仿宋" w:eastAsia="仿宋" w:cs="仿宋"/>
          <w:b w:val="0"/>
          <w:bCs w:val="0"/>
          <w:color w:val="auto"/>
          <w:sz w:val="21"/>
          <w:szCs w:val="21"/>
          <w:highlight w:val="none"/>
        </w:rPr>
        <w:t>评标程序、评标方法和评标标准</w:t>
      </w:r>
      <w:bookmarkEnd w:id="736"/>
    </w:p>
    <w:p w14:paraId="01ED4C1D">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一、评标方法</w:t>
      </w:r>
    </w:p>
    <w:p w14:paraId="7D0943C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bookmarkStart w:id="738" w:name="_Toc164351635"/>
      <w:bookmarkStart w:id="739" w:name="_Toc151193783"/>
      <w:bookmarkStart w:id="740" w:name="_Toc305158883"/>
      <w:bookmarkStart w:id="741" w:name="_Toc151193711"/>
      <w:bookmarkStart w:id="742" w:name="_Toc226965814"/>
      <w:bookmarkStart w:id="743" w:name="_Toc127151742"/>
      <w:bookmarkStart w:id="744" w:name="_Toc127151541"/>
      <w:bookmarkStart w:id="745" w:name="_Toc226337237"/>
      <w:bookmarkStart w:id="746" w:name="_Toc149720834"/>
      <w:bookmarkStart w:id="747" w:name="_Toc164608655"/>
      <w:bookmarkStart w:id="748" w:name="_Toc264969231"/>
      <w:bookmarkStart w:id="749" w:name="_Toc164229236"/>
      <w:bookmarkStart w:id="750" w:name="_Toc151193929"/>
      <w:bookmarkStart w:id="751" w:name="_Toc150509292"/>
      <w:bookmarkStart w:id="752" w:name="_Toc164229382"/>
      <w:bookmarkStart w:id="753" w:name="_Toc226309785"/>
      <w:bookmarkStart w:id="754" w:name="_Toc142311043"/>
      <w:bookmarkStart w:id="755" w:name="_Toc164608810"/>
      <w:bookmarkStart w:id="756" w:name="_Toc265228379"/>
      <w:bookmarkStart w:id="757" w:name="_Toc127161455"/>
      <w:bookmarkStart w:id="758" w:name="_Toc150480779"/>
      <w:bookmarkStart w:id="759" w:name="_Toc226965731"/>
      <w:bookmarkStart w:id="760" w:name="_Toc195842906"/>
      <w:bookmarkStart w:id="761" w:name="_Toc150774746"/>
      <w:bookmarkStart w:id="762" w:name="_Toc305158809"/>
      <w:bookmarkStart w:id="763" w:name="_Toc151190168"/>
      <w:bookmarkStart w:id="764" w:name="_Toc150774641"/>
      <w:bookmarkStart w:id="765" w:name="_Toc151193639"/>
      <w:bookmarkStart w:id="766" w:name="_Toc151193855"/>
      <w:bookmarkStart w:id="767" w:name="_Toc353825551"/>
      <w:bookmarkStart w:id="768" w:name="_Toc353873941"/>
      <w:bookmarkStart w:id="769" w:name="_Toc195842920"/>
      <w:bookmarkStart w:id="770" w:name="_Toc150774760"/>
      <w:bookmarkStart w:id="771" w:name="_Toc265228393"/>
      <w:bookmarkStart w:id="772" w:name="_Toc226337251"/>
      <w:bookmarkStart w:id="773" w:name="_Toc353873935"/>
      <w:bookmarkStart w:id="774" w:name="_Toc264969245"/>
      <w:bookmarkStart w:id="775" w:name="_Toc127151555"/>
      <w:bookmarkStart w:id="776" w:name="_Toc150480793"/>
      <w:bookmarkStart w:id="777" w:name="_Toc142311057"/>
      <w:bookmarkStart w:id="778" w:name="_Toc305158823"/>
      <w:bookmarkStart w:id="779" w:name="_Toc353825545"/>
      <w:bookmarkStart w:id="780" w:name="_Toc353873665"/>
      <w:bookmarkStart w:id="781" w:name="_Toc305158897"/>
      <w:bookmarkStart w:id="782" w:name="_Toc226965828"/>
      <w:r>
        <w:rPr>
          <w:rFonts w:hint="eastAsia" w:ascii="仿宋" w:hAnsi="仿宋" w:eastAsia="仿宋" w:cs="仿宋"/>
          <w:b w:val="0"/>
          <w:bCs/>
          <w:snapToGrid w:val="0"/>
          <w:color w:val="auto"/>
          <w:kern w:val="0"/>
          <w:sz w:val="21"/>
          <w:szCs w:val="21"/>
          <w:highlight w:val="none"/>
          <w:lang w:val="en-US" w:eastAsia="zh-CN"/>
        </w:rPr>
        <w:t>1投标文件的符合性审查</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14:paraId="6092D03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1.1评标委员会对资格审查合格的投标人的投标文件进行符合性审查，以确定其是否满足招标文件的实质性要求。</w:t>
      </w:r>
      <w:bookmarkStart w:id="783" w:name="_Toc520356167"/>
    </w:p>
    <w:p w14:paraId="62293EF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3"/>
      <w:r>
        <w:rPr>
          <w:rFonts w:hint="eastAsia" w:ascii="仿宋" w:hAnsi="仿宋" w:eastAsia="仿宋" w:cs="仿宋"/>
          <w:b w:val="0"/>
          <w:bCs/>
          <w:snapToGrid w:val="0"/>
          <w:color w:val="auto"/>
          <w:kern w:val="0"/>
          <w:sz w:val="21"/>
          <w:szCs w:val="21"/>
          <w:highlight w:val="none"/>
          <w:lang w:val="en-US" w:eastAsia="zh-CN"/>
        </w:rPr>
        <w:t>要求的，投标无效。</w:t>
      </w:r>
    </w:p>
    <w:p w14:paraId="3C46E4C1">
      <w:pPr>
        <w:keepNext w:val="0"/>
        <w:keepLines w:val="0"/>
        <w:pageBreakBefore w:val="0"/>
        <w:widowControl w:val="0"/>
        <w:tabs>
          <w:tab w:val="left" w:pos="900"/>
          <w:tab w:val="left" w:pos="1080"/>
          <w:tab w:val="left" w:pos="1589"/>
        </w:tabs>
        <w:kinsoku/>
        <w:wordWrap w:val="0"/>
        <w:overflowPunct/>
        <w:topLinePunct/>
        <w:autoSpaceDE/>
        <w:autoSpaceDN/>
        <w:bidi w:val="0"/>
        <w:snapToGrid w:val="0"/>
        <w:spacing w:line="360" w:lineRule="auto"/>
        <w:ind w:leftChars="-170" w:hanging="310" w:hangingChars="148"/>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符合性审查要求</w:t>
      </w:r>
    </w:p>
    <w:tbl>
      <w:tblPr>
        <w:tblStyle w:val="46"/>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982"/>
      </w:tblGrid>
      <w:tr w14:paraId="3A09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14:paraId="466FC4A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序号</w:t>
            </w:r>
          </w:p>
        </w:tc>
        <w:tc>
          <w:tcPr>
            <w:tcW w:w="2014" w:type="dxa"/>
            <w:vAlign w:val="center"/>
          </w:tcPr>
          <w:p w14:paraId="55531F4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审查因素</w:t>
            </w:r>
          </w:p>
        </w:tc>
        <w:tc>
          <w:tcPr>
            <w:tcW w:w="6982" w:type="dxa"/>
            <w:vAlign w:val="center"/>
          </w:tcPr>
          <w:p w14:paraId="1A52E49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审查内容</w:t>
            </w:r>
          </w:p>
        </w:tc>
      </w:tr>
      <w:tr w14:paraId="3B94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DD13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w:t>
            </w:r>
          </w:p>
        </w:tc>
        <w:tc>
          <w:tcPr>
            <w:tcW w:w="2014" w:type="dxa"/>
            <w:vAlign w:val="center"/>
          </w:tcPr>
          <w:p w14:paraId="719AB4E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授权委托书</w:t>
            </w:r>
          </w:p>
        </w:tc>
        <w:tc>
          <w:tcPr>
            <w:tcW w:w="6982" w:type="dxa"/>
            <w:vAlign w:val="center"/>
          </w:tcPr>
          <w:p w14:paraId="1E9DB57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按招标文件要求提供授权委托书。</w:t>
            </w:r>
          </w:p>
        </w:tc>
      </w:tr>
      <w:tr w14:paraId="4724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6E19E7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2</w:t>
            </w:r>
          </w:p>
        </w:tc>
        <w:tc>
          <w:tcPr>
            <w:tcW w:w="2014" w:type="dxa"/>
            <w:vAlign w:val="center"/>
          </w:tcPr>
          <w:p w14:paraId="7C7666F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投标完整性</w:t>
            </w:r>
          </w:p>
        </w:tc>
        <w:tc>
          <w:tcPr>
            <w:tcW w:w="6982" w:type="dxa"/>
            <w:vAlign w:val="center"/>
          </w:tcPr>
          <w:p w14:paraId="1AFF46D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未将一个采购包中的内容拆开投标。</w:t>
            </w:r>
          </w:p>
        </w:tc>
      </w:tr>
      <w:tr w14:paraId="085B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1E085C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3</w:t>
            </w:r>
          </w:p>
        </w:tc>
        <w:tc>
          <w:tcPr>
            <w:tcW w:w="2014" w:type="dxa"/>
            <w:vAlign w:val="center"/>
          </w:tcPr>
          <w:p w14:paraId="654FFE4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投标报价</w:t>
            </w:r>
          </w:p>
        </w:tc>
        <w:tc>
          <w:tcPr>
            <w:tcW w:w="6982" w:type="dxa"/>
            <w:vAlign w:val="center"/>
          </w:tcPr>
          <w:p w14:paraId="7DC1B9B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投标报价未</w:t>
            </w:r>
            <w:r>
              <w:rPr>
                <w:rFonts w:hint="eastAsia" w:ascii="仿宋" w:hAnsi="仿宋" w:eastAsia="仿宋" w:cs="仿宋"/>
                <w:b w:val="0"/>
                <w:bCs w:val="0"/>
                <w:color w:val="auto"/>
                <w:sz w:val="21"/>
                <w:szCs w:val="21"/>
                <w:highlight w:val="none"/>
              </w:rPr>
              <w:t>超过招标文件中规定的项目/采购包预算金额或者项目/采购包最高限价</w:t>
            </w:r>
            <w:r>
              <w:rPr>
                <w:rFonts w:hint="eastAsia" w:ascii="仿宋" w:hAnsi="仿宋" w:eastAsia="仿宋" w:cs="仿宋"/>
                <w:b w:val="0"/>
                <w:bCs w:val="0"/>
                <w:color w:val="auto"/>
                <w:kern w:val="0"/>
                <w:sz w:val="21"/>
                <w:szCs w:val="21"/>
                <w:highlight w:val="none"/>
              </w:rPr>
              <w:t>。</w:t>
            </w:r>
          </w:p>
        </w:tc>
      </w:tr>
      <w:tr w14:paraId="4B76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5606AD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4</w:t>
            </w:r>
          </w:p>
        </w:tc>
        <w:tc>
          <w:tcPr>
            <w:tcW w:w="2014" w:type="dxa"/>
            <w:vAlign w:val="center"/>
          </w:tcPr>
          <w:p w14:paraId="44E32FC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报价唯一性</w:t>
            </w:r>
          </w:p>
        </w:tc>
        <w:tc>
          <w:tcPr>
            <w:tcW w:w="6982" w:type="dxa"/>
            <w:vAlign w:val="center"/>
          </w:tcPr>
          <w:p w14:paraId="313C9D9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投标文件未</w:t>
            </w:r>
            <w:r>
              <w:rPr>
                <w:rFonts w:hint="eastAsia" w:ascii="仿宋" w:hAnsi="仿宋" w:eastAsia="仿宋" w:cs="仿宋"/>
                <w:b w:val="0"/>
                <w:bCs w:val="0"/>
                <w:color w:val="auto"/>
                <w:sz w:val="21"/>
                <w:szCs w:val="21"/>
                <w:highlight w:val="none"/>
              </w:rPr>
              <w:t>出现可选择性或可调整的报价（招标文件另有规定的除外）</w:t>
            </w:r>
            <w:r>
              <w:rPr>
                <w:rFonts w:hint="eastAsia" w:ascii="仿宋" w:hAnsi="仿宋" w:eastAsia="仿宋" w:cs="仿宋"/>
                <w:b w:val="0"/>
                <w:bCs w:val="0"/>
                <w:color w:val="auto"/>
                <w:kern w:val="0"/>
                <w:sz w:val="21"/>
                <w:szCs w:val="21"/>
                <w:highlight w:val="none"/>
              </w:rPr>
              <w:t>。</w:t>
            </w:r>
          </w:p>
        </w:tc>
      </w:tr>
      <w:tr w14:paraId="1AED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F1DB9A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w:t>
            </w:r>
          </w:p>
        </w:tc>
        <w:tc>
          <w:tcPr>
            <w:tcW w:w="2014" w:type="dxa"/>
            <w:vAlign w:val="center"/>
          </w:tcPr>
          <w:p w14:paraId="46F2958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投标有效期</w:t>
            </w:r>
          </w:p>
        </w:tc>
        <w:tc>
          <w:tcPr>
            <w:tcW w:w="6982" w:type="dxa"/>
            <w:vAlign w:val="center"/>
          </w:tcPr>
          <w:p w14:paraId="3AE9EB6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投标文件中承诺的投标有效期满足招标文件中载明的投标有效期的。</w:t>
            </w:r>
          </w:p>
        </w:tc>
      </w:tr>
      <w:tr w14:paraId="0FA1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E9C96E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6</w:t>
            </w:r>
          </w:p>
        </w:tc>
        <w:tc>
          <w:tcPr>
            <w:tcW w:w="2014" w:type="dxa"/>
            <w:vAlign w:val="center"/>
          </w:tcPr>
          <w:p w14:paraId="49A930C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实质性格式</w:t>
            </w:r>
          </w:p>
        </w:tc>
        <w:tc>
          <w:tcPr>
            <w:tcW w:w="6982" w:type="dxa"/>
            <w:vAlign w:val="center"/>
          </w:tcPr>
          <w:p w14:paraId="6B2E725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标记为实质性格式的文件均按招标文件要求提供且签署、盖章的。</w:t>
            </w:r>
          </w:p>
        </w:tc>
      </w:tr>
      <w:tr w14:paraId="58E5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A76207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7</w:t>
            </w:r>
          </w:p>
        </w:tc>
        <w:tc>
          <w:tcPr>
            <w:tcW w:w="2014" w:type="dxa"/>
            <w:vAlign w:val="center"/>
          </w:tcPr>
          <w:p w14:paraId="5C2E080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★号条款响应</w:t>
            </w:r>
          </w:p>
        </w:tc>
        <w:tc>
          <w:tcPr>
            <w:tcW w:w="6982" w:type="dxa"/>
            <w:vAlign w:val="center"/>
          </w:tcPr>
          <w:p w14:paraId="4C24221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投标文件满足招标文件</w:t>
            </w:r>
            <w:r>
              <w:rPr>
                <w:rFonts w:hint="eastAsia" w:ascii="仿宋" w:hAnsi="仿宋" w:eastAsia="仿宋" w:cs="仿宋"/>
                <w:b w:val="0"/>
                <w:bCs w:val="0"/>
                <w:color w:val="auto"/>
                <w:sz w:val="21"/>
                <w:szCs w:val="21"/>
                <w:highlight w:val="none"/>
              </w:rPr>
              <w:t>第五章《采购需求》</w:t>
            </w:r>
            <w:r>
              <w:rPr>
                <w:rFonts w:hint="eastAsia" w:ascii="仿宋" w:hAnsi="仿宋" w:eastAsia="仿宋" w:cs="仿宋"/>
                <w:b w:val="0"/>
                <w:bCs w:val="0"/>
                <w:color w:val="auto"/>
                <w:kern w:val="0"/>
                <w:sz w:val="21"/>
                <w:szCs w:val="21"/>
                <w:highlight w:val="none"/>
              </w:rPr>
              <w:t>中★号条款要求的。</w:t>
            </w:r>
          </w:p>
        </w:tc>
      </w:tr>
      <w:tr w14:paraId="499A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935CAD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8</w:t>
            </w:r>
          </w:p>
        </w:tc>
        <w:tc>
          <w:tcPr>
            <w:tcW w:w="2014" w:type="dxa"/>
            <w:vAlign w:val="center"/>
          </w:tcPr>
          <w:p w14:paraId="1283F17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拟分包情况说明（如有）</w:t>
            </w:r>
          </w:p>
        </w:tc>
        <w:tc>
          <w:tcPr>
            <w:tcW w:w="6982" w:type="dxa"/>
            <w:vAlign w:val="center"/>
          </w:tcPr>
          <w:p w14:paraId="76475F7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如本项目（包）非因“落实政府采购政策”亦允许分包，且供应商拟进行分包时，必须提供；否则无须提供。</w:t>
            </w:r>
          </w:p>
        </w:tc>
      </w:tr>
      <w:tr w14:paraId="70AF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C7FD10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9</w:t>
            </w:r>
          </w:p>
        </w:tc>
        <w:tc>
          <w:tcPr>
            <w:tcW w:w="2014" w:type="dxa"/>
            <w:vAlign w:val="center"/>
          </w:tcPr>
          <w:p w14:paraId="752460A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分包其他要求（如有）</w:t>
            </w:r>
          </w:p>
        </w:tc>
        <w:tc>
          <w:tcPr>
            <w:tcW w:w="6982" w:type="dxa"/>
            <w:vAlign w:val="center"/>
          </w:tcPr>
          <w:p w14:paraId="1D954C6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分包履行的内容、金额或者比例未超出《投标人须知资料表》</w:t>
            </w:r>
          </w:p>
          <w:p w14:paraId="27E2425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中的规定；</w:t>
            </w:r>
          </w:p>
          <w:p w14:paraId="1DA471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分包承担主体具备《投标人须知资料表》载明的资质条件且提供了资质证书电子件。（如有）</w:t>
            </w:r>
          </w:p>
        </w:tc>
      </w:tr>
      <w:tr w14:paraId="3D56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924F5E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w:t>
            </w:r>
          </w:p>
        </w:tc>
        <w:tc>
          <w:tcPr>
            <w:tcW w:w="2014" w:type="dxa"/>
            <w:vAlign w:val="center"/>
          </w:tcPr>
          <w:p w14:paraId="628DCD6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报价的修正（如有）</w:t>
            </w:r>
          </w:p>
        </w:tc>
        <w:tc>
          <w:tcPr>
            <w:tcW w:w="6982" w:type="dxa"/>
            <w:vAlign w:val="center"/>
          </w:tcPr>
          <w:p w14:paraId="75082EF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不涉及报价修正，或投标文件报价出现前后不一致时，投标人对修正后的报价予以确认。（如有）</w:t>
            </w:r>
          </w:p>
        </w:tc>
      </w:tr>
      <w:tr w14:paraId="0682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D3F9DD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11</w:t>
            </w:r>
          </w:p>
        </w:tc>
        <w:tc>
          <w:tcPr>
            <w:tcW w:w="2014" w:type="dxa"/>
            <w:vAlign w:val="center"/>
          </w:tcPr>
          <w:p w14:paraId="1DB119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报价合理性</w:t>
            </w:r>
          </w:p>
        </w:tc>
        <w:tc>
          <w:tcPr>
            <w:tcW w:w="6982" w:type="dxa"/>
            <w:vAlign w:val="center"/>
          </w:tcPr>
          <w:p w14:paraId="013EFDE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报价合理，或</w:t>
            </w:r>
            <w:r>
              <w:rPr>
                <w:rFonts w:hint="eastAsia" w:ascii="仿宋" w:hAnsi="仿宋" w:eastAsia="仿宋" w:cs="仿宋"/>
                <w:b w:val="0"/>
                <w:bCs w:val="0"/>
                <w:color w:val="auto"/>
                <w:sz w:val="21"/>
                <w:szCs w:val="21"/>
                <w:highlight w:val="none"/>
              </w:rPr>
              <w:t>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b w:val="0"/>
                <w:bCs w:val="0"/>
                <w:color w:val="auto"/>
                <w:kern w:val="0"/>
                <w:sz w:val="21"/>
                <w:szCs w:val="21"/>
                <w:highlight w:val="none"/>
              </w:rPr>
              <w:t>。</w:t>
            </w:r>
          </w:p>
        </w:tc>
      </w:tr>
      <w:tr w14:paraId="74EF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CBDD3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12</w:t>
            </w:r>
          </w:p>
        </w:tc>
        <w:tc>
          <w:tcPr>
            <w:tcW w:w="2014" w:type="dxa"/>
            <w:vAlign w:val="center"/>
          </w:tcPr>
          <w:p w14:paraId="6CF8705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进口产品</w:t>
            </w:r>
          </w:p>
          <w:p w14:paraId="01D3004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（如有）</w:t>
            </w:r>
          </w:p>
        </w:tc>
        <w:tc>
          <w:tcPr>
            <w:tcW w:w="6982" w:type="dxa"/>
            <w:vAlign w:val="center"/>
          </w:tcPr>
          <w:p w14:paraId="5359C13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招标文件不接受进口产品投标的内容时，投标人所投产品非进口产品的。</w:t>
            </w:r>
          </w:p>
        </w:tc>
      </w:tr>
      <w:tr w14:paraId="5178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EEDB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13</w:t>
            </w:r>
          </w:p>
        </w:tc>
        <w:tc>
          <w:tcPr>
            <w:tcW w:w="2014" w:type="dxa"/>
            <w:vAlign w:val="center"/>
          </w:tcPr>
          <w:p w14:paraId="46FB349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国家有关部门对投标人的投标产品有强制性规定或要求的</w:t>
            </w:r>
          </w:p>
        </w:tc>
        <w:tc>
          <w:tcPr>
            <w:tcW w:w="6982" w:type="dxa"/>
            <w:vAlign w:val="center"/>
          </w:tcPr>
          <w:p w14:paraId="404F9DD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国家有关部门对投标人的投标产品有强制性规定或要求的（如相应技术、安全、节能和环保等），投标人的投标产品应符合相应规定或要求，并提供证明文件电子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项目中涉及涂料、胶黏剂、油墨、清洗剂等挥发性有机物产品，且属于强制性标准的，供应商应执行符合本市和国家的VOCs含量限制标准。</w:t>
            </w:r>
          </w:p>
        </w:tc>
      </w:tr>
      <w:tr w14:paraId="13C4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58CA3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14</w:t>
            </w:r>
          </w:p>
        </w:tc>
        <w:tc>
          <w:tcPr>
            <w:tcW w:w="2014" w:type="dxa"/>
            <w:vAlign w:val="center"/>
          </w:tcPr>
          <w:p w14:paraId="25D4830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公平竞争</w:t>
            </w:r>
          </w:p>
        </w:tc>
        <w:tc>
          <w:tcPr>
            <w:tcW w:w="6982" w:type="dxa"/>
            <w:vAlign w:val="center"/>
          </w:tcPr>
          <w:p w14:paraId="74BC31B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投标人遵循公平竞争的原则，不存在恶意串通，妨碍其他投标人的竞争行为，不存在损害采购人或者其他投标人的合法权益情形的。</w:t>
            </w:r>
          </w:p>
        </w:tc>
      </w:tr>
      <w:tr w14:paraId="3BF4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FE6DC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15</w:t>
            </w:r>
          </w:p>
        </w:tc>
        <w:tc>
          <w:tcPr>
            <w:tcW w:w="2014" w:type="dxa"/>
            <w:vAlign w:val="center"/>
          </w:tcPr>
          <w:p w14:paraId="176D88F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串通投标</w:t>
            </w:r>
          </w:p>
        </w:tc>
        <w:tc>
          <w:tcPr>
            <w:tcW w:w="6982" w:type="dxa"/>
            <w:vAlign w:val="center"/>
          </w:tcPr>
          <w:p w14:paraId="4C09BC0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897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15DAE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16</w:t>
            </w:r>
          </w:p>
        </w:tc>
        <w:tc>
          <w:tcPr>
            <w:tcW w:w="2014" w:type="dxa"/>
            <w:vAlign w:val="center"/>
          </w:tcPr>
          <w:p w14:paraId="43BF260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附加条件</w:t>
            </w:r>
          </w:p>
        </w:tc>
        <w:tc>
          <w:tcPr>
            <w:tcW w:w="6982" w:type="dxa"/>
            <w:vAlign w:val="center"/>
          </w:tcPr>
          <w:p w14:paraId="0403ED0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投标文件未含有采购人不能接受的附加条件的。</w:t>
            </w:r>
          </w:p>
        </w:tc>
      </w:tr>
      <w:tr w14:paraId="4338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35022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17</w:t>
            </w:r>
          </w:p>
        </w:tc>
        <w:tc>
          <w:tcPr>
            <w:tcW w:w="2014" w:type="dxa"/>
            <w:vAlign w:val="center"/>
          </w:tcPr>
          <w:p w14:paraId="7BD635D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其他无效情形</w:t>
            </w:r>
          </w:p>
        </w:tc>
        <w:tc>
          <w:tcPr>
            <w:tcW w:w="6982" w:type="dxa"/>
            <w:vAlign w:val="center"/>
          </w:tcPr>
          <w:p w14:paraId="5E4BA65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投标人、投标文件不存在不符合法律、法规和招标文件规定的其他无效情形。</w:t>
            </w:r>
          </w:p>
        </w:tc>
      </w:tr>
      <w:tr w14:paraId="41F9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14:paraId="144776C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18</w:t>
            </w:r>
          </w:p>
        </w:tc>
        <w:tc>
          <w:tcPr>
            <w:tcW w:w="2014" w:type="dxa"/>
            <w:shd w:val="clear" w:color="auto" w:fill="auto"/>
            <w:vAlign w:val="center"/>
          </w:tcPr>
          <w:p w14:paraId="451876C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招标代理服务费承诺书</w:t>
            </w:r>
          </w:p>
        </w:tc>
        <w:tc>
          <w:tcPr>
            <w:tcW w:w="6982" w:type="dxa"/>
            <w:shd w:val="clear" w:color="auto" w:fill="auto"/>
            <w:vAlign w:val="center"/>
          </w:tcPr>
          <w:p w14:paraId="063AD8B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按照招标文件格式要求提供招标代理服务费承诺书。</w:t>
            </w:r>
          </w:p>
        </w:tc>
      </w:tr>
    </w:tbl>
    <w:p w14:paraId="1359D20F">
      <w:pPr>
        <w:keepNext w:val="0"/>
        <w:keepLines w:val="0"/>
        <w:pageBreakBefore w:val="0"/>
        <w:widowControl w:val="0"/>
        <w:numPr>
          <w:ilvl w:val="0"/>
          <w:numId w:val="8"/>
        </w:numPr>
        <w:tabs>
          <w:tab w:val="left" w:pos="1080"/>
          <w:tab w:val="left" w:pos="1589"/>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sectPr>
          <w:headerReference r:id="rId10" w:type="first"/>
          <w:footerReference r:id="rId12" w:type="first"/>
          <w:headerReference r:id="rId9" w:type="even"/>
          <w:footerReference r:id="rId11" w:type="even"/>
          <w:pgSz w:w="11907" w:h="16840"/>
          <w:pgMar w:top="1440" w:right="1080" w:bottom="1440" w:left="1080" w:header="851" w:footer="851" w:gutter="0"/>
          <w:pgNumType w:fmt="decimal"/>
          <w:cols w:space="720" w:num="1"/>
          <w:docGrid w:linePitch="462" w:charSpace="0"/>
        </w:sectPr>
      </w:pPr>
    </w:p>
    <w:bookmarkEnd w:id="767"/>
    <w:bookmarkEnd w:id="768"/>
    <w:p w14:paraId="2E91A4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2投标文件有关事项的澄清或者说明</w:t>
      </w:r>
    </w:p>
    <w:p w14:paraId="24607A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4" w:name="_Hlk144225607"/>
      <w:r>
        <w:rPr>
          <w:rFonts w:hint="eastAsia" w:ascii="仿宋" w:hAnsi="仿宋" w:eastAsia="仿宋" w:cs="仿宋"/>
          <w:b w:val="0"/>
          <w:bCs/>
          <w:snapToGrid w:val="0"/>
          <w:color w:val="auto"/>
          <w:kern w:val="0"/>
          <w:sz w:val="21"/>
          <w:szCs w:val="21"/>
          <w:highlight w:val="none"/>
          <w:lang w:val="en-US" w:eastAsia="zh-CN"/>
        </w:rPr>
        <w:t>若投标人为事业单位或其他组织或分支机构，可为单位负责人</w:t>
      </w:r>
      <w:bookmarkEnd w:id="784"/>
      <w:r>
        <w:rPr>
          <w:rFonts w:hint="eastAsia" w:ascii="仿宋" w:hAnsi="仿宋" w:eastAsia="仿宋" w:cs="仿宋"/>
          <w:b w:val="0"/>
          <w:bCs/>
          <w:snapToGrid w:val="0"/>
          <w:color w:val="auto"/>
          <w:kern w:val="0"/>
          <w:sz w:val="21"/>
          <w:szCs w:val="21"/>
          <w:highlight w:val="none"/>
          <w:lang w:val="en-US" w:eastAsia="zh-CN"/>
        </w:rPr>
        <w:t>）或其授权的代表签字。投标人的澄清、说明或者补正不得超出投标文件的范围或者改变投标文件的实质性内容。澄清文件将作为投标文件内容的一部分。</w:t>
      </w:r>
    </w:p>
    <w:p w14:paraId="2436028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470B164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0F61C47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2.4投标文件报价出现前后不一致的，按照下列规定修正：</w:t>
      </w:r>
    </w:p>
    <w:p w14:paraId="2D3173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2.4.1招标文件对于报价修正是否另有规定：</w:t>
      </w:r>
    </w:p>
    <w:p w14:paraId="3CE2939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□有，具体规定为：</w:t>
      </w:r>
      <w:r>
        <w:rPr>
          <w:rFonts w:hint="eastAsia" w:ascii="仿宋" w:hAnsi="仿宋" w:eastAsia="仿宋" w:cs="仿宋"/>
          <w:b w:val="0"/>
          <w:bCs/>
          <w:snapToGrid w:val="0"/>
          <w:color w:val="auto"/>
          <w:kern w:val="0"/>
          <w:sz w:val="21"/>
          <w:szCs w:val="21"/>
          <w:highlight w:val="none"/>
          <w:u w:val="single"/>
          <w:lang w:val="en-US" w:eastAsia="zh-CN"/>
        </w:rPr>
        <w:t xml:space="preserve">  /  </w:t>
      </w:r>
    </w:p>
    <w:p w14:paraId="13CBF0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■无，按下述2.4.2-2.4.7项规定修正。</w:t>
      </w:r>
    </w:p>
    <w:p w14:paraId="34B9A3B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2.4.2单独递交的开标一览表（报价表）与投标文件中开标一览表（报价表）内容不一致的，以单独递交的开标一览表（报价表）为准；</w:t>
      </w:r>
    </w:p>
    <w:p w14:paraId="50CAE2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2.4.3投标文件中开标一览表（报价表）内容与投标文件中相应内容不一致的，以开标一览表（报价表）为准；</w:t>
      </w:r>
    </w:p>
    <w:p w14:paraId="125C360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2.4.4大写金额和小写金额不一致的，以大写金额为准；</w:t>
      </w:r>
    </w:p>
    <w:p w14:paraId="76907AC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2.4.5单价金额小数点或者百分比有明显错位的，以开标一览表的总价为准，并修改单价；</w:t>
      </w:r>
    </w:p>
    <w:p w14:paraId="1FC25FB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2.4.6总价金额与按单价汇总金额不一致的，以单价金额计算结果为准。</w:t>
      </w:r>
    </w:p>
    <w:p w14:paraId="5F77A2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2.4.7同时出现两种以上不一致的，按照前款规定的顺序修正。修正后的报价经投标人书面确认后产生约束力，投标人不确认的，其投标无效。</w:t>
      </w:r>
    </w:p>
    <w:p w14:paraId="0BA4DF8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2.5落实政府采购政策的价格调整：只有符合第二章《投标人须知》5.2条规定情形的，可以享受中小企业扶持政策，用扣除后的价格参加评审；否则，评标时价格不予扣除。</w:t>
      </w:r>
    </w:p>
    <w:p w14:paraId="4F1F4C9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2.5.1对于未预留份额专门面向中小企业采购的采购项目，以及预留份额项目中的非预留部分采购包，对小微企业报价给予</w:t>
      </w:r>
      <w:r>
        <w:rPr>
          <w:rFonts w:hint="eastAsia" w:ascii="仿宋" w:hAnsi="仿宋" w:eastAsia="仿宋" w:cs="仿宋"/>
          <w:b w:val="0"/>
          <w:bCs/>
          <w:snapToGrid w:val="0"/>
          <w:color w:val="auto"/>
          <w:kern w:val="0"/>
          <w:sz w:val="21"/>
          <w:szCs w:val="21"/>
          <w:highlight w:val="none"/>
          <w:u w:val="single"/>
          <w:lang w:val="en-US" w:eastAsia="zh-CN"/>
        </w:rPr>
        <w:t xml:space="preserve">  /  </w:t>
      </w:r>
      <w:r>
        <w:rPr>
          <w:rFonts w:hint="eastAsia" w:ascii="仿宋" w:hAnsi="仿宋" w:eastAsia="仿宋" w:cs="仿宋"/>
          <w:b w:val="0"/>
          <w:bCs/>
          <w:snapToGrid w:val="0"/>
          <w:color w:val="auto"/>
          <w:kern w:val="0"/>
          <w:sz w:val="21"/>
          <w:szCs w:val="21"/>
          <w:highlight w:val="none"/>
          <w:lang w:val="en-US" w:eastAsia="zh-CN"/>
        </w:rPr>
        <w:t>%的扣除，用扣除后的价格参加评审。</w:t>
      </w:r>
    </w:p>
    <w:p w14:paraId="7ECA89A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仿宋" w:hAnsi="仿宋" w:eastAsia="仿宋" w:cs="仿宋"/>
          <w:b w:val="0"/>
          <w:bCs/>
          <w:snapToGrid w:val="0"/>
          <w:color w:val="auto"/>
          <w:kern w:val="0"/>
          <w:sz w:val="21"/>
          <w:szCs w:val="21"/>
          <w:highlight w:val="none"/>
          <w:u w:val="single"/>
          <w:lang w:val="en-US" w:eastAsia="zh-CN"/>
        </w:rPr>
        <w:t xml:space="preserve">  /  </w:t>
      </w:r>
      <w:r>
        <w:rPr>
          <w:rFonts w:hint="eastAsia" w:ascii="仿宋" w:hAnsi="仿宋" w:eastAsia="仿宋" w:cs="仿宋"/>
          <w:b w:val="0"/>
          <w:bCs/>
          <w:snapToGrid w:val="0"/>
          <w:color w:val="auto"/>
          <w:kern w:val="0"/>
          <w:sz w:val="21"/>
          <w:szCs w:val="21"/>
          <w:highlight w:val="none"/>
          <w:lang w:val="en-US" w:eastAsia="zh-CN"/>
        </w:rPr>
        <w:t>%的扣除，用扣除后的价格参加评审。</w:t>
      </w:r>
    </w:p>
    <w:p w14:paraId="3B0EF5F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2.5.3组成联合体或者接受分包的小微企业与联合体内其他企业、分包企业之间存在直接控股、管理关系的，不享受价格扣除优惠政策。</w:t>
      </w:r>
    </w:p>
    <w:p w14:paraId="47FE4CE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2.5.4价格扣除比例对小型企业和微型企业同等对待，不作区分。</w:t>
      </w:r>
    </w:p>
    <w:p w14:paraId="490B6A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2.5.5中小企业参加政府采购活动，应当按照招标文件给定的格式出具《中小企业声明函》，否则不得享受相关中小企业扶持政策。</w:t>
      </w:r>
    </w:p>
    <w:p w14:paraId="01D954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2.5.6监狱企业提供了由省级以上监狱管理局、戒毒管理局（含新疆生产建设兵团）出具的属于监狱企业的证明文件的，视同小微企业。</w:t>
      </w:r>
    </w:p>
    <w:p w14:paraId="097CFC1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2.5.7残疾人福利性单位按招标文件要求提供了《残疾人福利性单位声明函》的，视同小微企业。</w:t>
      </w:r>
    </w:p>
    <w:p w14:paraId="4D7CC36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2.5.8若投标人同时属于小型或微型企业、监狱企业、残疾人福利性单位中的两种及以上，将不重复享受小微企业价格扣减的优惠政策。</w:t>
      </w:r>
    </w:p>
    <w:p w14:paraId="46605C6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3投标文件的比较和评价</w:t>
      </w:r>
    </w:p>
    <w:p w14:paraId="79C567B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3.1评标委员会将按照招标文件中规定的评标方法和标准，对符合性审查合格的投标文件进行商务和技术评估，综合比较与评价；未通过符合性审查的投标文件不得进入比较与评价。</w:t>
      </w:r>
    </w:p>
    <w:p w14:paraId="25285C8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3.2评标方法和评标标准</w:t>
      </w:r>
    </w:p>
    <w:p w14:paraId="4DE5408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3.2.1本项目采用的评标方法为：</w:t>
      </w:r>
    </w:p>
    <w:p w14:paraId="1494A31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□最低评标价法，指投标文件满足招标文件全部实质性要求，且投标报价最低的投标人为中标候选人的评标方法。</w:t>
      </w:r>
    </w:p>
    <w:p w14:paraId="31EA869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0D390B2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□随机抽取</w:t>
      </w:r>
    </w:p>
    <w:p w14:paraId="606D533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□其他方式，具体要求：</w:t>
      </w:r>
      <w:r>
        <w:rPr>
          <w:rFonts w:hint="eastAsia" w:ascii="仿宋" w:hAnsi="仿宋" w:eastAsia="仿宋" w:cs="仿宋"/>
          <w:b w:val="0"/>
          <w:bCs/>
          <w:snapToGrid w:val="0"/>
          <w:color w:val="auto"/>
          <w:kern w:val="0"/>
          <w:sz w:val="21"/>
          <w:szCs w:val="21"/>
          <w:highlight w:val="none"/>
          <w:u w:val="single"/>
          <w:lang w:val="en-US" w:eastAsia="zh-CN"/>
        </w:rPr>
        <w:t xml:space="preserve">  /  </w:t>
      </w:r>
    </w:p>
    <w:p w14:paraId="60A7E8C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3.2.3非政府强制采购的节能产品或环境标志产品，依据品目清单和认证证书实施政府优先采购。优先采购的具体规定（如涉及）</w:t>
      </w:r>
      <w:r>
        <w:rPr>
          <w:rFonts w:hint="eastAsia" w:ascii="仿宋" w:hAnsi="仿宋" w:eastAsia="仿宋" w:cs="仿宋"/>
          <w:b w:val="0"/>
          <w:bCs/>
          <w:snapToGrid w:val="0"/>
          <w:color w:val="auto"/>
          <w:kern w:val="0"/>
          <w:sz w:val="21"/>
          <w:szCs w:val="21"/>
          <w:highlight w:val="none"/>
          <w:u w:val="single"/>
          <w:lang w:val="en-US" w:eastAsia="zh-CN"/>
        </w:rPr>
        <w:t xml:space="preserve">  /  </w:t>
      </w:r>
      <w:r>
        <w:rPr>
          <w:rFonts w:hint="eastAsia" w:ascii="仿宋" w:hAnsi="仿宋" w:eastAsia="仿宋" w:cs="仿宋"/>
          <w:b w:val="0"/>
          <w:bCs/>
          <w:snapToGrid w:val="0"/>
          <w:color w:val="auto"/>
          <w:kern w:val="0"/>
          <w:sz w:val="21"/>
          <w:szCs w:val="21"/>
          <w:highlight w:val="none"/>
          <w:lang w:val="en-US" w:eastAsia="zh-CN"/>
        </w:rPr>
        <w:t>。</w:t>
      </w:r>
    </w:p>
    <w:p w14:paraId="5D1D8D5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4确定</w:t>
      </w:r>
      <w:bookmarkStart w:id="785" w:name="_Toc150774751"/>
      <w:bookmarkStart w:id="786" w:name="_Toc305158888"/>
      <w:bookmarkStart w:id="787" w:name="_Toc151190173"/>
      <w:bookmarkStart w:id="788" w:name="_Toc164229387"/>
      <w:bookmarkStart w:id="789" w:name="_Toc151193716"/>
      <w:bookmarkStart w:id="790" w:name="_Toc127161460"/>
      <w:bookmarkStart w:id="791" w:name="_Toc520356170"/>
      <w:bookmarkStart w:id="792" w:name="_Toc226337242"/>
      <w:bookmarkStart w:id="793" w:name="_Ref467307010"/>
      <w:bookmarkStart w:id="794" w:name="_Toc142311048"/>
      <w:bookmarkStart w:id="795" w:name="_Toc164351640"/>
      <w:bookmarkStart w:id="796" w:name="_Toc226965736"/>
      <w:bookmarkStart w:id="797" w:name="_Toc226965819"/>
      <w:bookmarkStart w:id="798" w:name="_Toc164608815"/>
      <w:bookmarkStart w:id="799" w:name="_Toc226309790"/>
      <w:bookmarkStart w:id="800" w:name="_Toc264969236"/>
      <w:bookmarkStart w:id="801" w:name="_Toc305158814"/>
      <w:bookmarkStart w:id="802" w:name="_Toc127151546"/>
      <w:bookmarkStart w:id="803" w:name="_Toc150509297"/>
      <w:bookmarkStart w:id="804" w:name="_Toc151193860"/>
      <w:bookmarkStart w:id="805" w:name="_Toc127151747"/>
      <w:bookmarkStart w:id="806" w:name="_Toc164229241"/>
      <w:bookmarkStart w:id="807" w:name="_Toc151193644"/>
      <w:bookmarkStart w:id="808" w:name="_Toc265228384"/>
      <w:bookmarkStart w:id="809" w:name="_Toc151193788"/>
      <w:bookmarkStart w:id="810" w:name="_Toc164608660"/>
      <w:bookmarkStart w:id="811" w:name="_Toc195842911"/>
      <w:bookmarkStart w:id="812" w:name="_Toc150480784"/>
      <w:bookmarkStart w:id="813" w:name="_Toc151193934"/>
      <w:bookmarkStart w:id="814" w:name="_Toc150774646"/>
      <w:bookmarkStart w:id="815" w:name="_Toc149720839"/>
      <w:r>
        <w:rPr>
          <w:rFonts w:hint="eastAsia" w:ascii="仿宋" w:hAnsi="仿宋" w:eastAsia="仿宋" w:cs="仿宋"/>
          <w:b w:val="0"/>
          <w:bCs/>
          <w:snapToGrid w:val="0"/>
          <w:color w:val="auto"/>
          <w:kern w:val="0"/>
          <w:sz w:val="21"/>
          <w:szCs w:val="21"/>
          <w:highlight w:val="none"/>
          <w:lang w:val="en-US" w:eastAsia="zh-CN"/>
        </w:rPr>
        <w:t>中标候选人名单</w:t>
      </w:r>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 w14:paraId="51C3225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□随机抽取</w:t>
      </w:r>
    </w:p>
    <w:p w14:paraId="62BC55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■其他方式，具体要求：</w:t>
      </w:r>
      <w:r>
        <w:rPr>
          <w:rFonts w:hint="eastAsia" w:ascii="仿宋" w:hAnsi="仿宋" w:eastAsia="仿宋" w:cs="仿宋"/>
          <w:b w:val="0"/>
          <w:bCs/>
          <w:snapToGrid w:val="0"/>
          <w:color w:val="auto"/>
          <w:kern w:val="0"/>
          <w:sz w:val="21"/>
          <w:szCs w:val="21"/>
          <w:highlight w:val="none"/>
          <w:u w:val="single"/>
          <w:lang w:val="en-US" w:eastAsia="zh-CN"/>
        </w:rPr>
        <w:t xml:space="preserve">  /  </w:t>
      </w:r>
    </w:p>
    <w:p w14:paraId="559803B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4.3采用最低评标价法时，评标结果按本章2.4、2.5调整后的投标报价由低到高顺序排列。投标报价相同的并列。投标文件满足招标文件全部实质性要求且投标报价最低的投标人为排名第一的中标候选人。</w:t>
      </w:r>
    </w:p>
    <w:p w14:paraId="56E59CE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4.4评标委员会要对评分汇总情况进行复核，特别是对排名第一的、报价最低的、投标或响应文件被认定为无效的情形进行重点复核。</w:t>
      </w:r>
    </w:p>
    <w:p w14:paraId="41C1CBA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4.5评标委员会将根据各投标人的评标排序，依次推荐本项目（各采购包）的中标候选人，起草并签署评标报告。本项目（各采购包）评标委员会共（各）推荐3名中标候选人。</w:t>
      </w:r>
    </w:p>
    <w:p w14:paraId="42AF595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5报告违法行为</w:t>
      </w:r>
    </w:p>
    <w:p w14:paraId="5C02CF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5.1评标委员会在评标过程中发现投标人有行贿、提供虚假材料或者串通等违法行为时，有向采购人、采购代理机构或者有关部门报告的职责。</w:t>
      </w:r>
    </w:p>
    <w:p w14:paraId="7C21529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7BF259C2">
      <w:pPr>
        <w:keepNext w:val="0"/>
        <w:keepLines w:val="0"/>
        <w:pageBreakBefore w:val="0"/>
        <w:widowControl w:val="0"/>
        <w:numPr>
          <w:ilvl w:val="0"/>
          <w:numId w:val="0"/>
        </w:numPr>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2"/>
          <w:sz w:val="21"/>
          <w:szCs w:val="21"/>
          <w:highlight w:val="none"/>
          <w:lang w:val="en-US" w:eastAsia="zh-CN" w:bidi="ar-SA"/>
        </w:rPr>
        <w:t>二、</w:t>
      </w:r>
      <w:r>
        <w:rPr>
          <w:rFonts w:hint="eastAsia" w:ascii="仿宋" w:hAnsi="仿宋" w:eastAsia="仿宋" w:cs="仿宋"/>
          <w:b w:val="0"/>
          <w:bCs w:val="0"/>
          <w:color w:val="auto"/>
          <w:sz w:val="21"/>
          <w:szCs w:val="21"/>
          <w:highlight w:val="none"/>
        </w:rPr>
        <w:t>评标标准</w:t>
      </w:r>
    </w:p>
    <w:tbl>
      <w:tblPr>
        <w:tblStyle w:val="46"/>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167"/>
        <w:gridCol w:w="1076"/>
        <w:gridCol w:w="757"/>
        <w:gridCol w:w="6117"/>
      </w:tblGrid>
      <w:tr w14:paraId="2FD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blHeader/>
          <w:jc w:val="center"/>
        </w:trPr>
        <w:tc>
          <w:tcPr>
            <w:tcW w:w="655" w:type="dxa"/>
            <w:tcBorders>
              <w:top w:val="single" w:color="auto" w:sz="4" w:space="0"/>
              <w:left w:val="single" w:color="auto" w:sz="4" w:space="0"/>
              <w:bottom w:val="single" w:color="auto" w:sz="4" w:space="0"/>
              <w:right w:val="single" w:color="auto" w:sz="4" w:space="0"/>
            </w:tcBorders>
            <w:vAlign w:val="center"/>
          </w:tcPr>
          <w:p w14:paraId="1C4E923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序号</w:t>
            </w:r>
          </w:p>
        </w:tc>
        <w:tc>
          <w:tcPr>
            <w:tcW w:w="1167" w:type="dxa"/>
            <w:tcBorders>
              <w:top w:val="single" w:color="auto" w:sz="4" w:space="0"/>
              <w:left w:val="single" w:color="auto" w:sz="4" w:space="0"/>
              <w:bottom w:val="single" w:color="auto" w:sz="4" w:space="0"/>
              <w:right w:val="single" w:color="auto" w:sz="4" w:space="0"/>
            </w:tcBorders>
            <w:vAlign w:val="center"/>
          </w:tcPr>
          <w:p w14:paraId="1C856E1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评分因素</w:t>
            </w:r>
          </w:p>
        </w:tc>
        <w:tc>
          <w:tcPr>
            <w:tcW w:w="1076" w:type="dxa"/>
            <w:tcBorders>
              <w:top w:val="single" w:color="auto" w:sz="4" w:space="0"/>
              <w:left w:val="single" w:color="auto" w:sz="4" w:space="0"/>
              <w:bottom w:val="single" w:color="auto" w:sz="4" w:space="0"/>
              <w:right w:val="single" w:color="auto" w:sz="4" w:space="0"/>
            </w:tcBorders>
            <w:vAlign w:val="center"/>
          </w:tcPr>
          <w:p w14:paraId="3B575A9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评分内容</w:t>
            </w:r>
          </w:p>
        </w:tc>
        <w:tc>
          <w:tcPr>
            <w:tcW w:w="757" w:type="dxa"/>
            <w:tcBorders>
              <w:top w:val="single" w:color="auto" w:sz="4" w:space="0"/>
              <w:left w:val="single" w:color="auto" w:sz="4" w:space="0"/>
              <w:bottom w:val="single" w:color="auto" w:sz="4" w:space="0"/>
              <w:right w:val="single" w:color="auto" w:sz="4" w:space="0"/>
            </w:tcBorders>
            <w:vAlign w:val="center"/>
          </w:tcPr>
          <w:p w14:paraId="4F9B5AF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分值</w:t>
            </w:r>
          </w:p>
        </w:tc>
        <w:tc>
          <w:tcPr>
            <w:tcW w:w="6117" w:type="dxa"/>
            <w:tcBorders>
              <w:top w:val="single" w:color="auto" w:sz="4" w:space="0"/>
              <w:left w:val="single" w:color="auto" w:sz="4" w:space="0"/>
              <w:bottom w:val="single" w:color="auto" w:sz="4" w:space="0"/>
              <w:right w:val="single" w:color="auto" w:sz="4" w:space="0"/>
            </w:tcBorders>
            <w:vAlign w:val="center"/>
          </w:tcPr>
          <w:p w14:paraId="6D4D154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评分标准</w:t>
            </w:r>
          </w:p>
        </w:tc>
      </w:tr>
      <w:tr w14:paraId="5981B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55" w:type="dxa"/>
            <w:tcBorders>
              <w:top w:val="single" w:color="auto" w:sz="4" w:space="0"/>
              <w:left w:val="single" w:color="auto" w:sz="4" w:space="0"/>
              <w:right w:val="single" w:color="auto" w:sz="4" w:space="0"/>
            </w:tcBorders>
            <w:vAlign w:val="center"/>
          </w:tcPr>
          <w:p w14:paraId="598D56A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SA"/>
              </w:rPr>
              <w:t>1.</w:t>
            </w:r>
          </w:p>
        </w:tc>
        <w:tc>
          <w:tcPr>
            <w:tcW w:w="1167" w:type="dxa"/>
            <w:vMerge w:val="restart"/>
            <w:tcBorders>
              <w:top w:val="single" w:color="auto" w:sz="4" w:space="0"/>
              <w:left w:val="single" w:color="auto" w:sz="4" w:space="0"/>
              <w:right w:val="single" w:color="auto" w:sz="4" w:space="0"/>
            </w:tcBorders>
            <w:vAlign w:val="center"/>
          </w:tcPr>
          <w:p w14:paraId="034B496C">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技术</w:t>
            </w:r>
          </w:p>
          <w:p w14:paraId="5285A0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6</w:t>
            </w:r>
            <w:r>
              <w:rPr>
                <w:rFonts w:hint="eastAsia" w:ascii="仿宋" w:hAnsi="仿宋" w:eastAsia="仿宋" w:cs="仿宋"/>
                <w:color w:val="auto"/>
                <w:kern w:val="0"/>
                <w:sz w:val="21"/>
                <w:szCs w:val="21"/>
                <w:highlight w:val="none"/>
                <w:lang w:val="en-US" w:eastAsia="zh-CN"/>
              </w:rPr>
              <w:t>5分</w:t>
            </w:r>
            <w:r>
              <w:rPr>
                <w:rFonts w:hint="eastAsia" w:ascii="仿宋" w:hAnsi="仿宋" w:eastAsia="仿宋" w:cs="仿宋"/>
                <w:color w:val="auto"/>
                <w:kern w:val="0"/>
                <w:sz w:val="21"/>
                <w:szCs w:val="21"/>
                <w:highlight w:val="none"/>
                <w:lang w:eastAsia="zh-CN"/>
              </w:rPr>
              <w:t>）</w:t>
            </w:r>
          </w:p>
        </w:tc>
        <w:tc>
          <w:tcPr>
            <w:tcW w:w="1076" w:type="dxa"/>
            <w:tcBorders>
              <w:top w:val="single" w:color="auto" w:sz="4" w:space="0"/>
              <w:left w:val="single" w:color="auto" w:sz="4" w:space="0"/>
              <w:right w:val="single" w:color="auto" w:sz="4" w:space="0"/>
            </w:tcBorders>
            <w:vAlign w:val="center"/>
          </w:tcPr>
          <w:p w14:paraId="63B6875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技术参数</w:t>
            </w:r>
          </w:p>
        </w:tc>
        <w:tc>
          <w:tcPr>
            <w:tcW w:w="757" w:type="dxa"/>
            <w:tcBorders>
              <w:top w:val="single" w:color="auto" w:sz="4" w:space="0"/>
              <w:left w:val="single" w:color="auto" w:sz="4" w:space="0"/>
              <w:right w:val="single" w:color="auto" w:sz="4" w:space="0"/>
            </w:tcBorders>
            <w:vAlign w:val="center"/>
          </w:tcPr>
          <w:p w14:paraId="0FC065E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13</w:t>
            </w:r>
          </w:p>
        </w:tc>
        <w:tc>
          <w:tcPr>
            <w:tcW w:w="6117" w:type="dxa"/>
            <w:tcBorders>
              <w:top w:val="single" w:color="auto" w:sz="4" w:space="0"/>
              <w:left w:val="single" w:color="auto" w:sz="4" w:space="0"/>
              <w:bottom w:val="single" w:color="auto" w:sz="4" w:space="0"/>
              <w:right w:val="single" w:color="auto" w:sz="4" w:space="0"/>
            </w:tcBorders>
            <w:vAlign w:val="center"/>
          </w:tcPr>
          <w:p w14:paraId="1ED5835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对技术参数投标情况进行评审，全部满足</w:t>
            </w:r>
            <w:r>
              <w:rPr>
                <w:rFonts w:hint="eastAsia" w:ascii="仿宋" w:hAnsi="仿宋" w:eastAsia="仿宋" w:cs="仿宋"/>
                <w:color w:val="auto"/>
                <w:kern w:val="0"/>
                <w:sz w:val="21"/>
                <w:szCs w:val="21"/>
                <w:highlight w:val="none"/>
                <w:lang w:val="en-US" w:eastAsia="zh-CN"/>
              </w:rPr>
              <w:t>技术参数表中</w:t>
            </w:r>
            <w:r>
              <w:rPr>
                <w:rFonts w:hint="eastAsia" w:ascii="仿宋" w:hAnsi="仿宋" w:eastAsia="仿宋" w:cs="仿宋"/>
                <w:color w:val="auto"/>
                <w:kern w:val="0"/>
                <w:sz w:val="21"/>
                <w:szCs w:val="21"/>
                <w:highlight w:val="none"/>
              </w:rPr>
              <w:t>#</w:t>
            </w:r>
            <w:r>
              <w:rPr>
                <w:rFonts w:hint="eastAsia" w:ascii="仿宋" w:hAnsi="仿宋" w:eastAsia="仿宋" w:cs="仿宋"/>
                <w:color w:val="auto"/>
                <w:kern w:val="0"/>
                <w:sz w:val="21"/>
                <w:szCs w:val="21"/>
                <w:highlight w:val="none"/>
                <w:lang w:val="en-US" w:eastAsia="zh-CN"/>
              </w:rPr>
              <w:t>参数的</w:t>
            </w:r>
            <w:r>
              <w:rPr>
                <w:rFonts w:hint="eastAsia" w:ascii="仿宋" w:hAnsi="仿宋" w:eastAsia="仿宋" w:cs="仿宋"/>
                <w:color w:val="auto"/>
                <w:kern w:val="0"/>
                <w:sz w:val="21"/>
                <w:szCs w:val="21"/>
                <w:highlight w:val="none"/>
              </w:rPr>
              <w:t>，得</w:t>
            </w:r>
            <w:r>
              <w:rPr>
                <w:rFonts w:hint="eastAsia" w:ascii="仿宋" w:hAnsi="仿宋" w:eastAsia="仿宋" w:cs="仿宋"/>
                <w:color w:val="auto"/>
                <w:kern w:val="0"/>
                <w:sz w:val="21"/>
                <w:szCs w:val="21"/>
                <w:highlight w:val="none"/>
                <w:lang w:val="en-US" w:eastAsia="zh-CN"/>
              </w:rPr>
              <w:t>13</w:t>
            </w:r>
            <w:r>
              <w:rPr>
                <w:rFonts w:hint="eastAsia" w:ascii="仿宋" w:hAnsi="仿宋" w:eastAsia="仿宋" w:cs="仿宋"/>
                <w:color w:val="auto"/>
                <w:kern w:val="0"/>
                <w:sz w:val="21"/>
                <w:szCs w:val="21"/>
                <w:highlight w:val="none"/>
              </w:rPr>
              <w:t>分。</w:t>
            </w:r>
          </w:p>
          <w:p w14:paraId="1179294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每有一项#</w:t>
            </w:r>
            <w:r>
              <w:rPr>
                <w:rFonts w:hint="eastAsia" w:ascii="仿宋" w:hAnsi="仿宋" w:eastAsia="仿宋" w:cs="仿宋"/>
                <w:color w:val="auto"/>
                <w:kern w:val="0"/>
                <w:sz w:val="21"/>
                <w:szCs w:val="21"/>
                <w:highlight w:val="none"/>
                <w:lang w:val="en-US" w:eastAsia="zh-CN"/>
              </w:rPr>
              <w:t>参数</w:t>
            </w:r>
            <w:r>
              <w:rPr>
                <w:rFonts w:hint="eastAsia" w:ascii="仿宋" w:hAnsi="仿宋" w:eastAsia="仿宋" w:cs="仿宋"/>
                <w:color w:val="auto"/>
                <w:kern w:val="0"/>
                <w:sz w:val="21"/>
                <w:szCs w:val="21"/>
                <w:highlight w:val="none"/>
              </w:rPr>
              <w:t>负偏离扣</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分，最多扣</w:t>
            </w:r>
            <w:r>
              <w:rPr>
                <w:rFonts w:hint="eastAsia" w:ascii="仿宋" w:hAnsi="仿宋" w:eastAsia="仿宋" w:cs="仿宋"/>
                <w:color w:val="auto"/>
                <w:kern w:val="0"/>
                <w:sz w:val="21"/>
                <w:szCs w:val="21"/>
                <w:highlight w:val="none"/>
                <w:lang w:val="en-US" w:eastAsia="zh-CN"/>
              </w:rPr>
              <w:t>13</w:t>
            </w:r>
            <w:r>
              <w:rPr>
                <w:rFonts w:hint="eastAsia" w:ascii="仿宋" w:hAnsi="仿宋" w:eastAsia="仿宋" w:cs="仿宋"/>
                <w:color w:val="auto"/>
                <w:kern w:val="0"/>
                <w:sz w:val="21"/>
                <w:szCs w:val="21"/>
                <w:highlight w:val="none"/>
              </w:rPr>
              <w:t>分；</w:t>
            </w:r>
          </w:p>
        </w:tc>
      </w:tr>
      <w:tr w14:paraId="2BAD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tcBorders>
              <w:left w:val="single" w:color="auto" w:sz="4" w:space="0"/>
              <w:right w:val="single" w:color="auto" w:sz="4" w:space="0"/>
            </w:tcBorders>
            <w:vAlign w:val="center"/>
          </w:tcPr>
          <w:p w14:paraId="3C4E3DEF">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SA"/>
              </w:rPr>
              <w:t>2.</w:t>
            </w:r>
          </w:p>
        </w:tc>
        <w:tc>
          <w:tcPr>
            <w:tcW w:w="1167" w:type="dxa"/>
            <w:vMerge w:val="continue"/>
            <w:tcBorders>
              <w:left w:val="single" w:color="auto" w:sz="4" w:space="0"/>
              <w:right w:val="single" w:color="auto" w:sz="4" w:space="0"/>
            </w:tcBorders>
            <w:vAlign w:val="center"/>
          </w:tcPr>
          <w:p w14:paraId="46CE2DB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tcBorders>
              <w:top w:val="single" w:color="auto" w:sz="4" w:space="0"/>
              <w:left w:val="single" w:color="auto" w:sz="4" w:space="0"/>
              <w:right w:val="single" w:color="auto" w:sz="4" w:space="0"/>
            </w:tcBorders>
            <w:vAlign w:val="center"/>
          </w:tcPr>
          <w:p w14:paraId="6351745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重点难点分析及解决方案</w:t>
            </w:r>
          </w:p>
        </w:tc>
        <w:tc>
          <w:tcPr>
            <w:tcW w:w="757" w:type="dxa"/>
            <w:tcBorders>
              <w:top w:val="single" w:color="auto" w:sz="4" w:space="0"/>
              <w:left w:val="single" w:color="auto" w:sz="4" w:space="0"/>
              <w:right w:val="single" w:color="auto" w:sz="4" w:space="0"/>
            </w:tcBorders>
            <w:vAlign w:val="center"/>
          </w:tcPr>
          <w:p w14:paraId="165AD69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9</w:t>
            </w:r>
          </w:p>
        </w:tc>
        <w:tc>
          <w:tcPr>
            <w:tcW w:w="6117" w:type="dxa"/>
            <w:tcBorders>
              <w:top w:val="single" w:color="auto" w:sz="4" w:space="0"/>
              <w:left w:val="single" w:color="auto" w:sz="4" w:space="0"/>
              <w:bottom w:val="single" w:color="auto" w:sz="4" w:space="0"/>
              <w:right w:val="single" w:color="auto" w:sz="4" w:space="0"/>
            </w:tcBorders>
            <w:vAlign w:val="center"/>
          </w:tcPr>
          <w:p w14:paraId="7DE7AB6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项目重点难点分析及解决方案：</w:t>
            </w:r>
          </w:p>
          <w:p w14:paraId="526D835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重点难点分析准确，解决方案科学、合理，得</w:t>
            </w:r>
            <w:r>
              <w:rPr>
                <w:rFonts w:hint="eastAsia" w:ascii="仿宋" w:hAnsi="仿宋" w:eastAsia="仿宋" w:cs="仿宋"/>
                <w:color w:val="auto"/>
                <w:kern w:val="0"/>
                <w:sz w:val="21"/>
                <w:szCs w:val="21"/>
                <w:highlight w:val="none"/>
                <w:lang w:val="en-US" w:eastAsia="zh-CN"/>
              </w:rPr>
              <w:t>9</w:t>
            </w:r>
            <w:r>
              <w:rPr>
                <w:rFonts w:hint="eastAsia" w:ascii="仿宋" w:hAnsi="仿宋" w:eastAsia="仿宋" w:cs="仿宋"/>
                <w:color w:val="auto"/>
                <w:kern w:val="0"/>
                <w:sz w:val="21"/>
                <w:szCs w:val="21"/>
                <w:highlight w:val="none"/>
              </w:rPr>
              <w:t>分；</w:t>
            </w:r>
          </w:p>
          <w:p w14:paraId="274DF6F9">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重点难点分析一般，解决方案一般，得</w:t>
            </w:r>
            <w:r>
              <w:rPr>
                <w:rFonts w:hint="eastAsia" w:ascii="仿宋" w:hAnsi="仿宋" w:eastAsia="仿宋" w:cs="仿宋"/>
                <w:color w:val="auto"/>
                <w:kern w:val="0"/>
                <w:sz w:val="21"/>
                <w:szCs w:val="21"/>
                <w:highlight w:val="none"/>
                <w:lang w:val="en-US" w:eastAsia="zh-CN"/>
              </w:rPr>
              <w:t>5</w:t>
            </w:r>
            <w:r>
              <w:rPr>
                <w:rFonts w:hint="eastAsia" w:ascii="仿宋" w:hAnsi="仿宋" w:eastAsia="仿宋" w:cs="仿宋"/>
                <w:color w:val="auto"/>
                <w:kern w:val="0"/>
                <w:sz w:val="21"/>
                <w:szCs w:val="21"/>
                <w:highlight w:val="none"/>
              </w:rPr>
              <w:t>分；</w:t>
            </w:r>
          </w:p>
          <w:p w14:paraId="5F1459B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重点难点分析不准确，解决方案较差，得1分；</w:t>
            </w:r>
          </w:p>
          <w:p w14:paraId="0B4ADD3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未提供得0分。</w:t>
            </w:r>
          </w:p>
        </w:tc>
      </w:tr>
      <w:tr w14:paraId="64C81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restart"/>
            <w:tcBorders>
              <w:left w:val="single" w:color="auto" w:sz="4" w:space="0"/>
              <w:right w:val="single" w:color="auto" w:sz="4" w:space="0"/>
            </w:tcBorders>
            <w:vAlign w:val="center"/>
          </w:tcPr>
          <w:p w14:paraId="566AE68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SA"/>
              </w:rPr>
              <w:t>3.</w:t>
            </w:r>
          </w:p>
        </w:tc>
        <w:tc>
          <w:tcPr>
            <w:tcW w:w="1167" w:type="dxa"/>
            <w:vMerge w:val="continue"/>
            <w:tcBorders>
              <w:left w:val="single" w:color="auto" w:sz="4" w:space="0"/>
              <w:right w:val="single" w:color="auto" w:sz="4" w:space="0"/>
            </w:tcBorders>
            <w:vAlign w:val="center"/>
          </w:tcPr>
          <w:p w14:paraId="3E9CF1C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restart"/>
            <w:tcBorders>
              <w:top w:val="single" w:color="auto" w:sz="4" w:space="0"/>
              <w:left w:val="single" w:color="auto" w:sz="4" w:space="0"/>
              <w:right w:val="single" w:color="auto" w:sz="4" w:space="0"/>
            </w:tcBorders>
            <w:vAlign w:val="center"/>
          </w:tcPr>
          <w:p w14:paraId="60F65CF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供货保障方案</w:t>
            </w:r>
          </w:p>
        </w:tc>
        <w:tc>
          <w:tcPr>
            <w:tcW w:w="757" w:type="dxa"/>
            <w:vMerge w:val="restart"/>
            <w:tcBorders>
              <w:top w:val="single" w:color="auto" w:sz="4" w:space="0"/>
              <w:left w:val="single" w:color="auto" w:sz="4" w:space="0"/>
              <w:right w:val="single" w:color="auto" w:sz="4" w:space="0"/>
            </w:tcBorders>
            <w:vAlign w:val="center"/>
          </w:tcPr>
          <w:p w14:paraId="4B57B18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12</w:t>
            </w:r>
          </w:p>
        </w:tc>
        <w:tc>
          <w:tcPr>
            <w:tcW w:w="6117" w:type="dxa"/>
            <w:tcBorders>
              <w:top w:val="single" w:color="auto" w:sz="4" w:space="0"/>
              <w:left w:val="single" w:color="auto" w:sz="4" w:space="0"/>
              <w:bottom w:val="single" w:color="auto" w:sz="4" w:space="0"/>
              <w:right w:val="single" w:color="auto" w:sz="4" w:space="0"/>
            </w:tcBorders>
            <w:vAlign w:val="center"/>
          </w:tcPr>
          <w:p w14:paraId="7B1FD2E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①供货计划：计划详细，合理清晰，操作性强，得3分；略有不足，得2分；较差，得1分；不适合本项目或未提供，得0分。</w:t>
            </w:r>
          </w:p>
        </w:tc>
      </w:tr>
      <w:tr w14:paraId="4D97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655" w:type="dxa"/>
            <w:vMerge w:val="continue"/>
            <w:tcBorders>
              <w:left w:val="single" w:color="auto" w:sz="4" w:space="0"/>
              <w:right w:val="single" w:color="auto" w:sz="4" w:space="0"/>
            </w:tcBorders>
            <w:vAlign w:val="center"/>
          </w:tcPr>
          <w:p w14:paraId="51379A2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167" w:type="dxa"/>
            <w:vMerge w:val="continue"/>
            <w:tcBorders>
              <w:left w:val="single" w:color="auto" w:sz="4" w:space="0"/>
              <w:right w:val="single" w:color="auto" w:sz="4" w:space="0"/>
            </w:tcBorders>
            <w:vAlign w:val="center"/>
          </w:tcPr>
          <w:p w14:paraId="7912060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continue"/>
            <w:tcBorders>
              <w:left w:val="single" w:color="auto" w:sz="4" w:space="0"/>
              <w:right w:val="single" w:color="auto" w:sz="4" w:space="0"/>
            </w:tcBorders>
            <w:vAlign w:val="center"/>
          </w:tcPr>
          <w:p w14:paraId="646B0B5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757" w:type="dxa"/>
            <w:vMerge w:val="continue"/>
            <w:tcBorders>
              <w:left w:val="single" w:color="auto" w:sz="4" w:space="0"/>
              <w:right w:val="single" w:color="auto" w:sz="4" w:space="0"/>
            </w:tcBorders>
            <w:vAlign w:val="center"/>
          </w:tcPr>
          <w:p w14:paraId="4F15D2F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20CE0938">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②包装及运输方案：方案详细，合理清晰，操作性强，得3分；略有不足，得2分；较差，得1分；不适合本项目或未提供，得0分。</w:t>
            </w:r>
          </w:p>
        </w:tc>
      </w:tr>
      <w:tr w14:paraId="7BFB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481A413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167" w:type="dxa"/>
            <w:vMerge w:val="continue"/>
            <w:tcBorders>
              <w:left w:val="single" w:color="auto" w:sz="4" w:space="0"/>
              <w:right w:val="single" w:color="auto" w:sz="4" w:space="0"/>
            </w:tcBorders>
            <w:vAlign w:val="center"/>
          </w:tcPr>
          <w:p w14:paraId="28E4C86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continue"/>
            <w:tcBorders>
              <w:left w:val="single" w:color="auto" w:sz="4" w:space="0"/>
              <w:right w:val="single" w:color="auto" w:sz="4" w:space="0"/>
            </w:tcBorders>
            <w:vAlign w:val="center"/>
          </w:tcPr>
          <w:p w14:paraId="543AD40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757" w:type="dxa"/>
            <w:vMerge w:val="continue"/>
            <w:tcBorders>
              <w:left w:val="single" w:color="auto" w:sz="4" w:space="0"/>
              <w:right w:val="single" w:color="auto" w:sz="4" w:space="0"/>
            </w:tcBorders>
            <w:vAlign w:val="center"/>
          </w:tcPr>
          <w:p w14:paraId="7A1F3DB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12DA5EF0">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③供货组织结构：结构详细，合理清晰，操作性强，得3分；略有不足，得2分；较差，得1分；不适合本项目或未提供，得0分。</w:t>
            </w:r>
          </w:p>
        </w:tc>
      </w:tr>
      <w:tr w14:paraId="6C5D2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5A7B968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167" w:type="dxa"/>
            <w:vMerge w:val="continue"/>
            <w:tcBorders>
              <w:left w:val="single" w:color="auto" w:sz="4" w:space="0"/>
              <w:right w:val="single" w:color="auto" w:sz="4" w:space="0"/>
            </w:tcBorders>
            <w:vAlign w:val="center"/>
          </w:tcPr>
          <w:p w14:paraId="0633E40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continue"/>
            <w:tcBorders>
              <w:left w:val="single" w:color="auto" w:sz="4" w:space="0"/>
              <w:right w:val="single" w:color="auto" w:sz="4" w:space="0"/>
            </w:tcBorders>
            <w:vAlign w:val="center"/>
          </w:tcPr>
          <w:p w14:paraId="4E5CF11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757" w:type="dxa"/>
            <w:vMerge w:val="continue"/>
            <w:tcBorders>
              <w:left w:val="single" w:color="auto" w:sz="4" w:space="0"/>
              <w:right w:val="single" w:color="auto" w:sz="4" w:space="0"/>
            </w:tcBorders>
            <w:vAlign w:val="center"/>
          </w:tcPr>
          <w:p w14:paraId="2F72C30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31624DA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④安装、调试、交接：方案详细，合理清晰，操作性强，得3分；略有不足，得2分；较差，得1分；不适合本项目或未提供，得0分。</w:t>
            </w:r>
          </w:p>
        </w:tc>
      </w:tr>
      <w:tr w14:paraId="767A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restart"/>
            <w:tcBorders>
              <w:left w:val="single" w:color="auto" w:sz="4" w:space="0"/>
              <w:right w:val="single" w:color="auto" w:sz="4" w:space="0"/>
            </w:tcBorders>
            <w:vAlign w:val="center"/>
          </w:tcPr>
          <w:p w14:paraId="5BEA9877">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SA"/>
              </w:rPr>
              <w:t>4.</w:t>
            </w:r>
          </w:p>
        </w:tc>
        <w:tc>
          <w:tcPr>
            <w:tcW w:w="1167" w:type="dxa"/>
            <w:vMerge w:val="continue"/>
            <w:tcBorders>
              <w:left w:val="single" w:color="auto" w:sz="4" w:space="0"/>
              <w:right w:val="single" w:color="auto" w:sz="4" w:space="0"/>
            </w:tcBorders>
            <w:vAlign w:val="center"/>
          </w:tcPr>
          <w:p w14:paraId="26205CF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restart"/>
            <w:tcBorders>
              <w:top w:val="single" w:color="auto" w:sz="4" w:space="0"/>
              <w:left w:val="single" w:color="auto" w:sz="4" w:space="0"/>
              <w:right w:val="single" w:color="auto" w:sz="4" w:space="0"/>
            </w:tcBorders>
            <w:vAlign w:val="center"/>
          </w:tcPr>
          <w:p w14:paraId="3B24B94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产品质量保障方案</w:t>
            </w:r>
          </w:p>
        </w:tc>
        <w:tc>
          <w:tcPr>
            <w:tcW w:w="757" w:type="dxa"/>
            <w:vMerge w:val="restart"/>
            <w:tcBorders>
              <w:top w:val="single" w:color="auto" w:sz="4" w:space="0"/>
              <w:left w:val="single" w:color="auto" w:sz="4" w:space="0"/>
              <w:right w:val="single" w:color="auto" w:sz="4" w:space="0"/>
            </w:tcBorders>
            <w:vAlign w:val="center"/>
          </w:tcPr>
          <w:p w14:paraId="3605668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9</w:t>
            </w:r>
          </w:p>
        </w:tc>
        <w:tc>
          <w:tcPr>
            <w:tcW w:w="6117" w:type="dxa"/>
            <w:tcBorders>
              <w:top w:val="single" w:color="auto" w:sz="4" w:space="0"/>
              <w:left w:val="single" w:color="auto" w:sz="4" w:space="0"/>
              <w:bottom w:val="single" w:color="auto" w:sz="4" w:space="0"/>
              <w:right w:val="single" w:color="auto" w:sz="4" w:space="0"/>
            </w:tcBorders>
            <w:vAlign w:val="center"/>
          </w:tcPr>
          <w:p w14:paraId="195EDCF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①质量保障管理制度：满分3分；略有不足，得2分；较差，得1分；不适合本项目或未提供，得0分。</w:t>
            </w:r>
          </w:p>
        </w:tc>
      </w:tr>
      <w:tr w14:paraId="25C0B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2D909E1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167" w:type="dxa"/>
            <w:vMerge w:val="continue"/>
            <w:tcBorders>
              <w:left w:val="single" w:color="auto" w:sz="4" w:space="0"/>
              <w:right w:val="single" w:color="auto" w:sz="4" w:space="0"/>
            </w:tcBorders>
            <w:vAlign w:val="center"/>
          </w:tcPr>
          <w:p w14:paraId="24C404E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vMerge w:val="continue"/>
            <w:tcBorders>
              <w:left w:val="single" w:color="auto" w:sz="4" w:space="0"/>
              <w:right w:val="single" w:color="auto" w:sz="4" w:space="0"/>
            </w:tcBorders>
            <w:vAlign w:val="center"/>
          </w:tcPr>
          <w:p w14:paraId="6E09E0C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757" w:type="dxa"/>
            <w:vMerge w:val="continue"/>
            <w:tcBorders>
              <w:left w:val="single" w:color="auto" w:sz="4" w:space="0"/>
              <w:right w:val="single" w:color="auto" w:sz="4" w:space="0"/>
            </w:tcBorders>
            <w:vAlign w:val="center"/>
          </w:tcPr>
          <w:p w14:paraId="437E623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3145872E">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②生产过程及工艺过程保障及质检措施：满分3分；略有不足，得2分；较差，得1分；不适合本项目或未提供，得0分。</w:t>
            </w:r>
          </w:p>
        </w:tc>
      </w:tr>
      <w:tr w14:paraId="1E3F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21D1693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167" w:type="dxa"/>
            <w:vMerge w:val="continue"/>
            <w:tcBorders>
              <w:left w:val="single" w:color="auto" w:sz="4" w:space="0"/>
              <w:right w:val="single" w:color="auto" w:sz="4" w:space="0"/>
            </w:tcBorders>
            <w:vAlign w:val="center"/>
          </w:tcPr>
          <w:p w14:paraId="25EDE48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continue"/>
            <w:tcBorders>
              <w:left w:val="single" w:color="auto" w:sz="4" w:space="0"/>
              <w:right w:val="single" w:color="auto" w:sz="4" w:space="0"/>
            </w:tcBorders>
            <w:vAlign w:val="center"/>
          </w:tcPr>
          <w:p w14:paraId="66D36C8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757" w:type="dxa"/>
            <w:vMerge w:val="continue"/>
            <w:tcBorders>
              <w:left w:val="single" w:color="auto" w:sz="4" w:space="0"/>
              <w:right w:val="single" w:color="auto" w:sz="4" w:space="0"/>
            </w:tcBorders>
            <w:vAlign w:val="center"/>
          </w:tcPr>
          <w:p w14:paraId="123A108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1294C84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③出厂质量标准及验收方案：满分3分；略有不足，得2分；较差，得1分；不适合本项目或未提供，得0分。</w:t>
            </w:r>
          </w:p>
        </w:tc>
      </w:tr>
      <w:tr w14:paraId="113E5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restart"/>
            <w:tcBorders>
              <w:left w:val="single" w:color="auto" w:sz="4" w:space="0"/>
              <w:right w:val="single" w:color="auto" w:sz="4" w:space="0"/>
            </w:tcBorders>
            <w:vAlign w:val="center"/>
          </w:tcPr>
          <w:p w14:paraId="02E2C2C8">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bidi="ar-SA"/>
              </w:rPr>
              <w:t>5.</w:t>
            </w:r>
          </w:p>
        </w:tc>
        <w:tc>
          <w:tcPr>
            <w:tcW w:w="1167" w:type="dxa"/>
            <w:vMerge w:val="continue"/>
            <w:tcBorders>
              <w:left w:val="single" w:color="auto" w:sz="4" w:space="0"/>
              <w:right w:val="single" w:color="auto" w:sz="4" w:space="0"/>
            </w:tcBorders>
            <w:vAlign w:val="center"/>
          </w:tcPr>
          <w:p w14:paraId="716CD46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p>
        </w:tc>
        <w:tc>
          <w:tcPr>
            <w:tcW w:w="1076" w:type="dxa"/>
            <w:vMerge w:val="restart"/>
            <w:tcBorders>
              <w:top w:val="single" w:color="auto" w:sz="4" w:space="0"/>
              <w:left w:val="single" w:color="auto" w:sz="4" w:space="0"/>
              <w:bottom w:val="single" w:color="auto" w:sz="4" w:space="0"/>
              <w:right w:val="single" w:color="auto" w:sz="4" w:space="0"/>
            </w:tcBorders>
            <w:vAlign w:val="center"/>
          </w:tcPr>
          <w:p w14:paraId="21CCC22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售后服务保障</w:t>
            </w:r>
          </w:p>
        </w:tc>
        <w:tc>
          <w:tcPr>
            <w:tcW w:w="757" w:type="dxa"/>
            <w:vMerge w:val="restart"/>
            <w:tcBorders>
              <w:top w:val="single" w:color="auto" w:sz="4" w:space="0"/>
              <w:left w:val="single" w:color="auto" w:sz="4" w:space="0"/>
              <w:right w:val="single" w:color="auto" w:sz="4" w:space="0"/>
            </w:tcBorders>
            <w:vAlign w:val="center"/>
          </w:tcPr>
          <w:p w14:paraId="0795CAD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15</w:t>
            </w:r>
          </w:p>
        </w:tc>
        <w:tc>
          <w:tcPr>
            <w:tcW w:w="6117" w:type="dxa"/>
            <w:tcBorders>
              <w:top w:val="single" w:color="auto" w:sz="4" w:space="0"/>
              <w:left w:val="single" w:color="auto" w:sz="4" w:space="0"/>
              <w:bottom w:val="single" w:color="auto" w:sz="4" w:space="0"/>
              <w:right w:val="single" w:color="auto" w:sz="4" w:space="0"/>
            </w:tcBorders>
            <w:vAlign w:val="center"/>
          </w:tcPr>
          <w:p w14:paraId="280AEF2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①供货后验收及资料移交方案：方案详细，合理清晰，操作性强，得3分；略有不足，得2分；较差，得1分；不适合或未提供，得0分。</w:t>
            </w:r>
          </w:p>
        </w:tc>
      </w:tr>
      <w:tr w14:paraId="62DB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22502E0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167" w:type="dxa"/>
            <w:vMerge w:val="continue"/>
            <w:tcBorders>
              <w:left w:val="single" w:color="auto" w:sz="4" w:space="0"/>
              <w:right w:val="single" w:color="auto" w:sz="4" w:space="0"/>
            </w:tcBorders>
            <w:vAlign w:val="center"/>
          </w:tcPr>
          <w:p w14:paraId="0ABD62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vMerge w:val="continue"/>
            <w:tcBorders>
              <w:top w:val="single" w:color="auto" w:sz="4" w:space="0"/>
              <w:left w:val="single" w:color="auto" w:sz="4" w:space="0"/>
              <w:bottom w:val="single" w:color="auto" w:sz="4" w:space="0"/>
              <w:right w:val="single" w:color="auto" w:sz="4" w:space="0"/>
            </w:tcBorders>
            <w:vAlign w:val="center"/>
          </w:tcPr>
          <w:p w14:paraId="38EE205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757" w:type="dxa"/>
            <w:vMerge w:val="continue"/>
            <w:tcBorders>
              <w:left w:val="single" w:color="auto" w:sz="4" w:space="0"/>
              <w:right w:val="single" w:color="auto" w:sz="4" w:space="0"/>
            </w:tcBorders>
            <w:vAlign w:val="center"/>
          </w:tcPr>
          <w:p w14:paraId="440BD57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1F29A66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②退货、调换、维修方案：方案详细，合理清晰，操作性强，得3分；略有不足，得2分；较差，得1分；不适合或未提供，得0分。</w:t>
            </w:r>
          </w:p>
        </w:tc>
      </w:tr>
      <w:tr w14:paraId="6616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3799DBD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167" w:type="dxa"/>
            <w:vMerge w:val="continue"/>
            <w:tcBorders>
              <w:left w:val="single" w:color="auto" w:sz="4" w:space="0"/>
              <w:right w:val="single" w:color="auto" w:sz="4" w:space="0"/>
            </w:tcBorders>
            <w:vAlign w:val="center"/>
          </w:tcPr>
          <w:p w14:paraId="6E80331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vMerge w:val="continue"/>
            <w:tcBorders>
              <w:top w:val="single" w:color="auto" w:sz="4" w:space="0"/>
              <w:left w:val="single" w:color="auto" w:sz="4" w:space="0"/>
              <w:bottom w:val="single" w:color="auto" w:sz="4" w:space="0"/>
              <w:right w:val="single" w:color="auto" w:sz="4" w:space="0"/>
            </w:tcBorders>
            <w:vAlign w:val="center"/>
          </w:tcPr>
          <w:p w14:paraId="099BDB5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757" w:type="dxa"/>
            <w:vMerge w:val="continue"/>
            <w:tcBorders>
              <w:left w:val="single" w:color="auto" w:sz="4" w:space="0"/>
              <w:right w:val="single" w:color="auto" w:sz="4" w:space="0"/>
            </w:tcBorders>
            <w:vAlign w:val="center"/>
          </w:tcPr>
          <w:p w14:paraId="25122E6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23111B2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③产品备货方案：方案详细，合理清晰，操作性强，得3分；略有不足，得2分；较差，得1分；不适合或未提供，得0分。</w:t>
            </w:r>
          </w:p>
        </w:tc>
      </w:tr>
      <w:tr w14:paraId="1D02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5E6FB76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167" w:type="dxa"/>
            <w:vMerge w:val="continue"/>
            <w:tcBorders>
              <w:left w:val="single" w:color="auto" w:sz="4" w:space="0"/>
              <w:right w:val="single" w:color="auto" w:sz="4" w:space="0"/>
            </w:tcBorders>
            <w:vAlign w:val="center"/>
          </w:tcPr>
          <w:p w14:paraId="427A4EE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vMerge w:val="continue"/>
            <w:tcBorders>
              <w:top w:val="single" w:color="auto" w:sz="4" w:space="0"/>
              <w:left w:val="single" w:color="auto" w:sz="4" w:space="0"/>
              <w:bottom w:val="single" w:color="auto" w:sz="4" w:space="0"/>
              <w:right w:val="single" w:color="auto" w:sz="4" w:space="0"/>
            </w:tcBorders>
            <w:vAlign w:val="center"/>
          </w:tcPr>
          <w:p w14:paraId="023C6B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757" w:type="dxa"/>
            <w:vMerge w:val="continue"/>
            <w:tcBorders>
              <w:left w:val="single" w:color="auto" w:sz="4" w:space="0"/>
              <w:right w:val="single" w:color="auto" w:sz="4" w:space="0"/>
            </w:tcBorders>
            <w:vAlign w:val="center"/>
          </w:tcPr>
          <w:p w14:paraId="2B41DDE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77A1B412">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④客户回访方案：方案详细，合理清晰，操作性强，得3分；略有不足，得2分；较差，得1分；不适合或未提供，得0分。</w:t>
            </w:r>
          </w:p>
        </w:tc>
      </w:tr>
      <w:tr w14:paraId="2A78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vMerge w:val="continue"/>
            <w:tcBorders>
              <w:left w:val="single" w:color="auto" w:sz="4" w:space="0"/>
              <w:right w:val="single" w:color="auto" w:sz="4" w:space="0"/>
            </w:tcBorders>
            <w:vAlign w:val="center"/>
          </w:tcPr>
          <w:p w14:paraId="5720F0B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167" w:type="dxa"/>
            <w:vMerge w:val="continue"/>
            <w:tcBorders>
              <w:left w:val="single" w:color="auto" w:sz="4" w:space="0"/>
              <w:right w:val="single" w:color="auto" w:sz="4" w:space="0"/>
            </w:tcBorders>
            <w:vAlign w:val="center"/>
          </w:tcPr>
          <w:p w14:paraId="303C280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vMerge w:val="continue"/>
            <w:tcBorders>
              <w:left w:val="single" w:color="auto" w:sz="4" w:space="0"/>
              <w:right w:val="single" w:color="auto" w:sz="4" w:space="0"/>
            </w:tcBorders>
            <w:vAlign w:val="center"/>
          </w:tcPr>
          <w:p w14:paraId="1EAE869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757" w:type="dxa"/>
            <w:vMerge w:val="continue"/>
            <w:tcBorders>
              <w:left w:val="single" w:color="auto" w:sz="4" w:space="0"/>
              <w:right w:val="single" w:color="auto" w:sz="4" w:space="0"/>
            </w:tcBorders>
            <w:vAlign w:val="center"/>
          </w:tcPr>
          <w:p w14:paraId="51322F6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6117" w:type="dxa"/>
            <w:tcBorders>
              <w:top w:val="single" w:color="auto" w:sz="4" w:space="0"/>
              <w:left w:val="single" w:color="auto" w:sz="4" w:space="0"/>
              <w:bottom w:val="single" w:color="auto" w:sz="4" w:space="0"/>
              <w:right w:val="single" w:color="auto" w:sz="4" w:space="0"/>
            </w:tcBorders>
            <w:vAlign w:val="center"/>
          </w:tcPr>
          <w:p w14:paraId="5DE7C23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⑤应急响应方案：方案详细，合理清晰，操作性强，得3分；略有不足，得2分；较差，得1分；不适合或未提供，得0分。</w:t>
            </w:r>
          </w:p>
        </w:tc>
      </w:tr>
      <w:tr w14:paraId="77A1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tcBorders>
              <w:left w:val="single" w:color="auto" w:sz="4" w:space="0"/>
              <w:right w:val="single" w:color="auto" w:sz="4" w:space="0"/>
            </w:tcBorders>
            <w:vAlign w:val="center"/>
          </w:tcPr>
          <w:p w14:paraId="6C86712B">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6.</w:t>
            </w:r>
          </w:p>
        </w:tc>
        <w:tc>
          <w:tcPr>
            <w:tcW w:w="1167" w:type="dxa"/>
            <w:vMerge w:val="continue"/>
            <w:tcBorders>
              <w:left w:val="single" w:color="auto" w:sz="4" w:space="0"/>
              <w:right w:val="single" w:color="auto" w:sz="4" w:space="0"/>
            </w:tcBorders>
            <w:vAlign w:val="center"/>
          </w:tcPr>
          <w:p w14:paraId="286CC9C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tcBorders>
              <w:left w:val="single" w:color="auto" w:sz="4" w:space="0"/>
              <w:right w:val="single" w:color="auto" w:sz="4" w:space="0"/>
            </w:tcBorders>
            <w:vAlign w:val="center"/>
          </w:tcPr>
          <w:p w14:paraId="58E4C1C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相关服务承诺</w:t>
            </w:r>
          </w:p>
        </w:tc>
        <w:tc>
          <w:tcPr>
            <w:tcW w:w="757" w:type="dxa"/>
            <w:tcBorders>
              <w:left w:val="single" w:color="auto" w:sz="4" w:space="0"/>
              <w:right w:val="single" w:color="auto" w:sz="4" w:space="0"/>
            </w:tcBorders>
            <w:vAlign w:val="center"/>
          </w:tcPr>
          <w:p w14:paraId="77C2615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7</w:t>
            </w:r>
          </w:p>
        </w:tc>
        <w:tc>
          <w:tcPr>
            <w:tcW w:w="6117" w:type="dxa"/>
            <w:tcBorders>
              <w:top w:val="single" w:color="auto" w:sz="4" w:space="0"/>
              <w:left w:val="single" w:color="auto" w:sz="4" w:space="0"/>
              <w:bottom w:val="single" w:color="auto" w:sz="4" w:space="0"/>
              <w:right w:val="single" w:color="auto" w:sz="4" w:space="0"/>
            </w:tcBorders>
            <w:vAlign w:val="center"/>
          </w:tcPr>
          <w:p w14:paraId="060954E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结合本项目提出完整的服务承诺，可行性强，得</w:t>
            </w:r>
            <w:r>
              <w:rPr>
                <w:rFonts w:hint="eastAsia" w:ascii="仿宋" w:hAnsi="仿宋" w:eastAsia="仿宋" w:cs="仿宋"/>
                <w:color w:val="auto"/>
                <w:kern w:val="0"/>
                <w:sz w:val="21"/>
                <w:szCs w:val="21"/>
                <w:highlight w:val="none"/>
                <w:lang w:val="en-US" w:eastAsia="zh-CN"/>
              </w:rPr>
              <w:t>7</w:t>
            </w:r>
            <w:r>
              <w:rPr>
                <w:rFonts w:hint="eastAsia" w:ascii="仿宋" w:hAnsi="仿宋" w:eastAsia="仿宋" w:cs="仿宋"/>
                <w:color w:val="auto"/>
                <w:kern w:val="0"/>
                <w:sz w:val="21"/>
                <w:szCs w:val="21"/>
                <w:highlight w:val="none"/>
              </w:rPr>
              <w:t>分；</w:t>
            </w:r>
          </w:p>
          <w:p w14:paraId="7AD19AA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服务承诺完整性一般，可行性一般，得</w:t>
            </w:r>
            <w:r>
              <w:rPr>
                <w:rFonts w:hint="eastAsia" w:ascii="仿宋" w:hAnsi="仿宋" w:eastAsia="仿宋" w:cs="仿宋"/>
                <w:color w:val="auto"/>
                <w:kern w:val="0"/>
                <w:sz w:val="21"/>
                <w:szCs w:val="21"/>
                <w:highlight w:val="none"/>
                <w:lang w:val="en-US" w:eastAsia="zh-CN"/>
              </w:rPr>
              <w:t>4</w:t>
            </w:r>
            <w:r>
              <w:rPr>
                <w:rFonts w:hint="eastAsia" w:ascii="仿宋" w:hAnsi="仿宋" w:eastAsia="仿宋" w:cs="仿宋"/>
                <w:color w:val="auto"/>
                <w:kern w:val="0"/>
                <w:sz w:val="21"/>
                <w:szCs w:val="21"/>
                <w:highlight w:val="none"/>
              </w:rPr>
              <w:t>分；</w:t>
            </w:r>
          </w:p>
          <w:p w14:paraId="7E907E4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服务承诺完整性较差，可行性较差，得1分；</w:t>
            </w:r>
          </w:p>
          <w:p w14:paraId="06B4D7DB">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未提供，得0分。</w:t>
            </w:r>
          </w:p>
        </w:tc>
      </w:tr>
      <w:tr w14:paraId="1A77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tcBorders>
              <w:left w:val="single" w:color="auto" w:sz="4" w:space="0"/>
              <w:right w:val="single" w:color="auto" w:sz="4" w:space="0"/>
            </w:tcBorders>
            <w:vAlign w:val="center"/>
          </w:tcPr>
          <w:p w14:paraId="1601E74D">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2"/>
                <w:sz w:val="21"/>
                <w:szCs w:val="21"/>
                <w:highlight w:val="none"/>
                <w:lang w:val="en-US" w:eastAsia="zh-CN" w:bidi="ar-SA"/>
              </w:rPr>
              <w:t>7.</w:t>
            </w:r>
          </w:p>
        </w:tc>
        <w:tc>
          <w:tcPr>
            <w:tcW w:w="1167" w:type="dxa"/>
            <w:vMerge w:val="restart"/>
            <w:tcBorders>
              <w:left w:val="single" w:color="auto" w:sz="4" w:space="0"/>
              <w:right w:val="single" w:color="auto" w:sz="4" w:space="0"/>
            </w:tcBorders>
            <w:vAlign w:val="center"/>
          </w:tcPr>
          <w:p w14:paraId="0200184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商务</w:t>
            </w:r>
          </w:p>
          <w:p w14:paraId="2F9BEF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（5分）</w:t>
            </w:r>
          </w:p>
        </w:tc>
        <w:tc>
          <w:tcPr>
            <w:tcW w:w="1076" w:type="dxa"/>
            <w:tcBorders>
              <w:left w:val="single" w:color="auto" w:sz="4" w:space="0"/>
              <w:right w:val="single" w:color="auto" w:sz="4" w:space="0"/>
            </w:tcBorders>
            <w:vAlign w:val="center"/>
          </w:tcPr>
          <w:p w14:paraId="27D1682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案例业绩</w:t>
            </w:r>
          </w:p>
        </w:tc>
        <w:tc>
          <w:tcPr>
            <w:tcW w:w="757" w:type="dxa"/>
            <w:tcBorders>
              <w:left w:val="single" w:color="auto" w:sz="4" w:space="0"/>
              <w:right w:val="single" w:color="auto" w:sz="4" w:space="0"/>
            </w:tcBorders>
            <w:vAlign w:val="center"/>
          </w:tcPr>
          <w:p w14:paraId="0216067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p>
        </w:tc>
        <w:tc>
          <w:tcPr>
            <w:tcW w:w="6117" w:type="dxa"/>
            <w:tcBorders>
              <w:top w:val="single" w:color="auto" w:sz="4" w:space="0"/>
              <w:left w:val="single" w:color="auto" w:sz="4" w:space="0"/>
              <w:bottom w:val="single" w:color="auto" w:sz="4" w:space="0"/>
              <w:right w:val="single" w:color="auto" w:sz="4" w:space="0"/>
            </w:tcBorders>
            <w:vAlign w:val="center"/>
          </w:tcPr>
          <w:p w14:paraId="40C3DD11">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供应商须提供近三年内（2021年12月至今，以合同签订时间为准）已完成类似供货业绩，每提供一个有效业绩得</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rPr>
              <w:t>分，满分3分。</w:t>
            </w:r>
          </w:p>
          <w:p w14:paraId="61D622C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注：须提供合同关键页（首页、金额页、供货清单页、签字盖章页、签订日期页等）电子件加盖单位公章，否则评标委员会不予认可。</w:t>
            </w:r>
          </w:p>
        </w:tc>
      </w:tr>
      <w:tr w14:paraId="2A8CF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tcBorders>
              <w:left w:val="single" w:color="auto" w:sz="4" w:space="0"/>
              <w:right w:val="single" w:color="auto" w:sz="4" w:space="0"/>
            </w:tcBorders>
            <w:vAlign w:val="center"/>
          </w:tcPr>
          <w:p w14:paraId="17EB19AA">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425" w:leftChars="0" w:hanging="425"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t>8.</w:t>
            </w:r>
          </w:p>
        </w:tc>
        <w:tc>
          <w:tcPr>
            <w:tcW w:w="1167" w:type="dxa"/>
            <w:vMerge w:val="continue"/>
            <w:tcBorders>
              <w:left w:val="single" w:color="auto" w:sz="4" w:space="0"/>
              <w:right w:val="single" w:color="auto" w:sz="4" w:space="0"/>
            </w:tcBorders>
            <w:vAlign w:val="center"/>
          </w:tcPr>
          <w:p w14:paraId="62A8887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p>
        </w:tc>
        <w:tc>
          <w:tcPr>
            <w:tcW w:w="1076" w:type="dxa"/>
            <w:tcBorders>
              <w:left w:val="single" w:color="auto" w:sz="4" w:space="0"/>
              <w:right w:val="single" w:color="auto" w:sz="4" w:space="0"/>
            </w:tcBorders>
            <w:vAlign w:val="center"/>
          </w:tcPr>
          <w:p w14:paraId="5405706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节能产品</w:t>
            </w:r>
          </w:p>
          <w:p w14:paraId="1FB4CF2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、环境标识</w:t>
            </w:r>
          </w:p>
        </w:tc>
        <w:tc>
          <w:tcPr>
            <w:tcW w:w="757" w:type="dxa"/>
            <w:tcBorders>
              <w:left w:val="single" w:color="auto" w:sz="4" w:space="0"/>
              <w:right w:val="single" w:color="auto" w:sz="4" w:space="0"/>
            </w:tcBorders>
            <w:vAlign w:val="center"/>
          </w:tcPr>
          <w:p w14:paraId="4382C3E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p>
        </w:tc>
        <w:tc>
          <w:tcPr>
            <w:tcW w:w="6117" w:type="dxa"/>
            <w:tcBorders>
              <w:top w:val="single" w:color="auto" w:sz="4" w:space="0"/>
              <w:left w:val="single" w:color="auto" w:sz="4" w:space="0"/>
              <w:bottom w:val="single" w:color="auto" w:sz="4" w:space="0"/>
              <w:right w:val="single" w:color="auto" w:sz="4" w:space="0"/>
            </w:tcBorders>
            <w:vAlign w:val="center"/>
          </w:tcPr>
          <w:p w14:paraId="4C02FA0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1、投标单一产品属于优先采购节能产品的（须提供国家确定的认证机构出具的、处于有效期之内的节能产品认证证书电子件）加1分，最多加1分，否则不加分。</w:t>
            </w:r>
          </w:p>
          <w:p w14:paraId="53C5630A">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2、投标单一产品属于优先采购环境标志产品的（须提供国家确定的认证机构出具的、处于有效期之内的环境标志产品认证证书电子件）加1分，最多加1分，否则不加分。</w:t>
            </w:r>
          </w:p>
          <w:p w14:paraId="34903E57">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注：以上电子件均需加盖本单位公章；属于政府强制采购节能产品的不加分。</w:t>
            </w:r>
          </w:p>
        </w:tc>
      </w:tr>
      <w:tr w14:paraId="1304F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655" w:type="dxa"/>
            <w:tcBorders>
              <w:left w:val="single" w:color="auto" w:sz="4" w:space="0"/>
              <w:bottom w:val="single" w:color="auto" w:sz="4" w:space="0"/>
              <w:right w:val="single" w:color="auto" w:sz="4" w:space="0"/>
            </w:tcBorders>
            <w:shd w:val="clear" w:color="auto" w:fill="auto"/>
            <w:vAlign w:val="center"/>
          </w:tcPr>
          <w:p w14:paraId="4C0BB5F6">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9.</w:t>
            </w:r>
          </w:p>
        </w:tc>
        <w:tc>
          <w:tcPr>
            <w:tcW w:w="1167" w:type="dxa"/>
            <w:tcBorders>
              <w:left w:val="single" w:color="auto" w:sz="4" w:space="0"/>
              <w:bottom w:val="single" w:color="auto" w:sz="4" w:space="0"/>
              <w:right w:val="single" w:color="auto" w:sz="4" w:space="0"/>
            </w:tcBorders>
            <w:shd w:val="clear" w:color="auto" w:fill="auto"/>
            <w:vAlign w:val="center"/>
          </w:tcPr>
          <w:p w14:paraId="480A3A4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报价</w:t>
            </w:r>
          </w:p>
          <w:p w14:paraId="44D15DC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eastAsia="zh-CN"/>
              </w:rPr>
              <w:t>（</w:t>
            </w:r>
            <w:r>
              <w:rPr>
                <w:rFonts w:hint="eastAsia" w:ascii="仿宋" w:hAnsi="仿宋" w:eastAsia="仿宋" w:cs="仿宋"/>
                <w:color w:val="auto"/>
                <w:kern w:val="0"/>
                <w:sz w:val="21"/>
                <w:szCs w:val="21"/>
                <w:highlight w:val="none"/>
              </w:rPr>
              <w:t>30</w:t>
            </w:r>
            <w:r>
              <w:rPr>
                <w:rFonts w:hint="eastAsia" w:ascii="仿宋" w:hAnsi="仿宋" w:eastAsia="仿宋" w:cs="仿宋"/>
                <w:color w:val="auto"/>
                <w:kern w:val="0"/>
                <w:sz w:val="21"/>
                <w:szCs w:val="21"/>
                <w:highlight w:val="none"/>
                <w:lang w:val="en-US" w:eastAsia="zh-CN"/>
              </w:rPr>
              <w:t>分</w:t>
            </w:r>
            <w:r>
              <w:rPr>
                <w:rFonts w:hint="eastAsia" w:ascii="仿宋" w:hAnsi="仿宋" w:eastAsia="仿宋" w:cs="仿宋"/>
                <w:color w:val="auto"/>
                <w:kern w:val="0"/>
                <w:sz w:val="21"/>
                <w:szCs w:val="21"/>
                <w:highlight w:val="none"/>
                <w:lang w:eastAsia="zh-CN"/>
              </w:rPr>
              <w:t>）</w:t>
            </w:r>
          </w:p>
        </w:tc>
        <w:tc>
          <w:tcPr>
            <w:tcW w:w="1076" w:type="dxa"/>
            <w:tcBorders>
              <w:left w:val="single" w:color="auto" w:sz="4" w:space="0"/>
              <w:bottom w:val="single" w:color="auto" w:sz="4" w:space="0"/>
              <w:right w:val="single" w:color="auto" w:sz="4" w:space="0"/>
            </w:tcBorders>
            <w:shd w:val="clear" w:color="auto" w:fill="auto"/>
            <w:vAlign w:val="center"/>
          </w:tcPr>
          <w:p w14:paraId="5DB17B9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rPr>
              <w:t>投标报价</w:t>
            </w:r>
          </w:p>
        </w:tc>
        <w:tc>
          <w:tcPr>
            <w:tcW w:w="757" w:type="dxa"/>
            <w:tcBorders>
              <w:left w:val="single" w:color="auto" w:sz="4" w:space="0"/>
              <w:bottom w:val="single" w:color="auto" w:sz="4" w:space="0"/>
              <w:right w:val="single" w:color="auto" w:sz="4" w:space="0"/>
            </w:tcBorders>
            <w:shd w:val="clear" w:color="auto" w:fill="auto"/>
            <w:vAlign w:val="center"/>
          </w:tcPr>
          <w:p w14:paraId="44203D0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zh-TW" w:eastAsia="zh-TW"/>
              </w:rPr>
              <w:t>30</w:t>
            </w:r>
          </w:p>
        </w:tc>
        <w:tc>
          <w:tcPr>
            <w:tcW w:w="6117" w:type="dxa"/>
            <w:tcBorders>
              <w:top w:val="single" w:color="auto" w:sz="4" w:space="0"/>
              <w:left w:val="single" w:color="auto" w:sz="4" w:space="0"/>
              <w:bottom w:val="single" w:color="auto" w:sz="4" w:space="0"/>
              <w:right w:val="single" w:color="auto" w:sz="4" w:space="0"/>
            </w:tcBorders>
            <w:shd w:val="clear" w:color="auto" w:fill="auto"/>
            <w:vAlign w:val="center"/>
          </w:tcPr>
          <w:p w14:paraId="526D4795">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lang w:val="zh-TW" w:eastAsia="zh-TW"/>
              </w:rPr>
            </w:pPr>
            <w:r>
              <w:rPr>
                <w:rFonts w:hint="eastAsia" w:ascii="仿宋" w:hAnsi="仿宋" w:eastAsia="仿宋" w:cs="仿宋"/>
                <w:color w:val="auto"/>
                <w:kern w:val="0"/>
                <w:sz w:val="21"/>
                <w:szCs w:val="21"/>
                <w:highlight w:val="none"/>
                <w:lang w:val="zh-TW" w:eastAsia="zh-TW"/>
              </w:rPr>
              <w:t>满足招标文件实质性要求且价格最低的评标价为评标基准价，其价格分为满分30分。其他投标人的价格分统一按照下列公式计算：</w:t>
            </w:r>
          </w:p>
          <w:p w14:paraId="5B78CC44">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lang w:val="zh-TW" w:eastAsia="zh-TW"/>
              </w:rPr>
            </w:pPr>
            <w:r>
              <w:rPr>
                <w:rFonts w:hint="eastAsia" w:ascii="仿宋" w:hAnsi="仿宋" w:eastAsia="仿宋" w:cs="仿宋"/>
                <w:color w:val="auto"/>
                <w:kern w:val="0"/>
                <w:sz w:val="21"/>
                <w:szCs w:val="21"/>
                <w:highlight w:val="none"/>
                <w:lang w:val="zh-TW" w:eastAsia="zh-TW"/>
              </w:rPr>
              <w:t>投标报价得分=(评标基准价／该投标人的评标价)×30。</w:t>
            </w:r>
          </w:p>
          <w:p w14:paraId="46D60CDD">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此处投标报价指经过报价修正，及因落实政府采购政策进行价格调整后的报价，详见第四章《评标方法和评标标准》2.4及2.5。</w:t>
            </w:r>
          </w:p>
        </w:tc>
      </w:tr>
    </w:tbl>
    <w:p w14:paraId="52BEFF7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E614BD1">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816" w:name="_Toc12400"/>
      <w:r>
        <w:rPr>
          <w:rFonts w:hint="eastAsia" w:ascii="仿宋" w:hAnsi="仿宋" w:eastAsia="仿宋" w:cs="仿宋"/>
          <w:b w:val="0"/>
          <w:bCs w:val="0"/>
          <w:color w:val="auto"/>
          <w:sz w:val="21"/>
          <w:szCs w:val="21"/>
          <w:highlight w:val="none"/>
        </w:rPr>
        <w:t>第五章   采购需求</w:t>
      </w:r>
      <w:bookmarkEnd w:id="816"/>
    </w:p>
    <w:p w14:paraId="45F5D7B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一、采购标的</w:t>
      </w:r>
    </w:p>
    <w:p w14:paraId="50BC53B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1.采购标的</w:t>
      </w:r>
    </w:p>
    <w:tbl>
      <w:tblPr>
        <w:tblStyle w:val="252"/>
        <w:tblW w:w="9748"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8"/>
        <w:gridCol w:w="1298"/>
        <w:gridCol w:w="5935"/>
        <w:gridCol w:w="838"/>
        <w:gridCol w:w="839"/>
      </w:tblGrid>
      <w:tr w14:paraId="5BF23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top w:val="single" w:color="000000" w:sz="8" w:space="0"/>
              <w:left w:val="single" w:color="000000" w:sz="8" w:space="0"/>
            </w:tcBorders>
            <w:vAlign w:val="center"/>
          </w:tcPr>
          <w:p w14:paraId="77D3309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序号</w:t>
            </w:r>
          </w:p>
        </w:tc>
        <w:tc>
          <w:tcPr>
            <w:tcW w:w="1316" w:type="dxa"/>
            <w:tcBorders>
              <w:top w:val="single" w:color="000000" w:sz="8" w:space="0"/>
            </w:tcBorders>
            <w:vAlign w:val="center"/>
          </w:tcPr>
          <w:p w14:paraId="392CE4E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项目名称</w:t>
            </w:r>
          </w:p>
        </w:tc>
        <w:tc>
          <w:tcPr>
            <w:tcW w:w="6020" w:type="dxa"/>
            <w:tcBorders>
              <w:top w:val="single" w:color="000000" w:sz="8" w:space="0"/>
            </w:tcBorders>
            <w:vAlign w:val="center"/>
          </w:tcPr>
          <w:p w14:paraId="3B92C72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项目特征</w:t>
            </w:r>
          </w:p>
        </w:tc>
        <w:tc>
          <w:tcPr>
            <w:tcW w:w="850" w:type="dxa"/>
            <w:tcBorders>
              <w:top w:val="single" w:color="000000" w:sz="8" w:space="0"/>
            </w:tcBorders>
            <w:vAlign w:val="center"/>
          </w:tcPr>
          <w:p w14:paraId="1D22386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单位</w:t>
            </w:r>
          </w:p>
        </w:tc>
        <w:tc>
          <w:tcPr>
            <w:tcW w:w="850" w:type="dxa"/>
            <w:tcBorders>
              <w:top w:val="single" w:color="000000" w:sz="8" w:space="0"/>
            </w:tcBorders>
            <w:vAlign w:val="center"/>
          </w:tcPr>
          <w:p w14:paraId="32E986C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数量</w:t>
            </w:r>
          </w:p>
        </w:tc>
      </w:tr>
      <w:tr w14:paraId="45075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8" w:space="0"/>
            </w:tcBorders>
            <w:vAlign w:val="center"/>
          </w:tcPr>
          <w:p w14:paraId="3D75B21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1</w:t>
            </w:r>
          </w:p>
        </w:tc>
        <w:tc>
          <w:tcPr>
            <w:tcW w:w="1316" w:type="dxa"/>
            <w:vAlign w:val="center"/>
          </w:tcPr>
          <w:p w14:paraId="51B63E5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开放式四章一体机</w:t>
            </w:r>
          </w:p>
        </w:tc>
        <w:tc>
          <w:tcPr>
            <w:tcW w:w="6020" w:type="dxa"/>
            <w:vAlign w:val="center"/>
          </w:tcPr>
          <w:p w14:paraId="2408757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1.适用设备：四章开放式</w:t>
            </w:r>
          </w:p>
          <w:p w14:paraId="07A5E24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2.设备说明：单台开放式可以存放4枚印章</w:t>
            </w:r>
          </w:p>
          <w:p w14:paraId="1B62B9A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3.规格参数：</w:t>
            </w:r>
          </w:p>
          <w:p w14:paraId="090AF9D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工控机配置 硬件配置：</w:t>
            </w:r>
          </w:p>
          <w:p w14:paraId="08D962E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1.CPU：四核，主频1.8GHz；</w:t>
            </w:r>
          </w:p>
          <w:p w14:paraId="5A7B3EC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2.内存：2G，DDR3及以上</w:t>
            </w:r>
          </w:p>
          <w:p w14:paraId="263227E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软件系统：Android7.1以上</w:t>
            </w:r>
          </w:p>
          <w:p w14:paraId="3CAD7AA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登录方式：1.密码；2.指纹；3.刷卡</w:t>
            </w:r>
          </w:p>
          <w:p w14:paraId="42C5C7D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人机交互：触摸液晶显示屏大于10英寸</w:t>
            </w:r>
          </w:p>
          <w:p w14:paraId="053FC31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设备外观 检测设备外观结构：</w:t>
            </w:r>
          </w:p>
          <w:p w14:paraId="512295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1、设备为开放式；</w:t>
            </w:r>
          </w:p>
          <w:p w14:paraId="4D7C647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2、设备为金属板材结构；</w:t>
            </w:r>
          </w:p>
          <w:p w14:paraId="43A9D79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3、设备由物理锁+电子锁两部分组成。必须两部分同时打开才可以打开安全门</w:t>
            </w:r>
          </w:p>
          <w:p w14:paraId="47C1A3E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印控仪管理用印位置点：A4幅面内中间线任意位置，位置点若干</w:t>
            </w:r>
          </w:p>
          <w:p w14:paraId="7591F2A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操作日志：</w:t>
            </w:r>
          </w:p>
          <w:p w14:paraId="0EA2312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1、支持系统用印操作有影像记录；</w:t>
            </w:r>
          </w:p>
          <w:p w14:paraId="6CEC897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2、支持对系统操作有记录。</w:t>
            </w:r>
          </w:p>
          <w:p w14:paraId="40DEF0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盖章 盖章清晰度：</w:t>
            </w:r>
          </w:p>
          <w:p w14:paraId="120C9F9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1、单张A4纸，盖章效果完整清晰；</w:t>
            </w:r>
          </w:p>
          <w:p w14:paraId="1908143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2、50页以上A4纸装订盖章，盖章效果完整清晰；3、100页以上A4纸装订盖章，盖章效果完整清晰。</w:t>
            </w:r>
          </w:p>
          <w:p w14:paraId="17C65D7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连续定点盖章：首次定位并成功盖章后，对后续放入的材料，自动在同一位置盖章3次，盖章效果完整清晰，可实现连续批量盖章。</w:t>
            </w:r>
          </w:p>
          <w:p w14:paraId="06176BC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盖章稳定性：平均无故障用印次数≥100万次</w:t>
            </w:r>
          </w:p>
          <w:p w14:paraId="5BE43BB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纸张检测：盖章时能有效识别盖章文件是否在盖章位置，盖章位置没有文件能在盖章时正常提示</w:t>
            </w:r>
          </w:p>
          <w:p w14:paraId="7DFFD10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盖章平均速度：≤6s(包括沾一次印泥、从原点运动到盖章位置、盖章、回到原点的全部时间)</w:t>
            </w:r>
          </w:p>
          <w:p w14:paraId="35E268A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盖章厚度范围：0至30mm0至30mm盖章精度偏差：≤3mm</w:t>
            </w:r>
          </w:p>
          <w:p w14:paraId="3316B76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文件适用性：支持散装文件、软质装订文件、硬皮装订文件无损盖印</w:t>
            </w:r>
          </w:p>
          <w:p w14:paraId="26B03F6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设备安全 超时报警：</w:t>
            </w:r>
          </w:p>
          <w:p w14:paraId="65F5CAB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1、超时报警时间可设置；</w:t>
            </w:r>
          </w:p>
          <w:p w14:paraId="644AE3D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2、当安全门开启超过设置时间后，设备发出蜂鸣警报。</w:t>
            </w:r>
          </w:p>
          <w:p w14:paraId="506D904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外力撞击、搬动倾斜报警：用力敲击安全门和箱体，搬动时倾斜，设备报警</w:t>
            </w:r>
          </w:p>
          <w:p w14:paraId="4D2B0F6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安全门模块：</w:t>
            </w:r>
          </w:p>
          <w:p w14:paraId="7A29710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1、双锁控制（a.安全门由机械锁和电子锁双锁控制，电子锁由系统下发指令授权开启；b.安全门关闭电子锁自动上锁）</w:t>
            </w:r>
          </w:p>
          <w:p w14:paraId="7C6B01A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2、超时未关预警：安全门开启后，超过规定时间未关闭告警；</w:t>
            </w:r>
          </w:p>
          <w:p w14:paraId="155CB29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应急备板：</w:t>
            </w:r>
          </w:p>
          <w:p w14:paraId="7967595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1、遇到断电或者网络异常时备板能开启安全门取出印章；</w:t>
            </w:r>
          </w:p>
          <w:p w14:paraId="5957C35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2、遇到断电或者网络异常时备板开启安全门可记录日志并且可通过主板查询。</w:t>
            </w:r>
          </w:p>
          <w:p w14:paraId="1C77796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印章安装、印泥添加印章个数：支持4枚印章</w:t>
            </w:r>
          </w:p>
          <w:p w14:paraId="6329DB6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印章安装：可装入高度在95mm以下，章面直径50mm以下的印章，支持各类材质印章。</w:t>
            </w:r>
          </w:p>
          <w:p w14:paraId="50D3B90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具备防掉章功能：具备防掉章功能，每枚连续用印20次，印章不脱落</w:t>
            </w:r>
          </w:p>
          <w:p w14:paraId="7D5588E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印泥添加：添加印油时只需侧面拉开即可，不需要打开安全门、不接触印章</w:t>
            </w:r>
          </w:p>
          <w:p w14:paraId="04020FE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印油损耗：加注一次印油，可盖3000次左右</w:t>
            </w:r>
          </w:p>
          <w:p w14:paraId="3D22A53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摄像头 凭证摄像头：</w:t>
            </w:r>
          </w:p>
          <w:p w14:paraId="07D6E45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1、印控仪凭证摄像头的拍摄范围大于A3纸面积，图片格式为JPEG、PDF、BMP中至少一种，生成的彩色影像文件大小≥60KB；</w:t>
            </w:r>
          </w:p>
          <w:p w14:paraId="4328291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2、凭证摄像头分辨率500万像素及以上。</w:t>
            </w:r>
          </w:p>
          <w:p w14:paraId="4C07465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环境摄像头：摄像头分辨率200万像素及以上产品噪音使用过程的噪音：产品噪音小于60分贝。</w:t>
            </w:r>
          </w:p>
          <w:p w14:paraId="158808B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4、维保期2年。</w:t>
            </w:r>
          </w:p>
        </w:tc>
        <w:tc>
          <w:tcPr>
            <w:tcW w:w="850" w:type="dxa"/>
            <w:vAlign w:val="center"/>
          </w:tcPr>
          <w:p w14:paraId="1E1345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台</w:t>
            </w:r>
          </w:p>
        </w:tc>
        <w:tc>
          <w:tcPr>
            <w:tcW w:w="850" w:type="dxa"/>
            <w:vAlign w:val="center"/>
          </w:tcPr>
          <w:p w14:paraId="7156750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40</w:t>
            </w:r>
          </w:p>
        </w:tc>
      </w:tr>
      <w:tr w14:paraId="7DEDE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8" w:space="0"/>
            </w:tcBorders>
            <w:vAlign w:val="center"/>
          </w:tcPr>
          <w:p w14:paraId="43E4FB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2</w:t>
            </w:r>
          </w:p>
        </w:tc>
        <w:tc>
          <w:tcPr>
            <w:tcW w:w="1316" w:type="dxa"/>
            <w:vAlign w:val="center"/>
          </w:tcPr>
          <w:p w14:paraId="46453EC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批量扫描封闭式印控柜</w:t>
            </w:r>
          </w:p>
        </w:tc>
        <w:tc>
          <w:tcPr>
            <w:tcW w:w="6020" w:type="dxa"/>
            <w:vAlign w:val="center"/>
          </w:tcPr>
          <w:p w14:paraId="78A4089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1.适用设备：封闭式印控柜</w:t>
            </w:r>
          </w:p>
          <w:p w14:paraId="39F2D73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2.设备说明：单台开放式可以存放14枚印章</w:t>
            </w:r>
          </w:p>
          <w:p w14:paraId="0BE67E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3.规格参数：工控机配置 硬件配置：1.CPU：因特尔酷睿I5系列或以上；2.内存：8G/16GB，硬盘：256G/512G/1TB；3.网卡：</w:t>
            </w:r>
          </w:p>
          <w:p w14:paraId="480C6DF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10/100/1000M自适应</w:t>
            </w:r>
          </w:p>
          <w:p w14:paraId="4CD4F30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软件系统：Windows10/64位及以上</w:t>
            </w:r>
          </w:p>
          <w:p w14:paraId="139F8D0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登录方式：系统支持多种登录方式，如密码、指纹、刷卡等</w:t>
            </w:r>
          </w:p>
          <w:p w14:paraId="445DED5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人机交互：触摸液晶显示屏21.5英寸及以上</w:t>
            </w:r>
          </w:p>
          <w:p w14:paraId="1094BA9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设备外观 检测设备外观结构：</w:t>
            </w:r>
          </w:p>
          <w:p w14:paraId="099BC6C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1、设备为封闭式；</w:t>
            </w:r>
          </w:p>
          <w:p w14:paraId="06A0A44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2、设备为金属板材结构；</w:t>
            </w:r>
          </w:p>
          <w:p w14:paraId="238E325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3、设备由物理锁+电子锁两部分组成。必须两部分同时打开才可以打开安全门</w:t>
            </w:r>
          </w:p>
          <w:p w14:paraId="06FC306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印控仪管理用印位置点：A4幅面内任意有效位置盖章</w:t>
            </w:r>
          </w:p>
          <w:p w14:paraId="53F4D76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操作日志：</w:t>
            </w:r>
          </w:p>
          <w:p w14:paraId="030F75C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1、支持系统用印操作有影像记录；</w:t>
            </w:r>
          </w:p>
          <w:p w14:paraId="4FA4067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2、支持对系统操作有记录。</w:t>
            </w:r>
          </w:p>
          <w:p w14:paraId="78C6396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盖章 盖章清晰度：盖章清晰度：盖章清晰，所盖印章无缺角，断边，盖章力度可根据实际情况进行调整，确保盖章效 果方正精准清晰</w:t>
            </w:r>
          </w:p>
          <w:p w14:paraId="700E8CB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盖章厚度范围：0至20mm</w:t>
            </w:r>
          </w:p>
          <w:p w14:paraId="16B81C7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稳定性：平均无故障用印次数≥100万次盖章角度：360度任意角度</w:t>
            </w:r>
          </w:p>
          <w:p w14:paraId="711A999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盖章精度偏差：≤2mm</w:t>
            </w:r>
          </w:p>
          <w:p w14:paraId="7527518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防抽换功能：具有防抽换功能 骑缝压纸功能：骑缝压纸机构</w:t>
            </w:r>
          </w:p>
          <w:p w14:paraId="2F9CEC6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盖章时间（秒）：≤12s(包括沾一次印泥、从原点运动到盖章位置、盖章、回到原点的全部时间)</w:t>
            </w:r>
          </w:p>
          <w:p w14:paraId="311436E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设备安全 超时报警：</w:t>
            </w:r>
          </w:p>
          <w:p w14:paraId="15B0B2B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1、超时报警时间可设置；</w:t>
            </w:r>
          </w:p>
          <w:p w14:paraId="02AA784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2、当安全门开启超过设置时间后，设备发出蜂鸣警报。</w:t>
            </w:r>
          </w:p>
          <w:p w14:paraId="1D43468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外力撞击、搬动倾斜报警：内置震动报警，移动报警：设备内置报警系统，暴力碰撞，发出蜂鸣报警。</w:t>
            </w:r>
          </w:p>
          <w:p w14:paraId="476FD73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印章安装、印泥添加 印章个数：1至14个，可扩展至19个</w:t>
            </w:r>
          </w:p>
          <w:p w14:paraId="139F427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印章安装：机具配有定制章套，能适用安装各种形状的物理印章，支持光敏章、翻斗章，铜章及所需的其它印章种类，兼容用户各类印章，无需重新刻制印章。</w:t>
            </w:r>
          </w:p>
          <w:p w14:paraId="5299E4C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具备防掉章功能：具备防掉章功能，每枚连续用印百次以上印章不脱落</w:t>
            </w:r>
          </w:p>
          <w:p w14:paraId="7465015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印泥添加：添加印油时只需打开放纸抽屉，拉开即可，不需要打开安全门、不可接触印章</w:t>
            </w:r>
          </w:p>
          <w:p w14:paraId="3D28402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印油损耗：单独位置加注一次印油，可盖3000次左右</w:t>
            </w:r>
          </w:p>
          <w:p w14:paraId="5E836C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环境摄像头 网络监控摄像头：红外夜视室内半球摄像机，可对整个用印过程及用印环境进行24小时实时录制</w:t>
            </w:r>
          </w:p>
          <w:p w14:paraId="6D75621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主摄像头 对焦方式：定焦固定曝光</w:t>
            </w:r>
          </w:p>
          <w:p w14:paraId="7F02433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拍摄尺寸：凭证影像采集范围≥A4幅面，成像速度：≤1s</w:t>
            </w:r>
          </w:p>
          <w:p w14:paraId="6736E0F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像素：800万</w:t>
            </w:r>
          </w:p>
          <w:p w14:paraId="671169A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图像质量：无明显可识别的闪烁、波纹、噪点等；常规光线变化不影响图片质量，图像可用于验印识别、二维码识别等</w:t>
            </w:r>
          </w:p>
          <w:p w14:paraId="1102356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图片格式：JPEG/BMP/GIF/PNG 自动曝光控制：自动调整曝光</w:t>
            </w:r>
          </w:p>
          <w:p w14:paraId="3E52C5D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扫描模块 扫描硬件配置：</w:t>
            </w:r>
          </w:p>
          <w:p w14:paraId="4584D2C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1.产品类型：馈纸式，A4纸张</w:t>
            </w:r>
          </w:p>
          <w:p w14:paraId="2531EC9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2.光学分辨率：600*600dpi及以上；扫描速度：35ppm、70ipm</w:t>
            </w:r>
          </w:p>
          <w:p w14:paraId="2F34380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自动连续进纸功能：无需重复打开纸板门放入或取出文件致使用印任务中断，通过扫描仪自动完成连续进纸，可以一次性完成扫描盖章任务，在提高工作效率、提高风控、保证盖章清晰的同时，可实现设备从半自动化到自动化的转变，整体盖章任务过程无需人工干预</w:t>
            </w:r>
          </w:p>
          <w:p w14:paraId="773C789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highlight w:val="none"/>
                <w:lang w:eastAsia="en-US"/>
              </w:rPr>
              <w:t>★</w:t>
            </w:r>
            <w:r>
              <w:rPr>
                <w:rFonts w:hint="eastAsia" w:ascii="仿宋" w:hAnsi="仿宋" w:eastAsia="仿宋" w:cs="仿宋"/>
                <w:color w:val="auto"/>
                <w:kern w:val="0"/>
                <w:szCs w:val="21"/>
                <w:highlight w:val="none"/>
                <w:lang w:eastAsia="en-US"/>
              </w:rPr>
              <w:t>活体检测模块 活体检测：支持1:1,1:N活体人脸检测</w:t>
            </w:r>
          </w:p>
          <w:p w14:paraId="1F6175A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b/>
                <w:bCs/>
                <w:color w:val="auto"/>
                <w:szCs w:val="21"/>
                <w:highlight w:val="none"/>
                <w:lang w:eastAsia="en-US"/>
              </w:rPr>
              <w:t>#</w:t>
            </w:r>
            <w:r>
              <w:rPr>
                <w:rFonts w:hint="eastAsia" w:ascii="仿宋" w:hAnsi="仿宋" w:eastAsia="仿宋" w:cs="仿宋"/>
                <w:color w:val="auto"/>
                <w:kern w:val="0"/>
                <w:szCs w:val="21"/>
                <w:highlight w:val="none"/>
                <w:lang w:eastAsia="en-US"/>
              </w:rPr>
              <w:t>语音播报模块 语音播报：实时语音播报机器状态，提醒操作步骤，且语音可根据业务场景开启关闭</w:t>
            </w:r>
          </w:p>
          <w:p w14:paraId="4734E3B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产品噪音 使用过程噪音 待机环境：≤50db(A)；操作环境：≤65db(A)</w:t>
            </w:r>
          </w:p>
          <w:p w14:paraId="046CEB9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4.维保期2年。</w:t>
            </w:r>
          </w:p>
        </w:tc>
        <w:tc>
          <w:tcPr>
            <w:tcW w:w="850" w:type="dxa"/>
            <w:vAlign w:val="center"/>
          </w:tcPr>
          <w:p w14:paraId="53EB58E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台</w:t>
            </w:r>
          </w:p>
        </w:tc>
        <w:tc>
          <w:tcPr>
            <w:tcW w:w="850" w:type="dxa"/>
            <w:vAlign w:val="center"/>
          </w:tcPr>
          <w:p w14:paraId="7040E63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3</w:t>
            </w:r>
          </w:p>
        </w:tc>
      </w:tr>
      <w:tr w14:paraId="46557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50" w:type="dxa"/>
            <w:tcBorders>
              <w:left w:val="single" w:color="000000" w:sz="8" w:space="0"/>
            </w:tcBorders>
            <w:vAlign w:val="center"/>
          </w:tcPr>
          <w:p w14:paraId="758A020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3</w:t>
            </w:r>
          </w:p>
        </w:tc>
        <w:tc>
          <w:tcPr>
            <w:tcW w:w="1316" w:type="dxa"/>
            <w:vAlign w:val="center"/>
          </w:tcPr>
          <w:p w14:paraId="1BAE6B4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系统部署</w:t>
            </w:r>
          </w:p>
        </w:tc>
        <w:tc>
          <w:tcPr>
            <w:tcW w:w="6020" w:type="dxa"/>
            <w:vAlign w:val="center"/>
          </w:tcPr>
          <w:p w14:paraId="0A1D311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Cs w:val="21"/>
                <w:highlight w:val="none"/>
                <w:lang w:eastAsia="en-US"/>
              </w:rPr>
            </w:pPr>
            <w:r>
              <w:rPr>
                <w:rFonts w:hint="eastAsia" w:ascii="仿宋" w:hAnsi="仿宋" w:eastAsia="仿宋" w:cs="仿宋"/>
                <w:color w:val="auto"/>
                <w:kern w:val="0"/>
                <w:szCs w:val="21"/>
                <w:highlight w:val="none"/>
                <w:lang w:eastAsia="en-US"/>
              </w:rPr>
              <w:t>杨镇镇政府经济发展办公室(村财)3台及40个村社系统部署服务和硬件设备安装，包括应用系统部署，涉及服务器、数据库、网络等内容</w:t>
            </w:r>
          </w:p>
          <w:p w14:paraId="4F6AE6C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维保期2年</w:t>
            </w:r>
          </w:p>
        </w:tc>
        <w:tc>
          <w:tcPr>
            <w:tcW w:w="850" w:type="dxa"/>
            <w:vAlign w:val="center"/>
          </w:tcPr>
          <w:p w14:paraId="3FDD4D4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台</w:t>
            </w:r>
          </w:p>
        </w:tc>
        <w:tc>
          <w:tcPr>
            <w:tcW w:w="850" w:type="dxa"/>
            <w:vAlign w:val="center"/>
          </w:tcPr>
          <w:p w14:paraId="0998766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Cs w:val="21"/>
                <w:highlight w:val="none"/>
                <w:lang w:eastAsia="en-US"/>
              </w:rPr>
              <w:t>43</w:t>
            </w:r>
          </w:p>
        </w:tc>
      </w:tr>
    </w:tbl>
    <w:p w14:paraId="27CA1A6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说明：本项目不接受进口产品。</w:t>
      </w:r>
    </w:p>
    <w:p w14:paraId="192FE19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二、商务要求</w:t>
      </w:r>
    </w:p>
    <w:p w14:paraId="1C7DC1E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1.交付（实施）的时间（期限）和地点（范围）</w:t>
      </w:r>
    </w:p>
    <w:p w14:paraId="2BFCEDC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合同履行期限：自合同签订之日起10个工作日内完成供货、安装及调试。</w:t>
      </w:r>
    </w:p>
    <w:p w14:paraId="42270C7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供货地点：采购人指定地点。</w:t>
      </w:r>
    </w:p>
    <w:p w14:paraId="0E58657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2.付款条件（进度和方式）</w:t>
      </w:r>
    </w:p>
    <w:p w14:paraId="0C3CC26D">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合同签订后10个工作日内，甲方向乙方支付合同总额的30%，项目全部上线并经甲方验收合格后10个工作日内，甲方向乙方支付至合同总额的95%，剩余合同总额5%作为质保金，甲方不必向乙方支付质量保证金的任何利息或收益，贰年后无其他质量问题，甲方用电汇、转账、支票、汇票等方式支付给乙方。</w:t>
      </w:r>
    </w:p>
    <w:p w14:paraId="61700286">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snapToGrid w:val="0"/>
          <w:color w:val="auto"/>
          <w:kern w:val="0"/>
          <w:sz w:val="21"/>
          <w:szCs w:val="21"/>
          <w:highlight w:val="none"/>
          <w:lang w:val="en-US" w:eastAsia="zh-CN"/>
        </w:rPr>
        <w:t>三、技术要求</w:t>
      </w:r>
    </w:p>
    <w:p w14:paraId="55B8A05D">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r>
        <w:rPr>
          <w:rFonts w:hint="eastAsia" w:ascii="仿宋" w:hAnsi="仿宋" w:eastAsia="仿宋" w:cs="仿宋"/>
          <w:b w:val="0"/>
          <w:bCs w:val="0"/>
          <w:color w:val="auto"/>
          <w:sz w:val="21"/>
          <w:szCs w:val="21"/>
          <w:highlight w:val="none"/>
          <w:lang w:val="en-US" w:eastAsia="zh-CN"/>
        </w:rPr>
        <w:t>.</w:t>
      </w:r>
      <w:r>
        <w:rPr>
          <w:rFonts w:hint="eastAsia" w:ascii="仿宋" w:hAnsi="仿宋" w:eastAsia="仿宋" w:cs="仿宋"/>
          <w:b w:val="0"/>
          <w:bCs w:val="0"/>
          <w:color w:val="auto"/>
          <w:sz w:val="21"/>
          <w:szCs w:val="21"/>
          <w:highlight w:val="none"/>
        </w:rPr>
        <w:t>适配现有智能印章管理系统，同时根据具体业务场景升级改造。</w:t>
      </w:r>
    </w:p>
    <w:p w14:paraId="1DB9DF00">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1.1适配现有智能印章管理系统，支持印章安全管控、印章管理、流程审批、数据分析等，同时需根据杨镇村/社及镇政府经济发展办公室具体业务场景的需求，进行定制化升级改造。</w:t>
      </w:r>
      <w:r>
        <w:rPr>
          <w:rFonts w:hint="eastAsia" w:ascii="仿宋" w:hAnsi="仿宋" w:eastAsia="仿宋" w:cs="仿宋"/>
          <w:b w:val="0"/>
          <w:bCs w:val="0"/>
          <w:color w:val="auto"/>
          <w:sz w:val="21"/>
          <w:szCs w:val="21"/>
          <w:highlight w:val="none"/>
        </w:rPr>
        <w:br w:type="page"/>
      </w:r>
    </w:p>
    <w:p w14:paraId="19D6CEAA">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sectPr>
          <w:headerReference r:id="rId13" w:type="default"/>
          <w:footerReference r:id="rId14" w:type="default"/>
          <w:pgSz w:w="11906" w:h="16838"/>
          <w:pgMar w:top="1440" w:right="1080" w:bottom="1440" w:left="1080" w:header="851" w:footer="850" w:gutter="0"/>
          <w:pgNumType w:fmt="decimal"/>
          <w:cols w:space="720" w:num="1"/>
          <w:docGrid w:type="lines" w:linePitch="312" w:charSpace="0"/>
        </w:sectPr>
      </w:pPr>
      <w:bookmarkStart w:id="817" w:name="_Toc6704"/>
      <w:r>
        <w:rPr>
          <w:rFonts w:hint="eastAsia" w:ascii="仿宋" w:hAnsi="仿宋" w:eastAsia="仿宋" w:cs="仿宋"/>
          <w:b w:val="0"/>
          <w:bCs w:val="0"/>
          <w:color w:val="auto"/>
          <w:sz w:val="21"/>
          <w:szCs w:val="21"/>
          <w:highlight w:val="none"/>
        </w:rPr>
        <w:t>第六章   拟签订的合同文本</w:t>
      </w:r>
      <w:bookmarkEnd w:id="817"/>
    </w:p>
    <w:p w14:paraId="4CA5B4C4">
      <w:pPr>
        <w:wordWrap w:val="0"/>
        <w:topLinePunct/>
        <w:snapToGrid w:val="0"/>
        <w:spacing w:line="360" w:lineRule="auto"/>
        <w:jc w:val="right"/>
        <w:rPr>
          <w:rFonts w:hint="eastAsia" w:ascii="仿宋" w:hAnsi="仿宋" w:eastAsia="仿宋" w:cs="仿宋"/>
          <w:color w:val="auto"/>
          <w:kern w:val="2"/>
          <w:sz w:val="32"/>
          <w:szCs w:val="32"/>
          <w:highlight w:val="none"/>
          <w:u w:val="single"/>
        </w:rPr>
      </w:pPr>
      <w:r>
        <w:rPr>
          <w:rFonts w:hint="eastAsia" w:ascii="仿宋" w:hAnsi="仿宋" w:eastAsia="仿宋" w:cs="仿宋"/>
          <w:color w:val="auto"/>
          <w:kern w:val="2"/>
          <w:sz w:val="32"/>
          <w:szCs w:val="32"/>
          <w:highlight w:val="none"/>
        </w:rPr>
        <w:t>合同编号</w:t>
      </w:r>
      <w:r>
        <w:rPr>
          <w:rFonts w:hint="eastAsia" w:ascii="仿宋" w:hAnsi="仿宋" w:eastAsia="仿宋" w:cs="仿宋"/>
          <w:color w:val="auto"/>
          <w:sz w:val="32"/>
          <w:szCs w:val="32"/>
          <w:highlight w:val="none"/>
        </w:rPr>
        <w:t>：</w:t>
      </w:r>
      <w:r>
        <w:rPr>
          <w:rFonts w:hint="eastAsia" w:ascii="仿宋" w:hAnsi="仿宋" w:eastAsia="仿宋" w:cs="仿宋"/>
          <w:color w:val="auto"/>
          <w:kern w:val="2"/>
          <w:sz w:val="32"/>
          <w:szCs w:val="32"/>
          <w:highlight w:val="none"/>
          <w:u w:val="single"/>
        </w:rPr>
        <w:t xml:space="preserve">                     </w:t>
      </w:r>
    </w:p>
    <w:p w14:paraId="298536D5">
      <w:pPr>
        <w:wordWrap w:val="0"/>
        <w:topLinePunct/>
        <w:snapToGrid w:val="0"/>
        <w:spacing w:line="360" w:lineRule="auto"/>
        <w:rPr>
          <w:rFonts w:hint="eastAsia" w:ascii="仿宋" w:hAnsi="仿宋" w:eastAsia="仿宋" w:cs="仿宋"/>
          <w:color w:val="auto"/>
          <w:sz w:val="32"/>
          <w:szCs w:val="32"/>
          <w:highlight w:val="none"/>
        </w:rPr>
      </w:pPr>
    </w:p>
    <w:p w14:paraId="6F40924A">
      <w:pPr>
        <w:wordWrap w:val="0"/>
        <w:topLinePunct/>
        <w:snapToGrid w:val="0"/>
        <w:spacing w:line="360" w:lineRule="auto"/>
        <w:rPr>
          <w:rFonts w:hint="eastAsia" w:ascii="仿宋" w:hAnsi="仿宋" w:eastAsia="仿宋" w:cs="仿宋"/>
          <w:color w:val="auto"/>
          <w:sz w:val="32"/>
          <w:szCs w:val="32"/>
          <w:highlight w:val="none"/>
        </w:rPr>
      </w:pPr>
    </w:p>
    <w:p w14:paraId="2F9A62A9">
      <w:pPr>
        <w:wordWrap w:val="0"/>
        <w:topLinePunct/>
        <w:snapToGrid w:val="0"/>
        <w:spacing w:line="360" w:lineRule="auto"/>
        <w:rPr>
          <w:rFonts w:hint="eastAsia" w:ascii="仿宋" w:hAnsi="仿宋" w:eastAsia="仿宋" w:cs="仿宋"/>
          <w:color w:val="auto"/>
          <w:sz w:val="32"/>
          <w:szCs w:val="32"/>
          <w:highlight w:val="none"/>
        </w:rPr>
      </w:pPr>
    </w:p>
    <w:p w14:paraId="3F36055B">
      <w:pPr>
        <w:wordWrap w:val="0"/>
        <w:topLinePunct/>
        <w:snapToGrid w:val="0"/>
        <w:spacing w:line="360" w:lineRule="auto"/>
        <w:rPr>
          <w:rFonts w:hint="eastAsia" w:ascii="仿宋" w:hAnsi="仿宋" w:eastAsia="仿宋" w:cs="仿宋"/>
          <w:color w:val="auto"/>
          <w:sz w:val="32"/>
          <w:szCs w:val="32"/>
          <w:highlight w:val="none"/>
        </w:rPr>
      </w:pPr>
    </w:p>
    <w:p w14:paraId="544CDEDC">
      <w:pPr>
        <w:wordWrap w:val="0"/>
        <w:topLinePunct/>
        <w:snapToGrid w:val="0"/>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合</w:t>
      </w:r>
    </w:p>
    <w:p w14:paraId="44836BA4">
      <w:pPr>
        <w:wordWrap w:val="0"/>
        <w:topLinePunct/>
        <w:snapToGrid w:val="0"/>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同</w:t>
      </w:r>
    </w:p>
    <w:p w14:paraId="2A119ABA">
      <w:pPr>
        <w:wordWrap w:val="0"/>
        <w:topLinePunct/>
        <w:snapToGrid w:val="0"/>
        <w:spacing w:line="360" w:lineRule="auto"/>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书</w:t>
      </w:r>
    </w:p>
    <w:p w14:paraId="77A5E823">
      <w:pPr>
        <w:wordWrap w:val="0"/>
        <w:topLinePunct/>
        <w:snapToGrid w:val="0"/>
        <w:spacing w:line="360" w:lineRule="auto"/>
        <w:rPr>
          <w:rFonts w:hint="eastAsia" w:ascii="仿宋" w:hAnsi="仿宋" w:eastAsia="仿宋" w:cs="仿宋"/>
          <w:color w:val="auto"/>
          <w:sz w:val="32"/>
          <w:szCs w:val="32"/>
          <w:highlight w:val="none"/>
        </w:rPr>
      </w:pPr>
    </w:p>
    <w:p w14:paraId="4D726497">
      <w:pPr>
        <w:wordWrap w:val="0"/>
        <w:topLinePunct/>
        <w:snapToGrid w:val="0"/>
        <w:spacing w:line="360" w:lineRule="auto"/>
        <w:rPr>
          <w:rFonts w:hint="eastAsia" w:ascii="仿宋" w:hAnsi="仿宋" w:eastAsia="仿宋" w:cs="仿宋"/>
          <w:color w:val="auto"/>
          <w:sz w:val="32"/>
          <w:szCs w:val="32"/>
          <w:highlight w:val="none"/>
        </w:rPr>
      </w:pPr>
    </w:p>
    <w:p w14:paraId="0C9FD31C">
      <w:pPr>
        <w:wordWrap w:val="0"/>
        <w:topLinePunct/>
        <w:snapToGrid w:val="0"/>
        <w:spacing w:line="360" w:lineRule="auto"/>
        <w:rPr>
          <w:rFonts w:hint="eastAsia" w:ascii="仿宋" w:hAnsi="仿宋" w:eastAsia="仿宋" w:cs="仿宋"/>
          <w:color w:val="auto"/>
          <w:sz w:val="32"/>
          <w:szCs w:val="32"/>
          <w:highlight w:val="none"/>
        </w:rPr>
      </w:pPr>
    </w:p>
    <w:p w14:paraId="713A7C0D">
      <w:pPr>
        <w:wordWrap w:val="0"/>
        <w:topLinePunct/>
        <w:snapToGrid w:val="0"/>
        <w:spacing w:line="360" w:lineRule="auto"/>
        <w:rPr>
          <w:rFonts w:hint="eastAsia" w:ascii="仿宋" w:hAnsi="仿宋" w:eastAsia="仿宋" w:cs="仿宋"/>
          <w:color w:val="auto"/>
          <w:sz w:val="32"/>
          <w:szCs w:val="32"/>
          <w:highlight w:val="none"/>
        </w:rPr>
      </w:pPr>
    </w:p>
    <w:p w14:paraId="53B56506">
      <w:pPr>
        <w:wordWrap w:val="0"/>
        <w:topLinePunct/>
        <w:snapToGrid w:val="0"/>
        <w:spacing w:line="360" w:lineRule="auto"/>
        <w:rPr>
          <w:rFonts w:hint="eastAsia" w:ascii="仿宋" w:hAnsi="仿宋" w:eastAsia="仿宋" w:cs="仿宋"/>
          <w:color w:val="auto"/>
          <w:sz w:val="32"/>
          <w:szCs w:val="32"/>
          <w:highlight w:val="none"/>
        </w:rPr>
      </w:pPr>
    </w:p>
    <w:p w14:paraId="2D82DA2F">
      <w:pPr>
        <w:wordWrap w:val="0"/>
        <w:topLinePunct/>
        <w:snapToGrid w:val="0"/>
        <w:spacing w:line="360" w:lineRule="auto"/>
        <w:rPr>
          <w:rFonts w:hint="eastAsia" w:ascii="仿宋" w:hAnsi="仿宋" w:eastAsia="仿宋" w:cs="仿宋"/>
          <w:color w:val="auto"/>
          <w:sz w:val="32"/>
          <w:szCs w:val="32"/>
          <w:highlight w:val="none"/>
        </w:rPr>
      </w:pPr>
    </w:p>
    <w:p w14:paraId="0CBF7795">
      <w:pPr>
        <w:wordWrap w:val="0"/>
        <w:topLinePunct/>
        <w:snapToGrid w:val="0"/>
        <w:spacing w:line="360" w:lineRule="auto"/>
        <w:rPr>
          <w:rFonts w:hint="eastAsia" w:ascii="仿宋" w:hAnsi="仿宋" w:eastAsia="仿宋" w:cs="仿宋"/>
          <w:color w:val="auto"/>
          <w:sz w:val="32"/>
          <w:szCs w:val="32"/>
          <w:highlight w:val="none"/>
        </w:rPr>
      </w:pPr>
    </w:p>
    <w:p w14:paraId="1BD1D694">
      <w:pPr>
        <w:wordWrap w:val="0"/>
        <w:topLinePunct/>
        <w:snapToGrid w:val="0"/>
        <w:spacing w:line="360" w:lineRule="auto"/>
        <w:rPr>
          <w:rFonts w:hint="eastAsia" w:ascii="仿宋" w:hAnsi="仿宋" w:eastAsia="仿宋" w:cs="仿宋"/>
          <w:color w:val="auto"/>
          <w:sz w:val="32"/>
          <w:szCs w:val="32"/>
          <w:highlight w:val="none"/>
        </w:rPr>
      </w:pPr>
    </w:p>
    <w:p w14:paraId="2692F63F">
      <w:pPr>
        <w:wordWrap w:val="0"/>
        <w:topLinePunct/>
        <w:snapToGrid w:val="0"/>
        <w:spacing w:line="360" w:lineRule="auto"/>
        <w:rPr>
          <w:rFonts w:hint="eastAsia" w:ascii="仿宋" w:hAnsi="仿宋" w:eastAsia="仿宋" w:cs="仿宋"/>
          <w:color w:val="auto"/>
          <w:sz w:val="32"/>
          <w:szCs w:val="32"/>
          <w:highlight w:val="none"/>
        </w:rPr>
      </w:pPr>
    </w:p>
    <w:p w14:paraId="6DFCE08E">
      <w:pPr>
        <w:wordWrap w:val="0"/>
        <w:topLinePunct/>
        <w:snapToGrid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u w:val="single"/>
        </w:rPr>
        <w:t>杨镇智慧印章建设部署</w:t>
      </w:r>
    </w:p>
    <w:p w14:paraId="07A3FCDF">
      <w:pPr>
        <w:wordWrap w:val="0"/>
        <w:topLinePunct/>
        <w:snapToGrid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甲    方：</w:t>
      </w:r>
      <w:r>
        <w:rPr>
          <w:rFonts w:hint="eastAsia" w:ascii="仿宋" w:hAnsi="仿宋" w:eastAsia="仿宋" w:cs="仿宋"/>
          <w:color w:val="auto"/>
          <w:sz w:val="32"/>
          <w:szCs w:val="32"/>
          <w:highlight w:val="none"/>
          <w:u w:val="single"/>
        </w:rPr>
        <w:t>北京市顺义区杨镇人民政府</w:t>
      </w:r>
    </w:p>
    <w:p w14:paraId="785BB964">
      <w:pPr>
        <w:wordWrap w:val="0"/>
        <w:topLinePunct/>
        <w:snapToGrid w:val="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乙    方：</w:t>
      </w:r>
      <w:r>
        <w:rPr>
          <w:rFonts w:hint="eastAsia" w:ascii="仿宋" w:hAnsi="仿宋" w:eastAsia="仿宋" w:cs="仿宋"/>
          <w:color w:val="auto"/>
          <w:sz w:val="32"/>
          <w:szCs w:val="32"/>
          <w:highlight w:val="none"/>
          <w:u w:val="single"/>
        </w:rPr>
        <w:t xml:space="preserve">                        </w:t>
      </w:r>
    </w:p>
    <w:p w14:paraId="0311BDC3">
      <w:pPr>
        <w:wordWrap w:val="0"/>
        <w:topLinePunct/>
        <w:snapToGrid w:val="0"/>
        <w:spacing w:line="360" w:lineRule="auto"/>
        <w:rPr>
          <w:rFonts w:hint="eastAsia" w:ascii="仿宋" w:hAnsi="仿宋" w:eastAsia="仿宋" w:cs="仿宋"/>
          <w:color w:val="auto"/>
          <w:sz w:val="32"/>
          <w:szCs w:val="32"/>
          <w:highlight w:val="none"/>
        </w:rPr>
        <w:sectPr>
          <w:headerReference r:id="rId15" w:type="default"/>
          <w:pgSz w:w="11906" w:h="16838"/>
          <w:pgMar w:top="1440" w:right="1080" w:bottom="1440" w:left="1080" w:header="851" w:footer="992" w:gutter="0"/>
          <w:pgNumType w:fmt="decimal"/>
          <w:cols w:space="720" w:num="1"/>
          <w:docGrid w:type="lines" w:linePitch="312" w:charSpace="0"/>
        </w:sectPr>
      </w:pPr>
    </w:p>
    <w:p w14:paraId="2CC8EF7B">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w:t>
      </w:r>
      <w:r>
        <w:rPr>
          <w:rFonts w:hint="eastAsia" w:ascii="仿宋" w:hAnsi="仿宋" w:eastAsia="仿宋" w:cs="仿宋"/>
          <w:color w:val="auto"/>
          <w:sz w:val="21"/>
          <w:szCs w:val="21"/>
          <w:highlight w:val="none"/>
          <w:u w:val="single"/>
        </w:rPr>
        <w:t>北京市顺义区杨镇人民政府</w:t>
      </w:r>
    </w:p>
    <w:p w14:paraId="57A040C0">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w:t>
      </w:r>
      <w:r>
        <w:rPr>
          <w:rFonts w:hint="eastAsia" w:ascii="仿宋" w:hAnsi="仿宋" w:eastAsia="仿宋" w:cs="仿宋"/>
          <w:color w:val="auto"/>
          <w:sz w:val="21"/>
          <w:szCs w:val="21"/>
          <w:highlight w:val="none"/>
          <w:u w:val="single"/>
        </w:rPr>
        <w:t xml:space="preserve">                        </w:t>
      </w:r>
    </w:p>
    <w:p w14:paraId="2E9DB489">
      <w:pPr>
        <w:wordWrap w:val="0"/>
        <w:topLinePunct/>
        <w:snapToGrid w:val="0"/>
        <w:spacing w:line="360" w:lineRule="auto"/>
        <w:rPr>
          <w:rFonts w:hint="eastAsia" w:ascii="仿宋" w:hAnsi="仿宋" w:eastAsia="仿宋" w:cs="仿宋"/>
          <w:color w:val="auto"/>
          <w:sz w:val="21"/>
          <w:szCs w:val="21"/>
          <w:highlight w:val="none"/>
        </w:rPr>
      </w:pPr>
    </w:p>
    <w:p w14:paraId="3B4D3B2F">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根据甲方需求，甲、乙双方就甲方采购</w:t>
      </w:r>
      <w:r>
        <w:rPr>
          <w:rFonts w:hint="eastAsia" w:ascii="仿宋" w:hAnsi="仿宋" w:eastAsia="仿宋" w:cs="仿宋"/>
          <w:color w:val="auto"/>
          <w:sz w:val="21"/>
          <w:szCs w:val="21"/>
          <w:highlight w:val="none"/>
          <w:u w:val="single"/>
        </w:rPr>
        <w:t>杨镇智慧印章建设部署</w:t>
      </w:r>
      <w:r>
        <w:rPr>
          <w:rFonts w:hint="eastAsia" w:ascii="仿宋" w:hAnsi="仿宋" w:eastAsia="仿宋" w:cs="仿宋"/>
          <w:color w:val="auto"/>
          <w:sz w:val="21"/>
          <w:szCs w:val="21"/>
          <w:highlight w:val="none"/>
        </w:rPr>
        <w:t>事宜一事，在平等互利的基础上，遵循诚实守信的原则，通过友好协商达成如下协议。</w:t>
      </w:r>
    </w:p>
    <w:p w14:paraId="06EFD770">
      <w:pPr>
        <w:wordWrap w:val="0"/>
        <w:topLinePunct/>
        <w:snapToGrid w:val="0"/>
        <w:spacing w:line="360" w:lineRule="auto"/>
        <w:rPr>
          <w:rFonts w:hint="eastAsia" w:ascii="仿宋" w:hAnsi="仿宋" w:eastAsia="仿宋" w:cs="仿宋"/>
          <w:color w:val="auto"/>
          <w:sz w:val="21"/>
          <w:szCs w:val="21"/>
          <w:highlight w:val="none"/>
        </w:rPr>
      </w:pPr>
      <w:bookmarkStart w:id="818" w:name="_Toc61856322"/>
      <w:bookmarkStart w:id="819" w:name="_Toc61925957"/>
      <w:bookmarkStart w:id="820" w:name="_Toc175644033"/>
      <w:bookmarkStart w:id="821" w:name="_Toc61927213"/>
      <w:bookmarkStart w:id="822" w:name="_Toc435227114"/>
      <w:bookmarkStart w:id="823" w:name="_Toc61857997"/>
      <w:bookmarkStart w:id="824" w:name="_Toc61857754"/>
      <w:bookmarkStart w:id="825" w:name="_Toc61853837"/>
      <w:bookmarkStart w:id="826" w:name="_Toc83961838"/>
      <w:bookmarkStart w:id="827" w:name="_Toc62272867"/>
      <w:bookmarkStart w:id="828" w:name="_Toc83961453"/>
      <w:bookmarkStart w:id="829" w:name="_Toc84212150"/>
      <w:r>
        <w:rPr>
          <w:rFonts w:hint="eastAsia" w:ascii="仿宋" w:hAnsi="仿宋" w:eastAsia="仿宋" w:cs="仿宋"/>
          <w:color w:val="auto"/>
          <w:sz w:val="21"/>
          <w:szCs w:val="21"/>
          <w:highlight w:val="none"/>
        </w:rPr>
        <w:t>一、合同</w:t>
      </w:r>
      <w:bookmarkEnd w:id="818"/>
      <w:bookmarkEnd w:id="819"/>
      <w:bookmarkEnd w:id="820"/>
      <w:bookmarkEnd w:id="821"/>
      <w:bookmarkEnd w:id="822"/>
      <w:bookmarkEnd w:id="823"/>
      <w:bookmarkEnd w:id="824"/>
      <w:bookmarkEnd w:id="825"/>
      <w:bookmarkEnd w:id="826"/>
      <w:bookmarkEnd w:id="827"/>
      <w:bookmarkEnd w:id="828"/>
      <w:bookmarkEnd w:id="829"/>
      <w:r>
        <w:rPr>
          <w:rFonts w:hint="eastAsia" w:ascii="仿宋" w:hAnsi="仿宋" w:eastAsia="仿宋" w:cs="仿宋"/>
          <w:color w:val="auto"/>
          <w:sz w:val="21"/>
          <w:szCs w:val="21"/>
          <w:highlight w:val="none"/>
        </w:rPr>
        <w:t>内容</w:t>
      </w:r>
    </w:p>
    <w:p w14:paraId="52725414">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1、产品情况</w:t>
      </w:r>
    </w:p>
    <w:tbl>
      <w:tblPr>
        <w:tblStyle w:val="4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5"/>
        <w:gridCol w:w="1945"/>
        <w:gridCol w:w="1945"/>
        <w:gridCol w:w="1945"/>
        <w:gridCol w:w="1945"/>
      </w:tblGrid>
      <w:tr w14:paraId="1306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945" w:type="dxa"/>
            <w:shd w:val="clear" w:color="auto" w:fill="FFFFFF"/>
            <w:noWrap w:val="0"/>
            <w:vAlign w:val="center"/>
          </w:tcPr>
          <w:p w14:paraId="02D3880A">
            <w:pPr>
              <w:wordWrap w:val="0"/>
              <w:topLinePunct/>
              <w:spacing w:line="360" w:lineRule="auto"/>
              <w:jc w:val="center"/>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产品</w:t>
            </w:r>
          </w:p>
        </w:tc>
        <w:tc>
          <w:tcPr>
            <w:tcW w:w="1945" w:type="dxa"/>
            <w:shd w:val="clear" w:color="auto" w:fill="FFFFFF"/>
            <w:noWrap w:val="0"/>
            <w:vAlign w:val="center"/>
          </w:tcPr>
          <w:p w14:paraId="0F0C9557">
            <w:pPr>
              <w:wordWrap w:val="0"/>
              <w:topLinePunct/>
              <w:spacing w:line="360" w:lineRule="auto"/>
              <w:jc w:val="center"/>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产品说明</w:t>
            </w:r>
          </w:p>
        </w:tc>
        <w:tc>
          <w:tcPr>
            <w:tcW w:w="1945" w:type="dxa"/>
            <w:shd w:val="clear" w:color="auto" w:fill="FFFFFF"/>
            <w:noWrap w:val="0"/>
            <w:vAlign w:val="center"/>
          </w:tcPr>
          <w:p w14:paraId="6245D788">
            <w:pPr>
              <w:wordWrap w:val="0"/>
              <w:topLinePunct/>
              <w:spacing w:line="360" w:lineRule="auto"/>
              <w:jc w:val="center"/>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单价</w:t>
            </w:r>
          </w:p>
        </w:tc>
        <w:tc>
          <w:tcPr>
            <w:tcW w:w="1945" w:type="dxa"/>
            <w:shd w:val="clear" w:color="auto" w:fill="FFFFFF"/>
            <w:noWrap w:val="0"/>
            <w:vAlign w:val="center"/>
          </w:tcPr>
          <w:p w14:paraId="79B91F10">
            <w:pPr>
              <w:wordWrap w:val="0"/>
              <w:topLinePunct/>
              <w:spacing w:line="360" w:lineRule="auto"/>
              <w:jc w:val="center"/>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数量</w:t>
            </w:r>
          </w:p>
        </w:tc>
        <w:tc>
          <w:tcPr>
            <w:tcW w:w="1945" w:type="dxa"/>
            <w:shd w:val="clear" w:color="auto" w:fill="FFFFFF"/>
            <w:noWrap w:val="0"/>
            <w:vAlign w:val="center"/>
          </w:tcPr>
          <w:p w14:paraId="549395F8">
            <w:pPr>
              <w:wordWrap w:val="0"/>
              <w:topLinePunct/>
              <w:spacing w:line="360" w:lineRule="auto"/>
              <w:jc w:val="center"/>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总价</w:t>
            </w:r>
          </w:p>
        </w:tc>
      </w:tr>
      <w:tr w14:paraId="19F64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5" w:type="dxa"/>
            <w:shd w:val="clear" w:color="auto" w:fill="FFFFFF"/>
            <w:noWrap w:val="0"/>
            <w:vAlign w:val="center"/>
          </w:tcPr>
          <w:p w14:paraId="688C0DB5">
            <w:pPr>
              <w:wordWrap w:val="0"/>
              <w:topLinePunct/>
              <w:spacing w:line="360" w:lineRule="auto"/>
              <w:jc w:val="center"/>
              <w:rPr>
                <w:rFonts w:hint="eastAsia" w:ascii="仿宋" w:hAnsi="仿宋" w:eastAsia="仿宋" w:cs="仿宋"/>
                <w:color w:val="auto"/>
                <w:sz w:val="21"/>
                <w:szCs w:val="21"/>
                <w:highlight w:val="none"/>
              </w:rPr>
            </w:pPr>
          </w:p>
        </w:tc>
        <w:tc>
          <w:tcPr>
            <w:tcW w:w="1945" w:type="dxa"/>
            <w:shd w:val="clear" w:color="auto" w:fill="FFFFFF"/>
            <w:noWrap w:val="0"/>
            <w:vAlign w:val="center"/>
          </w:tcPr>
          <w:p w14:paraId="7E62B50C">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37A0BB94">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355E6363">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79BF801D">
            <w:pPr>
              <w:wordWrap w:val="0"/>
              <w:topLinePunct/>
              <w:spacing w:line="360" w:lineRule="auto"/>
              <w:jc w:val="center"/>
              <w:rPr>
                <w:rStyle w:val="271"/>
                <w:rFonts w:hint="eastAsia" w:ascii="仿宋" w:hAnsi="仿宋" w:eastAsia="仿宋" w:cs="仿宋"/>
                <w:color w:val="auto"/>
                <w:sz w:val="21"/>
                <w:szCs w:val="21"/>
                <w:highlight w:val="none"/>
              </w:rPr>
            </w:pPr>
          </w:p>
        </w:tc>
      </w:tr>
      <w:tr w14:paraId="61AC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5" w:type="dxa"/>
            <w:shd w:val="clear" w:color="auto" w:fill="FFFFFF"/>
            <w:noWrap w:val="0"/>
            <w:vAlign w:val="center"/>
          </w:tcPr>
          <w:p w14:paraId="05721F15">
            <w:pPr>
              <w:wordWrap w:val="0"/>
              <w:topLinePunct/>
              <w:spacing w:line="360" w:lineRule="auto"/>
              <w:jc w:val="center"/>
              <w:rPr>
                <w:rFonts w:hint="eastAsia" w:ascii="仿宋" w:hAnsi="仿宋" w:eastAsia="仿宋" w:cs="仿宋"/>
                <w:color w:val="auto"/>
                <w:sz w:val="21"/>
                <w:szCs w:val="21"/>
                <w:highlight w:val="none"/>
              </w:rPr>
            </w:pPr>
          </w:p>
        </w:tc>
        <w:tc>
          <w:tcPr>
            <w:tcW w:w="1945" w:type="dxa"/>
            <w:shd w:val="clear" w:color="auto" w:fill="FFFFFF"/>
            <w:noWrap w:val="0"/>
            <w:vAlign w:val="center"/>
          </w:tcPr>
          <w:p w14:paraId="361870AC">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7C615F20">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175B3C54">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59AEC6A5">
            <w:pPr>
              <w:wordWrap w:val="0"/>
              <w:topLinePunct/>
              <w:spacing w:line="360" w:lineRule="auto"/>
              <w:jc w:val="center"/>
              <w:rPr>
                <w:rStyle w:val="271"/>
                <w:rFonts w:hint="eastAsia" w:ascii="仿宋" w:hAnsi="仿宋" w:eastAsia="仿宋" w:cs="仿宋"/>
                <w:color w:val="auto"/>
                <w:sz w:val="21"/>
                <w:szCs w:val="21"/>
                <w:highlight w:val="none"/>
              </w:rPr>
            </w:pPr>
          </w:p>
        </w:tc>
      </w:tr>
      <w:tr w14:paraId="0750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5" w:type="dxa"/>
            <w:shd w:val="clear" w:color="auto" w:fill="FFFFFF"/>
            <w:noWrap w:val="0"/>
            <w:vAlign w:val="center"/>
          </w:tcPr>
          <w:p w14:paraId="6E6E7CC9">
            <w:pPr>
              <w:wordWrap w:val="0"/>
              <w:topLinePunct/>
              <w:spacing w:line="360" w:lineRule="auto"/>
              <w:jc w:val="center"/>
              <w:rPr>
                <w:rFonts w:hint="eastAsia" w:ascii="仿宋" w:hAnsi="仿宋" w:eastAsia="仿宋" w:cs="仿宋"/>
                <w:color w:val="auto"/>
                <w:sz w:val="21"/>
                <w:szCs w:val="21"/>
                <w:highlight w:val="none"/>
              </w:rPr>
            </w:pPr>
          </w:p>
        </w:tc>
        <w:tc>
          <w:tcPr>
            <w:tcW w:w="1945" w:type="dxa"/>
            <w:shd w:val="clear" w:color="auto" w:fill="FFFFFF"/>
            <w:noWrap w:val="0"/>
            <w:vAlign w:val="center"/>
          </w:tcPr>
          <w:p w14:paraId="5EA4C91C">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69B71F85">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0A8E9AD9">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493BEE41">
            <w:pPr>
              <w:wordWrap w:val="0"/>
              <w:topLinePunct/>
              <w:spacing w:line="360" w:lineRule="auto"/>
              <w:jc w:val="center"/>
              <w:rPr>
                <w:rStyle w:val="271"/>
                <w:rFonts w:hint="eastAsia" w:ascii="仿宋" w:hAnsi="仿宋" w:eastAsia="仿宋" w:cs="仿宋"/>
                <w:color w:val="auto"/>
                <w:sz w:val="21"/>
                <w:szCs w:val="21"/>
                <w:highlight w:val="none"/>
              </w:rPr>
            </w:pPr>
          </w:p>
        </w:tc>
      </w:tr>
      <w:tr w14:paraId="5708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5" w:type="dxa"/>
            <w:shd w:val="clear" w:color="auto" w:fill="FFFFFF"/>
            <w:noWrap w:val="0"/>
            <w:vAlign w:val="center"/>
          </w:tcPr>
          <w:p w14:paraId="70FF4E65">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74771C8B">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1A2D22BF">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60ACF660">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30ED9F71">
            <w:pPr>
              <w:wordWrap w:val="0"/>
              <w:topLinePunct/>
              <w:spacing w:line="360" w:lineRule="auto"/>
              <w:jc w:val="center"/>
              <w:rPr>
                <w:rStyle w:val="271"/>
                <w:rFonts w:hint="eastAsia" w:ascii="仿宋" w:hAnsi="仿宋" w:eastAsia="仿宋" w:cs="仿宋"/>
                <w:color w:val="auto"/>
                <w:sz w:val="21"/>
                <w:szCs w:val="21"/>
                <w:highlight w:val="none"/>
              </w:rPr>
            </w:pPr>
          </w:p>
        </w:tc>
      </w:tr>
      <w:tr w14:paraId="618B0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945" w:type="dxa"/>
            <w:shd w:val="clear" w:color="auto" w:fill="FFFFFF"/>
            <w:noWrap w:val="0"/>
            <w:vAlign w:val="center"/>
          </w:tcPr>
          <w:p w14:paraId="1B154BA7">
            <w:pPr>
              <w:wordWrap w:val="0"/>
              <w:topLinePunct/>
              <w:spacing w:line="360" w:lineRule="auto"/>
              <w:jc w:val="center"/>
              <w:rPr>
                <w:rStyle w:val="271"/>
                <w:rFonts w:hint="eastAsia" w:ascii="仿宋" w:hAnsi="仿宋" w:eastAsia="仿宋" w:cs="仿宋"/>
                <w:color w:val="auto"/>
                <w:sz w:val="21"/>
                <w:szCs w:val="21"/>
                <w:highlight w:val="none"/>
              </w:rPr>
            </w:pPr>
          </w:p>
        </w:tc>
        <w:tc>
          <w:tcPr>
            <w:tcW w:w="1945" w:type="dxa"/>
            <w:shd w:val="clear" w:color="auto" w:fill="FFFFFF"/>
            <w:noWrap w:val="0"/>
            <w:vAlign w:val="center"/>
          </w:tcPr>
          <w:p w14:paraId="1E9B2227">
            <w:pPr>
              <w:wordWrap w:val="0"/>
              <w:topLinePunct/>
              <w:spacing w:line="360" w:lineRule="auto"/>
              <w:jc w:val="center"/>
              <w:rPr>
                <w:rStyle w:val="271"/>
                <w:rFonts w:hint="eastAsia" w:ascii="仿宋" w:hAnsi="仿宋" w:eastAsia="仿宋" w:cs="仿宋"/>
                <w:color w:val="auto"/>
                <w:sz w:val="21"/>
                <w:szCs w:val="21"/>
                <w:highlight w:val="none"/>
              </w:rPr>
            </w:pPr>
          </w:p>
        </w:tc>
        <w:tc>
          <w:tcPr>
            <w:tcW w:w="5835" w:type="dxa"/>
            <w:gridSpan w:val="3"/>
            <w:shd w:val="clear" w:color="auto" w:fill="FFFFFF"/>
            <w:noWrap w:val="0"/>
            <w:vAlign w:val="center"/>
          </w:tcPr>
          <w:p w14:paraId="724C8FD5">
            <w:pPr>
              <w:wordWrap w:val="0"/>
              <w:topLinePunct/>
              <w:spacing w:line="360" w:lineRule="auto"/>
              <w:jc w:val="center"/>
              <w:rPr>
                <w:rStyle w:val="271"/>
                <w:rFonts w:hint="eastAsia" w:ascii="仿宋" w:hAnsi="仿宋" w:eastAsia="仿宋" w:cs="仿宋"/>
                <w:color w:val="auto"/>
                <w:sz w:val="21"/>
                <w:szCs w:val="21"/>
                <w:highlight w:val="none"/>
              </w:rPr>
            </w:pPr>
          </w:p>
        </w:tc>
      </w:tr>
      <w:tr w14:paraId="3461B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725" w:type="dxa"/>
            <w:gridSpan w:val="5"/>
            <w:shd w:val="clear" w:color="auto" w:fill="FFFFFF"/>
            <w:noWrap w:val="0"/>
            <w:vAlign w:val="center"/>
          </w:tcPr>
          <w:p w14:paraId="46C758CD">
            <w:pPr>
              <w:wordWrap w:val="0"/>
              <w:topLinePunct/>
              <w:spacing w:line="360" w:lineRule="auto"/>
              <w:rPr>
                <w:rStyle w:val="271"/>
                <w:rFonts w:hint="eastAsia" w:ascii="仿宋" w:hAnsi="仿宋" w:eastAsia="仿宋" w:cs="仿宋"/>
                <w:color w:val="auto"/>
                <w:sz w:val="21"/>
                <w:szCs w:val="21"/>
                <w:highlight w:val="none"/>
              </w:rPr>
            </w:pPr>
            <w:r>
              <w:rPr>
                <w:rStyle w:val="271"/>
                <w:rFonts w:hint="eastAsia" w:ascii="仿宋" w:hAnsi="仿宋" w:eastAsia="仿宋" w:cs="仿宋"/>
                <w:color w:val="auto"/>
                <w:sz w:val="21"/>
                <w:szCs w:val="21"/>
                <w:highlight w:val="none"/>
              </w:rPr>
              <w:t>合计（元）：￥</w:t>
            </w:r>
            <w:r>
              <w:rPr>
                <w:rStyle w:val="271"/>
                <w:rFonts w:hint="eastAsia" w:ascii="仿宋" w:hAnsi="仿宋" w:eastAsia="仿宋" w:cs="仿宋"/>
                <w:color w:val="auto"/>
                <w:sz w:val="21"/>
                <w:szCs w:val="21"/>
                <w:highlight w:val="none"/>
                <w:u w:val="single"/>
              </w:rPr>
              <w:t xml:space="preserve">             </w:t>
            </w:r>
            <w:r>
              <w:rPr>
                <w:rStyle w:val="271"/>
                <w:rFonts w:hint="eastAsia" w:ascii="仿宋" w:hAnsi="仿宋" w:eastAsia="仿宋" w:cs="仿宋"/>
                <w:color w:val="auto"/>
                <w:sz w:val="21"/>
                <w:szCs w:val="21"/>
                <w:highlight w:val="none"/>
              </w:rPr>
              <w:t>（大写：</w:t>
            </w:r>
            <w:r>
              <w:rPr>
                <w:rStyle w:val="271"/>
                <w:rFonts w:hint="eastAsia" w:ascii="仿宋" w:hAnsi="仿宋" w:eastAsia="仿宋" w:cs="仿宋"/>
                <w:color w:val="auto"/>
                <w:sz w:val="21"/>
                <w:szCs w:val="21"/>
                <w:highlight w:val="none"/>
                <w:u w:val="single"/>
              </w:rPr>
              <w:t xml:space="preserve">             </w:t>
            </w:r>
            <w:r>
              <w:rPr>
                <w:rStyle w:val="271"/>
                <w:rFonts w:hint="eastAsia" w:ascii="仿宋" w:hAnsi="仿宋" w:eastAsia="仿宋" w:cs="仿宋"/>
                <w:color w:val="auto"/>
                <w:sz w:val="21"/>
                <w:szCs w:val="21"/>
                <w:highlight w:val="none"/>
              </w:rPr>
              <w:t>）</w:t>
            </w:r>
          </w:p>
        </w:tc>
      </w:tr>
    </w:tbl>
    <w:p w14:paraId="2A48AF1B">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本合同的范围和条件应与上述合同文件的规定相一致。。</w:t>
      </w:r>
    </w:p>
    <w:p w14:paraId="6FAD78E4">
      <w:pPr>
        <w:pStyle w:val="272"/>
        <w:keepNext w:val="0"/>
        <w:keepLines w:val="0"/>
        <w:numPr>
          <w:ilvl w:val="1"/>
          <w:numId w:val="0"/>
        </w:numPr>
        <w:wordWrap w:val="0"/>
        <w:topLinePunct/>
        <w:snapToGrid w:val="0"/>
        <w:spacing w:before="0" w:after="0" w:line="360" w:lineRule="auto"/>
        <w:jc w:val="both"/>
        <w:rPr>
          <w:rFonts w:hint="eastAsia" w:ascii="仿宋" w:hAnsi="仿宋" w:eastAsia="仿宋" w:cs="仿宋"/>
          <w:b w:val="0"/>
          <w:color w:val="auto"/>
          <w:sz w:val="21"/>
          <w:szCs w:val="21"/>
          <w:highlight w:val="none"/>
        </w:rPr>
      </w:pPr>
      <w:bookmarkStart w:id="830" w:name="_Toc61856326"/>
      <w:bookmarkStart w:id="831" w:name="_Toc435227118"/>
      <w:bookmarkStart w:id="832" w:name="_Toc61858001"/>
      <w:bookmarkStart w:id="833" w:name="_Toc61927217"/>
      <w:bookmarkStart w:id="834" w:name="_Toc84212154"/>
      <w:bookmarkStart w:id="835" w:name="_Toc61857758"/>
      <w:bookmarkStart w:id="836" w:name="_Toc62272871"/>
      <w:bookmarkStart w:id="837" w:name="_Toc61853841"/>
      <w:bookmarkStart w:id="838" w:name="_Toc83961842"/>
      <w:bookmarkStart w:id="839" w:name="_Toc83961457"/>
      <w:bookmarkStart w:id="840" w:name="_Toc61925961"/>
      <w:bookmarkStart w:id="841" w:name="_Toc175644037"/>
      <w:r>
        <w:rPr>
          <w:rFonts w:hint="eastAsia" w:ascii="仿宋" w:hAnsi="仿宋" w:eastAsia="仿宋" w:cs="仿宋"/>
          <w:b w:val="0"/>
          <w:color w:val="auto"/>
          <w:sz w:val="21"/>
          <w:szCs w:val="21"/>
          <w:highlight w:val="none"/>
        </w:rPr>
        <w:t>二、合同金额及付款</w:t>
      </w:r>
      <w:bookmarkEnd w:id="830"/>
      <w:bookmarkEnd w:id="831"/>
      <w:bookmarkEnd w:id="832"/>
      <w:bookmarkEnd w:id="833"/>
      <w:bookmarkEnd w:id="834"/>
      <w:bookmarkEnd w:id="835"/>
      <w:bookmarkEnd w:id="836"/>
      <w:bookmarkEnd w:id="837"/>
      <w:bookmarkEnd w:id="838"/>
      <w:bookmarkEnd w:id="839"/>
      <w:bookmarkEnd w:id="840"/>
      <w:r>
        <w:rPr>
          <w:rFonts w:hint="eastAsia" w:ascii="仿宋" w:hAnsi="仿宋" w:eastAsia="仿宋" w:cs="仿宋"/>
          <w:b w:val="0"/>
          <w:color w:val="auto"/>
          <w:sz w:val="21"/>
          <w:szCs w:val="21"/>
          <w:highlight w:val="none"/>
        </w:rPr>
        <w:t>方式</w:t>
      </w:r>
      <w:bookmarkEnd w:id="841"/>
    </w:p>
    <w:p w14:paraId="47D6633B">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本合同总金额为人民币（含税）：￥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元（小写），</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(大写)。</w:t>
      </w:r>
    </w:p>
    <w:p w14:paraId="2FFAC714">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该金额为甲方应支付乙方的全部金额，乙方不得以其他任何理由向甲方主张其他任何费用。</w:t>
      </w:r>
    </w:p>
    <w:p w14:paraId="7DEDDF8B">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三、本合同货物的付款方式：</w:t>
      </w:r>
    </w:p>
    <w:p w14:paraId="6CA11581">
      <w:pPr>
        <w:wordWrap w:val="0"/>
        <w:topLinePunct/>
        <w:snapToGrid w:val="0"/>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1、本合同签订后10个工作日内，甲方向乙方支付合同总额的30%，即人民币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）；项目全部上线并经甲方验收合格后10个工作日内，甲方向乙方支付至合同总额的</w:t>
      </w:r>
      <w:r>
        <w:rPr>
          <w:rFonts w:hint="eastAsia" w:ascii="仿宋" w:hAnsi="仿宋" w:eastAsia="仿宋" w:cs="仿宋"/>
          <w:color w:val="auto"/>
          <w:sz w:val="21"/>
          <w:szCs w:val="21"/>
          <w:highlight w:val="none"/>
          <w:u w:val="single"/>
        </w:rPr>
        <w:t>95</w:t>
      </w:r>
      <w:r>
        <w:rPr>
          <w:rFonts w:hint="eastAsia" w:ascii="仿宋" w:hAnsi="仿宋" w:eastAsia="仿宋" w:cs="仿宋"/>
          <w:color w:val="auto"/>
          <w:sz w:val="21"/>
          <w:szCs w:val="21"/>
          <w:highlight w:val="none"/>
        </w:rPr>
        <w:t>%，即人民币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），剩余合同总额</w:t>
      </w:r>
      <w:r>
        <w:rPr>
          <w:rFonts w:hint="eastAsia" w:ascii="仿宋" w:hAnsi="仿宋" w:eastAsia="仿宋" w:cs="仿宋"/>
          <w:color w:val="auto"/>
          <w:sz w:val="21"/>
          <w:szCs w:val="21"/>
          <w:highlight w:val="none"/>
          <w:u w:val="single"/>
        </w:rPr>
        <w:t>5</w:t>
      </w:r>
      <w:r>
        <w:rPr>
          <w:rFonts w:hint="eastAsia" w:ascii="仿宋" w:hAnsi="仿宋" w:eastAsia="仿宋" w:cs="仿宋"/>
          <w:color w:val="auto"/>
          <w:sz w:val="21"/>
          <w:szCs w:val="21"/>
          <w:highlight w:val="none"/>
        </w:rPr>
        <w:t>%，即人民币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元（大写：</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）作为质保金，甲方不必向乙方支付质量保证金的任何利息或收益，</w:t>
      </w:r>
      <w:r>
        <w:rPr>
          <w:rFonts w:hint="eastAsia" w:ascii="仿宋" w:hAnsi="仿宋" w:eastAsia="仿宋" w:cs="仿宋"/>
          <w:color w:val="auto"/>
          <w:sz w:val="21"/>
          <w:szCs w:val="21"/>
          <w:highlight w:val="none"/>
          <w:u w:val="single"/>
        </w:rPr>
        <w:t>贰年</w:t>
      </w:r>
      <w:r>
        <w:rPr>
          <w:rFonts w:hint="eastAsia" w:ascii="仿宋" w:hAnsi="仿宋" w:eastAsia="仿宋" w:cs="仿宋"/>
          <w:color w:val="auto"/>
          <w:sz w:val="21"/>
          <w:szCs w:val="21"/>
          <w:highlight w:val="none"/>
        </w:rPr>
        <w:t>后无其他质量问题，甲方用电汇、转账、支票、汇票等方式支付给乙方。</w:t>
      </w:r>
    </w:p>
    <w:p w14:paraId="4C600CD3">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支付合同款项前，乙方应提供等额国家正规发票。合同款项的具体支付时间由双方另行商定，每次实际付款前，乙方还需满足以下条件，否则甲方有权不予付款，且不承担任何责任:(1)乙方向甲方提供工作量确认单，甲方对乙方的工作量进行审核，双方共同签字确认;</w:t>
      </w:r>
    </w:p>
    <w:p w14:paraId="189202DF">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(2)如需财政资金拨付的，待财政资金到位且甲方履行完毕资金拨付审批程序后，乙方方可向甲方开县发票，由甲方向乙方拨付资金。</w:t>
      </w:r>
    </w:p>
    <w:p w14:paraId="4638995A">
      <w:pPr>
        <w:wordWrap w:val="0"/>
        <w:topLinePunct/>
        <w:snapToGrid w:val="0"/>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2、合同款以</w:t>
      </w:r>
      <w:r>
        <w:rPr>
          <w:rFonts w:hint="eastAsia" w:ascii="仿宋" w:hAnsi="仿宋" w:eastAsia="仿宋" w:cs="仿宋"/>
          <w:color w:val="auto"/>
          <w:sz w:val="21"/>
          <w:szCs w:val="21"/>
          <w:highlight w:val="none"/>
          <w:u w:val="single"/>
        </w:rPr>
        <w:t>银行转帐</w:t>
      </w:r>
      <w:r>
        <w:rPr>
          <w:rFonts w:hint="eastAsia" w:ascii="仿宋" w:hAnsi="仿宋" w:eastAsia="仿宋" w:cs="仿宋"/>
          <w:color w:val="auto"/>
          <w:sz w:val="21"/>
          <w:szCs w:val="21"/>
          <w:highlight w:val="none"/>
        </w:rPr>
        <w:t>方式支付。</w:t>
      </w:r>
    </w:p>
    <w:p w14:paraId="65792580">
      <w:pPr>
        <w:wordWrap w:val="0"/>
        <w:topLinePunct/>
        <w:spacing w:line="360" w:lineRule="auto"/>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注：乙方应向甲方提供100％合同金额的增值税普通（专用）发票。</w:t>
      </w:r>
    </w:p>
    <w:p w14:paraId="369BA995">
      <w:pPr>
        <w:wordWrap w:val="0"/>
        <w:topLinePunct/>
        <w:spacing w:line="360" w:lineRule="auto"/>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汇款账号信息如下：</w:t>
      </w:r>
    </w:p>
    <w:p w14:paraId="72F7AEED">
      <w:pPr>
        <w:wordWrap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公司名称：</w:t>
      </w:r>
      <w:r>
        <w:rPr>
          <w:rFonts w:hint="eastAsia" w:ascii="仿宋" w:hAnsi="仿宋" w:eastAsia="仿宋" w:cs="仿宋"/>
          <w:color w:val="auto"/>
          <w:sz w:val="21"/>
          <w:szCs w:val="21"/>
          <w:highlight w:val="none"/>
          <w:u w:val="single"/>
        </w:rPr>
        <w:t xml:space="preserve">                      </w:t>
      </w:r>
    </w:p>
    <w:p w14:paraId="11A91ECC">
      <w:pPr>
        <w:wordWrap w:val="0"/>
        <w:topLinePunct/>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开户银行：</w:t>
      </w:r>
      <w:r>
        <w:rPr>
          <w:rFonts w:hint="eastAsia" w:ascii="仿宋" w:hAnsi="仿宋" w:eastAsia="仿宋" w:cs="仿宋"/>
          <w:color w:val="auto"/>
          <w:sz w:val="21"/>
          <w:szCs w:val="21"/>
          <w:highlight w:val="none"/>
          <w:u w:val="single"/>
        </w:rPr>
        <w:t xml:space="preserve">                      </w:t>
      </w:r>
    </w:p>
    <w:p w14:paraId="1BB9E39C">
      <w:pPr>
        <w:wordWrap w:val="0"/>
        <w:topLinePunc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帐号：</w:t>
      </w:r>
      <w:r>
        <w:rPr>
          <w:rFonts w:hint="eastAsia" w:ascii="仿宋" w:hAnsi="仿宋" w:eastAsia="仿宋" w:cs="仿宋"/>
          <w:color w:val="auto"/>
          <w:sz w:val="21"/>
          <w:szCs w:val="21"/>
          <w:highlight w:val="none"/>
          <w:u w:val="single"/>
        </w:rPr>
        <w:t xml:space="preserve">                          </w:t>
      </w:r>
    </w:p>
    <w:p w14:paraId="31E76633">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四、设备发货时间、收货信息、交货、发票</w:t>
      </w:r>
    </w:p>
    <w:p w14:paraId="7D5A5226">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1、发货时间：自合同签订之日起10个工作日内内完成供货、安装及调试。</w:t>
      </w:r>
    </w:p>
    <w:p w14:paraId="5311207F">
      <w:pPr>
        <w:pStyle w:val="24"/>
        <w:wordWrap w:val="0"/>
        <w:topLinePunct/>
        <w:adjustRightInd w:val="0"/>
        <w:snapToGrid w:val="0"/>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2、收货信息：</w:t>
      </w:r>
      <w:r>
        <w:rPr>
          <w:rFonts w:hint="eastAsia" w:ascii="仿宋" w:hAnsi="仿宋" w:eastAsia="仿宋" w:cs="仿宋"/>
          <w:color w:val="auto"/>
          <w:szCs w:val="21"/>
          <w:highlight w:val="none"/>
          <w:u w:val="single"/>
        </w:rPr>
        <w:t xml:space="preserve">                   </w:t>
      </w:r>
    </w:p>
    <w:p w14:paraId="67E66F4C">
      <w:pPr>
        <w:pStyle w:val="24"/>
        <w:wordWrap w:val="0"/>
        <w:topLinePunct/>
        <w:adjustRightInd w:val="0"/>
        <w:snapToGrid w:val="0"/>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收货人：</w:t>
      </w:r>
      <w:r>
        <w:rPr>
          <w:rFonts w:hint="eastAsia" w:ascii="仿宋" w:hAnsi="仿宋" w:eastAsia="仿宋" w:cs="仿宋"/>
          <w:color w:val="auto"/>
          <w:szCs w:val="21"/>
          <w:highlight w:val="none"/>
          <w:u w:val="single"/>
        </w:rPr>
        <w:t xml:space="preserve">                        </w:t>
      </w:r>
    </w:p>
    <w:p w14:paraId="740F1649">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联系方式：</w:t>
      </w:r>
      <w:r>
        <w:rPr>
          <w:rFonts w:hint="eastAsia" w:ascii="仿宋" w:hAnsi="仿宋" w:eastAsia="仿宋" w:cs="仿宋"/>
          <w:color w:val="auto"/>
          <w:szCs w:val="21"/>
          <w:highlight w:val="none"/>
          <w:u w:val="single"/>
        </w:rPr>
        <w:t xml:space="preserve">                      </w:t>
      </w:r>
    </w:p>
    <w:p w14:paraId="78D53DEB">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收货地址：</w:t>
      </w:r>
      <w:r>
        <w:rPr>
          <w:rFonts w:hint="eastAsia" w:ascii="仿宋" w:hAnsi="仿宋" w:eastAsia="仿宋" w:cs="仿宋"/>
          <w:color w:val="auto"/>
          <w:szCs w:val="21"/>
          <w:highlight w:val="none"/>
          <w:u w:val="single"/>
        </w:rPr>
        <w:t xml:space="preserve">                      </w:t>
      </w:r>
    </w:p>
    <w:p w14:paraId="099D1D0B">
      <w:pPr>
        <w:pStyle w:val="24"/>
        <w:wordWrap w:val="0"/>
        <w:topLinePunct/>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3、交货：</w:t>
      </w:r>
    </w:p>
    <w:p w14:paraId="51C5F577">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1)乙方负责办理运输和保险，将货物运抵交货地点。有关运输、保险和装卸等一切相关的费用由乙方承担。</w:t>
      </w:r>
    </w:p>
    <w:p w14:paraId="69832072">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2)货物应运至甲方指定地点，并卸至甲方指定位置，三日内进行开箱清点及初步检验，检验时双方应派人员参加。</w:t>
      </w:r>
    </w:p>
    <w:p w14:paraId="7FE13D0B">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3)所有货物运抵后经检验验收合格交付甲方，该日期为交货日期。发货日期以该合同上述发货时间为准。若甲方需要推后发货时间，需提前十个工作日以书面的形式通知乙方，以便乙方重新安排生产及发货计划。</w:t>
      </w:r>
    </w:p>
    <w:p w14:paraId="7729EC9F">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4）交货地点若发生变化，甲方应当提前七日以书面形式通知乙方，以便乙方提前改变发货的计划。否则因此发生的费用等一切责任均由甲方承担。</w:t>
      </w:r>
    </w:p>
    <w:p w14:paraId="38AF0198">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五、技术服务和保修责任</w:t>
      </w:r>
    </w:p>
    <w:p w14:paraId="0CFD8E69">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质保期：从设备到货之日起贰年内为质量保证期，在产品使用过程中出现故障，乙方免费提供维修服务，如无法修复的，则乙方免费更换设备。质保期过后，将继续为产品提供运维服务，如需更换零配件，只收取零配件的成本费。</w:t>
      </w:r>
    </w:p>
    <w:p w14:paraId="5EBB9B93">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2、在产品的设计使用寿命期内，乙方必须保证零部件的正常供应，对所有部件提供终身维修和终身运行维护服务，对设备定期维护保养，确保设备正常使用。</w:t>
      </w:r>
    </w:p>
    <w:p w14:paraId="5F96A839">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3、乙方为甲方提供免费安装调试、人员培训、技术支持。</w:t>
      </w:r>
    </w:p>
    <w:p w14:paraId="4058588B">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4、乙方保证交付给甲方的设备为符合合同约定的全新的设备，如与合同约定不符，则乙方负责更换，所有费用由乙方承担。</w:t>
      </w:r>
    </w:p>
    <w:p w14:paraId="3D72A821">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bookmarkStart w:id="842" w:name="_Toc175644048"/>
      <w:bookmarkStart w:id="843" w:name="_Toc86202601"/>
      <w:r>
        <w:rPr>
          <w:rFonts w:hint="eastAsia" w:ascii="仿宋" w:hAnsi="仿宋" w:eastAsia="仿宋" w:cs="仿宋"/>
          <w:b w:val="0"/>
          <w:color w:val="auto"/>
          <w:kern w:val="0"/>
          <w:sz w:val="21"/>
          <w:szCs w:val="21"/>
          <w:highlight w:val="none"/>
        </w:rPr>
        <w:t>六、软件系统技术服务</w:t>
      </w:r>
      <w:bookmarkEnd w:id="842"/>
      <w:bookmarkEnd w:id="843"/>
    </w:p>
    <w:p w14:paraId="1C3CCF5B">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1、乙方负责应用系统部署，部署服务器、数据库、网络等内容；固态服务器部署在顺义区政务中心指定机房，数据存储年限为永久。</w:t>
      </w:r>
    </w:p>
    <w:p w14:paraId="6BF46E86">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应用系统的访问日志、数据库的操作日志等日志文件，留存时间不少于1年，由甲方主导负责，乙方协助配合甲方，对每月对日志文件进行外部硬盘和网络存储双备份，确保日志文件及其备份的完整性、可用性。日志备份永久保存。</w:t>
      </w:r>
    </w:p>
    <w:p w14:paraId="1AB1BE33">
      <w:pPr>
        <w:pStyle w:val="2"/>
        <w:tabs>
          <w:tab w:val="left" w:pos="0"/>
          <w:tab w:val="left" w:pos="1134"/>
          <w:tab w:val="left" w:pos="8505"/>
          <w:tab w:val="clear" w:pos="480"/>
        </w:tabs>
        <w:rPr>
          <w:rFonts w:hint="eastAsia"/>
          <w:color w:val="auto"/>
          <w:highlight w:val="none"/>
        </w:rPr>
      </w:pPr>
    </w:p>
    <w:p w14:paraId="05CAA8A9">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3、乙方负责为甲方购买的软件提供免费安装及培训服务；</w:t>
      </w:r>
    </w:p>
    <w:p w14:paraId="3A536D91">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4、乙方为甲方提供技术服务，以电话、远程操控方式免费提供所买产品的服务与技术支持维护，通常软件系统故障，提供实时响应远程解决；</w:t>
      </w:r>
      <w:bookmarkStart w:id="844" w:name="_Toc86202602"/>
      <w:bookmarkStart w:id="845" w:name="_Toc175644049"/>
    </w:p>
    <w:p w14:paraId="1BF0F8DF">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5、在远程维护无法排除故障时，乙方提供现场服务。</w:t>
      </w:r>
    </w:p>
    <w:p w14:paraId="0FA154B9">
      <w:pPr>
        <w:pStyle w:val="24"/>
        <w:wordWrap w:val="0"/>
        <w:topLinePunct/>
        <w:adjustRightInd w:val="0"/>
        <w:snapToGrid w:val="0"/>
        <w:spacing w:line="360" w:lineRule="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6、如遇区级主管部门要求启动新系统，乙方需积极配合甲方转接系统数据，按甲方要求完成相应工作，甲方无需另行支付费用。</w:t>
      </w:r>
    </w:p>
    <w:p w14:paraId="74A48913">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7、乙方保证交付物符合中国国家标准、行业标准以及双方约定的其它质量标准，能够充分实现、提供、具备乙方承诺的功能、特点、内容和标准等。</w:t>
      </w:r>
    </w:p>
    <w:p w14:paraId="58E57484">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8、乙方保证提交的软件无病毒、无有害代码、无明显错误。</w:t>
      </w:r>
    </w:p>
    <w:p w14:paraId="145D7482">
      <w:pPr>
        <w:wordWrap w:val="0"/>
        <w:topLinePunct/>
        <w:snapToGrid w:val="0"/>
        <w:spacing w:line="360" w:lineRule="auto"/>
        <w:jc w:val="both"/>
        <w:textAlignment w:val="auto"/>
        <w:rPr>
          <w:rFonts w:hint="eastAsia"/>
          <w:color w:val="auto"/>
          <w:highlight w:val="none"/>
        </w:rPr>
      </w:pPr>
      <w:r>
        <w:rPr>
          <w:rFonts w:hint="eastAsia" w:ascii="仿宋" w:hAnsi="仿宋" w:eastAsia="仿宋" w:cs="仿宋"/>
          <w:color w:val="auto"/>
          <w:sz w:val="21"/>
          <w:szCs w:val="21"/>
          <w:highlight w:val="none"/>
        </w:rPr>
        <w:t>9.乙方承诺在智慧印章系统建设过程及交付使用后均符合《互联网政务应用安全管理规定》中的相关规定。</w:t>
      </w:r>
    </w:p>
    <w:p w14:paraId="17C71414">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七、甲乙双方的权利和义务</w:t>
      </w:r>
    </w:p>
    <w:bookmarkEnd w:id="844"/>
    <w:bookmarkEnd w:id="845"/>
    <w:p w14:paraId="651A9513">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bookmarkStart w:id="846" w:name="_Toc175644050"/>
      <w:bookmarkStart w:id="847" w:name="_Toc86202603"/>
      <w:r>
        <w:rPr>
          <w:rFonts w:hint="eastAsia" w:ascii="仿宋" w:hAnsi="仿宋" w:eastAsia="仿宋" w:cs="仿宋"/>
          <w:b w:val="0"/>
          <w:color w:val="auto"/>
          <w:kern w:val="0"/>
          <w:sz w:val="21"/>
          <w:szCs w:val="21"/>
          <w:highlight w:val="none"/>
        </w:rPr>
        <w:t>1、乙方保证其销售软件是自行开发的、版权属于乙方所有的非侵权软件。</w:t>
      </w:r>
    </w:p>
    <w:p w14:paraId="77328352">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2、乙方为甲方提供的软件系统包含：PC端、移动端和机器端三端软件程序；</w:t>
      </w:r>
    </w:p>
    <w:p w14:paraId="6ED76F00">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3、乙方保证派遣符合信息安全与保密要求的人员参加项目，对人员登记造册，加强监管，并承担法律上的担保责任。</w:t>
      </w:r>
    </w:p>
    <w:p w14:paraId="38A9D8BA">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4、乙方保证在项目实施期间（包括前期工作）及完成以后的任何时间内涉及的涉密内容不泄露，对因乙方因素导致相关涉密内容泄密造成的后果，乙方承担相应的法律责任。</w:t>
      </w:r>
    </w:p>
    <w:p w14:paraId="075ECF54">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5、乙方保证不得非法入侵甲方计算机信息系统，除项目实施必须外，不擅自登录、浏览、下载甲方内部办公网络信息，不以任何形式将甲方业务信息、数据、资料等传输或复制到其它信息设备中，不以任何方式将有关数据、资料提供给第三方或用于其他商业目的。</w:t>
      </w:r>
    </w:p>
    <w:p w14:paraId="6260E743">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6、乙方严格按照分配到的硬件设施、信息系统的账户名及相应权限开展工作，及时做好系统默认口令修改并安全保管，不泄漏、传播或转借他人。</w:t>
      </w:r>
    </w:p>
    <w:p w14:paraId="26410BA2">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7、甲方可要求乙方派人到甲方地点进行技术培训，乙方向甲方提供技术支持。</w:t>
      </w:r>
    </w:p>
    <w:p w14:paraId="4D315351">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8、乙方按照合同中约定的服务内容提供优质及时的服务。</w:t>
      </w:r>
    </w:p>
    <w:p w14:paraId="1455927D">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9、对于乙方软件本身质量问题所引起的故障，乙方应对其进行维护并修正。</w:t>
      </w:r>
    </w:p>
    <w:p w14:paraId="3B11CA23">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10、甲方必须按合同规定及时把购买软件款项交付乙方或者汇至乙方指定的账户。</w:t>
      </w:r>
    </w:p>
    <w:p w14:paraId="730D6BE7">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11、如需乙方上门安装及培训，甲方需配合乙方准备好实施环境，如：网络正常、人员到位等。</w:t>
      </w:r>
    </w:p>
    <w:p w14:paraId="01ED0A2B">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12、甲方保证遵守知识产权的有关规定，甲方不得出租、出借、拷贝、仿冒、复制或修改乙方软件任何部分或用于其他任何商业目的，也不得将该软件做反向工程、反编译或反汇编，或以其他方式或工具取得乙方软件之目标程序或源代码，否则乙方有权终止对甲方的全部义务，并依法追究甲方的法律责任。</w:t>
      </w:r>
    </w:p>
    <w:p w14:paraId="1875796F">
      <w:pPr>
        <w:pStyle w:val="272"/>
        <w:keepNext w:val="0"/>
        <w:keepLines w:val="0"/>
        <w:wordWrap w:val="0"/>
        <w:topLinePunct/>
        <w:snapToGrid w:val="0"/>
        <w:spacing w:before="0" w:after="0" w:line="360" w:lineRule="auto"/>
        <w:ind w:firstLine="0"/>
        <w:jc w:val="both"/>
        <w:rPr>
          <w:rFonts w:hint="eastAsia" w:ascii="仿宋" w:hAnsi="仿宋" w:eastAsia="仿宋" w:cs="仿宋"/>
          <w:b w:val="0"/>
          <w:color w:val="auto"/>
          <w:kern w:val="0"/>
          <w:sz w:val="21"/>
          <w:szCs w:val="21"/>
          <w:highlight w:val="none"/>
        </w:rPr>
      </w:pPr>
      <w:r>
        <w:rPr>
          <w:rFonts w:hint="eastAsia" w:ascii="仿宋" w:hAnsi="仿宋" w:eastAsia="仿宋" w:cs="仿宋"/>
          <w:b w:val="0"/>
          <w:color w:val="auto"/>
          <w:kern w:val="0"/>
          <w:sz w:val="21"/>
          <w:szCs w:val="21"/>
          <w:highlight w:val="none"/>
        </w:rPr>
        <w:t>八、不可抗力</w:t>
      </w:r>
      <w:bookmarkEnd w:id="846"/>
      <w:bookmarkEnd w:id="847"/>
    </w:p>
    <w:p w14:paraId="2BEA6623">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1、不可抗力指下列事件：战争、动乱、瘟疫、严重火灾、洪水、地震、风暴或其他自然灾害，以及本合同各方不可预见、不可防止并不能避免或克服的一切其他因素及事件。</w:t>
      </w:r>
    </w:p>
    <w:p w14:paraId="3DEF9BF4">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做出的公证证明。</w:t>
      </w:r>
    </w:p>
    <w:p w14:paraId="08EAB1D6">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3FAB490C">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4、合同各方应根据不可抗力对本合同履行的影响程度，协商确定是否终止本合同，或是继续履行本合同。</w:t>
      </w:r>
    </w:p>
    <w:p w14:paraId="2D27E4C6">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48" w:name="_Toc86202604"/>
      <w:bookmarkStart w:id="849" w:name="_Toc175644051"/>
      <w:r>
        <w:rPr>
          <w:rFonts w:hint="eastAsia" w:ascii="仿宋" w:hAnsi="仿宋" w:eastAsia="仿宋" w:cs="仿宋"/>
          <w:color w:val="auto"/>
          <w:sz w:val="21"/>
          <w:szCs w:val="21"/>
          <w:highlight w:val="none"/>
        </w:rPr>
        <w:t>九、联系方式</w:t>
      </w:r>
      <w:bookmarkEnd w:id="848"/>
      <w:bookmarkEnd w:id="849"/>
    </w:p>
    <w:p w14:paraId="1F1BAC7C">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5A1CB195">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双方发出的与本合同有关的通知或回复均应发至合同中的通讯地址，付款或收款应使用合同中的帐号，一方变更通讯地址或帐号，应自变更之日起三个工作日内，将变更后的地址通知对方。变更方不履行通知义务的，应对此造成的一切后果承担法律责任。</w:t>
      </w:r>
    </w:p>
    <w:p w14:paraId="3016DD14">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3、上述发出通知、回复的费用由发出一方承担。</w:t>
      </w:r>
    </w:p>
    <w:p w14:paraId="49778C6E">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0" w:name="_Toc175644052"/>
      <w:bookmarkStart w:id="851" w:name="_Toc86202605"/>
      <w:r>
        <w:rPr>
          <w:rFonts w:hint="eastAsia" w:ascii="仿宋" w:hAnsi="仿宋" w:eastAsia="仿宋" w:cs="仿宋"/>
          <w:color w:val="auto"/>
          <w:sz w:val="21"/>
          <w:szCs w:val="21"/>
          <w:highlight w:val="none"/>
        </w:rPr>
        <w:t>十、保密条款</w:t>
      </w:r>
      <w:bookmarkEnd w:id="850"/>
      <w:bookmarkEnd w:id="851"/>
    </w:p>
    <w:p w14:paraId="7084D9F7">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1、任何一方对其获知的本合同及附件中其他各方的商业秘密和国家秘密有保密义务。</w:t>
      </w:r>
    </w:p>
    <w:p w14:paraId="36224F05">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2" w:name="_Toc86202606"/>
      <w:r>
        <w:rPr>
          <w:rFonts w:hint="eastAsia" w:ascii="仿宋" w:hAnsi="仿宋" w:eastAsia="仿宋" w:cs="仿宋"/>
          <w:color w:val="auto"/>
          <w:sz w:val="21"/>
          <w:szCs w:val="21"/>
          <w:highlight w:val="none"/>
        </w:rPr>
        <w:t>2、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7D7198A8">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3" w:name="_Toc175644053"/>
      <w:r>
        <w:rPr>
          <w:rFonts w:hint="eastAsia" w:ascii="仿宋" w:hAnsi="仿宋" w:eastAsia="仿宋" w:cs="仿宋"/>
          <w:color w:val="auto"/>
          <w:sz w:val="21"/>
          <w:szCs w:val="21"/>
          <w:highlight w:val="none"/>
        </w:rPr>
        <w:t>十一、知识产权</w:t>
      </w:r>
    </w:p>
    <w:p w14:paraId="4D8D6182">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因履行本合同而产生的知识产权和交付物中所含的知识产权全部归甲方独占所有。但在本合同生效之前已经存在的知识产权（“已有知识产权”）不因本合同的签署和履行而转让。乙方应在服务开始之前向甲方提交其预计在服务中使用的已有知识产权的清单和权属证明，如果乙方未在服务开始前提交该清单和权属证明，则视为交付物中不包含已有知识产权，若因此与第三方产生知识产权纠纷，由乙方负责解决争议并承担全部责任。</w:t>
      </w:r>
    </w:p>
    <w:p w14:paraId="7EF0480A">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2、对于交付物中的已有知识产权，乙方授予甲方永久的、不可撤销的许可。根据该许可，甲方可以使用交付物，合同价款已包含该许可的费用因此甲方无须额外支付任何许可费用。</w:t>
      </w:r>
    </w:p>
    <w:p w14:paraId="37DFB91F">
      <w:pPr>
        <w:wordWrap w:val="0"/>
        <w:topLinePunct/>
        <w:snapToGrid w:val="0"/>
        <w:spacing w:line="360" w:lineRule="auto"/>
        <w:jc w:val="both"/>
        <w:textAlignment w:val="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3.乙方因履行本合同而产生的知识产权和交付物中所含的知识产权，不得侵犯他人的知识产权,若与第三方发生知识产权纠纷，由乙方负责解决争议并承担全部责任。</w:t>
      </w:r>
    </w:p>
    <w:p w14:paraId="08C3AD00">
      <w:pPr>
        <w:pStyle w:val="2"/>
        <w:tabs>
          <w:tab w:val="left" w:pos="0"/>
          <w:tab w:val="left" w:pos="1134"/>
          <w:tab w:val="left" w:pos="8505"/>
          <w:tab w:val="clear" w:pos="480"/>
        </w:tabs>
        <w:rPr>
          <w:rFonts w:hint="eastAsia"/>
          <w:color w:val="auto"/>
          <w:highlight w:val="none"/>
        </w:rPr>
      </w:pPr>
    </w:p>
    <w:p w14:paraId="1C8F8011">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十二、合同的解释和法律适用</w:t>
      </w:r>
      <w:bookmarkEnd w:id="852"/>
      <w:bookmarkEnd w:id="853"/>
    </w:p>
    <w:p w14:paraId="21057CE4">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1、任何一方对本合同及其附件的解释均应遵循诚实信用原则,依照本合同签订时有效的中国法律、法规以及通常的理解进行。</w:t>
      </w:r>
    </w:p>
    <w:p w14:paraId="0CE383A9">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2、本合同标题仅供查阅方便，并非对本合同的诠释或解释；本合同中以日表述的时间期限均指自然日。</w:t>
      </w:r>
    </w:p>
    <w:p w14:paraId="67AE4B71">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3、对本合同的任何解释均应由甲方以书面做出。</w:t>
      </w:r>
    </w:p>
    <w:p w14:paraId="25C24BEE">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4、本合同及附件的订立、效力、解释、履行、争议的解决等适用本合同签订时有效的中华人民共和国法律、法规的有关规定。</w:t>
      </w:r>
    </w:p>
    <w:p w14:paraId="34049E1E">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4" w:name="_Toc175644054"/>
      <w:bookmarkStart w:id="855" w:name="_Toc86202607"/>
      <w:r>
        <w:rPr>
          <w:rFonts w:hint="eastAsia" w:ascii="仿宋" w:hAnsi="仿宋" w:eastAsia="仿宋" w:cs="仿宋"/>
          <w:color w:val="auto"/>
          <w:sz w:val="21"/>
          <w:szCs w:val="21"/>
          <w:highlight w:val="none"/>
        </w:rPr>
        <w:t>十三、合同的终止</w:t>
      </w:r>
      <w:bookmarkEnd w:id="854"/>
      <w:bookmarkEnd w:id="855"/>
    </w:p>
    <w:p w14:paraId="74C93890">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1、本合同因下列原因而终止：</w:t>
      </w:r>
    </w:p>
    <w:p w14:paraId="251A9D8F">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1)本合同正常履行完毕；</w:t>
      </w:r>
    </w:p>
    <w:p w14:paraId="78CC949B">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2)合同双方协议终止本合同的履行；</w:t>
      </w:r>
    </w:p>
    <w:p w14:paraId="1A054F6D">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3)不可抗力事件导致本合同无法履行或履行不必要；</w:t>
      </w:r>
    </w:p>
    <w:p w14:paraId="368B94B6">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4)任何一方行使解除权，解除本合同。</w:t>
      </w:r>
    </w:p>
    <w:p w14:paraId="0216D7D5">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2、对本合同终止有过错的一方应赔偿另一方因合同终止而受到的损失。对合同终止双方均无过错的，则各自承担所受到的损失。</w:t>
      </w:r>
    </w:p>
    <w:p w14:paraId="7E07CA47">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6" w:name="_Toc175644055"/>
      <w:bookmarkStart w:id="857" w:name="_Toc86202608"/>
      <w:r>
        <w:rPr>
          <w:rFonts w:hint="eastAsia" w:ascii="仿宋" w:hAnsi="仿宋" w:eastAsia="仿宋" w:cs="仿宋"/>
          <w:color w:val="auto"/>
          <w:sz w:val="21"/>
          <w:szCs w:val="21"/>
          <w:highlight w:val="none"/>
        </w:rPr>
        <w:t>十四、法律适用</w:t>
      </w:r>
      <w:bookmarkEnd w:id="856"/>
    </w:p>
    <w:p w14:paraId="0FBDA96A">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1、本合同及附件的订立、效力、解释、履行、争议的解决等适用本合同签订时有效的中华人民共和国法律、法规的有关规定。</w:t>
      </w:r>
    </w:p>
    <w:p w14:paraId="217F2715">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bookmarkEnd w:id="857"/>
    <w:p w14:paraId="2DBF0A22">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58" w:name="_Toc175644057"/>
      <w:bookmarkStart w:id="859" w:name="_Toc86202609"/>
      <w:r>
        <w:rPr>
          <w:rFonts w:hint="eastAsia" w:ascii="仿宋" w:hAnsi="仿宋" w:eastAsia="仿宋" w:cs="仿宋"/>
          <w:color w:val="auto"/>
          <w:sz w:val="21"/>
          <w:szCs w:val="21"/>
          <w:highlight w:val="none"/>
        </w:rPr>
        <w:t>十五、争议的解决</w:t>
      </w:r>
      <w:bookmarkEnd w:id="858"/>
      <w:bookmarkEnd w:id="859"/>
    </w:p>
    <w:p w14:paraId="3FB168A1">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1、合同双方应通过友好协商解决因解释﹑执行本合同所发生的和本合同有关的一切争议。如果经协商不能达成协议，向甲方所在地法院提起诉讼。</w:t>
      </w:r>
    </w:p>
    <w:p w14:paraId="30906D9E">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2、在争议解决期间，除了诉讼或仲裁进行过程中正在解决的那部分问题外，合同其余部分应继续履行。</w:t>
      </w:r>
    </w:p>
    <w:p w14:paraId="14AF77AA">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十六、违约责任</w:t>
      </w:r>
    </w:p>
    <w:p w14:paraId="2988004F">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乙方逾期交货的，逾期在15日以内的，应每日按合同总额的5‰向甲方支付违约金。逾期超过30日的，甲方有权解除本合同，乙方应退还相应货款，并向甲方支付货款金额10%的违约金。</w:t>
      </w:r>
    </w:p>
    <w:p w14:paraId="6355A0D4">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60" w:name="_Toc175644058"/>
      <w:bookmarkStart w:id="861" w:name="_Toc86202610"/>
      <w:r>
        <w:rPr>
          <w:rFonts w:hint="eastAsia" w:ascii="仿宋" w:hAnsi="仿宋" w:eastAsia="仿宋" w:cs="仿宋"/>
          <w:color w:val="auto"/>
          <w:sz w:val="21"/>
          <w:szCs w:val="21"/>
          <w:highlight w:val="none"/>
        </w:rPr>
        <w:t>十七、合同的补充、修改和变更</w:t>
      </w:r>
      <w:bookmarkEnd w:id="860"/>
      <w:bookmarkEnd w:id="861"/>
    </w:p>
    <w:p w14:paraId="4893792B">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1、双方协商一致，可以对本合同进行补充、修改或变更。</w:t>
      </w:r>
    </w:p>
    <w:p w14:paraId="0914DF7E">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62" w:name="_Toc86202611"/>
      <w:r>
        <w:rPr>
          <w:rFonts w:hint="eastAsia" w:ascii="仿宋" w:hAnsi="仿宋" w:eastAsia="仿宋" w:cs="仿宋"/>
          <w:color w:val="auto"/>
          <w:sz w:val="21"/>
          <w:szCs w:val="21"/>
          <w:highlight w:val="none"/>
        </w:rPr>
        <w:t>2、对本合同的补充、修改或变更必须以书面形式进行，并由乙方自签订补充合同之日起五日内报采购代理方备案。补充、修改或变更的协议的签署及生效方式与本合同的签署及生效方式相同。</w:t>
      </w:r>
    </w:p>
    <w:p w14:paraId="53EAC96B">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3、双方签订的补充协议以及修改或变更的条款及附件与本合同具有同等法律效力。</w:t>
      </w:r>
    </w:p>
    <w:p w14:paraId="74B13959">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63" w:name="_Toc175644059"/>
      <w:r>
        <w:rPr>
          <w:rFonts w:hint="eastAsia" w:ascii="仿宋" w:hAnsi="仿宋" w:eastAsia="仿宋" w:cs="仿宋"/>
          <w:color w:val="auto"/>
          <w:sz w:val="21"/>
          <w:szCs w:val="21"/>
          <w:highlight w:val="none"/>
        </w:rPr>
        <w:t>十八、合同的生效</w:t>
      </w:r>
      <w:bookmarkEnd w:id="862"/>
      <w:bookmarkEnd w:id="863"/>
    </w:p>
    <w:p w14:paraId="5A24B4BC">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1、本合同经双方法定代表人（负责人）或授权代表签字并加盖单位公章后生效。</w:t>
      </w:r>
    </w:p>
    <w:p w14:paraId="00E0B02F">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2、本合同一式贰份，双方各执壹份，每份具有同等法律效力（合同扫描件亦具同等法律效力）；</w:t>
      </w:r>
    </w:p>
    <w:p w14:paraId="3F98E00F">
      <w:pPr>
        <w:wordWrap w:val="0"/>
        <w:topLinePunct/>
        <w:snapToGrid w:val="0"/>
        <w:spacing w:line="360" w:lineRule="auto"/>
        <w:jc w:val="both"/>
        <w:textAlignment w:val="auto"/>
        <w:rPr>
          <w:rFonts w:hint="eastAsia" w:ascii="仿宋" w:hAnsi="仿宋" w:eastAsia="仿宋" w:cs="仿宋"/>
          <w:color w:val="auto"/>
          <w:sz w:val="21"/>
          <w:szCs w:val="21"/>
          <w:highlight w:val="none"/>
        </w:rPr>
      </w:pPr>
      <w:bookmarkStart w:id="864" w:name="_Toc175644060"/>
      <w:bookmarkStart w:id="865" w:name="_Toc86202612"/>
      <w:r>
        <w:rPr>
          <w:rFonts w:hint="eastAsia" w:ascii="仿宋" w:hAnsi="仿宋" w:eastAsia="仿宋" w:cs="仿宋"/>
          <w:color w:val="auto"/>
          <w:sz w:val="21"/>
          <w:szCs w:val="21"/>
          <w:highlight w:val="none"/>
        </w:rPr>
        <w:t>十九、其它约定事项</w:t>
      </w:r>
      <w:bookmarkEnd w:id="864"/>
      <w:bookmarkEnd w:id="865"/>
    </w:p>
    <w:p w14:paraId="644BB257">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1、本合同中的附件均为本合同不可分割的部分，与本合同具有相同的法律效力。</w:t>
      </w:r>
    </w:p>
    <w:p w14:paraId="02959FA9">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2、一方当事人未经另一方事先书面同意，不得将其在合同项下的权利及/或义务全部或部分转让给第三人，有关分包事项或服务委托等须事先取得甲方书面同意并且须遵守相关法律、法规。</w:t>
      </w:r>
    </w:p>
    <w:p w14:paraId="6B259B2E">
      <w:pPr>
        <w:wordWrap w:val="0"/>
        <w:topLinePunct/>
        <w:snapToGrid w:val="0"/>
        <w:spacing w:line="360" w:lineRule="auto"/>
        <w:jc w:val="both"/>
        <w:textAlignment w:val="auto"/>
        <w:rPr>
          <w:rFonts w:hint="eastAsia" w:ascii="仿宋" w:hAnsi="仿宋" w:eastAsia="仿宋" w:cs="仿宋"/>
          <w:color w:val="auto"/>
          <w:sz w:val="21"/>
          <w:szCs w:val="21"/>
          <w:highlight w:val="none"/>
        </w:rPr>
      </w:pPr>
    </w:p>
    <w:p w14:paraId="60A54E9E">
      <w:pPr>
        <w:wordWrap w:val="0"/>
        <w:topLinePunct/>
        <w:snapToGrid w:val="0"/>
        <w:spacing w:line="360" w:lineRule="auto"/>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以下无正文。</w:t>
      </w:r>
    </w:p>
    <w:p w14:paraId="3CB79387">
      <w:pPr>
        <w:pStyle w:val="44"/>
        <w:wordWrap w:val="0"/>
        <w:topLinePunct/>
        <w:spacing w:line="360" w:lineRule="auto"/>
        <w:ind w:firstLine="0" w:firstLineChars="0"/>
        <w:rPr>
          <w:rFonts w:hint="eastAsia"/>
          <w:color w:val="auto"/>
          <w:sz w:val="21"/>
          <w:szCs w:val="21"/>
          <w:highlight w:val="none"/>
        </w:rPr>
      </w:pPr>
    </w:p>
    <w:p w14:paraId="535F2F6D">
      <w:pPr>
        <w:pStyle w:val="44"/>
        <w:wordWrap w:val="0"/>
        <w:topLinePunct/>
        <w:spacing w:line="360" w:lineRule="auto"/>
        <w:ind w:firstLine="0" w:firstLineChars="0"/>
        <w:rPr>
          <w:rFonts w:hint="eastAsia"/>
          <w:color w:val="auto"/>
          <w:sz w:val="21"/>
          <w:szCs w:val="21"/>
          <w:highlight w:val="none"/>
        </w:rPr>
      </w:pPr>
    </w:p>
    <w:p w14:paraId="0EE4E319">
      <w:pPr>
        <w:pStyle w:val="44"/>
        <w:wordWrap w:val="0"/>
        <w:topLinePunct/>
        <w:spacing w:line="360" w:lineRule="auto"/>
        <w:ind w:firstLine="0" w:firstLineChars="0"/>
        <w:rPr>
          <w:rFonts w:hint="eastAsia"/>
          <w:color w:val="auto"/>
          <w:sz w:val="21"/>
          <w:szCs w:val="21"/>
          <w:highlight w:val="none"/>
        </w:rPr>
      </w:pPr>
    </w:p>
    <w:p w14:paraId="3BABAAE9">
      <w:pPr>
        <w:pStyle w:val="44"/>
        <w:wordWrap w:val="0"/>
        <w:topLinePunct/>
        <w:spacing w:line="360" w:lineRule="auto"/>
        <w:ind w:firstLine="0" w:firstLineChars="0"/>
        <w:rPr>
          <w:rFonts w:hint="eastAsia"/>
          <w:color w:val="auto"/>
          <w:sz w:val="21"/>
          <w:szCs w:val="21"/>
          <w:highlight w:val="none"/>
        </w:rPr>
      </w:pPr>
    </w:p>
    <w:p w14:paraId="023EFB96">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甲方：                                   乙方：</w:t>
      </w:r>
    </w:p>
    <w:p w14:paraId="622DD51F">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                             法定代表人或</w:t>
      </w:r>
    </w:p>
    <w:p w14:paraId="49B7FD68">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授权代理人（签字）：                     授权代理人（签字）：</w:t>
      </w:r>
    </w:p>
    <w:p w14:paraId="573C998A">
      <w:pPr>
        <w:wordWrap w:val="0"/>
        <w:topLinePunct/>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联系电话：                               联系电话：</w:t>
      </w:r>
    </w:p>
    <w:p w14:paraId="70182B1B">
      <w:pPr>
        <w:wordWrap w:val="0"/>
        <w:topLinePunct/>
        <w:snapToGrid w:val="0"/>
        <w:spacing w:line="360" w:lineRule="auto"/>
        <w:rPr>
          <w:rFonts w:hint="eastAsia"/>
          <w:color w:val="auto"/>
          <w:highlight w:val="none"/>
        </w:rPr>
      </w:pPr>
      <w:r>
        <w:rPr>
          <w:rFonts w:hint="eastAsia" w:ascii="仿宋" w:hAnsi="仿宋" w:eastAsia="仿宋" w:cs="仿宋"/>
          <w:color w:val="auto"/>
          <w:sz w:val="21"/>
          <w:szCs w:val="21"/>
          <w:highlight w:val="none"/>
        </w:rPr>
        <w:t>签订时间：    年   月   日               签订时间：    年   月   日</w:t>
      </w:r>
    </w:p>
    <w:p w14:paraId="24C1832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1A1D890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sectPr>
          <w:headerReference r:id="rId16" w:type="default"/>
          <w:footerReference r:id="rId17" w:type="default"/>
          <w:pgSz w:w="11906" w:h="16838"/>
          <w:pgMar w:top="1440" w:right="1080" w:bottom="1440" w:left="1080" w:header="851" w:footer="850" w:gutter="0"/>
          <w:pgNumType w:fmt="decimal"/>
          <w:cols w:space="720" w:num="1"/>
          <w:docGrid w:type="lines" w:linePitch="312" w:charSpace="0"/>
        </w:sectPr>
      </w:pPr>
    </w:p>
    <w:p w14:paraId="10BB4E1F">
      <w:pPr>
        <w:pStyle w:val="3"/>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bookmarkStart w:id="866" w:name="_Toc17177"/>
      <w:r>
        <w:rPr>
          <w:rFonts w:hint="eastAsia" w:ascii="仿宋" w:hAnsi="仿宋" w:eastAsia="仿宋" w:cs="仿宋"/>
          <w:b w:val="0"/>
          <w:bCs w:val="0"/>
          <w:color w:val="auto"/>
          <w:sz w:val="21"/>
          <w:szCs w:val="21"/>
          <w:highlight w:val="none"/>
        </w:rPr>
        <w:t>第七章   投标文件格式</w:t>
      </w:r>
      <w:bookmarkEnd w:id="866"/>
    </w:p>
    <w:p w14:paraId="15468D07">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snapToGrid w:val="0"/>
          <w:color w:val="auto"/>
          <w:kern w:val="0"/>
          <w:sz w:val="21"/>
          <w:szCs w:val="21"/>
          <w:highlight w:val="none"/>
          <w:lang w:val="en-US" w:eastAsia="zh-CN"/>
        </w:rPr>
      </w:pPr>
    </w:p>
    <w:p w14:paraId="07EA4835">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投标人编制文件须知</w:t>
      </w:r>
    </w:p>
    <w:p w14:paraId="5D63708C">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1、投标人按照本部分的顺序编制投标文件（资格证明文件）、投标文件（商务技术文件），编制中涉及格式资料的，应按照本部分提供的内容和格式（所有表格的格式可扩展）填写提交。</w:t>
      </w:r>
    </w:p>
    <w:p w14:paraId="71DAC493">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462241A2">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3、全部声明和问题的回答及所附材料必须是真实的、准确的和完整的。</w:t>
      </w:r>
    </w:p>
    <w:p w14:paraId="0F41F7B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14:paraId="01C386CB">
      <w:pPr>
        <w:keepNext w:val="0"/>
        <w:keepLines w:val="0"/>
        <w:pageBreakBefore w:val="0"/>
        <w:widowControl w:val="0"/>
        <w:kinsoku/>
        <w:wordWrap w:val="0"/>
        <w:overflowPunct/>
        <w:topLinePunct/>
        <w:autoSpaceDE/>
        <w:autoSpaceDN/>
        <w:bidi w:val="0"/>
        <w:adjustRightInd w:val="0"/>
        <w:spacing w:before="120" w:line="360" w:lineRule="auto"/>
        <w:jc w:val="left"/>
        <w:outlineLvl w:val="1"/>
        <w:rPr>
          <w:rFonts w:hint="eastAsia" w:ascii="仿宋" w:hAnsi="仿宋" w:eastAsia="仿宋" w:cs="仿宋"/>
          <w:b w:val="0"/>
          <w:bCs w:val="0"/>
          <w:color w:val="auto"/>
          <w:kern w:val="0"/>
          <w:sz w:val="32"/>
          <w:szCs w:val="32"/>
          <w:highlight w:val="none"/>
        </w:rPr>
      </w:pPr>
      <w:r>
        <w:rPr>
          <w:rFonts w:hint="eastAsia" w:ascii="仿宋" w:hAnsi="仿宋" w:eastAsia="仿宋" w:cs="仿宋"/>
          <w:b w:val="0"/>
          <w:bCs w:val="0"/>
          <w:color w:val="auto"/>
          <w:spacing w:val="20"/>
          <w:sz w:val="32"/>
          <w:szCs w:val="32"/>
          <w:highlight w:val="none"/>
        </w:rPr>
        <w:t>一、资格证明文件格式</w:t>
      </w:r>
    </w:p>
    <w:p w14:paraId="10FD1F2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pacing w:val="20"/>
          <w:sz w:val="32"/>
          <w:szCs w:val="32"/>
          <w:highlight w:val="none"/>
        </w:rPr>
      </w:pPr>
    </w:p>
    <w:p w14:paraId="11B06CC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pacing w:val="20"/>
          <w:sz w:val="32"/>
          <w:szCs w:val="32"/>
          <w:highlight w:val="none"/>
        </w:rPr>
        <w:t>投标文件（资格证明文件）</w:t>
      </w:r>
      <w:r>
        <w:rPr>
          <w:rFonts w:hint="eastAsia" w:ascii="仿宋" w:hAnsi="仿宋" w:eastAsia="仿宋" w:cs="仿宋"/>
          <w:b w:val="0"/>
          <w:bCs w:val="0"/>
          <w:color w:val="auto"/>
          <w:sz w:val="32"/>
          <w:szCs w:val="32"/>
          <w:highlight w:val="none"/>
        </w:rPr>
        <w:t>封面（非实质性格式）</w:t>
      </w:r>
    </w:p>
    <w:p w14:paraId="4CE9F9A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p>
    <w:p w14:paraId="3D21A89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p>
    <w:p w14:paraId="468E77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p>
    <w:p w14:paraId="595C959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r>
        <w:rPr>
          <w:rFonts w:hint="eastAsia" w:ascii="仿宋" w:hAnsi="仿宋" w:eastAsia="仿宋" w:cs="仿宋"/>
          <w:b w:val="0"/>
          <w:bCs w:val="0"/>
          <w:color w:val="auto"/>
          <w:spacing w:val="60"/>
          <w:sz w:val="32"/>
          <w:szCs w:val="32"/>
          <w:highlight w:val="none"/>
        </w:rPr>
        <w:t>投 标 文 件</w:t>
      </w:r>
    </w:p>
    <w:p w14:paraId="1816264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r>
        <w:rPr>
          <w:rFonts w:hint="eastAsia" w:ascii="仿宋" w:hAnsi="仿宋" w:eastAsia="仿宋" w:cs="仿宋"/>
          <w:b w:val="0"/>
          <w:bCs w:val="0"/>
          <w:color w:val="auto"/>
          <w:spacing w:val="60"/>
          <w:sz w:val="32"/>
          <w:szCs w:val="32"/>
          <w:highlight w:val="none"/>
        </w:rPr>
        <w:t>（资格证明文件）</w:t>
      </w:r>
    </w:p>
    <w:p w14:paraId="2ED316C7">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51643883">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74A3D0A4">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7AF245BF">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647F9610">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3D0AF2B6">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eastAsia="zh-CN"/>
        </w:rPr>
      </w:pPr>
      <w:r>
        <w:rPr>
          <w:rFonts w:hint="eastAsia" w:ascii="仿宋" w:hAnsi="仿宋" w:eastAsia="仿宋" w:cs="仿宋"/>
          <w:b w:val="0"/>
          <w:bCs w:val="0"/>
          <w:color w:val="auto"/>
          <w:spacing w:val="20"/>
          <w:sz w:val="32"/>
          <w:szCs w:val="32"/>
          <w:highlight w:val="none"/>
        </w:rPr>
        <w:t>项目名称</w:t>
      </w:r>
      <w:r>
        <w:rPr>
          <w:rFonts w:hint="eastAsia" w:ascii="仿宋" w:hAnsi="仿宋" w:eastAsia="仿宋" w:cs="仿宋"/>
          <w:b w:val="0"/>
          <w:bCs w:val="0"/>
          <w:color w:val="auto"/>
          <w:spacing w:val="20"/>
          <w:sz w:val="32"/>
          <w:szCs w:val="32"/>
          <w:highlight w:val="none"/>
          <w:lang w:eastAsia="zh-CN"/>
        </w:rPr>
        <w:t>：</w:t>
      </w:r>
    </w:p>
    <w:p w14:paraId="021742AA">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rPr>
      </w:pPr>
      <w:r>
        <w:rPr>
          <w:rFonts w:hint="eastAsia" w:ascii="仿宋" w:hAnsi="仿宋" w:eastAsia="仿宋" w:cs="仿宋"/>
          <w:b w:val="0"/>
          <w:bCs w:val="0"/>
          <w:color w:val="auto"/>
          <w:spacing w:val="20"/>
          <w:sz w:val="32"/>
          <w:szCs w:val="32"/>
          <w:highlight w:val="none"/>
        </w:rPr>
        <w:t>项目编号：</w:t>
      </w:r>
    </w:p>
    <w:p w14:paraId="105E4683">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val="en-US" w:eastAsia="zh-CN"/>
        </w:rPr>
      </w:pPr>
      <w:r>
        <w:rPr>
          <w:rFonts w:hint="eastAsia" w:ascii="仿宋" w:hAnsi="仿宋" w:eastAsia="仿宋" w:cs="仿宋"/>
          <w:b w:val="0"/>
          <w:bCs w:val="0"/>
          <w:color w:val="auto"/>
          <w:spacing w:val="20"/>
          <w:sz w:val="32"/>
          <w:szCs w:val="32"/>
          <w:highlight w:val="none"/>
          <w:lang w:val="en-US" w:eastAsia="zh-CN"/>
        </w:rPr>
        <w:t>采购包名称：</w:t>
      </w:r>
    </w:p>
    <w:p w14:paraId="297C411F">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val="en-US" w:eastAsia="zh-CN"/>
        </w:rPr>
      </w:pPr>
      <w:r>
        <w:rPr>
          <w:rFonts w:hint="eastAsia" w:ascii="仿宋" w:hAnsi="仿宋" w:eastAsia="仿宋" w:cs="仿宋"/>
          <w:b w:val="0"/>
          <w:bCs w:val="0"/>
          <w:color w:val="auto"/>
          <w:spacing w:val="20"/>
          <w:sz w:val="32"/>
          <w:szCs w:val="32"/>
          <w:highlight w:val="none"/>
          <w:lang w:val="en-US" w:eastAsia="zh-CN"/>
        </w:rPr>
        <w:t>包    号：</w:t>
      </w:r>
    </w:p>
    <w:p w14:paraId="3FFBCFCD">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rPr>
      </w:pPr>
      <w:r>
        <w:rPr>
          <w:rFonts w:hint="eastAsia" w:ascii="仿宋" w:hAnsi="仿宋" w:eastAsia="仿宋" w:cs="仿宋"/>
          <w:b w:val="0"/>
          <w:bCs w:val="0"/>
          <w:color w:val="auto"/>
          <w:spacing w:val="20"/>
          <w:sz w:val="32"/>
          <w:szCs w:val="32"/>
          <w:highlight w:val="none"/>
        </w:rPr>
        <w:t>投标人名称：</w:t>
      </w:r>
    </w:p>
    <w:p w14:paraId="4FDFA55B">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pacing w:val="20"/>
          <w:sz w:val="32"/>
          <w:szCs w:val="32"/>
          <w:highlight w:val="none"/>
        </w:rPr>
        <w:br w:type="page"/>
      </w:r>
    </w:p>
    <w:p w14:paraId="56354A50">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1满足《中华人民共和国政府采购法》第二十二条规定及法律法规的其他规定</w:t>
      </w:r>
    </w:p>
    <w:p w14:paraId="07379141">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1-1营业执照等证明文件</w:t>
      </w:r>
    </w:p>
    <w:p w14:paraId="20FEA9BA">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p w14:paraId="6DF1490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EE4AC9F">
      <w:pPr>
        <w:pStyle w:val="5"/>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u w:val="none"/>
        </w:rPr>
      </w:pPr>
      <w:r>
        <w:rPr>
          <w:rFonts w:hint="eastAsia" w:ascii="仿宋" w:hAnsi="仿宋" w:eastAsia="仿宋" w:cs="仿宋"/>
          <w:b w:val="0"/>
          <w:bCs w:val="0"/>
          <w:color w:val="auto"/>
          <w:sz w:val="21"/>
          <w:szCs w:val="21"/>
          <w:highlight w:val="none"/>
          <w:u w:val="none"/>
        </w:rPr>
        <w:t>1-2投标人资格声明书</w:t>
      </w:r>
    </w:p>
    <w:p w14:paraId="7E87D3B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投标人资格声明书</w:t>
      </w:r>
    </w:p>
    <w:p w14:paraId="5171231B">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2A9ECB3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在参与本次项目投标中，我单位承诺：</w:t>
      </w:r>
    </w:p>
    <w:p w14:paraId="36C00D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（一）具有良好的商业信誉和健全的财务会计制度；</w:t>
      </w:r>
    </w:p>
    <w:p w14:paraId="15B33ED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（二）具有履行合同所必需的设备和专业技术能力；</w:t>
      </w:r>
    </w:p>
    <w:p w14:paraId="5398CF6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（三）有依法缴纳税收和社会保障资金的良好记录；</w:t>
      </w:r>
    </w:p>
    <w:p w14:paraId="1DDCA41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DF590A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（五）我单位不属于政府采购法律、行政法规规定的公益一类事业单位、或使用事业编制且由财政拨款保障的群团组织（仅适用于政府购买服务项目）；</w:t>
      </w:r>
    </w:p>
    <w:p w14:paraId="3589B81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（六）我单位不存在为采购项目提供整体设计、规范编制或者项目管理、监理、检测等服务后，再参加该采购项目的其他采购活动的情形（单一来源采购项目除外）；</w:t>
      </w:r>
    </w:p>
    <w:p w14:paraId="2C6BB4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snapToGrid w:val="0"/>
          <w:color w:val="auto"/>
          <w:kern w:val="0"/>
          <w:sz w:val="21"/>
          <w:szCs w:val="21"/>
          <w:highlight w:val="none"/>
          <w:lang w:val="en-US" w:eastAsia="zh-CN"/>
        </w:rPr>
      </w:pPr>
      <w:r>
        <w:rPr>
          <w:rFonts w:hint="eastAsia" w:ascii="仿宋" w:hAnsi="仿宋" w:eastAsia="仿宋" w:cs="仿宋"/>
          <w:b w:val="0"/>
          <w:bCs/>
          <w:snapToGrid w:val="0"/>
          <w:color w:val="auto"/>
          <w:kern w:val="0"/>
          <w:sz w:val="21"/>
          <w:szCs w:val="21"/>
          <w:highlight w:val="none"/>
          <w:lang w:val="en-US" w:eastAsia="zh-CN"/>
        </w:rPr>
        <w:t>（七）与我单位存在“单位负责人为同一人或者存在直接控股、管理关系”的其他法人单位信息如下（如有，不论其是否参加同一合同项下的政府采购活动均须填写）：</w:t>
      </w:r>
    </w:p>
    <w:tbl>
      <w:tblPr>
        <w:tblStyle w:val="46"/>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4175"/>
      </w:tblGrid>
      <w:tr w14:paraId="77DD1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1F17A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4574" w:type="dxa"/>
            <w:vAlign w:val="center"/>
          </w:tcPr>
          <w:p w14:paraId="195C8B4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单位名称</w:t>
            </w:r>
          </w:p>
        </w:tc>
        <w:tc>
          <w:tcPr>
            <w:tcW w:w="4175" w:type="dxa"/>
            <w:vAlign w:val="center"/>
          </w:tcPr>
          <w:p w14:paraId="1BD6AA3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相互关系</w:t>
            </w:r>
          </w:p>
        </w:tc>
      </w:tr>
      <w:tr w14:paraId="12602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8CBD5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4574" w:type="dxa"/>
            <w:vAlign w:val="center"/>
          </w:tcPr>
          <w:p w14:paraId="19C02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41D35A1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7C71A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E3C8D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4574" w:type="dxa"/>
            <w:vAlign w:val="center"/>
          </w:tcPr>
          <w:p w14:paraId="4B808DF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0DE367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7718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4402A1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p>
        </w:tc>
        <w:tc>
          <w:tcPr>
            <w:tcW w:w="4574" w:type="dxa"/>
            <w:vAlign w:val="center"/>
          </w:tcPr>
          <w:p w14:paraId="382B81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3C247F7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bl>
    <w:p w14:paraId="48616EC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077D59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上述声明真实有效，否则我方负全部责任。</w:t>
      </w:r>
    </w:p>
    <w:p w14:paraId="2850BD55">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039A836">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0B91D10">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046BE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31F61B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说明：供应商承诺不实的，依据《政府采购法》第七十七条“提供虚假材料谋取中标、成交的”有关规定予以处理。</w:t>
      </w:r>
    </w:p>
    <w:p w14:paraId="6D7D877E">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sectPr>
          <w:headerReference r:id="rId18" w:type="default"/>
          <w:footerReference r:id="rId19" w:type="default"/>
          <w:type w:val="continuous"/>
          <w:pgSz w:w="11907" w:h="16840"/>
          <w:pgMar w:top="1440" w:right="1080" w:bottom="1440" w:left="1080" w:header="851" w:footer="851" w:gutter="0"/>
          <w:pgNumType w:fmt="decimal"/>
          <w:cols w:space="720" w:num="1"/>
          <w:docGrid w:linePitch="462" w:charSpace="0"/>
        </w:sectPr>
      </w:pPr>
    </w:p>
    <w:p w14:paraId="0F6407B6">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2落实政府采购政策需满足的资格要求</w:t>
      </w:r>
    </w:p>
    <w:p w14:paraId="5842F085">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2-1中小企业证明文件</w:t>
      </w:r>
    </w:p>
    <w:p w14:paraId="1D8EEF81">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p w14:paraId="0F86ED66">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（5）中小企业声明函填写注意事项</w:t>
      </w:r>
    </w:p>
    <w:p w14:paraId="42C40127">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1）《中小企业声明函》由参加政府采购活动的投标人出具。联合体投标的，《中小企业声明函》可由牵头人出具。</w:t>
      </w:r>
    </w:p>
    <w:p w14:paraId="76B7FD2A">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3D606B0">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3）对于多标的采购项目，投标人应充分、准确地了解所提供货物的制造企业、提供服务的承接企业信息。对相关情况了解不清楚的，不建议填报本声明函。</w:t>
      </w:r>
    </w:p>
    <w:p w14:paraId="1ED221B5">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E0E97E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632C57CB">
      <w:pPr>
        <w:keepNext w:val="0"/>
        <w:keepLines w:val="0"/>
        <w:pageBreakBefore w:val="0"/>
        <w:widowControl w:val="0"/>
        <w:kinsoku/>
        <w:wordWrap w:val="0"/>
        <w:overflowPunct/>
        <w:topLinePunct/>
        <w:autoSpaceDE/>
        <w:autoSpaceDN/>
        <w:bidi w:val="0"/>
        <w:adjustRightInd w:val="0"/>
        <w:spacing w:before="280" w:after="290" w:line="360" w:lineRule="auto"/>
        <w:jc w:val="both"/>
        <w:textAlignment w:val="baseline"/>
        <w:outlineLvl w:val="3"/>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2-1-1中小企业声明函及残疾人福利性单位声明函格式</w:t>
      </w:r>
    </w:p>
    <w:p w14:paraId="1AAFE501">
      <w:pPr>
        <w:keepNext w:val="0"/>
        <w:keepLines w:val="0"/>
        <w:pageBreakBefore w:val="0"/>
        <w:widowControl w:val="0"/>
        <w:kinsoku/>
        <w:wordWrap w:val="0"/>
        <w:overflowPunct/>
        <w:topLinePunct/>
        <w:autoSpaceDE/>
        <w:autoSpaceDN/>
        <w:bidi w:val="0"/>
        <w:spacing w:before="240" w:beforeLines="100" w:after="240" w:afterLines="100"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中小企业声明函（货物）格式</w:t>
      </w:r>
    </w:p>
    <w:p w14:paraId="68F108F7">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本公司（联合体）郑重声明，根据《政府采购促进中小企业发展管理办法》（财库﹝2020﹞46 号）的规定，本公司（联合体）参加</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u w:val="none"/>
        </w:rPr>
        <w:t>（单位名称）</w:t>
      </w:r>
      <w:r>
        <w:rPr>
          <w:rFonts w:hint="eastAsia" w:ascii="仿宋" w:hAnsi="仿宋" w:eastAsia="仿宋" w:cs="仿宋"/>
          <w:b w:val="0"/>
          <w:bCs w:val="0"/>
          <w:color w:val="auto"/>
          <w:spacing w:val="6"/>
          <w:sz w:val="21"/>
          <w:szCs w:val="21"/>
          <w:highlight w:val="none"/>
        </w:rPr>
        <w:t>的</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u w:val="none"/>
        </w:rPr>
        <w:t>（项目名称）</w:t>
      </w:r>
      <w:r>
        <w:rPr>
          <w:rFonts w:hint="eastAsia" w:ascii="仿宋" w:hAnsi="仿宋" w:eastAsia="仿宋" w:cs="仿宋"/>
          <w:b w:val="0"/>
          <w:bCs w:val="0"/>
          <w:color w:val="auto"/>
          <w:spacing w:val="6"/>
          <w:sz w:val="21"/>
          <w:szCs w:val="21"/>
          <w:highlight w:val="none"/>
          <w:u w:val="none"/>
          <w:lang w:val="en-US" w:eastAsia="zh-CN"/>
        </w:rPr>
        <w:t>第</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u w:val="none"/>
          <w:lang w:val="en-US" w:eastAsia="zh-CN"/>
        </w:rPr>
        <w:t>（包号）包</w:t>
      </w:r>
      <w:r>
        <w:rPr>
          <w:rFonts w:hint="eastAsia" w:ascii="仿宋" w:hAnsi="仿宋" w:eastAsia="仿宋" w:cs="仿宋"/>
          <w:b w:val="0"/>
          <w:bCs w:val="0"/>
          <w:color w:val="auto"/>
          <w:spacing w:val="6"/>
          <w:sz w:val="21"/>
          <w:szCs w:val="21"/>
          <w:highlight w:val="none"/>
        </w:rPr>
        <w:t>采购活动，提供的货物全部由符合政策要求的中小企业制造。相关企业（含联合体中的中小企业、签订分包意向协议的中小企业）的具体情况如下：</w:t>
      </w:r>
    </w:p>
    <w:p w14:paraId="01F1CF04">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1.</w:t>
      </w:r>
      <w:r>
        <w:rPr>
          <w:rFonts w:hint="eastAsia" w:ascii="仿宋" w:hAnsi="仿宋" w:eastAsia="仿宋" w:cs="仿宋"/>
          <w:b w:val="0"/>
          <w:bCs w:val="0"/>
          <w:color w:val="auto"/>
          <w:spacing w:val="6"/>
          <w:sz w:val="21"/>
          <w:szCs w:val="21"/>
          <w:highlight w:val="none"/>
          <w:u w:val="single"/>
        </w:rPr>
        <w:t>（标的名称）</w:t>
      </w:r>
      <w:r>
        <w:rPr>
          <w:rFonts w:hint="eastAsia" w:ascii="仿宋" w:hAnsi="仿宋" w:eastAsia="仿宋" w:cs="仿宋"/>
          <w:b w:val="0"/>
          <w:bCs w:val="0"/>
          <w:color w:val="auto"/>
          <w:spacing w:val="6"/>
          <w:sz w:val="21"/>
          <w:szCs w:val="21"/>
          <w:highlight w:val="none"/>
        </w:rPr>
        <w:t>，属于</w:t>
      </w:r>
      <w:r>
        <w:rPr>
          <w:rFonts w:hint="eastAsia" w:ascii="仿宋" w:hAnsi="仿宋" w:eastAsia="仿宋" w:cs="仿宋"/>
          <w:b w:val="0"/>
          <w:bCs w:val="0"/>
          <w:color w:val="auto"/>
          <w:spacing w:val="6"/>
          <w:sz w:val="21"/>
          <w:szCs w:val="21"/>
          <w:highlight w:val="none"/>
          <w:u w:val="single"/>
        </w:rPr>
        <w:t>（采购文件中明确的所属行业）</w:t>
      </w:r>
      <w:r>
        <w:rPr>
          <w:rFonts w:hint="eastAsia" w:ascii="仿宋" w:hAnsi="仿宋" w:eastAsia="仿宋" w:cs="仿宋"/>
          <w:b w:val="0"/>
          <w:bCs w:val="0"/>
          <w:color w:val="auto"/>
          <w:spacing w:val="6"/>
          <w:sz w:val="21"/>
          <w:szCs w:val="21"/>
          <w:highlight w:val="none"/>
        </w:rPr>
        <w:t>行业；制造商为</w:t>
      </w:r>
      <w:r>
        <w:rPr>
          <w:rFonts w:hint="eastAsia" w:ascii="仿宋" w:hAnsi="仿宋" w:eastAsia="仿宋" w:cs="仿宋"/>
          <w:b w:val="0"/>
          <w:bCs w:val="0"/>
          <w:color w:val="auto"/>
          <w:spacing w:val="6"/>
          <w:sz w:val="21"/>
          <w:szCs w:val="21"/>
          <w:highlight w:val="none"/>
          <w:u w:val="single"/>
        </w:rPr>
        <w:t>（企业名称）</w:t>
      </w:r>
      <w:r>
        <w:rPr>
          <w:rFonts w:hint="eastAsia" w:ascii="仿宋" w:hAnsi="仿宋" w:eastAsia="仿宋" w:cs="仿宋"/>
          <w:b w:val="0"/>
          <w:bCs w:val="0"/>
          <w:color w:val="auto"/>
          <w:spacing w:val="6"/>
          <w:sz w:val="21"/>
          <w:szCs w:val="21"/>
          <w:highlight w:val="none"/>
        </w:rPr>
        <w:t>，从业人员</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人，营业收入为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万元，资产总额为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w:t>
      </w:r>
      <w:r>
        <w:rPr>
          <w:rFonts w:hint="eastAsia" w:ascii="仿宋" w:hAnsi="仿宋" w:eastAsia="仿宋" w:cs="仿宋"/>
          <w:b w:val="0"/>
          <w:bCs w:val="0"/>
          <w:color w:val="auto"/>
          <w:spacing w:val="6"/>
          <w:sz w:val="21"/>
          <w:szCs w:val="21"/>
          <w:highlight w:val="none"/>
          <w:vertAlign w:val="superscript"/>
        </w:rPr>
        <w:t>1</w:t>
      </w:r>
      <w:r>
        <w:rPr>
          <w:rFonts w:hint="eastAsia" w:ascii="仿宋" w:hAnsi="仿宋" w:eastAsia="仿宋" w:cs="仿宋"/>
          <w:b w:val="0"/>
          <w:bCs w:val="0"/>
          <w:color w:val="auto"/>
          <w:spacing w:val="6"/>
          <w:sz w:val="21"/>
          <w:szCs w:val="21"/>
          <w:highlight w:val="none"/>
        </w:rPr>
        <w:t>，属于</w:t>
      </w:r>
      <w:r>
        <w:rPr>
          <w:rFonts w:hint="eastAsia" w:ascii="仿宋" w:hAnsi="仿宋" w:eastAsia="仿宋" w:cs="仿宋"/>
          <w:b w:val="0"/>
          <w:bCs w:val="0"/>
          <w:color w:val="auto"/>
          <w:spacing w:val="6"/>
          <w:sz w:val="21"/>
          <w:szCs w:val="21"/>
          <w:highlight w:val="none"/>
          <w:u w:val="single"/>
        </w:rPr>
        <w:t>（中型企业、小型企业、微型企业）</w:t>
      </w:r>
      <w:r>
        <w:rPr>
          <w:rFonts w:hint="eastAsia" w:ascii="仿宋" w:hAnsi="仿宋" w:eastAsia="仿宋" w:cs="仿宋"/>
          <w:b w:val="0"/>
          <w:bCs w:val="0"/>
          <w:color w:val="auto"/>
          <w:spacing w:val="6"/>
          <w:sz w:val="21"/>
          <w:szCs w:val="21"/>
          <w:highlight w:val="none"/>
        </w:rPr>
        <w:t>；</w:t>
      </w:r>
    </w:p>
    <w:p w14:paraId="349F736B">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2.</w:t>
      </w:r>
      <w:r>
        <w:rPr>
          <w:rFonts w:hint="eastAsia" w:ascii="仿宋" w:hAnsi="仿宋" w:eastAsia="仿宋" w:cs="仿宋"/>
          <w:b w:val="0"/>
          <w:bCs w:val="0"/>
          <w:color w:val="auto"/>
          <w:spacing w:val="6"/>
          <w:sz w:val="21"/>
          <w:szCs w:val="21"/>
          <w:highlight w:val="none"/>
          <w:u w:val="single"/>
        </w:rPr>
        <w:t>（标的名称）</w:t>
      </w:r>
      <w:r>
        <w:rPr>
          <w:rFonts w:hint="eastAsia" w:ascii="仿宋" w:hAnsi="仿宋" w:eastAsia="仿宋" w:cs="仿宋"/>
          <w:b w:val="0"/>
          <w:bCs w:val="0"/>
          <w:color w:val="auto"/>
          <w:spacing w:val="6"/>
          <w:sz w:val="21"/>
          <w:szCs w:val="21"/>
          <w:highlight w:val="none"/>
        </w:rPr>
        <w:t>，属于</w:t>
      </w:r>
      <w:r>
        <w:rPr>
          <w:rFonts w:hint="eastAsia" w:ascii="仿宋" w:hAnsi="仿宋" w:eastAsia="仿宋" w:cs="仿宋"/>
          <w:b w:val="0"/>
          <w:bCs w:val="0"/>
          <w:color w:val="auto"/>
          <w:spacing w:val="6"/>
          <w:sz w:val="21"/>
          <w:szCs w:val="21"/>
          <w:highlight w:val="none"/>
          <w:u w:val="single"/>
        </w:rPr>
        <w:t>（采购文件中明确的所属行业）</w:t>
      </w:r>
      <w:r>
        <w:rPr>
          <w:rFonts w:hint="eastAsia" w:ascii="仿宋" w:hAnsi="仿宋" w:eastAsia="仿宋" w:cs="仿宋"/>
          <w:b w:val="0"/>
          <w:bCs w:val="0"/>
          <w:color w:val="auto"/>
          <w:spacing w:val="6"/>
          <w:sz w:val="21"/>
          <w:szCs w:val="21"/>
          <w:highlight w:val="none"/>
        </w:rPr>
        <w:t>行业；制造商为</w:t>
      </w:r>
      <w:r>
        <w:rPr>
          <w:rFonts w:hint="eastAsia" w:ascii="仿宋" w:hAnsi="仿宋" w:eastAsia="仿宋" w:cs="仿宋"/>
          <w:b w:val="0"/>
          <w:bCs w:val="0"/>
          <w:color w:val="auto"/>
          <w:spacing w:val="6"/>
          <w:sz w:val="21"/>
          <w:szCs w:val="21"/>
          <w:highlight w:val="none"/>
          <w:u w:val="single"/>
        </w:rPr>
        <w:t>（企业名称）</w:t>
      </w:r>
      <w:r>
        <w:rPr>
          <w:rFonts w:hint="eastAsia" w:ascii="仿宋" w:hAnsi="仿宋" w:eastAsia="仿宋" w:cs="仿宋"/>
          <w:b w:val="0"/>
          <w:bCs w:val="0"/>
          <w:color w:val="auto"/>
          <w:spacing w:val="6"/>
          <w:sz w:val="21"/>
          <w:szCs w:val="21"/>
          <w:highlight w:val="none"/>
        </w:rPr>
        <w:t>，从业人员</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人，营业收入为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万元，资产总额为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万元，属于</w:t>
      </w:r>
      <w:r>
        <w:rPr>
          <w:rFonts w:hint="eastAsia" w:ascii="仿宋" w:hAnsi="仿宋" w:eastAsia="仿宋" w:cs="仿宋"/>
          <w:b w:val="0"/>
          <w:bCs w:val="0"/>
          <w:color w:val="auto"/>
          <w:spacing w:val="6"/>
          <w:sz w:val="21"/>
          <w:szCs w:val="21"/>
          <w:highlight w:val="none"/>
          <w:u w:val="single"/>
        </w:rPr>
        <w:t>（中型企业、小型企业、微型企业）</w:t>
      </w:r>
      <w:r>
        <w:rPr>
          <w:rFonts w:hint="eastAsia" w:ascii="仿宋" w:hAnsi="仿宋" w:eastAsia="仿宋" w:cs="仿宋"/>
          <w:b w:val="0"/>
          <w:bCs w:val="0"/>
          <w:color w:val="auto"/>
          <w:spacing w:val="6"/>
          <w:sz w:val="21"/>
          <w:szCs w:val="21"/>
          <w:highlight w:val="none"/>
        </w:rPr>
        <w:t>；</w:t>
      </w:r>
    </w:p>
    <w:p w14:paraId="641B94BB">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w:t>
      </w:r>
    </w:p>
    <w:p w14:paraId="1125B802">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以上企业，不属于大企业的分支机构，不存在控股股东为大企业的情形，也不存在与大企业的负责人为同一人的情形。</w:t>
      </w:r>
    </w:p>
    <w:p w14:paraId="6F10D1AE">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本企业对上述声明内容的真实性负责。如有虚假，将依法承担相应责任。</w:t>
      </w:r>
    </w:p>
    <w:p w14:paraId="7348FFD0">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528AB54A">
      <w:pPr>
        <w:keepNext w:val="0"/>
        <w:keepLines w:val="0"/>
        <w:pageBreakBefore w:val="0"/>
        <w:widowControl w:val="0"/>
        <w:kinsoku/>
        <w:wordWrap w:val="0"/>
        <w:overflowPunct/>
        <w:topLinePunct/>
        <w:autoSpaceDE/>
        <w:autoSpaceDN/>
        <w:bidi w:val="0"/>
        <w:spacing w:line="360" w:lineRule="auto"/>
        <w:ind w:right="360" w:firstLine="480"/>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企业名称（盖章）：</w:t>
      </w:r>
      <w:r>
        <w:rPr>
          <w:rFonts w:hint="eastAsia" w:ascii="仿宋" w:hAnsi="仿宋" w:eastAsia="仿宋" w:cs="仿宋"/>
          <w:b w:val="0"/>
          <w:bCs w:val="0"/>
          <w:color w:val="auto"/>
          <w:spacing w:val="6"/>
          <w:sz w:val="21"/>
          <w:szCs w:val="21"/>
          <w:highlight w:val="none"/>
          <w:u w:val="single"/>
          <w:lang w:val="en-US" w:eastAsia="zh-CN"/>
        </w:rPr>
        <w:t xml:space="preserve">           </w:t>
      </w:r>
    </w:p>
    <w:p w14:paraId="2E59B2EC">
      <w:pPr>
        <w:keepNext w:val="0"/>
        <w:keepLines w:val="0"/>
        <w:pageBreakBefore w:val="0"/>
        <w:widowControl w:val="0"/>
        <w:kinsoku/>
        <w:wordWrap w:val="0"/>
        <w:overflowPunct/>
        <w:topLinePunct/>
        <w:autoSpaceDE/>
        <w:autoSpaceDN/>
        <w:bidi w:val="0"/>
        <w:spacing w:line="360" w:lineRule="auto"/>
        <w:ind w:right="360" w:firstLine="480"/>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 期：</w:t>
      </w:r>
      <w:r>
        <w:rPr>
          <w:rFonts w:hint="eastAsia" w:ascii="仿宋" w:hAnsi="仿宋" w:eastAsia="仿宋" w:cs="仿宋"/>
          <w:b w:val="0"/>
          <w:bCs w:val="0"/>
          <w:color w:val="auto"/>
          <w:spacing w:val="6"/>
          <w:sz w:val="21"/>
          <w:szCs w:val="21"/>
          <w:highlight w:val="none"/>
          <w:u w:val="single"/>
          <w:lang w:val="en-US" w:eastAsia="zh-CN"/>
        </w:rPr>
        <w:t xml:space="preserve">           </w:t>
      </w:r>
    </w:p>
    <w:p w14:paraId="4231D5CF">
      <w:pPr>
        <w:keepNext w:val="0"/>
        <w:keepLines w:val="0"/>
        <w:pageBreakBefore w:val="0"/>
        <w:widowControl w:val="0"/>
        <w:kinsoku/>
        <w:wordWrap w:val="0"/>
        <w:overflowPunct/>
        <w:topLinePunct/>
        <w:autoSpaceDE/>
        <w:autoSpaceDN/>
        <w:bidi w:val="0"/>
        <w:spacing w:line="360" w:lineRule="auto"/>
        <w:ind w:right="360" w:firstLine="480"/>
        <w:jc w:val="right"/>
        <w:rPr>
          <w:rFonts w:hint="eastAsia" w:ascii="仿宋" w:hAnsi="仿宋" w:eastAsia="仿宋" w:cs="仿宋"/>
          <w:b w:val="0"/>
          <w:bCs w:val="0"/>
          <w:color w:val="auto"/>
          <w:sz w:val="21"/>
          <w:szCs w:val="21"/>
          <w:highlight w:val="none"/>
        </w:rPr>
      </w:pPr>
    </w:p>
    <w:p w14:paraId="0CE44A62">
      <w:pPr>
        <w:keepNext w:val="0"/>
        <w:keepLines w:val="0"/>
        <w:pageBreakBefore w:val="0"/>
        <w:widowControl w:val="0"/>
        <w:kinsoku/>
        <w:wordWrap w:val="0"/>
        <w:overflowPunct/>
        <w:topLinePunct/>
        <w:autoSpaceDE/>
        <w:autoSpaceDN/>
        <w:bidi w:val="0"/>
        <w:spacing w:line="360" w:lineRule="auto"/>
        <w:ind w:right="360" w:firstLine="480"/>
        <w:jc w:val="right"/>
        <w:rPr>
          <w:rFonts w:hint="eastAsia" w:ascii="仿宋" w:hAnsi="仿宋" w:eastAsia="仿宋" w:cs="仿宋"/>
          <w:b w:val="0"/>
          <w:bCs w:val="0"/>
          <w:color w:val="auto"/>
          <w:sz w:val="21"/>
          <w:szCs w:val="21"/>
          <w:highlight w:val="none"/>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47"/>
      </w:tblGrid>
      <w:tr w14:paraId="63BD4BA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847" w:type="dxa"/>
            <w:shd w:val="clear" w:color="auto" w:fill="auto"/>
          </w:tcPr>
          <w:p w14:paraId="2D063F76">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vertAlign w:val="superscript"/>
              </w:rPr>
              <w:t>1</w:t>
            </w:r>
            <w:r>
              <w:rPr>
                <w:rFonts w:hint="eastAsia" w:ascii="仿宋" w:hAnsi="仿宋" w:eastAsia="仿宋" w:cs="仿宋"/>
                <w:b w:val="0"/>
                <w:bCs w:val="0"/>
                <w:color w:val="auto"/>
                <w:sz w:val="21"/>
                <w:szCs w:val="21"/>
                <w:highlight w:val="none"/>
              </w:rPr>
              <w:t>从业人员、营业收入、资产总额填报上一年度数据，无上一年度数据的新成立企业可不填报。</w:t>
            </w:r>
          </w:p>
        </w:tc>
      </w:tr>
    </w:tbl>
    <w:p w14:paraId="612D89DC">
      <w:pPr>
        <w:keepNext w:val="0"/>
        <w:keepLines w:val="0"/>
        <w:pageBreakBefore w:val="0"/>
        <w:widowControl w:val="0"/>
        <w:kinsoku/>
        <w:wordWrap w:val="0"/>
        <w:overflowPunct/>
        <w:topLinePunct/>
        <w:autoSpaceDE/>
        <w:autoSpaceDN/>
        <w:bidi w:val="0"/>
        <w:spacing w:line="360" w:lineRule="auto"/>
        <w:ind w:right="360" w:firstLine="48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763AD60">
      <w:pPr>
        <w:keepNext w:val="0"/>
        <w:keepLines w:val="0"/>
        <w:pageBreakBefore w:val="0"/>
        <w:widowControl w:val="0"/>
        <w:kinsoku/>
        <w:wordWrap w:val="0"/>
        <w:overflowPunct/>
        <w:topLinePunct/>
        <w:autoSpaceDE/>
        <w:autoSpaceDN/>
        <w:bidi w:val="0"/>
        <w:spacing w:before="240" w:beforeLines="100" w:after="240" w:afterLines="100"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残疾人福利性单位声明函格式</w:t>
      </w:r>
    </w:p>
    <w:p w14:paraId="3F5CE912">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本单位郑重声明，根据《财政部 民政部 中国残疾人联合会关于促进残疾人就业政府采购政策的通知》（财库</w:t>
      </w:r>
      <w:r>
        <w:rPr>
          <w:rFonts w:hint="eastAsia" w:ascii="仿宋" w:hAnsi="仿宋" w:eastAsia="仿宋" w:cs="仿宋"/>
          <w:b w:val="0"/>
          <w:bCs w:val="0"/>
          <w:color w:val="auto"/>
          <w:sz w:val="21"/>
          <w:szCs w:val="21"/>
          <w:highlight w:val="none"/>
        </w:rPr>
        <w:t>〔2017〕141</w:t>
      </w:r>
      <w:r>
        <w:rPr>
          <w:rFonts w:hint="eastAsia" w:ascii="仿宋" w:hAnsi="仿宋" w:eastAsia="仿宋" w:cs="仿宋"/>
          <w:b w:val="0"/>
          <w:bCs w:val="0"/>
          <w:color w:val="auto"/>
          <w:spacing w:val="6"/>
          <w:sz w:val="21"/>
          <w:szCs w:val="21"/>
          <w:highlight w:val="none"/>
        </w:rPr>
        <w:t>号）的规定，本单位</w:t>
      </w:r>
      <w:r>
        <w:rPr>
          <w:rFonts w:hint="eastAsia" w:ascii="仿宋" w:hAnsi="仿宋" w:eastAsia="仿宋" w:cs="仿宋"/>
          <w:b w:val="0"/>
          <w:bCs w:val="0"/>
          <w:color w:val="auto"/>
          <w:sz w:val="21"/>
          <w:szCs w:val="21"/>
          <w:highlight w:val="none"/>
        </w:rPr>
        <w:t>（请进行选择）</w:t>
      </w:r>
      <w:r>
        <w:rPr>
          <w:rFonts w:hint="eastAsia" w:ascii="仿宋" w:hAnsi="仿宋" w:eastAsia="仿宋" w:cs="仿宋"/>
          <w:b w:val="0"/>
          <w:bCs w:val="0"/>
          <w:color w:val="auto"/>
          <w:spacing w:val="6"/>
          <w:sz w:val="21"/>
          <w:szCs w:val="21"/>
          <w:highlight w:val="none"/>
        </w:rPr>
        <w:t>：</w:t>
      </w:r>
    </w:p>
    <w:p w14:paraId="556D604E">
      <w:pPr>
        <w:keepNext w:val="0"/>
        <w:keepLines w:val="0"/>
        <w:pageBreakBefore w:val="0"/>
        <w:widowControl w:val="0"/>
        <w:kinsoku/>
        <w:wordWrap w:val="0"/>
        <w:overflowPunct/>
        <w:topLinePunct/>
        <w:autoSpaceDE/>
        <w:autoSpaceDN/>
        <w:bidi w:val="0"/>
        <w:spacing w:line="360" w:lineRule="auto"/>
        <w:ind w:firstLine="482"/>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pacing w:val="6"/>
          <w:sz w:val="21"/>
          <w:szCs w:val="21"/>
          <w:highlight w:val="none"/>
        </w:rPr>
        <w:t>不属于符合条件的残疾人福利性单位。</w:t>
      </w:r>
    </w:p>
    <w:p w14:paraId="53CAD4AF">
      <w:pPr>
        <w:keepNext w:val="0"/>
        <w:keepLines w:val="0"/>
        <w:pageBreakBefore w:val="0"/>
        <w:widowControl w:val="0"/>
        <w:kinsoku/>
        <w:wordWrap w:val="0"/>
        <w:overflowPunct/>
        <w:topLinePunct/>
        <w:autoSpaceDE/>
        <w:autoSpaceDN/>
        <w:bidi w:val="0"/>
        <w:spacing w:line="360" w:lineRule="auto"/>
        <w:ind w:firstLine="482"/>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pacing w:val="6"/>
          <w:sz w:val="21"/>
          <w:szCs w:val="21"/>
          <w:highlight w:val="none"/>
        </w:rPr>
        <w:t>属于符合条件的残疾人福利性单位，且本单位参加</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单位的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项目采购活动提供本单位制造的货物（由本单位承担工程/提供服务），或者提供其他残疾人福利性单位制造的货物（不包括使用非残疾人福利性单位注册商标的货物）。</w:t>
      </w:r>
    </w:p>
    <w:p w14:paraId="475D232D">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本单位对上述声明的真实性负责。如有虚假，将依法承担相应责任。</w:t>
      </w:r>
    </w:p>
    <w:p w14:paraId="17F3A016">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p>
    <w:p w14:paraId="3236EB8A">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p>
    <w:p w14:paraId="21140DC9">
      <w:pPr>
        <w:keepNext w:val="0"/>
        <w:keepLines w:val="0"/>
        <w:pageBreakBefore w:val="0"/>
        <w:widowControl w:val="0"/>
        <w:tabs>
          <w:tab w:val="left" w:pos="4860"/>
        </w:tabs>
        <w:kinsoku/>
        <w:wordWrap w:val="0"/>
        <w:overflowPunct/>
        <w:topLinePunct/>
        <w:autoSpaceDE/>
        <w:autoSpaceDN/>
        <w:bidi w:val="0"/>
        <w:spacing w:line="360" w:lineRule="auto"/>
        <w:ind w:right="1560" w:firstLine="4662" w:firstLineChars="2100"/>
        <w:jc w:val="both"/>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单位名称（盖章）：</w:t>
      </w:r>
    </w:p>
    <w:p w14:paraId="42F91A3B">
      <w:pPr>
        <w:keepNext w:val="0"/>
        <w:keepLines w:val="0"/>
        <w:pageBreakBefore w:val="0"/>
        <w:widowControl w:val="0"/>
        <w:tabs>
          <w:tab w:val="left" w:pos="4860"/>
        </w:tabs>
        <w:kinsoku/>
        <w:wordWrap w:val="0"/>
        <w:overflowPunct/>
        <w:topLinePunct/>
        <w:autoSpaceDE/>
        <w:autoSpaceDN/>
        <w:bidi w:val="0"/>
        <w:spacing w:line="360" w:lineRule="auto"/>
        <w:ind w:right="1560" w:firstLine="4662" w:firstLineChars="2100"/>
        <w:jc w:val="both"/>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日  期：</w:t>
      </w:r>
    </w:p>
    <w:p w14:paraId="33C40A5A">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p>
    <w:p w14:paraId="3CEA5F51">
      <w:pPr>
        <w:pStyle w:val="59"/>
        <w:keepNext w:val="0"/>
        <w:keepLines w:val="0"/>
        <w:pageBreakBefore w:val="0"/>
        <w:widowControl w:val="0"/>
        <w:kinsoku/>
        <w:wordWrap w:val="0"/>
        <w:overflowPunct/>
        <w:topLinePunct/>
        <w:autoSpaceDE/>
        <w:autoSpaceDN/>
        <w:bidi w:val="0"/>
        <w:spacing w:line="360" w:lineRule="auto"/>
        <w:ind w:right="451" w:rightChars="215"/>
        <w:rPr>
          <w:rFonts w:hint="eastAsia" w:ascii="仿宋" w:hAnsi="仿宋" w:eastAsia="仿宋" w:cs="仿宋"/>
          <w:b w:val="0"/>
          <w:bCs w:val="0"/>
          <w:color w:val="auto"/>
          <w:spacing w:val="20"/>
          <w:sz w:val="32"/>
          <w:szCs w:val="32"/>
          <w:highlight w:val="none"/>
        </w:rPr>
      </w:pPr>
      <w:r>
        <w:rPr>
          <w:rFonts w:hint="eastAsia" w:ascii="仿宋" w:hAnsi="仿宋" w:eastAsia="仿宋" w:cs="仿宋"/>
          <w:b w:val="0"/>
          <w:bCs w:val="0"/>
          <w:color w:val="auto"/>
          <w:spacing w:val="20"/>
          <w:sz w:val="32"/>
          <w:szCs w:val="32"/>
          <w:highlight w:val="none"/>
        </w:rPr>
        <w:t>二、商务技术文件格式</w:t>
      </w:r>
    </w:p>
    <w:p w14:paraId="26E8F85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pacing w:val="20"/>
          <w:sz w:val="32"/>
          <w:szCs w:val="32"/>
          <w:highlight w:val="none"/>
        </w:rPr>
      </w:pPr>
    </w:p>
    <w:p w14:paraId="770A88E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pacing w:val="20"/>
          <w:sz w:val="32"/>
          <w:szCs w:val="32"/>
          <w:highlight w:val="none"/>
        </w:rPr>
        <w:t>投标文件（商务技术文件）</w:t>
      </w:r>
      <w:r>
        <w:rPr>
          <w:rFonts w:hint="eastAsia" w:ascii="仿宋" w:hAnsi="仿宋" w:eastAsia="仿宋" w:cs="仿宋"/>
          <w:b w:val="0"/>
          <w:bCs w:val="0"/>
          <w:color w:val="auto"/>
          <w:sz w:val="32"/>
          <w:szCs w:val="32"/>
          <w:highlight w:val="none"/>
        </w:rPr>
        <w:t>封面（非实质性格式）</w:t>
      </w:r>
    </w:p>
    <w:p w14:paraId="7660B5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32"/>
          <w:szCs w:val="32"/>
          <w:highlight w:val="none"/>
        </w:rPr>
      </w:pPr>
    </w:p>
    <w:p w14:paraId="138F079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p>
    <w:p w14:paraId="3DCF0AD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p>
    <w:p w14:paraId="0BDA81F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r>
        <w:rPr>
          <w:rFonts w:hint="eastAsia" w:ascii="仿宋" w:hAnsi="仿宋" w:eastAsia="仿宋" w:cs="仿宋"/>
          <w:b w:val="0"/>
          <w:bCs w:val="0"/>
          <w:color w:val="auto"/>
          <w:spacing w:val="60"/>
          <w:sz w:val="32"/>
          <w:szCs w:val="32"/>
          <w:highlight w:val="none"/>
        </w:rPr>
        <w:t>投 标 文 件</w:t>
      </w:r>
    </w:p>
    <w:p w14:paraId="26E4FE8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2"/>
          <w:szCs w:val="32"/>
          <w:highlight w:val="none"/>
        </w:rPr>
      </w:pPr>
      <w:r>
        <w:rPr>
          <w:rFonts w:hint="eastAsia" w:ascii="仿宋" w:hAnsi="仿宋" w:eastAsia="仿宋" w:cs="仿宋"/>
          <w:b w:val="0"/>
          <w:bCs w:val="0"/>
          <w:color w:val="auto"/>
          <w:spacing w:val="60"/>
          <w:sz w:val="32"/>
          <w:szCs w:val="32"/>
          <w:highlight w:val="none"/>
        </w:rPr>
        <w:t>（商务技术文件）</w:t>
      </w:r>
    </w:p>
    <w:p w14:paraId="2F70D94B">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40A6D21E">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1D2D20E1">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427CF16F">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146AE4B6">
      <w:pPr>
        <w:pStyle w:val="44"/>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2"/>
          <w:szCs w:val="32"/>
          <w:highlight w:val="none"/>
        </w:rPr>
      </w:pPr>
    </w:p>
    <w:p w14:paraId="5CE58CF9">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eastAsia="zh-CN"/>
        </w:rPr>
      </w:pPr>
      <w:r>
        <w:rPr>
          <w:rFonts w:hint="eastAsia" w:ascii="仿宋" w:hAnsi="仿宋" w:eastAsia="仿宋" w:cs="仿宋"/>
          <w:b w:val="0"/>
          <w:bCs w:val="0"/>
          <w:color w:val="auto"/>
          <w:spacing w:val="20"/>
          <w:sz w:val="32"/>
          <w:szCs w:val="32"/>
          <w:highlight w:val="none"/>
        </w:rPr>
        <w:t>项目名称</w:t>
      </w:r>
      <w:r>
        <w:rPr>
          <w:rFonts w:hint="eastAsia" w:ascii="仿宋" w:hAnsi="仿宋" w:eastAsia="仿宋" w:cs="仿宋"/>
          <w:b w:val="0"/>
          <w:bCs w:val="0"/>
          <w:color w:val="auto"/>
          <w:spacing w:val="20"/>
          <w:sz w:val="32"/>
          <w:szCs w:val="32"/>
          <w:highlight w:val="none"/>
          <w:lang w:eastAsia="zh-CN"/>
        </w:rPr>
        <w:t>：</w:t>
      </w:r>
    </w:p>
    <w:p w14:paraId="23E0BC18">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rPr>
      </w:pPr>
      <w:r>
        <w:rPr>
          <w:rFonts w:hint="eastAsia" w:ascii="仿宋" w:hAnsi="仿宋" w:eastAsia="仿宋" w:cs="仿宋"/>
          <w:b w:val="0"/>
          <w:bCs w:val="0"/>
          <w:color w:val="auto"/>
          <w:spacing w:val="20"/>
          <w:sz w:val="32"/>
          <w:szCs w:val="32"/>
          <w:highlight w:val="none"/>
        </w:rPr>
        <w:t>项目编号：</w:t>
      </w:r>
    </w:p>
    <w:p w14:paraId="7B2EDE2E">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val="en-US" w:eastAsia="zh-CN"/>
        </w:rPr>
      </w:pPr>
      <w:r>
        <w:rPr>
          <w:rFonts w:hint="eastAsia" w:ascii="仿宋" w:hAnsi="仿宋" w:eastAsia="仿宋" w:cs="仿宋"/>
          <w:b w:val="0"/>
          <w:bCs w:val="0"/>
          <w:color w:val="auto"/>
          <w:spacing w:val="20"/>
          <w:sz w:val="32"/>
          <w:szCs w:val="32"/>
          <w:highlight w:val="none"/>
          <w:lang w:val="en-US" w:eastAsia="zh-CN"/>
        </w:rPr>
        <w:t>采购包名称：</w:t>
      </w:r>
    </w:p>
    <w:p w14:paraId="4D8099CF">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lang w:val="en-US" w:eastAsia="zh-CN"/>
        </w:rPr>
      </w:pPr>
      <w:r>
        <w:rPr>
          <w:rFonts w:hint="eastAsia" w:ascii="仿宋" w:hAnsi="仿宋" w:eastAsia="仿宋" w:cs="仿宋"/>
          <w:b w:val="0"/>
          <w:bCs w:val="0"/>
          <w:color w:val="auto"/>
          <w:spacing w:val="20"/>
          <w:sz w:val="32"/>
          <w:szCs w:val="32"/>
          <w:highlight w:val="none"/>
          <w:lang w:val="en-US" w:eastAsia="zh-CN"/>
        </w:rPr>
        <w:t>包    号：</w:t>
      </w:r>
    </w:p>
    <w:p w14:paraId="4ABCAA3D">
      <w:pPr>
        <w:keepNext w:val="0"/>
        <w:keepLines w:val="0"/>
        <w:pageBreakBefore w:val="0"/>
        <w:widowControl w:val="0"/>
        <w:kinsoku/>
        <w:wordWrap w:val="0"/>
        <w:overflowPunct/>
        <w:topLinePunct/>
        <w:autoSpaceDE/>
        <w:autoSpaceDN/>
        <w:bidi w:val="0"/>
        <w:spacing w:line="360" w:lineRule="auto"/>
        <w:ind w:firstLine="540" w:firstLineChars="150"/>
        <w:rPr>
          <w:rFonts w:hint="eastAsia" w:ascii="仿宋" w:hAnsi="仿宋" w:eastAsia="仿宋" w:cs="仿宋"/>
          <w:b w:val="0"/>
          <w:bCs w:val="0"/>
          <w:color w:val="auto"/>
          <w:spacing w:val="20"/>
          <w:sz w:val="32"/>
          <w:szCs w:val="32"/>
          <w:highlight w:val="none"/>
        </w:rPr>
      </w:pPr>
      <w:r>
        <w:rPr>
          <w:rFonts w:hint="eastAsia" w:ascii="仿宋" w:hAnsi="仿宋" w:eastAsia="仿宋" w:cs="仿宋"/>
          <w:b w:val="0"/>
          <w:bCs w:val="0"/>
          <w:color w:val="auto"/>
          <w:spacing w:val="20"/>
          <w:sz w:val="32"/>
          <w:szCs w:val="32"/>
          <w:highlight w:val="none"/>
        </w:rPr>
        <w:t>投标人名称：</w:t>
      </w:r>
    </w:p>
    <w:p w14:paraId="321D12B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br w:type="page"/>
      </w:r>
    </w:p>
    <w:p w14:paraId="63AF653D">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bookmarkStart w:id="867" w:name="_Hlt520274407"/>
      <w:bookmarkEnd w:id="867"/>
      <w:bookmarkStart w:id="868" w:name="_Hlt520274393"/>
      <w:bookmarkEnd w:id="868"/>
      <w:bookmarkStart w:id="869" w:name="_Hlt520355504"/>
      <w:bookmarkEnd w:id="869"/>
      <w:bookmarkStart w:id="870" w:name="_Hlt520274121"/>
      <w:bookmarkEnd w:id="870"/>
      <w:bookmarkStart w:id="871" w:name="_Hlt520271212"/>
      <w:bookmarkEnd w:id="871"/>
      <w:bookmarkStart w:id="872" w:name="_Hlt520273711"/>
      <w:bookmarkEnd w:id="872"/>
      <w:bookmarkStart w:id="873" w:name="_Hlt520274065"/>
      <w:bookmarkEnd w:id="873"/>
      <w:bookmarkStart w:id="874" w:name="_Hlt520350918"/>
      <w:bookmarkEnd w:id="874"/>
      <w:bookmarkStart w:id="875" w:name="_Hlt520343392"/>
      <w:bookmarkEnd w:id="875"/>
      <w:bookmarkStart w:id="876" w:name="_Hlt520343000"/>
      <w:bookmarkEnd w:id="876"/>
      <w:bookmarkStart w:id="877" w:name="_Toc480942349"/>
      <w:bookmarkStart w:id="878" w:name="_Ref467988698"/>
      <w:bookmarkStart w:id="879" w:name="_Toc520356217"/>
      <w:bookmarkStart w:id="880" w:name="_Toc226309800"/>
      <w:bookmarkStart w:id="881" w:name="_Toc150774761"/>
      <w:bookmarkStart w:id="882" w:name="_Toc142311058"/>
      <w:bookmarkStart w:id="883" w:name="_Toc150480794"/>
      <w:bookmarkStart w:id="884" w:name="_Toc195842921"/>
      <w:bookmarkStart w:id="885" w:name="_Toc127151556"/>
      <w:bookmarkStart w:id="886" w:name="_Toc226337252"/>
      <w:bookmarkStart w:id="887" w:name="_Toc226965829"/>
      <w:bookmarkStart w:id="888" w:name="_Toc226965746"/>
      <w:r>
        <w:rPr>
          <w:rFonts w:hint="eastAsia" w:ascii="仿宋" w:hAnsi="仿宋" w:eastAsia="仿宋" w:cs="仿宋"/>
          <w:b w:val="0"/>
          <w:bCs w:val="0"/>
          <w:color w:val="auto"/>
          <w:sz w:val="21"/>
          <w:szCs w:val="21"/>
          <w:highlight w:val="none"/>
        </w:rPr>
        <w:t>1投标</w:t>
      </w:r>
      <w:bookmarkEnd w:id="877"/>
      <w:bookmarkEnd w:id="878"/>
      <w:r>
        <w:rPr>
          <w:rFonts w:hint="eastAsia" w:ascii="仿宋" w:hAnsi="仿宋" w:eastAsia="仿宋" w:cs="仿宋"/>
          <w:b w:val="0"/>
          <w:bCs w:val="0"/>
          <w:color w:val="auto"/>
          <w:sz w:val="21"/>
          <w:szCs w:val="21"/>
          <w:highlight w:val="none"/>
        </w:rPr>
        <w:t>书</w:t>
      </w:r>
      <w:bookmarkEnd w:id="879"/>
      <w:bookmarkEnd w:id="880"/>
      <w:bookmarkEnd w:id="881"/>
      <w:bookmarkEnd w:id="882"/>
      <w:bookmarkEnd w:id="883"/>
      <w:bookmarkEnd w:id="884"/>
      <w:bookmarkEnd w:id="885"/>
      <w:bookmarkEnd w:id="886"/>
      <w:bookmarkEnd w:id="887"/>
      <w:bookmarkEnd w:id="888"/>
      <w:r>
        <w:rPr>
          <w:rFonts w:hint="eastAsia" w:ascii="仿宋" w:hAnsi="仿宋" w:eastAsia="仿宋" w:cs="仿宋"/>
          <w:b w:val="0"/>
          <w:bCs w:val="0"/>
          <w:color w:val="auto"/>
          <w:sz w:val="21"/>
          <w:szCs w:val="21"/>
          <w:highlight w:val="none"/>
        </w:rPr>
        <w:t>（实质性格式）</w:t>
      </w:r>
    </w:p>
    <w:p w14:paraId="5D845900">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3D7C05C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投标书</w:t>
      </w:r>
    </w:p>
    <w:p w14:paraId="2A4D41AC">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4B3ED343">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3B6806D">
      <w:pPr>
        <w:keepNext w:val="0"/>
        <w:keepLines w:val="0"/>
        <w:pageBreakBefore w:val="0"/>
        <w:widowControl w:val="0"/>
        <w:tabs>
          <w:tab w:val="left" w:pos="5580"/>
        </w:tabs>
        <w:kinsoku/>
        <w:wordWrap w:val="0"/>
        <w:overflowPunct/>
        <w:topLinePunct/>
        <w:autoSpaceDE/>
        <w:autoSpaceDN/>
        <w:bidi w:val="0"/>
        <w:spacing w:line="360" w:lineRule="auto"/>
        <w:ind w:firstLine="408"/>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我方参加你方就</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（项目名称</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lang w:val="en-US" w:eastAsia="zh-CN"/>
        </w:rPr>
        <w:t>、包号</w:t>
      </w:r>
      <w:r>
        <w:rPr>
          <w:rFonts w:hint="eastAsia" w:ascii="仿宋" w:hAnsi="仿宋" w:eastAsia="仿宋" w:cs="仿宋"/>
          <w:b w:val="0"/>
          <w:bCs w:val="0"/>
          <w:color w:val="auto"/>
          <w:sz w:val="21"/>
          <w:szCs w:val="21"/>
          <w:highlight w:val="none"/>
        </w:rPr>
        <w:t>）组织的招标活动，并对此项目进行投标。</w:t>
      </w:r>
    </w:p>
    <w:p w14:paraId="2B0508B5">
      <w:pPr>
        <w:keepNext w:val="0"/>
        <w:keepLines w:val="0"/>
        <w:pageBreakBefore w:val="0"/>
        <w:widowControl w:val="0"/>
        <w:tabs>
          <w:tab w:val="left" w:pos="5580"/>
        </w:tabs>
        <w:kinsoku/>
        <w:wordWrap w:val="0"/>
        <w:overflowPunct/>
        <w:topLinePunct/>
        <w:autoSpaceDE/>
        <w:autoSpaceDN/>
        <w:bidi w:val="0"/>
        <w:spacing w:line="360" w:lineRule="auto"/>
        <w:ind w:firstLine="408"/>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1.我方已详细审查全部招标文件，自愿参与投标并承诺如下：</w:t>
      </w:r>
    </w:p>
    <w:p w14:paraId="78C0261D">
      <w:pPr>
        <w:keepNext w:val="0"/>
        <w:keepLines w:val="0"/>
        <w:pageBreakBefore w:val="0"/>
        <w:widowControl w:val="0"/>
        <w:tabs>
          <w:tab w:val="left" w:pos="720"/>
          <w:tab w:val="left" w:pos="90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（1）本投标有效期为自提交投标文件的截止之日起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个日历日。</w:t>
      </w:r>
    </w:p>
    <w:p w14:paraId="2C005BF2">
      <w:pPr>
        <w:keepNext w:val="0"/>
        <w:keepLines w:val="0"/>
        <w:pageBreakBefore w:val="0"/>
        <w:widowControl w:val="0"/>
        <w:tabs>
          <w:tab w:val="left" w:pos="720"/>
          <w:tab w:val="left" w:pos="90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（2）除合同条款及采购需求偏离表列出的偏离外，我方响应招标文件的全部要求。</w:t>
      </w:r>
    </w:p>
    <w:p w14:paraId="40DD10A6">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（3）我方已提供的全部文件资料是真实、准确的，并对此承担一切法律后果。</w:t>
      </w:r>
    </w:p>
    <w:p w14:paraId="31583D01">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（4）如我方中标，我方将在法律规定的期限内与你方签订合同，按照招标文件要求提交履约保证金，并在合同约定的期限内完成合同规定的全部义务。</w:t>
      </w:r>
    </w:p>
    <w:p w14:paraId="54A6991D">
      <w:pPr>
        <w:keepNext w:val="0"/>
        <w:keepLines w:val="0"/>
        <w:pageBreakBefore w:val="0"/>
        <w:widowControl w:val="0"/>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2.其他补充条款（如有）：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B0ACA0F">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与本投标有关的一切正式往来信函请寄：</w:t>
      </w:r>
    </w:p>
    <w:p w14:paraId="187CF0EF">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p>
    <w:p w14:paraId="715F85F7">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地址</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传真</w:t>
      </w:r>
      <w:r>
        <w:rPr>
          <w:rFonts w:hint="eastAsia" w:ascii="仿宋" w:hAnsi="仿宋" w:eastAsia="仿宋" w:cs="仿宋"/>
          <w:b w:val="0"/>
          <w:bCs w:val="0"/>
          <w:color w:val="auto"/>
          <w:sz w:val="21"/>
          <w:szCs w:val="21"/>
          <w:highlight w:val="none"/>
          <w:u w:val="single"/>
          <w:lang w:val="en-US" w:eastAsia="zh-CN"/>
        </w:rPr>
        <w:t xml:space="preserve">                        </w:t>
      </w:r>
    </w:p>
    <w:p w14:paraId="5CED1E5F">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电话</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电子函件</w:t>
      </w:r>
      <w:r>
        <w:rPr>
          <w:rFonts w:hint="eastAsia" w:ascii="仿宋" w:hAnsi="仿宋" w:eastAsia="仿宋" w:cs="仿宋"/>
          <w:b w:val="0"/>
          <w:bCs w:val="0"/>
          <w:color w:val="auto"/>
          <w:sz w:val="21"/>
          <w:szCs w:val="21"/>
          <w:highlight w:val="none"/>
          <w:u w:val="single"/>
          <w:lang w:val="en-US" w:eastAsia="zh-CN"/>
        </w:rPr>
        <w:t xml:space="preserve">                    </w:t>
      </w:r>
    </w:p>
    <w:p w14:paraId="49E959E9">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p>
    <w:p w14:paraId="5CC442AF">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bookmarkStart w:id="889" w:name="_Hlt520355938"/>
      <w:bookmarkEnd w:id="889"/>
      <w:bookmarkStart w:id="890" w:name="_Hlt520356243"/>
      <w:bookmarkEnd w:id="890"/>
      <w:bookmarkStart w:id="891" w:name="_Toc264969247"/>
      <w:bookmarkStart w:id="892" w:name="_Toc226337253"/>
      <w:bookmarkStart w:id="893" w:name="_Toc195842922"/>
      <w:bookmarkStart w:id="894" w:name="_Toc305158899"/>
      <w:bookmarkStart w:id="895" w:name="_Toc520356218"/>
      <w:bookmarkStart w:id="896" w:name="_Toc480942350"/>
      <w:bookmarkStart w:id="897" w:name="_Toc265228395"/>
      <w:bookmarkStart w:id="898" w:name="_Toc150480795"/>
      <w:bookmarkStart w:id="899" w:name="_Toc226309801"/>
      <w:bookmarkStart w:id="900" w:name="_Toc142311059"/>
      <w:bookmarkStart w:id="901" w:name="_Ref467988705"/>
      <w:bookmarkStart w:id="902" w:name="_Toc305158825"/>
      <w:bookmarkStart w:id="903" w:name="_Toc150774762"/>
      <w:bookmarkStart w:id="904" w:name="_Toc226965830"/>
      <w:bookmarkStart w:id="905" w:name="_Toc226965747"/>
      <w:bookmarkStart w:id="906" w:name="_Toc127151557"/>
    </w:p>
    <w:p w14:paraId="0340F14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p>
    <w:p w14:paraId="5648962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4E7FA317">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1CF719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22EE6ADB">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2授权委托书（实质性格式）</w:t>
      </w:r>
    </w:p>
    <w:p w14:paraId="55229E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授权委托书</w:t>
      </w:r>
    </w:p>
    <w:p w14:paraId="64ED1A81">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p>
    <w:p w14:paraId="2DE647B5">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本人</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（姓名）系</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（投标人名称）的法定代表人（单位负责人），现委托</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（姓名）为我方代理人。代理人根据授权，以我方名义签署、澄清确认、递交、撤回、修改</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（项目名称</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lang w:val="en-US" w:eastAsia="zh-CN"/>
        </w:rPr>
        <w:t>、包号</w:t>
      </w:r>
      <w:r>
        <w:rPr>
          <w:rFonts w:hint="eastAsia" w:ascii="仿宋" w:hAnsi="仿宋" w:eastAsia="仿宋" w:cs="仿宋"/>
          <w:b w:val="0"/>
          <w:bCs w:val="0"/>
          <w:color w:val="auto"/>
          <w:sz w:val="21"/>
          <w:szCs w:val="21"/>
          <w:highlight w:val="none"/>
        </w:rPr>
        <w:t>）投标文件和处理有关事宜，其法律后果由我方承担。</w:t>
      </w:r>
    </w:p>
    <w:p w14:paraId="17B1A09D">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委托期限：自本授权委托书签署之日起至投标有效期届满之日止。</w:t>
      </w:r>
    </w:p>
    <w:p w14:paraId="184A9510">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代理人无转委托权。</w:t>
      </w:r>
      <w:r>
        <w:rPr>
          <w:rFonts w:hint="eastAsia" w:ascii="仿宋" w:hAnsi="仿宋" w:eastAsia="仿宋" w:cs="仿宋"/>
          <w:b w:val="0"/>
          <w:bCs w:val="0"/>
          <w:color w:val="auto"/>
          <w:sz w:val="21"/>
          <w:szCs w:val="21"/>
          <w:highlight w:val="none"/>
        </w:rPr>
        <w:cr/>
      </w:r>
    </w:p>
    <w:p w14:paraId="68950D6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z w:val="21"/>
          <w:szCs w:val="21"/>
          <w:highlight w:val="none"/>
          <w:u w:val="single"/>
        </w:rPr>
        <w:t xml:space="preserve">                </w:t>
      </w:r>
    </w:p>
    <w:p w14:paraId="4BAA55D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法定代表人（单位负责人）（签字或签章）：</w:t>
      </w:r>
      <w:r>
        <w:rPr>
          <w:rFonts w:hint="eastAsia" w:ascii="仿宋" w:hAnsi="仿宋" w:eastAsia="仿宋" w:cs="仿宋"/>
          <w:b w:val="0"/>
          <w:bCs w:val="0"/>
          <w:color w:val="auto"/>
          <w:sz w:val="21"/>
          <w:szCs w:val="21"/>
          <w:highlight w:val="none"/>
          <w:u w:val="single"/>
        </w:rPr>
        <w:t xml:space="preserve">        </w:t>
      </w:r>
    </w:p>
    <w:p w14:paraId="025E7242">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委托代理人（签字或签章）：</w:t>
      </w:r>
      <w:r>
        <w:rPr>
          <w:rFonts w:hint="eastAsia" w:ascii="仿宋" w:hAnsi="仿宋" w:eastAsia="仿宋" w:cs="仿宋"/>
          <w:b w:val="0"/>
          <w:bCs w:val="0"/>
          <w:color w:val="auto"/>
          <w:sz w:val="21"/>
          <w:szCs w:val="21"/>
          <w:highlight w:val="none"/>
          <w:u w:val="single"/>
        </w:rPr>
        <w:t xml:space="preserve">        </w:t>
      </w:r>
    </w:p>
    <w:p w14:paraId="2B088A90">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E00FBDE">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p>
    <w:p w14:paraId="7C7EBA46">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附：法定代表人（单位负责人）及委托代理人身份证明文件电子件：</w:t>
      </w:r>
    </w:p>
    <w:p w14:paraId="792353DD">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7A3A7252">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10EB9232">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7BECD4DF">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69052A12">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p w14:paraId="062BE430">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1.若供应商为事业单位或其他组织或分支机构，则法定代表人（单位负责人）处的签署人可为单位负责人。</w:t>
      </w:r>
    </w:p>
    <w:p w14:paraId="5CDDAB46">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若投标文件中签字之处均为法定代表人（单位负责人）本人签署，则可不提供本《授权委托书》，但须提供《法定代表人（单位负责人）身份证明》；否则，不需要提供《法定代表人（单位负责人）身份证明》。</w:t>
      </w:r>
    </w:p>
    <w:p w14:paraId="779906E6">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3.供应商为自然人的情形，可不提供本《授权委托书》。</w:t>
      </w:r>
    </w:p>
    <w:p w14:paraId="1F5A6C60">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4.供应商应随本《授权委托书》同时提供法定代表人（单位负责人）及委托代理人的有效的身份证</w:t>
      </w:r>
      <w:r>
        <w:rPr>
          <w:rFonts w:hint="eastAsia" w:ascii="仿宋" w:hAnsi="仿宋" w:eastAsia="仿宋" w:cs="仿宋"/>
          <w:b w:val="0"/>
          <w:bCs w:val="0"/>
          <w:color w:val="auto"/>
          <w:sz w:val="21"/>
          <w:szCs w:val="21"/>
          <w:highlight w:val="none"/>
          <w:lang w:val="en-US" w:eastAsia="zh-CN"/>
        </w:rPr>
        <w:t>或</w:t>
      </w:r>
      <w:r>
        <w:rPr>
          <w:rFonts w:hint="eastAsia" w:ascii="仿宋" w:hAnsi="仿宋" w:eastAsia="仿宋" w:cs="仿宋"/>
          <w:b w:val="0"/>
          <w:bCs w:val="0"/>
          <w:color w:val="auto"/>
          <w:sz w:val="21"/>
          <w:szCs w:val="21"/>
          <w:highlight w:val="none"/>
        </w:rPr>
        <w:t>护照等身份证明文件电子件。提供身份证的，应同时提供身份证双面电子件。</w:t>
      </w:r>
    </w:p>
    <w:p w14:paraId="6880567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5E63AA8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附：法定代表人（单位负责人）身份证明</w:t>
      </w:r>
    </w:p>
    <w:p w14:paraId="6E258F3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7FDF04A">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4D777723">
      <w:pPr>
        <w:pStyle w:val="18"/>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兹证明，</w:t>
      </w:r>
    </w:p>
    <w:p w14:paraId="2B8CEB08">
      <w:pPr>
        <w:pStyle w:val="18"/>
        <w:keepNext w:val="0"/>
        <w:keepLines w:val="0"/>
        <w:pageBreakBefore w:val="0"/>
        <w:widowControl w:val="0"/>
        <w:tabs>
          <w:tab w:val="left" w:pos="1690"/>
          <w:tab w:val="left" w:pos="3400"/>
          <w:tab w:val="left" w:pos="5110"/>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姓名：</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性别：</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职务：</w:t>
      </w:r>
      <w:r>
        <w:rPr>
          <w:rFonts w:hint="eastAsia" w:ascii="仿宋" w:hAnsi="仿宋" w:eastAsia="仿宋" w:cs="仿宋"/>
          <w:b w:val="0"/>
          <w:bCs w:val="0"/>
          <w:color w:val="auto"/>
          <w:sz w:val="21"/>
          <w:szCs w:val="21"/>
          <w:highlight w:val="none"/>
          <w:u w:val="single"/>
          <w:lang w:val="en-US" w:eastAsia="zh-CN"/>
        </w:rPr>
        <w:t xml:space="preserve">        </w:t>
      </w:r>
    </w:p>
    <w:p w14:paraId="5E1799E4">
      <w:pPr>
        <w:pStyle w:val="18"/>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43617E45">
      <w:pPr>
        <w:pStyle w:val="18"/>
        <w:keepNext w:val="0"/>
        <w:keepLines w:val="0"/>
        <w:pageBreakBefore w:val="0"/>
        <w:widowControl w:val="0"/>
        <w:tabs>
          <w:tab w:val="left" w:pos="2250"/>
          <w:tab w:val="left" w:pos="2412"/>
          <w:tab w:val="left" w:pos="3883"/>
          <w:tab w:val="left" w:pos="5352"/>
          <w:tab w:val="left" w:pos="6821"/>
          <w:tab w:val="clear" w:pos="567"/>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系</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i/>
          <w:iCs/>
          <w:color w:val="auto"/>
          <w:sz w:val="21"/>
          <w:szCs w:val="21"/>
          <w:highlight w:val="none"/>
          <w:u w:val="single"/>
        </w:rPr>
        <w:t xml:space="preserve">                 </w:t>
      </w:r>
      <w:r>
        <w:rPr>
          <w:rFonts w:hint="eastAsia" w:ascii="仿宋" w:hAnsi="仿宋" w:eastAsia="仿宋" w:cs="仿宋"/>
          <w:b w:val="0"/>
          <w:bCs w:val="0"/>
          <w:color w:val="auto"/>
          <w:sz w:val="21"/>
          <w:szCs w:val="21"/>
          <w:highlight w:val="none"/>
        </w:rPr>
        <w:t>（投标人名称）的法定代表人（单位负责人）。</w:t>
      </w:r>
    </w:p>
    <w:p w14:paraId="745341B2">
      <w:pPr>
        <w:pStyle w:val="18"/>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FF3534F">
      <w:pPr>
        <w:pStyle w:val="18"/>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A9DE41C">
      <w:pPr>
        <w:pStyle w:val="18"/>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BFF315F">
      <w:pPr>
        <w:pStyle w:val="18"/>
        <w:keepNext w:val="0"/>
        <w:keepLines w:val="0"/>
        <w:pageBreakBefore w:val="0"/>
        <w:widowControl w:val="0"/>
        <w:kinsoku/>
        <w:wordWrap w:val="0"/>
        <w:overflowPunct/>
        <w:topLinePunct/>
        <w:autoSpaceDE/>
        <w:autoSpaceDN/>
        <w:bidi w:val="0"/>
        <w:spacing w:line="360" w:lineRule="auto"/>
        <w:ind w:right="-46"/>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附：法定代表人（单位负责人）身份证</w:t>
      </w:r>
      <w:r>
        <w:rPr>
          <w:rFonts w:hint="eastAsia" w:ascii="仿宋" w:hAnsi="仿宋" w:eastAsia="仿宋" w:cs="仿宋"/>
          <w:b w:val="0"/>
          <w:bCs w:val="0"/>
          <w:color w:val="auto"/>
          <w:sz w:val="21"/>
          <w:szCs w:val="21"/>
          <w:highlight w:val="none"/>
          <w:lang w:val="en-US" w:eastAsia="zh-CN"/>
        </w:rPr>
        <w:t>或</w:t>
      </w:r>
      <w:r>
        <w:rPr>
          <w:rFonts w:hint="eastAsia" w:ascii="仿宋" w:hAnsi="仿宋" w:eastAsia="仿宋" w:cs="仿宋"/>
          <w:b w:val="0"/>
          <w:bCs w:val="0"/>
          <w:color w:val="auto"/>
          <w:sz w:val="21"/>
          <w:szCs w:val="21"/>
          <w:highlight w:val="none"/>
        </w:rPr>
        <w:t>护照等身份证明文件电子件：</w:t>
      </w:r>
    </w:p>
    <w:p w14:paraId="7B7E74D4">
      <w:pPr>
        <w:pStyle w:val="18"/>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62CC780E">
      <w:pPr>
        <w:pStyle w:val="18"/>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0A22778C">
      <w:pPr>
        <w:pStyle w:val="18"/>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19F77F5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z w:val="21"/>
          <w:szCs w:val="21"/>
          <w:highlight w:val="none"/>
          <w:u w:val="single"/>
        </w:rPr>
        <w:t xml:space="preserve">                </w:t>
      </w:r>
    </w:p>
    <w:p w14:paraId="5353099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法定代表人（单位负责人）（签字或签章）：</w:t>
      </w:r>
      <w:r>
        <w:rPr>
          <w:rFonts w:hint="eastAsia" w:ascii="仿宋" w:hAnsi="仿宋" w:eastAsia="仿宋" w:cs="仿宋"/>
          <w:b w:val="0"/>
          <w:bCs w:val="0"/>
          <w:color w:val="auto"/>
          <w:sz w:val="21"/>
          <w:szCs w:val="21"/>
          <w:highlight w:val="none"/>
          <w:u w:val="single"/>
        </w:rPr>
        <w:t xml:space="preserve">        </w:t>
      </w:r>
    </w:p>
    <w:p w14:paraId="4920021C">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157A76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i/>
          <w:color w:val="auto"/>
          <w:sz w:val="21"/>
          <w:szCs w:val="21"/>
          <w:highlight w:val="none"/>
          <w:u w:val="single"/>
        </w:rPr>
      </w:pPr>
    </w:p>
    <w:p w14:paraId="48905AB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9A9F89D">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3开标一览表</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hint="eastAsia" w:ascii="仿宋" w:hAnsi="仿宋" w:eastAsia="仿宋" w:cs="仿宋"/>
          <w:b w:val="0"/>
          <w:bCs w:val="0"/>
          <w:color w:val="auto"/>
          <w:sz w:val="21"/>
          <w:szCs w:val="21"/>
          <w:highlight w:val="none"/>
        </w:rPr>
        <w:t>（实质性格式）</w:t>
      </w:r>
    </w:p>
    <w:p w14:paraId="0322A31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bookmarkStart w:id="907" w:name="_Toc226337254"/>
      <w:bookmarkStart w:id="908" w:name="_Toc164608672"/>
      <w:bookmarkStart w:id="909" w:name="_Toc264969248"/>
      <w:bookmarkStart w:id="910" w:name="_Toc226965748"/>
      <w:bookmarkStart w:id="911" w:name="_Toc305158900"/>
      <w:bookmarkStart w:id="912" w:name="_Toc226309802"/>
      <w:bookmarkStart w:id="913" w:name="_Toc226965831"/>
      <w:bookmarkStart w:id="914" w:name="_Toc265228396"/>
      <w:bookmarkStart w:id="915" w:name="_Toc164608827"/>
      <w:bookmarkStart w:id="916" w:name="_Toc195842923"/>
      <w:bookmarkStart w:id="917" w:name="_Toc305158826"/>
      <w:r>
        <w:rPr>
          <w:rFonts w:hint="eastAsia" w:ascii="仿宋" w:hAnsi="仿宋" w:eastAsia="仿宋" w:cs="仿宋"/>
          <w:b w:val="0"/>
          <w:bCs w:val="0"/>
          <w:color w:val="auto"/>
          <w:sz w:val="21"/>
          <w:szCs w:val="21"/>
          <w:highlight w:val="none"/>
        </w:rPr>
        <w:t>开标一览表</w:t>
      </w:r>
      <w:bookmarkEnd w:id="907"/>
      <w:bookmarkEnd w:id="908"/>
      <w:bookmarkEnd w:id="909"/>
      <w:bookmarkEnd w:id="910"/>
      <w:bookmarkEnd w:id="911"/>
      <w:bookmarkEnd w:id="912"/>
      <w:bookmarkEnd w:id="913"/>
      <w:bookmarkEnd w:id="914"/>
      <w:bookmarkEnd w:id="915"/>
      <w:bookmarkEnd w:id="916"/>
      <w:bookmarkEnd w:id="917"/>
    </w:p>
    <w:p w14:paraId="4570301F">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i/>
          <w:color w:val="auto"/>
          <w:sz w:val="21"/>
          <w:szCs w:val="21"/>
          <w:highlight w:val="none"/>
        </w:rPr>
      </w:pPr>
    </w:p>
    <w:p w14:paraId="5998B14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6"/>
        <w:tblW w:w="9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2353"/>
        <w:gridCol w:w="1365"/>
        <w:gridCol w:w="1365"/>
        <w:gridCol w:w="1682"/>
        <w:gridCol w:w="1477"/>
        <w:gridCol w:w="869"/>
      </w:tblGrid>
      <w:tr w14:paraId="1876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59" w:type="dxa"/>
            <w:vMerge w:val="restart"/>
            <w:vAlign w:val="center"/>
          </w:tcPr>
          <w:p w14:paraId="66A3966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2353" w:type="dxa"/>
            <w:vMerge w:val="restart"/>
            <w:vAlign w:val="center"/>
          </w:tcPr>
          <w:p w14:paraId="39CF48E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投标人名称</w:t>
            </w:r>
          </w:p>
        </w:tc>
        <w:tc>
          <w:tcPr>
            <w:tcW w:w="2730" w:type="dxa"/>
            <w:gridSpan w:val="2"/>
            <w:vAlign w:val="center"/>
          </w:tcPr>
          <w:p w14:paraId="69C6065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1682" w:type="dxa"/>
            <w:vMerge w:val="restart"/>
            <w:vAlign w:val="center"/>
          </w:tcPr>
          <w:p w14:paraId="22968D36">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合同履行期限</w:t>
            </w:r>
          </w:p>
        </w:tc>
        <w:tc>
          <w:tcPr>
            <w:tcW w:w="1477" w:type="dxa"/>
            <w:vMerge w:val="restart"/>
            <w:vAlign w:val="center"/>
          </w:tcPr>
          <w:p w14:paraId="310C346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供货</w:t>
            </w:r>
            <w:r>
              <w:rPr>
                <w:rFonts w:hint="eastAsia" w:ascii="仿宋" w:hAnsi="仿宋" w:eastAsia="仿宋" w:cs="仿宋"/>
                <w:b w:val="0"/>
                <w:bCs w:val="0"/>
                <w:color w:val="auto"/>
                <w:sz w:val="21"/>
                <w:szCs w:val="21"/>
                <w:highlight w:val="none"/>
              </w:rPr>
              <w:t>地点</w:t>
            </w:r>
          </w:p>
        </w:tc>
        <w:tc>
          <w:tcPr>
            <w:tcW w:w="869" w:type="dxa"/>
            <w:vMerge w:val="restart"/>
            <w:vAlign w:val="center"/>
          </w:tcPr>
          <w:p w14:paraId="6618BBF5">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备注</w:t>
            </w:r>
          </w:p>
        </w:tc>
      </w:tr>
      <w:tr w14:paraId="0DBB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59" w:type="dxa"/>
            <w:vMerge w:val="continue"/>
            <w:vAlign w:val="center"/>
          </w:tcPr>
          <w:p w14:paraId="3CE127C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53" w:type="dxa"/>
            <w:vMerge w:val="continue"/>
            <w:vAlign w:val="center"/>
          </w:tcPr>
          <w:p w14:paraId="1F898D8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4484A4D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大写</w:t>
            </w:r>
          </w:p>
        </w:tc>
        <w:tc>
          <w:tcPr>
            <w:tcW w:w="1365" w:type="dxa"/>
            <w:vAlign w:val="center"/>
          </w:tcPr>
          <w:p w14:paraId="59C3F2B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小写</w:t>
            </w:r>
          </w:p>
        </w:tc>
        <w:tc>
          <w:tcPr>
            <w:tcW w:w="1682" w:type="dxa"/>
            <w:vMerge w:val="continue"/>
            <w:vAlign w:val="center"/>
          </w:tcPr>
          <w:p w14:paraId="40086C4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477" w:type="dxa"/>
            <w:vMerge w:val="continue"/>
            <w:vAlign w:val="center"/>
          </w:tcPr>
          <w:p w14:paraId="6129CFE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69" w:type="dxa"/>
            <w:vMerge w:val="continue"/>
            <w:vAlign w:val="center"/>
          </w:tcPr>
          <w:p w14:paraId="1CF3E6A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AEC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59" w:type="dxa"/>
            <w:vAlign w:val="center"/>
          </w:tcPr>
          <w:p w14:paraId="3F9FE68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53" w:type="dxa"/>
            <w:vAlign w:val="center"/>
          </w:tcPr>
          <w:p w14:paraId="1648F2DD">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0A4F3BB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55E37902">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682" w:type="dxa"/>
            <w:vAlign w:val="center"/>
          </w:tcPr>
          <w:p w14:paraId="022D3C0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477" w:type="dxa"/>
            <w:vAlign w:val="center"/>
          </w:tcPr>
          <w:p w14:paraId="28F1ACA7">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69" w:type="dxa"/>
            <w:vAlign w:val="center"/>
          </w:tcPr>
          <w:p w14:paraId="79FCFE5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bl>
    <w:p w14:paraId="2270B0DB">
      <w:pPr>
        <w:keepNext w:val="0"/>
        <w:keepLines w:val="0"/>
        <w:pageBreakBefore w:val="0"/>
        <w:widowControl w:val="0"/>
        <w:kinsoku/>
        <w:wordWrap w:val="0"/>
        <w:overflowPunct/>
        <w:topLinePunct/>
        <w:autoSpaceDE/>
        <w:autoSpaceDN/>
        <w:bidi w:val="0"/>
        <w:adjustRightIn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rPr>
        <w:t>注：</w:t>
      </w:r>
      <w:r>
        <w:rPr>
          <w:rFonts w:hint="eastAsia" w:ascii="仿宋" w:hAnsi="仿宋" w:eastAsia="仿宋" w:cs="仿宋"/>
          <w:b w:val="0"/>
          <w:bCs w:val="0"/>
          <w:color w:val="auto"/>
          <w:sz w:val="21"/>
          <w:szCs w:val="21"/>
          <w:highlight w:val="none"/>
        </w:rPr>
        <w:t>投标报价应和《投标分项报价表》中的总价相一致。</w:t>
      </w:r>
    </w:p>
    <w:p w14:paraId="5D853314">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CC55620">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lang w:val="zh-CN"/>
        </w:rPr>
      </w:pPr>
    </w:p>
    <w:p w14:paraId="1C2539EB">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1B80DAB">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469081C0">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p>
    <w:p w14:paraId="292E49DA">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bookmarkStart w:id="918" w:name="_Toc150480796"/>
      <w:bookmarkStart w:id="919" w:name="_Toc195842924"/>
      <w:bookmarkStart w:id="920" w:name="_Toc305158827"/>
      <w:bookmarkStart w:id="921" w:name="_Toc150774763"/>
      <w:bookmarkStart w:id="922" w:name="_Toc226965749"/>
      <w:bookmarkStart w:id="923" w:name="_Toc226309803"/>
      <w:bookmarkStart w:id="924" w:name="_Toc264969249"/>
      <w:bookmarkStart w:id="925" w:name="_Toc265228397"/>
      <w:bookmarkStart w:id="926" w:name="_Toc142311060"/>
      <w:bookmarkStart w:id="927" w:name="_Toc226337255"/>
      <w:bookmarkStart w:id="928" w:name="_Toc127151558"/>
      <w:bookmarkStart w:id="929" w:name="_Toc226965832"/>
      <w:bookmarkStart w:id="930" w:name="_Toc305158901"/>
      <w:r>
        <w:rPr>
          <w:rFonts w:hint="eastAsia" w:ascii="仿宋" w:hAnsi="仿宋" w:eastAsia="仿宋" w:cs="仿宋"/>
          <w:b w:val="0"/>
          <w:bCs w:val="0"/>
          <w:color w:val="auto"/>
          <w:sz w:val="21"/>
          <w:szCs w:val="21"/>
          <w:highlight w:val="none"/>
        </w:rPr>
        <w:t>4投标分项报价表</w:t>
      </w:r>
      <w:bookmarkEnd w:id="918"/>
      <w:bookmarkEnd w:id="919"/>
      <w:bookmarkEnd w:id="920"/>
      <w:bookmarkEnd w:id="921"/>
      <w:bookmarkEnd w:id="922"/>
      <w:bookmarkEnd w:id="923"/>
      <w:bookmarkEnd w:id="924"/>
      <w:bookmarkEnd w:id="925"/>
      <w:bookmarkEnd w:id="926"/>
      <w:bookmarkEnd w:id="927"/>
      <w:bookmarkEnd w:id="928"/>
      <w:bookmarkEnd w:id="929"/>
      <w:bookmarkEnd w:id="930"/>
      <w:r>
        <w:rPr>
          <w:rFonts w:hint="eastAsia" w:ascii="仿宋" w:hAnsi="仿宋" w:eastAsia="仿宋" w:cs="仿宋"/>
          <w:b w:val="0"/>
          <w:bCs w:val="0"/>
          <w:color w:val="auto"/>
          <w:sz w:val="21"/>
          <w:szCs w:val="21"/>
          <w:highlight w:val="none"/>
        </w:rPr>
        <w:t>（实质性格式）</w:t>
      </w:r>
    </w:p>
    <w:p w14:paraId="77B88A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投标分项报价表</w:t>
      </w:r>
    </w:p>
    <w:p w14:paraId="6EC6527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报价单位：人民币元</w:t>
      </w:r>
    </w:p>
    <w:tbl>
      <w:tblPr>
        <w:tblStyle w:val="46"/>
        <w:tblW w:w="49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569"/>
        <w:gridCol w:w="1130"/>
        <w:gridCol w:w="1130"/>
        <w:gridCol w:w="1130"/>
        <w:gridCol w:w="1130"/>
        <w:gridCol w:w="1130"/>
        <w:gridCol w:w="1130"/>
        <w:gridCol w:w="1130"/>
        <w:gridCol w:w="1130"/>
        <w:gridCol w:w="1130"/>
        <w:gridCol w:w="1152"/>
        <w:gridCol w:w="1131"/>
      </w:tblGrid>
      <w:tr w14:paraId="42CA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235" w:type="pct"/>
            <w:vAlign w:val="center"/>
          </w:tcPr>
          <w:p w14:paraId="733EFA7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533" w:type="pct"/>
            <w:vAlign w:val="center"/>
          </w:tcPr>
          <w:p w14:paraId="521B387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分项名称</w:t>
            </w:r>
          </w:p>
        </w:tc>
        <w:tc>
          <w:tcPr>
            <w:tcW w:w="384" w:type="pct"/>
            <w:vAlign w:val="center"/>
          </w:tcPr>
          <w:p w14:paraId="59A41DB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制造商</w:t>
            </w:r>
          </w:p>
        </w:tc>
        <w:tc>
          <w:tcPr>
            <w:tcW w:w="384" w:type="pct"/>
            <w:vAlign w:val="center"/>
          </w:tcPr>
          <w:p w14:paraId="0814106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产地/国别</w:t>
            </w:r>
          </w:p>
        </w:tc>
        <w:tc>
          <w:tcPr>
            <w:tcW w:w="384" w:type="pct"/>
            <w:vAlign w:val="center"/>
          </w:tcPr>
          <w:p w14:paraId="453EBC9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制造商</w:t>
            </w:r>
          </w:p>
          <w:p w14:paraId="36C0662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统一信用代码</w:t>
            </w:r>
          </w:p>
        </w:tc>
        <w:tc>
          <w:tcPr>
            <w:tcW w:w="384" w:type="pct"/>
            <w:vAlign w:val="center"/>
          </w:tcPr>
          <w:p w14:paraId="2D6E7E2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制造商</w:t>
            </w:r>
          </w:p>
          <w:p w14:paraId="0E1B82B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规模</w:t>
            </w:r>
          </w:p>
        </w:tc>
        <w:tc>
          <w:tcPr>
            <w:tcW w:w="384" w:type="pct"/>
            <w:vAlign w:val="center"/>
          </w:tcPr>
          <w:p w14:paraId="75BDE8C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制造商所属性别</w:t>
            </w:r>
          </w:p>
        </w:tc>
        <w:tc>
          <w:tcPr>
            <w:tcW w:w="384" w:type="pct"/>
            <w:vAlign w:val="center"/>
          </w:tcPr>
          <w:p w14:paraId="08C983B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外商投资类型</w:t>
            </w:r>
          </w:p>
        </w:tc>
        <w:tc>
          <w:tcPr>
            <w:tcW w:w="384" w:type="pct"/>
            <w:vAlign w:val="center"/>
          </w:tcPr>
          <w:p w14:paraId="5072883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品牌</w:t>
            </w:r>
          </w:p>
        </w:tc>
        <w:tc>
          <w:tcPr>
            <w:tcW w:w="384" w:type="pct"/>
            <w:vAlign w:val="center"/>
          </w:tcPr>
          <w:p w14:paraId="04C617F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规格、型号</w:t>
            </w:r>
          </w:p>
        </w:tc>
        <w:tc>
          <w:tcPr>
            <w:tcW w:w="384" w:type="pct"/>
            <w:vAlign w:val="center"/>
          </w:tcPr>
          <w:p w14:paraId="3E92ECD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单价（元）</w:t>
            </w:r>
          </w:p>
        </w:tc>
        <w:tc>
          <w:tcPr>
            <w:tcW w:w="384" w:type="pct"/>
            <w:vAlign w:val="center"/>
          </w:tcPr>
          <w:p w14:paraId="2595138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数量</w:t>
            </w:r>
          </w:p>
        </w:tc>
        <w:tc>
          <w:tcPr>
            <w:tcW w:w="384" w:type="pct"/>
            <w:vAlign w:val="center"/>
          </w:tcPr>
          <w:p w14:paraId="631BF67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合价（元）</w:t>
            </w:r>
          </w:p>
        </w:tc>
      </w:tr>
      <w:tr w14:paraId="4AB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 w:type="pct"/>
            <w:vAlign w:val="center"/>
          </w:tcPr>
          <w:p w14:paraId="615F5DB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533" w:type="pct"/>
            <w:vAlign w:val="center"/>
          </w:tcPr>
          <w:p w14:paraId="229A5D1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16F1222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BB7145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1A8745C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28CB27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4337F3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A50ADF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9C7E8A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99545D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6EA463C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395997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D2E77E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1738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 w:type="pct"/>
            <w:vAlign w:val="center"/>
          </w:tcPr>
          <w:p w14:paraId="4EF97FD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533" w:type="pct"/>
            <w:vAlign w:val="center"/>
          </w:tcPr>
          <w:p w14:paraId="54AAA0E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0EC1F3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6D76D55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D61008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D5ECEE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2D983DA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29A79F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82696D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2E2C88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133311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3EE2D1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344F35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367D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 w:type="pct"/>
            <w:vAlign w:val="center"/>
          </w:tcPr>
          <w:p w14:paraId="67DF971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p>
        </w:tc>
        <w:tc>
          <w:tcPr>
            <w:tcW w:w="533" w:type="pct"/>
            <w:vAlign w:val="center"/>
          </w:tcPr>
          <w:p w14:paraId="07B4491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2A63C06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FD833B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4C81B7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BD3326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226AE1F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95B743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B97E5F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444AB3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969AF4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677180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1E0C1F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528E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 w:type="pct"/>
            <w:vAlign w:val="center"/>
          </w:tcPr>
          <w:p w14:paraId="79D4375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w:t>
            </w:r>
          </w:p>
        </w:tc>
        <w:tc>
          <w:tcPr>
            <w:tcW w:w="533" w:type="pct"/>
            <w:vAlign w:val="center"/>
          </w:tcPr>
          <w:p w14:paraId="5D5C98D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4614B6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63965E3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13B0ADC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C08130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24DE6A0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65F9120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E6D3DF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1AA9863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48E360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EBBB32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1D424A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6E8E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5" w:type="pct"/>
            <w:vAlign w:val="center"/>
          </w:tcPr>
          <w:p w14:paraId="4C5349E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p>
        </w:tc>
        <w:tc>
          <w:tcPr>
            <w:tcW w:w="533" w:type="pct"/>
            <w:vAlign w:val="center"/>
          </w:tcPr>
          <w:p w14:paraId="3248172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12AD68B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2197391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BF4C54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5842125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020470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DF12DA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6F0F586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4176879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7B3D84D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021D76F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384" w:type="pct"/>
            <w:vAlign w:val="center"/>
          </w:tcPr>
          <w:p w14:paraId="3F6A5D6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06E8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15" w:type="pct"/>
            <w:gridSpan w:val="12"/>
            <w:vAlign w:val="center"/>
          </w:tcPr>
          <w:p w14:paraId="6FA3C4D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总价（元）</w:t>
            </w:r>
          </w:p>
        </w:tc>
        <w:tc>
          <w:tcPr>
            <w:tcW w:w="384" w:type="pct"/>
            <w:vAlign w:val="center"/>
          </w:tcPr>
          <w:p w14:paraId="3CC88C6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bl>
    <w:p w14:paraId="768D37C0">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.如果不提供分项报价将视为没有实质性响应招标文件。</w:t>
      </w:r>
    </w:p>
    <w:p w14:paraId="22A0CAC5">
      <w:pPr>
        <w:keepNext w:val="0"/>
        <w:keepLines w:val="0"/>
        <w:pageBreakBefore w:val="0"/>
        <w:widowControl w:val="0"/>
        <w:tabs>
          <w:tab w:val="left" w:pos="1800"/>
          <w:tab w:val="left" w:pos="5580"/>
        </w:tabs>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rPr>
        <w:t>.上述各项的详细规格（如有），可另页描述。</w:t>
      </w:r>
    </w:p>
    <w:p w14:paraId="740AA6AF">
      <w:pPr>
        <w:keepNext w:val="0"/>
        <w:keepLines w:val="0"/>
        <w:pageBreakBefore w:val="0"/>
        <w:widowControl w:val="0"/>
        <w:tabs>
          <w:tab w:val="left" w:pos="1800"/>
          <w:tab w:val="left" w:pos="5580"/>
        </w:tabs>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rPr>
        <w:t>.说明：制造商规模请填写“大型”、“中型”、“小型”、“微型”或“其他”，中小企业的定义见第二章《投标人须知》。制造商所属性别请填写“男”或“女”，指拥有制造商51%以上绝对所有权的性别；绝对所有权拥有者可以是一个人，也可以是多人合计计算。外商投资类型请填写“外商单独投资”、“外商部分投资”或“内资”。</w:t>
      </w:r>
    </w:p>
    <w:p w14:paraId="7FF0501E">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pPr>
    </w:p>
    <w:p w14:paraId="1656960C">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p>
    <w:p w14:paraId="35DFFFA5">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F17BCD2">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39E3F784">
      <w:pPr>
        <w:keepNext w:val="0"/>
        <w:keepLines w:val="0"/>
        <w:pageBreakBefore w:val="0"/>
        <w:widowControl w:val="0"/>
        <w:kinsoku/>
        <w:wordWrap w:val="0"/>
        <w:overflowPunct/>
        <w:topLinePunct/>
        <w:autoSpaceDE/>
        <w:autoSpaceDN/>
        <w:bidi w:val="0"/>
        <w:adjustRightInd w:val="0"/>
        <w:snapToGrid w:val="0"/>
        <w:spacing w:before="25" w:after="25" w:line="360" w:lineRule="auto"/>
        <w:jc w:val="both"/>
        <w:rPr>
          <w:rFonts w:hint="eastAsia" w:ascii="仿宋" w:hAnsi="仿宋" w:eastAsia="仿宋" w:cs="仿宋"/>
          <w:b w:val="0"/>
          <w:bCs w:val="0"/>
          <w:color w:val="auto"/>
          <w:sz w:val="21"/>
          <w:szCs w:val="21"/>
          <w:highlight w:val="none"/>
        </w:rPr>
        <w:sectPr>
          <w:type w:val="continuous"/>
          <w:pgSz w:w="16840" w:h="11907" w:orient="landscape"/>
          <w:pgMar w:top="1440" w:right="1080" w:bottom="1440" w:left="1080" w:header="851" w:footer="851" w:gutter="0"/>
          <w:pgNumType w:fmt="decimal"/>
          <w:cols w:space="720" w:num="1"/>
          <w:docGrid w:linePitch="462" w:charSpace="0"/>
        </w:sectPr>
      </w:pPr>
    </w:p>
    <w:p w14:paraId="6658925C">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pPr>
      <w:bookmarkStart w:id="931" w:name="_Toc150774765"/>
      <w:bookmarkStart w:id="932" w:name="_Toc265228400"/>
      <w:bookmarkStart w:id="933" w:name="_Toc150480798"/>
      <w:bookmarkStart w:id="934" w:name="_Toc226337258"/>
      <w:bookmarkStart w:id="935" w:name="_Toc142311062"/>
      <w:bookmarkStart w:id="936" w:name="_Toc226965835"/>
      <w:bookmarkStart w:id="937" w:name="_Toc127151562"/>
      <w:bookmarkStart w:id="938" w:name="_Toc305158830"/>
      <w:bookmarkStart w:id="939" w:name="_Toc264969252"/>
      <w:bookmarkStart w:id="940" w:name="_Toc226309806"/>
      <w:bookmarkStart w:id="941" w:name="_Toc195842927"/>
      <w:bookmarkStart w:id="942" w:name="_Toc305158904"/>
      <w:bookmarkStart w:id="943" w:name="_Toc226965752"/>
      <w:bookmarkStart w:id="944" w:name="_Toc226965751"/>
      <w:bookmarkStart w:id="945" w:name="_Toc127151561"/>
      <w:bookmarkStart w:id="946" w:name="_Toc264969251"/>
      <w:bookmarkStart w:id="947" w:name="_Toc305158829"/>
      <w:bookmarkStart w:id="948" w:name="_Toc226337257"/>
      <w:bookmarkStart w:id="949" w:name="_Toc305158903"/>
      <w:bookmarkStart w:id="950" w:name="_Toc150480797"/>
      <w:bookmarkStart w:id="951" w:name="_Toc265228399"/>
      <w:bookmarkStart w:id="952" w:name="_Toc195842926"/>
      <w:bookmarkStart w:id="953" w:name="_Toc226309805"/>
      <w:bookmarkStart w:id="954" w:name="_Toc142311061"/>
      <w:bookmarkStart w:id="955" w:name="_Toc226965834"/>
      <w:bookmarkStart w:id="956" w:name="_Toc150774764"/>
      <w:r>
        <w:rPr>
          <w:rFonts w:hint="eastAsia" w:ascii="仿宋" w:hAnsi="仿宋" w:eastAsia="仿宋" w:cs="仿宋"/>
          <w:b w:val="0"/>
          <w:bCs w:val="0"/>
          <w:color w:val="auto"/>
          <w:sz w:val="21"/>
          <w:szCs w:val="21"/>
          <w:highlight w:val="none"/>
        </w:rPr>
        <w:t>5合同条款偏离表</w:t>
      </w:r>
      <w:bookmarkEnd w:id="931"/>
      <w:bookmarkEnd w:id="932"/>
      <w:bookmarkEnd w:id="933"/>
      <w:bookmarkEnd w:id="934"/>
      <w:bookmarkEnd w:id="935"/>
      <w:bookmarkEnd w:id="936"/>
      <w:bookmarkEnd w:id="937"/>
      <w:bookmarkEnd w:id="938"/>
      <w:bookmarkEnd w:id="939"/>
      <w:bookmarkEnd w:id="940"/>
      <w:bookmarkEnd w:id="941"/>
      <w:bookmarkEnd w:id="942"/>
      <w:bookmarkEnd w:id="943"/>
      <w:r>
        <w:rPr>
          <w:rFonts w:hint="eastAsia" w:ascii="仿宋" w:hAnsi="仿宋" w:eastAsia="仿宋" w:cs="仿宋"/>
          <w:b w:val="0"/>
          <w:bCs w:val="0"/>
          <w:color w:val="auto"/>
          <w:sz w:val="21"/>
          <w:szCs w:val="21"/>
          <w:highlight w:val="none"/>
        </w:rPr>
        <w:t>（实质性格式）</w:t>
      </w:r>
    </w:p>
    <w:p w14:paraId="2DE035ED">
      <w:pPr>
        <w:keepNext w:val="0"/>
        <w:keepLines w:val="0"/>
        <w:pageBreakBefore w:val="0"/>
        <w:widowControl w:val="0"/>
        <w:tabs>
          <w:tab w:val="left" w:pos="2775"/>
          <w:tab w:val="center" w:pos="4153"/>
        </w:tabs>
        <w:kinsoku/>
        <w:wordWrap w:val="0"/>
        <w:overflowPunct/>
        <w:topLinePunct/>
        <w:autoSpaceDE/>
        <w:autoSpaceDN/>
        <w:bidi w:val="0"/>
        <w:adjustRightIn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合同条款偏离表</w:t>
      </w:r>
    </w:p>
    <w:p w14:paraId="39DD2A87">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1864"/>
        <w:gridCol w:w="1819"/>
        <w:gridCol w:w="1819"/>
        <w:gridCol w:w="2051"/>
        <w:gridCol w:w="1066"/>
      </w:tblGrid>
      <w:tr w14:paraId="791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75F1AE2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bookmarkStart w:id="957" w:name="_Hlk144279231"/>
            <w:r>
              <w:rPr>
                <w:rFonts w:hint="eastAsia" w:ascii="仿宋" w:hAnsi="仿宋" w:eastAsia="仿宋" w:cs="仿宋"/>
                <w:b w:val="0"/>
                <w:bCs w:val="0"/>
                <w:color w:val="auto"/>
                <w:sz w:val="21"/>
                <w:szCs w:val="21"/>
                <w:highlight w:val="none"/>
              </w:rPr>
              <w:t>序号</w:t>
            </w:r>
          </w:p>
        </w:tc>
        <w:tc>
          <w:tcPr>
            <w:tcW w:w="1864" w:type="dxa"/>
            <w:vAlign w:val="center"/>
          </w:tcPr>
          <w:p w14:paraId="53B4206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招标文件条目号（页码）</w:t>
            </w:r>
          </w:p>
        </w:tc>
        <w:tc>
          <w:tcPr>
            <w:tcW w:w="1819" w:type="dxa"/>
            <w:vAlign w:val="center"/>
          </w:tcPr>
          <w:p w14:paraId="404B2B3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招标文件要求</w:t>
            </w:r>
          </w:p>
        </w:tc>
        <w:tc>
          <w:tcPr>
            <w:tcW w:w="1819" w:type="dxa"/>
            <w:vAlign w:val="center"/>
          </w:tcPr>
          <w:p w14:paraId="1EC6A29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投标文件内容</w:t>
            </w:r>
          </w:p>
        </w:tc>
        <w:tc>
          <w:tcPr>
            <w:tcW w:w="2051" w:type="dxa"/>
            <w:vAlign w:val="center"/>
          </w:tcPr>
          <w:p w14:paraId="455970F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偏离情况</w:t>
            </w:r>
          </w:p>
        </w:tc>
        <w:tc>
          <w:tcPr>
            <w:tcW w:w="1066" w:type="dxa"/>
            <w:vAlign w:val="center"/>
          </w:tcPr>
          <w:p w14:paraId="134FD7A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tc>
      </w:tr>
      <w:tr w14:paraId="2FF7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776" w:type="dxa"/>
            <w:gridSpan w:val="6"/>
            <w:vAlign w:val="center"/>
          </w:tcPr>
          <w:p w14:paraId="3AC49460">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对本项目合同条款的偏离情况（应进行选择，未选择投标无效）：</w:t>
            </w:r>
          </w:p>
          <w:p w14:paraId="39EDFBF6">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□无偏离（如无偏离，仅选择无偏离即可；无偏离即为对合同条款中的所有要求，均视作供应商已对之理解和响应。）</w:t>
            </w:r>
          </w:p>
          <w:p w14:paraId="1C3B74AB">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□有偏离（如有偏离，则应在本表中对偏离项逐一列明，否则投标无效；对合同条款中的所有要求，除本表列明的偏离外，均视作供应商已对之理解和响应。）</w:t>
            </w:r>
          </w:p>
        </w:tc>
      </w:tr>
      <w:tr w14:paraId="5FE9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47F8491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1B19977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3FD426A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48DB31D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1C135A1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2D7440E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0643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2AAC2ED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2A8D170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01B9B1E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4BEB9C0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28CD849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6F64BA1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008B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5AEAFEA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0437A11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652AA13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2F7813A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2C97930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4DEFB8A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480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06C597D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655F6C0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18C001C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1910038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1665528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481AD24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bookmarkEnd w:id="957"/>
    </w:tbl>
    <w:p w14:paraId="5F894A49">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注：“偏离情况”列应据实填写“正偏离”或“负偏离”。</w:t>
      </w:r>
    </w:p>
    <w:p w14:paraId="30F3C14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EF67123">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A78A1F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79D492D">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347CD321">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0DE0F2">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r>
        <w:rPr>
          <w:rFonts w:hint="eastAsia" w:ascii="仿宋" w:hAnsi="仿宋" w:eastAsia="仿宋" w:cs="仿宋"/>
          <w:b w:val="0"/>
          <w:bCs w:val="0"/>
          <w:color w:val="auto"/>
          <w:sz w:val="21"/>
          <w:szCs w:val="21"/>
          <w:highlight w:val="none"/>
        </w:rPr>
        <w:t>6</w:t>
      </w:r>
      <w:bookmarkEnd w:id="944"/>
      <w:bookmarkEnd w:id="945"/>
      <w:bookmarkEnd w:id="946"/>
      <w:bookmarkEnd w:id="947"/>
      <w:bookmarkEnd w:id="948"/>
      <w:bookmarkEnd w:id="949"/>
      <w:bookmarkEnd w:id="950"/>
      <w:bookmarkEnd w:id="951"/>
      <w:bookmarkEnd w:id="952"/>
      <w:bookmarkEnd w:id="953"/>
      <w:bookmarkEnd w:id="954"/>
      <w:bookmarkEnd w:id="955"/>
      <w:bookmarkEnd w:id="956"/>
      <w:r>
        <w:rPr>
          <w:rFonts w:hint="eastAsia" w:ascii="仿宋" w:hAnsi="仿宋" w:eastAsia="仿宋" w:cs="仿宋"/>
          <w:b w:val="0"/>
          <w:bCs w:val="0"/>
          <w:color w:val="auto"/>
          <w:sz w:val="21"/>
          <w:szCs w:val="21"/>
          <w:highlight w:val="none"/>
        </w:rPr>
        <w:t>采购需求偏离表（实质性格式）</w:t>
      </w:r>
    </w:p>
    <w:p w14:paraId="2BB7D64D">
      <w:pPr>
        <w:keepNext w:val="0"/>
        <w:keepLines w:val="0"/>
        <w:pageBreakBefore w:val="0"/>
        <w:widowControl w:val="0"/>
        <w:kinsoku/>
        <w:wordWrap w:val="0"/>
        <w:overflowPunct/>
        <w:topLinePunct/>
        <w:autoSpaceDE/>
        <w:autoSpaceDN/>
        <w:bidi w:val="0"/>
        <w:adjustRightIn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采购需求偏离表</w:t>
      </w:r>
    </w:p>
    <w:p w14:paraId="0B810114">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6"/>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70"/>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482" w:type="dxa"/>
            <w:vAlign w:val="center"/>
          </w:tcPr>
          <w:p w14:paraId="48332A8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招标文件条目号(页码)</w:t>
            </w:r>
          </w:p>
        </w:tc>
        <w:tc>
          <w:tcPr>
            <w:tcW w:w="2384" w:type="dxa"/>
            <w:vAlign w:val="center"/>
          </w:tcPr>
          <w:p w14:paraId="6DF23BF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招标文件要求</w:t>
            </w:r>
          </w:p>
        </w:tc>
        <w:tc>
          <w:tcPr>
            <w:tcW w:w="2126" w:type="dxa"/>
            <w:vAlign w:val="center"/>
          </w:tcPr>
          <w:p w14:paraId="00F2D61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投标响应内容</w:t>
            </w:r>
          </w:p>
        </w:tc>
        <w:tc>
          <w:tcPr>
            <w:tcW w:w="1875" w:type="dxa"/>
            <w:vAlign w:val="center"/>
          </w:tcPr>
          <w:p w14:paraId="267B401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偏离情况</w:t>
            </w:r>
          </w:p>
        </w:tc>
        <w:tc>
          <w:tcPr>
            <w:tcW w:w="1070" w:type="dxa"/>
            <w:vAlign w:val="center"/>
          </w:tcPr>
          <w:p w14:paraId="6157593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7F34336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10A582F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389DF13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1E3B4FE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6476107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2BBD2F1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13C3A66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3D451C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13512EC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2C7B938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566FF73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206CAE2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0461396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20E4D3B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059B6B3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130042D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0C11688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12E4F4B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748DD8B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00C0C1F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001B9D5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3E6F674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2DAA8E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298E631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567B18A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01AF73C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42F89A7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649A70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6299E7C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455D792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bl>
    <w:p w14:paraId="2F7D98C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p>
    <w:p w14:paraId="30B92B6D">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1.对招标文件中的所有商务、技术要求，除本表所列明的所有偏离外，均视作供应商已对之理解和响应。此表中若无任何文字说明，内容为空白的，投标无效。</w:t>
      </w:r>
    </w:p>
    <w:p w14:paraId="51557894">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2.“偏离情况”列应据实填写“无偏离”、“正偏离”或“负偏离”。</w:t>
      </w:r>
    </w:p>
    <w:p w14:paraId="337ADBDC">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0B5163E9">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4C72A51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5703D34">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6B9946DC">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FA518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280777BE">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en-US" w:eastAsia="zh-CN"/>
        </w:rPr>
      </w:pPr>
      <w:bookmarkStart w:id="958" w:name="_Toc54885221"/>
      <w:bookmarkStart w:id="959" w:name="_Toc201995952"/>
      <w:bookmarkStart w:id="960" w:name="_Toc32356"/>
      <w:bookmarkStart w:id="961" w:name="_Toc287280329"/>
      <w:bookmarkStart w:id="962" w:name="_Toc182802966"/>
      <w:bookmarkStart w:id="963" w:name="_Toc20201"/>
      <w:bookmarkStart w:id="964" w:name="_Toc883"/>
      <w:bookmarkStart w:id="965" w:name="_Toc287280580"/>
      <w:bookmarkStart w:id="966" w:name="_Toc373513395"/>
      <w:bookmarkStart w:id="967" w:name="_Toc205612642"/>
      <w:bookmarkStart w:id="968" w:name="_Toc194883189"/>
      <w:bookmarkStart w:id="969" w:name="_Toc194888463"/>
      <w:bookmarkStart w:id="970" w:name="_Toc205612713"/>
      <w:bookmarkStart w:id="971" w:name="_Toc4084"/>
      <w:bookmarkStart w:id="972" w:name="_Toc202069430"/>
      <w:r>
        <w:rPr>
          <w:rFonts w:hint="eastAsia" w:ascii="仿宋" w:hAnsi="仿宋" w:eastAsia="仿宋" w:cs="仿宋"/>
          <w:b w:val="0"/>
          <w:bCs w:val="0"/>
          <w:color w:val="auto"/>
          <w:sz w:val="21"/>
          <w:szCs w:val="21"/>
          <w:highlight w:val="none"/>
          <w:lang w:val="en-US" w:eastAsia="zh-CN"/>
        </w:rPr>
        <w:t>7招标文件要求提供或投标人认为应附的其他材料</w:t>
      </w:r>
    </w:p>
    <w:p w14:paraId="46BC7DD1">
      <w:pPr>
        <w:keepNext w:val="0"/>
        <w:keepLines w:val="0"/>
        <w:pageBreakBefore w:val="0"/>
        <w:widowControl w:val="0"/>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7-1供应商信息采集表</w:t>
      </w:r>
    </w:p>
    <w:tbl>
      <w:tblPr>
        <w:tblStyle w:val="47"/>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00"/>
        <w:gridCol w:w="2175"/>
        <w:gridCol w:w="3975"/>
      </w:tblGrid>
      <w:tr w14:paraId="178D7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3E3DBCC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供应商名称</w:t>
            </w:r>
          </w:p>
        </w:tc>
        <w:tc>
          <w:tcPr>
            <w:tcW w:w="2175" w:type="dxa"/>
          </w:tcPr>
          <w:p w14:paraId="7FFA238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供应商所属性别</w:t>
            </w:r>
          </w:p>
        </w:tc>
        <w:tc>
          <w:tcPr>
            <w:tcW w:w="3975" w:type="dxa"/>
          </w:tcPr>
          <w:p w14:paraId="6A8FBB6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外商投资类型</w:t>
            </w:r>
          </w:p>
        </w:tc>
      </w:tr>
      <w:tr w14:paraId="6BFB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4822977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722F8FE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02366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01EE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12C0F0C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22F7CC8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51A5702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7DE6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417249F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7BBF192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013D2C1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33D7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79B4450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261C27E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1CF9A2A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bl>
    <w:p w14:paraId="42662BC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w:t>
      </w:r>
    </w:p>
    <w:p w14:paraId="2929664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1.供应商如为联合体，则应填写联合体各成员信息。</w:t>
      </w:r>
    </w:p>
    <w:p w14:paraId="32CF78D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2.供应商所属性别请填写“男”或“女”，指拥有供应商51%以上绝对所有权的性别；绝对所有权拥有者可以是一个人，也可以是多人合计计算。</w:t>
      </w:r>
    </w:p>
    <w:p w14:paraId="2981A58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3.外商投资类型请填写“外商单独投资”、“外商部分投资”或“内资”。</w:t>
      </w:r>
      <w:r>
        <w:rPr>
          <w:rFonts w:hint="eastAsia" w:ascii="仿宋" w:hAnsi="仿宋" w:eastAsia="仿宋" w:cs="仿宋"/>
          <w:b w:val="0"/>
          <w:bCs w:val="0"/>
          <w:color w:val="auto"/>
          <w:sz w:val="21"/>
          <w:szCs w:val="21"/>
          <w:highlight w:val="none"/>
          <w:lang w:val="en-US" w:eastAsia="zh-CN"/>
        </w:rPr>
        <w:br w:type="page"/>
      </w:r>
    </w:p>
    <w:p w14:paraId="6999D2FD">
      <w:pPr>
        <w:keepNext w:val="0"/>
        <w:keepLines w:val="0"/>
        <w:pageBreakBefore w:val="0"/>
        <w:widowControl w:val="0"/>
        <w:kinsoku/>
        <w:wordWrap w:val="0"/>
        <w:overflowPunct/>
        <w:topLinePunct/>
        <w:autoSpaceDE/>
        <w:autoSpaceDN/>
        <w:bidi w:val="0"/>
        <w:adjustRightInd w:val="0"/>
        <w:snapToGrid w:val="0"/>
        <w:spacing w:line="360" w:lineRule="auto"/>
        <w:jc w:val="both"/>
        <w:outlineLvl w:val="9"/>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2招标</w:t>
      </w:r>
      <w:r>
        <w:rPr>
          <w:rFonts w:hint="eastAsia" w:ascii="仿宋" w:hAnsi="仿宋" w:eastAsia="仿宋" w:cs="仿宋"/>
          <w:b w:val="0"/>
          <w:bCs w:val="0"/>
          <w:color w:val="auto"/>
          <w:sz w:val="21"/>
          <w:szCs w:val="21"/>
          <w:highlight w:val="none"/>
        </w:rPr>
        <w:t>代理服务费承诺书</w:t>
      </w:r>
    </w:p>
    <w:p w14:paraId="5137A025">
      <w:pPr>
        <w:keepNext w:val="0"/>
        <w:keepLines w:val="0"/>
        <w:pageBreakBefore w:val="0"/>
        <w:widowControl w:val="0"/>
        <w:kinsoku/>
        <w:wordWrap w:val="0"/>
        <w:overflowPunct/>
        <w:topLinePunct/>
        <w:autoSpaceDE/>
        <w:autoSpaceDN/>
        <w:bidi w:val="0"/>
        <w:spacing w:line="360" w:lineRule="auto"/>
        <w:ind w:right="281" w:rightChars="134"/>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招标</w:t>
      </w:r>
      <w:r>
        <w:rPr>
          <w:rFonts w:hint="eastAsia" w:ascii="仿宋" w:hAnsi="仿宋" w:eastAsia="仿宋" w:cs="仿宋"/>
          <w:b w:val="0"/>
          <w:bCs w:val="0"/>
          <w:color w:val="auto"/>
          <w:sz w:val="21"/>
          <w:szCs w:val="21"/>
          <w:highlight w:val="none"/>
        </w:rPr>
        <w:t>代理服务费承诺书</w:t>
      </w:r>
    </w:p>
    <w:p w14:paraId="4FCECA9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A62222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w:t>
      </w:r>
      <w:r>
        <w:rPr>
          <w:rFonts w:hint="eastAsia" w:ascii="仿宋" w:hAnsi="仿宋" w:eastAsia="仿宋" w:cs="仿宋"/>
          <w:b w:val="0"/>
          <w:bCs w:val="0"/>
          <w:color w:val="auto"/>
          <w:sz w:val="21"/>
          <w:szCs w:val="21"/>
          <w:highlight w:val="none"/>
          <w:u w:val="single"/>
          <w:lang w:val="en-US" w:eastAsia="zh-CN"/>
        </w:rPr>
        <w:t>代理机构</w:t>
      </w:r>
      <w:r>
        <w:rPr>
          <w:rFonts w:hint="eastAsia" w:ascii="仿宋" w:hAnsi="仿宋" w:eastAsia="仿宋" w:cs="仿宋"/>
          <w:b w:val="0"/>
          <w:bCs w:val="0"/>
          <w:color w:val="auto"/>
          <w:sz w:val="21"/>
          <w:szCs w:val="21"/>
          <w:highlight w:val="none"/>
          <w:u w:val="single"/>
        </w:rPr>
        <w:t>）</w:t>
      </w:r>
    </w:p>
    <w:p w14:paraId="0C612B7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我公司在贵公司组织的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none"/>
          <w:lang w:eastAsia="zh-CN"/>
        </w:rPr>
        <w:t>（</w:t>
      </w:r>
      <w:r>
        <w:rPr>
          <w:rFonts w:hint="eastAsia" w:ascii="仿宋" w:hAnsi="仿宋" w:eastAsia="仿宋" w:cs="仿宋"/>
          <w:b w:val="0"/>
          <w:bCs w:val="0"/>
          <w:color w:val="auto"/>
          <w:sz w:val="21"/>
          <w:szCs w:val="21"/>
          <w:highlight w:val="none"/>
          <w:u w:val="none"/>
        </w:rPr>
        <w:t>项目名称、</w:t>
      </w:r>
      <w:r>
        <w:rPr>
          <w:rFonts w:hint="eastAsia" w:ascii="仿宋" w:hAnsi="仿宋" w:eastAsia="仿宋" w:cs="仿宋"/>
          <w:b w:val="0"/>
          <w:bCs w:val="0"/>
          <w:color w:val="auto"/>
          <w:sz w:val="21"/>
          <w:szCs w:val="21"/>
          <w:highlight w:val="none"/>
          <w:u w:val="none"/>
          <w:lang w:val="en-US" w:eastAsia="zh-CN"/>
        </w:rPr>
        <w:t>项目编号、包号</w:t>
      </w:r>
      <w:r>
        <w:rPr>
          <w:rFonts w:hint="eastAsia" w:ascii="仿宋" w:hAnsi="仿宋" w:eastAsia="仿宋" w:cs="仿宋"/>
          <w:b w:val="0"/>
          <w:bCs w:val="0"/>
          <w:color w:val="auto"/>
          <w:sz w:val="21"/>
          <w:szCs w:val="21"/>
          <w:highlight w:val="none"/>
          <w:u w:val="none"/>
          <w:lang w:eastAsia="zh-CN"/>
        </w:rPr>
        <w:t>）</w:t>
      </w:r>
      <w:r>
        <w:rPr>
          <w:rFonts w:hint="eastAsia" w:ascii="仿宋" w:hAnsi="仿宋" w:eastAsia="仿宋" w:cs="仿宋"/>
          <w:b w:val="0"/>
          <w:bCs w:val="0"/>
          <w:color w:val="auto"/>
          <w:sz w:val="21"/>
          <w:szCs w:val="21"/>
          <w:highlight w:val="none"/>
        </w:rPr>
        <w:t>的招标中若为中标人，我公司保证在领取中标通知书时按招标文件的规定向贵公司支付招标代理服务费。如我公司未按上述承诺支付招标代理服务费，贵公司有权取消我公司的中标资格，由此产生的一切法律后果和责任由我公司承担。</w:t>
      </w:r>
    </w:p>
    <w:p w14:paraId="1DBBFC3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CC6A50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B90AA4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177CFE45">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D7E870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31983B3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6EDF1A2">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273FC108">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DD9064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br w:type="page"/>
      </w:r>
    </w:p>
    <w:p w14:paraId="4CAE1187">
      <w:pPr>
        <w:keepNext w:val="0"/>
        <w:keepLines w:val="0"/>
        <w:pageBreakBefore w:val="0"/>
        <w:widowControl w:val="0"/>
        <w:kinsoku/>
        <w:wordWrap w:val="0"/>
        <w:overflowPunct/>
        <w:topLinePunct/>
        <w:autoSpaceDE/>
        <w:autoSpaceDN/>
        <w:bidi w:val="0"/>
        <w:spacing w:line="360" w:lineRule="auto"/>
        <w:jc w:val="both"/>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rPr>
        <w:t>投标人类似项目业绩</w:t>
      </w:r>
    </w:p>
    <w:p w14:paraId="2FDDDEE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投标人类似项目业绩</w:t>
      </w:r>
    </w:p>
    <w:p w14:paraId="6628A27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CD28CF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6"/>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856"/>
        <w:gridCol w:w="2306"/>
        <w:gridCol w:w="1837"/>
        <w:gridCol w:w="2007"/>
        <w:gridCol w:w="938"/>
      </w:tblGrid>
      <w:tr w14:paraId="0C0F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94" w:type="dxa"/>
            <w:vAlign w:val="center"/>
          </w:tcPr>
          <w:p w14:paraId="36DFEE2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856" w:type="dxa"/>
            <w:vAlign w:val="center"/>
          </w:tcPr>
          <w:p w14:paraId="22EDDD2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项目业主</w:t>
            </w:r>
          </w:p>
        </w:tc>
        <w:tc>
          <w:tcPr>
            <w:tcW w:w="2306" w:type="dxa"/>
            <w:vAlign w:val="center"/>
          </w:tcPr>
          <w:p w14:paraId="388166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项目名称</w:t>
            </w:r>
          </w:p>
        </w:tc>
        <w:tc>
          <w:tcPr>
            <w:tcW w:w="1837" w:type="dxa"/>
            <w:vAlign w:val="center"/>
          </w:tcPr>
          <w:p w14:paraId="02EAB0A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合同金额（万元）</w:t>
            </w:r>
          </w:p>
        </w:tc>
        <w:tc>
          <w:tcPr>
            <w:tcW w:w="2007" w:type="dxa"/>
            <w:vAlign w:val="center"/>
          </w:tcPr>
          <w:p w14:paraId="0C0192E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合同签订时间</w:t>
            </w:r>
          </w:p>
        </w:tc>
        <w:tc>
          <w:tcPr>
            <w:tcW w:w="938" w:type="dxa"/>
            <w:vAlign w:val="center"/>
          </w:tcPr>
          <w:p w14:paraId="728990E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备注</w:t>
            </w:r>
          </w:p>
        </w:tc>
      </w:tr>
      <w:tr w14:paraId="63A2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94" w:type="dxa"/>
            <w:vAlign w:val="center"/>
          </w:tcPr>
          <w:p w14:paraId="3534150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1856" w:type="dxa"/>
            <w:vAlign w:val="center"/>
          </w:tcPr>
          <w:p w14:paraId="64171E5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204D305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768B42D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562029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6B3612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67C2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4" w:type="dxa"/>
            <w:vAlign w:val="center"/>
          </w:tcPr>
          <w:p w14:paraId="45E7336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1856" w:type="dxa"/>
            <w:vAlign w:val="center"/>
          </w:tcPr>
          <w:p w14:paraId="0385C99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3A1CA06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1B9B3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4202E1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4EE8F4B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BDA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4ECF887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p>
        </w:tc>
        <w:tc>
          <w:tcPr>
            <w:tcW w:w="1856" w:type="dxa"/>
            <w:vAlign w:val="center"/>
          </w:tcPr>
          <w:p w14:paraId="39F75ED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19FBE0A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2BC35F4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8251BF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AD3C9D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666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358F15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w:t>
            </w:r>
          </w:p>
        </w:tc>
        <w:tc>
          <w:tcPr>
            <w:tcW w:w="1856" w:type="dxa"/>
            <w:vAlign w:val="center"/>
          </w:tcPr>
          <w:p w14:paraId="582E78D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361E09D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51D5039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4191B2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0E9E231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4A81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1FAE367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w:t>
            </w:r>
          </w:p>
        </w:tc>
        <w:tc>
          <w:tcPr>
            <w:tcW w:w="1856" w:type="dxa"/>
            <w:vAlign w:val="center"/>
          </w:tcPr>
          <w:p w14:paraId="71732B2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63BCB2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F81B7B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0DE2048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8DA1E5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DEE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32048FE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w:t>
            </w:r>
          </w:p>
        </w:tc>
        <w:tc>
          <w:tcPr>
            <w:tcW w:w="1856" w:type="dxa"/>
            <w:vAlign w:val="center"/>
          </w:tcPr>
          <w:p w14:paraId="3B52808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507042F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A13FAC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1DCBBF1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6233267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36C3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68E6EE8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w:t>
            </w:r>
          </w:p>
        </w:tc>
        <w:tc>
          <w:tcPr>
            <w:tcW w:w="1856" w:type="dxa"/>
            <w:vAlign w:val="center"/>
          </w:tcPr>
          <w:p w14:paraId="57E3942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098450B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54A5A46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16EDF74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3D1AAE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tbl>
    <w:p w14:paraId="3D0DF29B">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p>
    <w:p w14:paraId="6FCD6C9C">
      <w:pPr>
        <w:keepNext w:val="0"/>
        <w:keepLines w:val="0"/>
        <w:pageBreakBefore w:val="0"/>
        <w:widowControl w:val="0"/>
        <w:kinsoku/>
        <w:wordWrap w:val="0"/>
        <w:overflowPunct/>
        <w:topLinePunct/>
        <w:autoSpaceDE/>
        <w:autoSpaceDN/>
        <w:bidi w:val="0"/>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1、供应商须提供近三年内（2021年12月</w:t>
      </w:r>
      <w:r>
        <w:rPr>
          <w:rFonts w:hint="eastAsia" w:ascii="仿宋" w:hAnsi="仿宋" w:eastAsia="仿宋" w:cs="仿宋"/>
          <w:b w:val="0"/>
          <w:bCs w:val="0"/>
          <w:color w:val="auto"/>
          <w:sz w:val="21"/>
          <w:szCs w:val="21"/>
          <w:highlight w:val="none"/>
          <w:lang w:val="en-US" w:eastAsia="zh-CN"/>
        </w:rPr>
        <w:t>至</w:t>
      </w:r>
      <w:r>
        <w:rPr>
          <w:rFonts w:hint="eastAsia" w:ascii="仿宋" w:hAnsi="仿宋" w:eastAsia="仿宋" w:cs="仿宋"/>
          <w:b w:val="0"/>
          <w:bCs w:val="0"/>
          <w:color w:val="auto"/>
          <w:sz w:val="21"/>
          <w:szCs w:val="21"/>
          <w:highlight w:val="none"/>
        </w:rPr>
        <w:t>今，以合同签订时间为准）已完成类似供货业绩。须提供合同关键页（首页、金额页、供货清单页、签字盖章页、签订日期页等）电子件加盖单位公章，否则评标委员会不予认可。每个有效业绩须需提供</w:t>
      </w:r>
      <w:r>
        <w:rPr>
          <w:rFonts w:hint="eastAsia" w:ascii="仿宋" w:hAnsi="仿宋" w:eastAsia="仿宋" w:cs="仿宋"/>
          <w:b w:val="0"/>
          <w:bCs w:val="0"/>
          <w:color w:val="auto"/>
          <w:sz w:val="21"/>
          <w:szCs w:val="21"/>
          <w:highlight w:val="none"/>
          <w:lang w:val="en-US" w:eastAsia="zh-CN"/>
        </w:rPr>
        <w:t>服务</w:t>
      </w:r>
      <w:r>
        <w:rPr>
          <w:rFonts w:hint="eastAsia" w:ascii="仿宋" w:hAnsi="仿宋" w:eastAsia="仿宋" w:cs="仿宋"/>
          <w:b w:val="0"/>
          <w:bCs w:val="0"/>
          <w:color w:val="auto"/>
          <w:sz w:val="21"/>
          <w:szCs w:val="21"/>
          <w:highlight w:val="none"/>
        </w:rPr>
        <w:t>合同</w:t>
      </w:r>
      <w:r>
        <w:rPr>
          <w:rFonts w:hint="eastAsia" w:ascii="仿宋" w:hAnsi="仿宋" w:eastAsia="仿宋" w:cs="仿宋"/>
          <w:b w:val="0"/>
          <w:bCs w:val="0"/>
          <w:color w:val="auto"/>
          <w:sz w:val="21"/>
          <w:szCs w:val="21"/>
          <w:highlight w:val="none"/>
          <w:lang w:val="en-US" w:eastAsia="zh-CN"/>
        </w:rPr>
        <w:t>电子件</w:t>
      </w:r>
      <w:r>
        <w:rPr>
          <w:rFonts w:hint="eastAsia" w:ascii="仿宋" w:hAnsi="仿宋" w:eastAsia="仿宋" w:cs="仿宋"/>
          <w:b w:val="0"/>
          <w:bCs w:val="0"/>
          <w:color w:val="auto"/>
          <w:sz w:val="21"/>
          <w:szCs w:val="21"/>
          <w:highlight w:val="none"/>
        </w:rPr>
        <w:t>作为证明材料（提供合同首页、</w:t>
      </w:r>
      <w:r>
        <w:rPr>
          <w:rFonts w:hint="eastAsia" w:ascii="仿宋" w:hAnsi="仿宋" w:eastAsia="仿宋" w:cs="仿宋"/>
          <w:b w:val="0"/>
          <w:bCs w:val="0"/>
          <w:color w:val="auto"/>
          <w:sz w:val="21"/>
          <w:szCs w:val="21"/>
          <w:highlight w:val="none"/>
          <w:lang w:val="en-US" w:eastAsia="zh-CN"/>
        </w:rPr>
        <w:t>金额页</w:t>
      </w:r>
      <w:r>
        <w:rPr>
          <w:rFonts w:hint="eastAsia" w:ascii="仿宋" w:hAnsi="仿宋" w:eastAsia="仿宋" w:cs="仿宋"/>
          <w:b w:val="0"/>
          <w:bCs w:val="0"/>
          <w:color w:val="auto"/>
          <w:sz w:val="21"/>
          <w:szCs w:val="21"/>
          <w:highlight w:val="none"/>
        </w:rPr>
        <w:t>、盖章页等关键页并加盖公章）。</w:t>
      </w:r>
    </w:p>
    <w:p w14:paraId="4CCA6AB2">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2、评标时如有必要，评标委员会将对此表进行信息核实，如提供虚假材料，有可能导致废标。</w:t>
      </w:r>
    </w:p>
    <w:p w14:paraId="5AF09AD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771B6E1">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F56C29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3E9D8978">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73467BB9">
      <w:pPr>
        <w:pStyle w:val="44"/>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p>
    <w:p w14:paraId="4F40EE77">
      <w:pPr>
        <w:pStyle w:val="44"/>
        <w:keepNext w:val="0"/>
        <w:keepLines w:val="0"/>
        <w:pageBreakBefore w:val="0"/>
        <w:widowControl w:val="0"/>
        <w:kinsoku/>
        <w:wordWrap w:val="0"/>
        <w:overflowPunct/>
        <w:topLinePunct/>
        <w:autoSpaceDE/>
        <w:autoSpaceDN/>
        <w:bidi w:val="0"/>
        <w:spacing w:line="360" w:lineRule="auto"/>
        <w:ind w:firstLine="0" w:firstLineChars="0"/>
        <w:jc w:val="both"/>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4</w:t>
      </w:r>
      <w:r>
        <w:rPr>
          <w:rFonts w:hint="eastAsia" w:ascii="仿宋" w:hAnsi="仿宋" w:eastAsia="仿宋" w:cs="仿宋"/>
          <w:b w:val="0"/>
          <w:bCs w:val="0"/>
          <w:color w:val="auto"/>
          <w:sz w:val="21"/>
          <w:szCs w:val="21"/>
          <w:highlight w:val="none"/>
        </w:rPr>
        <w:t>投标人认为需要提供的其他材料</w:t>
      </w:r>
    </w:p>
    <w:p w14:paraId="4347BB29">
      <w:pPr>
        <w:keepNext w:val="0"/>
        <w:keepLines w:val="0"/>
        <w:pageBreakBefore w:val="0"/>
        <w:widowControl w:val="0"/>
        <w:kinsoku/>
        <w:wordWrap w:val="0"/>
        <w:overflowPunct/>
        <w:topLinePunct/>
        <w:autoSpaceDE/>
        <w:autoSpaceDN/>
        <w:bidi w:val="0"/>
        <w:adjustRightInd w:val="0"/>
        <w:snapToGrid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5供货</w:t>
      </w:r>
      <w:r>
        <w:rPr>
          <w:rFonts w:hint="eastAsia" w:ascii="仿宋" w:hAnsi="仿宋" w:eastAsia="仿宋" w:cs="仿宋"/>
          <w:b w:val="0"/>
          <w:bCs w:val="0"/>
          <w:color w:val="auto"/>
          <w:sz w:val="21"/>
          <w:szCs w:val="21"/>
          <w:highlight w:val="none"/>
        </w:rPr>
        <w:t>方案相关资料</w:t>
      </w:r>
    </w:p>
    <w:p w14:paraId="042AC13E">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85AF613">
      <w:pPr>
        <w:keepNext w:val="0"/>
        <w:keepLines w:val="0"/>
        <w:pageBreakBefore w:val="0"/>
        <w:widowControl w:val="0"/>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投标人应根据招标文件的项目需求自行设计本附件内容。</w:t>
      </w:r>
    </w:p>
    <w:sectPr>
      <w:pgSz w:w="11907" w:h="16840"/>
      <w:pgMar w:top="1440" w:right="1080" w:bottom="1440" w:left="1080"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1" w:fontKey="{9CD60122-DA2D-4403-853F-201664A6654F}"/>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0A699">
    <w:pPr>
      <w:pStyle w:val="29"/>
      <w:tabs>
        <w:tab w:val="center" w:pos="473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54ECA">
    <w:pPr>
      <w:pStyle w:val="29"/>
      <w:rPr>
        <w:rStyle w:val="51"/>
      </w:rPr>
    </w:pPr>
  </w:p>
  <w:p w14:paraId="33AC6856">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B4337">
    <w:pPr>
      <w:pStyle w:val="29"/>
      <w:tabs>
        <w:tab w:val="center" w:pos="4730"/>
        <w:tab w:val="clear" w:pos="4153"/>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4419D">
    <w:pPr>
      <w:pStyle w:val="29"/>
      <w:tabs>
        <w:tab w:val="center" w:pos="473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91519">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C891519">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19FEE">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32BB52D9">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97839">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12A7">
    <w:pPr>
      <w:snapToGrid w:val="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05ED9">
                          <w:pPr>
                            <w:pStyle w:val="2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405ED9">
                    <w:pPr>
                      <w:pStyle w:val="2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3EDE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8DB547">
                          <w:pPr>
                            <w:pStyle w:val="2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68DB547">
                    <w:pPr>
                      <w:pStyle w:val="29"/>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93313">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B407FC">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0B407FC">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3E0F6">
    <w:pPr>
      <w:pStyle w:val="31"/>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FAC1">
    <w:pPr>
      <w:pStyle w:val="31"/>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1BFC9">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373AE">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7497">
    <w:pPr>
      <w:pStyle w:val="31"/>
      <w:jc w:val="right"/>
      <w:rPr>
        <w:rFonts w:hint="eastAsia" w:ascii="仿宋" w:hAnsi="仿宋" w:eastAsia="仿宋" w:cs="仿宋"/>
      </w:rPr>
    </w:pPr>
    <w:r>
      <w:rPr>
        <w:rFonts w:hint="eastAsia" w:ascii="仿宋" w:hAnsi="仿宋" w:eastAsia="仿宋" w:cs="仿宋"/>
      </w:rPr>
      <w:t>北京市政府采购项目公开招标文件示范文本</w:t>
    </w:r>
  </w:p>
  <w:p w14:paraId="495DE691">
    <w:pPr>
      <w:tabs>
        <w:tab w:val="center" w:pos="4153"/>
        <w:tab w:val="right" w:pos="8306"/>
      </w:tabs>
      <w:snapToGrid w:val="0"/>
      <w:rPr>
        <w:rFonts w:hint="eastAsia" w:ascii="仿宋" w:hAnsi="仿宋" w:eastAsia="仿宋" w:cs="仿宋"/>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4D354">
    <w:pPr>
      <w:pStyle w:val="3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4A66">
    <w:pPr>
      <w:pStyle w:val="31"/>
      <w:jc w:val="right"/>
      <w:rPr>
        <w:rFonts w:hint="eastAsia" w:ascii="仿宋" w:hAnsi="仿宋" w:eastAsia="仿宋" w:cs="仿宋"/>
      </w:rPr>
    </w:pPr>
    <w:r>
      <w:rPr>
        <w:rFonts w:hint="eastAsia" w:ascii="仿宋" w:hAnsi="仿宋" w:eastAsia="仿宋" w:cs="仿宋"/>
      </w:rPr>
      <w:t>北京市政府采购项目公开招标文件示范文本</w:t>
    </w:r>
  </w:p>
  <w:p w14:paraId="258EC645">
    <w:pPr>
      <w:tabs>
        <w:tab w:val="center" w:pos="4153"/>
        <w:tab w:val="right" w:pos="8306"/>
      </w:tabs>
      <w:snapToGrid w:val="0"/>
      <w:rPr>
        <w:rFonts w:hint="eastAsia" w:ascii="仿宋" w:hAnsi="仿宋" w:eastAsia="仿宋" w:cs="仿宋"/>
        <w:sz w:val="18"/>
        <w:szCs w:val="18"/>
        <w:lang w:val="en-US"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A43E">
    <w:pPr>
      <w:pStyle w:val="31"/>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62"/>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1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mVmM2NkNjU2MTYzNTZmNGRjMDhjMWFhZWNlZDAzZ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B0"/>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660"/>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3AD"/>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73"/>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54"/>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08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EB7"/>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31"/>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F2A"/>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5B9E"/>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E9A"/>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45"/>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E1"/>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B0A"/>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C60"/>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4FE"/>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CC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36"/>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31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33"/>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0D1"/>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675"/>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368"/>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5B"/>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0B2"/>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9C"/>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A0"/>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539"/>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128"/>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3192"/>
    <w:rsid w:val="01203FAE"/>
    <w:rsid w:val="01211AD4"/>
    <w:rsid w:val="01256EF0"/>
    <w:rsid w:val="01343C25"/>
    <w:rsid w:val="01343FA0"/>
    <w:rsid w:val="0136280C"/>
    <w:rsid w:val="01565C22"/>
    <w:rsid w:val="0160298A"/>
    <w:rsid w:val="01632365"/>
    <w:rsid w:val="016F48DB"/>
    <w:rsid w:val="01746CEE"/>
    <w:rsid w:val="01785B98"/>
    <w:rsid w:val="018C33F1"/>
    <w:rsid w:val="018F4C90"/>
    <w:rsid w:val="01981D96"/>
    <w:rsid w:val="01BD35AB"/>
    <w:rsid w:val="01C43E99"/>
    <w:rsid w:val="01CF16B2"/>
    <w:rsid w:val="01CF5268"/>
    <w:rsid w:val="01EB45BC"/>
    <w:rsid w:val="01F62F61"/>
    <w:rsid w:val="02005B8D"/>
    <w:rsid w:val="020236B3"/>
    <w:rsid w:val="020E4B37"/>
    <w:rsid w:val="021533E7"/>
    <w:rsid w:val="02224E5E"/>
    <w:rsid w:val="022A6766"/>
    <w:rsid w:val="023870D5"/>
    <w:rsid w:val="024E3704"/>
    <w:rsid w:val="02506277"/>
    <w:rsid w:val="025E5689"/>
    <w:rsid w:val="02647ECA"/>
    <w:rsid w:val="026C4FD1"/>
    <w:rsid w:val="027C2F1A"/>
    <w:rsid w:val="028B5DC6"/>
    <w:rsid w:val="028D0D85"/>
    <w:rsid w:val="029E01DD"/>
    <w:rsid w:val="029E162E"/>
    <w:rsid w:val="02A14FDF"/>
    <w:rsid w:val="02AF6722"/>
    <w:rsid w:val="02C42E58"/>
    <w:rsid w:val="02CC4B77"/>
    <w:rsid w:val="02CF1A58"/>
    <w:rsid w:val="02D952A3"/>
    <w:rsid w:val="02DF1815"/>
    <w:rsid w:val="02E02D8D"/>
    <w:rsid w:val="03087FE5"/>
    <w:rsid w:val="03093D9A"/>
    <w:rsid w:val="0317037B"/>
    <w:rsid w:val="0317318F"/>
    <w:rsid w:val="03183FDB"/>
    <w:rsid w:val="031B2C7F"/>
    <w:rsid w:val="03231B33"/>
    <w:rsid w:val="032C4E8C"/>
    <w:rsid w:val="033B6DFF"/>
    <w:rsid w:val="034675D0"/>
    <w:rsid w:val="035E31C7"/>
    <w:rsid w:val="03763367"/>
    <w:rsid w:val="037B196F"/>
    <w:rsid w:val="037D56E7"/>
    <w:rsid w:val="037E6D7C"/>
    <w:rsid w:val="0382317E"/>
    <w:rsid w:val="03870314"/>
    <w:rsid w:val="039A6968"/>
    <w:rsid w:val="03A55682"/>
    <w:rsid w:val="03AB7BDA"/>
    <w:rsid w:val="03B3053A"/>
    <w:rsid w:val="03BB1AFB"/>
    <w:rsid w:val="03D7095C"/>
    <w:rsid w:val="03E5328D"/>
    <w:rsid w:val="03E72B61"/>
    <w:rsid w:val="03F90AE6"/>
    <w:rsid w:val="04240EED"/>
    <w:rsid w:val="042E5399"/>
    <w:rsid w:val="045954B6"/>
    <w:rsid w:val="045A1585"/>
    <w:rsid w:val="04626346"/>
    <w:rsid w:val="04985BD3"/>
    <w:rsid w:val="049A5E25"/>
    <w:rsid w:val="049D6ACC"/>
    <w:rsid w:val="04AA0413"/>
    <w:rsid w:val="04B602E9"/>
    <w:rsid w:val="04E15105"/>
    <w:rsid w:val="04EF5DCF"/>
    <w:rsid w:val="04FE63B4"/>
    <w:rsid w:val="0512745A"/>
    <w:rsid w:val="0516577E"/>
    <w:rsid w:val="0543421B"/>
    <w:rsid w:val="05500BDA"/>
    <w:rsid w:val="05505DA5"/>
    <w:rsid w:val="05533A1A"/>
    <w:rsid w:val="055A4034"/>
    <w:rsid w:val="05606978"/>
    <w:rsid w:val="056106F1"/>
    <w:rsid w:val="05644397"/>
    <w:rsid w:val="0575419C"/>
    <w:rsid w:val="05893855"/>
    <w:rsid w:val="059E36F3"/>
    <w:rsid w:val="05A0746B"/>
    <w:rsid w:val="05A401A4"/>
    <w:rsid w:val="05A607FA"/>
    <w:rsid w:val="05AA02EA"/>
    <w:rsid w:val="05B44CC5"/>
    <w:rsid w:val="05BE1FE7"/>
    <w:rsid w:val="05C0366A"/>
    <w:rsid w:val="05D666A6"/>
    <w:rsid w:val="05D67331"/>
    <w:rsid w:val="05DB3CB7"/>
    <w:rsid w:val="05F041C0"/>
    <w:rsid w:val="05F61781"/>
    <w:rsid w:val="060C4B01"/>
    <w:rsid w:val="061D286A"/>
    <w:rsid w:val="062D722E"/>
    <w:rsid w:val="06336531"/>
    <w:rsid w:val="0639341C"/>
    <w:rsid w:val="064E0F7D"/>
    <w:rsid w:val="068A5032"/>
    <w:rsid w:val="06A579BF"/>
    <w:rsid w:val="06AB256C"/>
    <w:rsid w:val="06B75848"/>
    <w:rsid w:val="06BF1B73"/>
    <w:rsid w:val="06D26F70"/>
    <w:rsid w:val="06D6041C"/>
    <w:rsid w:val="06DF5D71"/>
    <w:rsid w:val="06E01ACB"/>
    <w:rsid w:val="06E72E78"/>
    <w:rsid w:val="06F7755F"/>
    <w:rsid w:val="06F85085"/>
    <w:rsid w:val="06FC4E0B"/>
    <w:rsid w:val="07013F3A"/>
    <w:rsid w:val="070B6B66"/>
    <w:rsid w:val="071719AF"/>
    <w:rsid w:val="072D11D3"/>
    <w:rsid w:val="0733430F"/>
    <w:rsid w:val="073D6597"/>
    <w:rsid w:val="07716F4D"/>
    <w:rsid w:val="077F28B3"/>
    <w:rsid w:val="078132CC"/>
    <w:rsid w:val="079254DA"/>
    <w:rsid w:val="07AA0D3A"/>
    <w:rsid w:val="07AA637F"/>
    <w:rsid w:val="07AD5E6F"/>
    <w:rsid w:val="07B2792A"/>
    <w:rsid w:val="07D57174"/>
    <w:rsid w:val="07D6305C"/>
    <w:rsid w:val="07E9545C"/>
    <w:rsid w:val="080812F8"/>
    <w:rsid w:val="080F08D8"/>
    <w:rsid w:val="08165F87"/>
    <w:rsid w:val="08234B4B"/>
    <w:rsid w:val="08234BB9"/>
    <w:rsid w:val="083A4976"/>
    <w:rsid w:val="0842480A"/>
    <w:rsid w:val="0849203C"/>
    <w:rsid w:val="084A51A2"/>
    <w:rsid w:val="086C5D2B"/>
    <w:rsid w:val="086E55FF"/>
    <w:rsid w:val="087846CF"/>
    <w:rsid w:val="089332B7"/>
    <w:rsid w:val="08A97246"/>
    <w:rsid w:val="08AF79C5"/>
    <w:rsid w:val="08C47915"/>
    <w:rsid w:val="08D078DC"/>
    <w:rsid w:val="08D4315B"/>
    <w:rsid w:val="08F02F50"/>
    <w:rsid w:val="08F07638"/>
    <w:rsid w:val="08F17FDE"/>
    <w:rsid w:val="08F33D56"/>
    <w:rsid w:val="08F55D20"/>
    <w:rsid w:val="09057173"/>
    <w:rsid w:val="09144ED2"/>
    <w:rsid w:val="09325D70"/>
    <w:rsid w:val="093D7783"/>
    <w:rsid w:val="09442803"/>
    <w:rsid w:val="094A6D04"/>
    <w:rsid w:val="09563A40"/>
    <w:rsid w:val="096F1582"/>
    <w:rsid w:val="097940F5"/>
    <w:rsid w:val="098D5F59"/>
    <w:rsid w:val="099E65D1"/>
    <w:rsid w:val="09A566CA"/>
    <w:rsid w:val="09A84B40"/>
    <w:rsid w:val="09AB1135"/>
    <w:rsid w:val="09AD65FB"/>
    <w:rsid w:val="09B419BD"/>
    <w:rsid w:val="09C444A3"/>
    <w:rsid w:val="09C63218"/>
    <w:rsid w:val="09C91CD1"/>
    <w:rsid w:val="09E42506"/>
    <w:rsid w:val="0A033204"/>
    <w:rsid w:val="0A052104"/>
    <w:rsid w:val="0A067AB9"/>
    <w:rsid w:val="0A0819A3"/>
    <w:rsid w:val="0A0F4BBF"/>
    <w:rsid w:val="0A4B5296"/>
    <w:rsid w:val="0A546366"/>
    <w:rsid w:val="0A682522"/>
    <w:rsid w:val="0A7B64D2"/>
    <w:rsid w:val="0A83110A"/>
    <w:rsid w:val="0A843939"/>
    <w:rsid w:val="0A886720"/>
    <w:rsid w:val="0A8C7533"/>
    <w:rsid w:val="0A8D0153"/>
    <w:rsid w:val="0AA04FBE"/>
    <w:rsid w:val="0AA755E9"/>
    <w:rsid w:val="0AB82E3A"/>
    <w:rsid w:val="0AC43BFC"/>
    <w:rsid w:val="0AF84849"/>
    <w:rsid w:val="0B081429"/>
    <w:rsid w:val="0B187589"/>
    <w:rsid w:val="0B275F39"/>
    <w:rsid w:val="0B2C1493"/>
    <w:rsid w:val="0B660C1A"/>
    <w:rsid w:val="0B7D7BCE"/>
    <w:rsid w:val="0B971310"/>
    <w:rsid w:val="0B9E269F"/>
    <w:rsid w:val="0BA650B0"/>
    <w:rsid w:val="0BA852CC"/>
    <w:rsid w:val="0BB30FB1"/>
    <w:rsid w:val="0BDB4C57"/>
    <w:rsid w:val="0BE03E21"/>
    <w:rsid w:val="0BEA58E4"/>
    <w:rsid w:val="0BFF6716"/>
    <w:rsid w:val="0C043E8E"/>
    <w:rsid w:val="0C1838CF"/>
    <w:rsid w:val="0C1E10EA"/>
    <w:rsid w:val="0C21292D"/>
    <w:rsid w:val="0C434D7C"/>
    <w:rsid w:val="0C45067E"/>
    <w:rsid w:val="0C6765FF"/>
    <w:rsid w:val="0C6A3E27"/>
    <w:rsid w:val="0C6B4883"/>
    <w:rsid w:val="0C772B81"/>
    <w:rsid w:val="0C7B0C28"/>
    <w:rsid w:val="0C7C4062"/>
    <w:rsid w:val="0CAF61E6"/>
    <w:rsid w:val="0CE55B25"/>
    <w:rsid w:val="0CE75980"/>
    <w:rsid w:val="0CFD33F5"/>
    <w:rsid w:val="0D097FEC"/>
    <w:rsid w:val="0D2315F2"/>
    <w:rsid w:val="0D2614CB"/>
    <w:rsid w:val="0D3A1F36"/>
    <w:rsid w:val="0D485ED6"/>
    <w:rsid w:val="0D5940F5"/>
    <w:rsid w:val="0D5B4EAB"/>
    <w:rsid w:val="0D6613E9"/>
    <w:rsid w:val="0D892EDB"/>
    <w:rsid w:val="0D904269"/>
    <w:rsid w:val="0D9773A6"/>
    <w:rsid w:val="0D984DF0"/>
    <w:rsid w:val="0DA5675A"/>
    <w:rsid w:val="0DDE4FD5"/>
    <w:rsid w:val="0DE275F0"/>
    <w:rsid w:val="0DEB519A"/>
    <w:rsid w:val="0DEE45AB"/>
    <w:rsid w:val="0DF77E44"/>
    <w:rsid w:val="0E0A401C"/>
    <w:rsid w:val="0E1A2C0C"/>
    <w:rsid w:val="0E1A53DD"/>
    <w:rsid w:val="0E1D5E71"/>
    <w:rsid w:val="0E22235E"/>
    <w:rsid w:val="0E296635"/>
    <w:rsid w:val="0E2D3B72"/>
    <w:rsid w:val="0E303356"/>
    <w:rsid w:val="0E4806A0"/>
    <w:rsid w:val="0E4A4418"/>
    <w:rsid w:val="0E67321C"/>
    <w:rsid w:val="0E7C67CB"/>
    <w:rsid w:val="0E89670B"/>
    <w:rsid w:val="0EA31D7A"/>
    <w:rsid w:val="0EA44CBA"/>
    <w:rsid w:val="0EAA5352"/>
    <w:rsid w:val="0EB21FBD"/>
    <w:rsid w:val="0EB30E74"/>
    <w:rsid w:val="0ECC12D1"/>
    <w:rsid w:val="0ECE64E3"/>
    <w:rsid w:val="0EDE2DB2"/>
    <w:rsid w:val="0EE35051"/>
    <w:rsid w:val="0EE40F40"/>
    <w:rsid w:val="0EF8023C"/>
    <w:rsid w:val="0F1121FC"/>
    <w:rsid w:val="0F19203C"/>
    <w:rsid w:val="0F1A1E09"/>
    <w:rsid w:val="0F225395"/>
    <w:rsid w:val="0F230706"/>
    <w:rsid w:val="0F727744"/>
    <w:rsid w:val="0F733D4C"/>
    <w:rsid w:val="0F8A4A20"/>
    <w:rsid w:val="0FA1450C"/>
    <w:rsid w:val="0FAE6C29"/>
    <w:rsid w:val="0FBC0705"/>
    <w:rsid w:val="0FC149A6"/>
    <w:rsid w:val="0FE01357"/>
    <w:rsid w:val="0FE8213B"/>
    <w:rsid w:val="0FF878CB"/>
    <w:rsid w:val="0FFB1273"/>
    <w:rsid w:val="100466E4"/>
    <w:rsid w:val="101939DC"/>
    <w:rsid w:val="1021383C"/>
    <w:rsid w:val="102173FB"/>
    <w:rsid w:val="102B0279"/>
    <w:rsid w:val="102F2E92"/>
    <w:rsid w:val="10433F2A"/>
    <w:rsid w:val="104345D2"/>
    <w:rsid w:val="10492FA1"/>
    <w:rsid w:val="108A31F2"/>
    <w:rsid w:val="108F0808"/>
    <w:rsid w:val="109010D1"/>
    <w:rsid w:val="10A51DDA"/>
    <w:rsid w:val="10A6034C"/>
    <w:rsid w:val="10B04531"/>
    <w:rsid w:val="10BC7123"/>
    <w:rsid w:val="10BD3521"/>
    <w:rsid w:val="10D34D34"/>
    <w:rsid w:val="10D44FF5"/>
    <w:rsid w:val="10D60BC7"/>
    <w:rsid w:val="10F56B70"/>
    <w:rsid w:val="10F71E45"/>
    <w:rsid w:val="11002D49"/>
    <w:rsid w:val="11031AF2"/>
    <w:rsid w:val="110A4F99"/>
    <w:rsid w:val="110C1E59"/>
    <w:rsid w:val="1111121D"/>
    <w:rsid w:val="111F6564"/>
    <w:rsid w:val="113B2727"/>
    <w:rsid w:val="11421BA5"/>
    <w:rsid w:val="11523EB4"/>
    <w:rsid w:val="11535CDA"/>
    <w:rsid w:val="11561326"/>
    <w:rsid w:val="116F3259"/>
    <w:rsid w:val="11751647"/>
    <w:rsid w:val="117A14B8"/>
    <w:rsid w:val="117D1F70"/>
    <w:rsid w:val="11867E5D"/>
    <w:rsid w:val="118916FB"/>
    <w:rsid w:val="11A35E37"/>
    <w:rsid w:val="11A37A34"/>
    <w:rsid w:val="11A43CBD"/>
    <w:rsid w:val="11B60016"/>
    <w:rsid w:val="11BA18B5"/>
    <w:rsid w:val="11BF6ECB"/>
    <w:rsid w:val="11C511D1"/>
    <w:rsid w:val="11E15093"/>
    <w:rsid w:val="11E26FD0"/>
    <w:rsid w:val="11FD79F3"/>
    <w:rsid w:val="12130C14"/>
    <w:rsid w:val="121A67F7"/>
    <w:rsid w:val="1232769D"/>
    <w:rsid w:val="12624D01"/>
    <w:rsid w:val="12985CEA"/>
    <w:rsid w:val="12B10F0A"/>
    <w:rsid w:val="12B1370B"/>
    <w:rsid w:val="12C405D5"/>
    <w:rsid w:val="12C86253"/>
    <w:rsid w:val="12DB3668"/>
    <w:rsid w:val="12F17558"/>
    <w:rsid w:val="1304031C"/>
    <w:rsid w:val="13054DB2"/>
    <w:rsid w:val="13203999"/>
    <w:rsid w:val="134223C1"/>
    <w:rsid w:val="134578A4"/>
    <w:rsid w:val="134A6C68"/>
    <w:rsid w:val="134F3535"/>
    <w:rsid w:val="13596EAB"/>
    <w:rsid w:val="135A334F"/>
    <w:rsid w:val="136523E5"/>
    <w:rsid w:val="13960100"/>
    <w:rsid w:val="139D253E"/>
    <w:rsid w:val="13BA06E0"/>
    <w:rsid w:val="13BA0C00"/>
    <w:rsid w:val="13BC7D4B"/>
    <w:rsid w:val="13C70351"/>
    <w:rsid w:val="13C9759C"/>
    <w:rsid w:val="13E1581F"/>
    <w:rsid w:val="13E34BA1"/>
    <w:rsid w:val="14117786"/>
    <w:rsid w:val="14157276"/>
    <w:rsid w:val="14235B4B"/>
    <w:rsid w:val="143C2A55"/>
    <w:rsid w:val="14457303"/>
    <w:rsid w:val="144A5C3F"/>
    <w:rsid w:val="145C30F7"/>
    <w:rsid w:val="145E5B2E"/>
    <w:rsid w:val="145E6E6F"/>
    <w:rsid w:val="145F6743"/>
    <w:rsid w:val="1468526F"/>
    <w:rsid w:val="14693A81"/>
    <w:rsid w:val="147072F3"/>
    <w:rsid w:val="1482021A"/>
    <w:rsid w:val="148948CC"/>
    <w:rsid w:val="14904B4F"/>
    <w:rsid w:val="1494463F"/>
    <w:rsid w:val="14953D1B"/>
    <w:rsid w:val="14B3366C"/>
    <w:rsid w:val="14BE346A"/>
    <w:rsid w:val="14BE363F"/>
    <w:rsid w:val="14C33848"/>
    <w:rsid w:val="14C401F3"/>
    <w:rsid w:val="14C469E5"/>
    <w:rsid w:val="14DF7617"/>
    <w:rsid w:val="14E03EB7"/>
    <w:rsid w:val="14E66B54"/>
    <w:rsid w:val="14EB6229"/>
    <w:rsid w:val="150537A2"/>
    <w:rsid w:val="1509710E"/>
    <w:rsid w:val="15190FE8"/>
    <w:rsid w:val="15282FD9"/>
    <w:rsid w:val="153233EA"/>
    <w:rsid w:val="1537321C"/>
    <w:rsid w:val="1542409B"/>
    <w:rsid w:val="1543358D"/>
    <w:rsid w:val="154D3D0F"/>
    <w:rsid w:val="15793835"/>
    <w:rsid w:val="157D01C2"/>
    <w:rsid w:val="15A56863"/>
    <w:rsid w:val="15AA22AC"/>
    <w:rsid w:val="15AE5BDA"/>
    <w:rsid w:val="15C050DC"/>
    <w:rsid w:val="15C90318"/>
    <w:rsid w:val="15CE592F"/>
    <w:rsid w:val="15D1541F"/>
    <w:rsid w:val="15D76017"/>
    <w:rsid w:val="15D96718"/>
    <w:rsid w:val="15F03903"/>
    <w:rsid w:val="1606134D"/>
    <w:rsid w:val="161F43DC"/>
    <w:rsid w:val="161F67E4"/>
    <w:rsid w:val="16226447"/>
    <w:rsid w:val="16290DB7"/>
    <w:rsid w:val="163065E9"/>
    <w:rsid w:val="16337B04"/>
    <w:rsid w:val="16411302"/>
    <w:rsid w:val="16450281"/>
    <w:rsid w:val="16461969"/>
    <w:rsid w:val="1647748F"/>
    <w:rsid w:val="16511E04"/>
    <w:rsid w:val="165F6ECF"/>
    <w:rsid w:val="166242C9"/>
    <w:rsid w:val="16704C38"/>
    <w:rsid w:val="1683496B"/>
    <w:rsid w:val="16AE17C4"/>
    <w:rsid w:val="16AF087E"/>
    <w:rsid w:val="16B04FB9"/>
    <w:rsid w:val="16B25250"/>
    <w:rsid w:val="16B8213B"/>
    <w:rsid w:val="16C136E5"/>
    <w:rsid w:val="16CC4037"/>
    <w:rsid w:val="16D927DD"/>
    <w:rsid w:val="16DB5FED"/>
    <w:rsid w:val="16DC7BBA"/>
    <w:rsid w:val="16E71F08"/>
    <w:rsid w:val="17005FBC"/>
    <w:rsid w:val="17013AE2"/>
    <w:rsid w:val="171D2EE8"/>
    <w:rsid w:val="171D6872"/>
    <w:rsid w:val="172D0D7B"/>
    <w:rsid w:val="173619DD"/>
    <w:rsid w:val="17417784"/>
    <w:rsid w:val="1750223C"/>
    <w:rsid w:val="17572FBC"/>
    <w:rsid w:val="176F4DAB"/>
    <w:rsid w:val="177916BB"/>
    <w:rsid w:val="17DF46ED"/>
    <w:rsid w:val="17F84EE5"/>
    <w:rsid w:val="17F93E0B"/>
    <w:rsid w:val="1814164D"/>
    <w:rsid w:val="18153CE9"/>
    <w:rsid w:val="1826421D"/>
    <w:rsid w:val="18316649"/>
    <w:rsid w:val="1833416F"/>
    <w:rsid w:val="18540BAD"/>
    <w:rsid w:val="186E51F9"/>
    <w:rsid w:val="187F5606"/>
    <w:rsid w:val="189A5F9C"/>
    <w:rsid w:val="18B727CA"/>
    <w:rsid w:val="18BF01DF"/>
    <w:rsid w:val="18C96881"/>
    <w:rsid w:val="18D203E7"/>
    <w:rsid w:val="18D47700"/>
    <w:rsid w:val="18D851B5"/>
    <w:rsid w:val="18DF42F7"/>
    <w:rsid w:val="18E65685"/>
    <w:rsid w:val="18EE6EBD"/>
    <w:rsid w:val="190653E0"/>
    <w:rsid w:val="19067AA1"/>
    <w:rsid w:val="190E24E6"/>
    <w:rsid w:val="19151AC7"/>
    <w:rsid w:val="19297320"/>
    <w:rsid w:val="19311B56"/>
    <w:rsid w:val="194C3497"/>
    <w:rsid w:val="19765580"/>
    <w:rsid w:val="19873C1D"/>
    <w:rsid w:val="19B137D8"/>
    <w:rsid w:val="19CD3751"/>
    <w:rsid w:val="19CE23A1"/>
    <w:rsid w:val="19D67508"/>
    <w:rsid w:val="19EE2A43"/>
    <w:rsid w:val="19F142E2"/>
    <w:rsid w:val="1A0F5BFA"/>
    <w:rsid w:val="1A246465"/>
    <w:rsid w:val="1A2D49C4"/>
    <w:rsid w:val="1A3D1234"/>
    <w:rsid w:val="1A5328A6"/>
    <w:rsid w:val="1A7840BB"/>
    <w:rsid w:val="1A7C004F"/>
    <w:rsid w:val="1A813BD5"/>
    <w:rsid w:val="1A881766"/>
    <w:rsid w:val="1AB1581F"/>
    <w:rsid w:val="1AB75FA6"/>
    <w:rsid w:val="1ACE4623"/>
    <w:rsid w:val="1ADA7A44"/>
    <w:rsid w:val="1AE844BC"/>
    <w:rsid w:val="1AF937C9"/>
    <w:rsid w:val="1B02294E"/>
    <w:rsid w:val="1B2B548A"/>
    <w:rsid w:val="1B356A9D"/>
    <w:rsid w:val="1B4548E5"/>
    <w:rsid w:val="1B5623CB"/>
    <w:rsid w:val="1B593EEC"/>
    <w:rsid w:val="1B8847D2"/>
    <w:rsid w:val="1B8F790E"/>
    <w:rsid w:val="1B952EC6"/>
    <w:rsid w:val="1B976E2D"/>
    <w:rsid w:val="1BA15893"/>
    <w:rsid w:val="1BB2184F"/>
    <w:rsid w:val="1BB41D9C"/>
    <w:rsid w:val="1BB90675"/>
    <w:rsid w:val="1BD244C7"/>
    <w:rsid w:val="1BD32925"/>
    <w:rsid w:val="1BDB348B"/>
    <w:rsid w:val="1BEA2D97"/>
    <w:rsid w:val="1C011659"/>
    <w:rsid w:val="1C0227D6"/>
    <w:rsid w:val="1C2D4629"/>
    <w:rsid w:val="1C455CA5"/>
    <w:rsid w:val="1C4F6411"/>
    <w:rsid w:val="1C5F7AD6"/>
    <w:rsid w:val="1C69096F"/>
    <w:rsid w:val="1C6E39C8"/>
    <w:rsid w:val="1C8078E6"/>
    <w:rsid w:val="1C856F63"/>
    <w:rsid w:val="1CA67605"/>
    <w:rsid w:val="1CB3587E"/>
    <w:rsid w:val="1CCC570F"/>
    <w:rsid w:val="1CFF0991"/>
    <w:rsid w:val="1D036806"/>
    <w:rsid w:val="1D0936F0"/>
    <w:rsid w:val="1D0C4F8F"/>
    <w:rsid w:val="1D1B44A9"/>
    <w:rsid w:val="1D2C69D2"/>
    <w:rsid w:val="1D570900"/>
    <w:rsid w:val="1D5D57EA"/>
    <w:rsid w:val="1D7274E7"/>
    <w:rsid w:val="1D7A68B9"/>
    <w:rsid w:val="1D9C67E9"/>
    <w:rsid w:val="1DC13FCB"/>
    <w:rsid w:val="1DC64350"/>
    <w:rsid w:val="1DCA10D2"/>
    <w:rsid w:val="1DD0420E"/>
    <w:rsid w:val="1DD75487"/>
    <w:rsid w:val="1DE57CB9"/>
    <w:rsid w:val="1E09504B"/>
    <w:rsid w:val="1E172574"/>
    <w:rsid w:val="1E2C2424"/>
    <w:rsid w:val="1E323280"/>
    <w:rsid w:val="1E4002A6"/>
    <w:rsid w:val="1E432C32"/>
    <w:rsid w:val="1E4C1AE7"/>
    <w:rsid w:val="1E5438EA"/>
    <w:rsid w:val="1E714198"/>
    <w:rsid w:val="1E934CC5"/>
    <w:rsid w:val="1EBB0A1A"/>
    <w:rsid w:val="1EC11CD6"/>
    <w:rsid w:val="1ECD408D"/>
    <w:rsid w:val="1ED06D2B"/>
    <w:rsid w:val="1EE617A3"/>
    <w:rsid w:val="1EF270E6"/>
    <w:rsid w:val="1EFF2FFD"/>
    <w:rsid w:val="1F1D16D5"/>
    <w:rsid w:val="1F1F77CB"/>
    <w:rsid w:val="1F2D73A2"/>
    <w:rsid w:val="1F301408"/>
    <w:rsid w:val="1F355E9A"/>
    <w:rsid w:val="1F3E5968"/>
    <w:rsid w:val="1F4D1FBA"/>
    <w:rsid w:val="1F5A0233"/>
    <w:rsid w:val="1F707A57"/>
    <w:rsid w:val="1F72557D"/>
    <w:rsid w:val="1F752B76"/>
    <w:rsid w:val="1F931E30"/>
    <w:rsid w:val="1F957AD4"/>
    <w:rsid w:val="1FB12B1C"/>
    <w:rsid w:val="1FBB633A"/>
    <w:rsid w:val="1FC41B50"/>
    <w:rsid w:val="1FDA25C0"/>
    <w:rsid w:val="1FE12599"/>
    <w:rsid w:val="1FE91D49"/>
    <w:rsid w:val="20102EB5"/>
    <w:rsid w:val="20174376"/>
    <w:rsid w:val="201E74B3"/>
    <w:rsid w:val="2020147D"/>
    <w:rsid w:val="202071F2"/>
    <w:rsid w:val="202A1A39"/>
    <w:rsid w:val="202A7DFC"/>
    <w:rsid w:val="203767C6"/>
    <w:rsid w:val="20495DA5"/>
    <w:rsid w:val="204C4020"/>
    <w:rsid w:val="20531852"/>
    <w:rsid w:val="20592BE1"/>
    <w:rsid w:val="206E52B8"/>
    <w:rsid w:val="20790B8D"/>
    <w:rsid w:val="208C266E"/>
    <w:rsid w:val="209F6378"/>
    <w:rsid w:val="20AC0F62"/>
    <w:rsid w:val="20AE273E"/>
    <w:rsid w:val="20B41BC5"/>
    <w:rsid w:val="20D76E58"/>
    <w:rsid w:val="20EC0C4F"/>
    <w:rsid w:val="210743EB"/>
    <w:rsid w:val="21090163"/>
    <w:rsid w:val="2112552E"/>
    <w:rsid w:val="21303322"/>
    <w:rsid w:val="21340B44"/>
    <w:rsid w:val="215C64E4"/>
    <w:rsid w:val="215D7CAE"/>
    <w:rsid w:val="216D6944"/>
    <w:rsid w:val="218E5E49"/>
    <w:rsid w:val="21B53E47"/>
    <w:rsid w:val="21BE2CFB"/>
    <w:rsid w:val="21D3134C"/>
    <w:rsid w:val="21D56297"/>
    <w:rsid w:val="21D6555B"/>
    <w:rsid w:val="21FD729B"/>
    <w:rsid w:val="220801C4"/>
    <w:rsid w:val="222B1F06"/>
    <w:rsid w:val="22370CEE"/>
    <w:rsid w:val="22455CB6"/>
    <w:rsid w:val="22525B39"/>
    <w:rsid w:val="225355F8"/>
    <w:rsid w:val="226F3F88"/>
    <w:rsid w:val="228F3E7B"/>
    <w:rsid w:val="22AF75E1"/>
    <w:rsid w:val="22C4136F"/>
    <w:rsid w:val="22D91657"/>
    <w:rsid w:val="22FF5749"/>
    <w:rsid w:val="230014D0"/>
    <w:rsid w:val="230B6414"/>
    <w:rsid w:val="23137EF7"/>
    <w:rsid w:val="23331D69"/>
    <w:rsid w:val="233D0598"/>
    <w:rsid w:val="2366460D"/>
    <w:rsid w:val="23700025"/>
    <w:rsid w:val="2375131B"/>
    <w:rsid w:val="23827D58"/>
    <w:rsid w:val="239006C7"/>
    <w:rsid w:val="23982893"/>
    <w:rsid w:val="2398757C"/>
    <w:rsid w:val="239D403D"/>
    <w:rsid w:val="239E00B4"/>
    <w:rsid w:val="23B2555A"/>
    <w:rsid w:val="23BC770E"/>
    <w:rsid w:val="23D71405"/>
    <w:rsid w:val="23E17175"/>
    <w:rsid w:val="23EA239B"/>
    <w:rsid w:val="241A0B5A"/>
    <w:rsid w:val="241A4435"/>
    <w:rsid w:val="242304F0"/>
    <w:rsid w:val="242B03F0"/>
    <w:rsid w:val="243279D1"/>
    <w:rsid w:val="243C570C"/>
    <w:rsid w:val="244A2F6C"/>
    <w:rsid w:val="245A56AD"/>
    <w:rsid w:val="245E07C6"/>
    <w:rsid w:val="24620F42"/>
    <w:rsid w:val="2462766C"/>
    <w:rsid w:val="24690BB3"/>
    <w:rsid w:val="24771D12"/>
    <w:rsid w:val="248B5AF9"/>
    <w:rsid w:val="24A4525D"/>
    <w:rsid w:val="24A7208E"/>
    <w:rsid w:val="24BC4AE1"/>
    <w:rsid w:val="24CF3CF1"/>
    <w:rsid w:val="24DD793C"/>
    <w:rsid w:val="24DE1C7D"/>
    <w:rsid w:val="25192833"/>
    <w:rsid w:val="251D41DD"/>
    <w:rsid w:val="251D5F8B"/>
    <w:rsid w:val="251E74A4"/>
    <w:rsid w:val="25387269"/>
    <w:rsid w:val="253E511F"/>
    <w:rsid w:val="25496D80"/>
    <w:rsid w:val="254C2A1B"/>
    <w:rsid w:val="255068F0"/>
    <w:rsid w:val="255B6AB3"/>
    <w:rsid w:val="25654055"/>
    <w:rsid w:val="256716F0"/>
    <w:rsid w:val="2584600A"/>
    <w:rsid w:val="25873D4C"/>
    <w:rsid w:val="25A00E3D"/>
    <w:rsid w:val="25AB3597"/>
    <w:rsid w:val="25AC730F"/>
    <w:rsid w:val="25D85D7E"/>
    <w:rsid w:val="25DE1575"/>
    <w:rsid w:val="25E52E51"/>
    <w:rsid w:val="25FE0D5E"/>
    <w:rsid w:val="2602685B"/>
    <w:rsid w:val="260450DB"/>
    <w:rsid w:val="26193F32"/>
    <w:rsid w:val="264F6618"/>
    <w:rsid w:val="265E102D"/>
    <w:rsid w:val="26844DDC"/>
    <w:rsid w:val="26A115D6"/>
    <w:rsid w:val="26A5092E"/>
    <w:rsid w:val="26A56466"/>
    <w:rsid w:val="26AC220D"/>
    <w:rsid w:val="26B50445"/>
    <w:rsid w:val="26C43A6E"/>
    <w:rsid w:val="26C62652"/>
    <w:rsid w:val="26D703BB"/>
    <w:rsid w:val="26DF742E"/>
    <w:rsid w:val="26EE1E12"/>
    <w:rsid w:val="26F62F37"/>
    <w:rsid w:val="26F82F83"/>
    <w:rsid w:val="2707581A"/>
    <w:rsid w:val="27127645"/>
    <w:rsid w:val="27144592"/>
    <w:rsid w:val="27421CD9"/>
    <w:rsid w:val="274301E8"/>
    <w:rsid w:val="274517C9"/>
    <w:rsid w:val="274E4F2E"/>
    <w:rsid w:val="27557702"/>
    <w:rsid w:val="2758774E"/>
    <w:rsid w:val="275A3968"/>
    <w:rsid w:val="27756424"/>
    <w:rsid w:val="27843CE5"/>
    <w:rsid w:val="278772D4"/>
    <w:rsid w:val="27B81C74"/>
    <w:rsid w:val="27E601D4"/>
    <w:rsid w:val="27EB6814"/>
    <w:rsid w:val="27F60D15"/>
    <w:rsid w:val="28017DE6"/>
    <w:rsid w:val="281713B7"/>
    <w:rsid w:val="281B5692"/>
    <w:rsid w:val="28221B0A"/>
    <w:rsid w:val="283830DC"/>
    <w:rsid w:val="2858552C"/>
    <w:rsid w:val="285C326E"/>
    <w:rsid w:val="285D746B"/>
    <w:rsid w:val="286918F0"/>
    <w:rsid w:val="286F2FA1"/>
    <w:rsid w:val="28732366"/>
    <w:rsid w:val="289E73E3"/>
    <w:rsid w:val="28A35D2A"/>
    <w:rsid w:val="28A40771"/>
    <w:rsid w:val="28BE1833"/>
    <w:rsid w:val="28BE1F7F"/>
    <w:rsid w:val="28C11323"/>
    <w:rsid w:val="28CF3A40"/>
    <w:rsid w:val="28D102AE"/>
    <w:rsid w:val="28D42E04"/>
    <w:rsid w:val="28DC36D3"/>
    <w:rsid w:val="28EF4539"/>
    <w:rsid w:val="290114EB"/>
    <w:rsid w:val="2914410B"/>
    <w:rsid w:val="29285EFD"/>
    <w:rsid w:val="292D0766"/>
    <w:rsid w:val="29353E22"/>
    <w:rsid w:val="29424212"/>
    <w:rsid w:val="294352CC"/>
    <w:rsid w:val="294C5091"/>
    <w:rsid w:val="294D2BB7"/>
    <w:rsid w:val="296642D8"/>
    <w:rsid w:val="29764DB1"/>
    <w:rsid w:val="2977419A"/>
    <w:rsid w:val="297939AC"/>
    <w:rsid w:val="29800FFC"/>
    <w:rsid w:val="2991163B"/>
    <w:rsid w:val="29B844D4"/>
    <w:rsid w:val="29EC0622"/>
    <w:rsid w:val="2A2C4D44"/>
    <w:rsid w:val="2A3A75DF"/>
    <w:rsid w:val="2A3D3173"/>
    <w:rsid w:val="2A4B5348"/>
    <w:rsid w:val="2A697EC4"/>
    <w:rsid w:val="2A6B55DE"/>
    <w:rsid w:val="2A742AF1"/>
    <w:rsid w:val="2A950CB9"/>
    <w:rsid w:val="2A9513C6"/>
    <w:rsid w:val="2AB96BDA"/>
    <w:rsid w:val="2ACB6489"/>
    <w:rsid w:val="2AE54AB6"/>
    <w:rsid w:val="2AED2E8D"/>
    <w:rsid w:val="2AF116AC"/>
    <w:rsid w:val="2AFF4C94"/>
    <w:rsid w:val="2B2838DB"/>
    <w:rsid w:val="2B30064C"/>
    <w:rsid w:val="2B587C5B"/>
    <w:rsid w:val="2B634913"/>
    <w:rsid w:val="2B6A01B8"/>
    <w:rsid w:val="2BA0794B"/>
    <w:rsid w:val="2BA32F62"/>
    <w:rsid w:val="2BBF5E5B"/>
    <w:rsid w:val="2BDA70E6"/>
    <w:rsid w:val="2BE1693C"/>
    <w:rsid w:val="2BFE692D"/>
    <w:rsid w:val="2C0167A4"/>
    <w:rsid w:val="2C1F1FBF"/>
    <w:rsid w:val="2C201C60"/>
    <w:rsid w:val="2C351F7F"/>
    <w:rsid w:val="2C3A5674"/>
    <w:rsid w:val="2C4E6D38"/>
    <w:rsid w:val="2C554FCF"/>
    <w:rsid w:val="2C604777"/>
    <w:rsid w:val="2C6B2C21"/>
    <w:rsid w:val="2C714D86"/>
    <w:rsid w:val="2C81324C"/>
    <w:rsid w:val="2C9E3E55"/>
    <w:rsid w:val="2CA60F5C"/>
    <w:rsid w:val="2CDC4194"/>
    <w:rsid w:val="2CE13D42"/>
    <w:rsid w:val="2CED0939"/>
    <w:rsid w:val="2CF950D6"/>
    <w:rsid w:val="2CFF3F4B"/>
    <w:rsid w:val="2D041D8F"/>
    <w:rsid w:val="2D0C65EF"/>
    <w:rsid w:val="2D3A16A4"/>
    <w:rsid w:val="2D455150"/>
    <w:rsid w:val="2D4B150D"/>
    <w:rsid w:val="2D7C300A"/>
    <w:rsid w:val="2D7E77E3"/>
    <w:rsid w:val="2D8114FB"/>
    <w:rsid w:val="2D8C67ED"/>
    <w:rsid w:val="2D8D04FD"/>
    <w:rsid w:val="2D9708A4"/>
    <w:rsid w:val="2D9B2143"/>
    <w:rsid w:val="2DA25052"/>
    <w:rsid w:val="2DB46201"/>
    <w:rsid w:val="2DBE5AC1"/>
    <w:rsid w:val="2DC43E7F"/>
    <w:rsid w:val="2DF77787"/>
    <w:rsid w:val="2E083B7F"/>
    <w:rsid w:val="2E56075F"/>
    <w:rsid w:val="2E7E4C4B"/>
    <w:rsid w:val="2EC60C00"/>
    <w:rsid w:val="2EDA6BAD"/>
    <w:rsid w:val="2EE93382"/>
    <w:rsid w:val="2EEF10D4"/>
    <w:rsid w:val="2F1403FE"/>
    <w:rsid w:val="2F260132"/>
    <w:rsid w:val="2F2F36B1"/>
    <w:rsid w:val="2F3326A3"/>
    <w:rsid w:val="2F52478B"/>
    <w:rsid w:val="2F650C5A"/>
    <w:rsid w:val="2F85760A"/>
    <w:rsid w:val="2F8B61E7"/>
    <w:rsid w:val="2F923A19"/>
    <w:rsid w:val="2F9466BB"/>
    <w:rsid w:val="2F996F10"/>
    <w:rsid w:val="2F9E5F1A"/>
    <w:rsid w:val="2FA87094"/>
    <w:rsid w:val="2FB8401F"/>
    <w:rsid w:val="2FD159CA"/>
    <w:rsid w:val="2FD67E3E"/>
    <w:rsid w:val="2FEC137B"/>
    <w:rsid w:val="2FF16992"/>
    <w:rsid w:val="3013306A"/>
    <w:rsid w:val="301D7787"/>
    <w:rsid w:val="301E14CD"/>
    <w:rsid w:val="303F24BC"/>
    <w:rsid w:val="304940D8"/>
    <w:rsid w:val="306929CC"/>
    <w:rsid w:val="30E8538C"/>
    <w:rsid w:val="30FB5378"/>
    <w:rsid w:val="30FC1ECD"/>
    <w:rsid w:val="31057C08"/>
    <w:rsid w:val="310E5321"/>
    <w:rsid w:val="3112096E"/>
    <w:rsid w:val="31120F17"/>
    <w:rsid w:val="311C69D9"/>
    <w:rsid w:val="31236A35"/>
    <w:rsid w:val="312B21BD"/>
    <w:rsid w:val="312E379D"/>
    <w:rsid w:val="313421A7"/>
    <w:rsid w:val="315A43B3"/>
    <w:rsid w:val="31746893"/>
    <w:rsid w:val="31794E91"/>
    <w:rsid w:val="317F39BB"/>
    <w:rsid w:val="3186310A"/>
    <w:rsid w:val="319C5F3C"/>
    <w:rsid w:val="319C62FD"/>
    <w:rsid w:val="31B1462B"/>
    <w:rsid w:val="31C13416"/>
    <w:rsid w:val="31C14142"/>
    <w:rsid w:val="31C942AB"/>
    <w:rsid w:val="31ED4F37"/>
    <w:rsid w:val="31EE13DB"/>
    <w:rsid w:val="320504D2"/>
    <w:rsid w:val="32052280"/>
    <w:rsid w:val="32325DB3"/>
    <w:rsid w:val="3234712F"/>
    <w:rsid w:val="3239017C"/>
    <w:rsid w:val="3244724D"/>
    <w:rsid w:val="3247112A"/>
    <w:rsid w:val="324F5BF1"/>
    <w:rsid w:val="32536FF3"/>
    <w:rsid w:val="325839DA"/>
    <w:rsid w:val="326C2300"/>
    <w:rsid w:val="32725B2C"/>
    <w:rsid w:val="32884234"/>
    <w:rsid w:val="328D3171"/>
    <w:rsid w:val="32C263C3"/>
    <w:rsid w:val="32D305D1"/>
    <w:rsid w:val="32D33E04"/>
    <w:rsid w:val="32E36F4F"/>
    <w:rsid w:val="32EB653A"/>
    <w:rsid w:val="32F347CF"/>
    <w:rsid w:val="33010C9A"/>
    <w:rsid w:val="330A2FD8"/>
    <w:rsid w:val="331F5DE1"/>
    <w:rsid w:val="332171ED"/>
    <w:rsid w:val="332D5F33"/>
    <w:rsid w:val="3350577D"/>
    <w:rsid w:val="335135AD"/>
    <w:rsid w:val="33533603"/>
    <w:rsid w:val="33673B3E"/>
    <w:rsid w:val="33802506"/>
    <w:rsid w:val="33865643"/>
    <w:rsid w:val="33903A78"/>
    <w:rsid w:val="339D49D6"/>
    <w:rsid w:val="33AE1DBD"/>
    <w:rsid w:val="33B912D3"/>
    <w:rsid w:val="33BE6947"/>
    <w:rsid w:val="33C87A09"/>
    <w:rsid w:val="33D53ED4"/>
    <w:rsid w:val="33DE77D3"/>
    <w:rsid w:val="33E60D3E"/>
    <w:rsid w:val="33F9355C"/>
    <w:rsid w:val="342506E2"/>
    <w:rsid w:val="343B01DB"/>
    <w:rsid w:val="34675563"/>
    <w:rsid w:val="346E05B1"/>
    <w:rsid w:val="348222AE"/>
    <w:rsid w:val="348E0ECD"/>
    <w:rsid w:val="34A044E2"/>
    <w:rsid w:val="34A94EDC"/>
    <w:rsid w:val="34BF2BBB"/>
    <w:rsid w:val="34C71A6F"/>
    <w:rsid w:val="34C7245F"/>
    <w:rsid w:val="34CF0009"/>
    <w:rsid w:val="34D606AD"/>
    <w:rsid w:val="34E6283D"/>
    <w:rsid w:val="34EE34A0"/>
    <w:rsid w:val="34FD36E3"/>
    <w:rsid w:val="35044A71"/>
    <w:rsid w:val="350502A9"/>
    <w:rsid w:val="35066003"/>
    <w:rsid w:val="35082926"/>
    <w:rsid w:val="351153E0"/>
    <w:rsid w:val="351E2050"/>
    <w:rsid w:val="352260F8"/>
    <w:rsid w:val="35237212"/>
    <w:rsid w:val="354C454A"/>
    <w:rsid w:val="35507CB7"/>
    <w:rsid w:val="3555718B"/>
    <w:rsid w:val="35583F98"/>
    <w:rsid w:val="3575596F"/>
    <w:rsid w:val="357736EF"/>
    <w:rsid w:val="358B7AFD"/>
    <w:rsid w:val="35932B8A"/>
    <w:rsid w:val="359C2EFC"/>
    <w:rsid w:val="35B3528C"/>
    <w:rsid w:val="35B450D6"/>
    <w:rsid w:val="35BD0727"/>
    <w:rsid w:val="35CE5B68"/>
    <w:rsid w:val="35DF4502"/>
    <w:rsid w:val="361138EA"/>
    <w:rsid w:val="36251782"/>
    <w:rsid w:val="36317AE8"/>
    <w:rsid w:val="363650FE"/>
    <w:rsid w:val="363B39B8"/>
    <w:rsid w:val="36401AD9"/>
    <w:rsid w:val="36495453"/>
    <w:rsid w:val="366E24FE"/>
    <w:rsid w:val="3676199F"/>
    <w:rsid w:val="367E0853"/>
    <w:rsid w:val="367E2138"/>
    <w:rsid w:val="36946F76"/>
    <w:rsid w:val="369F2539"/>
    <w:rsid w:val="36A864C7"/>
    <w:rsid w:val="36AE1B85"/>
    <w:rsid w:val="36CC4D48"/>
    <w:rsid w:val="36D3462E"/>
    <w:rsid w:val="36E7289C"/>
    <w:rsid w:val="36F53FA9"/>
    <w:rsid w:val="372B1F26"/>
    <w:rsid w:val="372E1214"/>
    <w:rsid w:val="37320B19"/>
    <w:rsid w:val="37377380"/>
    <w:rsid w:val="376E04D2"/>
    <w:rsid w:val="37781A80"/>
    <w:rsid w:val="377D0B0B"/>
    <w:rsid w:val="37C404E8"/>
    <w:rsid w:val="37DB423A"/>
    <w:rsid w:val="37E41D69"/>
    <w:rsid w:val="37F05781"/>
    <w:rsid w:val="3806171D"/>
    <w:rsid w:val="383340DB"/>
    <w:rsid w:val="38471845"/>
    <w:rsid w:val="38574F84"/>
    <w:rsid w:val="38920DEB"/>
    <w:rsid w:val="389D0CDF"/>
    <w:rsid w:val="389F7439"/>
    <w:rsid w:val="38A677F3"/>
    <w:rsid w:val="38C10B8F"/>
    <w:rsid w:val="38D12155"/>
    <w:rsid w:val="38D43D3D"/>
    <w:rsid w:val="38F52C52"/>
    <w:rsid w:val="39041477"/>
    <w:rsid w:val="391D37EA"/>
    <w:rsid w:val="393D3264"/>
    <w:rsid w:val="394B3786"/>
    <w:rsid w:val="394E09B1"/>
    <w:rsid w:val="396513C2"/>
    <w:rsid w:val="397D6C5D"/>
    <w:rsid w:val="397F500E"/>
    <w:rsid w:val="397F651D"/>
    <w:rsid w:val="39A22AAB"/>
    <w:rsid w:val="39A237EA"/>
    <w:rsid w:val="39B527AA"/>
    <w:rsid w:val="39BD3093"/>
    <w:rsid w:val="39C23EF3"/>
    <w:rsid w:val="39CE3653"/>
    <w:rsid w:val="39D23390"/>
    <w:rsid w:val="39E22A5C"/>
    <w:rsid w:val="3A0C4978"/>
    <w:rsid w:val="3A1B0767"/>
    <w:rsid w:val="3A325BDD"/>
    <w:rsid w:val="3A5A20CF"/>
    <w:rsid w:val="3A687850"/>
    <w:rsid w:val="3A712BA9"/>
    <w:rsid w:val="3A7417E1"/>
    <w:rsid w:val="3A905C8A"/>
    <w:rsid w:val="3A9C399E"/>
    <w:rsid w:val="3AC727C9"/>
    <w:rsid w:val="3AC87CF7"/>
    <w:rsid w:val="3ADE08B4"/>
    <w:rsid w:val="3AEC66D3"/>
    <w:rsid w:val="3AED318F"/>
    <w:rsid w:val="3AFC0CAA"/>
    <w:rsid w:val="3AFD61EB"/>
    <w:rsid w:val="3B027CA5"/>
    <w:rsid w:val="3B274878"/>
    <w:rsid w:val="3B4C2CCE"/>
    <w:rsid w:val="3B5E36C8"/>
    <w:rsid w:val="3B612FE9"/>
    <w:rsid w:val="3B646E83"/>
    <w:rsid w:val="3B686B56"/>
    <w:rsid w:val="3B6F08F3"/>
    <w:rsid w:val="3B8461BF"/>
    <w:rsid w:val="3B8E32E7"/>
    <w:rsid w:val="3BB52F69"/>
    <w:rsid w:val="3BC545FB"/>
    <w:rsid w:val="3BCB6780"/>
    <w:rsid w:val="3BCB7708"/>
    <w:rsid w:val="3BDC363C"/>
    <w:rsid w:val="3BE15EB6"/>
    <w:rsid w:val="3BE23632"/>
    <w:rsid w:val="3BE253E0"/>
    <w:rsid w:val="3C090537"/>
    <w:rsid w:val="3C0F609D"/>
    <w:rsid w:val="3C12162A"/>
    <w:rsid w:val="3C1253BD"/>
    <w:rsid w:val="3C32335B"/>
    <w:rsid w:val="3C37572C"/>
    <w:rsid w:val="3C3F6CE9"/>
    <w:rsid w:val="3C4D31A2"/>
    <w:rsid w:val="3C5B60FB"/>
    <w:rsid w:val="3C5D7B43"/>
    <w:rsid w:val="3C5E0698"/>
    <w:rsid w:val="3C6127A9"/>
    <w:rsid w:val="3C74454B"/>
    <w:rsid w:val="3C76158A"/>
    <w:rsid w:val="3C7C5835"/>
    <w:rsid w:val="3C8F5568"/>
    <w:rsid w:val="3CBC20D5"/>
    <w:rsid w:val="3CCF005B"/>
    <w:rsid w:val="3CDC46B9"/>
    <w:rsid w:val="3CE21B3C"/>
    <w:rsid w:val="3CE60F00"/>
    <w:rsid w:val="3CE8111C"/>
    <w:rsid w:val="3CF61143"/>
    <w:rsid w:val="3D103642"/>
    <w:rsid w:val="3D271042"/>
    <w:rsid w:val="3D2F2C1F"/>
    <w:rsid w:val="3D583BAC"/>
    <w:rsid w:val="3D65276D"/>
    <w:rsid w:val="3D711112"/>
    <w:rsid w:val="3D8175A7"/>
    <w:rsid w:val="3D8D719C"/>
    <w:rsid w:val="3D902001"/>
    <w:rsid w:val="3DB22008"/>
    <w:rsid w:val="3DC2201D"/>
    <w:rsid w:val="3DC96858"/>
    <w:rsid w:val="3DD524BB"/>
    <w:rsid w:val="3DD53474"/>
    <w:rsid w:val="3DDF607B"/>
    <w:rsid w:val="3DFA4C63"/>
    <w:rsid w:val="3E043F2B"/>
    <w:rsid w:val="3E081A5E"/>
    <w:rsid w:val="3E0C2BE9"/>
    <w:rsid w:val="3E194F1D"/>
    <w:rsid w:val="3E20258C"/>
    <w:rsid w:val="3E2D5039"/>
    <w:rsid w:val="3E2F2065"/>
    <w:rsid w:val="3E4235E6"/>
    <w:rsid w:val="3E4C5F02"/>
    <w:rsid w:val="3E526C64"/>
    <w:rsid w:val="3E6914BF"/>
    <w:rsid w:val="3E807EF2"/>
    <w:rsid w:val="3E8166DB"/>
    <w:rsid w:val="3EAD09AE"/>
    <w:rsid w:val="3EB70DA6"/>
    <w:rsid w:val="3EBD2871"/>
    <w:rsid w:val="3EC55271"/>
    <w:rsid w:val="3ECC6D7D"/>
    <w:rsid w:val="3ED302DB"/>
    <w:rsid w:val="3EF643A5"/>
    <w:rsid w:val="3F0454FB"/>
    <w:rsid w:val="3F2226C4"/>
    <w:rsid w:val="3F487C50"/>
    <w:rsid w:val="3F4D0C3E"/>
    <w:rsid w:val="3F5B39A5"/>
    <w:rsid w:val="3F5D36FC"/>
    <w:rsid w:val="3F6C1654"/>
    <w:rsid w:val="3F7140F5"/>
    <w:rsid w:val="3F7315F1"/>
    <w:rsid w:val="3F73296F"/>
    <w:rsid w:val="3F870691"/>
    <w:rsid w:val="3F8C6BD7"/>
    <w:rsid w:val="3F947423"/>
    <w:rsid w:val="3F982C48"/>
    <w:rsid w:val="3F9C6E2B"/>
    <w:rsid w:val="3FBB045C"/>
    <w:rsid w:val="3FC25C55"/>
    <w:rsid w:val="3FE66005"/>
    <w:rsid w:val="3FF5666B"/>
    <w:rsid w:val="40153FD6"/>
    <w:rsid w:val="401D10DD"/>
    <w:rsid w:val="4027633C"/>
    <w:rsid w:val="402A528B"/>
    <w:rsid w:val="4030282F"/>
    <w:rsid w:val="403E4E33"/>
    <w:rsid w:val="405A16B1"/>
    <w:rsid w:val="406017DE"/>
    <w:rsid w:val="4061721C"/>
    <w:rsid w:val="40704361"/>
    <w:rsid w:val="409018AF"/>
    <w:rsid w:val="40905D53"/>
    <w:rsid w:val="409A17EE"/>
    <w:rsid w:val="409C3C83"/>
    <w:rsid w:val="40A05997"/>
    <w:rsid w:val="40A4535A"/>
    <w:rsid w:val="40AA67DA"/>
    <w:rsid w:val="40AB477C"/>
    <w:rsid w:val="40B40C18"/>
    <w:rsid w:val="40C50268"/>
    <w:rsid w:val="40C55F22"/>
    <w:rsid w:val="40F0234E"/>
    <w:rsid w:val="411822DB"/>
    <w:rsid w:val="411A4C6D"/>
    <w:rsid w:val="411E32F9"/>
    <w:rsid w:val="4121045B"/>
    <w:rsid w:val="412F541A"/>
    <w:rsid w:val="41381EE1"/>
    <w:rsid w:val="413B7632"/>
    <w:rsid w:val="415009F1"/>
    <w:rsid w:val="415B1EBD"/>
    <w:rsid w:val="41631CCB"/>
    <w:rsid w:val="416C40CA"/>
    <w:rsid w:val="416C5E78"/>
    <w:rsid w:val="41850CE8"/>
    <w:rsid w:val="41896B25"/>
    <w:rsid w:val="41964F53"/>
    <w:rsid w:val="41AD2E46"/>
    <w:rsid w:val="41B034B4"/>
    <w:rsid w:val="41BA6D71"/>
    <w:rsid w:val="41D23D44"/>
    <w:rsid w:val="41EC71F4"/>
    <w:rsid w:val="41FF6765"/>
    <w:rsid w:val="42224789"/>
    <w:rsid w:val="422E6094"/>
    <w:rsid w:val="424A1466"/>
    <w:rsid w:val="4259518B"/>
    <w:rsid w:val="425A02DC"/>
    <w:rsid w:val="42614D21"/>
    <w:rsid w:val="426C648E"/>
    <w:rsid w:val="42765202"/>
    <w:rsid w:val="427E4870"/>
    <w:rsid w:val="429D41D1"/>
    <w:rsid w:val="429F227D"/>
    <w:rsid w:val="42A45AE6"/>
    <w:rsid w:val="42AD52B2"/>
    <w:rsid w:val="42BA2152"/>
    <w:rsid w:val="42C45840"/>
    <w:rsid w:val="42C52901"/>
    <w:rsid w:val="42CD0A84"/>
    <w:rsid w:val="42CD0A98"/>
    <w:rsid w:val="42D24401"/>
    <w:rsid w:val="42DE2DA6"/>
    <w:rsid w:val="42E20147"/>
    <w:rsid w:val="42E45EE2"/>
    <w:rsid w:val="42F70A1A"/>
    <w:rsid w:val="42FE546C"/>
    <w:rsid w:val="431A0C09"/>
    <w:rsid w:val="43200B63"/>
    <w:rsid w:val="434B10DD"/>
    <w:rsid w:val="43564C46"/>
    <w:rsid w:val="435766B4"/>
    <w:rsid w:val="435E3EE6"/>
    <w:rsid w:val="43664B49"/>
    <w:rsid w:val="437B6846"/>
    <w:rsid w:val="43853176"/>
    <w:rsid w:val="43866F99"/>
    <w:rsid w:val="43972B4E"/>
    <w:rsid w:val="439C4085"/>
    <w:rsid w:val="43AF1E3B"/>
    <w:rsid w:val="43BC29BB"/>
    <w:rsid w:val="43C20EE5"/>
    <w:rsid w:val="43CB70DF"/>
    <w:rsid w:val="43D71252"/>
    <w:rsid w:val="43E77A38"/>
    <w:rsid w:val="43F51F63"/>
    <w:rsid w:val="43FF1225"/>
    <w:rsid w:val="440D5ADD"/>
    <w:rsid w:val="44293EF0"/>
    <w:rsid w:val="442F13DF"/>
    <w:rsid w:val="44386FE9"/>
    <w:rsid w:val="44407014"/>
    <w:rsid w:val="44417B79"/>
    <w:rsid w:val="4452279A"/>
    <w:rsid w:val="445A15E0"/>
    <w:rsid w:val="44600C6D"/>
    <w:rsid w:val="446D195D"/>
    <w:rsid w:val="44890AEF"/>
    <w:rsid w:val="44910D58"/>
    <w:rsid w:val="449A2CFC"/>
    <w:rsid w:val="44A21FE4"/>
    <w:rsid w:val="44A26055"/>
    <w:rsid w:val="44A37377"/>
    <w:rsid w:val="44BB002C"/>
    <w:rsid w:val="44C85ABB"/>
    <w:rsid w:val="44CC5B5F"/>
    <w:rsid w:val="44CE67B3"/>
    <w:rsid w:val="44CF26DE"/>
    <w:rsid w:val="44D15DAC"/>
    <w:rsid w:val="44D51F86"/>
    <w:rsid w:val="44F87A23"/>
    <w:rsid w:val="44FE14DD"/>
    <w:rsid w:val="4504422D"/>
    <w:rsid w:val="45050F2E"/>
    <w:rsid w:val="45126D36"/>
    <w:rsid w:val="452B604A"/>
    <w:rsid w:val="452E517F"/>
    <w:rsid w:val="455C26A8"/>
    <w:rsid w:val="456344DA"/>
    <w:rsid w:val="4568104C"/>
    <w:rsid w:val="456A130B"/>
    <w:rsid w:val="456F19FF"/>
    <w:rsid w:val="45797BD8"/>
    <w:rsid w:val="45863281"/>
    <w:rsid w:val="458B32B0"/>
    <w:rsid w:val="45A11732"/>
    <w:rsid w:val="45BA19C0"/>
    <w:rsid w:val="45E6315E"/>
    <w:rsid w:val="45EE1552"/>
    <w:rsid w:val="460F7A06"/>
    <w:rsid w:val="46137F37"/>
    <w:rsid w:val="4618037D"/>
    <w:rsid w:val="461B197A"/>
    <w:rsid w:val="46373D9E"/>
    <w:rsid w:val="464838C9"/>
    <w:rsid w:val="46676C0A"/>
    <w:rsid w:val="4669507C"/>
    <w:rsid w:val="46713F31"/>
    <w:rsid w:val="467C29DA"/>
    <w:rsid w:val="46810644"/>
    <w:rsid w:val="468C64C8"/>
    <w:rsid w:val="468E063F"/>
    <w:rsid w:val="469056A9"/>
    <w:rsid w:val="469556B5"/>
    <w:rsid w:val="46A269DC"/>
    <w:rsid w:val="46B32782"/>
    <w:rsid w:val="46BA4297"/>
    <w:rsid w:val="46BF6A4A"/>
    <w:rsid w:val="46CB5083"/>
    <w:rsid w:val="46E22739"/>
    <w:rsid w:val="46E80E3D"/>
    <w:rsid w:val="46F661E4"/>
    <w:rsid w:val="470D3C59"/>
    <w:rsid w:val="472015A9"/>
    <w:rsid w:val="4732546E"/>
    <w:rsid w:val="47411F4D"/>
    <w:rsid w:val="4741387D"/>
    <w:rsid w:val="47523D62"/>
    <w:rsid w:val="47635580"/>
    <w:rsid w:val="476475F1"/>
    <w:rsid w:val="477916A5"/>
    <w:rsid w:val="477E4B57"/>
    <w:rsid w:val="47956E7B"/>
    <w:rsid w:val="47B441D8"/>
    <w:rsid w:val="47C167F2"/>
    <w:rsid w:val="47C22C96"/>
    <w:rsid w:val="47D209FF"/>
    <w:rsid w:val="47D64774"/>
    <w:rsid w:val="47E80223"/>
    <w:rsid w:val="480E2158"/>
    <w:rsid w:val="48480DBD"/>
    <w:rsid w:val="484C60BA"/>
    <w:rsid w:val="48511C73"/>
    <w:rsid w:val="48596F11"/>
    <w:rsid w:val="48617B98"/>
    <w:rsid w:val="48641A97"/>
    <w:rsid w:val="487A07B5"/>
    <w:rsid w:val="488B752C"/>
    <w:rsid w:val="48A61241"/>
    <w:rsid w:val="48B110C3"/>
    <w:rsid w:val="48B13CBF"/>
    <w:rsid w:val="48B1464B"/>
    <w:rsid w:val="48C22F6B"/>
    <w:rsid w:val="48C93BB0"/>
    <w:rsid w:val="48D04F3E"/>
    <w:rsid w:val="48DF421C"/>
    <w:rsid w:val="48E7672C"/>
    <w:rsid w:val="48EB2DF2"/>
    <w:rsid w:val="48F54560"/>
    <w:rsid w:val="4922246A"/>
    <w:rsid w:val="49325BF9"/>
    <w:rsid w:val="493F0316"/>
    <w:rsid w:val="493F1574"/>
    <w:rsid w:val="495609E8"/>
    <w:rsid w:val="4957740E"/>
    <w:rsid w:val="49652B1B"/>
    <w:rsid w:val="496951F5"/>
    <w:rsid w:val="496B4C67"/>
    <w:rsid w:val="49A34A17"/>
    <w:rsid w:val="49AA41B6"/>
    <w:rsid w:val="49B02498"/>
    <w:rsid w:val="49B52386"/>
    <w:rsid w:val="49E05308"/>
    <w:rsid w:val="49E8450A"/>
    <w:rsid w:val="49FE1F7F"/>
    <w:rsid w:val="49FE3FB0"/>
    <w:rsid w:val="4A116313"/>
    <w:rsid w:val="4A1E2964"/>
    <w:rsid w:val="4A233794"/>
    <w:rsid w:val="4A361719"/>
    <w:rsid w:val="4A3B451C"/>
    <w:rsid w:val="4A437992"/>
    <w:rsid w:val="4A4756D4"/>
    <w:rsid w:val="4A653DAC"/>
    <w:rsid w:val="4A815643"/>
    <w:rsid w:val="4A8B6AF7"/>
    <w:rsid w:val="4A8D6F5A"/>
    <w:rsid w:val="4AA448D5"/>
    <w:rsid w:val="4ABB0A02"/>
    <w:rsid w:val="4AC4398B"/>
    <w:rsid w:val="4ACC5DAF"/>
    <w:rsid w:val="4ADB406F"/>
    <w:rsid w:val="4ADC2719"/>
    <w:rsid w:val="4AEB42B2"/>
    <w:rsid w:val="4AEC002A"/>
    <w:rsid w:val="4AF0758A"/>
    <w:rsid w:val="4B007A08"/>
    <w:rsid w:val="4B0836CE"/>
    <w:rsid w:val="4B0E61F2"/>
    <w:rsid w:val="4B1A0735"/>
    <w:rsid w:val="4B280721"/>
    <w:rsid w:val="4B2A660D"/>
    <w:rsid w:val="4B362460"/>
    <w:rsid w:val="4B395E37"/>
    <w:rsid w:val="4B580267"/>
    <w:rsid w:val="4B596751"/>
    <w:rsid w:val="4B65373A"/>
    <w:rsid w:val="4B796D9B"/>
    <w:rsid w:val="4BA84E1A"/>
    <w:rsid w:val="4BCE3FFA"/>
    <w:rsid w:val="4BD016F9"/>
    <w:rsid w:val="4BD612C1"/>
    <w:rsid w:val="4BE86A43"/>
    <w:rsid w:val="4BEF4156"/>
    <w:rsid w:val="4BFC701B"/>
    <w:rsid w:val="4C013661"/>
    <w:rsid w:val="4C022DB6"/>
    <w:rsid w:val="4C106ED4"/>
    <w:rsid w:val="4C2061DD"/>
    <w:rsid w:val="4C214435"/>
    <w:rsid w:val="4C3862DD"/>
    <w:rsid w:val="4C42653F"/>
    <w:rsid w:val="4C4D6F48"/>
    <w:rsid w:val="4C5347AB"/>
    <w:rsid w:val="4C5D6A3D"/>
    <w:rsid w:val="4C6F3921"/>
    <w:rsid w:val="4C71080A"/>
    <w:rsid w:val="4C714C8A"/>
    <w:rsid w:val="4C792459"/>
    <w:rsid w:val="4CA8697D"/>
    <w:rsid w:val="4CC6459A"/>
    <w:rsid w:val="4CCD0192"/>
    <w:rsid w:val="4CD944C9"/>
    <w:rsid w:val="4CF257EA"/>
    <w:rsid w:val="4D00163A"/>
    <w:rsid w:val="4D0616EF"/>
    <w:rsid w:val="4D0C6B88"/>
    <w:rsid w:val="4D1B3425"/>
    <w:rsid w:val="4D3006A2"/>
    <w:rsid w:val="4D40647A"/>
    <w:rsid w:val="4D461C73"/>
    <w:rsid w:val="4D464B6B"/>
    <w:rsid w:val="4D632FFB"/>
    <w:rsid w:val="4D695962"/>
    <w:rsid w:val="4D6B4B5C"/>
    <w:rsid w:val="4D814A59"/>
    <w:rsid w:val="4D9070A5"/>
    <w:rsid w:val="4DA22C22"/>
    <w:rsid w:val="4DCA75CA"/>
    <w:rsid w:val="4DD97D0D"/>
    <w:rsid w:val="4DDB33BE"/>
    <w:rsid w:val="4DDF5C24"/>
    <w:rsid w:val="4E0302C9"/>
    <w:rsid w:val="4E045FDF"/>
    <w:rsid w:val="4E151645"/>
    <w:rsid w:val="4E173610"/>
    <w:rsid w:val="4E355844"/>
    <w:rsid w:val="4E486D40"/>
    <w:rsid w:val="4E4D7B93"/>
    <w:rsid w:val="4E7A17A5"/>
    <w:rsid w:val="4E7B76FB"/>
    <w:rsid w:val="4E8202ED"/>
    <w:rsid w:val="4E8A004E"/>
    <w:rsid w:val="4E924C46"/>
    <w:rsid w:val="4E944C60"/>
    <w:rsid w:val="4E9A591B"/>
    <w:rsid w:val="4EA03D25"/>
    <w:rsid w:val="4EEC693C"/>
    <w:rsid w:val="4EFF402A"/>
    <w:rsid w:val="4F030514"/>
    <w:rsid w:val="4F0F5BE3"/>
    <w:rsid w:val="4F2032FB"/>
    <w:rsid w:val="4F386F3E"/>
    <w:rsid w:val="4F4425D5"/>
    <w:rsid w:val="4F6E5B9F"/>
    <w:rsid w:val="4F8534D4"/>
    <w:rsid w:val="4F8545A9"/>
    <w:rsid w:val="4F8C3149"/>
    <w:rsid w:val="4F9B0E06"/>
    <w:rsid w:val="4F9D18F3"/>
    <w:rsid w:val="4F9E636D"/>
    <w:rsid w:val="4FA34B34"/>
    <w:rsid w:val="4FB54225"/>
    <w:rsid w:val="4FDF7BD6"/>
    <w:rsid w:val="4FFB2837"/>
    <w:rsid w:val="50184C79"/>
    <w:rsid w:val="501A0CDD"/>
    <w:rsid w:val="50262A74"/>
    <w:rsid w:val="503009B9"/>
    <w:rsid w:val="50387DBD"/>
    <w:rsid w:val="503F0BFC"/>
    <w:rsid w:val="5046440F"/>
    <w:rsid w:val="504F0E3F"/>
    <w:rsid w:val="505C355C"/>
    <w:rsid w:val="50650F36"/>
    <w:rsid w:val="506B5FA9"/>
    <w:rsid w:val="50940112"/>
    <w:rsid w:val="509F6E67"/>
    <w:rsid w:val="50A32F39"/>
    <w:rsid w:val="50B04608"/>
    <w:rsid w:val="50B12FCF"/>
    <w:rsid w:val="50C10DAC"/>
    <w:rsid w:val="50EE7CD8"/>
    <w:rsid w:val="50F41D56"/>
    <w:rsid w:val="51022355"/>
    <w:rsid w:val="510C561F"/>
    <w:rsid w:val="51181B78"/>
    <w:rsid w:val="512B0E01"/>
    <w:rsid w:val="51493AE0"/>
    <w:rsid w:val="515360B3"/>
    <w:rsid w:val="515E50B1"/>
    <w:rsid w:val="51676ACA"/>
    <w:rsid w:val="518368DE"/>
    <w:rsid w:val="518C7E71"/>
    <w:rsid w:val="51927C6D"/>
    <w:rsid w:val="519554EB"/>
    <w:rsid w:val="51BB48D4"/>
    <w:rsid w:val="51C413B8"/>
    <w:rsid w:val="51CC7EA0"/>
    <w:rsid w:val="51EE28D9"/>
    <w:rsid w:val="51F83758"/>
    <w:rsid w:val="520077DE"/>
    <w:rsid w:val="5201260D"/>
    <w:rsid w:val="52057A3C"/>
    <w:rsid w:val="522712D1"/>
    <w:rsid w:val="523A78CD"/>
    <w:rsid w:val="52422029"/>
    <w:rsid w:val="52426781"/>
    <w:rsid w:val="5246001F"/>
    <w:rsid w:val="52584F1D"/>
    <w:rsid w:val="52734B8D"/>
    <w:rsid w:val="52784713"/>
    <w:rsid w:val="527A416D"/>
    <w:rsid w:val="5284290A"/>
    <w:rsid w:val="5284534C"/>
    <w:rsid w:val="52884ADC"/>
    <w:rsid w:val="529C0587"/>
    <w:rsid w:val="529E42FF"/>
    <w:rsid w:val="52A12C66"/>
    <w:rsid w:val="52B72BAA"/>
    <w:rsid w:val="52BC4786"/>
    <w:rsid w:val="52D937BD"/>
    <w:rsid w:val="52F047D2"/>
    <w:rsid w:val="52F73609"/>
    <w:rsid w:val="52FD006A"/>
    <w:rsid w:val="53132A54"/>
    <w:rsid w:val="531D0A50"/>
    <w:rsid w:val="532F31A9"/>
    <w:rsid w:val="5333477F"/>
    <w:rsid w:val="53513EE3"/>
    <w:rsid w:val="53672943"/>
    <w:rsid w:val="536C7562"/>
    <w:rsid w:val="536F17F8"/>
    <w:rsid w:val="53930F3C"/>
    <w:rsid w:val="539712FA"/>
    <w:rsid w:val="539A4AC7"/>
    <w:rsid w:val="539B083F"/>
    <w:rsid w:val="539D45B7"/>
    <w:rsid w:val="53A21BCD"/>
    <w:rsid w:val="53BD48B2"/>
    <w:rsid w:val="53D80F2A"/>
    <w:rsid w:val="53D941A3"/>
    <w:rsid w:val="53E81B17"/>
    <w:rsid w:val="53F80214"/>
    <w:rsid w:val="53F817ED"/>
    <w:rsid w:val="53FF2B7C"/>
    <w:rsid w:val="540168F4"/>
    <w:rsid w:val="5404178B"/>
    <w:rsid w:val="54063F0A"/>
    <w:rsid w:val="540C5299"/>
    <w:rsid w:val="541E2C15"/>
    <w:rsid w:val="54352A41"/>
    <w:rsid w:val="54372AB5"/>
    <w:rsid w:val="54400B9A"/>
    <w:rsid w:val="544B21FC"/>
    <w:rsid w:val="5453233C"/>
    <w:rsid w:val="545F7ABE"/>
    <w:rsid w:val="546B6463"/>
    <w:rsid w:val="54882B71"/>
    <w:rsid w:val="54907C78"/>
    <w:rsid w:val="549239F0"/>
    <w:rsid w:val="549D3040"/>
    <w:rsid w:val="54AB5A3B"/>
    <w:rsid w:val="54AB6A9A"/>
    <w:rsid w:val="54D758DC"/>
    <w:rsid w:val="54E22DEA"/>
    <w:rsid w:val="54E57FC4"/>
    <w:rsid w:val="54EB4EAE"/>
    <w:rsid w:val="54FA095E"/>
    <w:rsid w:val="54FB65AF"/>
    <w:rsid w:val="55040901"/>
    <w:rsid w:val="55161546"/>
    <w:rsid w:val="55264138"/>
    <w:rsid w:val="55674E7D"/>
    <w:rsid w:val="557E3F74"/>
    <w:rsid w:val="5591141A"/>
    <w:rsid w:val="559A27AA"/>
    <w:rsid w:val="559F7E7D"/>
    <w:rsid w:val="55A439DB"/>
    <w:rsid w:val="55AF3397"/>
    <w:rsid w:val="55B56982"/>
    <w:rsid w:val="55B72B09"/>
    <w:rsid w:val="55B74101"/>
    <w:rsid w:val="55CD539B"/>
    <w:rsid w:val="55CE0B15"/>
    <w:rsid w:val="55D63DB0"/>
    <w:rsid w:val="55DA4B8D"/>
    <w:rsid w:val="55F04E72"/>
    <w:rsid w:val="56063E55"/>
    <w:rsid w:val="562D159C"/>
    <w:rsid w:val="562D351C"/>
    <w:rsid w:val="563A5E08"/>
    <w:rsid w:val="565E78A2"/>
    <w:rsid w:val="566413BC"/>
    <w:rsid w:val="56775DA9"/>
    <w:rsid w:val="5696091C"/>
    <w:rsid w:val="569752EE"/>
    <w:rsid w:val="56DE395A"/>
    <w:rsid w:val="56DF05DE"/>
    <w:rsid w:val="56E60023"/>
    <w:rsid w:val="56E62340"/>
    <w:rsid w:val="56F04E7B"/>
    <w:rsid w:val="56F12EA9"/>
    <w:rsid w:val="56F253F0"/>
    <w:rsid w:val="56F70118"/>
    <w:rsid w:val="57041F6D"/>
    <w:rsid w:val="570507AE"/>
    <w:rsid w:val="57095015"/>
    <w:rsid w:val="571D0A5F"/>
    <w:rsid w:val="57221FF0"/>
    <w:rsid w:val="5730129E"/>
    <w:rsid w:val="57342729"/>
    <w:rsid w:val="573D2E15"/>
    <w:rsid w:val="574843AE"/>
    <w:rsid w:val="57703F90"/>
    <w:rsid w:val="578707D4"/>
    <w:rsid w:val="57AC5FE6"/>
    <w:rsid w:val="57DE0D23"/>
    <w:rsid w:val="57F05B64"/>
    <w:rsid w:val="57F23498"/>
    <w:rsid w:val="57F347A6"/>
    <w:rsid w:val="57FC6189"/>
    <w:rsid w:val="58137926"/>
    <w:rsid w:val="581A4428"/>
    <w:rsid w:val="58245546"/>
    <w:rsid w:val="582F26A6"/>
    <w:rsid w:val="58421B0A"/>
    <w:rsid w:val="5853068D"/>
    <w:rsid w:val="586E207E"/>
    <w:rsid w:val="58810003"/>
    <w:rsid w:val="588B0E82"/>
    <w:rsid w:val="588C4ECA"/>
    <w:rsid w:val="589F66DB"/>
    <w:rsid w:val="58A67A6A"/>
    <w:rsid w:val="58DD523A"/>
    <w:rsid w:val="58F307D5"/>
    <w:rsid w:val="58F9403E"/>
    <w:rsid w:val="590029F6"/>
    <w:rsid w:val="59047963"/>
    <w:rsid w:val="590D1600"/>
    <w:rsid w:val="59254E33"/>
    <w:rsid w:val="59433BCE"/>
    <w:rsid w:val="59462FFB"/>
    <w:rsid w:val="59476D0F"/>
    <w:rsid w:val="594A4ECB"/>
    <w:rsid w:val="59532D90"/>
    <w:rsid w:val="596671F9"/>
    <w:rsid w:val="59675E4B"/>
    <w:rsid w:val="596811C3"/>
    <w:rsid w:val="59746952"/>
    <w:rsid w:val="59784F85"/>
    <w:rsid w:val="599B30DC"/>
    <w:rsid w:val="59A57D21"/>
    <w:rsid w:val="59AC0C08"/>
    <w:rsid w:val="59B60181"/>
    <w:rsid w:val="59C16C5B"/>
    <w:rsid w:val="59C86B3A"/>
    <w:rsid w:val="59D27ABB"/>
    <w:rsid w:val="59D61BA3"/>
    <w:rsid w:val="59D979CB"/>
    <w:rsid w:val="59E14FC6"/>
    <w:rsid w:val="59E940B2"/>
    <w:rsid w:val="5A094754"/>
    <w:rsid w:val="5A0F7C61"/>
    <w:rsid w:val="5A1702BB"/>
    <w:rsid w:val="5A183594"/>
    <w:rsid w:val="5A2041E5"/>
    <w:rsid w:val="5A273691"/>
    <w:rsid w:val="5A2F1813"/>
    <w:rsid w:val="5A3D301B"/>
    <w:rsid w:val="5A45049F"/>
    <w:rsid w:val="5A4934B6"/>
    <w:rsid w:val="5A5233BE"/>
    <w:rsid w:val="5A5D54D2"/>
    <w:rsid w:val="5A693FDA"/>
    <w:rsid w:val="5A6B3F9A"/>
    <w:rsid w:val="5A766C6C"/>
    <w:rsid w:val="5A8042EB"/>
    <w:rsid w:val="5A8D2322"/>
    <w:rsid w:val="5A9757E2"/>
    <w:rsid w:val="5A9E29E8"/>
    <w:rsid w:val="5AAB75B9"/>
    <w:rsid w:val="5AB346C0"/>
    <w:rsid w:val="5ABE7E1B"/>
    <w:rsid w:val="5ABF6477"/>
    <w:rsid w:val="5AC23650"/>
    <w:rsid w:val="5AC431FB"/>
    <w:rsid w:val="5ACE14FA"/>
    <w:rsid w:val="5AF745AD"/>
    <w:rsid w:val="5B0F5966"/>
    <w:rsid w:val="5B16597E"/>
    <w:rsid w:val="5B3136D2"/>
    <w:rsid w:val="5B314EF5"/>
    <w:rsid w:val="5B34473F"/>
    <w:rsid w:val="5B394BC5"/>
    <w:rsid w:val="5B3F56E9"/>
    <w:rsid w:val="5B4517BC"/>
    <w:rsid w:val="5B513352"/>
    <w:rsid w:val="5B56702F"/>
    <w:rsid w:val="5B597E09"/>
    <w:rsid w:val="5B600CF8"/>
    <w:rsid w:val="5BA504AD"/>
    <w:rsid w:val="5BA67D81"/>
    <w:rsid w:val="5BC16969"/>
    <w:rsid w:val="5BFB3A80"/>
    <w:rsid w:val="5C0B1E98"/>
    <w:rsid w:val="5C1D0043"/>
    <w:rsid w:val="5C213FDB"/>
    <w:rsid w:val="5C2A2760"/>
    <w:rsid w:val="5C311D40"/>
    <w:rsid w:val="5C5679F9"/>
    <w:rsid w:val="5C7C3148"/>
    <w:rsid w:val="5C7D739C"/>
    <w:rsid w:val="5C814D6E"/>
    <w:rsid w:val="5C817227"/>
    <w:rsid w:val="5C8F65FA"/>
    <w:rsid w:val="5C9A78E6"/>
    <w:rsid w:val="5CA43F8A"/>
    <w:rsid w:val="5CB00EB7"/>
    <w:rsid w:val="5CB07109"/>
    <w:rsid w:val="5CB37354"/>
    <w:rsid w:val="5CBA3DE7"/>
    <w:rsid w:val="5CBB4AA3"/>
    <w:rsid w:val="5CC002EA"/>
    <w:rsid w:val="5CCB5CF1"/>
    <w:rsid w:val="5CD34BA6"/>
    <w:rsid w:val="5CE9035C"/>
    <w:rsid w:val="5CFD63D8"/>
    <w:rsid w:val="5D26535D"/>
    <w:rsid w:val="5D320BE3"/>
    <w:rsid w:val="5D4A3B45"/>
    <w:rsid w:val="5D6C28C5"/>
    <w:rsid w:val="5D9D447D"/>
    <w:rsid w:val="5DAD328C"/>
    <w:rsid w:val="5DCB2717"/>
    <w:rsid w:val="5DD20027"/>
    <w:rsid w:val="5DD859C9"/>
    <w:rsid w:val="5DDB01B6"/>
    <w:rsid w:val="5DE352BC"/>
    <w:rsid w:val="5E071F0B"/>
    <w:rsid w:val="5E216329"/>
    <w:rsid w:val="5E364A48"/>
    <w:rsid w:val="5E552D22"/>
    <w:rsid w:val="5E72566F"/>
    <w:rsid w:val="5E7317C4"/>
    <w:rsid w:val="5E8A5738"/>
    <w:rsid w:val="5E8D40F1"/>
    <w:rsid w:val="5E943E1E"/>
    <w:rsid w:val="5E954808"/>
    <w:rsid w:val="5EAD20F2"/>
    <w:rsid w:val="5EAE38D8"/>
    <w:rsid w:val="5EBD78BB"/>
    <w:rsid w:val="5EC2745F"/>
    <w:rsid w:val="5EEE7770"/>
    <w:rsid w:val="5F073306"/>
    <w:rsid w:val="5F293A37"/>
    <w:rsid w:val="5F335DCF"/>
    <w:rsid w:val="5F363E6E"/>
    <w:rsid w:val="5F3B6A32"/>
    <w:rsid w:val="5F3F2515"/>
    <w:rsid w:val="5F4678B1"/>
    <w:rsid w:val="5F4920F1"/>
    <w:rsid w:val="5F4B0077"/>
    <w:rsid w:val="5F4D50E3"/>
    <w:rsid w:val="5F5F73B9"/>
    <w:rsid w:val="5F65707D"/>
    <w:rsid w:val="5FAA4B6F"/>
    <w:rsid w:val="5FB35B53"/>
    <w:rsid w:val="5FB67688"/>
    <w:rsid w:val="5FC353A5"/>
    <w:rsid w:val="5FCC19D2"/>
    <w:rsid w:val="5FE80968"/>
    <w:rsid w:val="5FE8149A"/>
    <w:rsid w:val="601B2AEB"/>
    <w:rsid w:val="60242EDD"/>
    <w:rsid w:val="6024439E"/>
    <w:rsid w:val="603B0634"/>
    <w:rsid w:val="605320D3"/>
    <w:rsid w:val="60787F3E"/>
    <w:rsid w:val="608579F9"/>
    <w:rsid w:val="609F3AD2"/>
    <w:rsid w:val="60DD7FB7"/>
    <w:rsid w:val="60E23609"/>
    <w:rsid w:val="60F60980"/>
    <w:rsid w:val="6102706E"/>
    <w:rsid w:val="61083E89"/>
    <w:rsid w:val="61130F7B"/>
    <w:rsid w:val="6119108F"/>
    <w:rsid w:val="611D3E0F"/>
    <w:rsid w:val="61386B7E"/>
    <w:rsid w:val="613B181F"/>
    <w:rsid w:val="614C769B"/>
    <w:rsid w:val="616214C7"/>
    <w:rsid w:val="61643B05"/>
    <w:rsid w:val="616D381B"/>
    <w:rsid w:val="61717171"/>
    <w:rsid w:val="61721C9C"/>
    <w:rsid w:val="61747702"/>
    <w:rsid w:val="617C38AC"/>
    <w:rsid w:val="617E67FE"/>
    <w:rsid w:val="61852FB7"/>
    <w:rsid w:val="61895FDA"/>
    <w:rsid w:val="619C7C5C"/>
    <w:rsid w:val="61A82AA5"/>
    <w:rsid w:val="61AB4083"/>
    <w:rsid w:val="61B04F6E"/>
    <w:rsid w:val="61C8671E"/>
    <w:rsid w:val="61F50BF2"/>
    <w:rsid w:val="61F65390"/>
    <w:rsid w:val="61FB6655"/>
    <w:rsid w:val="62001846"/>
    <w:rsid w:val="62017F17"/>
    <w:rsid w:val="621E4B15"/>
    <w:rsid w:val="622456E7"/>
    <w:rsid w:val="62274C2F"/>
    <w:rsid w:val="62307304"/>
    <w:rsid w:val="62372BD2"/>
    <w:rsid w:val="623B74ED"/>
    <w:rsid w:val="624E6511"/>
    <w:rsid w:val="6260097F"/>
    <w:rsid w:val="62816E52"/>
    <w:rsid w:val="6283706E"/>
    <w:rsid w:val="62967EC8"/>
    <w:rsid w:val="62A25746"/>
    <w:rsid w:val="62A32E82"/>
    <w:rsid w:val="62A56FE4"/>
    <w:rsid w:val="62C234F0"/>
    <w:rsid w:val="62CE701D"/>
    <w:rsid w:val="62D358FF"/>
    <w:rsid w:val="62DB0C58"/>
    <w:rsid w:val="62DD052C"/>
    <w:rsid w:val="62E25B42"/>
    <w:rsid w:val="62E75A03"/>
    <w:rsid w:val="62EA0E9B"/>
    <w:rsid w:val="62F62311"/>
    <w:rsid w:val="62FB24CC"/>
    <w:rsid w:val="63071A4D"/>
    <w:rsid w:val="630930CF"/>
    <w:rsid w:val="630C2BBF"/>
    <w:rsid w:val="630F26B0"/>
    <w:rsid w:val="631C2CE9"/>
    <w:rsid w:val="633F11E7"/>
    <w:rsid w:val="63471E49"/>
    <w:rsid w:val="63500834"/>
    <w:rsid w:val="63546819"/>
    <w:rsid w:val="63612220"/>
    <w:rsid w:val="63953991"/>
    <w:rsid w:val="63AA3A46"/>
    <w:rsid w:val="63AF4246"/>
    <w:rsid w:val="63B50DB2"/>
    <w:rsid w:val="63BD2550"/>
    <w:rsid w:val="63C96D02"/>
    <w:rsid w:val="63DC5F56"/>
    <w:rsid w:val="63E23009"/>
    <w:rsid w:val="63EE01E7"/>
    <w:rsid w:val="63F35B2D"/>
    <w:rsid w:val="63F52D70"/>
    <w:rsid w:val="6401024A"/>
    <w:rsid w:val="640403C0"/>
    <w:rsid w:val="640970FF"/>
    <w:rsid w:val="64326656"/>
    <w:rsid w:val="643710FC"/>
    <w:rsid w:val="64373FEB"/>
    <w:rsid w:val="643E6710"/>
    <w:rsid w:val="6448098F"/>
    <w:rsid w:val="644A511E"/>
    <w:rsid w:val="64634A61"/>
    <w:rsid w:val="647153D0"/>
    <w:rsid w:val="64744EC0"/>
    <w:rsid w:val="64796354"/>
    <w:rsid w:val="64846D27"/>
    <w:rsid w:val="649F36B1"/>
    <w:rsid w:val="64CC2DA2"/>
    <w:rsid w:val="64DD378A"/>
    <w:rsid w:val="64E32187"/>
    <w:rsid w:val="64E87687"/>
    <w:rsid w:val="64ED07CF"/>
    <w:rsid w:val="650A1380"/>
    <w:rsid w:val="650B0F5A"/>
    <w:rsid w:val="65177A63"/>
    <w:rsid w:val="65183A9D"/>
    <w:rsid w:val="652609C5"/>
    <w:rsid w:val="65491388"/>
    <w:rsid w:val="655748CB"/>
    <w:rsid w:val="656E7B61"/>
    <w:rsid w:val="658C1461"/>
    <w:rsid w:val="65A55BDD"/>
    <w:rsid w:val="65B6655A"/>
    <w:rsid w:val="65B91F22"/>
    <w:rsid w:val="65BA7FB3"/>
    <w:rsid w:val="65BD073D"/>
    <w:rsid w:val="65E120E1"/>
    <w:rsid w:val="65F20792"/>
    <w:rsid w:val="65FD2C93"/>
    <w:rsid w:val="66225C4B"/>
    <w:rsid w:val="663A405A"/>
    <w:rsid w:val="6646463A"/>
    <w:rsid w:val="66643978"/>
    <w:rsid w:val="667271DD"/>
    <w:rsid w:val="667411A7"/>
    <w:rsid w:val="66790E41"/>
    <w:rsid w:val="667C153E"/>
    <w:rsid w:val="668C2375"/>
    <w:rsid w:val="669E7094"/>
    <w:rsid w:val="66A82BFF"/>
    <w:rsid w:val="66A85222"/>
    <w:rsid w:val="66B477F6"/>
    <w:rsid w:val="66D165FA"/>
    <w:rsid w:val="66D63B6E"/>
    <w:rsid w:val="66E87B5D"/>
    <w:rsid w:val="67074A02"/>
    <w:rsid w:val="670D44B4"/>
    <w:rsid w:val="67101041"/>
    <w:rsid w:val="67191E9B"/>
    <w:rsid w:val="67281F92"/>
    <w:rsid w:val="672C55DE"/>
    <w:rsid w:val="672E57FA"/>
    <w:rsid w:val="673369F2"/>
    <w:rsid w:val="674943E2"/>
    <w:rsid w:val="676D7A10"/>
    <w:rsid w:val="678905F2"/>
    <w:rsid w:val="67A41B04"/>
    <w:rsid w:val="67C16124"/>
    <w:rsid w:val="67D77C40"/>
    <w:rsid w:val="67F61C90"/>
    <w:rsid w:val="68017CE4"/>
    <w:rsid w:val="68120C78"/>
    <w:rsid w:val="681A6810"/>
    <w:rsid w:val="682D2B59"/>
    <w:rsid w:val="683071D0"/>
    <w:rsid w:val="6838144E"/>
    <w:rsid w:val="683F7593"/>
    <w:rsid w:val="68684D3C"/>
    <w:rsid w:val="686C33FF"/>
    <w:rsid w:val="686D5C6A"/>
    <w:rsid w:val="687356EA"/>
    <w:rsid w:val="687B3A21"/>
    <w:rsid w:val="689063CF"/>
    <w:rsid w:val="68992F13"/>
    <w:rsid w:val="689E59DA"/>
    <w:rsid w:val="68AA7398"/>
    <w:rsid w:val="68B77EC1"/>
    <w:rsid w:val="68D4417F"/>
    <w:rsid w:val="68DE0B01"/>
    <w:rsid w:val="68E41866"/>
    <w:rsid w:val="68E85E7D"/>
    <w:rsid w:val="68F4285A"/>
    <w:rsid w:val="68FB38F6"/>
    <w:rsid w:val="69281841"/>
    <w:rsid w:val="69734775"/>
    <w:rsid w:val="69840B82"/>
    <w:rsid w:val="69884A52"/>
    <w:rsid w:val="69990F25"/>
    <w:rsid w:val="69A022B3"/>
    <w:rsid w:val="69AA4EE0"/>
    <w:rsid w:val="69DB4C7C"/>
    <w:rsid w:val="69F068FB"/>
    <w:rsid w:val="69F63767"/>
    <w:rsid w:val="6A000318"/>
    <w:rsid w:val="6A366774"/>
    <w:rsid w:val="6A3E3402"/>
    <w:rsid w:val="6A484E25"/>
    <w:rsid w:val="6A555DAE"/>
    <w:rsid w:val="6A8E65B0"/>
    <w:rsid w:val="6A9A5AB8"/>
    <w:rsid w:val="6AB801E2"/>
    <w:rsid w:val="6AC4570C"/>
    <w:rsid w:val="6ACA6640"/>
    <w:rsid w:val="6ACC18F4"/>
    <w:rsid w:val="6AE12A31"/>
    <w:rsid w:val="6AED32A0"/>
    <w:rsid w:val="6AEF704E"/>
    <w:rsid w:val="6AF047CD"/>
    <w:rsid w:val="6AFC5A6E"/>
    <w:rsid w:val="6AFD2811"/>
    <w:rsid w:val="6B063110"/>
    <w:rsid w:val="6B160A7F"/>
    <w:rsid w:val="6B1C6E35"/>
    <w:rsid w:val="6B2F7D93"/>
    <w:rsid w:val="6B340F05"/>
    <w:rsid w:val="6B4A74E9"/>
    <w:rsid w:val="6B4D12BC"/>
    <w:rsid w:val="6B5D6793"/>
    <w:rsid w:val="6B62298A"/>
    <w:rsid w:val="6B623CC4"/>
    <w:rsid w:val="6B6F33E6"/>
    <w:rsid w:val="6B6F6C1F"/>
    <w:rsid w:val="6BA31681"/>
    <w:rsid w:val="6BA67487"/>
    <w:rsid w:val="6BCF16EA"/>
    <w:rsid w:val="6BD80588"/>
    <w:rsid w:val="6BF3491C"/>
    <w:rsid w:val="6BF54B38"/>
    <w:rsid w:val="6BF92949"/>
    <w:rsid w:val="6C132AF4"/>
    <w:rsid w:val="6C2C14E7"/>
    <w:rsid w:val="6C3306D2"/>
    <w:rsid w:val="6C3B5506"/>
    <w:rsid w:val="6C4E249B"/>
    <w:rsid w:val="6C543A21"/>
    <w:rsid w:val="6C5E25FF"/>
    <w:rsid w:val="6C707395"/>
    <w:rsid w:val="6C735B50"/>
    <w:rsid w:val="6C9D2ADA"/>
    <w:rsid w:val="6CA976D1"/>
    <w:rsid w:val="6CB417F8"/>
    <w:rsid w:val="6CB61B52"/>
    <w:rsid w:val="6CC4450B"/>
    <w:rsid w:val="6CC938CF"/>
    <w:rsid w:val="6CD57DA9"/>
    <w:rsid w:val="6CDE3F67"/>
    <w:rsid w:val="6CE11CD2"/>
    <w:rsid w:val="6CF2109E"/>
    <w:rsid w:val="6D1927C4"/>
    <w:rsid w:val="6D294566"/>
    <w:rsid w:val="6D3163D6"/>
    <w:rsid w:val="6D447B9D"/>
    <w:rsid w:val="6D5165B8"/>
    <w:rsid w:val="6D5813ED"/>
    <w:rsid w:val="6D5E2269"/>
    <w:rsid w:val="6D6B4986"/>
    <w:rsid w:val="6D7E660E"/>
    <w:rsid w:val="6D8C3C34"/>
    <w:rsid w:val="6D9C1704"/>
    <w:rsid w:val="6D9C5E4A"/>
    <w:rsid w:val="6D9F452E"/>
    <w:rsid w:val="6DAA59E1"/>
    <w:rsid w:val="6DAE41D9"/>
    <w:rsid w:val="6DBC1754"/>
    <w:rsid w:val="6DD17D62"/>
    <w:rsid w:val="6DDB185C"/>
    <w:rsid w:val="6DF26D1E"/>
    <w:rsid w:val="6E032876"/>
    <w:rsid w:val="6E041063"/>
    <w:rsid w:val="6E0607D2"/>
    <w:rsid w:val="6E0A3A7A"/>
    <w:rsid w:val="6E13237E"/>
    <w:rsid w:val="6E290AC9"/>
    <w:rsid w:val="6E2F38EA"/>
    <w:rsid w:val="6E3404E7"/>
    <w:rsid w:val="6E7D3102"/>
    <w:rsid w:val="6E881C94"/>
    <w:rsid w:val="6E922E13"/>
    <w:rsid w:val="6E9B4D97"/>
    <w:rsid w:val="6EAF5B84"/>
    <w:rsid w:val="6EC234F4"/>
    <w:rsid w:val="6ED55E17"/>
    <w:rsid w:val="6ED950BD"/>
    <w:rsid w:val="6EF80022"/>
    <w:rsid w:val="6F0917CE"/>
    <w:rsid w:val="6F154B2D"/>
    <w:rsid w:val="6F26325B"/>
    <w:rsid w:val="6F3709D4"/>
    <w:rsid w:val="6F433E0D"/>
    <w:rsid w:val="6F705600"/>
    <w:rsid w:val="6F822B79"/>
    <w:rsid w:val="6F97D24A"/>
    <w:rsid w:val="6F9F1765"/>
    <w:rsid w:val="6FA5218B"/>
    <w:rsid w:val="6FA80114"/>
    <w:rsid w:val="6FB46AB9"/>
    <w:rsid w:val="6FBB1352"/>
    <w:rsid w:val="6FC11EA3"/>
    <w:rsid w:val="6FD159D2"/>
    <w:rsid w:val="6FD83846"/>
    <w:rsid w:val="6FEF1A29"/>
    <w:rsid w:val="6FF9096F"/>
    <w:rsid w:val="6FFA2E4B"/>
    <w:rsid w:val="700510C2"/>
    <w:rsid w:val="7012558D"/>
    <w:rsid w:val="70180DF5"/>
    <w:rsid w:val="70187047"/>
    <w:rsid w:val="70241B57"/>
    <w:rsid w:val="70251A96"/>
    <w:rsid w:val="70297111"/>
    <w:rsid w:val="70551E67"/>
    <w:rsid w:val="705F630C"/>
    <w:rsid w:val="70690614"/>
    <w:rsid w:val="70A51997"/>
    <w:rsid w:val="70B86AA7"/>
    <w:rsid w:val="70DD00DC"/>
    <w:rsid w:val="70E67ED5"/>
    <w:rsid w:val="70EB02B8"/>
    <w:rsid w:val="70F13B89"/>
    <w:rsid w:val="70F80805"/>
    <w:rsid w:val="70FE448F"/>
    <w:rsid w:val="71167478"/>
    <w:rsid w:val="711C4915"/>
    <w:rsid w:val="711D130A"/>
    <w:rsid w:val="711D243B"/>
    <w:rsid w:val="711D50BB"/>
    <w:rsid w:val="71237896"/>
    <w:rsid w:val="712A5284"/>
    <w:rsid w:val="71352A9F"/>
    <w:rsid w:val="71390D7C"/>
    <w:rsid w:val="71420031"/>
    <w:rsid w:val="715660A1"/>
    <w:rsid w:val="71651F87"/>
    <w:rsid w:val="71746807"/>
    <w:rsid w:val="717A6480"/>
    <w:rsid w:val="718B1D52"/>
    <w:rsid w:val="71D33A30"/>
    <w:rsid w:val="71E74F23"/>
    <w:rsid w:val="71F25676"/>
    <w:rsid w:val="71FD0A71"/>
    <w:rsid w:val="720158B9"/>
    <w:rsid w:val="722E2B52"/>
    <w:rsid w:val="725956F5"/>
    <w:rsid w:val="725C373A"/>
    <w:rsid w:val="726253E1"/>
    <w:rsid w:val="72667796"/>
    <w:rsid w:val="72B94E61"/>
    <w:rsid w:val="72C43AB7"/>
    <w:rsid w:val="72DA05E4"/>
    <w:rsid w:val="72E9198B"/>
    <w:rsid w:val="73093F8E"/>
    <w:rsid w:val="73163E2C"/>
    <w:rsid w:val="731E2BA1"/>
    <w:rsid w:val="73357DF4"/>
    <w:rsid w:val="733D1612"/>
    <w:rsid w:val="734168B5"/>
    <w:rsid w:val="73691968"/>
    <w:rsid w:val="737456F6"/>
    <w:rsid w:val="73777D21"/>
    <w:rsid w:val="739B2790"/>
    <w:rsid w:val="739D2629"/>
    <w:rsid w:val="73BB0416"/>
    <w:rsid w:val="73BE7F06"/>
    <w:rsid w:val="73D50AB3"/>
    <w:rsid w:val="740759EF"/>
    <w:rsid w:val="740D392B"/>
    <w:rsid w:val="74147D1B"/>
    <w:rsid w:val="741D18EF"/>
    <w:rsid w:val="74212243"/>
    <w:rsid w:val="742C597A"/>
    <w:rsid w:val="743C0E2B"/>
    <w:rsid w:val="74485068"/>
    <w:rsid w:val="74542618"/>
    <w:rsid w:val="74610AB3"/>
    <w:rsid w:val="74627DA3"/>
    <w:rsid w:val="74681C20"/>
    <w:rsid w:val="749125C2"/>
    <w:rsid w:val="7499627D"/>
    <w:rsid w:val="74A7141D"/>
    <w:rsid w:val="74B35591"/>
    <w:rsid w:val="74BA2E14"/>
    <w:rsid w:val="74C23A26"/>
    <w:rsid w:val="74D06D4B"/>
    <w:rsid w:val="74DD3B22"/>
    <w:rsid w:val="74DE08FF"/>
    <w:rsid w:val="74E16B0E"/>
    <w:rsid w:val="74F769C2"/>
    <w:rsid w:val="75146DB1"/>
    <w:rsid w:val="75151DA7"/>
    <w:rsid w:val="75183C6C"/>
    <w:rsid w:val="75232716"/>
    <w:rsid w:val="75250343"/>
    <w:rsid w:val="752A55EB"/>
    <w:rsid w:val="752C1160"/>
    <w:rsid w:val="7533222E"/>
    <w:rsid w:val="754040AE"/>
    <w:rsid w:val="7554008E"/>
    <w:rsid w:val="756E770A"/>
    <w:rsid w:val="75724718"/>
    <w:rsid w:val="757848E4"/>
    <w:rsid w:val="75820565"/>
    <w:rsid w:val="75886287"/>
    <w:rsid w:val="758B0BA4"/>
    <w:rsid w:val="759233F8"/>
    <w:rsid w:val="75A20A8B"/>
    <w:rsid w:val="75A77A0B"/>
    <w:rsid w:val="75A82C1C"/>
    <w:rsid w:val="75AA118F"/>
    <w:rsid w:val="75AF3FAA"/>
    <w:rsid w:val="75E875B4"/>
    <w:rsid w:val="75EB0756"/>
    <w:rsid w:val="75F153E8"/>
    <w:rsid w:val="75F8498C"/>
    <w:rsid w:val="75FB6E8A"/>
    <w:rsid w:val="761248F3"/>
    <w:rsid w:val="76125DCB"/>
    <w:rsid w:val="76263B40"/>
    <w:rsid w:val="762E0340"/>
    <w:rsid w:val="762F0C47"/>
    <w:rsid w:val="7630676D"/>
    <w:rsid w:val="76326989"/>
    <w:rsid w:val="7662101C"/>
    <w:rsid w:val="76A33C20"/>
    <w:rsid w:val="76AE24B4"/>
    <w:rsid w:val="76B63F2A"/>
    <w:rsid w:val="76B841D0"/>
    <w:rsid w:val="76C75323"/>
    <w:rsid w:val="76C770D1"/>
    <w:rsid w:val="76E934EC"/>
    <w:rsid w:val="770D0D85"/>
    <w:rsid w:val="771439B4"/>
    <w:rsid w:val="77174DA1"/>
    <w:rsid w:val="771E4C0B"/>
    <w:rsid w:val="772A140E"/>
    <w:rsid w:val="773C2BB6"/>
    <w:rsid w:val="77530965"/>
    <w:rsid w:val="77737259"/>
    <w:rsid w:val="77765011"/>
    <w:rsid w:val="77775308"/>
    <w:rsid w:val="777E6238"/>
    <w:rsid w:val="778D55C5"/>
    <w:rsid w:val="77901B44"/>
    <w:rsid w:val="7798707D"/>
    <w:rsid w:val="77A363F9"/>
    <w:rsid w:val="77A86B72"/>
    <w:rsid w:val="77B72E83"/>
    <w:rsid w:val="77CD6969"/>
    <w:rsid w:val="77D00208"/>
    <w:rsid w:val="77DC082E"/>
    <w:rsid w:val="77E9185C"/>
    <w:rsid w:val="78016613"/>
    <w:rsid w:val="78054355"/>
    <w:rsid w:val="782A7918"/>
    <w:rsid w:val="784529A4"/>
    <w:rsid w:val="784677F8"/>
    <w:rsid w:val="784A620C"/>
    <w:rsid w:val="7859182A"/>
    <w:rsid w:val="785C7CED"/>
    <w:rsid w:val="78643617"/>
    <w:rsid w:val="786C6182"/>
    <w:rsid w:val="788B1F2C"/>
    <w:rsid w:val="788F1E71"/>
    <w:rsid w:val="789433CB"/>
    <w:rsid w:val="78B6564F"/>
    <w:rsid w:val="78C57641"/>
    <w:rsid w:val="78C67BA5"/>
    <w:rsid w:val="78C95383"/>
    <w:rsid w:val="78CA21F2"/>
    <w:rsid w:val="78D760B6"/>
    <w:rsid w:val="78D87374"/>
    <w:rsid w:val="78D96057"/>
    <w:rsid w:val="78EA52F9"/>
    <w:rsid w:val="79022643"/>
    <w:rsid w:val="790979DA"/>
    <w:rsid w:val="792128F0"/>
    <w:rsid w:val="792425B9"/>
    <w:rsid w:val="79734022"/>
    <w:rsid w:val="799736F9"/>
    <w:rsid w:val="799A6677"/>
    <w:rsid w:val="799B093F"/>
    <w:rsid w:val="79A408EB"/>
    <w:rsid w:val="79B00192"/>
    <w:rsid w:val="79C43D9C"/>
    <w:rsid w:val="79D7762B"/>
    <w:rsid w:val="79DC7CBF"/>
    <w:rsid w:val="79FF6B82"/>
    <w:rsid w:val="7A016D9E"/>
    <w:rsid w:val="7A047BEE"/>
    <w:rsid w:val="7A0643B5"/>
    <w:rsid w:val="7A0C6E22"/>
    <w:rsid w:val="7A1446D5"/>
    <w:rsid w:val="7A2A1C30"/>
    <w:rsid w:val="7A2A5002"/>
    <w:rsid w:val="7A2B1A70"/>
    <w:rsid w:val="7A2C7387"/>
    <w:rsid w:val="7A353F80"/>
    <w:rsid w:val="7A3902E6"/>
    <w:rsid w:val="7A6262A3"/>
    <w:rsid w:val="7A67775E"/>
    <w:rsid w:val="7A684727"/>
    <w:rsid w:val="7A7171A7"/>
    <w:rsid w:val="7A7C1AD0"/>
    <w:rsid w:val="7A7E672B"/>
    <w:rsid w:val="7A94376E"/>
    <w:rsid w:val="7AAC0793"/>
    <w:rsid w:val="7AB4152A"/>
    <w:rsid w:val="7ABE07EB"/>
    <w:rsid w:val="7AD7365B"/>
    <w:rsid w:val="7ADE37AF"/>
    <w:rsid w:val="7AE7015F"/>
    <w:rsid w:val="7B130B37"/>
    <w:rsid w:val="7B145A11"/>
    <w:rsid w:val="7B14665D"/>
    <w:rsid w:val="7B167964"/>
    <w:rsid w:val="7B2A20B0"/>
    <w:rsid w:val="7B2B7C6E"/>
    <w:rsid w:val="7B3867F0"/>
    <w:rsid w:val="7B477562"/>
    <w:rsid w:val="7B4C5FDE"/>
    <w:rsid w:val="7B615D46"/>
    <w:rsid w:val="7B6232FE"/>
    <w:rsid w:val="7B783090"/>
    <w:rsid w:val="7B7B492E"/>
    <w:rsid w:val="7B805E5E"/>
    <w:rsid w:val="7B8F7E40"/>
    <w:rsid w:val="7B931C78"/>
    <w:rsid w:val="7B9C1CE2"/>
    <w:rsid w:val="7BBA572A"/>
    <w:rsid w:val="7BC2430B"/>
    <w:rsid w:val="7BC506FF"/>
    <w:rsid w:val="7BD06A28"/>
    <w:rsid w:val="7BD5386A"/>
    <w:rsid w:val="7BDE0A0C"/>
    <w:rsid w:val="7BF422EC"/>
    <w:rsid w:val="7C06508E"/>
    <w:rsid w:val="7C077F70"/>
    <w:rsid w:val="7C1034D3"/>
    <w:rsid w:val="7C157D30"/>
    <w:rsid w:val="7C1B18FB"/>
    <w:rsid w:val="7C211032"/>
    <w:rsid w:val="7C231940"/>
    <w:rsid w:val="7C350C01"/>
    <w:rsid w:val="7C4B2553"/>
    <w:rsid w:val="7C7354BB"/>
    <w:rsid w:val="7C742262"/>
    <w:rsid w:val="7C750D4B"/>
    <w:rsid w:val="7C7C1E47"/>
    <w:rsid w:val="7C8B0BA1"/>
    <w:rsid w:val="7C8C7D46"/>
    <w:rsid w:val="7CA9787A"/>
    <w:rsid w:val="7CAB2FF1"/>
    <w:rsid w:val="7CBB76D8"/>
    <w:rsid w:val="7CBC6BC7"/>
    <w:rsid w:val="7CC84C09"/>
    <w:rsid w:val="7CCC169D"/>
    <w:rsid w:val="7CD15708"/>
    <w:rsid w:val="7CD63A90"/>
    <w:rsid w:val="7CE64029"/>
    <w:rsid w:val="7CF91FAF"/>
    <w:rsid w:val="7D0C42A7"/>
    <w:rsid w:val="7D182727"/>
    <w:rsid w:val="7D2747F6"/>
    <w:rsid w:val="7D413844"/>
    <w:rsid w:val="7D5C784E"/>
    <w:rsid w:val="7D8A6AEF"/>
    <w:rsid w:val="7DB36601"/>
    <w:rsid w:val="7DCF4ABD"/>
    <w:rsid w:val="7DDB1AC2"/>
    <w:rsid w:val="7DE90E7A"/>
    <w:rsid w:val="7DF04F86"/>
    <w:rsid w:val="7E0116D3"/>
    <w:rsid w:val="7E23398C"/>
    <w:rsid w:val="7E2766A8"/>
    <w:rsid w:val="7E2B6198"/>
    <w:rsid w:val="7E437985"/>
    <w:rsid w:val="7E5B5E04"/>
    <w:rsid w:val="7E8D3366"/>
    <w:rsid w:val="7E937C47"/>
    <w:rsid w:val="7EC82CE9"/>
    <w:rsid w:val="7EEF5FAD"/>
    <w:rsid w:val="7F036DAF"/>
    <w:rsid w:val="7F0A2251"/>
    <w:rsid w:val="7F1E5CFC"/>
    <w:rsid w:val="7F251D0E"/>
    <w:rsid w:val="7F45772D"/>
    <w:rsid w:val="7F465549"/>
    <w:rsid w:val="7F4D294D"/>
    <w:rsid w:val="7F5B5851"/>
    <w:rsid w:val="7F5F372B"/>
    <w:rsid w:val="7F6C4232"/>
    <w:rsid w:val="7F8738A2"/>
    <w:rsid w:val="7F97D7F2"/>
    <w:rsid w:val="7FB93F2D"/>
    <w:rsid w:val="7FCE7723"/>
    <w:rsid w:val="7FE17456"/>
    <w:rsid w:val="7FE4653A"/>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7"/>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3"/>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4"/>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6"/>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7"/>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8"/>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9"/>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0"/>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1"/>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autoRedefine/>
    <w:qFormat/>
    <w:uiPriority w:val="99"/>
    <w:pPr>
      <w:tabs>
        <w:tab w:val="left" w:pos="480"/>
      </w:tabs>
      <w:spacing w:line="500" w:lineRule="exact"/>
      <w:ind w:left="359" w:hanging="359" w:hangingChars="171"/>
    </w:pPr>
    <w:rPr>
      <w:rFonts w:ascii="黑体" w:hAnsi="宋体" w:cs="黑体"/>
      <w:szCs w:val="21"/>
    </w:rPr>
  </w:style>
  <w:style w:type="paragraph" w:styleId="6">
    <w:name w:val="Normal Indent"/>
    <w:basedOn w:val="1"/>
    <w:link w:val="65"/>
    <w:autoRedefine/>
    <w:qFormat/>
    <w:uiPriority w:val="0"/>
    <w:pPr>
      <w:autoSpaceDE w:val="0"/>
      <w:autoSpaceDN w:val="0"/>
      <w:adjustRightInd w:val="0"/>
      <w:ind w:firstLine="420"/>
      <w:jc w:val="left"/>
    </w:pPr>
    <w:rPr>
      <w:rFonts w:ascii="宋体"/>
      <w:sz w:val="24"/>
    </w:rPr>
  </w:style>
  <w:style w:type="paragraph" w:styleId="13">
    <w:name w:val="toc 7"/>
    <w:basedOn w:val="1"/>
    <w:next w:val="1"/>
    <w:autoRedefine/>
    <w:qFormat/>
    <w:uiPriority w:val="0"/>
    <w:pPr>
      <w:ind w:left="2520" w:leftChars="12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72"/>
    <w:autoRedefine/>
    <w:qFormat/>
    <w:uiPriority w:val="0"/>
    <w:pPr>
      <w:shd w:val="clear" w:color="auto" w:fill="000080"/>
    </w:pPr>
  </w:style>
  <w:style w:type="paragraph" w:styleId="16">
    <w:name w:val="annotation text"/>
    <w:basedOn w:val="1"/>
    <w:link w:val="73"/>
    <w:autoRedefine/>
    <w:qFormat/>
    <w:uiPriority w:val="99"/>
    <w:pPr>
      <w:jc w:val="left"/>
    </w:pPr>
  </w:style>
  <w:style w:type="paragraph" w:styleId="17">
    <w:name w:val="Body Text 3"/>
    <w:basedOn w:val="1"/>
    <w:link w:val="74"/>
    <w:autoRedefine/>
    <w:qFormat/>
    <w:uiPriority w:val="0"/>
    <w:pPr>
      <w:spacing w:after="120"/>
    </w:pPr>
    <w:rPr>
      <w:sz w:val="16"/>
      <w:szCs w:val="16"/>
    </w:rPr>
  </w:style>
  <w:style w:type="paragraph" w:styleId="18">
    <w:name w:val="Body Text"/>
    <w:basedOn w:val="1"/>
    <w:link w:val="75"/>
    <w:autoRedefine/>
    <w:qFormat/>
    <w:uiPriority w:val="0"/>
    <w:pPr>
      <w:tabs>
        <w:tab w:val="left" w:pos="567"/>
      </w:tabs>
      <w:spacing w:before="120" w:line="22" w:lineRule="atLeast"/>
    </w:pPr>
    <w:rPr>
      <w:rFonts w:ascii="宋体" w:hAnsi="宋体"/>
      <w:sz w:val="24"/>
    </w:rPr>
  </w:style>
  <w:style w:type="paragraph" w:styleId="19">
    <w:name w:val="Body Text Indent"/>
    <w:basedOn w:val="1"/>
    <w:link w:val="60"/>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39"/>
    <w:pPr>
      <w:ind w:left="840" w:leftChars="400"/>
    </w:pPr>
  </w:style>
  <w:style w:type="paragraph" w:styleId="24">
    <w:name w:val="Plain Text"/>
    <w:basedOn w:val="1"/>
    <w:link w:val="76"/>
    <w:autoRedefine/>
    <w:qFormat/>
    <w:uiPriority w:val="0"/>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7"/>
    <w:autoRedefine/>
    <w:qFormat/>
    <w:uiPriority w:val="0"/>
    <w:pPr>
      <w:ind w:left="100" w:leftChars="2500"/>
    </w:pPr>
    <w:rPr>
      <w:rFonts w:ascii="仿宋_GB2312" w:hAnsi="宋体" w:eastAsia="仿宋_GB2312"/>
      <w:color w:val="000000"/>
      <w:sz w:val="24"/>
    </w:rPr>
  </w:style>
  <w:style w:type="paragraph" w:styleId="27">
    <w:name w:val="Body Text Indent 2"/>
    <w:basedOn w:val="1"/>
    <w:link w:val="78"/>
    <w:autoRedefine/>
    <w:qFormat/>
    <w:uiPriority w:val="0"/>
    <w:pPr>
      <w:ind w:firstLine="480" w:firstLineChars="200"/>
    </w:pPr>
    <w:rPr>
      <w:rFonts w:ascii="仿宋_GB2312" w:eastAsia="仿宋_GB2312"/>
      <w:sz w:val="24"/>
    </w:rPr>
  </w:style>
  <w:style w:type="paragraph" w:styleId="28">
    <w:name w:val="Balloon Text"/>
    <w:basedOn w:val="1"/>
    <w:link w:val="79"/>
    <w:autoRedefine/>
    <w:qFormat/>
    <w:uiPriority w:val="0"/>
    <w:rPr>
      <w:sz w:val="18"/>
      <w:szCs w:val="18"/>
    </w:rPr>
  </w:style>
  <w:style w:type="paragraph" w:styleId="29">
    <w:name w:val="footer"/>
    <w:basedOn w:val="1"/>
    <w:link w:val="8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autoRedefine/>
    <w:qFormat/>
    <w:uiPriority w:val="99"/>
    <w:rPr>
      <w:rFonts w:ascii="Arial" w:hAnsi="Arial" w:cs="Arial"/>
      <w:kern w:val="1"/>
    </w:rPr>
  </w:style>
  <w:style w:type="paragraph" w:styleId="31">
    <w:name w:val="header"/>
    <w:basedOn w:val="1"/>
    <w:link w:val="81"/>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footnote text"/>
    <w:basedOn w:val="1"/>
    <w:next w:val="31"/>
    <w:autoRedefine/>
    <w:unhideWhenUsed/>
    <w:qFormat/>
    <w:uiPriority w:val="0"/>
    <w:pPr>
      <w:snapToGrid w:val="0"/>
      <w:jc w:val="left"/>
    </w:pPr>
  </w:style>
  <w:style w:type="paragraph" w:styleId="35">
    <w:name w:val="toc 6"/>
    <w:basedOn w:val="1"/>
    <w:next w:val="1"/>
    <w:autoRedefine/>
    <w:qFormat/>
    <w:uiPriority w:val="0"/>
    <w:pPr>
      <w:ind w:left="2100" w:leftChars="1000"/>
    </w:pPr>
  </w:style>
  <w:style w:type="paragraph" w:styleId="36">
    <w:name w:val="Body Text Indent 3"/>
    <w:basedOn w:val="1"/>
    <w:link w:val="82"/>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autoRedefine/>
    <w:qFormat/>
    <w:uiPriority w:val="39"/>
    <w:pPr>
      <w:tabs>
        <w:tab w:val="right" w:leader="dot" w:pos="8937"/>
      </w:tabs>
      <w:spacing w:line="312" w:lineRule="auto"/>
      <w:ind w:left="420" w:leftChars="200"/>
    </w:pPr>
  </w:style>
  <w:style w:type="paragraph" w:styleId="38">
    <w:name w:val="toc 9"/>
    <w:basedOn w:val="1"/>
    <w:next w:val="1"/>
    <w:autoRedefine/>
    <w:qFormat/>
    <w:uiPriority w:val="0"/>
    <w:pPr>
      <w:ind w:left="3360" w:leftChars="1600"/>
    </w:pPr>
  </w:style>
  <w:style w:type="paragraph" w:styleId="39">
    <w:name w:val="HTML Preformatted"/>
    <w:basedOn w:val="1"/>
    <w:link w:val="8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rPr>
      <w:szCs w:val="20"/>
    </w:rPr>
  </w:style>
  <w:style w:type="paragraph" w:styleId="42">
    <w:name w:val="Title"/>
    <w:basedOn w:val="1"/>
    <w:next w:val="1"/>
    <w:link w:val="84"/>
    <w:autoRedefine/>
    <w:qFormat/>
    <w:uiPriority w:val="0"/>
    <w:pPr>
      <w:jc w:val="center"/>
      <w:outlineLvl w:val="0"/>
    </w:pPr>
    <w:rPr>
      <w:b/>
      <w:sz w:val="32"/>
      <w:szCs w:val="20"/>
    </w:rPr>
  </w:style>
  <w:style w:type="paragraph" w:styleId="43">
    <w:name w:val="annotation subject"/>
    <w:basedOn w:val="16"/>
    <w:next w:val="16"/>
    <w:link w:val="85"/>
    <w:autoRedefine/>
    <w:qFormat/>
    <w:uiPriority w:val="0"/>
    <w:rPr>
      <w:b/>
      <w:bCs/>
    </w:rPr>
  </w:style>
  <w:style w:type="paragraph" w:styleId="44">
    <w:name w:val="Body Text First Indent"/>
    <w:basedOn w:val="18"/>
    <w:autoRedefine/>
    <w:qFormat/>
    <w:uiPriority w:val="0"/>
    <w:pPr>
      <w:spacing w:after="120"/>
      <w:ind w:firstLine="420" w:firstLineChars="100"/>
    </w:pPr>
    <w:rPr>
      <w:rFonts w:ascii="Calibri" w:hAnsi="Calibri"/>
      <w:sz w:val="21"/>
    </w:rPr>
  </w:style>
  <w:style w:type="paragraph" w:styleId="45">
    <w:name w:val="Body Text First Indent 2"/>
    <w:basedOn w:val="19"/>
    <w:link w:val="61"/>
    <w:autoRedefine/>
    <w:qFormat/>
    <w:uiPriority w:val="0"/>
    <w:pPr>
      <w:spacing w:after="120" w:line="480" w:lineRule="exact"/>
      <w:ind w:left="420" w:leftChars="200" w:firstLine="420" w:firstLineChars="200"/>
    </w:pPr>
    <w:rPr>
      <w:szCs w:val="20"/>
    </w:rPr>
  </w:style>
  <w:style w:type="table" w:styleId="47">
    <w:name w:val="Table Grid"/>
    <w:basedOn w:val="46"/>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autoRedefine/>
    <w:qFormat/>
    <w:uiPriority w:val="0"/>
    <w:rPr>
      <w:b/>
      <w:bCs/>
    </w:rPr>
  </w:style>
  <w:style w:type="character" w:styleId="51">
    <w:name w:val="page number"/>
    <w:basedOn w:val="49"/>
    <w:autoRedefine/>
    <w:qFormat/>
    <w:uiPriority w:val="0"/>
  </w:style>
  <w:style w:type="character" w:styleId="52">
    <w:name w:val="FollowedHyperlink"/>
    <w:autoRedefine/>
    <w:qFormat/>
    <w:uiPriority w:val="0"/>
    <w:rPr>
      <w:color w:val="800080"/>
      <w:u w:val="single"/>
    </w:rPr>
  </w:style>
  <w:style w:type="character" w:styleId="53">
    <w:name w:val="Emphasis"/>
    <w:autoRedefine/>
    <w:qFormat/>
    <w:uiPriority w:val="0"/>
    <w:rPr>
      <w:color w:val="CC0033"/>
    </w:rPr>
  </w:style>
  <w:style w:type="character" w:styleId="54">
    <w:name w:val="Hyperlink"/>
    <w:autoRedefine/>
    <w:qFormat/>
    <w:uiPriority w:val="99"/>
    <w:rPr>
      <w:color w:val="0000FF"/>
      <w:u w:val="single"/>
    </w:rPr>
  </w:style>
  <w:style w:type="character" w:styleId="55">
    <w:name w:val="annotation reference"/>
    <w:autoRedefine/>
    <w:qFormat/>
    <w:uiPriority w:val="99"/>
    <w:rPr>
      <w:sz w:val="21"/>
      <w:szCs w:val="21"/>
    </w:rPr>
  </w:style>
  <w:style w:type="character" w:styleId="56">
    <w:name w:val="HTML Cite"/>
    <w:autoRedefine/>
    <w:qFormat/>
    <w:uiPriority w:val="0"/>
    <w:rPr>
      <w:i/>
      <w:iCs/>
    </w:rPr>
  </w:style>
  <w:style w:type="paragraph" w:styleId="5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8">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0">
    <w:name w:val="正文文本缩进 字符"/>
    <w:link w:val="19"/>
    <w:autoRedefine/>
    <w:qFormat/>
    <w:uiPriority w:val="0"/>
    <w:rPr>
      <w:rFonts w:eastAsia="宋体"/>
      <w:kern w:val="2"/>
      <w:sz w:val="24"/>
      <w:szCs w:val="24"/>
      <w:lang w:val="en-US" w:eastAsia="zh-CN" w:bidi="ar-SA"/>
    </w:rPr>
  </w:style>
  <w:style w:type="character" w:customStyle="1" w:styleId="61">
    <w:name w:val="正文文本首行缩进 2 字符"/>
    <w:basedOn w:val="60"/>
    <w:link w:val="45"/>
    <w:autoRedefine/>
    <w:qFormat/>
    <w:uiPriority w:val="0"/>
    <w:rPr>
      <w:rFonts w:eastAsia="宋体"/>
      <w:kern w:val="2"/>
      <w:sz w:val="24"/>
      <w:szCs w:val="24"/>
      <w:lang w:val="en-US" w:eastAsia="zh-CN" w:bidi="ar-SA"/>
    </w:rPr>
  </w:style>
  <w:style w:type="character" w:customStyle="1" w:styleId="62">
    <w:name w:val="标题 1 字符"/>
    <w:basedOn w:val="49"/>
    <w:autoRedefine/>
    <w:qFormat/>
    <w:uiPriority w:val="0"/>
    <w:rPr>
      <w:rFonts w:ascii="宋体"/>
      <w:b/>
      <w:kern w:val="44"/>
      <w:sz w:val="32"/>
    </w:rPr>
  </w:style>
  <w:style w:type="character" w:customStyle="1" w:styleId="63">
    <w:name w:val="标题 2 字符"/>
    <w:link w:val="4"/>
    <w:autoRedefine/>
    <w:qFormat/>
    <w:uiPriority w:val="0"/>
    <w:rPr>
      <w:rFonts w:ascii="Arial" w:hAnsi="Arial" w:eastAsia="黑体"/>
      <w:b/>
      <w:sz w:val="30"/>
      <w:lang w:val="en-US" w:eastAsia="zh-CN" w:bidi="ar-SA"/>
    </w:rPr>
  </w:style>
  <w:style w:type="character" w:customStyle="1" w:styleId="64">
    <w:name w:val="标题 3 字符"/>
    <w:link w:val="5"/>
    <w:autoRedefine/>
    <w:qFormat/>
    <w:uiPriority w:val="0"/>
    <w:rPr>
      <w:rFonts w:ascii="宋体" w:eastAsia="宋体"/>
      <w:b/>
      <w:sz w:val="24"/>
      <w:u w:val="single"/>
      <w:lang w:val="en-US" w:eastAsia="zh-CN" w:bidi="ar-SA"/>
    </w:rPr>
  </w:style>
  <w:style w:type="character" w:customStyle="1" w:styleId="65">
    <w:name w:val="正文缩进 字符"/>
    <w:link w:val="6"/>
    <w:autoRedefine/>
    <w:qFormat/>
    <w:uiPriority w:val="0"/>
    <w:rPr>
      <w:rFonts w:ascii="宋体" w:eastAsia="宋体"/>
      <w:kern w:val="2"/>
      <w:sz w:val="24"/>
      <w:szCs w:val="24"/>
      <w:lang w:val="en-US" w:eastAsia="zh-CN" w:bidi="ar-SA"/>
    </w:rPr>
  </w:style>
  <w:style w:type="character" w:customStyle="1" w:styleId="66">
    <w:name w:val="标题 4 字符"/>
    <w:basedOn w:val="49"/>
    <w:link w:val="7"/>
    <w:autoRedefine/>
    <w:qFormat/>
    <w:uiPriority w:val="0"/>
    <w:rPr>
      <w:rFonts w:ascii="Arial" w:hAnsi="Arial" w:eastAsia="黑体"/>
      <w:b/>
      <w:sz w:val="28"/>
    </w:rPr>
  </w:style>
  <w:style w:type="character" w:customStyle="1" w:styleId="67">
    <w:name w:val="标题 5 字符"/>
    <w:basedOn w:val="49"/>
    <w:link w:val="8"/>
    <w:autoRedefine/>
    <w:qFormat/>
    <w:uiPriority w:val="0"/>
    <w:rPr>
      <w:b/>
      <w:sz w:val="28"/>
    </w:rPr>
  </w:style>
  <w:style w:type="character" w:customStyle="1" w:styleId="68">
    <w:name w:val="标题 6 字符"/>
    <w:basedOn w:val="49"/>
    <w:link w:val="9"/>
    <w:autoRedefine/>
    <w:qFormat/>
    <w:uiPriority w:val="0"/>
    <w:rPr>
      <w:rFonts w:ascii="Arial" w:hAnsi="Arial" w:eastAsia="黑体"/>
      <w:b/>
      <w:sz w:val="24"/>
    </w:rPr>
  </w:style>
  <w:style w:type="character" w:customStyle="1" w:styleId="69">
    <w:name w:val="标题 7 字符"/>
    <w:basedOn w:val="49"/>
    <w:link w:val="10"/>
    <w:autoRedefine/>
    <w:qFormat/>
    <w:uiPriority w:val="0"/>
    <w:rPr>
      <w:b/>
      <w:sz w:val="24"/>
    </w:rPr>
  </w:style>
  <w:style w:type="character" w:customStyle="1" w:styleId="70">
    <w:name w:val="标题 8 字符"/>
    <w:basedOn w:val="49"/>
    <w:link w:val="11"/>
    <w:autoRedefine/>
    <w:qFormat/>
    <w:uiPriority w:val="0"/>
    <w:rPr>
      <w:rFonts w:ascii="Arial" w:hAnsi="Arial" w:eastAsia="黑体"/>
      <w:sz w:val="24"/>
    </w:rPr>
  </w:style>
  <w:style w:type="character" w:customStyle="1" w:styleId="71">
    <w:name w:val="标题 9 字符"/>
    <w:basedOn w:val="49"/>
    <w:link w:val="12"/>
    <w:autoRedefine/>
    <w:qFormat/>
    <w:uiPriority w:val="0"/>
    <w:rPr>
      <w:rFonts w:ascii="Arial" w:hAnsi="Arial" w:eastAsia="黑体"/>
      <w:sz w:val="21"/>
    </w:rPr>
  </w:style>
  <w:style w:type="character" w:customStyle="1" w:styleId="72">
    <w:name w:val="文档结构图 字符"/>
    <w:basedOn w:val="49"/>
    <w:link w:val="15"/>
    <w:autoRedefine/>
    <w:qFormat/>
    <w:uiPriority w:val="0"/>
    <w:rPr>
      <w:kern w:val="2"/>
      <w:sz w:val="21"/>
      <w:szCs w:val="24"/>
      <w:shd w:val="clear" w:color="auto" w:fill="000080"/>
    </w:rPr>
  </w:style>
  <w:style w:type="character" w:customStyle="1" w:styleId="73">
    <w:name w:val="批注文字 字符1"/>
    <w:link w:val="16"/>
    <w:autoRedefine/>
    <w:qFormat/>
    <w:uiPriority w:val="99"/>
    <w:rPr>
      <w:kern w:val="2"/>
      <w:sz w:val="21"/>
      <w:szCs w:val="24"/>
    </w:rPr>
  </w:style>
  <w:style w:type="character" w:customStyle="1" w:styleId="74">
    <w:name w:val="正文文本 3 字符"/>
    <w:basedOn w:val="49"/>
    <w:link w:val="17"/>
    <w:autoRedefine/>
    <w:qFormat/>
    <w:uiPriority w:val="0"/>
    <w:rPr>
      <w:kern w:val="2"/>
      <w:sz w:val="16"/>
      <w:szCs w:val="16"/>
    </w:rPr>
  </w:style>
  <w:style w:type="character" w:customStyle="1" w:styleId="75">
    <w:name w:val="正文文本 字符"/>
    <w:basedOn w:val="49"/>
    <w:link w:val="18"/>
    <w:autoRedefine/>
    <w:qFormat/>
    <w:uiPriority w:val="0"/>
    <w:rPr>
      <w:rFonts w:ascii="宋体" w:hAnsi="宋体"/>
      <w:kern w:val="2"/>
      <w:sz w:val="24"/>
      <w:szCs w:val="24"/>
    </w:rPr>
  </w:style>
  <w:style w:type="character" w:customStyle="1" w:styleId="76">
    <w:name w:val="纯文本 字符2"/>
    <w:basedOn w:val="49"/>
    <w:link w:val="24"/>
    <w:autoRedefine/>
    <w:qFormat/>
    <w:uiPriority w:val="0"/>
    <w:rPr>
      <w:rFonts w:hint="eastAsia" w:ascii="宋体" w:hAnsi="Courier New" w:eastAsia="宋体" w:cs="宋体"/>
      <w:kern w:val="2"/>
      <w:sz w:val="21"/>
    </w:rPr>
  </w:style>
  <w:style w:type="character" w:customStyle="1" w:styleId="77">
    <w:name w:val="日期 字符"/>
    <w:basedOn w:val="49"/>
    <w:link w:val="26"/>
    <w:autoRedefine/>
    <w:qFormat/>
    <w:uiPriority w:val="0"/>
    <w:rPr>
      <w:rFonts w:ascii="仿宋_GB2312" w:hAnsi="宋体" w:eastAsia="仿宋_GB2312"/>
      <w:color w:val="000000"/>
      <w:kern w:val="2"/>
      <w:sz w:val="24"/>
      <w:szCs w:val="24"/>
    </w:rPr>
  </w:style>
  <w:style w:type="character" w:customStyle="1" w:styleId="78">
    <w:name w:val="正文文本缩进 2 字符"/>
    <w:basedOn w:val="49"/>
    <w:link w:val="27"/>
    <w:autoRedefine/>
    <w:qFormat/>
    <w:uiPriority w:val="0"/>
    <w:rPr>
      <w:rFonts w:ascii="仿宋_GB2312" w:eastAsia="仿宋_GB2312"/>
      <w:kern w:val="2"/>
      <w:sz w:val="24"/>
      <w:szCs w:val="24"/>
    </w:rPr>
  </w:style>
  <w:style w:type="character" w:customStyle="1" w:styleId="79">
    <w:name w:val="批注框文本 字符"/>
    <w:basedOn w:val="49"/>
    <w:link w:val="28"/>
    <w:autoRedefine/>
    <w:qFormat/>
    <w:uiPriority w:val="0"/>
    <w:rPr>
      <w:kern w:val="2"/>
      <w:sz w:val="18"/>
      <w:szCs w:val="18"/>
    </w:rPr>
  </w:style>
  <w:style w:type="character" w:customStyle="1" w:styleId="80">
    <w:name w:val="页脚 字符"/>
    <w:link w:val="29"/>
    <w:autoRedefine/>
    <w:qFormat/>
    <w:uiPriority w:val="99"/>
    <w:rPr>
      <w:rFonts w:ascii="宋体" w:eastAsia="宋体"/>
      <w:sz w:val="18"/>
      <w:lang w:val="en-US" w:eastAsia="zh-CN" w:bidi="ar-SA"/>
    </w:rPr>
  </w:style>
  <w:style w:type="character" w:customStyle="1" w:styleId="81">
    <w:name w:val="页眉 字符"/>
    <w:link w:val="31"/>
    <w:autoRedefine/>
    <w:qFormat/>
    <w:uiPriority w:val="0"/>
    <w:rPr>
      <w:rFonts w:eastAsia="宋体"/>
      <w:kern w:val="2"/>
      <w:sz w:val="18"/>
      <w:szCs w:val="18"/>
      <w:lang w:val="en-US" w:eastAsia="zh-CN" w:bidi="ar-SA"/>
    </w:rPr>
  </w:style>
  <w:style w:type="character" w:customStyle="1" w:styleId="82">
    <w:name w:val="正文文本缩进 3 字符"/>
    <w:basedOn w:val="49"/>
    <w:link w:val="36"/>
    <w:autoRedefine/>
    <w:qFormat/>
    <w:uiPriority w:val="0"/>
    <w:rPr>
      <w:rFonts w:ascii="宋体"/>
      <w:sz w:val="24"/>
    </w:rPr>
  </w:style>
  <w:style w:type="character" w:customStyle="1" w:styleId="83">
    <w:name w:val="HTML 预设格式 字符"/>
    <w:basedOn w:val="49"/>
    <w:link w:val="39"/>
    <w:autoRedefine/>
    <w:qFormat/>
    <w:uiPriority w:val="0"/>
    <w:rPr>
      <w:rFonts w:ascii="宋体" w:hAnsi="宋体" w:cs="宋体"/>
      <w:sz w:val="24"/>
      <w:szCs w:val="24"/>
    </w:rPr>
  </w:style>
  <w:style w:type="character" w:customStyle="1" w:styleId="84">
    <w:name w:val="标题 字符"/>
    <w:link w:val="42"/>
    <w:autoRedefine/>
    <w:qFormat/>
    <w:uiPriority w:val="0"/>
    <w:rPr>
      <w:b/>
      <w:kern w:val="2"/>
      <w:sz w:val="32"/>
    </w:rPr>
  </w:style>
  <w:style w:type="character" w:customStyle="1" w:styleId="85">
    <w:name w:val="批注主题 字符"/>
    <w:basedOn w:val="86"/>
    <w:link w:val="43"/>
    <w:autoRedefine/>
    <w:qFormat/>
    <w:uiPriority w:val="0"/>
    <w:rPr>
      <w:rFonts w:ascii="Times New Roman" w:hAnsi="Times New Roman" w:eastAsia="宋体" w:cs="Times New Roman"/>
      <w:b/>
      <w:bCs/>
      <w:kern w:val="2"/>
      <w:sz w:val="21"/>
      <w:szCs w:val="24"/>
      <w:lang w:val="en-US" w:eastAsia="zh-CN" w:bidi="ar-SA"/>
    </w:rPr>
  </w:style>
  <w:style w:type="character" w:customStyle="1" w:styleId="86">
    <w:name w:val="批注文字 字符"/>
    <w:autoRedefine/>
    <w:qFormat/>
    <w:uiPriority w:val="99"/>
    <w:rPr>
      <w:rFonts w:ascii="Times New Roman" w:hAnsi="Times New Roman" w:eastAsia="宋体" w:cs="Times New Roman"/>
      <w:sz w:val="24"/>
      <w:lang w:val="en-US" w:eastAsia="zh-CN" w:bidi="ar-SA"/>
    </w:rPr>
  </w:style>
  <w:style w:type="character" w:customStyle="1" w:styleId="87">
    <w:name w:val="标题 1 字符1"/>
    <w:basedOn w:val="49"/>
    <w:link w:val="3"/>
    <w:autoRedefine/>
    <w:qFormat/>
    <w:uiPriority w:val="0"/>
    <w:rPr>
      <w:rFonts w:ascii="宋体" w:hAnsi="Times New Roman" w:eastAsia="宋体" w:cs="Times New Roman"/>
      <w:b/>
      <w:kern w:val="44"/>
      <w:sz w:val="32"/>
      <w:szCs w:val="20"/>
    </w:rPr>
  </w:style>
  <w:style w:type="character" w:customStyle="1" w:styleId="88">
    <w:name w:val="c21"/>
    <w:autoRedefine/>
    <w:qFormat/>
    <w:uiPriority w:val="0"/>
    <w:rPr>
      <w:rFonts w:hint="default" w:ascii="ˎ̥" w:hAnsi="ˎ̥"/>
      <w:color w:val="000000"/>
      <w:sz w:val="20"/>
      <w:szCs w:val="20"/>
      <w:u w:val="none"/>
    </w:rPr>
  </w:style>
  <w:style w:type="character" w:customStyle="1" w:styleId="89">
    <w:name w:val="title4"/>
    <w:autoRedefine/>
    <w:qFormat/>
    <w:uiPriority w:val="0"/>
    <w:rPr>
      <w:b/>
      <w:bCs/>
      <w:color w:val="1D87B3"/>
      <w:sz w:val="15"/>
      <w:szCs w:val="15"/>
    </w:rPr>
  </w:style>
  <w:style w:type="character" w:customStyle="1" w:styleId="90">
    <w:name w:val="标题 2 Char Char"/>
    <w:autoRedefine/>
    <w:qFormat/>
    <w:uiPriority w:val="0"/>
    <w:rPr>
      <w:rFonts w:ascii="Arial" w:hAnsi="Arial" w:eastAsia="黑体"/>
      <w:b/>
      <w:bCs/>
      <w:kern w:val="2"/>
      <w:sz w:val="32"/>
      <w:szCs w:val="32"/>
      <w:lang w:val="en-US" w:eastAsia="zh-CN" w:bidi="ar-SA"/>
    </w:rPr>
  </w:style>
  <w:style w:type="character" w:customStyle="1" w:styleId="91">
    <w:name w:val="black1"/>
    <w:autoRedefine/>
    <w:qFormat/>
    <w:uiPriority w:val="0"/>
    <w:rPr>
      <w:color w:val="000000"/>
    </w:rPr>
  </w:style>
  <w:style w:type="character" w:customStyle="1" w:styleId="92">
    <w:name w:val="street-address"/>
    <w:basedOn w:val="49"/>
    <w:autoRedefine/>
    <w:qFormat/>
    <w:uiPriority w:val="0"/>
  </w:style>
  <w:style w:type="character" w:customStyle="1" w:styleId="93">
    <w:name w:val="locality"/>
    <w:basedOn w:val="49"/>
    <w:autoRedefine/>
    <w:qFormat/>
    <w:uiPriority w:val="0"/>
  </w:style>
  <w:style w:type="character" w:customStyle="1" w:styleId="94">
    <w:name w:val="正文文本缩进 Char1"/>
    <w:link w:val="95"/>
    <w:autoRedefine/>
    <w:qFormat/>
    <w:uiPriority w:val="0"/>
    <w:rPr>
      <w:rFonts w:ascii="宋体" w:hAnsi="宋体" w:eastAsia="宋体"/>
      <w:sz w:val="24"/>
      <w:szCs w:val="24"/>
      <w:lang w:bidi="ar-SA"/>
    </w:rPr>
  </w:style>
  <w:style w:type="paragraph" w:customStyle="1" w:styleId="95">
    <w:name w:val="正文文本缩进1"/>
    <w:basedOn w:val="1"/>
    <w:link w:val="94"/>
    <w:autoRedefine/>
    <w:qFormat/>
    <w:uiPriority w:val="0"/>
    <w:pPr>
      <w:spacing w:line="480" w:lineRule="exact"/>
      <w:ind w:firstLine="480" w:firstLineChars="200"/>
    </w:pPr>
    <w:rPr>
      <w:rFonts w:ascii="宋体" w:hAnsi="宋体"/>
      <w:kern w:val="0"/>
      <w:sz w:val="24"/>
    </w:rPr>
  </w:style>
  <w:style w:type="character" w:customStyle="1" w:styleId="96">
    <w:name w:val="Char Char11"/>
    <w:autoRedefine/>
    <w:qFormat/>
    <w:uiPriority w:val="0"/>
    <w:rPr>
      <w:rFonts w:ascii="宋体" w:eastAsia="宋体"/>
      <w:b/>
      <w:sz w:val="24"/>
      <w:u w:val="single"/>
      <w:lang w:val="en-US" w:eastAsia="zh-CN" w:bidi="ar-SA"/>
    </w:rPr>
  </w:style>
  <w:style w:type="character" w:customStyle="1" w:styleId="97">
    <w:name w:val="txt"/>
    <w:basedOn w:val="49"/>
    <w:autoRedefine/>
    <w:qFormat/>
    <w:uiPriority w:val="0"/>
  </w:style>
  <w:style w:type="character" w:customStyle="1" w:styleId="98">
    <w:name w:val="正文缩进 Char Char"/>
    <w:link w:val="99"/>
    <w:autoRedefine/>
    <w:qFormat/>
    <w:uiPriority w:val="0"/>
    <w:rPr>
      <w:rFonts w:ascii="宋体" w:eastAsia="宋体"/>
      <w:snapToGrid w:val="0"/>
      <w:color w:val="000000"/>
      <w:kern w:val="28"/>
      <w:sz w:val="28"/>
      <w:lang w:bidi="ar-SA"/>
    </w:rPr>
  </w:style>
  <w:style w:type="paragraph" w:customStyle="1" w:styleId="99">
    <w:name w:val="正文缩进1"/>
    <w:basedOn w:val="1"/>
    <w:link w:val="9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0">
    <w:name w:val="普通文字1 Char1"/>
    <w:autoRedefine/>
    <w:qFormat/>
    <w:uiPriority w:val="0"/>
    <w:rPr>
      <w:rFonts w:ascii="宋体" w:hAnsi="Courier New" w:eastAsia="宋体"/>
      <w:kern w:val="2"/>
      <w:sz w:val="21"/>
      <w:lang w:val="en-US" w:eastAsia="zh-CN" w:bidi="ar-SA"/>
    </w:rPr>
  </w:style>
  <w:style w:type="character" w:customStyle="1" w:styleId="101">
    <w:name w:val="chanpin1"/>
    <w:autoRedefine/>
    <w:qFormat/>
    <w:uiPriority w:val="0"/>
    <w:rPr>
      <w:rFonts w:hint="default" w:ascii="ˎ̥" w:hAnsi="ˎ̥"/>
      <w:color w:val="000000"/>
      <w:sz w:val="20"/>
      <w:szCs w:val="20"/>
      <w:u w:val="none"/>
    </w:rPr>
  </w:style>
  <w:style w:type="character" w:customStyle="1" w:styleId="102">
    <w:name w:val="列表段落 字符"/>
    <w:link w:val="103"/>
    <w:autoRedefine/>
    <w:qFormat/>
    <w:uiPriority w:val="34"/>
    <w:rPr>
      <w:rFonts w:ascii="Calibri" w:hAnsi="Calibri" w:eastAsia="宋体"/>
      <w:kern w:val="2"/>
      <w:sz w:val="21"/>
      <w:szCs w:val="22"/>
      <w:lang w:val="en-US" w:eastAsia="zh-CN" w:bidi="ar-SA"/>
    </w:rPr>
  </w:style>
  <w:style w:type="paragraph" w:styleId="103">
    <w:name w:val="List Paragraph"/>
    <w:basedOn w:val="1"/>
    <w:link w:val="102"/>
    <w:autoRedefine/>
    <w:qFormat/>
    <w:uiPriority w:val="34"/>
    <w:pPr>
      <w:ind w:firstLine="420" w:firstLineChars="200"/>
    </w:pPr>
    <w:rPr>
      <w:rFonts w:ascii="Calibri" w:hAnsi="Calibri"/>
      <w:szCs w:val="22"/>
    </w:rPr>
  </w:style>
  <w:style w:type="character" w:customStyle="1" w:styleId="104">
    <w:name w:val="标题 3 Char Char"/>
    <w:autoRedefine/>
    <w:qFormat/>
    <w:uiPriority w:val="0"/>
    <w:rPr>
      <w:rFonts w:eastAsia="宋体"/>
      <w:b/>
      <w:bCs/>
      <w:kern w:val="2"/>
      <w:sz w:val="32"/>
      <w:szCs w:val="32"/>
      <w:lang w:val="en-US" w:eastAsia="zh-CN" w:bidi="ar-SA"/>
    </w:rPr>
  </w:style>
  <w:style w:type="character" w:customStyle="1" w:styleId="105">
    <w:name w:val="段1 Char"/>
    <w:autoRedefine/>
    <w:qFormat/>
    <w:uiPriority w:val="0"/>
    <w:rPr>
      <w:rFonts w:ascii="宋体" w:eastAsia="宋体"/>
      <w:sz w:val="24"/>
      <w:lang w:val="en-US" w:eastAsia="zh-CN" w:bidi="ar-SA"/>
    </w:rPr>
  </w:style>
  <w:style w:type="character" w:customStyle="1" w:styleId="106">
    <w:name w:val="chanpin拷贝"/>
    <w:basedOn w:val="49"/>
    <w:autoRedefine/>
    <w:qFormat/>
    <w:uiPriority w:val="0"/>
  </w:style>
  <w:style w:type="character" w:customStyle="1" w:styleId="107">
    <w:name w:val="纯文本 Char1"/>
    <w:autoRedefine/>
    <w:qFormat/>
    <w:uiPriority w:val="0"/>
    <w:rPr>
      <w:rFonts w:ascii="宋体" w:hAnsi="Courier New" w:eastAsia="宋体"/>
      <w:kern w:val="2"/>
      <w:sz w:val="21"/>
      <w:lang w:val="en-US" w:eastAsia="zh-CN" w:bidi="ar-SA"/>
    </w:rPr>
  </w:style>
  <w:style w:type="character" w:customStyle="1" w:styleId="108">
    <w:name w:val="apple-style-span"/>
    <w:autoRedefine/>
    <w:qFormat/>
    <w:uiPriority w:val="0"/>
    <w:rPr>
      <w:rFonts w:cs="Times New Roman"/>
    </w:rPr>
  </w:style>
  <w:style w:type="paragraph" w:customStyle="1" w:styleId="109">
    <w:name w:val="二级条标题"/>
    <w:basedOn w:val="110"/>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0">
    <w:name w:val="一级条标题"/>
    <w:basedOn w:val="111"/>
    <w:next w:val="1"/>
    <w:autoRedefine/>
    <w:qFormat/>
    <w:uiPriority w:val="0"/>
    <w:pPr>
      <w:numPr>
        <w:ilvl w:val="1"/>
      </w:numPr>
      <w:tabs>
        <w:tab w:val="left" w:pos="360"/>
        <w:tab w:val="left" w:pos="840"/>
      </w:tabs>
      <w:ind w:left="0" w:hanging="840"/>
      <w:outlineLvl w:val="1"/>
    </w:pPr>
  </w:style>
  <w:style w:type="paragraph" w:customStyle="1" w:styleId="111">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3">
    <w:name w:val="字元 字元"/>
    <w:basedOn w:val="1"/>
    <w:autoRedefine/>
    <w:qFormat/>
    <w:uiPriority w:val="0"/>
    <w:rPr>
      <w:rFonts w:ascii="Tahoma" w:hAnsi="Tahoma"/>
      <w:sz w:val="24"/>
      <w:szCs w:val="20"/>
    </w:rPr>
  </w:style>
  <w:style w:type="paragraph" w:customStyle="1" w:styleId="114">
    <w:name w:val="Char3 Char Char Char"/>
    <w:basedOn w:val="1"/>
    <w:autoRedefine/>
    <w:qFormat/>
    <w:uiPriority w:val="0"/>
    <w:rPr>
      <w:rFonts w:ascii="Tahoma" w:hAnsi="Tahoma"/>
      <w:sz w:val="24"/>
      <w:szCs w:val="20"/>
    </w:rPr>
  </w:style>
  <w:style w:type="paragraph" w:customStyle="1" w:styleId="11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6">
    <w:name w:val="项目编号2"/>
    <w:basedOn w:val="117"/>
    <w:autoRedefine/>
    <w:qFormat/>
    <w:uiPriority w:val="0"/>
    <w:pPr>
      <w:numPr>
        <w:numId w:val="2"/>
      </w:numPr>
    </w:pPr>
  </w:style>
  <w:style w:type="paragraph" w:customStyle="1" w:styleId="11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8">
    <w:name w:val="图中文字"/>
    <w:basedOn w:val="1"/>
    <w:autoRedefine/>
    <w:qFormat/>
    <w:uiPriority w:val="0"/>
    <w:pPr>
      <w:adjustRightInd w:val="0"/>
      <w:snapToGrid w:val="0"/>
      <w:spacing w:line="0" w:lineRule="atLeast"/>
      <w:jc w:val="center"/>
    </w:pPr>
    <w:rPr>
      <w:sz w:val="24"/>
      <w:szCs w:val="20"/>
    </w:rPr>
  </w:style>
  <w:style w:type="paragraph" w:customStyle="1" w:styleId="11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1">
    <w:name w:val="Char2"/>
    <w:basedOn w:val="1"/>
    <w:autoRedefine/>
    <w:qFormat/>
    <w:uiPriority w:val="0"/>
    <w:rPr>
      <w:rFonts w:ascii="Tahoma" w:hAnsi="Tahoma"/>
      <w:sz w:val="24"/>
      <w:szCs w:val="20"/>
    </w:rPr>
  </w:style>
  <w:style w:type="paragraph" w:customStyle="1" w:styleId="12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5">
    <w:name w:val="font8"/>
    <w:basedOn w:val="1"/>
    <w:autoRedefine/>
    <w:qFormat/>
    <w:uiPriority w:val="0"/>
    <w:pPr>
      <w:widowControl/>
      <w:spacing w:before="100" w:beforeAutospacing="1" w:after="100" w:afterAutospacing="1"/>
      <w:jc w:val="left"/>
    </w:pPr>
    <w:rPr>
      <w:kern w:val="0"/>
      <w:sz w:val="36"/>
      <w:szCs w:val="36"/>
    </w:rPr>
  </w:style>
  <w:style w:type="paragraph" w:customStyle="1" w:styleId="136">
    <w:name w:val="Char"/>
    <w:basedOn w:val="1"/>
    <w:autoRedefine/>
    <w:qFormat/>
    <w:uiPriority w:val="0"/>
    <w:pPr>
      <w:tabs>
        <w:tab w:val="left" w:pos="360"/>
      </w:tabs>
    </w:pPr>
    <w:rPr>
      <w:sz w:val="24"/>
    </w:rPr>
  </w:style>
  <w:style w:type="paragraph" w:customStyle="1" w:styleId="13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0">
    <w:name w:val="Char Char1"/>
    <w:basedOn w:val="15"/>
    <w:autoRedefine/>
    <w:qFormat/>
    <w:uiPriority w:val="0"/>
    <w:rPr>
      <w:rFonts w:ascii="Tahoma" w:hAnsi="Tahoma"/>
      <w:sz w:val="24"/>
    </w:rPr>
  </w:style>
  <w:style w:type="paragraph" w:customStyle="1" w:styleId="14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5">
    <w:name w:val="Char1 Char Char Char1"/>
    <w:basedOn w:val="1"/>
    <w:autoRedefine/>
    <w:qFormat/>
    <w:uiPriority w:val="0"/>
    <w:rPr>
      <w:rFonts w:ascii="Tahoma" w:hAnsi="Tahoma" w:cs="仿宋_GB2312"/>
      <w:sz w:val="24"/>
      <w:szCs w:val="28"/>
    </w:rPr>
  </w:style>
  <w:style w:type="paragraph" w:customStyle="1" w:styleId="146">
    <w:name w:val="四级条标题"/>
    <w:basedOn w:val="147"/>
    <w:next w:val="1"/>
    <w:autoRedefine/>
    <w:qFormat/>
    <w:uiPriority w:val="0"/>
    <w:pPr>
      <w:numPr>
        <w:ilvl w:val="4"/>
      </w:numPr>
      <w:tabs>
        <w:tab w:val="left" w:pos="360"/>
        <w:tab w:val="left" w:pos="840"/>
      </w:tabs>
      <w:ind w:left="0" w:hanging="840"/>
      <w:outlineLvl w:val="4"/>
    </w:pPr>
  </w:style>
  <w:style w:type="paragraph" w:customStyle="1" w:styleId="147">
    <w:name w:val="三级条标题"/>
    <w:basedOn w:val="109"/>
    <w:next w:val="1"/>
    <w:autoRedefine/>
    <w:qFormat/>
    <w:uiPriority w:val="0"/>
    <w:pPr>
      <w:numPr>
        <w:ilvl w:val="3"/>
        <w:numId w:val="1"/>
      </w:numPr>
      <w:ind w:left="0" w:hanging="840"/>
      <w:outlineLvl w:val="3"/>
    </w:pPr>
  </w:style>
  <w:style w:type="paragraph" w:customStyle="1" w:styleId="14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9">
    <w:name w:val="样式 标题 2 + 宋体 五号 行距: 单倍行距"/>
    <w:basedOn w:val="4"/>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50">
    <w:name w:val="List Paragraph1"/>
    <w:basedOn w:val="1"/>
    <w:autoRedefine/>
    <w:qFormat/>
    <w:uiPriority w:val="0"/>
    <w:pPr>
      <w:ind w:firstLine="420" w:firstLineChars="200"/>
    </w:pPr>
    <w:rPr>
      <w:rFonts w:ascii="Calibri" w:hAnsi="Calibri"/>
      <w:szCs w:val="22"/>
    </w:rPr>
  </w:style>
  <w:style w:type="paragraph" w:customStyle="1" w:styleId="151">
    <w:name w:val="项目符号1"/>
    <w:basedOn w:val="152"/>
    <w:autoRedefine/>
    <w:qFormat/>
    <w:uiPriority w:val="0"/>
    <w:pPr>
      <w:ind w:left="-25" w:firstLine="0"/>
    </w:pPr>
  </w:style>
  <w:style w:type="paragraph" w:customStyle="1" w:styleId="152">
    <w:name w:val="正文文本样式"/>
    <w:basedOn w:val="1"/>
    <w:autoRedefine/>
    <w:qFormat/>
    <w:uiPriority w:val="0"/>
    <w:pPr>
      <w:spacing w:line="360" w:lineRule="auto"/>
      <w:ind w:firstLine="482"/>
    </w:pPr>
    <w:rPr>
      <w:rFonts w:cs="宋体"/>
      <w:sz w:val="24"/>
      <w:szCs w:val="20"/>
    </w:rPr>
  </w:style>
  <w:style w:type="paragraph" w:customStyle="1" w:styleId="15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5">
    <w:name w:val="五级条标题"/>
    <w:basedOn w:val="146"/>
    <w:next w:val="1"/>
    <w:autoRedefine/>
    <w:qFormat/>
    <w:uiPriority w:val="0"/>
    <w:pPr>
      <w:numPr>
        <w:ilvl w:val="5"/>
      </w:numPr>
      <w:ind w:left="0" w:hanging="840"/>
      <w:outlineLvl w:val="5"/>
    </w:pPr>
  </w:style>
  <w:style w:type="paragraph" w:customStyle="1" w:styleId="15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7">
    <w:name w:val="文档正文"/>
    <w:basedOn w:val="1"/>
    <w:autoRedefine/>
    <w:qFormat/>
    <w:uiPriority w:val="0"/>
    <w:pPr>
      <w:snapToGrid w:val="0"/>
      <w:spacing w:before="120" w:after="120" w:line="180" w:lineRule="auto"/>
    </w:pPr>
    <w:rPr>
      <w:rFonts w:ascii="Arial" w:hAnsi="Arial"/>
      <w:szCs w:val="20"/>
    </w:rPr>
  </w:style>
  <w:style w:type="paragraph" w:customStyle="1" w:styleId="15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0">
    <w:name w:val="Char Char Char1 Char"/>
    <w:basedOn w:val="1"/>
    <w:autoRedefine/>
    <w:qFormat/>
    <w:uiPriority w:val="0"/>
    <w:rPr>
      <w:rFonts w:ascii="Tahoma" w:hAnsi="Tahoma"/>
      <w:sz w:val="24"/>
      <w:szCs w:val="20"/>
    </w:rPr>
  </w:style>
  <w:style w:type="paragraph" w:customStyle="1" w:styleId="16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2">
    <w:name w:val="1名"/>
    <w:basedOn w:val="1"/>
    <w:autoRedefine/>
    <w:qFormat/>
    <w:uiPriority w:val="0"/>
    <w:pPr>
      <w:numPr>
        <w:ilvl w:val="0"/>
        <w:numId w:val="5"/>
      </w:numPr>
      <w:spacing w:before="120"/>
    </w:pPr>
    <w:rPr>
      <w:rFonts w:ascii="宋体"/>
      <w:sz w:val="28"/>
      <w:szCs w:val="20"/>
    </w:rPr>
  </w:style>
  <w:style w:type="paragraph" w:customStyle="1" w:styleId="16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4">
    <w:name w:val="Char Char Char1 Char1"/>
    <w:basedOn w:val="1"/>
    <w:autoRedefine/>
    <w:qFormat/>
    <w:uiPriority w:val="0"/>
    <w:rPr>
      <w:rFonts w:ascii="Tahoma" w:hAnsi="Tahoma"/>
      <w:sz w:val="24"/>
      <w:szCs w:val="20"/>
    </w:rPr>
  </w:style>
  <w:style w:type="paragraph" w:customStyle="1" w:styleId="165">
    <w:name w:val="Char Char Char Char Char Char Char Char Char Char"/>
    <w:basedOn w:val="1"/>
    <w:autoRedefine/>
    <w:qFormat/>
    <w:uiPriority w:val="0"/>
  </w:style>
  <w:style w:type="paragraph" w:customStyle="1" w:styleId="16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7">
    <w:name w:val="Char1"/>
    <w:basedOn w:val="1"/>
    <w:autoRedefine/>
    <w:qFormat/>
    <w:uiPriority w:val="0"/>
    <w:pPr>
      <w:tabs>
        <w:tab w:val="left" w:pos="360"/>
      </w:tabs>
    </w:pPr>
    <w:rPr>
      <w:sz w:val="24"/>
    </w:rPr>
  </w:style>
  <w:style w:type="paragraph" w:customStyle="1" w:styleId="16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1">
    <w:name w:val="默认段落字体 Para Char Char Char Char"/>
    <w:basedOn w:val="1"/>
    <w:autoRedefine/>
    <w:qFormat/>
    <w:uiPriority w:val="0"/>
    <w:rPr>
      <w:rFonts w:ascii="Arial" w:hAnsi="Arial" w:cs="Arial"/>
      <w:szCs w:val="21"/>
    </w:rPr>
  </w:style>
  <w:style w:type="paragraph" w:customStyle="1" w:styleId="17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5">
    <w:name w:val="Char Char Char"/>
    <w:basedOn w:val="1"/>
    <w:autoRedefine/>
    <w:qFormat/>
    <w:uiPriority w:val="0"/>
    <w:rPr>
      <w:rFonts w:ascii="Tahoma" w:hAnsi="Tahoma"/>
      <w:sz w:val="24"/>
      <w:szCs w:val="20"/>
    </w:rPr>
  </w:style>
  <w:style w:type="paragraph" w:customStyle="1" w:styleId="17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7">
    <w:name w:val="缺省文本"/>
    <w:basedOn w:val="1"/>
    <w:autoRedefine/>
    <w:qFormat/>
    <w:uiPriority w:val="0"/>
    <w:pPr>
      <w:autoSpaceDE w:val="0"/>
      <w:autoSpaceDN w:val="0"/>
      <w:adjustRightInd w:val="0"/>
      <w:jc w:val="left"/>
    </w:pPr>
    <w:rPr>
      <w:kern w:val="0"/>
      <w:sz w:val="24"/>
    </w:rPr>
  </w:style>
  <w:style w:type="paragraph" w:customStyle="1" w:styleId="178">
    <w:name w:val="Char Char Char1"/>
    <w:basedOn w:val="1"/>
    <w:autoRedefine/>
    <w:qFormat/>
    <w:uiPriority w:val="0"/>
    <w:rPr>
      <w:rFonts w:ascii="Tahoma" w:hAnsi="Tahoma"/>
      <w:sz w:val="24"/>
      <w:szCs w:val="20"/>
    </w:rPr>
  </w:style>
  <w:style w:type="paragraph" w:customStyle="1" w:styleId="17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1">
    <w:name w:val="样式2"/>
    <w:basedOn w:val="41"/>
    <w:autoRedefine/>
    <w:qFormat/>
    <w:uiPriority w:val="0"/>
    <w:pPr>
      <w:spacing w:line="360" w:lineRule="auto"/>
      <w:jc w:val="center"/>
    </w:pPr>
    <w:rPr>
      <w:sz w:val="24"/>
    </w:rPr>
  </w:style>
  <w:style w:type="paragraph" w:customStyle="1" w:styleId="18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4">
    <w:name w:val="正文 + 楷体_GB2312"/>
    <w:basedOn w:val="1"/>
    <w:autoRedefine/>
    <w:qFormat/>
    <w:uiPriority w:val="0"/>
    <w:pPr>
      <w:widowControl/>
      <w:jc w:val="left"/>
    </w:pPr>
    <w:rPr>
      <w:rFonts w:ascii="楷体_GB2312" w:eastAsia="楷体_GB2312" w:cs="Arial"/>
      <w:kern w:val="0"/>
      <w:sz w:val="24"/>
    </w:rPr>
  </w:style>
  <w:style w:type="paragraph" w:customStyle="1" w:styleId="18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6">
    <w:name w:val="1 Char Char Char Char"/>
    <w:basedOn w:val="1"/>
    <w:autoRedefine/>
    <w:qFormat/>
    <w:uiPriority w:val="0"/>
    <w:rPr>
      <w:rFonts w:ascii="Tahoma" w:hAnsi="Tahoma"/>
      <w:sz w:val="24"/>
      <w:szCs w:val="20"/>
    </w:rPr>
  </w:style>
  <w:style w:type="paragraph" w:customStyle="1" w:styleId="187">
    <w:name w:val="列出段落1"/>
    <w:basedOn w:val="1"/>
    <w:autoRedefine/>
    <w:qFormat/>
    <w:uiPriority w:val="0"/>
    <w:pPr>
      <w:ind w:firstLine="420" w:firstLineChars="200"/>
    </w:pPr>
    <w:rPr>
      <w:rFonts w:ascii="Calibri" w:hAnsi="Calibri"/>
      <w:szCs w:val="22"/>
    </w:rPr>
  </w:style>
  <w:style w:type="paragraph" w:customStyle="1" w:styleId="188">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autoRedefine/>
    <w:qFormat/>
    <w:uiPriority w:val="0"/>
    <w:rPr>
      <w:rFonts w:ascii="Tahoma" w:hAnsi="Tahoma"/>
      <w:sz w:val="24"/>
      <w:szCs w:val="20"/>
    </w:rPr>
  </w:style>
  <w:style w:type="paragraph" w:customStyle="1" w:styleId="190">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2"/>
    <w:autoRedefine/>
    <w:qFormat/>
    <w:uiPriority w:val="0"/>
    <w:pPr>
      <w:numPr>
        <w:ilvl w:val="0"/>
        <w:numId w:val="6"/>
      </w:numPr>
    </w:pPr>
  </w:style>
  <w:style w:type="paragraph" w:customStyle="1" w:styleId="192">
    <w:name w:val="Char21"/>
    <w:basedOn w:val="1"/>
    <w:autoRedefine/>
    <w:qFormat/>
    <w:uiPriority w:val="0"/>
    <w:rPr>
      <w:rFonts w:ascii="Tahoma" w:hAnsi="Tahoma"/>
      <w:sz w:val="24"/>
      <w:szCs w:val="20"/>
    </w:rPr>
  </w:style>
  <w:style w:type="paragraph" w:customStyle="1" w:styleId="193">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autoRedefine/>
    <w:qFormat/>
    <w:uiPriority w:val="0"/>
    <w:rPr>
      <w:rFonts w:ascii="宋体" w:hAnsi="宋体" w:cs="Courier New"/>
      <w:sz w:val="32"/>
      <w:szCs w:val="32"/>
    </w:rPr>
  </w:style>
  <w:style w:type="paragraph" w:customStyle="1" w:styleId="195">
    <w:name w:val="正文文本样式 加粗"/>
    <w:basedOn w:val="152"/>
    <w:autoRedefine/>
    <w:qFormat/>
    <w:uiPriority w:val="0"/>
    <w:rPr>
      <w:b/>
    </w:rPr>
  </w:style>
  <w:style w:type="paragraph" w:customStyle="1" w:styleId="196">
    <w:name w:val="Char2 Char Char Char Char Char Char"/>
    <w:basedOn w:val="1"/>
    <w:autoRedefine/>
    <w:qFormat/>
    <w:uiPriority w:val="0"/>
    <w:pPr>
      <w:widowControl/>
      <w:spacing w:line="400" w:lineRule="exact"/>
      <w:jc w:val="center"/>
    </w:pPr>
  </w:style>
  <w:style w:type="paragraph" w:customStyle="1" w:styleId="197">
    <w:name w:val="Char Char4"/>
    <w:basedOn w:val="1"/>
    <w:autoRedefine/>
    <w:qFormat/>
    <w:uiPriority w:val="0"/>
    <w:pPr>
      <w:widowControl/>
      <w:spacing w:line="400" w:lineRule="exact"/>
      <w:jc w:val="center"/>
    </w:pPr>
  </w:style>
  <w:style w:type="paragraph" w:customStyle="1" w:styleId="198">
    <w:name w:val="Char3 Char Char Char1"/>
    <w:basedOn w:val="1"/>
    <w:autoRedefine/>
    <w:qFormat/>
    <w:uiPriority w:val="0"/>
    <w:rPr>
      <w:rFonts w:ascii="Tahoma" w:hAnsi="Tahoma"/>
      <w:sz w:val="24"/>
      <w:szCs w:val="20"/>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3"/>
    <w:autoRedefine/>
    <w:qFormat/>
    <w:uiPriority w:val="0"/>
    <w:pPr>
      <w:jc w:val="left"/>
    </w:pPr>
    <w:rPr>
      <w:sz w:val="24"/>
      <w:szCs w:val="24"/>
    </w:rPr>
  </w:style>
  <w:style w:type="paragraph" w:customStyle="1" w:styleId="209">
    <w:name w:val="正文小标题"/>
    <w:basedOn w:val="1"/>
    <w:next w:val="6"/>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6"/>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autoRedefine/>
    <w:qFormat/>
    <w:uiPriority w:val="0"/>
    <w:pPr>
      <w:spacing w:line="300" w:lineRule="auto"/>
      <w:ind w:firstLine="50" w:firstLineChars="50"/>
    </w:pPr>
    <w:rPr>
      <w:szCs w:val="21"/>
    </w:rPr>
  </w:style>
  <w:style w:type="paragraph" w:customStyle="1" w:styleId="255">
    <w:name w:val="WW-普通文字"/>
    <w:basedOn w:val="1"/>
    <w:autoRedefine/>
    <w:qFormat/>
    <w:uiPriority w:val="0"/>
    <w:pPr>
      <w:suppressAutoHyphens/>
    </w:pPr>
    <w:rPr>
      <w:rFonts w:ascii="宋体" w:hAnsi="宋体"/>
      <w:kern w:val="1"/>
      <w:szCs w:val="20"/>
      <w:lang w:eastAsia="ar-SA"/>
    </w:rPr>
  </w:style>
  <w:style w:type="paragraph" w:customStyle="1" w:styleId="256">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4"/>
    <w:autoRedefine/>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5"/>
    <w:autoRedefine/>
    <w:qFormat/>
    <w:uiPriority w:val="0"/>
    <w:pPr>
      <w:spacing w:before="0" w:after="0" w:line="400" w:lineRule="exact"/>
      <w:jc w:val="both"/>
    </w:pPr>
    <w:rPr>
      <w:rFonts w:ascii="Times New Roman" w:eastAsia="黑体"/>
      <w:b w:val="0"/>
      <w:lang w:eastAsia="en-US"/>
    </w:rPr>
  </w:style>
  <w:style w:type="paragraph" w:customStyle="1" w:styleId="259">
    <w:name w:val="_Style 6"/>
    <w:basedOn w:val="3"/>
    <w:next w:val="1"/>
    <w:autoRedefine/>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9"/>
    <w:autoRedefine/>
    <w:qFormat/>
    <w:uiPriority w:val="0"/>
    <w:rPr>
      <w:rFonts w:hint="eastAsia" w:ascii="宋体" w:hAnsi="宋体" w:eastAsia="宋体" w:cs="宋体"/>
      <w:color w:val="000000"/>
      <w:sz w:val="22"/>
      <w:szCs w:val="22"/>
      <w:u w:val="none"/>
    </w:rPr>
  </w:style>
  <w:style w:type="character" w:customStyle="1" w:styleId="261">
    <w:name w:val="font01"/>
    <w:basedOn w:val="49"/>
    <w:autoRedefine/>
    <w:qFormat/>
    <w:uiPriority w:val="0"/>
    <w:rPr>
      <w:rFonts w:hint="eastAsia" w:ascii="宋体" w:hAnsi="宋体" w:eastAsia="宋体" w:cs="宋体"/>
      <w:color w:val="000000"/>
      <w:sz w:val="22"/>
      <w:szCs w:val="22"/>
      <w:u w:val="none"/>
    </w:rPr>
  </w:style>
  <w:style w:type="character" w:customStyle="1" w:styleId="262">
    <w:name w:val="font61"/>
    <w:basedOn w:val="49"/>
    <w:autoRedefine/>
    <w:qFormat/>
    <w:uiPriority w:val="0"/>
    <w:rPr>
      <w:rFonts w:hint="eastAsia" w:ascii="宋体" w:hAnsi="宋体" w:eastAsia="宋体" w:cs="宋体"/>
      <w:color w:val="000000"/>
      <w:sz w:val="22"/>
      <w:szCs w:val="22"/>
      <w:u w:val="none"/>
    </w:rPr>
  </w:style>
  <w:style w:type="character" w:customStyle="1" w:styleId="263">
    <w:name w:val="font21"/>
    <w:basedOn w:val="49"/>
    <w:autoRedefine/>
    <w:qFormat/>
    <w:uiPriority w:val="0"/>
    <w:rPr>
      <w:rFonts w:hint="eastAsia" w:ascii="宋体" w:hAnsi="宋体" w:eastAsia="宋体" w:cs="宋体"/>
      <w:color w:val="000000"/>
      <w:sz w:val="22"/>
      <w:szCs w:val="22"/>
      <w:u w:val="none"/>
    </w:rPr>
  </w:style>
  <w:style w:type="paragraph" w:customStyle="1" w:styleId="264">
    <w:name w:val="列出段落"/>
    <w:basedOn w:val="1"/>
    <w:autoRedefine/>
    <w:qFormat/>
    <w:uiPriority w:val="34"/>
    <w:pPr>
      <w:ind w:firstLine="420" w:firstLineChars="200"/>
    </w:pPr>
  </w:style>
  <w:style w:type="character" w:customStyle="1" w:styleId="265">
    <w:name w:val="font11"/>
    <w:basedOn w:val="49"/>
    <w:autoRedefine/>
    <w:qFormat/>
    <w:uiPriority w:val="0"/>
    <w:rPr>
      <w:rFonts w:hint="default" w:ascii="Arial" w:hAnsi="Arial" w:cs="Arial"/>
      <w:color w:val="000000"/>
      <w:sz w:val="20"/>
      <w:szCs w:val="20"/>
      <w:u w:val="none"/>
    </w:rPr>
  </w:style>
  <w:style w:type="character" w:customStyle="1" w:styleId="266">
    <w:name w:val="font51"/>
    <w:basedOn w:val="49"/>
    <w:qFormat/>
    <w:uiPriority w:val="0"/>
    <w:rPr>
      <w:rFonts w:hint="eastAsia" w:ascii="宋体" w:hAnsi="宋体" w:eastAsia="宋体" w:cs="宋体"/>
      <w:b/>
      <w:bCs/>
      <w:color w:val="000000"/>
      <w:sz w:val="20"/>
      <w:szCs w:val="20"/>
      <w:u w:val="single"/>
    </w:rPr>
  </w:style>
  <w:style w:type="paragraph" w:customStyle="1" w:styleId="267">
    <w:name w:val="样式 首行缩进:  2 字符1"/>
    <w:basedOn w:val="1"/>
    <w:qFormat/>
    <w:uiPriority w:val="0"/>
    <w:pPr>
      <w:spacing w:line="360" w:lineRule="auto"/>
      <w:ind w:firstLine="200" w:firstLineChars="200"/>
    </w:pPr>
    <w:rPr>
      <w:rFonts w:cs="宋体"/>
      <w:sz w:val="28"/>
      <w:szCs w:val="20"/>
    </w:rPr>
  </w:style>
  <w:style w:type="paragraph" w:customStyle="1" w:styleId="268">
    <w:name w:val="列表段落1"/>
    <w:basedOn w:val="1"/>
    <w:qFormat/>
    <w:uiPriority w:val="99"/>
    <w:pPr>
      <w:ind w:firstLine="420" w:firstLineChars="200"/>
    </w:pPr>
    <w:rPr>
      <w:rFonts w:ascii="Calibri" w:hAnsi="Calibri" w:cstheme="minorBidi"/>
      <w:szCs w:val="22"/>
    </w:rPr>
  </w:style>
  <w:style w:type="table" w:customStyle="1" w:styleId="269">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70">
    <w:name w:val="Table Text"/>
    <w:basedOn w:val="1"/>
    <w:semiHidden/>
    <w:qFormat/>
    <w:uiPriority w:val="0"/>
    <w:rPr>
      <w:rFonts w:ascii="Arial" w:hAnsi="Arial" w:eastAsia="Arial" w:cs="Arial"/>
      <w:sz w:val="21"/>
      <w:szCs w:val="21"/>
      <w:lang w:val="en-US" w:eastAsia="en-US" w:bidi="ar-SA"/>
    </w:rPr>
  </w:style>
  <w:style w:type="character" w:customStyle="1" w:styleId="271">
    <w:name w:val="tedian"/>
    <w:qFormat/>
    <w:uiPriority w:val="0"/>
    <w:rPr>
      <w:rFonts w:ascii="Times New Roman" w:hAnsi="Times New Roman" w:eastAsia="宋体" w:cs="Times New Roman"/>
    </w:rPr>
  </w:style>
  <w:style w:type="paragraph" w:customStyle="1" w:styleId="272">
    <w:name w:val="样式 标题 1 + 四号 居中 段前: 12 磅 段后: 12 磅 行距: 单倍行距"/>
    <w:basedOn w:val="3"/>
    <w:qFormat/>
    <w:uiPriority w:val="0"/>
    <w:pPr>
      <w:spacing w:before="240" w:after="240" w:line="240" w:lineRule="auto"/>
      <w:ind w:firstLine="288"/>
      <w:jc w:val="center"/>
    </w:pPr>
    <w:rPr>
      <w:sz w:val="28"/>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65</Pages>
  <Words>19823</Words>
  <Characters>21053</Characters>
  <Lines>307</Lines>
  <Paragraphs>86</Paragraphs>
  <TotalTime>9</TotalTime>
  <ScaleCrop>false</ScaleCrop>
  <LinksUpToDate>false</LinksUpToDate>
  <CharactersWithSpaces>21332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砚墨</cp:lastModifiedBy>
  <cp:lastPrinted>2023-10-23T01:48:00Z</cp:lastPrinted>
  <dcterms:modified xsi:type="dcterms:W3CDTF">2024-12-17T09:50:10Z</dcterms:modified>
  <dc:title>02年杜范本稿</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300538FDA07C4D13A9811A4B11723228</vt:lpwstr>
  </property>
  <property fmtid="{D5CDD505-2E9C-101B-9397-08002B2CF9AE}" pid="4" name="commondata">
    <vt:lpwstr>eyJoZGlkIjoiMTExMjQ4ZmNjMzM3M2UzMjkzYzFlNmRmNjYwOWFlNWQifQ==</vt:lpwstr>
  </property>
</Properties>
</file>