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spacing w:line="360" w:lineRule="auto"/>
        <w:ind w:firstLine="160" w:firstLineChars="50"/>
        <w:rPr>
          <w:rFonts w:ascii="CESI黑体-GB2312" w:hAnsi="CESI黑体-GB2312" w:eastAsia="CESI黑体-GB2312" w:cs="CESI黑体-GB2312"/>
          <w:sz w:val="32"/>
          <w:szCs w:val="32"/>
        </w:rPr>
      </w:pPr>
    </w:p>
    <w:p>
      <w:pPr>
        <w:jc w:val="center"/>
        <w:rPr>
          <w:b/>
          <w:bCs/>
          <w:sz w:val="60"/>
          <w:szCs w:val="60"/>
        </w:rPr>
      </w:pPr>
    </w:p>
    <w:p>
      <w:pPr>
        <w:jc w:val="center"/>
        <w:rPr>
          <w:b/>
          <w:bCs/>
          <w:sz w:val="60"/>
          <w:szCs w:val="60"/>
        </w:rPr>
      </w:pPr>
    </w:p>
    <w:p>
      <w:pPr>
        <w:jc w:val="center"/>
        <w:rPr>
          <w:b/>
          <w:bCs/>
          <w:sz w:val="60"/>
          <w:szCs w:val="60"/>
        </w:rPr>
      </w:pPr>
      <w:r>
        <w:rPr>
          <w:b/>
          <w:bCs/>
          <w:sz w:val="60"/>
          <w:szCs w:val="60"/>
        </w:rPr>
        <w:t>北京市政府采购项目</w:t>
      </w:r>
    </w:p>
    <w:p>
      <w:pPr>
        <w:jc w:val="center"/>
        <w:rPr>
          <w:b/>
          <w:bCs/>
          <w:sz w:val="60"/>
          <w:szCs w:val="60"/>
        </w:rPr>
      </w:pPr>
      <w:r>
        <w:rPr>
          <w:rFonts w:hint="eastAsia"/>
          <w:b/>
          <w:bCs/>
          <w:sz w:val="60"/>
          <w:szCs w:val="60"/>
        </w:rPr>
        <w:t>公开</w:t>
      </w:r>
      <w:r>
        <w:rPr>
          <w:b/>
          <w:bCs/>
          <w:sz w:val="60"/>
          <w:szCs w:val="60"/>
        </w:rPr>
        <w:t>招标文件</w:t>
      </w:r>
    </w:p>
    <w:p>
      <w:pPr>
        <w:spacing w:line="360" w:lineRule="auto"/>
        <w:jc w:val="center"/>
        <w:rPr>
          <w:sz w:val="60"/>
          <w:szCs w:val="60"/>
        </w:rPr>
      </w:pPr>
    </w:p>
    <w:p>
      <w:pPr>
        <w:pStyle w:val="2"/>
        <w:rPr>
          <w:sz w:val="60"/>
          <w:szCs w:val="60"/>
        </w:rPr>
      </w:pPr>
    </w:p>
    <w:p>
      <w:pPr>
        <w:rPr>
          <w:sz w:val="60"/>
          <w:szCs w:val="60"/>
        </w:rPr>
      </w:pPr>
    </w:p>
    <w:p>
      <w:pPr>
        <w:pStyle w:val="34"/>
      </w:pPr>
    </w:p>
    <w:p>
      <w:pPr>
        <w:pStyle w:val="2"/>
        <w:rPr>
          <w:sz w:val="60"/>
          <w:szCs w:val="60"/>
        </w:rPr>
      </w:pPr>
    </w:p>
    <w:p>
      <w:pPr>
        <w:tabs>
          <w:tab w:val="left" w:pos="3240"/>
          <w:tab w:val="left" w:pos="3420"/>
        </w:tabs>
        <w:spacing w:line="360" w:lineRule="auto"/>
        <w:ind w:left="2740" w:hanging="2739" w:hangingChars="761"/>
        <w:jc w:val="left"/>
        <w:rPr>
          <w:bCs/>
          <w:sz w:val="36"/>
          <w:szCs w:val="36"/>
        </w:rPr>
      </w:pPr>
      <w:r>
        <w:rPr>
          <w:bCs/>
          <w:sz w:val="36"/>
          <w:szCs w:val="36"/>
        </w:rPr>
        <w:t>项目名称：</w:t>
      </w:r>
      <w:r>
        <w:rPr>
          <w:rFonts w:hint="eastAsia"/>
          <w:bCs/>
          <w:sz w:val="36"/>
          <w:szCs w:val="36"/>
          <w:lang w:eastAsia="zh-CN"/>
        </w:rPr>
        <w:t>2024年扣押违法车辆停车保管服务项目（</w:t>
      </w:r>
      <w:r>
        <w:rPr>
          <w:rFonts w:hint="eastAsia"/>
          <w:bCs/>
          <w:sz w:val="36"/>
          <w:szCs w:val="36"/>
          <w:lang w:val="en-US" w:eastAsia="zh-CN"/>
        </w:rPr>
        <w:t>包1、包2、包3、包4</w:t>
      </w:r>
      <w:r>
        <w:rPr>
          <w:rFonts w:hint="eastAsia"/>
          <w:bCs/>
          <w:sz w:val="36"/>
          <w:szCs w:val="36"/>
          <w:lang w:eastAsia="zh-CN"/>
        </w:rPr>
        <w:t>）</w:t>
      </w:r>
    </w:p>
    <w:p>
      <w:pPr>
        <w:tabs>
          <w:tab w:val="left" w:pos="3240"/>
          <w:tab w:val="left" w:pos="3420"/>
        </w:tabs>
        <w:spacing w:line="360" w:lineRule="auto"/>
        <w:ind w:left="2740" w:hanging="2739" w:hangingChars="761"/>
        <w:jc w:val="left"/>
        <w:rPr>
          <w:bCs/>
          <w:sz w:val="36"/>
          <w:szCs w:val="36"/>
        </w:rPr>
      </w:pPr>
      <w:r>
        <w:rPr>
          <w:rFonts w:hint="eastAsia"/>
          <w:bCs/>
          <w:sz w:val="36"/>
          <w:szCs w:val="36"/>
        </w:rPr>
        <w:t>项目编号/包号：</w:t>
      </w:r>
      <w:r>
        <w:rPr>
          <w:rFonts w:hint="eastAsia"/>
          <w:bCs/>
          <w:sz w:val="36"/>
          <w:szCs w:val="36"/>
          <w:lang w:eastAsia="zh-CN"/>
        </w:rPr>
        <w:t>0686-2311QG104380Z/1/2/3/4</w:t>
      </w:r>
    </w:p>
    <w:p>
      <w:pPr>
        <w:tabs>
          <w:tab w:val="left" w:pos="3240"/>
          <w:tab w:val="left" w:pos="3420"/>
        </w:tabs>
        <w:spacing w:line="360" w:lineRule="auto"/>
        <w:ind w:left="2740" w:hanging="2739" w:hangingChars="761"/>
        <w:jc w:val="left"/>
        <w:rPr>
          <w:bCs/>
          <w:sz w:val="36"/>
          <w:szCs w:val="36"/>
        </w:rPr>
      </w:pPr>
      <w:r>
        <w:rPr>
          <w:bCs/>
          <w:sz w:val="36"/>
          <w:szCs w:val="36"/>
        </w:rPr>
        <w:t xml:space="preserve">采 购 人： </w:t>
      </w:r>
      <w:r>
        <w:rPr>
          <w:rFonts w:hint="eastAsia"/>
          <w:bCs/>
          <w:sz w:val="36"/>
          <w:szCs w:val="36"/>
        </w:rPr>
        <w:t>北京市通州区交通局</w:t>
      </w:r>
    </w:p>
    <w:p>
      <w:pPr>
        <w:tabs>
          <w:tab w:val="left" w:pos="3240"/>
          <w:tab w:val="left" w:pos="3420"/>
        </w:tabs>
        <w:spacing w:line="360" w:lineRule="auto"/>
        <w:ind w:left="2740" w:hanging="2739" w:hangingChars="761"/>
        <w:jc w:val="left"/>
        <w:rPr>
          <w:bCs/>
          <w:sz w:val="36"/>
          <w:szCs w:val="36"/>
        </w:rPr>
      </w:pPr>
      <w:r>
        <w:rPr>
          <w:rFonts w:hint="eastAsia"/>
          <w:bCs/>
          <w:sz w:val="36"/>
          <w:szCs w:val="36"/>
        </w:rPr>
        <w:t>采购</w:t>
      </w:r>
      <w:r>
        <w:rPr>
          <w:bCs/>
          <w:sz w:val="36"/>
          <w:szCs w:val="36"/>
        </w:rPr>
        <w:t>代理机构：</w:t>
      </w:r>
      <w:r>
        <w:rPr>
          <w:rFonts w:hint="eastAsia"/>
          <w:bCs/>
          <w:sz w:val="36"/>
          <w:szCs w:val="36"/>
        </w:rPr>
        <w:t>北京国际贸易有限公司</w:t>
      </w:r>
    </w:p>
    <w:p>
      <w:pPr>
        <w:spacing w:line="360" w:lineRule="auto"/>
        <w:jc w:val="center"/>
        <w:outlineLvl w:val="0"/>
        <w:rPr>
          <w:b/>
          <w:sz w:val="36"/>
          <w:szCs w:val="36"/>
        </w:rPr>
      </w:pPr>
      <w:r>
        <w:rPr>
          <w:b/>
          <w:bCs/>
          <w:sz w:val="44"/>
        </w:rPr>
        <w:br w:type="page"/>
      </w:r>
      <w:bookmarkStart w:id="0" w:name="_Toc22541"/>
      <w:bookmarkStart w:id="1" w:name="_Toc29495"/>
      <w:bookmarkStart w:id="2" w:name="_Toc383"/>
      <w:bookmarkStart w:id="3" w:name="_Toc99301418"/>
      <w:bookmarkStart w:id="4" w:name="_Toc16884"/>
      <w:r>
        <w:rPr>
          <w:b/>
          <w:sz w:val="36"/>
          <w:szCs w:val="36"/>
        </w:rPr>
        <w:t>目      录</w:t>
      </w:r>
      <w:bookmarkEnd w:id="0"/>
      <w:bookmarkEnd w:id="1"/>
      <w:bookmarkEnd w:id="2"/>
      <w:bookmarkEnd w:id="3"/>
      <w:bookmarkEnd w:id="4"/>
    </w:p>
    <w:p>
      <w:pPr/>
    </w:p>
    <w:p>
      <w:pPr/>
    </w:p>
    <w:p>
      <w:pP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eastAsia="宋体" w:cs="Times New Roman"/>
          <w:kern w:val="2"/>
          <w:szCs w:val="24"/>
          <w:lang w:val="en-US" w:eastAsia="zh-CN" w:bidi="ar-SA"/>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_Toc19641 </w:instrText>
      </w:r>
      <w:r>
        <w:rPr>
          <w:rFonts w:ascii="Times New Roman" w:hAnsi="Times New Roman" w:eastAsia="宋体" w:cs="Times New Roman"/>
          <w:kern w:val="2"/>
          <w:szCs w:val="24"/>
          <w:lang w:val="en-US" w:eastAsia="zh-CN" w:bidi="ar-SA"/>
        </w:rPr>
        <w:fldChar w:fldCharType="separate"/>
      </w:r>
      <w:r>
        <w:rPr>
          <w:rFonts w:ascii="宋体" w:hAnsi="宋体" w:eastAsia="宋体" w:cs="Times New Roman"/>
          <w:kern w:val="2"/>
          <w:szCs w:val="36"/>
          <w:lang w:val="en-US" w:eastAsia="zh-CN" w:bidi="ar-SA"/>
        </w:rPr>
        <w:t>第一章   投标邀请</w:t>
      </w:r>
      <w:r>
        <w:rPr>
          <w:rFonts w:ascii="宋体" w:hAnsi="宋体" w:eastAsia="宋体" w:cs="Times New Roman"/>
          <w:kern w:val="2"/>
          <w:szCs w:val="24"/>
          <w:lang w:val="en-US" w:eastAsia="zh-CN" w:bidi="ar-SA"/>
        </w:rPr>
        <w:tab/>
      </w:r>
      <w:r>
        <w:rPr>
          <w:rFonts w:ascii="宋体" w:hAnsi="宋体" w:eastAsia="宋体" w:cs="Times New Roman"/>
          <w:kern w:val="2"/>
          <w:szCs w:val="24"/>
          <w:lang w:val="en-US" w:eastAsia="zh-CN" w:bidi="ar-SA"/>
        </w:rPr>
        <w:fldChar w:fldCharType="begin"/>
      </w:r>
      <w:r>
        <w:rPr>
          <w:rFonts w:ascii="宋体" w:hAnsi="宋体" w:eastAsia="宋体" w:cs="Times New Roman"/>
          <w:kern w:val="2"/>
          <w:szCs w:val="24"/>
          <w:lang w:val="en-US" w:eastAsia="zh-CN" w:bidi="ar-SA"/>
        </w:rPr>
        <w:instrText xml:space="preserve"> PAGEREF _Toc19641 </w:instrText>
      </w:r>
      <w:r>
        <w:rPr>
          <w:rFonts w:ascii="宋体" w:hAnsi="宋体" w:eastAsia="宋体" w:cs="Times New Roman"/>
          <w:kern w:val="2"/>
          <w:szCs w:val="24"/>
          <w:lang w:val="en-US" w:eastAsia="zh-CN" w:bidi="ar-SA"/>
        </w:rPr>
        <w:fldChar w:fldCharType="separate"/>
      </w:r>
      <w:r>
        <w:rPr>
          <w:rFonts w:ascii="宋体" w:hAnsi="宋体" w:eastAsia="宋体" w:cs="Times New Roman"/>
          <w:kern w:val="2"/>
          <w:szCs w:val="24"/>
          <w:lang w:val="en-US" w:eastAsia="zh-CN" w:bidi="ar-SA"/>
        </w:rPr>
        <w:t>3</w:t>
      </w:r>
      <w:r>
        <w:rPr>
          <w:rFonts w:ascii="宋体" w:hAnsi="宋体" w:eastAsia="宋体" w:cs="Times New Roman"/>
          <w:kern w:val="2"/>
          <w:szCs w:val="24"/>
          <w:lang w:val="en-US" w:eastAsia="zh-CN" w:bidi="ar-SA"/>
        </w:rPr>
        <w:fldChar w:fldCharType="end"/>
      </w:r>
      <w:r>
        <w:rPr>
          <w:rFonts w:ascii="Times New Roman" w:hAnsi="Times New Roman" w:eastAsia="宋体" w:cs="Times New Roman"/>
          <w:kern w:val="2"/>
          <w:szCs w:val="24"/>
          <w:lang w:val="en-US" w:eastAsia="zh-CN" w:bidi="ar-SA"/>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eastAsia="宋体" w:cs="Times New Roman"/>
          <w:kern w:val="2"/>
          <w:szCs w:val="24"/>
          <w:lang w:val="en-US" w:eastAsia="zh-CN" w:bidi="ar-SA"/>
        </w:rPr>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_Toc31117 </w:instrText>
      </w:r>
      <w:r>
        <w:rPr>
          <w:rFonts w:ascii="Times New Roman" w:hAnsi="Times New Roman" w:eastAsia="宋体" w:cs="Times New Roman"/>
          <w:kern w:val="2"/>
          <w:szCs w:val="24"/>
          <w:lang w:val="en-US" w:eastAsia="zh-CN" w:bidi="ar-SA"/>
        </w:rPr>
        <w:fldChar w:fldCharType="separate"/>
      </w:r>
      <w:r>
        <w:rPr>
          <w:rFonts w:ascii="宋体" w:hAnsi="宋体" w:eastAsia="宋体" w:cs="Times New Roman"/>
          <w:kern w:val="2"/>
          <w:szCs w:val="36"/>
          <w:lang w:val="en-US" w:eastAsia="zh-CN" w:bidi="ar-SA"/>
        </w:rPr>
        <w:t>第二章   投标人须知</w:t>
      </w:r>
      <w:r>
        <w:rPr>
          <w:rFonts w:ascii="宋体" w:hAnsi="宋体" w:eastAsia="宋体" w:cs="Times New Roman"/>
          <w:kern w:val="2"/>
          <w:szCs w:val="24"/>
          <w:lang w:val="en-US" w:eastAsia="zh-CN" w:bidi="ar-SA"/>
        </w:rPr>
        <w:tab/>
      </w:r>
      <w:r>
        <w:rPr>
          <w:rFonts w:ascii="宋体" w:hAnsi="宋体" w:eastAsia="宋体" w:cs="Times New Roman"/>
          <w:kern w:val="2"/>
          <w:szCs w:val="24"/>
          <w:lang w:val="en-US" w:eastAsia="zh-CN" w:bidi="ar-SA"/>
        </w:rPr>
        <w:fldChar w:fldCharType="begin"/>
      </w:r>
      <w:r>
        <w:rPr>
          <w:rFonts w:ascii="宋体" w:hAnsi="宋体" w:eastAsia="宋体" w:cs="Times New Roman"/>
          <w:kern w:val="2"/>
          <w:szCs w:val="24"/>
          <w:lang w:val="en-US" w:eastAsia="zh-CN" w:bidi="ar-SA"/>
        </w:rPr>
        <w:instrText xml:space="preserve"> PAGEREF _Toc31117 </w:instrText>
      </w:r>
      <w:r>
        <w:rPr>
          <w:rFonts w:ascii="宋体" w:hAnsi="宋体" w:eastAsia="宋体" w:cs="Times New Roman"/>
          <w:kern w:val="2"/>
          <w:szCs w:val="24"/>
          <w:lang w:val="en-US" w:eastAsia="zh-CN" w:bidi="ar-SA"/>
        </w:rPr>
        <w:fldChar w:fldCharType="separate"/>
      </w:r>
      <w:r>
        <w:rPr>
          <w:rFonts w:ascii="宋体" w:hAnsi="宋体" w:eastAsia="宋体" w:cs="Times New Roman"/>
          <w:kern w:val="2"/>
          <w:szCs w:val="24"/>
          <w:lang w:val="en-US" w:eastAsia="zh-CN" w:bidi="ar-SA"/>
        </w:rPr>
        <w:t>7</w:t>
      </w:r>
      <w:r>
        <w:rPr>
          <w:rFonts w:ascii="宋体" w:hAnsi="宋体" w:eastAsia="宋体" w:cs="Times New Roman"/>
          <w:kern w:val="2"/>
          <w:szCs w:val="24"/>
          <w:lang w:val="en-US" w:eastAsia="zh-CN" w:bidi="ar-SA"/>
        </w:rPr>
        <w:fldChar w:fldCharType="end"/>
      </w:r>
      <w:r>
        <w:rPr>
          <w:rFonts w:ascii="Times New Roman" w:hAnsi="Times New Roman" w:eastAsia="宋体" w:cs="Times New Roman"/>
          <w:kern w:val="2"/>
          <w:szCs w:val="24"/>
          <w:lang w:val="en-US" w:eastAsia="zh-CN" w:bidi="ar-SA"/>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eastAsia="宋体" w:cs="Times New Roman"/>
          <w:kern w:val="2"/>
          <w:szCs w:val="24"/>
          <w:lang w:val="en-US" w:eastAsia="zh-CN" w:bidi="ar-SA"/>
        </w:rPr>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_Toc8693 </w:instrText>
      </w:r>
      <w:r>
        <w:rPr>
          <w:rFonts w:ascii="Times New Roman" w:hAnsi="Times New Roman" w:eastAsia="宋体" w:cs="Times New Roman"/>
          <w:kern w:val="2"/>
          <w:szCs w:val="24"/>
          <w:lang w:val="en-US" w:eastAsia="zh-CN" w:bidi="ar-SA"/>
        </w:rPr>
        <w:fldChar w:fldCharType="separate"/>
      </w:r>
      <w:r>
        <w:rPr>
          <w:rFonts w:ascii="宋体" w:hAnsi="宋体" w:eastAsia="宋体" w:cs="Times New Roman"/>
          <w:kern w:val="2"/>
          <w:szCs w:val="36"/>
          <w:lang w:val="en-US" w:eastAsia="zh-CN" w:bidi="ar-SA"/>
        </w:rPr>
        <w:t>第三章   资格审查</w:t>
      </w:r>
      <w:r>
        <w:rPr>
          <w:rFonts w:ascii="宋体" w:hAnsi="宋体" w:eastAsia="宋体" w:cs="Times New Roman"/>
          <w:kern w:val="2"/>
          <w:szCs w:val="24"/>
          <w:lang w:val="en-US" w:eastAsia="zh-CN" w:bidi="ar-SA"/>
        </w:rPr>
        <w:tab/>
      </w:r>
      <w:r>
        <w:rPr>
          <w:rFonts w:ascii="宋体" w:hAnsi="宋体" w:eastAsia="宋体" w:cs="Times New Roman"/>
          <w:kern w:val="2"/>
          <w:szCs w:val="24"/>
          <w:lang w:val="en-US" w:eastAsia="zh-CN" w:bidi="ar-SA"/>
        </w:rPr>
        <w:fldChar w:fldCharType="begin"/>
      </w:r>
      <w:r>
        <w:rPr>
          <w:rFonts w:ascii="宋体" w:hAnsi="宋体" w:eastAsia="宋体" w:cs="Times New Roman"/>
          <w:kern w:val="2"/>
          <w:szCs w:val="24"/>
          <w:lang w:val="en-US" w:eastAsia="zh-CN" w:bidi="ar-SA"/>
        </w:rPr>
        <w:instrText xml:space="preserve"> PAGEREF _Toc8693 </w:instrText>
      </w:r>
      <w:r>
        <w:rPr>
          <w:rFonts w:ascii="宋体" w:hAnsi="宋体" w:eastAsia="宋体" w:cs="Times New Roman"/>
          <w:kern w:val="2"/>
          <w:szCs w:val="24"/>
          <w:lang w:val="en-US" w:eastAsia="zh-CN" w:bidi="ar-SA"/>
        </w:rPr>
        <w:fldChar w:fldCharType="separate"/>
      </w:r>
      <w:r>
        <w:rPr>
          <w:rFonts w:ascii="宋体" w:hAnsi="宋体" w:eastAsia="宋体" w:cs="Times New Roman"/>
          <w:kern w:val="2"/>
          <w:szCs w:val="24"/>
          <w:lang w:val="en-US" w:eastAsia="zh-CN" w:bidi="ar-SA"/>
        </w:rPr>
        <w:t>24</w:t>
      </w:r>
      <w:r>
        <w:rPr>
          <w:rFonts w:ascii="宋体" w:hAnsi="宋体" w:eastAsia="宋体" w:cs="Times New Roman"/>
          <w:kern w:val="2"/>
          <w:szCs w:val="24"/>
          <w:lang w:val="en-US" w:eastAsia="zh-CN" w:bidi="ar-SA"/>
        </w:rPr>
        <w:fldChar w:fldCharType="end"/>
      </w:r>
      <w:r>
        <w:rPr>
          <w:rFonts w:ascii="Times New Roman" w:hAnsi="Times New Roman" w:eastAsia="宋体" w:cs="Times New Roman"/>
          <w:kern w:val="2"/>
          <w:szCs w:val="24"/>
          <w:lang w:val="en-US" w:eastAsia="zh-CN" w:bidi="ar-SA"/>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eastAsia="宋体" w:cs="Times New Roman"/>
          <w:kern w:val="2"/>
          <w:szCs w:val="24"/>
          <w:lang w:val="en-US" w:eastAsia="zh-CN" w:bidi="ar-SA"/>
        </w:rPr>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_Toc19271 </w:instrText>
      </w:r>
      <w:r>
        <w:rPr>
          <w:rFonts w:ascii="Times New Roman" w:hAnsi="Times New Roman" w:eastAsia="宋体" w:cs="Times New Roman"/>
          <w:kern w:val="2"/>
          <w:szCs w:val="24"/>
          <w:lang w:val="en-US" w:eastAsia="zh-CN" w:bidi="ar-SA"/>
        </w:rPr>
        <w:fldChar w:fldCharType="separate"/>
      </w:r>
      <w:r>
        <w:rPr>
          <w:rFonts w:ascii="宋体" w:hAnsi="宋体" w:eastAsia="宋体" w:cs="Times New Roman"/>
          <w:kern w:val="2"/>
          <w:szCs w:val="36"/>
          <w:lang w:val="en-US" w:eastAsia="zh-CN" w:bidi="ar-SA"/>
        </w:rPr>
        <w:t>第四章   评标程序、评标方法和评标标准</w:t>
      </w:r>
      <w:r>
        <w:rPr>
          <w:rFonts w:ascii="宋体" w:hAnsi="宋体" w:eastAsia="宋体" w:cs="Times New Roman"/>
          <w:kern w:val="2"/>
          <w:szCs w:val="24"/>
          <w:lang w:val="en-US" w:eastAsia="zh-CN" w:bidi="ar-SA"/>
        </w:rPr>
        <w:tab/>
      </w:r>
      <w:r>
        <w:rPr>
          <w:rFonts w:ascii="宋体" w:hAnsi="宋体" w:eastAsia="宋体" w:cs="Times New Roman"/>
          <w:kern w:val="2"/>
          <w:szCs w:val="24"/>
          <w:lang w:val="en-US" w:eastAsia="zh-CN" w:bidi="ar-SA"/>
        </w:rPr>
        <w:fldChar w:fldCharType="begin"/>
      </w:r>
      <w:r>
        <w:rPr>
          <w:rFonts w:ascii="宋体" w:hAnsi="宋体" w:eastAsia="宋体" w:cs="Times New Roman"/>
          <w:kern w:val="2"/>
          <w:szCs w:val="24"/>
          <w:lang w:val="en-US" w:eastAsia="zh-CN" w:bidi="ar-SA"/>
        </w:rPr>
        <w:instrText xml:space="preserve"> PAGEREF _Toc19271 </w:instrText>
      </w:r>
      <w:r>
        <w:rPr>
          <w:rFonts w:ascii="宋体" w:hAnsi="宋体" w:eastAsia="宋体" w:cs="Times New Roman"/>
          <w:kern w:val="2"/>
          <w:szCs w:val="24"/>
          <w:lang w:val="en-US" w:eastAsia="zh-CN" w:bidi="ar-SA"/>
        </w:rPr>
        <w:fldChar w:fldCharType="separate"/>
      </w:r>
      <w:r>
        <w:rPr>
          <w:rFonts w:ascii="宋体" w:hAnsi="宋体" w:eastAsia="宋体" w:cs="Times New Roman"/>
          <w:kern w:val="2"/>
          <w:szCs w:val="24"/>
          <w:lang w:val="en-US" w:eastAsia="zh-CN" w:bidi="ar-SA"/>
        </w:rPr>
        <w:t>28</w:t>
      </w:r>
      <w:r>
        <w:rPr>
          <w:rFonts w:ascii="宋体" w:hAnsi="宋体" w:eastAsia="宋体" w:cs="Times New Roman"/>
          <w:kern w:val="2"/>
          <w:szCs w:val="24"/>
          <w:lang w:val="en-US" w:eastAsia="zh-CN" w:bidi="ar-SA"/>
        </w:rPr>
        <w:fldChar w:fldCharType="end"/>
      </w:r>
      <w:r>
        <w:rPr>
          <w:rFonts w:ascii="Times New Roman" w:hAnsi="Times New Roman" w:eastAsia="宋体" w:cs="Times New Roman"/>
          <w:kern w:val="2"/>
          <w:szCs w:val="24"/>
          <w:lang w:val="en-US" w:eastAsia="zh-CN" w:bidi="ar-SA"/>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eastAsia="宋体" w:cs="Times New Roman"/>
          <w:kern w:val="2"/>
          <w:szCs w:val="24"/>
          <w:lang w:val="en-US" w:eastAsia="zh-CN" w:bidi="ar-SA"/>
        </w:rPr>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_Toc6692 </w:instrText>
      </w:r>
      <w:r>
        <w:rPr>
          <w:rFonts w:ascii="Times New Roman" w:hAnsi="Times New Roman" w:eastAsia="宋体" w:cs="Times New Roman"/>
          <w:kern w:val="2"/>
          <w:szCs w:val="24"/>
          <w:lang w:val="en-US" w:eastAsia="zh-CN" w:bidi="ar-SA"/>
        </w:rPr>
        <w:fldChar w:fldCharType="separate"/>
      </w:r>
      <w:r>
        <w:rPr>
          <w:rFonts w:ascii="宋体" w:hAnsi="宋体" w:eastAsia="宋体" w:cs="Times New Roman"/>
          <w:kern w:val="2"/>
          <w:szCs w:val="36"/>
          <w:lang w:val="en-US" w:eastAsia="zh-CN" w:bidi="ar-SA"/>
        </w:rPr>
        <w:t>第五章   采购需求</w:t>
      </w:r>
      <w:r>
        <w:rPr>
          <w:rFonts w:ascii="宋体" w:hAnsi="宋体" w:eastAsia="宋体" w:cs="Times New Roman"/>
          <w:kern w:val="2"/>
          <w:szCs w:val="24"/>
          <w:lang w:val="en-US" w:eastAsia="zh-CN" w:bidi="ar-SA"/>
        </w:rPr>
        <w:tab/>
      </w:r>
      <w:r>
        <w:rPr>
          <w:rFonts w:ascii="宋体" w:hAnsi="宋体" w:eastAsia="宋体" w:cs="Times New Roman"/>
          <w:kern w:val="2"/>
          <w:szCs w:val="24"/>
          <w:lang w:val="en-US" w:eastAsia="zh-CN" w:bidi="ar-SA"/>
        </w:rPr>
        <w:fldChar w:fldCharType="begin"/>
      </w:r>
      <w:r>
        <w:rPr>
          <w:rFonts w:ascii="宋体" w:hAnsi="宋体" w:eastAsia="宋体" w:cs="Times New Roman"/>
          <w:kern w:val="2"/>
          <w:szCs w:val="24"/>
          <w:lang w:val="en-US" w:eastAsia="zh-CN" w:bidi="ar-SA"/>
        </w:rPr>
        <w:instrText xml:space="preserve"> PAGEREF _Toc6692 </w:instrText>
      </w:r>
      <w:r>
        <w:rPr>
          <w:rFonts w:ascii="宋体" w:hAnsi="宋体" w:eastAsia="宋体" w:cs="Times New Roman"/>
          <w:kern w:val="2"/>
          <w:szCs w:val="24"/>
          <w:lang w:val="en-US" w:eastAsia="zh-CN" w:bidi="ar-SA"/>
        </w:rPr>
        <w:fldChar w:fldCharType="separate"/>
      </w:r>
      <w:r>
        <w:rPr>
          <w:rFonts w:ascii="宋体" w:hAnsi="宋体" w:eastAsia="宋体" w:cs="Times New Roman"/>
          <w:kern w:val="2"/>
          <w:szCs w:val="24"/>
          <w:lang w:val="en-US" w:eastAsia="zh-CN" w:bidi="ar-SA"/>
        </w:rPr>
        <w:t>38</w:t>
      </w:r>
      <w:r>
        <w:rPr>
          <w:rFonts w:ascii="宋体" w:hAnsi="宋体" w:eastAsia="宋体" w:cs="Times New Roman"/>
          <w:kern w:val="2"/>
          <w:szCs w:val="24"/>
          <w:lang w:val="en-US" w:eastAsia="zh-CN" w:bidi="ar-SA"/>
        </w:rPr>
        <w:fldChar w:fldCharType="end"/>
      </w:r>
      <w:r>
        <w:rPr>
          <w:rFonts w:ascii="Times New Roman" w:hAnsi="Times New Roman" w:eastAsia="宋体" w:cs="Times New Roman"/>
          <w:kern w:val="2"/>
          <w:szCs w:val="24"/>
          <w:lang w:val="en-US" w:eastAsia="zh-CN" w:bidi="ar-SA"/>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eastAsia="宋体" w:cs="Times New Roman"/>
          <w:kern w:val="2"/>
          <w:szCs w:val="24"/>
          <w:lang w:val="en-US" w:eastAsia="zh-CN" w:bidi="ar-SA"/>
        </w:rPr>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_Toc20517 </w:instrText>
      </w:r>
      <w:r>
        <w:rPr>
          <w:rFonts w:ascii="Times New Roman" w:hAnsi="Times New Roman" w:eastAsia="宋体" w:cs="Times New Roman"/>
          <w:kern w:val="2"/>
          <w:szCs w:val="24"/>
          <w:lang w:val="en-US" w:eastAsia="zh-CN" w:bidi="ar-SA"/>
        </w:rPr>
        <w:fldChar w:fldCharType="separate"/>
      </w:r>
      <w:r>
        <w:rPr>
          <w:rFonts w:ascii="宋体" w:hAnsi="宋体" w:eastAsia="宋体" w:cs="Times New Roman"/>
          <w:kern w:val="2"/>
          <w:szCs w:val="36"/>
          <w:lang w:val="en-US" w:eastAsia="zh-CN" w:bidi="ar-SA"/>
        </w:rPr>
        <w:t>第六章   拟签订的合同文本</w:t>
      </w:r>
      <w:r>
        <w:rPr>
          <w:rFonts w:ascii="宋体" w:hAnsi="宋体" w:eastAsia="宋体" w:cs="Times New Roman"/>
          <w:kern w:val="2"/>
          <w:szCs w:val="24"/>
          <w:lang w:val="en-US" w:eastAsia="zh-CN" w:bidi="ar-SA"/>
        </w:rPr>
        <w:tab/>
      </w:r>
      <w:r>
        <w:rPr>
          <w:rFonts w:ascii="宋体" w:hAnsi="宋体" w:eastAsia="宋体" w:cs="Times New Roman"/>
          <w:kern w:val="2"/>
          <w:szCs w:val="24"/>
          <w:lang w:val="en-US" w:eastAsia="zh-CN" w:bidi="ar-SA"/>
        </w:rPr>
        <w:fldChar w:fldCharType="begin"/>
      </w:r>
      <w:r>
        <w:rPr>
          <w:rFonts w:ascii="宋体" w:hAnsi="宋体" w:eastAsia="宋体" w:cs="Times New Roman"/>
          <w:kern w:val="2"/>
          <w:szCs w:val="24"/>
          <w:lang w:val="en-US" w:eastAsia="zh-CN" w:bidi="ar-SA"/>
        </w:rPr>
        <w:instrText xml:space="preserve"> PAGEREF _Toc20517 </w:instrText>
      </w:r>
      <w:r>
        <w:rPr>
          <w:rFonts w:ascii="宋体" w:hAnsi="宋体" w:eastAsia="宋体" w:cs="Times New Roman"/>
          <w:kern w:val="2"/>
          <w:szCs w:val="24"/>
          <w:lang w:val="en-US" w:eastAsia="zh-CN" w:bidi="ar-SA"/>
        </w:rPr>
        <w:fldChar w:fldCharType="separate"/>
      </w:r>
      <w:r>
        <w:rPr>
          <w:rFonts w:ascii="宋体" w:hAnsi="宋体" w:eastAsia="宋体" w:cs="Times New Roman"/>
          <w:kern w:val="2"/>
          <w:szCs w:val="24"/>
          <w:lang w:val="en-US" w:eastAsia="zh-CN" w:bidi="ar-SA"/>
        </w:rPr>
        <w:t>45</w:t>
      </w:r>
      <w:r>
        <w:rPr>
          <w:rFonts w:ascii="宋体" w:hAnsi="宋体" w:eastAsia="宋体" w:cs="Times New Roman"/>
          <w:kern w:val="2"/>
          <w:szCs w:val="24"/>
          <w:lang w:val="en-US" w:eastAsia="zh-CN" w:bidi="ar-SA"/>
        </w:rPr>
        <w:fldChar w:fldCharType="end"/>
      </w:r>
      <w:r>
        <w:rPr>
          <w:rFonts w:ascii="Times New Roman" w:hAnsi="Times New Roman" w:eastAsia="宋体" w:cs="Times New Roman"/>
          <w:kern w:val="2"/>
          <w:szCs w:val="24"/>
          <w:lang w:val="en-US" w:eastAsia="zh-CN" w:bidi="ar-SA"/>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eastAsia="宋体" w:cs="Times New Roman"/>
          <w:kern w:val="2"/>
          <w:szCs w:val="24"/>
          <w:lang w:val="en-US" w:eastAsia="zh-CN" w:bidi="ar-SA"/>
        </w:rPr>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_Toc26469 </w:instrText>
      </w:r>
      <w:r>
        <w:rPr>
          <w:rFonts w:ascii="Times New Roman" w:hAnsi="Times New Roman" w:eastAsia="宋体" w:cs="Times New Roman"/>
          <w:kern w:val="2"/>
          <w:szCs w:val="24"/>
          <w:lang w:val="en-US" w:eastAsia="zh-CN" w:bidi="ar-SA"/>
        </w:rPr>
        <w:fldChar w:fldCharType="separate"/>
      </w:r>
      <w:r>
        <w:rPr>
          <w:rFonts w:ascii="宋体" w:hAnsi="宋体" w:eastAsia="宋体" w:cs="Times New Roman"/>
          <w:kern w:val="2"/>
          <w:szCs w:val="36"/>
          <w:lang w:val="en-US" w:eastAsia="zh-CN" w:bidi="ar-SA"/>
        </w:rPr>
        <w:t>第七章</w:t>
      </w:r>
      <w:r>
        <w:rPr>
          <w:rFonts w:hint="eastAsia" w:ascii="宋体" w:hAnsi="宋体" w:eastAsia="宋体" w:cs="Times New Roman"/>
          <w:kern w:val="2"/>
          <w:szCs w:val="36"/>
          <w:lang w:val="en-US" w:eastAsia="zh-CN" w:bidi="ar-SA"/>
        </w:rPr>
        <w:t xml:space="preserve"> </w:t>
      </w:r>
      <w:r>
        <w:rPr>
          <w:rFonts w:ascii="宋体" w:hAnsi="宋体" w:eastAsia="宋体" w:cs="Times New Roman"/>
          <w:kern w:val="2"/>
          <w:szCs w:val="36"/>
          <w:lang w:val="en-US" w:eastAsia="zh-CN" w:bidi="ar-SA"/>
        </w:rPr>
        <w:t xml:space="preserve"> </w:t>
      </w:r>
      <w:r>
        <w:rPr>
          <w:rFonts w:hint="eastAsia" w:ascii="宋体" w:hAnsi="宋体" w:eastAsia="宋体" w:cs="Times New Roman"/>
          <w:kern w:val="2"/>
          <w:szCs w:val="36"/>
          <w:lang w:val="en-US" w:eastAsia="zh-CN" w:bidi="ar-SA"/>
        </w:rPr>
        <w:t xml:space="preserve"> </w:t>
      </w:r>
      <w:r>
        <w:rPr>
          <w:rFonts w:ascii="宋体" w:hAnsi="宋体" w:eastAsia="宋体" w:cs="Times New Roman"/>
          <w:kern w:val="2"/>
          <w:szCs w:val="36"/>
          <w:lang w:val="en-US" w:eastAsia="zh-CN" w:bidi="ar-SA"/>
        </w:rPr>
        <w:t>投标文件格式</w:t>
      </w:r>
      <w:r>
        <w:rPr>
          <w:rFonts w:ascii="宋体" w:hAnsi="宋体" w:eastAsia="宋体" w:cs="Times New Roman"/>
          <w:kern w:val="2"/>
          <w:szCs w:val="24"/>
          <w:lang w:val="en-US" w:eastAsia="zh-CN" w:bidi="ar-SA"/>
        </w:rPr>
        <w:tab/>
      </w:r>
      <w:r>
        <w:rPr>
          <w:rFonts w:ascii="宋体" w:hAnsi="宋体" w:eastAsia="宋体" w:cs="Times New Roman"/>
          <w:kern w:val="2"/>
          <w:szCs w:val="24"/>
          <w:lang w:val="en-US" w:eastAsia="zh-CN" w:bidi="ar-SA"/>
        </w:rPr>
        <w:fldChar w:fldCharType="begin"/>
      </w:r>
      <w:r>
        <w:rPr>
          <w:rFonts w:ascii="宋体" w:hAnsi="宋体" w:eastAsia="宋体" w:cs="Times New Roman"/>
          <w:kern w:val="2"/>
          <w:szCs w:val="24"/>
          <w:lang w:val="en-US" w:eastAsia="zh-CN" w:bidi="ar-SA"/>
        </w:rPr>
        <w:instrText xml:space="preserve"> PAGEREF _Toc26469 </w:instrText>
      </w:r>
      <w:r>
        <w:rPr>
          <w:rFonts w:ascii="宋体" w:hAnsi="宋体" w:eastAsia="宋体" w:cs="Times New Roman"/>
          <w:kern w:val="2"/>
          <w:szCs w:val="24"/>
          <w:lang w:val="en-US" w:eastAsia="zh-CN" w:bidi="ar-SA"/>
        </w:rPr>
        <w:fldChar w:fldCharType="separate"/>
      </w:r>
      <w:r>
        <w:rPr>
          <w:rFonts w:ascii="宋体" w:hAnsi="宋体" w:eastAsia="宋体" w:cs="Times New Roman"/>
          <w:kern w:val="2"/>
          <w:szCs w:val="24"/>
          <w:lang w:val="en-US" w:eastAsia="zh-CN" w:bidi="ar-SA"/>
        </w:rPr>
        <w:t>53</w:t>
      </w:r>
      <w:r>
        <w:rPr>
          <w:rFonts w:ascii="宋体" w:hAnsi="宋体" w:eastAsia="宋体" w:cs="Times New Roman"/>
          <w:kern w:val="2"/>
          <w:szCs w:val="24"/>
          <w:lang w:val="en-US" w:eastAsia="zh-CN" w:bidi="ar-SA"/>
        </w:rPr>
        <w:fldChar w:fldCharType="end"/>
      </w:r>
      <w:r>
        <w:rPr>
          <w:rFonts w:ascii="Times New Roman" w:hAnsi="Times New Roman" w:eastAsia="宋体" w:cs="Times New Roman"/>
          <w:kern w:val="2"/>
          <w:szCs w:val="24"/>
          <w:lang w:val="en-US" w:eastAsia="zh-CN" w:bidi="ar-SA"/>
        </w:rPr>
        <w:fldChar w:fldCharType="end"/>
      </w:r>
    </w:p>
    <w:p>
      <w:pPr>
        <w:pStyle w:val="34"/>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Times New Roman" w:hAnsi="Times New Roman"/>
          <w:b w:val="0"/>
        </w:rPr>
      </w:pPr>
      <w:r>
        <w:rPr>
          <w:rFonts w:ascii="Times New Roman" w:hAnsi="Times New Roman" w:eastAsia="宋体" w:cs="Times New Roman"/>
          <w:kern w:val="2"/>
          <w:szCs w:val="24"/>
          <w:lang w:val="en-US" w:eastAsia="zh-CN" w:bidi="ar-SA"/>
        </w:rPr>
        <w:fldChar w:fldCharType="end"/>
      </w:r>
    </w:p>
    <w:p>
      <w:pPr>
        <w:spacing w:line="360" w:lineRule="auto"/>
        <w:jc w:val="center"/>
        <w:outlineLvl w:val="0"/>
        <w:rPr>
          <w:b/>
          <w:sz w:val="36"/>
          <w:szCs w:val="36"/>
        </w:rPr>
      </w:pPr>
      <w:r>
        <w:rPr>
          <w:sz w:val="24"/>
        </w:rPr>
        <w:br w:type="page"/>
      </w:r>
      <w:bookmarkStart w:id="5" w:name="_Toc19641"/>
      <w:r>
        <w:rPr>
          <w:b/>
          <w:sz w:val="36"/>
          <w:szCs w:val="36"/>
        </w:rPr>
        <w:t>第一章   投标邀请</w:t>
      </w:r>
      <w:bookmarkEnd w:id="5"/>
    </w:p>
    <w:p>
      <w:pPr>
        <w:pStyle w:val="5"/>
        <w:spacing w:before="0" w:line="360" w:lineRule="auto"/>
        <w:jc w:val="left"/>
        <w:rPr>
          <w:rFonts w:ascii="Times New Roman" w:hAnsi="Times New Roman" w:eastAsia="宋体"/>
          <w:sz w:val="24"/>
          <w:szCs w:val="24"/>
        </w:rPr>
      </w:pPr>
      <w:bookmarkStart w:id="6" w:name="_Toc28359079"/>
      <w:bookmarkStart w:id="7" w:name="_Toc28359002"/>
      <w:bookmarkStart w:id="8" w:name="_Toc35393790"/>
      <w:bookmarkStart w:id="9" w:name="_Toc35393621"/>
      <w:bookmarkStart w:id="10" w:name="_Hlk24379207"/>
      <w:r>
        <w:rPr>
          <w:rFonts w:ascii="Times New Roman" w:hAnsi="Times New Roman" w:eastAsia="宋体"/>
          <w:sz w:val="24"/>
          <w:szCs w:val="24"/>
        </w:rPr>
        <w:t>一、项目基本情况</w:t>
      </w:r>
      <w:bookmarkEnd w:id="6"/>
      <w:bookmarkEnd w:id="7"/>
      <w:bookmarkEnd w:id="8"/>
      <w:bookmarkEnd w:id="9"/>
    </w:p>
    <w:p>
      <w:pPr>
        <w:tabs>
          <w:tab w:val="left" w:pos="3240"/>
          <w:tab w:val="left" w:pos="3420"/>
        </w:tabs>
        <w:spacing w:line="360" w:lineRule="auto"/>
        <w:ind w:firstLine="480" w:firstLineChars="200"/>
        <w:jc w:val="left"/>
        <w:rPr>
          <w:rFonts w:ascii="宋体" w:hAnsi="宋体" w:cs="宋体"/>
          <w:bCs/>
          <w:sz w:val="24"/>
        </w:rPr>
      </w:pPr>
      <w:r>
        <w:rPr>
          <w:rFonts w:hint="eastAsia" w:ascii="宋体" w:hAnsi="宋体" w:cs="宋体"/>
          <w:bCs/>
          <w:sz w:val="24"/>
        </w:rPr>
        <w:t>1</w:t>
      </w:r>
      <w:r>
        <w:rPr>
          <w:sz w:val="24"/>
        </w:rPr>
        <w:t>.</w:t>
      </w:r>
      <w:r>
        <w:rPr>
          <w:rFonts w:hint="eastAsia" w:ascii="宋体" w:hAnsi="宋体" w:cs="宋体"/>
          <w:bCs/>
          <w:sz w:val="24"/>
        </w:rPr>
        <w:t>项目编号：</w:t>
      </w:r>
      <w:r>
        <w:rPr>
          <w:rFonts w:hint="eastAsia" w:ascii="宋体" w:hAnsi="宋体" w:cs="宋体"/>
          <w:bCs/>
          <w:sz w:val="24"/>
          <w:lang w:eastAsia="zh-CN"/>
        </w:rPr>
        <w:t>0686-2311QG104380Z/1/2/3/4</w:t>
      </w:r>
    </w:p>
    <w:p>
      <w:pPr>
        <w:spacing w:line="360" w:lineRule="auto"/>
        <w:ind w:firstLine="480" w:firstLineChars="200"/>
        <w:rPr>
          <w:rFonts w:ascii="Times New Roman" w:hAnsi="Times New Roman"/>
          <w:b w:val="0"/>
        </w:rPr>
      </w:pPr>
      <w:r>
        <w:rPr>
          <w:sz w:val="24"/>
        </w:rPr>
        <w:t xml:space="preserve">2.项目名称： </w:t>
      </w:r>
      <w:r>
        <w:rPr>
          <w:rFonts w:hint="eastAsia" w:ascii="宋体" w:hAnsi="宋体" w:cs="宋体"/>
          <w:bCs/>
          <w:sz w:val="24"/>
          <w:lang w:eastAsia="zh-CN"/>
        </w:rPr>
        <w:t>2024年扣押违法车辆停车保管服务项目（包1、包2、包3、包4）</w:t>
      </w:r>
    </w:p>
    <w:bookmarkEnd w:id="10"/>
    <w:p>
      <w:pPr>
        <w:spacing w:line="360" w:lineRule="auto"/>
        <w:ind w:firstLine="480" w:firstLineChars="200"/>
        <w:rPr>
          <w:rFonts w:ascii="Times New Roman" w:hAnsi="Times New Roman"/>
          <w:b w:val="0"/>
        </w:rPr>
      </w:pPr>
      <w:r>
        <w:rPr>
          <w:sz w:val="24"/>
        </w:rPr>
        <w:t>3.项目预算金额</w:t>
      </w:r>
      <w:r>
        <w:rPr>
          <w:rFonts w:hint="eastAsia"/>
          <w:sz w:val="24"/>
        </w:rPr>
        <w:t>（最高限价）</w:t>
      </w:r>
      <w:r>
        <w:rPr>
          <w:sz w:val="24"/>
        </w:rPr>
        <w:t>：</w:t>
      </w:r>
      <w:r>
        <w:rPr>
          <w:rFonts w:hint="eastAsia"/>
          <w:sz w:val="24"/>
        </w:rPr>
        <w:t>人民币</w:t>
      </w:r>
      <w:r>
        <w:rPr>
          <w:rFonts w:hint="eastAsia"/>
          <w:sz w:val="24"/>
          <w:lang w:val="en-US" w:eastAsia="zh-CN"/>
        </w:rPr>
        <w:t>120</w:t>
      </w:r>
      <w:r>
        <w:rPr>
          <w:rFonts w:hint="eastAsia"/>
          <w:sz w:val="24"/>
        </w:rPr>
        <w:t>万元</w:t>
      </w:r>
    </w:p>
    <w:p>
      <w:pPr>
        <w:spacing w:line="360" w:lineRule="auto"/>
        <w:ind w:firstLine="480" w:firstLineChars="200"/>
        <w:rPr>
          <w:sz w:val="24"/>
          <w:highlight w:val="yellow"/>
        </w:rPr>
      </w:pPr>
      <w:r>
        <w:rPr>
          <w:sz w:val="24"/>
        </w:rPr>
        <w:t>4.采购需求：</w:t>
      </w:r>
    </w:p>
    <w:tbl>
      <w:tblPr>
        <w:tblStyle w:val="56"/>
        <w:tblW w:w="9495"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2196"/>
        <w:gridCol w:w="855"/>
        <w:gridCol w:w="4215"/>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trPr>
        <w:tc>
          <w:tcPr>
            <w:tcW w:w="849" w:type="dxa"/>
            <w:vAlign w:val="center"/>
          </w:tcPr>
          <w:p>
            <w:pPr>
              <w:jc w:val="center"/>
              <w:rPr>
                <w:rFonts w:ascii="宋体" w:hAnsi="宋体" w:cs="宋体"/>
                <w:bCs/>
                <w:sz w:val="24"/>
              </w:rPr>
            </w:pPr>
            <w:r>
              <w:rPr>
                <w:rFonts w:hint="eastAsia" w:ascii="宋体" w:hAnsi="宋体" w:cs="宋体"/>
                <w:bCs/>
                <w:sz w:val="24"/>
              </w:rPr>
              <w:t>包号</w:t>
            </w:r>
          </w:p>
        </w:tc>
        <w:tc>
          <w:tcPr>
            <w:tcW w:w="2196" w:type="dxa"/>
            <w:vAlign w:val="center"/>
          </w:tcPr>
          <w:p>
            <w:pPr>
              <w:jc w:val="center"/>
              <w:rPr>
                <w:rFonts w:ascii="宋体" w:hAnsi="宋体" w:cs="宋体"/>
                <w:bCs/>
                <w:sz w:val="24"/>
              </w:rPr>
            </w:pPr>
            <w:r>
              <w:rPr>
                <w:rFonts w:hint="eastAsia" w:ascii="宋体" w:hAnsi="宋体" w:cs="宋体"/>
                <w:bCs/>
                <w:sz w:val="24"/>
              </w:rPr>
              <w:t>标的名称</w:t>
            </w:r>
          </w:p>
        </w:tc>
        <w:tc>
          <w:tcPr>
            <w:tcW w:w="855" w:type="dxa"/>
            <w:vAlign w:val="center"/>
          </w:tcPr>
          <w:p>
            <w:pPr>
              <w:jc w:val="center"/>
              <w:rPr>
                <w:rFonts w:ascii="宋体" w:hAnsi="宋体" w:cs="宋体"/>
                <w:bCs/>
                <w:sz w:val="24"/>
              </w:rPr>
            </w:pPr>
            <w:r>
              <w:rPr>
                <w:rFonts w:hint="eastAsia" w:ascii="宋体" w:hAnsi="宋体" w:cs="宋体"/>
                <w:bCs/>
                <w:sz w:val="24"/>
              </w:rPr>
              <w:t>数量</w:t>
            </w:r>
          </w:p>
        </w:tc>
        <w:tc>
          <w:tcPr>
            <w:tcW w:w="4215" w:type="dxa"/>
            <w:vAlign w:val="center"/>
          </w:tcPr>
          <w:p>
            <w:pPr>
              <w:jc w:val="center"/>
              <w:rPr>
                <w:rFonts w:ascii="宋体" w:hAnsi="宋体" w:cs="宋体"/>
                <w:bCs/>
                <w:sz w:val="24"/>
              </w:rPr>
            </w:pPr>
            <w:r>
              <w:rPr>
                <w:rFonts w:hint="eastAsia" w:ascii="宋体" w:hAnsi="宋体" w:cs="宋体"/>
                <w:bCs/>
                <w:sz w:val="24"/>
              </w:rPr>
              <w:t>简要技术需求或服务要求</w:t>
            </w:r>
          </w:p>
        </w:tc>
        <w:tc>
          <w:tcPr>
            <w:tcW w:w="1380" w:type="dxa"/>
            <w:vAlign w:val="center"/>
          </w:tcPr>
          <w:p>
            <w:pPr>
              <w:jc w:val="center"/>
              <w:rPr>
                <w:rFonts w:hint="eastAsia" w:ascii="宋体" w:hAnsi="宋体" w:cs="宋体"/>
                <w:bCs/>
                <w:sz w:val="24"/>
              </w:rPr>
            </w:pPr>
            <w:r>
              <w:rPr>
                <w:rFonts w:hint="eastAsia"/>
                <w:sz w:val="24"/>
              </w:rPr>
              <w:t>分包预算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27" w:hRule="atLeast"/>
        </w:trPr>
        <w:tc>
          <w:tcPr>
            <w:tcW w:w="849" w:type="dxa"/>
            <w:vAlign w:val="center"/>
          </w:tcPr>
          <w:p>
            <w:pPr>
              <w:jc w:val="center"/>
              <w:rPr>
                <w:rFonts w:ascii="宋体" w:hAnsi="宋体" w:cs="宋体"/>
                <w:bCs/>
                <w:sz w:val="24"/>
              </w:rPr>
            </w:pPr>
            <w:r>
              <w:rPr>
                <w:rFonts w:hint="eastAsia" w:ascii="宋体" w:hAnsi="宋体" w:cs="宋体"/>
                <w:bCs/>
                <w:sz w:val="24"/>
                <w:lang w:val="en-US" w:eastAsia="zh-CN"/>
              </w:rPr>
              <w:t>1</w:t>
            </w:r>
          </w:p>
        </w:tc>
        <w:tc>
          <w:tcPr>
            <w:tcW w:w="2196" w:type="dxa"/>
            <w:vAlign w:val="center"/>
          </w:tcPr>
          <w:p>
            <w:pPr>
              <w:jc w:val="center"/>
              <w:rPr>
                <w:rFonts w:ascii="宋体" w:hAnsi="宋体" w:cs="宋体"/>
                <w:bCs/>
                <w:sz w:val="24"/>
              </w:rPr>
            </w:pPr>
            <w:r>
              <w:rPr>
                <w:rFonts w:hint="eastAsia" w:ascii="宋体" w:hAnsi="宋体" w:cs="宋体"/>
                <w:bCs/>
                <w:sz w:val="24"/>
                <w:lang w:eastAsia="zh-CN"/>
              </w:rPr>
              <w:t>2024年扣押违法车辆停车保管服务项目（</w:t>
            </w:r>
            <w:r>
              <w:rPr>
                <w:rFonts w:hint="eastAsia" w:ascii="宋体" w:hAnsi="宋体" w:cs="宋体"/>
                <w:bCs/>
                <w:sz w:val="24"/>
                <w:lang w:val="en-US" w:eastAsia="zh-CN"/>
              </w:rPr>
              <w:t>包1</w:t>
            </w:r>
            <w:r>
              <w:rPr>
                <w:rFonts w:hint="eastAsia" w:ascii="宋体" w:hAnsi="宋体" w:cs="宋体"/>
                <w:bCs/>
                <w:sz w:val="24"/>
                <w:lang w:eastAsia="zh-CN"/>
              </w:rPr>
              <w:t>）</w:t>
            </w:r>
          </w:p>
        </w:tc>
        <w:tc>
          <w:tcPr>
            <w:tcW w:w="855" w:type="dxa"/>
            <w:vAlign w:val="center"/>
          </w:tcPr>
          <w:p>
            <w:pPr>
              <w:jc w:val="center"/>
              <w:rPr>
                <w:rFonts w:ascii="宋体" w:hAnsi="宋体" w:cs="宋体"/>
                <w:bCs/>
                <w:sz w:val="24"/>
              </w:rPr>
            </w:pPr>
            <w:r>
              <w:rPr>
                <w:rFonts w:ascii="宋体" w:hAnsi="宋体" w:cs="宋体"/>
                <w:bCs/>
                <w:sz w:val="24"/>
              </w:rPr>
              <w:t>1</w:t>
            </w:r>
            <w:r>
              <w:rPr>
                <w:rFonts w:hint="eastAsia" w:ascii="宋体" w:hAnsi="宋体" w:cs="宋体"/>
                <w:bCs/>
                <w:sz w:val="24"/>
              </w:rPr>
              <w:t>项</w:t>
            </w:r>
          </w:p>
        </w:tc>
        <w:tc>
          <w:tcPr>
            <w:tcW w:w="4215" w:type="dxa"/>
            <w:vAlign w:val="center"/>
          </w:tcPr>
          <w:p>
            <w:pPr>
              <w:rPr>
                <w:rFonts w:ascii="宋体" w:hAnsi="宋体" w:cs="宋体"/>
                <w:bCs/>
                <w:sz w:val="24"/>
              </w:rPr>
            </w:pPr>
            <w:r>
              <w:rPr>
                <w:rFonts w:hint="eastAsia" w:ascii="宋体" w:hAnsi="宋体" w:cs="宋体"/>
                <w:color w:val="auto"/>
                <w:sz w:val="24"/>
                <w:szCs w:val="32"/>
                <w:highlight w:val="none"/>
                <w:lang w:eastAsia="zh-CN"/>
              </w:rPr>
              <w:t>通州城区</w:t>
            </w:r>
            <w:r>
              <w:rPr>
                <w:rFonts w:hint="eastAsia" w:ascii="宋体" w:hAnsi="宋体" w:cs="宋体"/>
                <w:color w:val="auto"/>
                <w:sz w:val="24"/>
                <w:szCs w:val="32"/>
                <w:highlight w:val="none"/>
                <w:lang w:val="en-US" w:eastAsia="zh-CN"/>
              </w:rPr>
              <w:t>北部</w:t>
            </w:r>
            <w:r>
              <w:rPr>
                <w:rFonts w:hint="eastAsia" w:ascii="宋体" w:hAnsi="宋体" w:cs="宋体"/>
                <w:color w:val="auto"/>
                <w:sz w:val="24"/>
                <w:szCs w:val="32"/>
                <w:highlight w:val="none"/>
              </w:rPr>
              <w:t>交通执法、联合执法暂扣车辆保管</w:t>
            </w:r>
            <w:r>
              <w:rPr>
                <w:rFonts w:hint="eastAsia" w:asciiTheme="minorEastAsia" w:hAnsiTheme="minorEastAsia"/>
                <w:sz w:val="24"/>
                <w:highlight w:val="none"/>
              </w:rPr>
              <w:t>：预计停放</w:t>
            </w:r>
            <w:r>
              <w:rPr>
                <w:rFonts w:hint="eastAsia" w:asciiTheme="minorEastAsia" w:hAnsiTheme="minorEastAsia"/>
                <w:sz w:val="24"/>
                <w:highlight w:val="none"/>
                <w:lang w:val="en-US" w:eastAsia="zh-CN"/>
              </w:rPr>
              <w:t>600</w:t>
            </w:r>
            <w:r>
              <w:rPr>
                <w:rFonts w:hint="eastAsia" w:asciiTheme="minorEastAsia" w:hAnsiTheme="minorEastAsia"/>
                <w:sz w:val="24"/>
                <w:highlight w:val="none"/>
              </w:rPr>
              <w:t>辆（含一般小型车</w:t>
            </w:r>
            <w:r>
              <w:rPr>
                <w:rFonts w:hint="eastAsia" w:asciiTheme="minorEastAsia" w:hAnsiTheme="minorEastAsia"/>
                <w:sz w:val="24"/>
                <w:highlight w:val="none"/>
                <w:lang w:val="en-US" w:eastAsia="zh-CN"/>
              </w:rPr>
              <w:t>560</w:t>
            </w:r>
            <w:r>
              <w:rPr>
                <w:rFonts w:hint="eastAsia" w:asciiTheme="minorEastAsia" w:hAnsiTheme="minorEastAsia"/>
                <w:sz w:val="24"/>
                <w:highlight w:val="none"/>
              </w:rPr>
              <w:t>辆、一般大型车</w:t>
            </w:r>
            <w:r>
              <w:rPr>
                <w:rFonts w:hint="eastAsia" w:asciiTheme="minorEastAsia" w:hAnsiTheme="minorEastAsia"/>
                <w:sz w:val="24"/>
                <w:highlight w:val="none"/>
                <w:lang w:val="en-US" w:eastAsia="zh-CN"/>
              </w:rPr>
              <w:t>30</w:t>
            </w:r>
            <w:r>
              <w:rPr>
                <w:rFonts w:hint="eastAsia" w:asciiTheme="minorEastAsia" w:hAnsiTheme="minorEastAsia"/>
                <w:sz w:val="24"/>
                <w:highlight w:val="none"/>
              </w:rPr>
              <w:t>辆</w:t>
            </w:r>
            <w:r>
              <w:rPr>
                <w:rFonts w:hint="eastAsia" w:asciiTheme="minorEastAsia" w:hAnsiTheme="minorEastAsia"/>
                <w:sz w:val="24"/>
                <w:highlight w:val="none"/>
                <w:lang w:eastAsia="zh-CN"/>
              </w:rPr>
              <w:t>，</w:t>
            </w:r>
            <w:r>
              <w:rPr>
                <w:rFonts w:hint="eastAsia" w:ascii="宋体" w:hAnsi="宋体" w:cs="宋体"/>
                <w:color w:val="auto"/>
                <w:sz w:val="24"/>
                <w:szCs w:val="32"/>
                <w:highlight w:val="none"/>
                <w:lang w:eastAsia="zh-CN"/>
              </w:rPr>
              <w:t>延长或滞留车</w:t>
            </w:r>
            <w:r>
              <w:rPr>
                <w:rFonts w:hint="eastAsia" w:ascii="宋体" w:hAnsi="宋体" w:cs="宋体"/>
                <w:color w:val="auto"/>
                <w:sz w:val="24"/>
                <w:szCs w:val="32"/>
                <w:highlight w:val="none"/>
                <w:lang w:val="en-US" w:eastAsia="zh-CN"/>
              </w:rPr>
              <w:t>10</w:t>
            </w:r>
            <w:r>
              <w:rPr>
                <w:rFonts w:hint="eastAsia" w:ascii="宋体" w:hAnsi="宋体" w:cs="宋体"/>
                <w:color w:val="auto"/>
                <w:sz w:val="24"/>
                <w:szCs w:val="32"/>
                <w:highlight w:val="none"/>
                <w:lang w:eastAsia="zh-CN"/>
              </w:rPr>
              <w:t>辆</w:t>
            </w:r>
            <w:r>
              <w:rPr>
                <w:rFonts w:hint="eastAsia" w:asciiTheme="minorEastAsia" w:hAnsiTheme="minorEastAsia"/>
                <w:sz w:val="24"/>
                <w:highlight w:val="none"/>
              </w:rPr>
              <w:t>）若高于停车上限停放数量按停车上限数量结算</w:t>
            </w:r>
            <w:r>
              <w:rPr>
                <w:rFonts w:hint="eastAsia" w:asciiTheme="minorEastAsia" w:hAnsiTheme="minorEastAsia"/>
                <w:sz w:val="24"/>
                <w:highlight w:val="none"/>
                <w:lang w:eastAsia="zh-CN"/>
              </w:rPr>
              <w:t>；</w:t>
            </w:r>
          </w:p>
        </w:tc>
        <w:tc>
          <w:tcPr>
            <w:tcW w:w="1380" w:type="dxa"/>
            <w:vAlign w:val="center"/>
          </w:tcPr>
          <w:p>
            <w:pPr>
              <w:jc w:val="center"/>
              <w:rPr>
                <w:rFonts w:hint="eastAsia" w:ascii="宋体" w:hAnsi="宋体" w:eastAsia="宋体" w:cs="宋体"/>
                <w:bCs/>
                <w:sz w:val="24"/>
                <w:lang w:val="en-US" w:eastAsia="zh-CN"/>
              </w:rPr>
            </w:pPr>
            <w:r>
              <w:rPr>
                <w:rFonts w:hint="eastAsia" w:ascii="宋体" w:hAnsi="宋体" w:cs="宋体"/>
                <w:bCs/>
                <w:sz w:val="24"/>
                <w:lang w:val="en-US" w:eastAsia="zh-CN"/>
              </w:rPr>
              <w:t>35万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1" w:hRule="atLeast"/>
        </w:trPr>
        <w:tc>
          <w:tcPr>
            <w:tcW w:w="849" w:type="dxa"/>
            <w:vAlign w:val="center"/>
          </w:tcPr>
          <w:p>
            <w:pPr>
              <w:jc w:val="center"/>
              <w:rPr>
                <w:rFonts w:hint="eastAsia" w:ascii="宋体" w:hAnsi="宋体" w:eastAsia="宋体" w:cs="宋体"/>
                <w:bCs/>
                <w:sz w:val="24"/>
                <w:lang w:val="en-US" w:eastAsia="zh-CN"/>
              </w:rPr>
            </w:pPr>
            <w:r>
              <w:rPr>
                <w:rFonts w:hint="eastAsia" w:ascii="宋体" w:hAnsi="宋体" w:cs="宋体"/>
                <w:bCs/>
                <w:sz w:val="24"/>
                <w:lang w:val="en-US" w:eastAsia="zh-CN"/>
              </w:rPr>
              <w:t>2</w:t>
            </w:r>
          </w:p>
        </w:tc>
        <w:tc>
          <w:tcPr>
            <w:tcW w:w="2196" w:type="dxa"/>
            <w:vAlign w:val="center"/>
          </w:tcPr>
          <w:p>
            <w:pPr>
              <w:jc w:val="center"/>
              <w:rPr>
                <w:rFonts w:hint="eastAsia" w:ascii="宋体" w:hAnsi="宋体" w:cs="宋体"/>
                <w:bCs/>
                <w:sz w:val="24"/>
                <w:lang w:eastAsia="zh-CN"/>
              </w:rPr>
            </w:pPr>
            <w:r>
              <w:rPr>
                <w:rFonts w:hint="eastAsia" w:ascii="宋体" w:hAnsi="宋体" w:cs="宋体"/>
                <w:bCs/>
                <w:sz w:val="24"/>
                <w:lang w:eastAsia="zh-CN"/>
              </w:rPr>
              <w:t>2024年扣押违法车辆停车保管服务项目（</w:t>
            </w:r>
            <w:r>
              <w:rPr>
                <w:rFonts w:hint="eastAsia" w:ascii="宋体" w:hAnsi="宋体" w:cs="宋体"/>
                <w:bCs/>
                <w:sz w:val="24"/>
                <w:lang w:val="en-US" w:eastAsia="zh-CN"/>
              </w:rPr>
              <w:t>包2</w:t>
            </w:r>
            <w:r>
              <w:rPr>
                <w:rFonts w:hint="eastAsia" w:ascii="宋体" w:hAnsi="宋体" w:cs="宋体"/>
                <w:bCs/>
                <w:sz w:val="24"/>
                <w:lang w:eastAsia="zh-CN"/>
              </w:rPr>
              <w:t>）</w:t>
            </w:r>
          </w:p>
        </w:tc>
        <w:tc>
          <w:tcPr>
            <w:tcW w:w="855" w:type="dxa"/>
            <w:vAlign w:val="center"/>
          </w:tcPr>
          <w:p>
            <w:pPr>
              <w:jc w:val="center"/>
              <w:rPr>
                <w:rFonts w:ascii="宋体" w:hAnsi="宋体" w:cs="宋体"/>
                <w:bCs/>
                <w:sz w:val="24"/>
              </w:rPr>
            </w:pPr>
            <w:r>
              <w:rPr>
                <w:rFonts w:ascii="宋体" w:hAnsi="宋体" w:cs="宋体"/>
                <w:bCs/>
                <w:sz w:val="24"/>
              </w:rPr>
              <w:t>1</w:t>
            </w:r>
            <w:r>
              <w:rPr>
                <w:rFonts w:hint="eastAsia" w:ascii="宋体" w:hAnsi="宋体" w:cs="宋体"/>
                <w:bCs/>
                <w:sz w:val="24"/>
              </w:rPr>
              <w:t>项</w:t>
            </w:r>
          </w:p>
        </w:tc>
        <w:tc>
          <w:tcPr>
            <w:tcW w:w="4215" w:type="dxa"/>
            <w:vAlign w:val="center"/>
          </w:tcPr>
          <w:p>
            <w:pPr>
              <w:rPr>
                <w:rFonts w:hint="eastAsia" w:ascii="宋体" w:hAnsi="宋体" w:cs="宋体"/>
                <w:bCs/>
                <w:sz w:val="24"/>
              </w:rPr>
            </w:pPr>
            <w:r>
              <w:rPr>
                <w:rFonts w:hint="eastAsia" w:ascii="宋体" w:hAnsi="宋体" w:cs="宋体"/>
                <w:bCs/>
                <w:sz w:val="24"/>
              </w:rPr>
              <w:t>通州城区南部交通执法、联合执法暂扣车辆保管：预计停放600辆（含一般小型</w:t>
            </w:r>
            <w:r>
              <w:rPr>
                <w:rFonts w:hint="eastAsia" w:eastAsia="宋体" w:asciiTheme="minorEastAsia" w:hAnsiTheme="minorEastAsia"/>
                <w:sz w:val="24"/>
                <w:highlight w:val="none"/>
              </w:rPr>
              <w:t>车</w:t>
            </w:r>
            <w:r>
              <w:rPr>
                <w:rFonts w:hint="eastAsia" w:eastAsia="宋体" w:asciiTheme="minorEastAsia" w:hAnsiTheme="minorEastAsia"/>
                <w:sz w:val="24"/>
                <w:highlight w:val="none"/>
                <w:lang w:val="en-US" w:eastAsia="zh-CN"/>
              </w:rPr>
              <w:t>560</w:t>
            </w:r>
            <w:r>
              <w:rPr>
                <w:rFonts w:hint="eastAsia" w:eastAsia="宋体" w:asciiTheme="minorEastAsia" w:hAnsiTheme="minorEastAsia"/>
                <w:sz w:val="24"/>
                <w:highlight w:val="none"/>
              </w:rPr>
              <w:t>辆、一般大型车</w:t>
            </w:r>
            <w:r>
              <w:rPr>
                <w:rFonts w:hint="eastAsia" w:eastAsia="宋体" w:asciiTheme="minorEastAsia" w:hAnsiTheme="minorEastAsia"/>
                <w:sz w:val="24"/>
                <w:highlight w:val="none"/>
                <w:lang w:val="en-US" w:eastAsia="zh-CN"/>
              </w:rPr>
              <w:t>30</w:t>
            </w:r>
            <w:r>
              <w:rPr>
                <w:rFonts w:hint="eastAsia" w:eastAsia="宋体" w:asciiTheme="minorEastAsia" w:hAnsiTheme="minorEastAsia"/>
                <w:sz w:val="24"/>
                <w:highlight w:val="none"/>
              </w:rPr>
              <w:t>辆</w:t>
            </w:r>
            <w:r>
              <w:rPr>
                <w:rFonts w:hint="eastAsia" w:eastAsia="宋体" w:asciiTheme="minorEastAsia" w:hAnsiTheme="minorEastAsia"/>
                <w:sz w:val="24"/>
                <w:highlight w:val="none"/>
                <w:lang w:eastAsia="zh-CN"/>
              </w:rPr>
              <w:t>，延长或滞留车</w:t>
            </w:r>
            <w:r>
              <w:rPr>
                <w:rFonts w:hint="eastAsia" w:eastAsia="宋体" w:asciiTheme="minorEastAsia" w:hAnsiTheme="minorEastAsia"/>
                <w:sz w:val="24"/>
                <w:highlight w:val="none"/>
                <w:lang w:val="en-US" w:eastAsia="zh-CN"/>
              </w:rPr>
              <w:t>10</w:t>
            </w:r>
            <w:r>
              <w:rPr>
                <w:rFonts w:hint="eastAsia" w:eastAsia="宋体" w:asciiTheme="minorEastAsia" w:hAnsiTheme="minorEastAsia"/>
                <w:sz w:val="24"/>
                <w:highlight w:val="none"/>
                <w:lang w:eastAsia="zh-CN"/>
              </w:rPr>
              <w:t>辆</w:t>
            </w:r>
            <w:r>
              <w:rPr>
                <w:rFonts w:hint="eastAsia" w:eastAsia="宋体" w:asciiTheme="minorEastAsia" w:hAnsiTheme="minorEastAsia"/>
                <w:sz w:val="24"/>
                <w:highlight w:val="none"/>
              </w:rPr>
              <w:t>）若高于</w:t>
            </w:r>
            <w:r>
              <w:rPr>
                <w:rFonts w:hint="eastAsia" w:ascii="宋体" w:hAnsi="宋体" w:cs="宋体"/>
                <w:bCs/>
                <w:sz w:val="24"/>
              </w:rPr>
              <w:t>停车上限停放数量按停车上限数量结</w:t>
            </w:r>
            <w:r>
              <w:rPr>
                <w:rFonts w:hint="eastAsia" w:ascii="宋体" w:hAnsi="宋体" w:cs="宋体"/>
                <w:bCs/>
                <w:sz w:val="24"/>
                <w:highlight w:val="none"/>
              </w:rPr>
              <w:t>算</w:t>
            </w:r>
            <w:r>
              <w:rPr>
                <w:rFonts w:hint="eastAsia" w:asciiTheme="minorEastAsia" w:hAnsiTheme="minorEastAsia"/>
                <w:sz w:val="24"/>
                <w:highlight w:val="none"/>
                <w:lang w:eastAsia="zh-CN"/>
              </w:rPr>
              <w:t>；</w:t>
            </w:r>
          </w:p>
        </w:tc>
        <w:tc>
          <w:tcPr>
            <w:tcW w:w="1380" w:type="dxa"/>
            <w:vAlign w:val="center"/>
          </w:tcPr>
          <w:p>
            <w:pPr>
              <w:jc w:val="center"/>
              <w:rPr>
                <w:rFonts w:hint="eastAsia" w:ascii="宋体" w:hAnsi="宋体" w:eastAsia="宋体" w:cs="宋体"/>
                <w:bCs/>
                <w:sz w:val="24"/>
                <w:lang w:val="en-US" w:eastAsia="zh-CN"/>
              </w:rPr>
            </w:pPr>
            <w:r>
              <w:rPr>
                <w:rFonts w:hint="eastAsia" w:ascii="宋体" w:hAnsi="宋体" w:cs="宋体"/>
                <w:bCs/>
                <w:sz w:val="24"/>
                <w:lang w:val="en-US" w:eastAsia="zh-CN"/>
              </w:rPr>
              <w:t>35万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0" w:hRule="atLeast"/>
        </w:trPr>
        <w:tc>
          <w:tcPr>
            <w:tcW w:w="849" w:type="dxa"/>
            <w:vAlign w:val="center"/>
          </w:tcPr>
          <w:p>
            <w:pPr>
              <w:jc w:val="center"/>
              <w:rPr>
                <w:rFonts w:hint="eastAsia" w:ascii="宋体" w:hAnsi="宋体" w:eastAsia="宋体" w:cs="宋体"/>
                <w:bCs/>
                <w:sz w:val="24"/>
                <w:lang w:val="en-US" w:eastAsia="zh-CN"/>
              </w:rPr>
            </w:pPr>
            <w:r>
              <w:rPr>
                <w:rFonts w:hint="eastAsia" w:ascii="宋体" w:hAnsi="宋体" w:cs="宋体"/>
                <w:bCs/>
                <w:sz w:val="24"/>
                <w:lang w:val="en-US" w:eastAsia="zh-CN"/>
              </w:rPr>
              <w:t>3</w:t>
            </w:r>
          </w:p>
        </w:tc>
        <w:tc>
          <w:tcPr>
            <w:tcW w:w="2196" w:type="dxa"/>
            <w:vAlign w:val="center"/>
          </w:tcPr>
          <w:p>
            <w:pPr>
              <w:jc w:val="center"/>
              <w:rPr>
                <w:rFonts w:hint="eastAsia" w:ascii="宋体" w:hAnsi="宋体" w:cs="宋体"/>
                <w:bCs/>
                <w:sz w:val="24"/>
                <w:lang w:eastAsia="zh-CN"/>
              </w:rPr>
            </w:pPr>
            <w:r>
              <w:rPr>
                <w:rFonts w:hint="eastAsia" w:ascii="宋体" w:hAnsi="宋体" w:cs="宋体"/>
                <w:bCs/>
                <w:sz w:val="24"/>
                <w:lang w:eastAsia="zh-CN"/>
              </w:rPr>
              <w:t>2024年扣押违法车辆停车保管服务项目（</w:t>
            </w:r>
            <w:r>
              <w:rPr>
                <w:rFonts w:hint="eastAsia" w:ascii="宋体" w:hAnsi="宋体" w:cs="宋体"/>
                <w:bCs/>
                <w:sz w:val="24"/>
                <w:lang w:val="en-US" w:eastAsia="zh-CN"/>
              </w:rPr>
              <w:t>包3</w:t>
            </w:r>
            <w:r>
              <w:rPr>
                <w:rFonts w:hint="eastAsia" w:ascii="宋体" w:hAnsi="宋体" w:cs="宋体"/>
                <w:bCs/>
                <w:sz w:val="24"/>
                <w:lang w:eastAsia="zh-CN"/>
              </w:rPr>
              <w:t>）</w:t>
            </w:r>
          </w:p>
        </w:tc>
        <w:tc>
          <w:tcPr>
            <w:tcW w:w="855" w:type="dxa"/>
            <w:vAlign w:val="center"/>
          </w:tcPr>
          <w:p>
            <w:pPr>
              <w:jc w:val="center"/>
              <w:rPr>
                <w:rFonts w:ascii="宋体" w:hAnsi="宋体" w:cs="宋体"/>
                <w:bCs/>
                <w:sz w:val="24"/>
              </w:rPr>
            </w:pPr>
            <w:r>
              <w:rPr>
                <w:rFonts w:ascii="宋体" w:hAnsi="宋体" w:cs="宋体"/>
                <w:bCs/>
                <w:sz w:val="24"/>
              </w:rPr>
              <w:t>1</w:t>
            </w:r>
            <w:r>
              <w:rPr>
                <w:rFonts w:hint="eastAsia" w:ascii="宋体" w:hAnsi="宋体" w:cs="宋体"/>
                <w:bCs/>
                <w:sz w:val="24"/>
              </w:rPr>
              <w:t>项</w:t>
            </w:r>
          </w:p>
        </w:tc>
        <w:tc>
          <w:tcPr>
            <w:tcW w:w="4215" w:type="dxa"/>
            <w:vAlign w:val="center"/>
          </w:tcPr>
          <w:p>
            <w:pPr>
              <w:rPr>
                <w:rFonts w:hint="eastAsia" w:ascii="宋体" w:hAnsi="宋体" w:cs="宋体"/>
                <w:bCs/>
                <w:sz w:val="24"/>
              </w:rPr>
            </w:pPr>
            <w:r>
              <w:rPr>
                <w:rFonts w:hint="eastAsia" w:ascii="宋体" w:hAnsi="宋体" w:cs="宋体"/>
                <w:bCs/>
                <w:sz w:val="24"/>
              </w:rPr>
              <w:t>通州城区</w:t>
            </w:r>
            <w:r>
              <w:rPr>
                <w:rFonts w:hint="eastAsia" w:ascii="宋体" w:hAnsi="宋体" w:cs="宋体"/>
                <w:bCs/>
                <w:sz w:val="24"/>
                <w:lang w:val="en-US" w:eastAsia="zh-CN"/>
              </w:rPr>
              <w:t>东部</w:t>
            </w:r>
            <w:r>
              <w:rPr>
                <w:rFonts w:hint="eastAsia" w:ascii="宋体" w:hAnsi="宋体" w:cs="宋体"/>
                <w:bCs/>
                <w:sz w:val="24"/>
              </w:rPr>
              <w:t>交通执法、联合执法暂扣车辆：预计停放</w:t>
            </w:r>
            <w:r>
              <w:rPr>
                <w:rFonts w:hint="eastAsia" w:ascii="宋体" w:hAnsi="宋体" w:cs="宋体"/>
                <w:bCs/>
                <w:sz w:val="24"/>
                <w:lang w:val="en-US" w:eastAsia="zh-CN"/>
              </w:rPr>
              <w:t>300</w:t>
            </w:r>
            <w:r>
              <w:rPr>
                <w:rFonts w:hint="eastAsia" w:ascii="宋体" w:hAnsi="宋体" w:cs="宋体"/>
                <w:bCs/>
                <w:sz w:val="24"/>
              </w:rPr>
              <w:t>辆（含一般小型车</w:t>
            </w:r>
            <w:r>
              <w:rPr>
                <w:rFonts w:hint="eastAsia" w:ascii="宋体" w:hAnsi="宋体" w:cs="宋体"/>
                <w:bCs/>
                <w:sz w:val="24"/>
                <w:lang w:val="en-US" w:eastAsia="zh-CN"/>
              </w:rPr>
              <w:t>26</w:t>
            </w:r>
            <w:r>
              <w:rPr>
                <w:rFonts w:hint="eastAsia" w:ascii="宋体" w:hAnsi="宋体" w:cs="宋体"/>
                <w:bCs/>
                <w:sz w:val="24"/>
              </w:rPr>
              <w:t>0辆、一般大型车30辆，延长或滞留车1</w:t>
            </w:r>
            <w:r>
              <w:rPr>
                <w:rFonts w:hint="eastAsia" w:ascii="宋体" w:hAnsi="宋体" w:cs="宋体"/>
                <w:bCs/>
                <w:sz w:val="24"/>
                <w:lang w:val="en-US" w:eastAsia="zh-CN"/>
              </w:rPr>
              <w:t>0</w:t>
            </w:r>
            <w:r>
              <w:rPr>
                <w:rFonts w:hint="eastAsia" w:ascii="宋体" w:hAnsi="宋体" w:cs="宋体"/>
                <w:bCs/>
                <w:sz w:val="24"/>
              </w:rPr>
              <w:t>辆））若高于停车上限停放数量按停车上限数量结算</w:t>
            </w:r>
            <w:r>
              <w:rPr>
                <w:rFonts w:hint="eastAsia" w:ascii="宋体" w:hAnsi="宋体" w:cs="宋体"/>
                <w:bCs/>
                <w:sz w:val="24"/>
                <w:lang w:eastAsia="zh-CN"/>
              </w:rPr>
              <w:t>；</w:t>
            </w:r>
          </w:p>
        </w:tc>
        <w:tc>
          <w:tcPr>
            <w:tcW w:w="1380" w:type="dxa"/>
            <w:vAlign w:val="center"/>
          </w:tcPr>
          <w:p>
            <w:pPr>
              <w:jc w:val="center"/>
              <w:rPr>
                <w:rFonts w:hint="eastAsia" w:ascii="宋体" w:hAnsi="宋体" w:eastAsia="宋体" w:cs="宋体"/>
                <w:bCs/>
                <w:sz w:val="24"/>
                <w:lang w:val="en-US" w:eastAsia="zh-CN"/>
              </w:rPr>
            </w:pPr>
            <w:r>
              <w:rPr>
                <w:rFonts w:hint="eastAsia" w:ascii="宋体" w:hAnsi="宋体" w:cs="宋体"/>
                <w:bCs/>
                <w:sz w:val="24"/>
                <w:lang w:val="en-US" w:eastAsia="zh-CN"/>
              </w:rPr>
              <w:t>15万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0" w:hRule="atLeast"/>
        </w:trPr>
        <w:tc>
          <w:tcPr>
            <w:tcW w:w="849" w:type="dxa"/>
            <w:vAlign w:val="center"/>
          </w:tcPr>
          <w:p>
            <w:pPr>
              <w:jc w:val="center"/>
              <w:rPr>
                <w:rFonts w:hint="eastAsia" w:ascii="宋体" w:hAnsi="宋体" w:cs="宋体"/>
                <w:bCs/>
                <w:sz w:val="24"/>
                <w:lang w:val="en-US" w:eastAsia="zh-CN"/>
              </w:rPr>
            </w:pPr>
            <w:r>
              <w:rPr>
                <w:rFonts w:hint="eastAsia" w:ascii="宋体" w:hAnsi="宋体" w:cs="宋体"/>
                <w:bCs/>
                <w:sz w:val="24"/>
                <w:lang w:val="en-US" w:eastAsia="zh-CN"/>
              </w:rPr>
              <w:t>4</w:t>
            </w:r>
          </w:p>
        </w:tc>
        <w:tc>
          <w:tcPr>
            <w:tcW w:w="2196" w:type="dxa"/>
            <w:vAlign w:val="center"/>
          </w:tcPr>
          <w:p>
            <w:pPr>
              <w:jc w:val="center"/>
              <w:rPr>
                <w:rFonts w:hint="eastAsia" w:ascii="宋体" w:hAnsi="宋体" w:cs="宋体"/>
                <w:bCs/>
                <w:sz w:val="24"/>
                <w:lang w:eastAsia="zh-CN"/>
              </w:rPr>
            </w:pPr>
            <w:r>
              <w:rPr>
                <w:rFonts w:hint="eastAsia" w:ascii="宋体" w:hAnsi="宋体" w:cs="宋体"/>
                <w:bCs/>
                <w:sz w:val="24"/>
                <w:lang w:eastAsia="zh-CN"/>
              </w:rPr>
              <w:t>2024年扣押违法车辆停车保管服务项目（</w:t>
            </w:r>
            <w:r>
              <w:rPr>
                <w:rFonts w:hint="eastAsia" w:ascii="宋体" w:hAnsi="宋体" w:cs="宋体"/>
                <w:bCs/>
                <w:sz w:val="24"/>
                <w:lang w:val="en-US" w:eastAsia="zh-CN"/>
              </w:rPr>
              <w:t>包4</w:t>
            </w:r>
            <w:r>
              <w:rPr>
                <w:rFonts w:hint="eastAsia" w:ascii="宋体" w:hAnsi="宋体" w:cs="宋体"/>
                <w:bCs/>
                <w:sz w:val="24"/>
                <w:lang w:eastAsia="zh-CN"/>
              </w:rPr>
              <w:t>）</w:t>
            </w:r>
          </w:p>
        </w:tc>
        <w:tc>
          <w:tcPr>
            <w:tcW w:w="855" w:type="dxa"/>
            <w:vAlign w:val="center"/>
          </w:tcPr>
          <w:p>
            <w:pPr>
              <w:jc w:val="center"/>
              <w:rPr>
                <w:rFonts w:ascii="宋体" w:hAnsi="宋体" w:cs="宋体"/>
                <w:bCs/>
                <w:sz w:val="24"/>
              </w:rPr>
            </w:pPr>
            <w:r>
              <w:rPr>
                <w:rFonts w:ascii="宋体" w:hAnsi="宋体" w:cs="宋体"/>
                <w:bCs/>
                <w:sz w:val="24"/>
              </w:rPr>
              <w:t>1</w:t>
            </w:r>
            <w:r>
              <w:rPr>
                <w:rFonts w:hint="eastAsia" w:ascii="宋体" w:hAnsi="宋体" w:cs="宋体"/>
                <w:bCs/>
                <w:sz w:val="24"/>
              </w:rPr>
              <w:t>项</w:t>
            </w:r>
          </w:p>
        </w:tc>
        <w:tc>
          <w:tcPr>
            <w:tcW w:w="4215" w:type="dxa"/>
            <w:vAlign w:val="center"/>
          </w:tcPr>
          <w:p>
            <w:pPr>
              <w:rPr>
                <w:rFonts w:hint="eastAsia" w:ascii="宋体" w:hAnsi="宋体" w:cs="宋体"/>
                <w:bCs/>
                <w:sz w:val="24"/>
              </w:rPr>
            </w:pPr>
            <w:r>
              <w:rPr>
                <w:rFonts w:hint="eastAsia" w:ascii="宋体" w:hAnsi="宋体" w:cs="宋体"/>
                <w:bCs/>
                <w:sz w:val="24"/>
              </w:rPr>
              <w:t>通州城区全域交通执法、联合执法暂扣车辆：预计停放600辆（含一般小型车</w:t>
            </w:r>
            <w:r>
              <w:rPr>
                <w:rFonts w:hint="eastAsia" w:ascii="宋体" w:hAnsi="宋体" w:cs="宋体"/>
                <w:bCs/>
                <w:sz w:val="24"/>
                <w:lang w:val="en-US" w:eastAsia="zh-CN"/>
              </w:rPr>
              <w:t>560</w:t>
            </w:r>
            <w:r>
              <w:rPr>
                <w:rFonts w:hint="eastAsia" w:ascii="宋体" w:hAnsi="宋体" w:cs="宋体"/>
                <w:bCs/>
                <w:sz w:val="24"/>
              </w:rPr>
              <w:t>辆、一般大型车30辆，延长或滞留车1</w:t>
            </w:r>
            <w:r>
              <w:rPr>
                <w:rFonts w:hint="eastAsia" w:ascii="宋体" w:hAnsi="宋体" w:cs="宋体"/>
                <w:bCs/>
                <w:sz w:val="24"/>
                <w:lang w:val="en-US" w:eastAsia="zh-CN"/>
              </w:rPr>
              <w:t>0</w:t>
            </w:r>
            <w:r>
              <w:rPr>
                <w:rFonts w:hint="eastAsia" w:ascii="宋体" w:hAnsi="宋体" w:cs="宋体"/>
                <w:bCs/>
                <w:sz w:val="24"/>
              </w:rPr>
              <w:t>辆））若高于停车上限停放数量按停车上限数量结算</w:t>
            </w:r>
          </w:p>
        </w:tc>
        <w:tc>
          <w:tcPr>
            <w:tcW w:w="1380" w:type="dxa"/>
            <w:vAlign w:val="center"/>
          </w:tcPr>
          <w:p>
            <w:pPr>
              <w:jc w:val="center"/>
              <w:rPr>
                <w:rFonts w:hint="eastAsia" w:ascii="宋体" w:hAnsi="宋体" w:cs="宋体"/>
                <w:bCs/>
                <w:sz w:val="24"/>
                <w:lang w:val="en-US" w:eastAsia="zh-CN"/>
              </w:rPr>
            </w:pPr>
            <w:r>
              <w:rPr>
                <w:rFonts w:hint="eastAsia" w:ascii="宋体" w:hAnsi="宋体" w:cs="宋体"/>
                <w:bCs/>
                <w:sz w:val="24"/>
                <w:lang w:val="en-US" w:eastAsia="zh-CN"/>
              </w:rPr>
              <w:t>35万</w:t>
            </w:r>
          </w:p>
        </w:tc>
      </w:tr>
    </w:tbl>
    <w:p>
      <w:pPr>
        <w:spacing w:line="360" w:lineRule="auto"/>
        <w:ind w:firstLine="420" w:firstLineChars="175"/>
        <w:jc w:val="left"/>
        <w:rPr>
          <w:bCs/>
          <w:sz w:val="24"/>
        </w:rPr>
      </w:pPr>
      <w:r>
        <w:rPr>
          <w:bCs/>
          <w:sz w:val="24"/>
        </w:rPr>
        <w:t>注：投标人必须针对</w:t>
      </w:r>
      <w:r>
        <w:rPr>
          <w:rFonts w:hint="eastAsia"/>
          <w:bCs/>
          <w:sz w:val="24"/>
        </w:rPr>
        <w:t>每包内的</w:t>
      </w:r>
      <w:r>
        <w:rPr>
          <w:bCs/>
          <w:sz w:val="24"/>
        </w:rPr>
        <w:t>所有内容进行投标，不允许拆分投标。</w:t>
      </w:r>
    </w:p>
    <w:p>
      <w:pPr>
        <w:spacing w:line="360" w:lineRule="auto"/>
        <w:ind w:firstLine="480" w:firstLineChars="200"/>
        <w:rPr>
          <w:sz w:val="24"/>
          <w:u w:val="single"/>
        </w:rPr>
      </w:pPr>
      <w:r>
        <w:rPr>
          <w:sz w:val="24"/>
        </w:rPr>
        <w:t>5.合同履行期限：</w:t>
      </w:r>
      <w:r>
        <w:rPr>
          <w:rFonts w:hint="eastAsia" w:ascii="宋体" w:hAnsi="宋体" w:cs="宋体"/>
          <w:sz w:val="24"/>
          <w:u w:val="single"/>
        </w:rPr>
        <w:t>自合同签订之日起至2025年1月</w:t>
      </w:r>
      <w:r>
        <w:rPr>
          <w:rFonts w:hint="eastAsia" w:ascii="宋体" w:hAnsi="宋体" w:cs="宋体"/>
          <w:sz w:val="24"/>
          <w:u w:val="single"/>
          <w:lang w:val="en-US" w:eastAsia="zh-CN"/>
        </w:rPr>
        <w:t>31日</w:t>
      </w:r>
      <w:r>
        <w:rPr>
          <w:rFonts w:hint="eastAsia" w:ascii="宋体" w:hAnsi="宋体" w:cs="宋体"/>
          <w:sz w:val="24"/>
          <w:u w:val="single"/>
        </w:rPr>
        <w:t>。</w:t>
      </w:r>
    </w:p>
    <w:p>
      <w:pPr>
        <w:spacing w:line="360" w:lineRule="auto"/>
        <w:ind w:firstLine="480" w:firstLineChars="200"/>
        <w:rPr>
          <w:sz w:val="24"/>
        </w:rPr>
      </w:pPr>
      <w:r>
        <w:rPr>
          <w:sz w:val="24"/>
        </w:rPr>
        <w:t>6.本项目是否接受联合体投标：否</w:t>
      </w:r>
    </w:p>
    <w:p>
      <w:pPr>
        <w:pStyle w:val="5"/>
        <w:spacing w:before="0" w:line="360" w:lineRule="auto"/>
        <w:jc w:val="left"/>
        <w:rPr>
          <w:rFonts w:ascii="Times New Roman" w:hAnsi="Times New Roman" w:eastAsia="宋体"/>
          <w:sz w:val="24"/>
          <w:szCs w:val="24"/>
        </w:rPr>
      </w:pPr>
      <w:bookmarkStart w:id="11" w:name="_Toc28359080"/>
      <w:bookmarkStart w:id="12" w:name="_Toc35393622"/>
      <w:bookmarkStart w:id="13" w:name="_Toc28359003"/>
      <w:bookmarkStart w:id="14" w:name="_Toc35393791"/>
      <w:r>
        <w:rPr>
          <w:rFonts w:ascii="Times New Roman" w:hAnsi="Times New Roman" w:eastAsia="宋体"/>
          <w:sz w:val="24"/>
          <w:szCs w:val="24"/>
        </w:rPr>
        <w:t>二、申请人的资格要求（须同时满足）</w:t>
      </w:r>
      <w:bookmarkEnd w:id="11"/>
      <w:bookmarkEnd w:id="12"/>
      <w:bookmarkEnd w:id="13"/>
      <w:bookmarkEnd w:id="14"/>
    </w:p>
    <w:p>
      <w:pPr>
        <w:pStyle w:val="2"/>
        <w:tabs>
          <w:tab w:val="clear" w:pos="567"/>
        </w:tabs>
        <w:spacing w:before="153"/>
        <w:ind w:left="701"/>
      </w:pPr>
      <w:bookmarkStart w:id="15" w:name="_Toc28359004"/>
      <w:bookmarkStart w:id="16" w:name="_Toc28359081"/>
      <w:bookmarkStart w:id="17" w:name="_Toc35393623"/>
      <w:bookmarkStart w:id="18" w:name="_Toc35393792"/>
      <w:r>
        <w:rPr>
          <w:rFonts w:ascii="Arial" w:eastAsia="Arial"/>
        </w:rPr>
        <w:t>1.</w:t>
      </w:r>
      <w:r>
        <w:t>满足《中华人民共和国政府采购法》第二十二条规定；</w:t>
      </w:r>
    </w:p>
    <w:p>
      <w:pPr>
        <w:pStyle w:val="2"/>
        <w:tabs>
          <w:tab w:val="clear" w:pos="567"/>
        </w:tabs>
        <w:spacing w:before="134"/>
        <w:ind w:left="701"/>
      </w:pPr>
      <w:r>
        <w:rPr>
          <w:rFonts w:ascii="Arial" w:eastAsia="Arial"/>
        </w:rPr>
        <w:t>2.</w:t>
      </w:r>
      <w:r>
        <w:t>落实政府采购政策需满足的资格要求：</w:t>
      </w:r>
    </w:p>
    <w:p>
      <w:pPr>
        <w:pStyle w:val="264"/>
        <w:numPr>
          <w:ilvl w:val="1"/>
          <w:numId w:val="7"/>
        </w:numPr>
        <w:tabs>
          <w:tab w:val="left" w:pos="1201"/>
        </w:tabs>
        <w:spacing w:before="136" w:after="0" w:line="240" w:lineRule="auto"/>
        <w:ind w:left="1200" w:right="0" w:hanging="499"/>
        <w:jc w:val="left"/>
        <w:rPr>
          <w:sz w:val="24"/>
        </w:rPr>
      </w:pPr>
      <w:r>
        <w:rPr>
          <w:sz w:val="24"/>
        </w:rPr>
        <w:t>中小企业政策</w:t>
      </w:r>
    </w:p>
    <w:p>
      <w:pPr>
        <w:pStyle w:val="2"/>
        <w:tabs>
          <w:tab w:val="left" w:pos="2878"/>
          <w:tab w:val="left" w:pos="5165"/>
          <w:tab w:val="clear" w:pos="567"/>
        </w:tabs>
        <w:spacing w:before="136" w:line="338" w:lineRule="auto"/>
        <w:ind w:left="221" w:right="168" w:firstLine="479"/>
      </w:pPr>
      <w:r>
        <w:rPr>
          <w:w w:val="105"/>
        </w:rPr>
        <w:t>本</w:t>
      </w:r>
      <w:r>
        <w:rPr>
          <w:spacing w:val="2"/>
          <w:w w:val="105"/>
        </w:rPr>
        <w:t>项</w:t>
      </w:r>
      <w:r>
        <w:rPr>
          <w:w w:val="105"/>
        </w:rPr>
        <w:t>目专门</w:t>
      </w:r>
      <w:r>
        <w:rPr>
          <w:spacing w:val="2"/>
          <w:w w:val="105"/>
        </w:rPr>
        <w:t>面</w:t>
      </w:r>
      <w:r>
        <w:rPr>
          <w:w w:val="105"/>
        </w:rPr>
        <w:t>向小</w:t>
      </w:r>
      <w:r>
        <w:rPr>
          <w:spacing w:val="2"/>
          <w:w w:val="105"/>
        </w:rPr>
        <w:t>微</w:t>
      </w:r>
      <w:r>
        <w:rPr>
          <w:w w:val="105"/>
        </w:rPr>
        <w:t>企业</w:t>
      </w:r>
      <w:r>
        <w:t>采</w:t>
      </w:r>
      <w:r>
        <w:rPr>
          <w:spacing w:val="2"/>
        </w:rPr>
        <w:t>购</w:t>
      </w:r>
      <w:r>
        <w:t>。即：</w:t>
      </w:r>
      <w:r>
        <w:rPr>
          <w:spacing w:val="2"/>
        </w:rPr>
        <w:t>提</w:t>
      </w:r>
      <w:r>
        <w:t>供的服务全部由符合政策要求的小微企业承接。</w:t>
      </w:r>
    </w:p>
    <w:p>
      <w:pPr>
        <w:spacing w:line="360" w:lineRule="auto"/>
        <w:ind w:firstLine="480" w:firstLineChars="200"/>
        <w:rPr>
          <w:sz w:val="24"/>
        </w:rPr>
      </w:pPr>
      <w:r>
        <w:rPr>
          <w:sz w:val="24"/>
        </w:rPr>
        <w:t>2.2 其它落实政府采购政策的资格要求：</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r>
        <w:rPr>
          <w:rFonts w:hint="eastAsia"/>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hint="eastAsia"/>
          <w:sz w:val="24"/>
        </w:rPr>
        <w:t>无</w:t>
      </w:r>
      <w:r>
        <w:rPr>
          <w:sz w:val="24"/>
        </w:rPr>
        <w:t>。</w:t>
      </w:r>
    </w:p>
    <w:bookmarkEnd w:id="15"/>
    <w:bookmarkEnd w:id="16"/>
    <w:p>
      <w:pPr>
        <w:pStyle w:val="5"/>
        <w:widowControl/>
        <w:spacing w:before="0" w:line="360" w:lineRule="auto"/>
        <w:jc w:val="left"/>
        <w:rPr>
          <w:rFonts w:ascii="Times New Roman" w:hAnsi="Times New Roman" w:eastAsia="宋体"/>
          <w:sz w:val="24"/>
          <w:szCs w:val="24"/>
        </w:rPr>
      </w:pPr>
      <w:r>
        <w:rPr>
          <w:rFonts w:ascii="Times New Roman" w:hAnsi="Times New Roman" w:eastAsia="宋体"/>
          <w:sz w:val="24"/>
          <w:szCs w:val="24"/>
        </w:rPr>
        <w:t>三、获取招标文件</w:t>
      </w:r>
      <w:bookmarkEnd w:id="17"/>
      <w:bookmarkEnd w:id="18"/>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w:t>
      </w:r>
      <w:r>
        <w:rPr>
          <w:rFonts w:hint="eastAsia"/>
          <w:sz w:val="24"/>
          <w:lang w:val="en-US" w:eastAsia="zh-CN" w:bidi="ar"/>
        </w:rPr>
        <w:t>4</w:t>
      </w:r>
      <w:r>
        <w:rPr>
          <w:sz w:val="24"/>
          <w:lang w:bidi="ar"/>
        </w:rPr>
        <w:t>年</w:t>
      </w:r>
      <w:r>
        <w:rPr>
          <w:rFonts w:hint="eastAsia"/>
          <w:sz w:val="24"/>
          <w:lang w:val="en-US" w:eastAsia="zh-CN" w:bidi="ar"/>
        </w:rPr>
        <w:t>1</w:t>
      </w:r>
      <w:r>
        <w:rPr>
          <w:sz w:val="24"/>
          <w:lang w:bidi="ar"/>
        </w:rPr>
        <w:t>月</w:t>
      </w:r>
      <w:r>
        <w:rPr>
          <w:rFonts w:hint="eastAsia"/>
          <w:sz w:val="24"/>
          <w:lang w:val="en-US" w:eastAsia="zh-CN" w:bidi="ar"/>
        </w:rPr>
        <w:t>4</w:t>
      </w:r>
      <w:r>
        <w:rPr>
          <w:sz w:val="24"/>
          <w:lang w:bidi="ar"/>
        </w:rPr>
        <w:t>日至</w:t>
      </w:r>
      <w:r>
        <w:rPr>
          <w:rFonts w:hint="eastAsia"/>
          <w:sz w:val="24"/>
          <w:lang w:bidi="ar"/>
        </w:rPr>
        <w:t>202</w:t>
      </w:r>
      <w:r>
        <w:rPr>
          <w:rFonts w:hint="eastAsia"/>
          <w:sz w:val="24"/>
          <w:lang w:val="en-US" w:eastAsia="zh-CN" w:bidi="ar"/>
        </w:rPr>
        <w:t>4</w:t>
      </w:r>
      <w:r>
        <w:rPr>
          <w:sz w:val="24"/>
          <w:lang w:bidi="ar"/>
        </w:rPr>
        <w:t>年</w:t>
      </w:r>
      <w:r>
        <w:rPr>
          <w:rFonts w:hint="eastAsia"/>
          <w:sz w:val="24"/>
          <w:lang w:val="en-US" w:eastAsia="zh-CN" w:bidi="ar"/>
        </w:rPr>
        <w:t>1</w:t>
      </w:r>
      <w:r>
        <w:rPr>
          <w:sz w:val="24"/>
          <w:lang w:bidi="ar"/>
        </w:rPr>
        <w:t>月</w:t>
      </w:r>
      <w:r>
        <w:rPr>
          <w:rFonts w:hint="eastAsia"/>
          <w:sz w:val="24"/>
          <w:lang w:val="en-US" w:eastAsia="zh-CN" w:bidi="ar"/>
        </w:rPr>
        <w:t>11</w:t>
      </w:r>
      <w:r>
        <w:rPr>
          <w:sz w:val="24"/>
          <w:lang w:bidi="ar"/>
        </w:rPr>
        <w:t>日（北京时间，法定节假日除外）。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rPr>
          <w:sz w:val="24"/>
          <w:lang w:bidi="ar"/>
        </w:rPr>
      </w:pPr>
      <w:r>
        <w:rPr>
          <w:sz w:val="24"/>
          <w:lang w:bidi="ar"/>
        </w:rPr>
        <w:t>3.方式：</w:t>
      </w:r>
      <w:r>
        <w:rPr>
          <w:rFonts w:hint="eastAsia"/>
          <w:sz w:val="24"/>
          <w:lang w:bidi="ar"/>
        </w:rPr>
        <w:t>供应商使用 CA 数字证书或电子营业执照登录北京市政府采购电子交易平</w:t>
      </w:r>
    </w:p>
    <w:p>
      <w:pPr>
        <w:widowControl/>
        <w:adjustRightInd w:val="0"/>
        <w:snapToGrid w:val="0"/>
        <w:spacing w:line="360" w:lineRule="auto"/>
        <w:rPr>
          <w:sz w:val="24"/>
          <w:lang w:bidi="ar"/>
        </w:rPr>
      </w:pPr>
      <w:r>
        <w:rPr>
          <w:rFonts w:hint="eastAsia"/>
          <w:sz w:val="24"/>
          <w:lang w:bidi="ar"/>
        </w:rPr>
        <w:t>台（http://zbcg-bjzc.zhongcy.com/bjczj-portal-site/index.html#/home）获取电子版招标文件。</w:t>
      </w:r>
    </w:p>
    <w:p>
      <w:pPr>
        <w:adjustRightInd w:val="0"/>
        <w:snapToGrid w:val="0"/>
        <w:spacing w:line="360" w:lineRule="auto"/>
        <w:ind w:firstLine="480" w:firstLineChars="200"/>
        <w:rPr>
          <w:b/>
          <w:sz w:val="24"/>
          <w:lang w:bidi="ar"/>
        </w:rPr>
      </w:pPr>
      <w:r>
        <w:rPr>
          <w:sz w:val="24"/>
          <w:lang w:bidi="ar"/>
        </w:rPr>
        <w:t>4.售价：0元。</w:t>
      </w:r>
      <w:bookmarkStart w:id="19" w:name="_Toc28359082"/>
      <w:bookmarkStart w:id="20" w:name="_Toc28359005"/>
      <w:bookmarkStart w:id="21" w:name="_Toc35393624"/>
      <w:bookmarkStart w:id="22" w:name="_Toc35393793"/>
    </w:p>
    <w:p>
      <w:pPr>
        <w:pStyle w:val="5"/>
        <w:widowControl/>
        <w:spacing w:before="0" w:line="360" w:lineRule="auto"/>
        <w:jc w:val="left"/>
        <w:rPr>
          <w:rFonts w:ascii="Times New Roman" w:hAnsi="Times New Roman" w:eastAsia="宋体"/>
          <w:sz w:val="24"/>
          <w:szCs w:val="24"/>
        </w:rPr>
      </w:pPr>
      <w:r>
        <w:rPr>
          <w:rFonts w:ascii="Times New Roman" w:hAnsi="Times New Roman" w:eastAsia="宋体"/>
          <w:sz w:val="24"/>
          <w:szCs w:val="24"/>
        </w:rPr>
        <w:t>四、提交投标文件</w:t>
      </w:r>
      <w:bookmarkEnd w:id="19"/>
      <w:bookmarkEnd w:id="20"/>
      <w:r>
        <w:rPr>
          <w:rFonts w:ascii="Times New Roman" w:hAnsi="Times New Roman" w:eastAsia="宋体"/>
          <w:sz w:val="24"/>
          <w:szCs w:val="24"/>
        </w:rPr>
        <w:t>截止时间、开标时间和地点</w:t>
      </w:r>
      <w:bookmarkEnd w:id="21"/>
      <w:bookmarkEnd w:id="22"/>
    </w:p>
    <w:p>
      <w:pPr>
        <w:spacing w:line="360" w:lineRule="auto"/>
        <w:ind w:firstLine="480" w:firstLineChars="200"/>
        <w:rPr>
          <w:bCs/>
          <w:sz w:val="24"/>
          <w:u w:val="single"/>
        </w:rPr>
      </w:pPr>
      <w:r>
        <w:rPr>
          <w:sz w:val="24"/>
          <w:lang w:bidi="ar"/>
        </w:rPr>
        <w:t>投标截止时间、开标时间：</w:t>
      </w:r>
      <w:r>
        <w:rPr>
          <w:rFonts w:hint="eastAsia"/>
          <w:sz w:val="24"/>
          <w:lang w:bidi="ar"/>
        </w:rPr>
        <w:t>202</w:t>
      </w:r>
      <w:r>
        <w:rPr>
          <w:rFonts w:hint="eastAsia"/>
          <w:sz w:val="24"/>
          <w:lang w:val="en-US" w:eastAsia="zh-CN" w:bidi="ar"/>
        </w:rPr>
        <w:t>4</w:t>
      </w:r>
      <w:r>
        <w:rPr>
          <w:sz w:val="24"/>
          <w:lang w:bidi="ar"/>
        </w:rPr>
        <w:t>年</w:t>
      </w:r>
      <w:r>
        <w:rPr>
          <w:rFonts w:hint="eastAsia"/>
          <w:sz w:val="24"/>
          <w:lang w:val="en-US" w:eastAsia="zh-CN" w:bidi="ar"/>
        </w:rPr>
        <w:t>1</w:t>
      </w:r>
      <w:r>
        <w:rPr>
          <w:sz w:val="24"/>
          <w:lang w:bidi="ar"/>
        </w:rPr>
        <w:t>月</w:t>
      </w:r>
      <w:r>
        <w:rPr>
          <w:rFonts w:hint="eastAsia"/>
          <w:sz w:val="24"/>
          <w:lang w:val="en-US" w:eastAsia="zh-CN" w:bidi="ar"/>
        </w:rPr>
        <w:t>25</w:t>
      </w:r>
      <w:r>
        <w:rPr>
          <w:sz w:val="24"/>
          <w:lang w:bidi="ar"/>
        </w:rPr>
        <w:t>日10</w:t>
      </w:r>
      <w:r>
        <w:rPr>
          <w:rFonts w:hint="eastAsia"/>
          <w:sz w:val="24"/>
          <w:lang w:bidi="ar"/>
        </w:rPr>
        <w:t>时</w:t>
      </w:r>
      <w:r>
        <w:rPr>
          <w:sz w:val="24"/>
          <w:lang w:bidi="ar"/>
        </w:rPr>
        <w:t>00</w:t>
      </w:r>
      <w:r>
        <w:rPr>
          <w:rFonts w:hint="eastAsia"/>
          <w:sz w:val="24"/>
          <w:lang w:bidi="ar"/>
        </w:rPr>
        <w:t>分</w:t>
      </w:r>
      <w:r>
        <w:rPr>
          <w:bCs/>
          <w:sz w:val="24"/>
          <w:lang w:bidi="ar"/>
        </w:rPr>
        <w:t>（北京时间）</w:t>
      </w:r>
      <w:r>
        <w:rPr>
          <w:iCs/>
          <w:sz w:val="24"/>
          <w:lang w:bidi="ar"/>
        </w:rPr>
        <w:t>。</w:t>
      </w:r>
    </w:p>
    <w:p>
      <w:pPr>
        <w:spacing w:line="360" w:lineRule="auto"/>
        <w:ind w:firstLine="480" w:firstLineChars="200"/>
        <w:rPr>
          <w:rFonts w:hint="eastAsia"/>
          <w:sz w:val="24"/>
          <w:lang w:eastAsia="zh-CN" w:bidi="ar"/>
        </w:rPr>
      </w:pPr>
      <w:r>
        <w:rPr>
          <w:sz w:val="24"/>
          <w:lang w:bidi="ar"/>
        </w:rPr>
        <w:t>地点：</w:t>
      </w:r>
      <w:r>
        <w:rPr>
          <w:rFonts w:hint="eastAsia"/>
          <w:sz w:val="24"/>
          <w:lang w:bidi="ar"/>
        </w:rPr>
        <w:t>北京市政府采购电子交易平台</w:t>
      </w:r>
      <w:r>
        <w:rPr>
          <w:rFonts w:hint="eastAsia"/>
          <w:sz w:val="24"/>
          <w:lang w:eastAsia="zh-CN" w:bidi="ar"/>
        </w:rPr>
        <w:t>。</w:t>
      </w:r>
    </w:p>
    <w:p>
      <w:pPr>
        <w:spacing w:line="360" w:lineRule="auto"/>
        <w:ind w:firstLine="480" w:firstLineChars="200"/>
        <w:rPr>
          <w:sz w:val="24"/>
          <w:lang w:val="en-US" w:bidi="ar"/>
        </w:rPr>
      </w:pPr>
      <w:r>
        <w:rPr>
          <w:rFonts w:hint="eastAsia"/>
          <w:sz w:val="24"/>
          <w:lang w:val="en-US" w:eastAsia="zh-CN" w:bidi="ar"/>
        </w:rPr>
        <w:t>投标人须至</w:t>
      </w:r>
      <w:r>
        <w:rPr>
          <w:rFonts w:hint="eastAsia"/>
          <w:sz w:val="24"/>
          <w:lang w:bidi="ar"/>
        </w:rPr>
        <w:t>北京国际贸易有限公司（北京市朝阳区建国门外大街甲3号）</w:t>
      </w:r>
      <w:r>
        <w:rPr>
          <w:rFonts w:hint="eastAsia"/>
          <w:sz w:val="24"/>
          <w:lang w:val="en-US" w:eastAsia="zh-CN" w:bidi="ar"/>
        </w:rPr>
        <w:t>第二开标室。</w:t>
      </w:r>
    </w:p>
    <w:p>
      <w:pPr>
        <w:pStyle w:val="5"/>
        <w:spacing w:before="0" w:line="360" w:lineRule="auto"/>
        <w:jc w:val="left"/>
        <w:rPr>
          <w:rFonts w:ascii="Times New Roman" w:hAnsi="Times New Roman" w:eastAsia="宋体"/>
          <w:sz w:val="24"/>
          <w:szCs w:val="24"/>
        </w:rPr>
      </w:pPr>
      <w:bookmarkStart w:id="23" w:name="_Toc35393794"/>
      <w:bookmarkStart w:id="24" w:name="_Toc35393625"/>
      <w:bookmarkStart w:id="25" w:name="_Toc28359007"/>
      <w:bookmarkStart w:id="26" w:name="_Toc28359084"/>
      <w:r>
        <w:rPr>
          <w:rFonts w:ascii="Times New Roman" w:hAnsi="Times New Roman" w:eastAsia="宋体"/>
          <w:sz w:val="24"/>
          <w:szCs w:val="24"/>
        </w:rPr>
        <w:t>五、公告期限</w:t>
      </w:r>
      <w:bookmarkEnd w:id="23"/>
      <w:bookmarkEnd w:id="24"/>
      <w:bookmarkEnd w:id="25"/>
      <w:bookmarkEnd w:id="26"/>
    </w:p>
    <w:p>
      <w:pPr>
        <w:spacing w:line="360" w:lineRule="auto"/>
        <w:ind w:firstLine="480" w:firstLineChars="200"/>
        <w:rPr>
          <w:kern w:val="0"/>
          <w:sz w:val="24"/>
        </w:rPr>
      </w:pPr>
      <w:r>
        <w:rPr>
          <w:kern w:val="0"/>
          <w:sz w:val="24"/>
        </w:rPr>
        <w:t>自本公告发布之日起5个工作日。</w:t>
      </w:r>
    </w:p>
    <w:p>
      <w:pPr>
        <w:pStyle w:val="5"/>
        <w:spacing w:before="0" w:line="360" w:lineRule="auto"/>
        <w:jc w:val="left"/>
        <w:rPr>
          <w:rFonts w:ascii="Times New Roman" w:hAnsi="Times New Roman" w:eastAsia="宋体"/>
          <w:sz w:val="24"/>
          <w:szCs w:val="24"/>
        </w:rPr>
      </w:pPr>
      <w:bookmarkStart w:id="27" w:name="_Toc35393626"/>
      <w:bookmarkStart w:id="28" w:name="_Toc35393795"/>
      <w:r>
        <w:rPr>
          <w:rFonts w:ascii="Times New Roman" w:hAnsi="Times New Roman" w:eastAsia="宋体"/>
          <w:sz w:val="24"/>
          <w:szCs w:val="24"/>
        </w:rPr>
        <w:t>六、其他补充事宜</w:t>
      </w:r>
      <w:bookmarkEnd w:id="27"/>
      <w:bookmarkEnd w:id="28"/>
    </w:p>
    <w:p>
      <w:pPr>
        <w:pStyle w:val="32"/>
        <w:spacing w:line="360" w:lineRule="auto"/>
        <w:ind w:left="0" w:leftChars="0" w:firstLine="0" w:firstLineChars="0"/>
      </w:pPr>
      <w:r>
        <w:rPr>
          <w:rFonts w:hint="eastAsia"/>
        </w:rPr>
        <w:t xml:space="preserve">   </w:t>
      </w:r>
      <w:r>
        <w:t xml:space="preserve"> 1.本项目需要落实的政府采购政策：</w:t>
      </w:r>
      <w:r>
        <w:rPr>
          <w:rFonts w:hint="eastAsia"/>
        </w:rPr>
        <w:t>节约能源、保护环境、促进中小企业及监狱企业发展、促进残疾人就业、支持乡村产业振兴等，政府采购政策具体落实情况详见招标文件。</w:t>
      </w:r>
    </w:p>
    <w:p>
      <w:pPr>
        <w:spacing w:line="360" w:lineRule="auto"/>
        <w:ind w:firstLine="482" w:firstLineChars="200"/>
        <w:rPr>
          <w:b/>
          <w:bCs/>
          <w:sz w:val="24"/>
          <w:lang w:bidi="ar"/>
        </w:rPr>
      </w:pPr>
      <w:r>
        <w:rPr>
          <w:rFonts w:hint="eastAsia"/>
          <w:b/>
          <w:bCs/>
          <w:sz w:val="24"/>
          <w:lang w:bidi="ar"/>
        </w:rPr>
        <w:t>2</w:t>
      </w:r>
      <w:r>
        <w:rPr>
          <w:b/>
          <w:bCs/>
          <w:sz w:val="24"/>
          <w:lang w:bidi="ar"/>
        </w:rPr>
        <w:t xml:space="preserve">. </w:t>
      </w:r>
      <w:r>
        <w:rPr>
          <w:rFonts w:hint="eastAsia"/>
          <w:b/>
          <w:bCs/>
          <w:sz w:val="24"/>
          <w:lang w:bidi="ar"/>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sz w:val="24"/>
          <w:lang w:bidi="ar"/>
        </w:rPr>
      </w:pPr>
      <w:r>
        <w:rPr>
          <w:rFonts w:hint="eastAsia"/>
          <w:sz w:val="24"/>
          <w:lang w:bidi="ar"/>
        </w:rPr>
        <w:t>电子营业执照服务热线 400-699-7000</w:t>
      </w:r>
    </w:p>
    <w:p>
      <w:pPr>
        <w:adjustRightInd w:val="0"/>
        <w:snapToGrid w:val="0"/>
        <w:spacing w:line="360" w:lineRule="auto"/>
        <w:ind w:firstLine="480" w:firstLineChars="200"/>
        <w:rPr>
          <w:sz w:val="24"/>
          <w:lang w:bidi="ar"/>
        </w:rPr>
      </w:pPr>
      <w:r>
        <w:rPr>
          <w:rFonts w:hint="eastAsia"/>
          <w:sz w:val="24"/>
          <w:lang w:bidi="ar"/>
        </w:rPr>
        <w:t xml:space="preserve">技术支持服务热线 </w:t>
      </w:r>
      <w:r>
        <w:rPr>
          <w:sz w:val="24"/>
          <w:lang w:bidi="ar"/>
        </w:rPr>
        <w:t xml:space="preserve">    010-86483801</w:t>
      </w:r>
    </w:p>
    <w:p>
      <w:pPr>
        <w:adjustRightInd w:val="0"/>
        <w:snapToGrid w:val="0"/>
        <w:spacing w:line="360" w:lineRule="auto"/>
        <w:ind w:firstLine="480" w:firstLineChars="200"/>
        <w:rPr>
          <w:sz w:val="24"/>
          <w:lang w:bidi="ar"/>
        </w:rPr>
      </w:pPr>
      <w:r>
        <w:rPr>
          <w:rFonts w:hint="eastAsia"/>
          <w:sz w:val="24"/>
          <w:lang w:bidi="ar"/>
        </w:rPr>
        <w:t>2</w:t>
      </w:r>
      <w:r>
        <w:rPr>
          <w:sz w:val="24"/>
          <w:lang w:bidi="ar"/>
        </w:rPr>
        <w:t>.1</w:t>
      </w:r>
      <w:r>
        <w:rPr>
          <w:rFonts w:hint="eastAsia"/>
          <w:sz w:val="24"/>
          <w:lang w:bidi="ar"/>
        </w:rPr>
        <w:t>办理 CA 数字证书或电子营业执照</w:t>
      </w:r>
    </w:p>
    <w:p>
      <w:pPr>
        <w:widowControl/>
        <w:adjustRightInd w:val="0"/>
        <w:snapToGrid w:val="0"/>
        <w:spacing w:line="360" w:lineRule="auto"/>
        <w:ind w:firstLine="480" w:firstLineChars="200"/>
        <w:rPr>
          <w:sz w:val="24"/>
          <w:lang w:bidi="ar"/>
        </w:rPr>
      </w:pPr>
      <w:r>
        <w:rPr>
          <w:rFonts w:hint="eastAsia"/>
          <w:sz w:val="24"/>
          <w:lang w:bidi="ar"/>
        </w:rPr>
        <w:t>供应商登录北京市政府采购电子交易平台查阅 “用户指南”—“操作指南”—“市场主体 CA 办理操作流程指引”/“电子营业执照使用指南”，按照程序要求办理。</w:t>
      </w:r>
    </w:p>
    <w:p>
      <w:pPr>
        <w:widowControl/>
        <w:adjustRightInd w:val="0"/>
        <w:snapToGrid w:val="0"/>
        <w:spacing w:line="360" w:lineRule="auto"/>
        <w:ind w:firstLine="480" w:firstLineChars="200"/>
        <w:rPr>
          <w:rFonts w:asciiTheme="minorEastAsia" w:hAnsiTheme="minorEastAsia" w:eastAsiaTheme="minorEastAsia"/>
          <w:sz w:val="24"/>
          <w:lang w:bidi="ar"/>
        </w:rPr>
      </w:pPr>
      <w:r>
        <w:rPr>
          <w:rFonts w:hint="eastAsia"/>
          <w:sz w:val="24"/>
          <w:lang w:bidi="ar"/>
        </w:rPr>
        <w:t>2</w:t>
      </w:r>
      <w:r>
        <w:rPr>
          <w:sz w:val="24"/>
          <w:lang w:bidi="ar"/>
        </w:rPr>
        <w:t>.2</w:t>
      </w:r>
      <w:r>
        <w:rPr>
          <w:rFonts w:asciiTheme="minorEastAsia" w:hAnsiTheme="minorEastAsia" w:eastAsiaTheme="minorEastAsia"/>
          <w:sz w:val="24"/>
          <w:lang w:bidi="ar"/>
        </w:rPr>
        <w:t>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pStyle w:val="2"/>
        <w:spacing w:line="360" w:lineRule="auto"/>
        <w:ind w:firstLine="480"/>
        <w:rPr>
          <w:lang w:bidi="ar"/>
        </w:rPr>
      </w:pPr>
      <w:r>
        <w:rPr>
          <w:rFonts w:hint="eastAsia"/>
          <w:lang w:bidi="ar"/>
        </w:rPr>
        <w:t>2</w:t>
      </w:r>
      <w:r>
        <w:rPr>
          <w:lang w:bidi="ar"/>
        </w:rPr>
        <w:t>.3驱动、客户端下载</w:t>
      </w:r>
    </w:p>
    <w:p>
      <w:pPr>
        <w:widowControl/>
        <w:adjustRightInd w:val="0"/>
        <w:snapToGrid w:val="0"/>
        <w:spacing w:line="360" w:lineRule="auto"/>
        <w:ind w:firstLine="480" w:firstLineChars="200"/>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pStyle w:val="2"/>
        <w:spacing w:line="360" w:lineRule="auto"/>
        <w:ind w:firstLine="480"/>
        <w:rPr>
          <w:lang w:bidi="ar"/>
        </w:rPr>
      </w:pPr>
      <w:r>
        <w:rPr>
          <w:rFonts w:hint="eastAsia"/>
          <w:lang w:bidi="ar"/>
        </w:rPr>
        <w:t>2</w:t>
      </w:r>
      <w:r>
        <w:rPr>
          <w:lang w:bidi="ar"/>
        </w:rPr>
        <w:t>.4 获取电子招标文件</w:t>
      </w:r>
    </w:p>
    <w:p>
      <w:pPr>
        <w:adjustRightInd w:val="0"/>
        <w:snapToGrid w:val="0"/>
        <w:spacing w:line="360" w:lineRule="auto"/>
        <w:ind w:firstLine="480" w:firstLineChars="200"/>
        <w:rPr>
          <w:sz w:val="24"/>
          <w:lang w:bidi="ar"/>
        </w:rPr>
      </w:pPr>
      <w:r>
        <w:rPr>
          <w:rFonts w:hint="eastAsia"/>
          <w:sz w:val="24"/>
          <w:lang w:bidi="ar"/>
        </w:rPr>
        <w:t>供应商使用 CA 数字证书或电子营业执照登录北京市政府采购电子交易平台获取电子招标文件。</w:t>
      </w:r>
      <w:r>
        <w:rPr>
          <w:sz w:val="24"/>
          <w:lang w:bidi="ar"/>
        </w:rPr>
        <w:t>未在规定期限内通过北京市政府采购电子交易平台获取招标文件的</w:t>
      </w:r>
      <w:r>
        <w:rPr>
          <w:b/>
          <w:sz w:val="24"/>
          <w:lang w:bidi="ar"/>
        </w:rPr>
        <w:t>投标无效</w:t>
      </w:r>
      <w:r>
        <w:rPr>
          <w:sz w:val="24"/>
          <w:lang w:bidi="ar"/>
        </w:rPr>
        <w:t>。</w:t>
      </w:r>
    </w:p>
    <w:p>
      <w:pPr>
        <w:pStyle w:val="34"/>
        <w:spacing w:line="360" w:lineRule="auto"/>
        <w:ind w:firstLine="480" w:firstLineChars="200"/>
        <w:rPr>
          <w:rFonts w:ascii="Times New Roman" w:hAnsi="Times New Roman"/>
          <w:b w:val="0"/>
          <w:lang w:bidi="ar"/>
        </w:rPr>
      </w:pPr>
      <w:r>
        <w:rPr>
          <w:rFonts w:hint="eastAsia" w:ascii="Times New Roman" w:hAnsi="Times New Roman"/>
          <w:b w:val="0"/>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pStyle w:val="2"/>
        <w:spacing w:line="360" w:lineRule="auto"/>
        <w:ind w:firstLine="480"/>
        <w:rPr>
          <w:lang w:bidi="ar"/>
        </w:rPr>
      </w:pPr>
      <w:r>
        <w:rPr>
          <w:rFonts w:hint="eastAsia"/>
          <w:lang w:bidi="ar"/>
        </w:rPr>
        <w:t xml:space="preserve">2.5 </w:t>
      </w:r>
      <w:r>
        <w:rPr>
          <w:lang w:bidi="ar"/>
        </w:rPr>
        <w:t>编制电子投标文件</w:t>
      </w:r>
    </w:p>
    <w:p>
      <w:pPr>
        <w:spacing w:line="360" w:lineRule="auto"/>
        <w:ind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pStyle w:val="2"/>
        <w:spacing w:line="360" w:lineRule="auto"/>
        <w:ind w:firstLine="480"/>
        <w:rPr>
          <w:lang w:val="zh-TW" w:bidi="ar"/>
        </w:rPr>
      </w:pPr>
      <w:r>
        <w:rPr>
          <w:rFonts w:hint="eastAsia"/>
          <w:lang w:bidi="ar"/>
        </w:rPr>
        <w:t xml:space="preserve">2.6 </w:t>
      </w:r>
      <w:r>
        <w:rPr>
          <w:lang w:val="zh-TW" w:bidi="ar"/>
        </w:rPr>
        <w:t>提交电子投标文件</w:t>
      </w:r>
    </w:p>
    <w:p>
      <w:pPr>
        <w:spacing w:line="360" w:lineRule="auto"/>
        <w:ind w:firstLine="480"/>
        <w:rPr>
          <w:sz w:val="24"/>
          <w:lang w:bidi="ar"/>
        </w:rPr>
      </w:pPr>
      <w:r>
        <w:rPr>
          <w:sz w:val="24"/>
          <w:lang w:bidi="ar"/>
        </w:rPr>
        <w:t>供应商应于投标截止时间前在北京市政府采购电子交易平台提交电子投标文件，上传电子投标文件过程中请保持与互联网的连接畅通。</w:t>
      </w:r>
    </w:p>
    <w:p>
      <w:pPr>
        <w:pStyle w:val="2"/>
        <w:spacing w:line="360" w:lineRule="auto"/>
        <w:ind w:firstLine="480"/>
        <w:rPr>
          <w:lang w:val="zh-TW" w:bidi="ar"/>
        </w:rPr>
      </w:pPr>
      <w:r>
        <w:rPr>
          <w:rFonts w:hint="eastAsia"/>
          <w:lang w:bidi="ar"/>
        </w:rPr>
        <w:t xml:space="preserve">2.7 </w:t>
      </w:r>
      <w:r>
        <w:rPr>
          <w:lang w:val="zh-TW" w:bidi="ar"/>
        </w:rPr>
        <w:t>电子开标</w:t>
      </w:r>
    </w:p>
    <w:p>
      <w:pPr>
        <w:pStyle w:val="32"/>
        <w:spacing w:line="360" w:lineRule="auto"/>
        <w:ind w:left="0" w:leftChars="0" w:firstLine="480"/>
        <w:rPr>
          <w:rFonts w:hint="eastAsia"/>
          <w:lang w:val="zh-TW" w:bidi="ar"/>
        </w:rPr>
      </w:pPr>
      <w:r>
        <w:rPr>
          <w:rFonts w:hint="eastAsia"/>
          <w:lang w:val="zh-TW" w:bidi="ar"/>
        </w:rPr>
        <w:t>供应商在开标地点使用 CA 数字证书或电子营业执照登录北京市政府采购电子交易平台进行电子开标。</w:t>
      </w:r>
    </w:p>
    <w:p>
      <w:pPr>
        <w:spacing w:line="360" w:lineRule="auto"/>
        <w:ind w:firstLine="480" w:firstLineChars="200"/>
        <w:rPr>
          <w:rFonts w:hint="eastAsia"/>
          <w:sz w:val="24"/>
        </w:rPr>
      </w:pPr>
      <w:r>
        <w:rPr>
          <w:rFonts w:hint="eastAsia"/>
          <w:sz w:val="24"/>
          <w:lang w:val="en-US" w:eastAsia="zh-CN"/>
        </w:rPr>
        <w:t>3</w:t>
      </w:r>
      <w:r>
        <w:rPr>
          <w:sz w:val="24"/>
        </w:rPr>
        <w:t xml:space="preserve">  </w:t>
      </w:r>
      <w:r>
        <w:rPr>
          <w:rFonts w:hint="eastAsia"/>
          <w:sz w:val="24"/>
        </w:rPr>
        <w:t>为了确保服务质量，评标将遵循“兼投不兼中”原则，即一个投标人最多只能成为一个包的中标候选人。评标委员会将按照1、2、3、4包的顺序进行评标。如果某包排名第一的投标人已经成为前面任意一包的中标候选人，则该包由排名第二的投标人作为中标候选人，以此类推。若某包的所有参与评分的投标人已经成为前面任意一包的中标候选人，则该包无法推荐中标候选人，需重新采购。</w:t>
      </w:r>
    </w:p>
    <w:p>
      <w:pPr>
        <w:spacing w:line="360" w:lineRule="auto"/>
        <w:ind w:firstLine="480" w:firstLineChars="200"/>
        <w:rPr>
          <w:rFonts w:hint="eastAsia"/>
          <w:sz w:val="24"/>
          <w:lang w:eastAsia="zh-CN"/>
        </w:rPr>
      </w:pPr>
      <w:r>
        <w:rPr>
          <w:rFonts w:hint="eastAsia"/>
          <w:sz w:val="24"/>
          <w:lang w:eastAsia="zh-CN"/>
        </w:rPr>
        <w:t>4.项目编号：</w:t>
      </w:r>
    </w:p>
    <w:p>
      <w:pPr>
        <w:spacing w:line="360" w:lineRule="auto"/>
        <w:ind w:firstLine="480" w:firstLineChars="200"/>
        <w:rPr>
          <w:rFonts w:hint="eastAsia"/>
          <w:sz w:val="24"/>
          <w:lang w:eastAsia="zh-CN"/>
        </w:rPr>
      </w:pPr>
      <w:r>
        <w:rPr>
          <w:rFonts w:hint="eastAsia"/>
          <w:sz w:val="24"/>
          <w:lang w:eastAsia="zh-CN"/>
        </w:rPr>
        <w:t>2024年扣押违法车辆停车保管服务项目（包1）0686-2311QG104380Z/1</w:t>
      </w:r>
    </w:p>
    <w:p>
      <w:pPr>
        <w:spacing w:line="360" w:lineRule="auto"/>
        <w:ind w:firstLine="480" w:firstLineChars="200"/>
        <w:rPr>
          <w:rFonts w:hint="eastAsia"/>
          <w:sz w:val="24"/>
          <w:lang w:eastAsia="zh-CN"/>
        </w:rPr>
      </w:pPr>
      <w:r>
        <w:rPr>
          <w:rFonts w:hint="eastAsia"/>
          <w:sz w:val="24"/>
          <w:lang w:eastAsia="zh-CN"/>
        </w:rPr>
        <w:t>2024年扣押违法车辆停车保管服务项目（包2）0686-2311QG104380Z/2</w:t>
      </w:r>
    </w:p>
    <w:p>
      <w:pPr>
        <w:spacing w:line="360" w:lineRule="auto"/>
        <w:ind w:firstLine="480" w:firstLineChars="200"/>
        <w:rPr>
          <w:rFonts w:hint="eastAsia"/>
          <w:sz w:val="24"/>
          <w:lang w:eastAsia="zh-CN"/>
        </w:rPr>
      </w:pPr>
      <w:r>
        <w:rPr>
          <w:rFonts w:hint="eastAsia"/>
          <w:sz w:val="24"/>
          <w:lang w:eastAsia="zh-CN"/>
        </w:rPr>
        <w:t>2024年扣押违法车辆停车保管服务项目（包3）0686-2311QG104380Z/3</w:t>
      </w:r>
    </w:p>
    <w:p>
      <w:pPr>
        <w:spacing w:line="360" w:lineRule="auto"/>
        <w:ind w:firstLine="480" w:firstLineChars="200"/>
        <w:rPr>
          <w:rFonts w:hint="eastAsia"/>
          <w:lang w:val="zh-TW" w:bidi="ar"/>
        </w:rPr>
      </w:pPr>
      <w:r>
        <w:rPr>
          <w:rFonts w:hint="eastAsia"/>
          <w:sz w:val="24"/>
          <w:lang w:eastAsia="zh-CN"/>
        </w:rPr>
        <w:t>2024年扣押违法车辆停车保管服务项目（包4）0686-2311QG104380Z/4</w:t>
      </w:r>
      <w:bookmarkStart w:id="1008" w:name="_GoBack"/>
      <w:bookmarkEnd w:id="1008"/>
    </w:p>
    <w:p>
      <w:pPr>
        <w:pStyle w:val="5"/>
        <w:spacing w:before="0" w:line="360" w:lineRule="auto"/>
        <w:jc w:val="left"/>
        <w:rPr>
          <w:rFonts w:ascii="Times New Roman" w:hAnsi="Times New Roman" w:eastAsia="宋体"/>
          <w:sz w:val="24"/>
          <w:szCs w:val="24"/>
        </w:rPr>
      </w:pPr>
      <w:bookmarkStart w:id="29" w:name="_Toc28359085"/>
      <w:bookmarkStart w:id="30" w:name="_Toc35393796"/>
      <w:bookmarkStart w:id="31" w:name="_Toc28359008"/>
      <w:bookmarkStart w:id="32" w:name="_Toc35393627"/>
      <w:r>
        <w:rPr>
          <w:rFonts w:ascii="Times New Roman" w:hAnsi="Times New Roman" w:eastAsia="宋体"/>
          <w:sz w:val="24"/>
          <w:szCs w:val="24"/>
        </w:rPr>
        <w:t>七、对本次招标提出询问，请按以下方式联系。</w:t>
      </w:r>
      <w:bookmarkEnd w:id="29"/>
      <w:bookmarkEnd w:id="30"/>
      <w:bookmarkEnd w:id="31"/>
      <w:bookmarkEnd w:id="32"/>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33" w:name="_Toc28359086"/>
      <w:bookmarkStart w:id="34" w:name="_Toc28359009"/>
      <w:r>
        <w:rPr>
          <w:rFonts w:hint="eastAsia"/>
          <w:sz w:val="24"/>
        </w:rPr>
        <w:t>名    称：</w:t>
      </w:r>
      <w:r>
        <w:rPr>
          <w:sz w:val="24"/>
        </w:rPr>
        <w:t xml:space="preserve"> </w:t>
      </w:r>
      <w:r>
        <w:rPr>
          <w:rFonts w:hint="eastAsia" w:ascii="宋体" w:hAnsi="宋体" w:cs="宋体"/>
          <w:sz w:val="24"/>
          <w:lang w:eastAsia="zh-CN"/>
        </w:rPr>
        <w:t>北京市通州区交通局</w:t>
      </w:r>
    </w:p>
    <w:p>
      <w:pPr>
        <w:spacing w:line="360" w:lineRule="auto"/>
        <w:ind w:left="1079" w:leftChars="371" w:hanging="300" w:hangingChars="125"/>
        <w:jc w:val="left"/>
        <w:rPr>
          <w:sz w:val="24"/>
        </w:rPr>
      </w:pPr>
      <w:r>
        <w:rPr>
          <w:rFonts w:hint="eastAsia"/>
          <w:sz w:val="24"/>
        </w:rPr>
        <w:t>地    址：</w:t>
      </w:r>
      <w:r>
        <w:rPr>
          <w:sz w:val="24"/>
        </w:rPr>
        <w:t xml:space="preserve"> </w:t>
      </w:r>
      <w:r>
        <w:rPr>
          <w:rFonts w:hint="eastAsia" w:ascii="宋体" w:hAnsi="宋体" w:cs="宋体"/>
          <w:sz w:val="24"/>
        </w:rPr>
        <w:t>北京市通州区通朝大街310号</w:t>
      </w:r>
    </w:p>
    <w:p>
      <w:pPr>
        <w:spacing w:line="360" w:lineRule="auto"/>
        <w:ind w:left="1079" w:leftChars="371" w:hanging="300" w:hangingChars="125"/>
        <w:jc w:val="left"/>
        <w:rPr>
          <w:rFonts w:hint="eastAsia" w:ascii="宋体" w:hAnsi="宋体" w:cs="宋体"/>
          <w:sz w:val="24"/>
          <w:highlight w:val="none"/>
          <w:u w:val="single"/>
          <w:lang w:val="en-US" w:eastAsia="zh-CN"/>
        </w:rPr>
      </w:pPr>
      <w:r>
        <w:rPr>
          <w:rFonts w:hint="eastAsia"/>
          <w:sz w:val="24"/>
        </w:rPr>
        <w:t>联系方式：</w:t>
      </w:r>
      <w:r>
        <w:rPr>
          <w:rFonts w:hint="eastAsia"/>
          <w:sz w:val="24"/>
          <w:lang w:val="en-US" w:eastAsia="zh-CN"/>
        </w:rPr>
        <w:t xml:space="preserve">刘士虎 </w:t>
      </w:r>
      <w:r>
        <w:rPr>
          <w:rFonts w:hint="eastAsia" w:ascii="宋体" w:hAnsi="宋体" w:cs="宋体"/>
          <w:sz w:val="24"/>
          <w:highlight w:val="none"/>
          <w:lang w:val="en-US" w:eastAsia="zh-CN"/>
        </w:rPr>
        <w:t>81568455</w:t>
      </w:r>
    </w:p>
    <w:p>
      <w:pPr>
        <w:spacing w:line="360" w:lineRule="auto"/>
        <w:ind w:left="1080" w:leftChars="371" w:hanging="301" w:hangingChars="125"/>
        <w:jc w:val="left"/>
        <w:rPr>
          <w:b/>
          <w:sz w:val="24"/>
        </w:rPr>
      </w:pPr>
      <w:r>
        <w:rPr>
          <w:b/>
          <w:sz w:val="24"/>
        </w:rPr>
        <w:t>2.采购代理机构信息</w:t>
      </w:r>
      <w:bookmarkEnd w:id="33"/>
      <w:bookmarkEnd w:id="34"/>
    </w:p>
    <w:p>
      <w:pPr>
        <w:spacing w:line="360" w:lineRule="auto"/>
        <w:ind w:left="1079" w:leftChars="371" w:hanging="300" w:hangingChars="125"/>
        <w:jc w:val="left"/>
        <w:rPr>
          <w:sz w:val="24"/>
        </w:rPr>
      </w:pPr>
      <w:bookmarkStart w:id="35" w:name="_Toc28359087"/>
      <w:bookmarkStart w:id="36" w:name="_Toc28359010"/>
      <w:r>
        <w:rPr>
          <w:sz w:val="24"/>
        </w:rPr>
        <w:t>名    称：</w:t>
      </w:r>
      <w:r>
        <w:rPr>
          <w:rFonts w:hint="eastAsia" w:ascii="宋体" w:hAnsi="宋体"/>
          <w:sz w:val="24"/>
        </w:rPr>
        <w:t>北京国际贸易有限公司</w:t>
      </w:r>
    </w:p>
    <w:p>
      <w:pPr>
        <w:spacing w:line="360" w:lineRule="auto"/>
        <w:ind w:left="1079" w:leftChars="371" w:hanging="300" w:hangingChars="125"/>
        <w:jc w:val="left"/>
        <w:rPr>
          <w:sz w:val="24"/>
        </w:rPr>
      </w:pPr>
      <w:r>
        <w:rPr>
          <w:sz w:val="24"/>
        </w:rPr>
        <w:t>地    址：</w:t>
      </w:r>
      <w:r>
        <w:rPr>
          <w:rFonts w:hint="eastAsia" w:ascii="宋体" w:hAnsi="宋体"/>
          <w:sz w:val="24"/>
        </w:rPr>
        <w:t>北京市朝阳区建外大街甲</w:t>
      </w:r>
      <w:r>
        <w:rPr>
          <w:rFonts w:hint="eastAsia" w:ascii="宋体" w:hAnsi="宋体"/>
          <w:sz w:val="24"/>
          <w:lang w:val="en-US" w:eastAsia="zh-CN"/>
        </w:rPr>
        <w:t>3</w:t>
      </w:r>
      <w:r>
        <w:rPr>
          <w:rFonts w:hint="eastAsia" w:ascii="宋体" w:hAnsi="宋体"/>
          <w:sz w:val="24"/>
        </w:rPr>
        <w:t>号</w:t>
      </w:r>
    </w:p>
    <w:p>
      <w:pPr>
        <w:spacing w:line="360" w:lineRule="auto"/>
        <w:ind w:left="1079" w:leftChars="371" w:hanging="300" w:hangingChars="125"/>
        <w:jc w:val="left"/>
        <w:rPr>
          <w:sz w:val="24"/>
          <w:u w:val="single"/>
        </w:rPr>
      </w:pPr>
      <w:r>
        <w:rPr>
          <w:sz w:val="24"/>
        </w:rPr>
        <w:t>联系方式：</w:t>
      </w:r>
      <w:r>
        <w:rPr>
          <w:rFonts w:hint="eastAsia"/>
          <w:sz w:val="24"/>
          <w:lang w:eastAsia="zh-CN"/>
        </w:rPr>
        <w:t>bjguomao@163.com</w:t>
      </w:r>
      <w:r>
        <w:rPr>
          <w:rFonts w:hint="eastAsia" w:ascii="宋体" w:hAnsi="宋体"/>
          <w:bCs/>
          <w:sz w:val="24"/>
        </w:rPr>
        <w:t xml:space="preserve">                </w:t>
      </w:r>
    </w:p>
    <w:p>
      <w:pPr>
        <w:spacing w:line="360" w:lineRule="auto"/>
        <w:ind w:firstLine="723" w:firstLineChars="300"/>
        <w:rPr>
          <w:b/>
          <w:sz w:val="24"/>
          <w:u w:val="single"/>
        </w:rPr>
      </w:pPr>
      <w:r>
        <w:rPr>
          <w:b/>
          <w:sz w:val="24"/>
        </w:rPr>
        <w:t>3.项目联系方式</w:t>
      </w:r>
      <w:bookmarkEnd w:id="35"/>
      <w:bookmarkEnd w:id="36"/>
    </w:p>
    <w:p>
      <w:pPr>
        <w:pStyle w:val="25"/>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hint="eastAsia" w:hAnsi="宋体"/>
          <w:bCs/>
          <w:sz w:val="24"/>
          <w:szCs w:val="24"/>
          <w:lang w:eastAsia="zh-CN"/>
        </w:rPr>
        <w:t>沈添玉、孙权</w:t>
      </w:r>
    </w:p>
    <w:p>
      <w:pPr>
        <w:pStyle w:val="25"/>
        <w:spacing w:line="360" w:lineRule="auto"/>
        <w:ind w:firstLine="720" w:firstLineChars="300"/>
        <w:rPr>
          <w:rFonts w:hint="default" w:ascii="Times New Roman" w:hAnsi="Times New Roman"/>
          <w:sz w:val="24"/>
          <w:szCs w:val="24"/>
        </w:rPr>
      </w:pPr>
      <w:r>
        <w:rPr>
          <w:rFonts w:hint="default" w:ascii="Times New Roman" w:hAnsi="Times New Roman"/>
          <w:sz w:val="24"/>
        </w:rPr>
        <w:t>电      话：</w:t>
      </w:r>
      <w:r>
        <w:rPr>
          <w:rFonts w:hint="eastAsia" w:hAnsi="宋体"/>
          <w:sz w:val="24"/>
          <w:szCs w:val="24"/>
          <w:lang w:eastAsia="zh-CN"/>
        </w:rPr>
        <w:t>010-85343411、010-85343472</w:t>
      </w:r>
    </w:p>
    <w:p>
      <w:pPr>
        <w:pStyle w:val="25"/>
        <w:spacing w:line="360" w:lineRule="auto"/>
        <w:ind w:firstLine="720" w:firstLineChars="300"/>
        <w:rPr>
          <w:rFonts w:hint="default" w:ascii="Times New Roman" w:hAnsi="Times New Roman"/>
          <w:sz w:val="24"/>
          <w:szCs w:val="24"/>
        </w:rPr>
      </w:pPr>
      <w:r>
        <w:rPr>
          <w:rFonts w:hAnsi="宋体"/>
          <w:bCs/>
          <w:sz w:val="24"/>
        </w:rPr>
        <w:t xml:space="preserve">           </w:t>
      </w:r>
    </w:p>
    <w:p>
      <w:pPr>
        <w:spacing w:line="360" w:lineRule="auto"/>
        <w:jc w:val="center"/>
        <w:outlineLvl w:val="0"/>
        <w:rPr>
          <w:b/>
          <w:sz w:val="32"/>
          <w:szCs w:val="32"/>
        </w:rPr>
      </w:pPr>
      <w:bookmarkStart w:id="37" w:name="_Toc305158854"/>
      <w:bookmarkStart w:id="38" w:name="_Toc353825548"/>
      <w:bookmarkStart w:id="39" w:name="_Toc353873938"/>
      <w:bookmarkStart w:id="40" w:name="_Toc226965856"/>
      <w:bookmarkStart w:id="41" w:name="_Toc127161488"/>
      <w:bookmarkStart w:id="42" w:name="_Toc195842950"/>
      <w:bookmarkStart w:id="43" w:name="_Toc305158928"/>
      <w:bookmarkStart w:id="44" w:name="_Toc265228423"/>
      <w:bookmarkStart w:id="45" w:name="_Toc264969275"/>
      <w:bookmarkStart w:id="46" w:name="_Toc512937850"/>
      <w:bookmarkStart w:id="47" w:name="_Toc150774783"/>
      <w:bookmarkStart w:id="48" w:name="_Toc127151777"/>
      <w:r>
        <w:rPr>
          <w:b/>
          <w:sz w:val="36"/>
          <w:szCs w:val="36"/>
        </w:rPr>
        <w:br w:type="page"/>
      </w:r>
      <w:bookmarkStart w:id="49" w:name="_Toc31117"/>
      <w:r>
        <w:rPr>
          <w:b/>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pPr>
        <w:pStyle w:val="5"/>
        <w:tabs>
          <w:tab w:val="center" w:pos="4592"/>
          <w:tab w:val="left" w:pos="7860"/>
        </w:tabs>
        <w:spacing w:before="0" w:line="360" w:lineRule="auto"/>
        <w:rPr>
          <w:rFonts w:ascii="Times New Roman" w:hAnsi="Times New Roman" w:eastAsia="宋体"/>
          <w:sz w:val="28"/>
        </w:rPr>
      </w:pPr>
      <w:bookmarkStart w:id="50" w:name="_Toc164229214"/>
      <w:bookmarkStart w:id="51" w:name="_Toc226337215"/>
      <w:bookmarkStart w:id="52" w:name="_Toc150774619"/>
      <w:bookmarkStart w:id="53" w:name="_Toc150480757"/>
      <w:bookmarkStart w:id="54" w:name="_Toc195842884"/>
      <w:bookmarkStart w:id="55" w:name="_Toc520356144"/>
      <w:bookmarkStart w:id="56" w:name="_Toc150774724"/>
      <w:bookmarkStart w:id="57" w:name="_Toc142311021"/>
      <w:bookmarkStart w:id="58" w:name="_Toc226309763"/>
      <w:bookmarkStart w:id="59" w:name="_Toc151193761"/>
      <w:bookmarkStart w:id="60" w:name="_Toc149720812"/>
      <w:bookmarkStart w:id="61" w:name="_Toc164229360"/>
      <w:bookmarkStart w:id="62" w:name="_Toc226965792"/>
      <w:bookmarkStart w:id="63" w:name="_Toc151193617"/>
      <w:bookmarkStart w:id="64" w:name="_Toc226965709"/>
      <w:bookmarkStart w:id="65" w:name="_Toc127151519"/>
      <w:bookmarkStart w:id="66" w:name="_Toc151193833"/>
      <w:bookmarkStart w:id="67" w:name="_Toc151190146"/>
      <w:bookmarkStart w:id="68" w:name="_Toc164608788"/>
      <w:bookmarkStart w:id="69" w:name="_Toc127161433"/>
      <w:bookmarkStart w:id="70" w:name="_Toc164351613"/>
      <w:bookmarkStart w:id="71" w:name="_Toc151193689"/>
      <w:bookmarkStart w:id="72" w:name="_Toc151193907"/>
      <w:bookmarkStart w:id="73" w:name="_Toc150509270"/>
      <w:bookmarkStart w:id="74" w:name="_Toc164608633"/>
      <w:bookmarkStart w:id="75" w:name="_Toc127151720"/>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rFonts w:hint="eastAsia" w:ascii="新宋体" w:hAnsi="新宋体" w:eastAsia="新宋体" w:cs="新宋体"/>
          <w:sz w:val="24"/>
        </w:rPr>
        <w:t>■</w:t>
      </w:r>
      <w:r>
        <w:rPr>
          <w:sz w:val="24"/>
        </w:rPr>
        <w:t>”的选项意为适用于本项目，标记“</w:t>
      </w:r>
      <w:r>
        <w:rPr>
          <w:rFonts w:hint="eastAsia" w:ascii="宋体" w:hAnsi="宋体" w:cs="宋体"/>
          <w:sz w:val="24"/>
        </w:rPr>
        <w:t>□</w:t>
      </w:r>
      <w:r>
        <w:rPr>
          <w:sz w:val="24"/>
        </w:rPr>
        <w:t>”的选项意为不适用于本项目。</w:t>
      </w:r>
    </w:p>
    <w:tbl>
      <w:tblPr>
        <w:tblStyle w:val="56"/>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701"/>
        <w:gridCol w:w="29"/>
        <w:gridCol w:w="6625"/>
        <w:gridCol w:w="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93" w:type="dxa"/>
            <w:vAlign w:val="center"/>
          </w:tcPr>
          <w:p>
            <w:pPr>
              <w:jc w:val="center"/>
              <w:rPr>
                <w:b/>
                <w:bCs/>
                <w:sz w:val="24"/>
              </w:rPr>
            </w:pPr>
            <w:r>
              <w:rPr>
                <w:b/>
                <w:sz w:val="24"/>
              </w:rPr>
              <w:t>条款号</w:t>
            </w:r>
          </w:p>
        </w:tc>
        <w:tc>
          <w:tcPr>
            <w:tcW w:w="1730" w:type="dxa"/>
            <w:gridSpan w:val="2"/>
            <w:vAlign w:val="center"/>
          </w:tcPr>
          <w:p>
            <w:pPr>
              <w:jc w:val="center"/>
              <w:rPr>
                <w:b/>
                <w:bCs/>
                <w:sz w:val="24"/>
              </w:rPr>
            </w:pPr>
            <w:r>
              <w:rPr>
                <w:b/>
                <w:bCs/>
                <w:sz w:val="24"/>
              </w:rPr>
              <w:t>条目</w:t>
            </w:r>
          </w:p>
        </w:tc>
        <w:tc>
          <w:tcPr>
            <w:tcW w:w="6633" w:type="dxa"/>
            <w:gridSpan w:val="2"/>
            <w:vAlign w:val="bottom"/>
          </w:tcPr>
          <w:p>
            <w:pPr>
              <w:spacing w:line="360" w:lineRule="auto"/>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30" w:type="dxa"/>
            <w:gridSpan w:val="2"/>
            <w:vAlign w:val="center"/>
          </w:tcPr>
          <w:p>
            <w:pPr>
              <w:jc w:val="center"/>
              <w:rPr>
                <w:sz w:val="24"/>
              </w:rPr>
            </w:pPr>
            <w:r>
              <w:rPr>
                <w:sz w:val="24"/>
              </w:rPr>
              <w:t>项目属性</w:t>
            </w:r>
          </w:p>
        </w:tc>
        <w:tc>
          <w:tcPr>
            <w:tcW w:w="6633" w:type="dxa"/>
            <w:gridSpan w:val="2"/>
            <w:vAlign w:val="center"/>
          </w:tcPr>
          <w:p>
            <w:pPr>
              <w:spacing w:line="360" w:lineRule="auto"/>
              <w:jc w:val="left"/>
              <w:rPr>
                <w:sz w:val="24"/>
              </w:rPr>
            </w:pPr>
            <w:r>
              <w:rPr>
                <w:sz w:val="24"/>
              </w:rPr>
              <w:t>项目属性：</w:t>
            </w:r>
          </w:p>
          <w:p>
            <w:pPr>
              <w:spacing w:line="360" w:lineRule="auto"/>
              <w:jc w:val="left"/>
              <w:rPr>
                <w:sz w:val="24"/>
              </w:rPr>
            </w:pPr>
            <w:r>
              <w:rPr>
                <w:rFonts w:hint="eastAsia" w:ascii="新宋体" w:hAnsi="新宋体" w:eastAsia="新宋体" w:cs="新宋体"/>
                <w:sz w:val="24"/>
              </w:rPr>
              <w:t>■</w:t>
            </w:r>
            <w:r>
              <w:rPr>
                <w:sz w:val="24"/>
              </w:rPr>
              <w:t>服务</w:t>
            </w:r>
          </w:p>
          <w:p>
            <w:pPr>
              <w:spacing w:line="360" w:lineRule="auto"/>
              <w:jc w:val="left"/>
              <w:rPr>
                <w:sz w:val="24"/>
                <w:u w:val="single"/>
              </w:rPr>
            </w:pPr>
            <w:r>
              <w:rPr>
                <w:rFonts w:hint="eastAsia" w:ascii="宋体" w:hAnsi="宋体" w:cs="宋体"/>
                <w:sz w:val="24"/>
              </w:rPr>
              <w:t>□</w:t>
            </w: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30" w:type="dxa"/>
            <w:gridSpan w:val="2"/>
            <w:vAlign w:val="center"/>
          </w:tcPr>
          <w:p>
            <w:pPr>
              <w:jc w:val="center"/>
              <w:rPr>
                <w:sz w:val="24"/>
              </w:rPr>
            </w:pPr>
            <w:r>
              <w:rPr>
                <w:sz w:val="24"/>
              </w:rPr>
              <w:t>科研仪器设备</w:t>
            </w:r>
          </w:p>
        </w:tc>
        <w:tc>
          <w:tcPr>
            <w:tcW w:w="6633" w:type="dxa"/>
            <w:gridSpan w:val="2"/>
            <w:vAlign w:val="center"/>
          </w:tcPr>
          <w:p>
            <w:pPr>
              <w:spacing w:line="360" w:lineRule="auto"/>
              <w:jc w:val="left"/>
              <w:rPr>
                <w:sz w:val="24"/>
              </w:rPr>
            </w:pPr>
            <w:r>
              <w:rPr>
                <w:sz w:val="24"/>
              </w:rPr>
              <w:t>是否属于科研仪器设备采购项目：</w:t>
            </w:r>
          </w:p>
          <w:p>
            <w:pPr>
              <w:spacing w:line="360" w:lineRule="auto"/>
              <w:jc w:val="left"/>
              <w:rPr>
                <w:sz w:val="24"/>
              </w:rPr>
            </w:pPr>
            <w:r>
              <w:rPr>
                <w:rFonts w:hint="eastAsia" w:ascii="宋体" w:hAnsi="宋体" w:cs="宋体"/>
                <w:sz w:val="24"/>
              </w:rPr>
              <w:t>□</w:t>
            </w:r>
            <w:r>
              <w:rPr>
                <w:sz w:val="24"/>
              </w:rPr>
              <w:t>是</w:t>
            </w:r>
          </w:p>
          <w:p>
            <w:pPr>
              <w:spacing w:line="360" w:lineRule="auto"/>
              <w:jc w:val="left"/>
              <w:rPr>
                <w:sz w:val="24"/>
              </w:rPr>
            </w:pPr>
            <w:r>
              <w:rPr>
                <w:rFonts w:hint="eastAsia"/>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30" w:type="dxa"/>
            <w:gridSpan w:val="2"/>
            <w:vAlign w:val="center"/>
          </w:tcPr>
          <w:p>
            <w:pPr>
              <w:jc w:val="center"/>
              <w:rPr>
                <w:sz w:val="24"/>
              </w:rPr>
            </w:pPr>
            <w:r>
              <w:rPr>
                <w:sz w:val="24"/>
              </w:rPr>
              <w:t>核心产品</w:t>
            </w:r>
          </w:p>
        </w:tc>
        <w:tc>
          <w:tcPr>
            <w:tcW w:w="6633" w:type="dxa"/>
            <w:gridSpan w:val="2"/>
            <w:vAlign w:val="center"/>
          </w:tcPr>
          <w:p>
            <w:pPr>
              <w:pStyle w:val="25"/>
              <w:adjustRightInd w:val="0"/>
              <w:snapToGrid w:val="0"/>
              <w:spacing w:line="360" w:lineRule="auto"/>
              <w:rPr>
                <w:rFonts w:hint="default" w:ascii="Times New Roman" w:hAnsi="Times New Roman"/>
                <w:sz w:val="24"/>
                <w:szCs w:val="24"/>
              </w:rPr>
            </w:pPr>
            <w:r>
              <w:rPr>
                <w:sz w:val="24"/>
              </w:rPr>
              <w:t>■</w:t>
            </w:r>
            <w:r>
              <w:rPr>
                <w:rFonts w:hint="default" w:ascii="Times New Roman" w:hAnsi="Times New Roman"/>
                <w:sz w:val="24"/>
                <w:szCs w:val="24"/>
              </w:rPr>
              <w:t>关于核心产品本</w:t>
            </w:r>
            <w:r>
              <w:rPr>
                <w:rFonts w:ascii="Times New Roman" w:hAnsi="Times New Roman"/>
                <w:sz w:val="24"/>
                <w:szCs w:val="24"/>
              </w:rPr>
              <w:t>项目/包</w:t>
            </w:r>
            <w:r>
              <w:rPr>
                <w:rFonts w:hint="default" w:ascii="Times New Roman" w:hAnsi="Times New Roman"/>
                <w:sz w:val="24"/>
                <w:szCs w:val="24"/>
              </w:rPr>
              <w:t>不适用。</w:t>
            </w:r>
          </w:p>
          <w:p>
            <w:pPr>
              <w:pStyle w:val="25"/>
              <w:adjustRightInd w:val="0"/>
              <w:snapToGrid w:val="0"/>
              <w:spacing w:line="360" w:lineRule="auto"/>
              <w:rPr>
                <w:rFonts w:hint="default" w:ascii="Times New Roman" w:hAnsi="Times New Roman"/>
                <w:sz w:val="24"/>
                <w:szCs w:val="24"/>
              </w:rPr>
            </w:pPr>
            <w:r>
              <w:rPr>
                <w:rFonts w:hAnsi="宋体" w:cs="宋体"/>
                <w:sz w:val="24"/>
              </w:rPr>
              <w:t>□</w:t>
            </w:r>
            <w:r>
              <w:rPr>
                <w:rFonts w:hint="default" w:ascii="Times New Roman" w:hAnsi="Times New Roman"/>
                <w:sz w:val="24"/>
                <w:szCs w:val="24"/>
              </w:rPr>
              <w:t>本项目为单一产品采购项目。</w:t>
            </w:r>
          </w:p>
          <w:p>
            <w:pPr>
              <w:spacing w:line="360" w:lineRule="auto"/>
              <w:jc w:val="left"/>
              <w:rPr>
                <w:sz w:val="24"/>
              </w:rPr>
            </w:pPr>
            <w:r>
              <w:rPr>
                <w:rFonts w:hAnsi="宋体" w:cs="宋体"/>
                <w:sz w:val="24"/>
              </w:rPr>
              <w:t>□</w:t>
            </w:r>
            <w:r>
              <w:rPr>
                <w:sz w:val="24"/>
              </w:rPr>
              <w:t>本项目为非单一产品采购项目，核心产品为：</w:t>
            </w:r>
            <w:r>
              <w:rPr>
                <w:rFonts w:hint="eastAsia" w:ascii="宋体" w:hAnsi="宋体"/>
                <w:sz w:val="24"/>
                <w:u w:val="single"/>
              </w:rPr>
              <w:t xml:space="preserve"> </w:t>
            </w:r>
            <w:r>
              <w:rPr>
                <w:rFonts w:ascii="宋体" w:hAnsi="宋体"/>
                <w:sz w:val="24"/>
                <w:u w:val="single"/>
              </w:rPr>
              <w:t xml:space="preserve">        </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93"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30" w:type="dxa"/>
            <w:gridSpan w:val="2"/>
            <w:vAlign w:val="center"/>
          </w:tcPr>
          <w:p>
            <w:pPr>
              <w:jc w:val="center"/>
              <w:rPr>
                <w:sz w:val="24"/>
              </w:rPr>
            </w:pPr>
            <w:r>
              <w:rPr>
                <w:sz w:val="24"/>
              </w:rPr>
              <w:t>现场考察</w:t>
            </w:r>
          </w:p>
        </w:tc>
        <w:tc>
          <w:tcPr>
            <w:tcW w:w="6633" w:type="dxa"/>
            <w:gridSpan w:val="2"/>
            <w:vAlign w:val="center"/>
          </w:tcPr>
          <w:p>
            <w:pPr>
              <w:spacing w:line="360" w:lineRule="auto"/>
              <w:jc w:val="left"/>
              <w:rPr>
                <w:sz w:val="24"/>
              </w:rPr>
            </w:pPr>
            <w:r>
              <w:rPr>
                <w:rFonts w:hint="eastAsia"/>
                <w:sz w:val="24"/>
              </w:rPr>
              <w:t>■</w:t>
            </w:r>
            <w:r>
              <w:rPr>
                <w:sz w:val="24"/>
              </w:rPr>
              <w:t>不组织</w:t>
            </w:r>
          </w:p>
          <w:p>
            <w:pPr>
              <w:spacing w:line="360" w:lineRule="auto"/>
              <w:jc w:val="left"/>
              <w:rPr>
                <w:bCs/>
                <w:sz w:val="24"/>
              </w:rPr>
            </w:pPr>
            <w:r>
              <w:rPr>
                <w:rFonts w:hint="eastAsia" w:ascii="宋体" w:hAnsi="宋体" w:cs="宋体"/>
                <w:sz w:val="24"/>
              </w:rPr>
              <w:t>□</w:t>
            </w:r>
            <w:r>
              <w:rPr>
                <w:sz w:val="24"/>
              </w:rPr>
              <w:t>组织，考察时间：__年_月_日_</w:t>
            </w:r>
            <w:r>
              <w:rPr>
                <w:bCs/>
                <w:sz w:val="24"/>
              </w:rPr>
              <w:t>点</w:t>
            </w:r>
            <w:r>
              <w:rPr>
                <w:sz w:val="24"/>
              </w:rPr>
              <w:t>_</w:t>
            </w:r>
            <w:r>
              <w:rPr>
                <w:bCs/>
                <w:sz w:val="24"/>
              </w:rPr>
              <w:t>分</w:t>
            </w:r>
          </w:p>
          <w:p>
            <w:pPr>
              <w:pStyle w:val="25"/>
              <w:adjustRightInd w:val="0"/>
              <w:snapToGrid w:val="0"/>
              <w:spacing w:line="360" w:lineRule="auto"/>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93" w:type="dxa"/>
            <w:vMerge w:val="continue"/>
            <w:vAlign w:val="center"/>
          </w:tcPr>
          <w:p>
            <w:pPr>
              <w:pStyle w:val="25"/>
              <w:adjustRightInd w:val="0"/>
              <w:snapToGrid w:val="0"/>
              <w:jc w:val="center"/>
              <w:rPr>
                <w:rFonts w:hint="default" w:ascii="Times New Roman" w:hAnsi="Times New Roman"/>
                <w:sz w:val="24"/>
                <w:szCs w:val="24"/>
              </w:rPr>
            </w:pPr>
          </w:p>
        </w:tc>
        <w:tc>
          <w:tcPr>
            <w:tcW w:w="1730" w:type="dxa"/>
            <w:gridSpan w:val="2"/>
            <w:vAlign w:val="center"/>
          </w:tcPr>
          <w:p>
            <w:pPr>
              <w:jc w:val="center"/>
              <w:rPr>
                <w:sz w:val="24"/>
              </w:rPr>
            </w:pPr>
            <w:r>
              <w:rPr>
                <w:sz w:val="24"/>
              </w:rPr>
              <w:t>开标前答疑会</w:t>
            </w:r>
          </w:p>
        </w:tc>
        <w:tc>
          <w:tcPr>
            <w:tcW w:w="6633" w:type="dxa"/>
            <w:gridSpan w:val="2"/>
            <w:vAlign w:val="center"/>
          </w:tcPr>
          <w:p>
            <w:pPr>
              <w:spacing w:line="360" w:lineRule="auto"/>
              <w:jc w:val="left"/>
              <w:rPr>
                <w:sz w:val="24"/>
              </w:rPr>
            </w:pPr>
            <w:r>
              <w:rPr>
                <w:rFonts w:hint="eastAsia"/>
                <w:sz w:val="24"/>
              </w:rPr>
              <w:t>■</w:t>
            </w:r>
            <w:r>
              <w:rPr>
                <w:sz w:val="24"/>
              </w:rPr>
              <w:t>不召开</w:t>
            </w:r>
          </w:p>
          <w:p>
            <w:pPr>
              <w:spacing w:line="360" w:lineRule="auto"/>
              <w:jc w:val="left"/>
              <w:rPr>
                <w:sz w:val="24"/>
              </w:rPr>
            </w:pPr>
            <w:r>
              <w:rPr>
                <w:rFonts w:hint="eastAsia" w:ascii="宋体" w:hAnsi="宋体" w:cs="宋体"/>
                <w:sz w:val="24"/>
              </w:rPr>
              <w:t>□</w:t>
            </w:r>
            <w:r>
              <w:rPr>
                <w:sz w:val="24"/>
              </w:rPr>
              <w:t>召开，召开时间：__年_月_日_</w:t>
            </w:r>
            <w:r>
              <w:rPr>
                <w:bCs/>
                <w:sz w:val="24"/>
              </w:rPr>
              <w:t>点</w:t>
            </w:r>
            <w:r>
              <w:rPr>
                <w:sz w:val="24"/>
              </w:rPr>
              <w:t>_</w:t>
            </w:r>
            <w:r>
              <w:rPr>
                <w:bCs/>
                <w:sz w:val="24"/>
              </w:rPr>
              <w:t>分</w:t>
            </w:r>
          </w:p>
          <w:p>
            <w:pPr>
              <w:spacing w:line="360" w:lineRule="auto"/>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30" w:type="dxa"/>
            <w:gridSpan w:val="2"/>
            <w:vAlign w:val="center"/>
          </w:tcPr>
          <w:p>
            <w:pPr>
              <w:jc w:val="center"/>
              <w:rPr>
                <w:sz w:val="24"/>
              </w:rPr>
            </w:pPr>
            <w:r>
              <w:rPr>
                <w:sz w:val="24"/>
              </w:rPr>
              <w:t>样品</w:t>
            </w:r>
          </w:p>
        </w:tc>
        <w:tc>
          <w:tcPr>
            <w:tcW w:w="6633" w:type="dxa"/>
            <w:gridSpan w:val="2"/>
            <w:vAlign w:val="center"/>
          </w:tcPr>
          <w:p>
            <w:pPr>
              <w:spacing w:line="360" w:lineRule="auto"/>
              <w:jc w:val="left"/>
              <w:rPr>
                <w:sz w:val="24"/>
              </w:rPr>
            </w:pPr>
            <w:r>
              <w:rPr>
                <w:sz w:val="24"/>
              </w:rPr>
              <w:t>投标样品递交：</w:t>
            </w:r>
          </w:p>
          <w:p>
            <w:pPr>
              <w:spacing w:line="360" w:lineRule="auto"/>
              <w:jc w:val="left"/>
              <w:rPr>
                <w:sz w:val="24"/>
              </w:rPr>
            </w:pPr>
            <w:r>
              <w:rPr>
                <w:rFonts w:hint="eastAsia"/>
                <w:sz w:val="24"/>
              </w:rPr>
              <w:t>■</w:t>
            </w:r>
            <w:r>
              <w:rPr>
                <w:sz w:val="24"/>
              </w:rPr>
              <w:t>不需要</w:t>
            </w:r>
          </w:p>
          <w:p>
            <w:pPr>
              <w:spacing w:line="360" w:lineRule="auto"/>
              <w:jc w:val="left"/>
              <w:rPr>
                <w:sz w:val="24"/>
              </w:rPr>
            </w:pPr>
            <w:r>
              <w:rPr>
                <w:rFonts w:hint="eastAsia" w:ascii="宋体" w:hAnsi="宋体" w:cs="宋体"/>
                <w:sz w:val="24"/>
              </w:rPr>
              <w:t>□</w:t>
            </w:r>
            <w:r>
              <w:rPr>
                <w:sz w:val="24"/>
              </w:rPr>
              <w:t>需要，具体要求如下：</w:t>
            </w:r>
          </w:p>
          <w:p>
            <w:pPr>
              <w:spacing w:line="360" w:lineRule="auto"/>
              <w:jc w:val="left"/>
              <w:rPr>
                <w:sz w:val="24"/>
                <w:u w:val="single"/>
              </w:rPr>
            </w:pPr>
            <w:r>
              <w:rPr>
                <w:sz w:val="24"/>
              </w:rPr>
              <w:t>（1）样品制作的标准和要求：_________；</w:t>
            </w:r>
          </w:p>
          <w:p>
            <w:pPr>
              <w:spacing w:line="360" w:lineRule="auto"/>
              <w:jc w:val="left"/>
              <w:rPr>
                <w:sz w:val="24"/>
              </w:rPr>
            </w:pPr>
            <w:r>
              <w:rPr>
                <w:sz w:val="24"/>
              </w:rPr>
              <w:t>（2）是否需要随样品提交相关检测报告：</w:t>
            </w:r>
          </w:p>
          <w:p>
            <w:pPr>
              <w:spacing w:line="360" w:lineRule="auto"/>
              <w:ind w:firstLine="600" w:firstLineChars="250"/>
              <w:jc w:val="left"/>
              <w:rPr>
                <w:sz w:val="24"/>
              </w:rPr>
            </w:pPr>
            <w:r>
              <w:rPr>
                <w:rFonts w:hint="eastAsia" w:ascii="宋体" w:hAnsi="宋体" w:cs="宋体"/>
                <w:sz w:val="24"/>
              </w:rPr>
              <w:t>□</w:t>
            </w:r>
            <w:r>
              <w:rPr>
                <w:sz w:val="24"/>
              </w:rPr>
              <w:t>不需要</w:t>
            </w:r>
          </w:p>
          <w:p>
            <w:pPr>
              <w:spacing w:line="360" w:lineRule="auto"/>
              <w:ind w:firstLine="600" w:firstLineChars="250"/>
              <w:jc w:val="left"/>
              <w:rPr>
                <w:sz w:val="24"/>
              </w:rPr>
            </w:pPr>
            <w:r>
              <w:rPr>
                <w:rFonts w:hint="eastAsia" w:ascii="宋体" w:hAnsi="宋体" w:cs="宋体"/>
                <w:sz w:val="24"/>
              </w:rPr>
              <w:t>□</w:t>
            </w:r>
            <w:r>
              <w:rPr>
                <w:sz w:val="24"/>
              </w:rPr>
              <w:t>需要</w:t>
            </w:r>
          </w:p>
          <w:p>
            <w:pPr>
              <w:spacing w:line="360" w:lineRule="auto"/>
              <w:jc w:val="left"/>
              <w:rPr>
                <w:sz w:val="24"/>
              </w:rPr>
            </w:pPr>
            <w:r>
              <w:rPr>
                <w:sz w:val="24"/>
              </w:rPr>
              <w:t>（3）样品递交要求：_________；</w:t>
            </w:r>
          </w:p>
          <w:p>
            <w:pPr>
              <w:spacing w:line="360" w:lineRule="auto"/>
              <w:jc w:val="left"/>
              <w:rPr>
                <w:sz w:val="24"/>
              </w:rPr>
            </w:pPr>
            <w:r>
              <w:rPr>
                <w:sz w:val="24"/>
              </w:rPr>
              <w:t>（4）未中标人样品退还：_________；</w:t>
            </w:r>
          </w:p>
          <w:p>
            <w:pPr>
              <w:spacing w:line="360" w:lineRule="auto"/>
              <w:jc w:val="left"/>
              <w:rPr>
                <w:sz w:val="24"/>
                <w:u w:val="single"/>
              </w:rPr>
            </w:pPr>
            <w:r>
              <w:rPr>
                <w:sz w:val="24"/>
              </w:rPr>
              <w:t>（5）中标人样品保管、封存及退还：_________；</w:t>
            </w:r>
          </w:p>
          <w:p>
            <w:pPr>
              <w:spacing w:line="360" w:lineRule="auto"/>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2"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30" w:type="dxa"/>
            <w:gridSpan w:val="2"/>
            <w:vAlign w:val="center"/>
          </w:tcPr>
          <w:p>
            <w:pPr>
              <w:jc w:val="center"/>
              <w:rPr>
                <w:sz w:val="24"/>
              </w:rPr>
            </w:pPr>
            <w:r>
              <w:rPr>
                <w:sz w:val="24"/>
              </w:rPr>
              <w:t>标的所属行业</w:t>
            </w:r>
          </w:p>
        </w:tc>
        <w:tc>
          <w:tcPr>
            <w:tcW w:w="6633" w:type="dxa"/>
            <w:gridSpan w:val="2"/>
            <w:vAlign w:val="center"/>
          </w:tcPr>
          <w:p>
            <w:pPr>
              <w:spacing w:line="360" w:lineRule="auto"/>
              <w:jc w:val="left"/>
              <w:rPr>
                <w:sz w:val="24"/>
              </w:rPr>
            </w:pPr>
            <w:r>
              <w:rPr>
                <w:sz w:val="24"/>
              </w:rPr>
              <w:t>本项目采购标的对应的中小企业划分标准所属行业：</w:t>
            </w:r>
          </w:p>
          <w:tbl>
            <w:tblPr>
              <w:tblStyle w:val="56"/>
              <w:tblW w:w="61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3"/>
              <w:gridCol w:w="3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973"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150"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973"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lang w:eastAsia="zh-CN"/>
                    </w:rPr>
                    <w:t>2024年扣押违法车辆停车保管服务项目</w:t>
                  </w:r>
                </w:p>
              </w:tc>
              <w:tc>
                <w:tcPr>
                  <w:tcW w:w="31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租赁和商务服务业</w:t>
                  </w:r>
                </w:p>
              </w:tc>
            </w:tr>
          </w:tbl>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841" w:hRule="atLeast"/>
          <w:jc w:val="center"/>
        </w:trPr>
        <w:tc>
          <w:tcPr>
            <w:tcW w:w="993" w:type="dxa"/>
            <w:vAlign w:val="center"/>
          </w:tcPr>
          <w:p>
            <w:pPr>
              <w:jc w:val="center"/>
              <w:rPr>
                <w:sz w:val="24"/>
              </w:rPr>
            </w:pPr>
            <w:r>
              <w:rPr>
                <w:sz w:val="24"/>
              </w:rPr>
              <w:t>11.2</w:t>
            </w:r>
          </w:p>
        </w:tc>
        <w:tc>
          <w:tcPr>
            <w:tcW w:w="1730" w:type="dxa"/>
            <w:gridSpan w:val="2"/>
            <w:vAlign w:val="center"/>
          </w:tcPr>
          <w:p>
            <w:pPr>
              <w:rPr>
                <w:sz w:val="24"/>
              </w:rPr>
            </w:pPr>
            <w:r>
              <w:rPr>
                <w:rFonts w:hint="eastAsia"/>
                <w:sz w:val="24"/>
              </w:rPr>
              <w:t>投标报价</w:t>
            </w:r>
          </w:p>
        </w:tc>
        <w:tc>
          <w:tcPr>
            <w:tcW w:w="6625" w:type="dxa"/>
            <w:vAlign w:val="center"/>
          </w:tcPr>
          <w:p>
            <w:pPr>
              <w:rPr>
                <w:sz w:val="24"/>
              </w:rPr>
            </w:pPr>
            <w:r>
              <w:rPr>
                <w:rFonts w:hint="eastAsia"/>
                <w:sz w:val="24"/>
              </w:rPr>
              <w:t>投标报价的特殊规定：</w:t>
            </w:r>
          </w:p>
          <w:p>
            <w:pPr>
              <w:rPr>
                <w:sz w:val="24"/>
              </w:rPr>
            </w:pPr>
            <w:r>
              <w:rPr>
                <w:rFonts w:hint="eastAsia" w:ascii="新宋体" w:hAnsi="新宋体" w:eastAsia="新宋体" w:cs="新宋体"/>
                <w:sz w:val="24"/>
              </w:rPr>
              <w:t>■</w:t>
            </w:r>
            <w:r>
              <w:rPr>
                <w:sz w:val="24"/>
              </w:rPr>
              <w:t>无</w:t>
            </w:r>
          </w:p>
          <w:p>
            <w:pPr>
              <w:rPr>
                <w:sz w:val="24"/>
              </w:rPr>
            </w:pPr>
            <w:r>
              <w:rPr>
                <w:rFonts w:hint="eastAsia" w:ascii="宋体" w:hAnsi="宋体" w:cs="宋体"/>
                <w:sz w:val="24"/>
              </w:rPr>
              <w:t>□</w:t>
            </w: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807"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30" w:type="dxa"/>
            <w:gridSpan w:val="2"/>
            <w:vMerge w:val="restart"/>
            <w:vAlign w:val="center"/>
          </w:tcPr>
          <w:p>
            <w:pPr>
              <w:jc w:val="center"/>
              <w:rPr>
                <w:sz w:val="24"/>
              </w:rPr>
            </w:pPr>
            <w:r>
              <w:rPr>
                <w:sz w:val="24"/>
              </w:rPr>
              <w:t>投标保证金</w:t>
            </w:r>
          </w:p>
        </w:tc>
        <w:tc>
          <w:tcPr>
            <w:tcW w:w="6625" w:type="dxa"/>
            <w:vAlign w:val="center"/>
          </w:tcPr>
          <w:p>
            <w:pPr>
              <w:pStyle w:val="25"/>
              <w:adjustRightInd w:val="0"/>
              <w:snapToGrid w:val="0"/>
              <w:spacing w:line="360" w:lineRule="auto"/>
              <w:rPr>
                <w:rFonts w:hint="default" w:hAnsi="宋体" w:cs="宋体"/>
                <w:sz w:val="24"/>
                <w:szCs w:val="24"/>
              </w:rPr>
            </w:pPr>
            <w:r>
              <w:rPr>
                <w:rFonts w:hAnsi="宋体" w:cs="宋体"/>
                <w:sz w:val="24"/>
                <w:szCs w:val="24"/>
              </w:rPr>
              <w:t>投标保证金金额：</w:t>
            </w:r>
          </w:p>
          <w:p>
            <w:pPr>
              <w:pStyle w:val="25"/>
              <w:adjustRightInd w:val="0"/>
              <w:snapToGrid w:val="0"/>
              <w:spacing w:line="360" w:lineRule="auto"/>
              <w:rPr>
                <w:rFonts w:hAnsi="宋体" w:cs="宋体"/>
                <w:sz w:val="24"/>
                <w:szCs w:val="24"/>
              </w:rPr>
            </w:pPr>
            <w:r>
              <w:rPr>
                <w:rFonts w:hint="eastAsia" w:hAnsi="宋体" w:cs="宋体"/>
                <w:sz w:val="24"/>
                <w:szCs w:val="24"/>
                <w:lang w:val="en-US" w:eastAsia="zh-CN"/>
              </w:rPr>
              <w:t>包1、包2、包4</w:t>
            </w:r>
            <w:r>
              <w:rPr>
                <w:rFonts w:hAnsi="宋体" w:cs="宋体"/>
                <w:sz w:val="24"/>
                <w:szCs w:val="24"/>
              </w:rPr>
              <w:t>人民币</w:t>
            </w:r>
            <w:r>
              <w:rPr>
                <w:rFonts w:hint="eastAsia" w:hAnsi="宋体" w:cs="宋体"/>
                <w:sz w:val="24"/>
                <w:szCs w:val="24"/>
                <w:lang w:val="en-US" w:eastAsia="zh-CN"/>
              </w:rPr>
              <w:t>5000.00</w:t>
            </w:r>
            <w:r>
              <w:rPr>
                <w:rFonts w:hAnsi="宋体" w:cs="宋体"/>
                <w:sz w:val="24"/>
                <w:szCs w:val="24"/>
              </w:rPr>
              <w:t>元。</w:t>
            </w:r>
          </w:p>
          <w:p>
            <w:pPr>
              <w:pStyle w:val="25"/>
              <w:adjustRightInd w:val="0"/>
              <w:snapToGrid w:val="0"/>
              <w:spacing w:line="360" w:lineRule="auto"/>
              <w:rPr>
                <w:rFonts w:hint="default" w:hAnsi="宋体" w:eastAsia="宋体" w:cs="宋体"/>
                <w:sz w:val="24"/>
                <w:szCs w:val="24"/>
                <w:lang w:val="en-US" w:eastAsia="zh-CN"/>
              </w:rPr>
            </w:pPr>
            <w:r>
              <w:rPr>
                <w:rFonts w:hint="eastAsia" w:hAnsi="宋体" w:cs="宋体"/>
                <w:sz w:val="24"/>
                <w:szCs w:val="24"/>
                <w:lang w:val="en-US" w:eastAsia="zh-CN"/>
              </w:rPr>
              <w:t>包3人民币3000.00元。</w:t>
            </w:r>
          </w:p>
          <w:p>
            <w:pPr>
              <w:spacing w:before="120" w:line="360" w:lineRule="auto"/>
              <w:ind w:left="-28"/>
              <w:rPr>
                <w:rFonts w:ascii="宋体" w:hAnsi="宋体" w:cs="宋体"/>
                <w:sz w:val="24"/>
              </w:rPr>
            </w:pPr>
            <w:r>
              <w:rPr>
                <w:rFonts w:hint="eastAsia" w:ascii="宋体" w:hAnsi="宋体" w:cs="宋体"/>
                <w:sz w:val="24"/>
              </w:rPr>
              <w:t>投标保证金收受人信息：</w:t>
            </w:r>
          </w:p>
          <w:p>
            <w:pPr>
              <w:spacing w:before="120" w:line="360" w:lineRule="auto"/>
              <w:ind w:left="-28"/>
              <w:rPr>
                <w:rFonts w:ascii="宋体" w:hAnsi="宋体" w:cs="宋体"/>
                <w:sz w:val="24"/>
              </w:rPr>
            </w:pPr>
            <w:r>
              <w:rPr>
                <w:rFonts w:hint="eastAsia" w:ascii="宋体" w:hAnsi="宋体" w:cs="宋体"/>
                <w:sz w:val="24"/>
              </w:rPr>
              <w:t>投标保证金可以采用下列形式之一提交：</w:t>
            </w:r>
          </w:p>
          <w:p>
            <w:pPr>
              <w:spacing w:before="120" w:line="360" w:lineRule="auto"/>
              <w:ind w:left="-28"/>
              <w:rPr>
                <w:rFonts w:ascii="宋体" w:hAnsi="宋体" w:cs="宋体"/>
                <w:sz w:val="24"/>
              </w:rPr>
            </w:pPr>
            <w:r>
              <w:rPr>
                <w:rFonts w:hint="eastAsia" w:ascii="宋体" w:hAnsi="宋体" w:cs="宋体"/>
                <w:sz w:val="24"/>
              </w:rPr>
              <w:t>（1）支票  （2）汇票 （3）本票（4）金融机构、担保机构出具的保函（5）汇款</w:t>
            </w:r>
          </w:p>
          <w:p>
            <w:pPr>
              <w:spacing w:before="120" w:line="360" w:lineRule="auto"/>
              <w:ind w:left="-28"/>
              <w:rPr>
                <w:rFonts w:ascii="宋体" w:hAnsi="宋体" w:cs="宋体"/>
                <w:sz w:val="24"/>
              </w:rPr>
            </w:pPr>
            <w:r>
              <w:rPr>
                <w:rFonts w:hint="eastAsia" w:ascii="宋体" w:hAnsi="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bCs/>
                <w:sz w:val="24"/>
              </w:rPr>
              <w:t>投标无效</w:t>
            </w:r>
            <w:r>
              <w:rPr>
                <w:rFonts w:hint="eastAsia" w:ascii="宋体" w:hAnsi="宋体" w:cs="宋体"/>
                <w:sz w:val="24"/>
              </w:rPr>
              <w:t>。</w:t>
            </w:r>
          </w:p>
          <w:p>
            <w:pPr>
              <w:spacing w:before="120" w:line="360" w:lineRule="auto"/>
              <w:ind w:left="-28"/>
              <w:rPr>
                <w:rFonts w:ascii="宋体" w:hAnsi="宋体" w:cs="宋体"/>
                <w:sz w:val="24"/>
              </w:rPr>
            </w:pPr>
            <w:r>
              <w:rPr>
                <w:rFonts w:hint="eastAsia" w:ascii="宋体" w:hAnsi="宋体" w:cs="宋体"/>
                <w:sz w:val="24"/>
              </w:rPr>
              <w:t>建议投标人采用汇款形式递交投标保证金。</w:t>
            </w:r>
          </w:p>
          <w:p>
            <w:pPr>
              <w:spacing w:before="120" w:line="360" w:lineRule="auto"/>
              <w:ind w:left="-28"/>
              <w:rPr>
                <w:rFonts w:ascii="宋体" w:hAnsi="宋体" w:cs="宋体"/>
                <w:sz w:val="24"/>
              </w:rPr>
            </w:pPr>
            <w:r>
              <w:rPr>
                <w:rFonts w:hint="eastAsia" w:ascii="宋体" w:hAnsi="宋体" w:cs="宋体"/>
                <w:sz w:val="24"/>
              </w:rPr>
              <w:t>投标人须使用供应商单位账户在投标截止时间前汇入采购代理机构指定的账户。采购代理机构指定的保证金收款账户信息如下：</w:t>
            </w:r>
          </w:p>
          <w:p>
            <w:pPr>
              <w:spacing w:before="120" w:line="360" w:lineRule="auto"/>
              <w:rPr>
                <w:rFonts w:ascii="宋体" w:hAnsi="宋体" w:cs="宋体"/>
                <w:sz w:val="24"/>
              </w:rPr>
            </w:pPr>
            <w:r>
              <w:rPr>
                <w:rFonts w:hint="eastAsia" w:ascii="宋体" w:hAnsi="宋体" w:cs="宋体"/>
                <w:sz w:val="24"/>
              </w:rPr>
              <w:t>开户名（全称）：北京国际贸易有限公司　</w:t>
            </w:r>
          </w:p>
          <w:p>
            <w:pPr>
              <w:spacing w:before="120" w:line="360" w:lineRule="auto"/>
              <w:rPr>
                <w:rFonts w:ascii="宋体" w:hAnsi="宋体" w:cs="宋体"/>
                <w:sz w:val="24"/>
              </w:rPr>
            </w:pPr>
            <w:r>
              <w:rPr>
                <w:rFonts w:hint="eastAsia" w:ascii="宋体" w:hAnsi="宋体" w:cs="宋体"/>
                <w:sz w:val="24"/>
              </w:rPr>
              <w:t>开户银行：北京农商银行总行营业部</w:t>
            </w:r>
          </w:p>
          <w:p>
            <w:pPr>
              <w:spacing w:before="120" w:line="360" w:lineRule="auto"/>
              <w:rPr>
                <w:rFonts w:ascii="宋体" w:hAnsi="宋体" w:cs="宋体"/>
                <w:sz w:val="24"/>
              </w:rPr>
            </w:pPr>
            <w:r>
              <w:rPr>
                <w:rFonts w:hint="eastAsia" w:ascii="宋体" w:hAnsi="宋体" w:cs="宋体"/>
                <w:sz w:val="24"/>
              </w:rPr>
              <w:t>银行账号：</w:t>
            </w:r>
            <w:r>
              <w:rPr>
                <w:rFonts w:ascii="宋体" w:hAnsi="宋体" w:cs="宋体"/>
                <w:sz w:val="24"/>
              </w:rPr>
              <w:t>2000000311990</w:t>
            </w:r>
          </w:p>
          <w:p>
            <w:pPr>
              <w:pStyle w:val="2"/>
              <w:spacing w:line="360" w:lineRule="auto"/>
              <w:rPr>
                <w:rFonts w:cs="宋体"/>
              </w:rPr>
            </w:pPr>
            <w:r>
              <w:rPr>
                <w:rFonts w:hint="eastAsia" w:cs="宋体"/>
              </w:rPr>
              <w:t>特别提示：请在交易附言或备注栏中注明本项目招标编号。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30" w:type="dxa"/>
            <w:gridSpan w:val="2"/>
            <w:vMerge w:val="continue"/>
            <w:vAlign w:val="center"/>
          </w:tcPr>
          <w:p>
            <w:pPr>
              <w:jc w:val="center"/>
              <w:rPr>
                <w:sz w:val="24"/>
              </w:rPr>
            </w:pPr>
          </w:p>
        </w:tc>
        <w:tc>
          <w:tcPr>
            <w:tcW w:w="6625" w:type="dxa"/>
            <w:vAlign w:val="center"/>
          </w:tcPr>
          <w:p>
            <w:pPr>
              <w:spacing w:line="360" w:lineRule="auto"/>
              <w:jc w:val="left"/>
              <w:rPr>
                <w:sz w:val="24"/>
              </w:rPr>
            </w:pPr>
            <w:r>
              <w:rPr>
                <w:sz w:val="24"/>
              </w:rPr>
              <w:t>投标保证金可以不予退还的其他情形：</w:t>
            </w:r>
          </w:p>
          <w:p>
            <w:pPr>
              <w:spacing w:line="360" w:lineRule="auto"/>
              <w:jc w:val="left"/>
              <w:rPr>
                <w:sz w:val="24"/>
              </w:rPr>
            </w:pPr>
            <w:r>
              <w:rPr>
                <w:rFonts w:hint="eastAsia" w:ascii="宋体" w:hAnsi="宋体" w:cs="宋体"/>
                <w:sz w:val="24"/>
              </w:rPr>
              <w:t>□</w:t>
            </w:r>
            <w:r>
              <w:rPr>
                <w:sz w:val="24"/>
              </w:rPr>
              <w:t>无</w:t>
            </w:r>
          </w:p>
          <w:p>
            <w:pPr>
              <w:spacing w:before="120" w:line="360" w:lineRule="auto"/>
              <w:rPr>
                <w:sz w:val="24"/>
              </w:rPr>
            </w:pPr>
            <w:r>
              <w:rPr>
                <w:rFonts w:hint="eastAsia" w:ascii="新宋体" w:hAnsi="新宋体" w:eastAsia="新宋体" w:cs="新宋体"/>
                <w:sz w:val="24"/>
              </w:rPr>
              <w:t>■</w:t>
            </w:r>
            <w:r>
              <w:rPr>
                <w:sz w:val="24"/>
              </w:rPr>
              <w:t>有，具体情形：</w:t>
            </w:r>
          </w:p>
          <w:p>
            <w:pPr>
              <w:spacing w:before="120" w:line="360" w:lineRule="auto"/>
              <w:rPr>
                <w:rFonts w:ascii="宋体" w:hAnsi="宋体" w:cs="宋体"/>
                <w:sz w:val="24"/>
              </w:rPr>
            </w:pPr>
            <w:r>
              <w:rPr>
                <w:rFonts w:hint="eastAsia" w:ascii="宋体" w:hAnsi="宋体" w:cs="宋体"/>
                <w:sz w:val="24"/>
              </w:rPr>
              <w:t>（1）在投标有效期内，供应商擅自撤销投标的；</w:t>
            </w:r>
          </w:p>
          <w:p>
            <w:pPr>
              <w:spacing w:before="120" w:line="360" w:lineRule="auto"/>
              <w:rPr>
                <w:rFonts w:ascii="宋体" w:hAnsi="宋体" w:cs="宋体"/>
                <w:sz w:val="24"/>
              </w:rPr>
            </w:pPr>
            <w:r>
              <w:rPr>
                <w:rFonts w:hint="eastAsia" w:ascii="宋体" w:hAnsi="宋体" w:cs="宋体"/>
                <w:sz w:val="24"/>
              </w:rPr>
              <w:t>（2）中标人不按规定与采购人签订合同的；</w:t>
            </w:r>
          </w:p>
          <w:p>
            <w:pPr>
              <w:spacing w:before="120" w:line="360" w:lineRule="auto"/>
              <w:rPr>
                <w:rFonts w:ascii="宋体" w:hAnsi="宋体" w:cs="宋体"/>
                <w:sz w:val="24"/>
              </w:rPr>
            </w:pPr>
            <w:r>
              <w:rPr>
                <w:rFonts w:hint="eastAsia" w:ascii="宋体" w:hAnsi="宋体" w:cs="宋体"/>
                <w:sz w:val="24"/>
              </w:rPr>
              <w:t>（3）中标人不按规定提交履约保证金的；</w:t>
            </w:r>
          </w:p>
          <w:p>
            <w:pPr>
              <w:spacing w:before="120" w:line="360" w:lineRule="auto"/>
              <w:rPr>
                <w:rFonts w:ascii="宋体" w:hAnsi="宋体" w:cs="宋体"/>
                <w:sz w:val="24"/>
              </w:rPr>
            </w:pPr>
            <w:r>
              <w:rPr>
                <w:rFonts w:hAnsi="宋体" w:cs="宋体"/>
                <w:sz w:val="24"/>
              </w:rPr>
              <w:t>（4）中标人擅自放弃中标的。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521"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30" w:type="dxa"/>
            <w:gridSpan w:val="2"/>
            <w:vAlign w:val="center"/>
          </w:tcPr>
          <w:p>
            <w:pPr>
              <w:jc w:val="center"/>
              <w:rPr>
                <w:sz w:val="24"/>
              </w:rPr>
            </w:pPr>
            <w:r>
              <w:rPr>
                <w:sz w:val="24"/>
              </w:rPr>
              <w:t>投标有效期</w:t>
            </w:r>
          </w:p>
        </w:tc>
        <w:tc>
          <w:tcPr>
            <w:tcW w:w="6625" w:type="dxa"/>
            <w:vAlign w:val="center"/>
          </w:tcPr>
          <w:p>
            <w:pPr>
              <w:jc w:val="left"/>
              <w:rPr>
                <w:sz w:val="24"/>
              </w:rPr>
            </w:pPr>
            <w:r>
              <w:rPr>
                <w:sz w:val="24"/>
              </w:rPr>
              <w:t>自提交投标文件的截止之日起算</w:t>
            </w:r>
            <w:r>
              <w:rPr>
                <w:rFonts w:hint="eastAsia"/>
                <w:sz w:val="24"/>
              </w:rPr>
              <w:t>不少于90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30" w:type="dxa"/>
            <w:gridSpan w:val="2"/>
            <w:vAlign w:val="center"/>
          </w:tcPr>
          <w:p>
            <w:pPr>
              <w:jc w:val="center"/>
              <w:rPr>
                <w:sz w:val="24"/>
              </w:rPr>
            </w:pPr>
            <w:r>
              <w:rPr>
                <w:sz w:val="24"/>
              </w:rPr>
              <w:t>确定中标人</w:t>
            </w:r>
          </w:p>
        </w:tc>
        <w:tc>
          <w:tcPr>
            <w:tcW w:w="6625" w:type="dxa"/>
            <w:vAlign w:val="center"/>
          </w:tcPr>
          <w:p>
            <w:pPr>
              <w:pStyle w:val="25"/>
              <w:adjustRightInd w:val="0"/>
              <w:snapToGrid w:val="0"/>
              <w:spacing w:line="360" w:lineRule="auto"/>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spacing w:line="360" w:lineRule="auto"/>
              <w:rPr>
                <w:rFonts w:hint="default" w:ascii="Times New Roman" w:hAnsi="Times New Roman"/>
                <w:sz w:val="24"/>
              </w:rPr>
            </w:pPr>
            <w:r>
              <w:rPr>
                <w:rFonts w:ascii="新宋体" w:hAnsi="新宋体" w:eastAsia="新宋体" w:cs="新宋体"/>
                <w:sz w:val="24"/>
              </w:rPr>
              <w:t>■</w:t>
            </w:r>
            <w:r>
              <w:rPr>
                <w:rFonts w:hint="default" w:ascii="Times New Roman" w:hAnsi="Times New Roman"/>
                <w:sz w:val="24"/>
              </w:rPr>
              <w:t>否</w:t>
            </w:r>
          </w:p>
          <w:p>
            <w:pPr>
              <w:pStyle w:val="25"/>
              <w:adjustRightInd w:val="0"/>
              <w:snapToGrid w:val="0"/>
              <w:spacing w:line="360" w:lineRule="auto"/>
              <w:rPr>
                <w:rFonts w:hint="default" w:ascii="Times New Roman" w:hAnsi="Times New Roman"/>
                <w:sz w:val="24"/>
              </w:rPr>
            </w:pPr>
            <w:r>
              <w:rPr>
                <w:rFonts w:hAnsi="宋体" w:cs="宋体"/>
                <w:sz w:val="24"/>
              </w:rPr>
              <w:t>□</w:t>
            </w:r>
            <w:r>
              <w:rPr>
                <w:rFonts w:hint="default" w:ascii="Times New Roman" w:hAnsi="Times New Roman"/>
                <w:sz w:val="24"/>
              </w:rPr>
              <w:t>是</w:t>
            </w:r>
          </w:p>
          <w:p>
            <w:pPr>
              <w:pStyle w:val="25"/>
              <w:adjustRightInd w:val="0"/>
              <w:snapToGrid w:val="0"/>
              <w:spacing w:line="360" w:lineRule="auto"/>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spacing w:line="360" w:lineRule="auto"/>
              <w:rPr>
                <w:rFonts w:hint="default" w:ascii="Times New Roman" w:hAnsi="Times New Roman"/>
                <w:sz w:val="24"/>
              </w:rPr>
            </w:pPr>
            <w:r>
              <w:rPr>
                <w:rFonts w:ascii="新宋体" w:hAnsi="新宋体" w:eastAsia="新宋体" w:cs="新宋体"/>
                <w:sz w:val="24"/>
              </w:rPr>
              <w:t>■</w:t>
            </w:r>
            <w:r>
              <w:rPr>
                <w:rFonts w:hint="default" w:ascii="Times New Roman" w:hAnsi="Times New Roman"/>
                <w:sz w:val="24"/>
              </w:rPr>
              <w:t>得分且投标报价均相同的，以技术部分得分高者为中标人</w:t>
            </w:r>
          </w:p>
          <w:p>
            <w:pPr>
              <w:spacing w:line="360" w:lineRule="auto"/>
              <w:jc w:val="left"/>
              <w:rPr>
                <w:sz w:val="24"/>
                <w:u w:val="single"/>
              </w:rPr>
            </w:pPr>
            <w:r>
              <w:rPr>
                <w:rFonts w:hint="eastAsia" w:ascii="宋体" w:hAnsi="宋体" w:cs="宋体"/>
                <w:sz w:val="24"/>
              </w:rPr>
              <w:t>□</w:t>
            </w: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30" w:type="dxa"/>
            <w:gridSpan w:val="2"/>
            <w:vAlign w:val="center"/>
          </w:tcPr>
          <w:p>
            <w:pPr>
              <w:jc w:val="center"/>
              <w:rPr>
                <w:sz w:val="24"/>
              </w:rPr>
            </w:pPr>
            <w:r>
              <w:rPr>
                <w:sz w:val="24"/>
              </w:rPr>
              <w:t>分包</w:t>
            </w:r>
          </w:p>
        </w:tc>
        <w:tc>
          <w:tcPr>
            <w:tcW w:w="6625" w:type="dxa"/>
            <w:vAlign w:val="center"/>
          </w:tcPr>
          <w:p>
            <w:pPr>
              <w:spacing w:line="360" w:lineRule="auto"/>
              <w:jc w:val="left"/>
              <w:rPr>
                <w:rFonts w:ascii="宋体" w:hAnsi="宋体" w:cs="宋体"/>
                <w:sz w:val="24"/>
              </w:rPr>
            </w:pPr>
            <w:r>
              <w:rPr>
                <w:rFonts w:hint="eastAsia" w:ascii="宋体" w:hAnsi="宋体" w:cs="宋体"/>
                <w:sz w:val="24"/>
              </w:rPr>
              <w:t xml:space="preserve">本项目的非主体、非关键性工作是否允许分包： </w:t>
            </w:r>
          </w:p>
          <w:p>
            <w:pPr>
              <w:spacing w:line="360" w:lineRule="auto"/>
              <w:jc w:val="left"/>
              <w:rPr>
                <w:rFonts w:ascii="宋体" w:hAnsi="宋体" w:cs="宋体"/>
                <w:sz w:val="24"/>
              </w:rPr>
            </w:pPr>
            <w:r>
              <w:rPr>
                <w:rFonts w:ascii="新宋体" w:hAnsi="新宋体" w:eastAsia="新宋体" w:cs="新宋体"/>
                <w:sz w:val="24"/>
              </w:rPr>
              <w:t>■</w:t>
            </w:r>
            <w:r>
              <w:rPr>
                <w:rFonts w:hint="eastAsia" w:ascii="宋体" w:hAnsi="宋体" w:cs="宋体"/>
                <w:sz w:val="24"/>
              </w:rPr>
              <w:t>不允许</w:t>
            </w:r>
          </w:p>
          <w:p>
            <w:pPr>
              <w:spacing w:line="360" w:lineRule="auto"/>
              <w:jc w:val="left"/>
              <w:rPr>
                <w:rFonts w:ascii="宋体" w:hAnsi="宋体" w:cs="宋体"/>
                <w:sz w:val="24"/>
              </w:rPr>
            </w:pPr>
            <w:r>
              <w:rPr>
                <w:rFonts w:hint="eastAsia" w:ascii="宋体" w:hAnsi="宋体" w:cs="宋体"/>
                <w:sz w:val="24"/>
              </w:rPr>
              <w:t>□允许，具体要求：</w:t>
            </w:r>
          </w:p>
          <w:p>
            <w:pPr>
              <w:spacing w:line="360" w:lineRule="auto"/>
              <w:jc w:val="left"/>
              <w:rPr>
                <w:rFonts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 xml:space="preserve">           </w:t>
            </w:r>
            <w:r>
              <w:rPr>
                <w:rFonts w:hint="eastAsia" w:ascii="宋体" w:hAnsi="宋体" w:cs="宋体"/>
                <w:sz w:val="24"/>
              </w:rPr>
              <w:t>；</w:t>
            </w:r>
          </w:p>
          <w:p>
            <w:pPr>
              <w:spacing w:line="360" w:lineRule="auto"/>
              <w:jc w:val="left"/>
              <w:rPr>
                <w:rFonts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 xml:space="preserve">           </w:t>
            </w:r>
            <w:r>
              <w:rPr>
                <w:rFonts w:hint="eastAsia" w:ascii="宋体" w:hAnsi="宋体" w:cs="宋体"/>
                <w:sz w:val="24"/>
              </w:rPr>
              <w:t>；</w:t>
            </w:r>
          </w:p>
          <w:p>
            <w:pPr>
              <w:spacing w:line="360" w:lineRule="auto"/>
              <w:jc w:val="left"/>
              <w:rPr>
                <w:rFonts w:ascii="宋体" w:hAnsi="宋体" w:cs="宋体"/>
                <w:sz w:val="24"/>
              </w:rPr>
            </w:pPr>
            <w:r>
              <w:rPr>
                <w:rFonts w:hint="eastAsia" w:ascii="宋体" w:hAnsi="宋体" w:cs="宋体"/>
                <w:sz w:val="24"/>
              </w:rPr>
              <w:t>（3）其他要求：</w:t>
            </w:r>
          </w:p>
          <w:p>
            <w:pPr>
              <w:numPr>
                <w:ilvl w:val="0"/>
                <w:numId w:val="8"/>
              </w:numPr>
              <w:spacing w:line="360" w:lineRule="auto"/>
              <w:ind w:left="0" w:firstLine="0"/>
              <w:jc w:val="left"/>
              <w:rPr>
                <w:rFonts w:ascii="宋体" w:hAnsi="宋体" w:cs="宋体"/>
                <w:sz w:val="24"/>
              </w:rPr>
            </w:pPr>
            <w:r>
              <w:rPr>
                <w:rFonts w:hint="eastAsia" w:ascii="宋体" w:hAnsi="宋体" w:cs="宋体"/>
                <w:sz w:val="24"/>
              </w:rPr>
              <w:t>分包承担主体应具备的资质条件：</w:t>
            </w:r>
            <w:r>
              <w:rPr>
                <w:rFonts w:hint="eastAsia" w:ascii="宋体" w:hAnsi="宋体" w:cs="宋体"/>
                <w:iCs/>
                <w:sz w:val="24"/>
                <w:u w:val="single"/>
              </w:rPr>
              <w:t xml:space="preserve">       </w:t>
            </w:r>
            <w:r>
              <w:rPr>
                <w:rFonts w:hint="eastAsia" w:ascii="宋体" w:hAnsi="宋体" w:cs="宋体"/>
                <w:sz w:val="24"/>
              </w:rPr>
              <w:t>。（如有特殊资质要求据实填写）</w:t>
            </w:r>
          </w:p>
          <w:p>
            <w:pPr>
              <w:numPr>
                <w:ilvl w:val="0"/>
                <w:numId w:val="8"/>
              </w:numPr>
              <w:spacing w:line="360" w:lineRule="auto"/>
              <w:ind w:left="0" w:firstLine="0"/>
              <w:rPr>
                <w:rFonts w:ascii="宋体" w:hAnsi="宋体" w:cs="宋体"/>
                <w:sz w:val="24"/>
              </w:rPr>
            </w:pPr>
            <w:r>
              <w:rPr>
                <w:rFonts w:hint="eastAsia" w:ascii="宋体" w:hAnsi="宋体" w:cs="宋体"/>
                <w:sz w:val="24"/>
              </w:rPr>
              <w:t>若项目或相关采购包要求通过分包措施预留部分采购份额面向中小企业采购、且投标人因落实政府采购政策拟进行分包的，须按本招标文件第七章《投标文件格式》一、资格证明文件格式第2-2项及其附件提交投标文件相应内容； 非因以上原因而允许分包、且投标人拟进行分包的，须按本招标文件第七章《投标文件格式》二、商务技术文件格式第8项提交投标文件相应内容。</w:t>
            </w:r>
          </w:p>
          <w:p>
            <w:pPr>
              <w:numPr>
                <w:ilvl w:val="0"/>
                <w:numId w:val="8"/>
              </w:numPr>
              <w:spacing w:line="360" w:lineRule="auto"/>
              <w:ind w:left="0" w:firstLine="0"/>
              <w:rPr>
                <w:rFonts w:ascii="宋体" w:hAnsi="宋体" w:cs="宋体"/>
                <w:sz w:val="24"/>
                <w:u w:val="single"/>
              </w:rPr>
            </w:pPr>
            <w:r>
              <w:rPr>
                <w:rFonts w:hint="eastAsia" w:ascii="宋体" w:hAnsi="宋体" w:cs="宋体"/>
                <w:sz w:val="24"/>
              </w:rPr>
              <w:t>依据《政府采购促进中小企业发展管理办法》（财库﹝2020﹞46号）文件规定享受扶持政策获得政府采购合同的，小微企业不得将合同分包给大中型企业，中型企业不得将合同分包给大型企业。</w:t>
            </w:r>
          </w:p>
          <w:p>
            <w:pPr>
              <w:numPr>
                <w:ilvl w:val="0"/>
                <w:numId w:val="8"/>
              </w:numPr>
              <w:spacing w:line="360" w:lineRule="auto"/>
              <w:ind w:left="0" w:firstLine="0"/>
              <w:jc w:val="left"/>
              <w:rPr>
                <w:rFonts w:ascii="宋体" w:hAnsi="宋体" w:cs="宋体"/>
                <w:sz w:val="24"/>
                <w:u w:val="single"/>
              </w:rPr>
            </w:pPr>
            <w:r>
              <w:rPr>
                <w:rFonts w:hint="eastAsia" w:ascii="宋体" w:hAnsi="宋体" w:cs="宋体"/>
                <w:sz w:val="24"/>
              </w:rPr>
              <w:t>分包承担主体不得再次分包。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523"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30" w:type="dxa"/>
            <w:gridSpan w:val="2"/>
            <w:vAlign w:val="center"/>
          </w:tcPr>
          <w:p>
            <w:pPr>
              <w:jc w:val="center"/>
              <w:rPr>
                <w:sz w:val="24"/>
              </w:rPr>
            </w:pPr>
            <w:r>
              <w:rPr>
                <w:sz w:val="24"/>
              </w:rPr>
              <w:t>询问</w:t>
            </w:r>
          </w:p>
        </w:tc>
        <w:tc>
          <w:tcPr>
            <w:tcW w:w="6625" w:type="dxa"/>
            <w:vAlign w:val="center"/>
          </w:tcPr>
          <w:p>
            <w:pPr>
              <w:jc w:val="left"/>
              <w:rPr>
                <w:sz w:val="24"/>
              </w:rPr>
            </w:pPr>
            <w:r>
              <w:rPr>
                <w:sz w:val="24"/>
              </w:rPr>
              <w:t>询问送达形式：</w:t>
            </w:r>
            <w:r>
              <w:rPr>
                <w:rFonts w:hint="eastAsia"/>
                <w:sz w:val="24"/>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20" w:hRule="atLeast"/>
          <w:jc w:val="center"/>
        </w:trPr>
        <w:tc>
          <w:tcPr>
            <w:tcW w:w="993"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30" w:type="dxa"/>
            <w:gridSpan w:val="2"/>
            <w:vAlign w:val="center"/>
          </w:tcPr>
          <w:p>
            <w:pPr>
              <w:jc w:val="center"/>
              <w:rPr>
                <w:sz w:val="24"/>
              </w:rPr>
            </w:pPr>
            <w:r>
              <w:rPr>
                <w:sz w:val="24"/>
              </w:rPr>
              <w:t>联系方式</w:t>
            </w:r>
          </w:p>
        </w:tc>
        <w:tc>
          <w:tcPr>
            <w:tcW w:w="6625" w:type="dxa"/>
            <w:vAlign w:val="bottom"/>
          </w:tcPr>
          <w:p>
            <w:pPr>
              <w:spacing w:line="360" w:lineRule="auto"/>
              <w:jc w:val="left"/>
              <w:rPr>
                <w:sz w:val="24"/>
              </w:rPr>
            </w:pPr>
            <w:r>
              <w:rPr>
                <w:sz w:val="24"/>
              </w:rPr>
              <w:t>接收询问和质疑的联系方式：</w:t>
            </w:r>
          </w:p>
          <w:p>
            <w:pPr>
              <w:spacing w:line="360" w:lineRule="auto"/>
              <w:jc w:val="left"/>
              <w:rPr>
                <w:sz w:val="24"/>
              </w:rPr>
            </w:pPr>
            <w:r>
              <w:rPr>
                <w:rFonts w:hint="eastAsia"/>
                <w:sz w:val="24"/>
              </w:rPr>
              <w:t>同第一章《投标邀请》中“</w:t>
            </w:r>
            <w:r>
              <w:rPr>
                <w:sz w:val="24"/>
              </w:rPr>
              <w:t>七、对本次招标提出询问，请按以下方式联系</w:t>
            </w:r>
            <w:r>
              <w:rPr>
                <w:rFonts w:hint="eastAsia"/>
                <w:sz w:val="24"/>
              </w:rPr>
              <w:t>”中的联系方式。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6662"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sz w:val="24"/>
              </w:rPr>
            </w:pPr>
            <w:r>
              <w:rPr>
                <w:rFonts w:hint="eastAsia" w:ascii="宋体" w:hAnsi="宋体" w:cs="宋体"/>
                <w:sz w:val="24"/>
              </w:rPr>
              <w:t>收费对象：</w:t>
            </w:r>
          </w:p>
          <w:p>
            <w:pPr>
              <w:spacing w:line="360" w:lineRule="auto"/>
              <w:jc w:val="left"/>
              <w:rPr>
                <w:rFonts w:ascii="宋体" w:hAnsi="宋体" w:cs="宋体"/>
                <w:sz w:val="24"/>
              </w:rPr>
            </w:pPr>
            <w:r>
              <w:rPr>
                <w:rFonts w:hint="eastAsia" w:ascii="宋体" w:hAnsi="宋体" w:cs="宋体"/>
                <w:sz w:val="24"/>
              </w:rPr>
              <w:t>□采购人</w:t>
            </w:r>
          </w:p>
          <w:p>
            <w:pPr>
              <w:spacing w:line="360" w:lineRule="auto"/>
              <w:jc w:val="left"/>
              <w:rPr>
                <w:rFonts w:ascii="宋体" w:hAnsi="宋体" w:cs="宋体"/>
                <w:sz w:val="24"/>
              </w:rPr>
            </w:pPr>
            <w:r>
              <w:rPr>
                <w:rFonts w:hint="eastAsia" w:ascii="宋体" w:hAnsi="宋体" w:cs="宋体"/>
                <w:sz w:val="24"/>
              </w:rPr>
              <w:t>■中标人</w:t>
            </w:r>
          </w:p>
          <w:p>
            <w:pPr>
              <w:spacing w:line="360" w:lineRule="auto"/>
              <w:jc w:val="left"/>
              <w:rPr>
                <w:rFonts w:ascii="宋体" w:hAnsi="宋体" w:cs="宋体"/>
                <w:sz w:val="24"/>
              </w:rPr>
            </w:pPr>
            <w:r>
              <w:rPr>
                <w:rFonts w:hint="eastAsia" w:ascii="宋体" w:hAnsi="宋体" w:cs="宋体"/>
                <w:sz w:val="24"/>
              </w:rPr>
              <w:t>收费标准：</w:t>
            </w:r>
          </w:p>
          <w:p>
            <w:pPr>
              <w:spacing w:line="360" w:lineRule="auto"/>
              <w:jc w:val="left"/>
              <w:rPr>
                <w:rFonts w:ascii="宋体" w:hAnsi="宋体" w:cs="宋体"/>
                <w:sz w:val="24"/>
              </w:rPr>
            </w:pPr>
            <w:r>
              <w:rPr>
                <w:rFonts w:hint="eastAsia" w:ascii="宋体" w:hAnsi="宋体" w:cs="宋体"/>
                <w:sz w:val="24"/>
              </w:rPr>
              <w:t>代理服务费金额为：</w:t>
            </w:r>
            <w:r>
              <w:rPr>
                <w:rFonts w:hint="eastAsia" w:ascii="宋体" w:hAnsi="宋体" w:cs="宋体"/>
                <w:sz w:val="24"/>
                <w:lang w:val="en-US" w:eastAsia="zh-CN"/>
              </w:rPr>
              <w:t>包1、包2、包4</w:t>
            </w:r>
            <w:r>
              <w:rPr>
                <w:rFonts w:hint="eastAsia" w:ascii="宋体" w:hAnsi="宋体" w:cs="宋体"/>
                <w:sz w:val="24"/>
              </w:rPr>
              <w:t>人民币</w:t>
            </w:r>
            <w:r>
              <w:rPr>
                <w:rFonts w:hint="eastAsia" w:ascii="宋体" w:hAnsi="宋体" w:cs="宋体"/>
                <w:sz w:val="24"/>
                <w:lang w:val="en-US" w:eastAsia="zh-CN"/>
              </w:rPr>
              <w:t>5000.00</w:t>
            </w:r>
            <w:r>
              <w:rPr>
                <w:rFonts w:hint="eastAsia" w:ascii="宋体" w:hAnsi="宋体" w:cs="宋体"/>
                <w:sz w:val="24"/>
              </w:rPr>
              <w:t>元</w:t>
            </w:r>
            <w:r>
              <w:rPr>
                <w:rFonts w:hint="eastAsia" w:ascii="宋体" w:hAnsi="宋体" w:cs="宋体"/>
                <w:sz w:val="24"/>
                <w:lang w:eastAsia="zh-CN"/>
              </w:rPr>
              <w:t>，</w:t>
            </w:r>
            <w:r>
              <w:rPr>
                <w:rFonts w:hint="eastAsia" w:ascii="宋体" w:hAnsi="宋体" w:cs="宋体"/>
                <w:sz w:val="24"/>
                <w:lang w:val="en-US" w:eastAsia="zh-CN"/>
              </w:rPr>
              <w:t>包3人民币3000.00元。</w:t>
            </w:r>
          </w:p>
          <w:p>
            <w:pPr>
              <w:spacing w:line="360" w:lineRule="auto"/>
              <w:jc w:val="left"/>
              <w:rPr>
                <w:rFonts w:ascii="宋体" w:hAnsi="宋体" w:cs="宋体"/>
                <w:sz w:val="24"/>
              </w:rPr>
            </w:pPr>
            <w:r>
              <w:rPr>
                <w:rFonts w:hint="eastAsia" w:ascii="宋体" w:hAnsi="宋体" w:cs="宋体"/>
                <w:sz w:val="24"/>
              </w:rPr>
              <w:t>缴纳时间：中标人须一次性向采购代理机构缴纳代理费。</w:t>
            </w:r>
          </w:p>
          <w:p>
            <w:pPr>
              <w:pStyle w:val="2"/>
              <w:spacing w:line="360" w:lineRule="auto"/>
              <w:rPr>
                <w:rFonts w:cs="宋体"/>
              </w:rPr>
            </w:pPr>
            <w:r>
              <w:rPr>
                <w:rFonts w:hint="eastAsia" w:cs="宋体"/>
              </w:rPr>
              <w:t>缴纳方式：电汇</w:t>
            </w:r>
          </w:p>
          <w:p>
            <w:pPr>
              <w:pStyle w:val="2"/>
              <w:spacing w:line="360" w:lineRule="auto"/>
            </w:pPr>
            <w:r>
              <w:rPr>
                <w:rFonts w:hint="eastAsia" w:cs="宋体"/>
              </w:rPr>
              <w:t>接收采购代理服务费的银行账号：同投标保证金账号。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jc w:val="center"/>
        </w:trPr>
        <w:tc>
          <w:tcPr>
            <w:tcW w:w="9356" w:type="dxa"/>
            <w:gridSpan w:val="5"/>
            <w:tcBorders>
              <w:top w:val="single" w:color="auto" w:sz="4" w:space="0"/>
              <w:left w:val="single" w:color="auto" w:sz="4" w:space="0"/>
              <w:bottom w:val="single" w:color="auto" w:sz="4" w:space="0"/>
            </w:tcBorders>
            <w:vAlign w:val="center"/>
          </w:tcPr>
          <w:p>
            <w:pPr>
              <w:jc w:val="left"/>
              <w:rPr>
                <w:sz w:val="24"/>
              </w:rPr>
            </w:pPr>
            <w:r>
              <w:rPr>
                <w:rFonts w:hint="eastAsia"/>
                <w:sz w:val="24"/>
              </w:rPr>
              <w:t>适用于本须知资料表的其他条款：/</w:t>
            </w:r>
          </w:p>
        </w:tc>
      </w:tr>
    </w:tbl>
    <w:p>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cols w:space="720" w:num="1"/>
          <w:titlePg/>
          <w:docGrid w:linePitch="462" w:charSpace="0"/>
        </w:sectPr>
      </w:pPr>
    </w:p>
    <w:p>
      <w:pPr>
        <w:pStyle w:val="5"/>
        <w:tabs>
          <w:tab w:val="center" w:pos="4592"/>
          <w:tab w:val="left" w:pos="7860"/>
        </w:tabs>
        <w:spacing w:before="0" w:line="360" w:lineRule="auto"/>
        <w:rPr>
          <w:rFonts w:ascii="Times New Roman" w:hAnsi="Times New Roman" w:eastAsia="宋体"/>
          <w:sz w:val="28"/>
        </w:rPr>
      </w:pPr>
      <w:bookmarkStart w:id="76" w:name="_Toc353873932"/>
      <w:bookmarkStart w:id="77" w:name="_Toc150480755"/>
      <w:bookmarkStart w:id="78" w:name="_Toc305158859"/>
      <w:bookmarkStart w:id="79" w:name="_Toc265228355"/>
      <w:bookmarkStart w:id="80" w:name="_Toc353873662"/>
      <w:bookmarkStart w:id="81" w:name="_Toc305158785"/>
      <w:bookmarkStart w:id="82" w:name="_Toc264969207"/>
      <w:bookmarkStart w:id="83" w:name="_Toc226965790"/>
      <w:bookmarkStart w:id="84" w:name="_Toc226337213"/>
      <w:bookmarkStart w:id="85" w:name="_Toc142311019"/>
      <w:bookmarkStart w:id="86" w:name="_Toc195842882"/>
      <w:bookmarkStart w:id="87" w:name="_Toc353825542"/>
      <w:bookmarkStart w:id="88" w:name="_Toc150774722"/>
      <w:bookmarkStart w:id="89" w:name="_Toc127151517"/>
      <w:r>
        <w:rPr>
          <w:rFonts w:ascii="Times New Roman" w:hAnsi="Times New Roman" w:eastAsia="宋体"/>
          <w:sz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5"/>
        <w:tabs>
          <w:tab w:val="center" w:pos="4592"/>
          <w:tab w:val="left" w:pos="7860"/>
        </w:tabs>
        <w:spacing w:before="0" w:line="360" w:lineRule="auto"/>
        <w:jc w:val="left"/>
        <w:rPr>
          <w:rFonts w:ascii="Times New Roman" w:hAnsi="Times New Roman" w:eastAsia="宋体"/>
          <w:sz w:val="28"/>
        </w:rPr>
      </w:pPr>
      <w:bookmarkStart w:id="90" w:name="_Toc520356143"/>
      <w:bookmarkStart w:id="91" w:name="_Toc127151518"/>
      <w:r>
        <w:rPr>
          <w:rFonts w:ascii="Times New Roman" w:hAnsi="Times New Roman" w:eastAsia="宋体"/>
          <w:sz w:val="28"/>
        </w:rPr>
        <w:tab/>
      </w:r>
      <w:bookmarkEnd w:id="90"/>
      <w:bookmarkEnd w:id="91"/>
      <w:bookmarkStart w:id="92" w:name="_Toc265228356"/>
      <w:bookmarkStart w:id="93" w:name="_Toc305158860"/>
      <w:bookmarkStart w:id="94" w:name="_Toc150774723"/>
      <w:bookmarkStart w:id="95" w:name="_Toc305158786"/>
      <w:bookmarkStart w:id="96" w:name="_Toc150509269"/>
      <w:bookmarkStart w:id="97" w:name="_Toc226965708"/>
      <w:bookmarkStart w:id="98" w:name="_Toc151190145"/>
      <w:bookmarkStart w:id="99" w:name="_Toc226337214"/>
      <w:bookmarkStart w:id="100" w:name="_Toc150774618"/>
      <w:bookmarkStart w:id="101" w:name="_Toc151193616"/>
      <w:bookmarkStart w:id="102" w:name="_Toc151193688"/>
      <w:bookmarkStart w:id="103" w:name="_Toc226965791"/>
      <w:bookmarkStart w:id="104" w:name="_Toc226309762"/>
      <w:bookmarkStart w:id="105" w:name="_Toc151193906"/>
      <w:bookmarkStart w:id="106" w:name="_Toc150480756"/>
      <w:bookmarkStart w:id="107" w:name="_Toc142311020"/>
      <w:bookmarkStart w:id="108" w:name="_Toc264969208"/>
      <w:bookmarkStart w:id="109" w:name="_Toc195842883"/>
      <w:bookmarkStart w:id="110" w:name="_Toc151193832"/>
      <w:bookmarkStart w:id="111" w:name="_Toc151193760"/>
      <w:r>
        <w:rPr>
          <w:rFonts w:ascii="Times New Roman" w:hAnsi="Times New Roman" w:eastAsia="宋体"/>
          <w:sz w:val="28"/>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sz w:val="28"/>
        </w:rPr>
        <w:tab/>
      </w:r>
    </w:p>
    <w:p>
      <w:pPr>
        <w:numPr>
          <w:ilvl w:val="0"/>
          <w:numId w:val="9"/>
        </w:numPr>
        <w:tabs>
          <w:tab w:val="left" w:pos="360"/>
          <w:tab w:val="left" w:pos="900"/>
        </w:tabs>
        <w:snapToGrid w:val="0"/>
        <w:spacing w:line="360" w:lineRule="auto"/>
        <w:ind w:left="357" w:hanging="357"/>
        <w:outlineLvl w:val="1"/>
        <w:rPr>
          <w:sz w:val="24"/>
        </w:rPr>
      </w:pPr>
      <w:bookmarkStart w:id="112" w:name="_Toc264969209"/>
      <w:bookmarkStart w:id="113" w:name="_Toc305158787"/>
      <w:bookmarkStart w:id="114" w:name="_Toc305158861"/>
      <w:bookmarkStart w:id="115" w:name="_Toc265228357"/>
      <w:r>
        <w:rPr>
          <w:sz w:val="24"/>
        </w:rPr>
        <w:t>采购人、采购代理机构、投标人</w:t>
      </w:r>
      <w:bookmarkEnd w:id="112"/>
      <w:bookmarkEnd w:id="113"/>
      <w:bookmarkEnd w:id="114"/>
      <w:bookmarkEnd w:id="115"/>
      <w:r>
        <w:rPr>
          <w:rFonts w:hint="eastAsia"/>
          <w:sz w:val="24"/>
        </w:rPr>
        <w:t>、联合体</w:t>
      </w:r>
    </w:p>
    <w:p>
      <w:pPr>
        <w:numPr>
          <w:ilvl w:val="1"/>
          <w:numId w:val="9"/>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1589"/>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9"/>
        </w:numPr>
        <w:tabs>
          <w:tab w:val="left" w:pos="1080"/>
          <w:tab w:val="left" w:pos="1589"/>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9"/>
        </w:numPr>
        <w:tabs>
          <w:tab w:val="left" w:pos="360"/>
          <w:tab w:val="left" w:pos="900"/>
        </w:tabs>
        <w:snapToGrid w:val="0"/>
        <w:spacing w:line="360" w:lineRule="auto"/>
        <w:ind w:left="357" w:hanging="357"/>
        <w:outlineLvl w:val="1"/>
        <w:rPr>
          <w:sz w:val="24"/>
        </w:rPr>
      </w:pPr>
      <w:bookmarkStart w:id="116" w:name="_Toc149720813"/>
      <w:bookmarkStart w:id="117" w:name="_Toc150774725"/>
      <w:bookmarkStart w:id="118" w:name="_Toc164351614"/>
      <w:bookmarkStart w:id="119" w:name="_Toc265228358"/>
      <w:bookmarkStart w:id="120" w:name="_Toc127151520"/>
      <w:bookmarkStart w:id="121" w:name="_Toc151193762"/>
      <w:bookmarkStart w:id="122" w:name="_Toc150509271"/>
      <w:bookmarkStart w:id="123" w:name="_Toc264969210"/>
      <w:bookmarkStart w:id="124" w:name="_Toc151193618"/>
      <w:bookmarkStart w:id="125" w:name="_Toc164608634"/>
      <w:bookmarkStart w:id="126" w:name="_Toc195842885"/>
      <w:bookmarkStart w:id="127" w:name="_Toc151190147"/>
      <w:bookmarkStart w:id="128" w:name="_Toc142311022"/>
      <w:bookmarkStart w:id="129" w:name="_Toc151193690"/>
      <w:bookmarkStart w:id="130" w:name="_Toc127161434"/>
      <w:bookmarkStart w:id="131" w:name="_Toc164608789"/>
      <w:bookmarkStart w:id="132" w:name="_Toc226309764"/>
      <w:bookmarkStart w:id="133" w:name="_Toc305158788"/>
      <w:bookmarkStart w:id="134" w:name="_Toc150480758"/>
      <w:bookmarkStart w:id="135" w:name="_Toc226337216"/>
      <w:bookmarkStart w:id="136" w:name="_Toc164229361"/>
      <w:bookmarkStart w:id="137" w:name="_Toc226965793"/>
      <w:bookmarkStart w:id="138" w:name="_Toc305158862"/>
      <w:bookmarkStart w:id="139" w:name="_Toc164229215"/>
      <w:bookmarkStart w:id="140" w:name="_Toc127151721"/>
      <w:bookmarkStart w:id="141" w:name="_Toc150774620"/>
      <w:bookmarkStart w:id="142" w:name="_Toc226965710"/>
      <w:bookmarkStart w:id="143" w:name="_Toc151193834"/>
      <w:bookmarkStart w:id="144" w:name="_Toc151193908"/>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pPr>
        <w:numPr>
          <w:ilvl w:val="1"/>
          <w:numId w:val="9"/>
        </w:numPr>
        <w:tabs>
          <w:tab w:val="left" w:pos="1080"/>
          <w:tab w:val="left" w:pos="1589"/>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9"/>
        </w:numPr>
        <w:tabs>
          <w:tab w:val="left" w:pos="1080"/>
          <w:tab w:val="left" w:pos="1589"/>
          <w:tab w:val="left" w:pos="2014"/>
        </w:tabs>
        <w:snapToGrid w:val="0"/>
        <w:spacing w:line="360" w:lineRule="auto"/>
        <w:ind w:left="1080" w:hanging="720"/>
        <w:rPr>
          <w:sz w:val="24"/>
        </w:rPr>
      </w:pPr>
      <w:r>
        <w:rPr>
          <w:sz w:val="24"/>
        </w:rPr>
        <w:t>项目属性见《投标人须知资料表》。</w:t>
      </w:r>
    </w:p>
    <w:p>
      <w:pPr>
        <w:numPr>
          <w:ilvl w:val="1"/>
          <w:numId w:val="9"/>
        </w:numPr>
        <w:tabs>
          <w:tab w:val="left" w:pos="1080"/>
          <w:tab w:val="left" w:pos="1589"/>
          <w:tab w:val="left" w:pos="2014"/>
        </w:tabs>
        <w:snapToGrid w:val="0"/>
        <w:spacing w:line="360" w:lineRule="auto"/>
        <w:ind w:left="1080" w:hanging="720"/>
        <w:rPr>
          <w:sz w:val="24"/>
        </w:rPr>
      </w:pPr>
      <w:r>
        <w:rPr>
          <w:sz w:val="24"/>
        </w:rPr>
        <w:t>是否属于科研仪器设备采购见《投标人须知资料表》。</w:t>
      </w:r>
    </w:p>
    <w:p>
      <w:pPr>
        <w:numPr>
          <w:ilvl w:val="1"/>
          <w:numId w:val="9"/>
        </w:numPr>
        <w:tabs>
          <w:tab w:val="left" w:pos="1080"/>
          <w:tab w:val="left" w:pos="1589"/>
          <w:tab w:val="left" w:pos="2014"/>
          <w:tab w:val="left" w:pos="5521"/>
        </w:tabs>
        <w:snapToGrid w:val="0"/>
        <w:spacing w:line="360" w:lineRule="auto"/>
        <w:ind w:left="1080" w:hanging="720"/>
        <w:rPr>
          <w:sz w:val="24"/>
        </w:rPr>
      </w:pPr>
      <w:r>
        <w:rPr>
          <w:sz w:val="24"/>
        </w:rPr>
        <w:t>核心产品见《投标人须知资料表》。</w:t>
      </w:r>
    </w:p>
    <w:p>
      <w:pPr>
        <w:numPr>
          <w:ilvl w:val="0"/>
          <w:numId w:val="9"/>
        </w:numPr>
        <w:tabs>
          <w:tab w:val="left" w:pos="360"/>
          <w:tab w:val="left" w:pos="900"/>
        </w:tabs>
        <w:snapToGrid w:val="0"/>
        <w:spacing w:line="360" w:lineRule="auto"/>
        <w:ind w:left="357" w:hanging="357"/>
        <w:outlineLvl w:val="1"/>
        <w:rPr>
          <w:sz w:val="24"/>
        </w:rPr>
      </w:pPr>
      <w:r>
        <w:rPr>
          <w:sz w:val="24"/>
        </w:rPr>
        <w:t>现场考察、开标前答疑会</w:t>
      </w:r>
    </w:p>
    <w:p>
      <w:pPr>
        <w:numPr>
          <w:ilvl w:val="1"/>
          <w:numId w:val="9"/>
        </w:numPr>
        <w:tabs>
          <w:tab w:val="left" w:pos="1080"/>
          <w:tab w:val="left" w:pos="1589"/>
          <w:tab w:val="left" w:pos="2014"/>
        </w:tabs>
        <w:snapToGrid w:val="0"/>
        <w:spacing w:line="360" w:lineRule="auto"/>
        <w:ind w:left="1080" w:hanging="720"/>
      </w:pPr>
      <w:r>
        <w:rPr>
          <w:sz w:val="24"/>
        </w:rPr>
        <w:t>若《投标人须知资料表》中规定了组织现场考察、召开开标前答疑会，则投标人应按要求在规定的时间和地点参加。</w:t>
      </w:r>
      <w:bookmarkStart w:id="145" w:name="_Toc142311024"/>
      <w:bookmarkStart w:id="146" w:name="_Toc226965712"/>
      <w:bookmarkStart w:id="147" w:name="_Toc151193910"/>
      <w:bookmarkStart w:id="148" w:name="_Toc226309766"/>
      <w:bookmarkStart w:id="149" w:name="_Toc265228360"/>
      <w:bookmarkStart w:id="150" w:name="_Toc195842887"/>
      <w:bookmarkStart w:id="151" w:name="_Toc150509273"/>
      <w:bookmarkStart w:id="152" w:name="_Toc520356146"/>
      <w:bookmarkStart w:id="153" w:name="_Toc264969212"/>
      <w:bookmarkStart w:id="154" w:name="_Toc226337218"/>
      <w:bookmarkStart w:id="155" w:name="_Toc127151522"/>
      <w:bookmarkStart w:id="156" w:name="_Toc151193692"/>
      <w:bookmarkStart w:id="157" w:name="_Toc150480760"/>
      <w:bookmarkStart w:id="158" w:name="_Toc305158864"/>
      <w:bookmarkStart w:id="159" w:name="_Toc151190149"/>
      <w:bookmarkStart w:id="160" w:name="_Toc151193620"/>
      <w:bookmarkStart w:id="161" w:name="_Toc151193764"/>
      <w:bookmarkStart w:id="162" w:name="_Toc226965795"/>
      <w:bookmarkStart w:id="163" w:name="_Toc150774622"/>
      <w:bookmarkStart w:id="164" w:name="_Toc305158790"/>
      <w:bookmarkStart w:id="165" w:name="_Toc151193836"/>
      <w:bookmarkStart w:id="166" w:name="_Toc150774727"/>
    </w:p>
    <w:p>
      <w:pPr>
        <w:tabs>
          <w:tab w:val="left" w:pos="1080"/>
          <w:tab w:val="left" w:pos="2014"/>
        </w:tabs>
        <w:snapToGrid w:val="0"/>
        <w:spacing w:line="360" w:lineRule="auto"/>
        <w:ind w:left="1056" w:leftChars="200" w:hanging="636" w:hangingChars="265"/>
        <w:rPr>
          <w:sz w:val="24"/>
        </w:rPr>
      </w:pPr>
      <w:r>
        <w:rPr>
          <w:rFonts w:hint="eastAsia"/>
          <w:sz w:val="24"/>
        </w:rPr>
        <w:t xml:space="preserve">3.2   </w:t>
      </w: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 w:val="left" w:pos="900"/>
        </w:tabs>
        <w:snapToGrid w:val="0"/>
        <w:spacing w:line="360" w:lineRule="auto"/>
        <w:ind w:left="357" w:hanging="357"/>
        <w:outlineLvl w:val="1"/>
        <w:rPr>
          <w:sz w:val="24"/>
        </w:rPr>
      </w:pPr>
      <w:r>
        <w:rPr>
          <w:sz w:val="24"/>
        </w:rPr>
        <w:t>样品</w:t>
      </w:r>
    </w:p>
    <w:p>
      <w:pPr>
        <w:numPr>
          <w:ilvl w:val="1"/>
          <w:numId w:val="9"/>
        </w:numPr>
        <w:tabs>
          <w:tab w:val="left" w:pos="1080"/>
          <w:tab w:val="left" w:pos="1589"/>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9"/>
        </w:numPr>
        <w:tabs>
          <w:tab w:val="left" w:pos="1080"/>
          <w:tab w:val="left" w:pos="1589"/>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9"/>
        </w:numPr>
        <w:tabs>
          <w:tab w:val="left" w:pos="360"/>
          <w:tab w:val="left" w:pos="900"/>
        </w:tabs>
        <w:snapToGrid w:val="0"/>
        <w:spacing w:line="360" w:lineRule="auto"/>
        <w:ind w:left="357" w:hanging="357"/>
        <w:outlineLvl w:val="1"/>
        <w:rPr>
          <w:sz w:val="24"/>
        </w:rPr>
      </w:pPr>
      <w:r>
        <w:rPr>
          <w:sz w:val="24"/>
        </w:rPr>
        <w:t>政府采购政策（包括但不限于下列具体政策要求）</w:t>
      </w:r>
    </w:p>
    <w:p>
      <w:pPr>
        <w:numPr>
          <w:ilvl w:val="1"/>
          <w:numId w:val="9"/>
        </w:numPr>
        <w:tabs>
          <w:tab w:val="left" w:pos="1080"/>
          <w:tab w:val="left" w:pos="1589"/>
          <w:tab w:val="left" w:pos="2014"/>
        </w:tabs>
        <w:snapToGrid w:val="0"/>
        <w:spacing w:line="360" w:lineRule="auto"/>
        <w:ind w:left="1080" w:hanging="720"/>
        <w:rPr>
          <w:sz w:val="24"/>
        </w:rPr>
      </w:pPr>
      <w:r>
        <w:rPr>
          <w:sz w:val="24"/>
        </w:rPr>
        <w:t>采购本国货物、工程和服务</w:t>
      </w:r>
    </w:p>
    <w:p>
      <w:pPr>
        <w:numPr>
          <w:ilvl w:val="2"/>
          <w:numId w:val="9"/>
        </w:numPr>
        <w:tabs>
          <w:tab w:val="left" w:pos="1980"/>
          <w:tab w:val="left" w:pos="2014"/>
        </w:tabs>
        <w:snapToGrid w:val="0"/>
        <w:spacing w:line="360" w:lineRule="auto"/>
        <w:rPr>
          <w:sz w:val="24"/>
        </w:rPr>
      </w:pPr>
      <w:r>
        <w:rPr>
          <w:rFonts w:hint="eastAsia"/>
          <w:sz w:val="24"/>
        </w:rPr>
        <w:tab/>
      </w:r>
      <w:r>
        <w:rPr>
          <w:rFonts w:hint="eastAsia"/>
          <w:sz w:val="24"/>
        </w:rPr>
        <w:t>政府采购应当采购本国货物、工程和服务。但有《</w:t>
      </w:r>
      <w:r>
        <w:rPr>
          <w:rFonts w:hint="eastAsia"/>
          <w:b/>
          <w:sz w:val="24"/>
        </w:rPr>
        <w:t>中华人民共和国政府采购法</w:t>
      </w:r>
      <w:r>
        <w:rPr>
          <w:rFonts w:hint="eastAsia"/>
          <w:sz w:val="24"/>
        </w:rPr>
        <w:t>》第十条规定情形的除外。</w:t>
      </w:r>
    </w:p>
    <w:p>
      <w:pPr>
        <w:numPr>
          <w:ilvl w:val="2"/>
          <w:numId w:val="9"/>
        </w:numPr>
        <w:tabs>
          <w:tab w:val="left" w:pos="1980"/>
          <w:tab w:val="left" w:pos="2014"/>
        </w:tabs>
        <w:snapToGrid w:val="0"/>
        <w:spacing w:line="360" w:lineRule="auto"/>
        <w:rPr>
          <w:sz w:val="24"/>
        </w:rPr>
      </w:pPr>
      <w:r>
        <w:rPr>
          <w:rFonts w:hint="eastAsia"/>
          <w:sz w:val="24"/>
        </w:rPr>
        <w:t>本项目如接受非本国货物、工程、服务参与投标，则具体要求见第四章《采购需求》。</w:t>
      </w:r>
    </w:p>
    <w:p>
      <w:pPr>
        <w:numPr>
          <w:ilvl w:val="2"/>
          <w:numId w:val="9"/>
        </w:numPr>
        <w:tabs>
          <w:tab w:val="left" w:pos="1980"/>
          <w:tab w:val="left" w:pos="2014"/>
        </w:tabs>
        <w:snapToGrid w:val="0"/>
        <w:spacing w:line="360" w:lineRule="auto"/>
        <w:rPr>
          <w:sz w:val="24"/>
        </w:rPr>
      </w:pP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pStyle w:val="264"/>
        <w:numPr>
          <w:ilvl w:val="1"/>
          <w:numId w:val="10"/>
        </w:numPr>
        <w:tabs>
          <w:tab w:val="left" w:pos="1201"/>
          <w:tab w:val="left" w:pos="1202"/>
        </w:tabs>
        <w:spacing w:before="50" w:after="0" w:line="240" w:lineRule="auto"/>
        <w:ind w:left="1201" w:right="0" w:hanging="720"/>
        <w:jc w:val="left"/>
        <w:rPr>
          <w:rFonts w:ascii="Lucida Sans" w:eastAsia="Lucida Sans"/>
          <w:sz w:val="24"/>
        </w:rPr>
      </w:pPr>
      <w:r>
        <w:rPr>
          <w:sz w:val="24"/>
        </w:rPr>
        <w:t>中小企业、监狱企业及残疾人福利性单位</w:t>
      </w:r>
    </w:p>
    <w:p>
      <w:pPr>
        <w:pStyle w:val="264"/>
        <w:numPr>
          <w:ilvl w:val="2"/>
          <w:numId w:val="10"/>
        </w:numPr>
        <w:tabs>
          <w:tab w:val="left" w:pos="2101"/>
          <w:tab w:val="left" w:pos="2102"/>
        </w:tabs>
        <w:spacing w:before="134" w:after="0" w:line="240" w:lineRule="auto"/>
        <w:ind w:left="2101" w:right="0" w:hanging="900"/>
        <w:jc w:val="left"/>
        <w:rPr>
          <w:rFonts w:ascii="Lucida Sans" w:eastAsia="Lucida Sans"/>
          <w:sz w:val="24"/>
        </w:rPr>
      </w:pPr>
      <w:r>
        <w:rPr>
          <w:sz w:val="24"/>
        </w:rPr>
        <w:t>中小企业定义：</w:t>
      </w:r>
    </w:p>
    <w:p>
      <w:pPr>
        <w:pStyle w:val="264"/>
        <w:numPr>
          <w:ilvl w:val="3"/>
          <w:numId w:val="10"/>
        </w:numPr>
        <w:tabs>
          <w:tab w:val="left" w:pos="3007"/>
        </w:tabs>
        <w:spacing w:before="137" w:after="0" w:line="352" w:lineRule="auto"/>
        <w:ind w:left="3006" w:right="166" w:hanging="9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中小企业是指在中华人民共和国境内依法设立，依据国务院</w:t>
      </w:r>
      <w:r>
        <w:rPr>
          <w:rFonts w:hint="eastAsia" w:asciiTheme="minorEastAsia" w:hAnsiTheme="minorEastAsia" w:eastAsiaTheme="minorEastAsia" w:cstheme="minorEastAsia"/>
          <w:spacing w:val="-6"/>
          <w:sz w:val="24"/>
          <w:szCs w:val="24"/>
        </w:rPr>
        <w:t>批准的中小企业划分标准确定的中型企业、小型企业和微型</w:t>
      </w:r>
      <w:r>
        <w:rPr>
          <w:rFonts w:hint="eastAsia" w:asciiTheme="minorEastAsia" w:hAnsiTheme="minorEastAsia" w:eastAsiaTheme="minorEastAsia" w:cstheme="minorEastAsia"/>
          <w:spacing w:val="-8"/>
          <w:sz w:val="24"/>
          <w:szCs w:val="24"/>
        </w:rPr>
        <w:t>企业，但与大企业的负责人为同一人，或者与大企业存在直</w:t>
      </w:r>
      <w:r>
        <w:rPr>
          <w:rFonts w:hint="eastAsia" w:asciiTheme="minorEastAsia" w:hAnsiTheme="minorEastAsia" w:eastAsiaTheme="minorEastAsia" w:cstheme="minorEastAsia"/>
          <w:spacing w:val="-10"/>
          <w:sz w:val="24"/>
          <w:szCs w:val="24"/>
        </w:rPr>
        <w:t>接控股、管理关系的除外。符合中小企业划分标准的个体工</w:t>
      </w:r>
      <w:r>
        <w:rPr>
          <w:rFonts w:hint="eastAsia" w:asciiTheme="minorEastAsia" w:hAnsiTheme="minorEastAsia" w:eastAsiaTheme="minorEastAsia" w:cstheme="minorEastAsia"/>
          <w:spacing w:val="-9"/>
          <w:sz w:val="24"/>
          <w:szCs w:val="24"/>
        </w:rPr>
        <w:t>商户，在政府采购活动中视同中小企业。关于中小企业的相</w:t>
      </w:r>
      <w:r>
        <w:rPr>
          <w:rFonts w:hint="eastAsia" w:asciiTheme="minorEastAsia" w:hAnsiTheme="minorEastAsia" w:eastAsiaTheme="minorEastAsia" w:cstheme="minorEastAsia"/>
          <w:spacing w:val="-14"/>
          <w:sz w:val="24"/>
          <w:szCs w:val="24"/>
        </w:rPr>
        <w:t>关规定依据《中华人民共和国中小企业促进法》</w:t>
      </w:r>
      <w:r>
        <w:rPr>
          <w:rFonts w:hint="eastAsia" w:asciiTheme="minorEastAsia" w:hAnsiTheme="minorEastAsia" w:eastAsiaTheme="minorEastAsia" w:cstheme="minorEastAsia"/>
          <w:spacing w:val="-26"/>
          <w:sz w:val="24"/>
          <w:szCs w:val="24"/>
        </w:rPr>
        <w:t>、《关于进一</w:t>
      </w:r>
      <w:r>
        <w:rPr>
          <w:rFonts w:hint="eastAsia" w:asciiTheme="minorEastAsia" w:hAnsiTheme="minorEastAsia" w:eastAsiaTheme="minorEastAsia" w:cstheme="minorEastAsia"/>
          <w:spacing w:val="-8"/>
          <w:sz w:val="24"/>
          <w:szCs w:val="24"/>
        </w:rPr>
        <w:t>步加大政府采购支持中小企业力度的通知》</w:t>
      </w:r>
      <w:r>
        <w:rPr>
          <w:rFonts w:hint="eastAsia" w:asciiTheme="minorEastAsia" w:hAnsiTheme="minorEastAsia" w:eastAsiaTheme="minorEastAsia" w:cstheme="minorEastAsia"/>
          <w:sz w:val="24"/>
          <w:szCs w:val="24"/>
        </w:rPr>
        <w:t xml:space="preserve">（财库〔2022〕19 </w:t>
      </w:r>
      <w:r>
        <w:rPr>
          <w:rFonts w:hint="eastAsia" w:asciiTheme="minorEastAsia" w:hAnsiTheme="minorEastAsia" w:eastAsiaTheme="minorEastAsia" w:cstheme="minorEastAsia"/>
          <w:spacing w:val="15"/>
          <w:sz w:val="24"/>
          <w:szCs w:val="24"/>
        </w:rPr>
        <w:t>号</w:t>
      </w:r>
      <w:r>
        <w:rPr>
          <w:rFonts w:hint="eastAsia" w:asciiTheme="minorEastAsia" w:hAnsiTheme="minorEastAsia" w:eastAsiaTheme="minorEastAsia" w:cstheme="minorEastAsia"/>
          <w:spacing w:val="-101"/>
          <w:sz w:val="24"/>
          <w:szCs w:val="24"/>
        </w:rPr>
        <w:t>）</w:t>
      </w:r>
      <w:r>
        <w:rPr>
          <w:rFonts w:hint="eastAsia" w:asciiTheme="minorEastAsia" w:hAnsiTheme="minorEastAsia" w:eastAsiaTheme="minorEastAsia" w:cstheme="minorEastAsia"/>
          <w:spacing w:val="-2"/>
          <w:sz w:val="24"/>
          <w:szCs w:val="24"/>
        </w:rPr>
        <w:t>、《政府采购促进中小企业发展管理办法》</w:t>
      </w:r>
      <w:r>
        <w:rPr>
          <w:rFonts w:hint="eastAsia" w:asciiTheme="minorEastAsia" w:hAnsiTheme="minorEastAsia" w:eastAsiaTheme="minorEastAsia" w:cstheme="minorEastAsia"/>
          <w:spacing w:val="15"/>
          <w:sz w:val="24"/>
          <w:szCs w:val="24"/>
        </w:rPr>
        <w:t>（</w:t>
      </w:r>
      <w:r>
        <w:rPr>
          <w:rFonts w:hint="eastAsia" w:asciiTheme="minorEastAsia" w:hAnsiTheme="minorEastAsia" w:eastAsiaTheme="minorEastAsia" w:cstheme="minorEastAsia"/>
          <w:spacing w:val="7"/>
          <w:sz w:val="24"/>
          <w:szCs w:val="24"/>
        </w:rPr>
        <w:t>财库</w:t>
      </w:r>
      <w:r>
        <w:rPr>
          <w:rFonts w:hint="eastAsia" w:asciiTheme="minorEastAsia" w:hAnsiTheme="minorEastAsia" w:eastAsiaTheme="minorEastAsia" w:cstheme="minorEastAsia"/>
          <w:sz w:val="24"/>
          <w:szCs w:val="24"/>
        </w:rPr>
        <w:t>〔2020</w:t>
      </w:r>
      <w:r>
        <w:rPr>
          <w:rFonts w:hint="eastAsia" w:asciiTheme="minorEastAsia" w:hAnsiTheme="minorEastAsia" w:eastAsiaTheme="minorEastAsia" w:cstheme="minorEastAsia"/>
          <w:spacing w:val="-94"/>
          <w:sz w:val="24"/>
          <w:szCs w:val="24"/>
        </w:rPr>
        <w:t>〕</w:t>
      </w:r>
      <w:r>
        <w:rPr>
          <w:rFonts w:hint="eastAsia" w:asciiTheme="minorEastAsia" w:hAnsiTheme="minorEastAsia" w:eastAsiaTheme="minorEastAsia" w:cstheme="minorEastAsia"/>
          <w:sz w:val="24"/>
          <w:szCs w:val="24"/>
        </w:rPr>
        <w:t>46 号</w:t>
      </w:r>
      <w:r>
        <w:rPr>
          <w:rFonts w:hint="eastAsia" w:asciiTheme="minorEastAsia" w:hAnsiTheme="minorEastAsia" w:eastAsiaTheme="minorEastAsia" w:cstheme="minorEastAsia"/>
          <w:spacing w:val="-121"/>
          <w:sz w:val="24"/>
          <w:szCs w:val="24"/>
        </w:rPr>
        <w:t>）</w:t>
      </w:r>
      <w:r>
        <w:rPr>
          <w:rFonts w:hint="eastAsia" w:asciiTheme="minorEastAsia" w:hAnsiTheme="minorEastAsia" w:eastAsiaTheme="minorEastAsia" w:cstheme="minorEastAsia"/>
          <w:spacing w:val="-16"/>
          <w:sz w:val="24"/>
          <w:szCs w:val="24"/>
        </w:rPr>
        <w:t>、《关于印发中小企业划型标准规定的通知》</w:t>
      </w:r>
      <w:r>
        <w:rPr>
          <w:rFonts w:hint="eastAsia" w:asciiTheme="minorEastAsia" w:hAnsiTheme="minorEastAsia" w:eastAsiaTheme="minorEastAsia" w:cstheme="minorEastAsia"/>
          <w:sz w:val="24"/>
          <w:szCs w:val="24"/>
        </w:rPr>
        <w:t>（工信部联企业〔2011〕300 号</w:t>
      </w:r>
      <w:r>
        <w:rPr>
          <w:rFonts w:hint="eastAsia" w:asciiTheme="minorEastAsia" w:hAnsiTheme="minorEastAsia" w:eastAsiaTheme="minorEastAsia" w:cstheme="minorEastAsia"/>
          <w:spacing w:val="-121"/>
          <w:sz w:val="24"/>
          <w:szCs w:val="24"/>
        </w:rPr>
        <w:t>）</w:t>
      </w:r>
      <w:r>
        <w:rPr>
          <w:rFonts w:hint="eastAsia" w:asciiTheme="minorEastAsia" w:hAnsiTheme="minorEastAsia" w:eastAsiaTheme="minorEastAsia" w:cstheme="minorEastAsia"/>
          <w:sz w:val="24"/>
          <w:szCs w:val="24"/>
        </w:rPr>
        <w:t>。</w:t>
      </w:r>
    </w:p>
    <w:p>
      <w:pPr>
        <w:pStyle w:val="264"/>
        <w:numPr>
          <w:ilvl w:val="3"/>
          <w:numId w:val="10"/>
        </w:numPr>
        <w:tabs>
          <w:tab w:val="left" w:pos="3007"/>
        </w:tabs>
        <w:spacing w:before="136" w:after="0" w:line="338" w:lineRule="auto"/>
        <w:ind w:left="3006" w:right="231" w:hanging="900"/>
        <w:jc w:val="both"/>
        <w:rPr>
          <w:rFonts w:ascii="Lucida Sans" w:eastAsia="Lucida Sans"/>
          <w:sz w:val="24"/>
        </w:rPr>
      </w:pPr>
      <w:r>
        <w:rPr>
          <w:spacing w:val="-5"/>
          <w:sz w:val="24"/>
        </w:rPr>
        <w:t>供应商提供的货物、工程或者服务符合下列情形的，享受中小企业扶持政策：</w:t>
      </w:r>
    </w:p>
    <w:p>
      <w:pPr>
        <w:pStyle w:val="2"/>
        <w:tabs>
          <w:tab w:val="clear" w:pos="567"/>
        </w:tabs>
        <w:spacing w:before="55" w:line="338" w:lineRule="auto"/>
        <w:ind w:left="2955" w:right="231"/>
        <w:jc w:val="both"/>
      </w:pPr>
      <w:r>
        <w:t>（</w:t>
      </w:r>
      <w:r>
        <w:rPr>
          <w:rFonts w:ascii="Lucida Sans" w:eastAsia="Lucida Sans"/>
        </w:rPr>
        <w:t>1</w:t>
      </w:r>
      <w:r>
        <w:t>）在货物采购项目中，货物由中小企业制造，即货物由中小企业生产且使用该中小企业商号或者注册商标；</w:t>
      </w:r>
    </w:p>
    <w:p>
      <w:pPr>
        <w:pStyle w:val="2"/>
        <w:tabs>
          <w:tab w:val="clear" w:pos="567"/>
        </w:tabs>
        <w:spacing w:before="53" w:line="338" w:lineRule="auto"/>
        <w:ind w:left="2955" w:right="231" w:hanging="1"/>
        <w:jc w:val="both"/>
      </w:pPr>
      <w:r>
        <w:t>（</w:t>
      </w:r>
      <w:r>
        <w:rPr>
          <w:rFonts w:ascii="Lucida Sans" w:eastAsia="Lucida Sans"/>
        </w:rPr>
        <w:t>2</w:t>
      </w:r>
      <w:r>
        <w:t>）在工程采购项目中，工程由中小企业承建，即工程施工单位为中小企业；</w:t>
      </w:r>
    </w:p>
    <w:p>
      <w:pPr>
        <w:pStyle w:val="2"/>
        <w:tabs>
          <w:tab w:val="clear" w:pos="567"/>
        </w:tabs>
        <w:spacing w:before="53" w:line="348" w:lineRule="auto"/>
        <w:ind w:left="2955" w:right="230"/>
        <w:jc w:val="both"/>
      </w:pPr>
      <w:r>
        <w:t>（</w:t>
      </w:r>
      <w:r>
        <w:rPr>
          <w:rFonts w:ascii="Lucida Sans" w:eastAsia="Lucida Sans"/>
        </w:rPr>
        <w:t>3</w:t>
      </w:r>
      <w:r>
        <w:t>）在服务采购项目中，服务由中小企业承接，即提供服务的人员为中小企业依照《中华人民共和国劳动合同法》订立劳动合同的从业人员。</w:t>
      </w:r>
    </w:p>
    <w:p>
      <w:pPr>
        <w:spacing w:after="0" w:line="348" w:lineRule="auto"/>
        <w:jc w:val="both"/>
        <w:sectPr>
          <w:pgSz w:w="11910" w:h="16840"/>
          <w:pgMar w:top="1100" w:right="900" w:bottom="1080" w:left="1580" w:header="879" w:footer="892" w:gutter="0"/>
          <w:pgNumType w:fmt="decimal"/>
          <w:cols w:space="720" w:num="1"/>
        </w:sectPr>
      </w:pPr>
    </w:p>
    <w:p>
      <w:pPr>
        <w:pStyle w:val="2"/>
        <w:tabs>
          <w:tab w:val="clear" w:pos="567"/>
        </w:tabs>
        <w:spacing w:before="9"/>
        <w:rPr>
          <w:sz w:val="16"/>
        </w:rPr>
      </w:pPr>
    </w:p>
    <w:p>
      <w:pPr>
        <w:pStyle w:val="264"/>
        <w:numPr>
          <w:ilvl w:val="3"/>
          <w:numId w:val="10"/>
        </w:numPr>
        <w:tabs>
          <w:tab w:val="left" w:pos="3007"/>
        </w:tabs>
        <w:spacing w:before="43" w:after="0" w:line="338" w:lineRule="auto"/>
        <w:ind w:left="3006" w:right="158" w:hanging="900"/>
        <w:jc w:val="both"/>
        <w:rPr>
          <w:rFonts w:ascii="Arial" w:eastAsia="Arial"/>
          <w:sz w:val="24"/>
        </w:rPr>
      </w:pPr>
      <w:r>
        <w:rPr>
          <w:spacing w:val="-6"/>
          <w:sz w:val="24"/>
        </w:rPr>
        <w:t>在货物采购项目中，供应商提供的货物既有中小企业制造货物，也有大型企业制造货物的，不享受中小企业扶持政策。</w:t>
      </w:r>
    </w:p>
    <w:p>
      <w:pPr>
        <w:pStyle w:val="264"/>
        <w:numPr>
          <w:ilvl w:val="3"/>
          <w:numId w:val="10"/>
        </w:numPr>
        <w:tabs>
          <w:tab w:val="left" w:pos="3007"/>
        </w:tabs>
        <w:spacing w:before="55" w:after="0" w:line="348" w:lineRule="auto"/>
        <w:ind w:left="3006" w:right="210" w:hanging="900"/>
        <w:jc w:val="both"/>
        <w:rPr>
          <w:rFonts w:ascii="Arial" w:eastAsia="Arial"/>
          <w:sz w:val="24"/>
        </w:rPr>
      </w:pPr>
      <w:r>
        <w:rPr>
          <w:spacing w:val="-4"/>
          <w:sz w:val="24"/>
        </w:rPr>
        <w:t>以联合体形式参加政府采购活动，联合体各方均为中小企业</w:t>
      </w:r>
      <w:r>
        <w:rPr>
          <w:spacing w:val="-7"/>
          <w:sz w:val="24"/>
        </w:rPr>
        <w:t>的，联合体视同中小企业。其中，联合体各方均为小微企业的，联合体视同小微企业。</w:t>
      </w:r>
    </w:p>
    <w:p>
      <w:pPr>
        <w:pStyle w:val="264"/>
        <w:numPr>
          <w:ilvl w:val="2"/>
          <w:numId w:val="10"/>
        </w:numPr>
        <w:tabs>
          <w:tab w:val="left" w:pos="2101"/>
          <w:tab w:val="left" w:pos="2102"/>
        </w:tabs>
        <w:spacing w:before="45" w:after="0" w:line="352" w:lineRule="auto"/>
        <w:ind w:left="2101" w:right="103" w:hanging="900"/>
        <w:jc w:val="left"/>
        <w:rPr>
          <w:rFonts w:ascii="Arial" w:eastAsia="Arial"/>
          <w:sz w:val="24"/>
        </w:rPr>
      </w:pPr>
      <w:r>
        <w:rPr>
          <w:sz w:val="24"/>
        </w:rPr>
        <w:t>在政府采购活动中，监狱企业视同小型、微型企业，享受预留份额、</w:t>
      </w:r>
      <w:r>
        <w:rPr>
          <w:spacing w:val="-4"/>
          <w:sz w:val="24"/>
        </w:rPr>
        <w:t>评审中价格扣除等政府采购促进中小企业发展的政府采购政策。监狱</w:t>
      </w:r>
      <w:r>
        <w:rPr>
          <w:spacing w:val="-12"/>
          <w:sz w:val="24"/>
        </w:rPr>
        <w:t>企业定义：是指由司法部认定的为罪犯、戒毒人员提供生产项目和劳动对象，且全部产权属于司法部监狱管理局、戒毒管理局、直属煤矿</w:t>
      </w:r>
      <w:r>
        <w:rPr>
          <w:spacing w:val="-13"/>
          <w:sz w:val="24"/>
        </w:rPr>
        <w:t>管理局，各省、自治区、直辖市监狱管理局、戒毒管理局，各地</w:t>
      </w:r>
      <w:r>
        <w:rPr>
          <w:sz w:val="24"/>
        </w:rPr>
        <w:t>（设区的市</w:t>
      </w:r>
      <w:r>
        <w:rPr>
          <w:spacing w:val="-29"/>
          <w:sz w:val="24"/>
        </w:rPr>
        <w:t>）</w:t>
      </w:r>
      <w:r>
        <w:rPr>
          <w:spacing w:val="-9"/>
          <w:sz w:val="24"/>
        </w:rPr>
        <w:t>监狱、强制隔离戒毒所、戒毒康复所，以及新疆生产建设兵团监狱管理局、戒毒管理局的企业。</w:t>
      </w:r>
    </w:p>
    <w:p>
      <w:pPr>
        <w:pStyle w:val="264"/>
        <w:numPr>
          <w:ilvl w:val="2"/>
          <w:numId w:val="10"/>
        </w:numPr>
        <w:tabs>
          <w:tab w:val="left" w:pos="2102"/>
        </w:tabs>
        <w:spacing w:before="38" w:after="0" w:line="350" w:lineRule="auto"/>
        <w:ind w:left="2101" w:right="210" w:hanging="900"/>
        <w:jc w:val="both"/>
        <w:rPr>
          <w:rFonts w:ascii="Arial" w:eastAsia="Arial"/>
          <w:sz w:val="24"/>
        </w:rPr>
      </w:pPr>
      <w:r>
        <w:rPr>
          <w:spacing w:val="-8"/>
          <w:sz w:val="24"/>
        </w:rPr>
        <w:t>在政府采购活动中，残疾人福利性单位视同小型、微型企业，享受预</w:t>
      </w:r>
      <w:r>
        <w:rPr>
          <w:spacing w:val="-11"/>
          <w:sz w:val="24"/>
        </w:rPr>
        <w:t>留份额、评审中价格扣除等促进中小企业发展的政府采购政策。残疾</w:t>
      </w:r>
      <w:r>
        <w:rPr>
          <w:spacing w:val="-15"/>
          <w:sz w:val="24"/>
        </w:rPr>
        <w:t>人福利性单位定义：享受政府采购支持政策的残疾人福利性单位应当同时满足以下条件：</w:t>
      </w:r>
    </w:p>
    <w:p>
      <w:pPr>
        <w:pStyle w:val="264"/>
        <w:numPr>
          <w:ilvl w:val="3"/>
          <w:numId w:val="10"/>
        </w:numPr>
        <w:tabs>
          <w:tab w:val="left" w:pos="3007"/>
        </w:tabs>
        <w:spacing w:before="43" w:after="0" w:line="240" w:lineRule="auto"/>
        <w:ind w:left="3006" w:right="0" w:hanging="900"/>
        <w:jc w:val="left"/>
        <w:rPr>
          <w:rFonts w:ascii="Arial" w:eastAsia="Arial"/>
          <w:sz w:val="24"/>
        </w:rPr>
      </w:pPr>
      <w:r>
        <w:rPr>
          <w:spacing w:val="10"/>
          <w:sz w:val="24"/>
        </w:rPr>
        <w:t xml:space="preserve">安置的残疾人占本单位在职职工人数的比例不低于 </w:t>
      </w:r>
      <w:r>
        <w:rPr>
          <w:rFonts w:ascii="Arial" w:eastAsia="Arial"/>
          <w:sz w:val="24"/>
        </w:rPr>
        <w:t>25%</w:t>
      </w:r>
    </w:p>
    <w:p>
      <w:pPr>
        <w:pStyle w:val="2"/>
        <w:tabs>
          <w:tab w:val="clear" w:pos="567"/>
        </w:tabs>
        <w:spacing w:before="134"/>
        <w:ind w:left="3006"/>
        <w:rPr>
          <w:rFonts w:ascii="Arial" w:eastAsia="Arial"/>
        </w:rPr>
      </w:pPr>
      <w:r>
        <w:rPr>
          <w:spacing w:val="1"/>
        </w:rPr>
        <w:t>（</w:t>
      </w:r>
      <w:r>
        <w:rPr>
          <w:spacing w:val="-29"/>
        </w:rPr>
        <w:t xml:space="preserve">含 </w:t>
      </w:r>
      <w:r>
        <w:rPr>
          <w:rFonts w:ascii="Arial" w:eastAsia="Arial"/>
          <w:spacing w:val="-2"/>
          <w:w w:val="114"/>
        </w:rPr>
        <w:t>2</w:t>
      </w:r>
      <w:r>
        <w:rPr>
          <w:rFonts w:ascii="Arial" w:eastAsia="Arial"/>
          <w:w w:val="114"/>
        </w:rPr>
        <w:t>5</w:t>
      </w:r>
      <w:r>
        <w:rPr>
          <w:rFonts w:ascii="Arial" w:eastAsia="Arial"/>
          <w:spacing w:val="3"/>
          <w:w w:val="106"/>
        </w:rPr>
        <w:t>%</w:t>
      </w:r>
      <w:r>
        <w:rPr>
          <w:spacing w:val="-118"/>
        </w:rPr>
        <w:t>）</w:t>
      </w:r>
      <w:r>
        <w:rPr>
          <w:spacing w:val="-4"/>
        </w:rPr>
        <w:t xml:space="preserve">，并且安置的残疾人人数不少于 </w:t>
      </w:r>
      <w:r>
        <w:rPr>
          <w:rFonts w:ascii="Arial" w:eastAsia="Arial"/>
          <w:spacing w:val="-2"/>
          <w:w w:val="114"/>
        </w:rPr>
        <w:t>1</w:t>
      </w:r>
      <w:r>
        <w:rPr>
          <w:rFonts w:ascii="Arial" w:eastAsia="Arial"/>
          <w:w w:val="114"/>
        </w:rPr>
        <w:t>0</w:t>
      </w:r>
      <w:r>
        <w:rPr>
          <w:rFonts w:ascii="Arial" w:eastAsia="Arial"/>
          <w:spacing w:val="-6"/>
        </w:rPr>
        <w:t xml:space="preserve">  </w:t>
      </w:r>
      <w:r>
        <w:rPr>
          <w:spacing w:val="1"/>
        </w:rPr>
        <w:t>人</w:t>
      </w:r>
      <w:r>
        <w:rPr>
          <w:spacing w:val="3"/>
        </w:rPr>
        <w:t>（</w:t>
      </w:r>
      <w:r>
        <w:rPr>
          <w:spacing w:val="-29"/>
        </w:rPr>
        <w:t xml:space="preserve">含 </w:t>
      </w:r>
      <w:r>
        <w:rPr>
          <w:rFonts w:ascii="Arial" w:eastAsia="Arial"/>
          <w:spacing w:val="-2"/>
          <w:w w:val="114"/>
        </w:rPr>
        <w:t>1</w:t>
      </w:r>
      <w:r>
        <w:rPr>
          <w:rFonts w:ascii="Arial" w:eastAsia="Arial"/>
          <w:w w:val="114"/>
        </w:rPr>
        <w:t>0</w:t>
      </w:r>
    </w:p>
    <w:p>
      <w:pPr>
        <w:pStyle w:val="2"/>
        <w:tabs>
          <w:tab w:val="clear" w:pos="567"/>
        </w:tabs>
        <w:spacing w:before="134"/>
        <w:ind w:left="3006"/>
      </w:pPr>
      <w:r>
        <w:t>人</w:t>
      </w:r>
      <w:r>
        <w:rPr>
          <w:spacing w:val="-121"/>
        </w:rPr>
        <w:t>）</w:t>
      </w:r>
      <w:r>
        <w:t>；</w:t>
      </w:r>
    </w:p>
    <w:p>
      <w:pPr>
        <w:pStyle w:val="264"/>
        <w:numPr>
          <w:ilvl w:val="3"/>
          <w:numId w:val="10"/>
        </w:numPr>
        <w:tabs>
          <w:tab w:val="left" w:pos="3007"/>
        </w:tabs>
        <w:spacing w:before="153" w:after="0" w:line="338" w:lineRule="auto"/>
        <w:ind w:left="3006" w:right="211" w:hanging="900"/>
        <w:jc w:val="both"/>
        <w:rPr>
          <w:rFonts w:ascii="Arial" w:eastAsia="Arial"/>
          <w:sz w:val="24"/>
        </w:rPr>
      </w:pPr>
      <w:r>
        <w:rPr>
          <w:spacing w:val="-2"/>
          <w:sz w:val="24"/>
        </w:rPr>
        <w:t>依法与安置的每位残疾人签订了一年以上</w:t>
      </w:r>
      <w:r>
        <w:rPr>
          <w:sz w:val="24"/>
        </w:rPr>
        <w:t>（含一年</w:t>
      </w:r>
      <w:r>
        <w:rPr>
          <w:spacing w:val="-27"/>
          <w:sz w:val="24"/>
        </w:rPr>
        <w:t>）</w:t>
      </w:r>
      <w:r>
        <w:rPr>
          <w:sz w:val="24"/>
        </w:rPr>
        <w:t>的劳动合同或服务协议；</w:t>
      </w:r>
    </w:p>
    <w:p>
      <w:pPr>
        <w:pStyle w:val="264"/>
        <w:numPr>
          <w:ilvl w:val="3"/>
          <w:numId w:val="10"/>
        </w:numPr>
        <w:tabs>
          <w:tab w:val="left" w:pos="3007"/>
        </w:tabs>
        <w:spacing w:before="52" w:after="0" w:line="338" w:lineRule="auto"/>
        <w:ind w:left="3006" w:right="210" w:hanging="900"/>
        <w:jc w:val="both"/>
        <w:rPr>
          <w:rFonts w:ascii="Arial" w:eastAsia="Arial"/>
          <w:sz w:val="24"/>
        </w:rPr>
      </w:pPr>
      <w:r>
        <w:rPr>
          <w:spacing w:val="-3"/>
          <w:sz w:val="24"/>
        </w:rPr>
        <w:t>为安置的每位残疾人按月足额缴纳了基本养老保险、基本医疗保险、失业保险、工伤保险和生育保险等社会保险费；</w:t>
      </w:r>
    </w:p>
    <w:p>
      <w:pPr>
        <w:pStyle w:val="264"/>
        <w:numPr>
          <w:ilvl w:val="3"/>
          <w:numId w:val="10"/>
        </w:numPr>
        <w:tabs>
          <w:tab w:val="left" w:pos="3007"/>
        </w:tabs>
        <w:spacing w:before="52" w:after="0" w:line="348" w:lineRule="auto"/>
        <w:ind w:left="3006" w:right="210" w:hanging="900"/>
        <w:jc w:val="both"/>
        <w:rPr>
          <w:rFonts w:ascii="Arial" w:eastAsia="Arial"/>
          <w:sz w:val="24"/>
        </w:rPr>
      </w:pPr>
      <w:r>
        <w:rPr>
          <w:spacing w:val="-3"/>
          <w:sz w:val="24"/>
        </w:rPr>
        <w:t>通过银行等金融机构向安置的每位残疾人，按月支付了不低</w:t>
      </w:r>
      <w:r>
        <w:rPr>
          <w:spacing w:val="5"/>
          <w:sz w:val="24"/>
        </w:rPr>
        <w:t>于单位所在区县适用的经省级人民政府批准的月最低工资标准的工资；</w:t>
      </w:r>
    </w:p>
    <w:p>
      <w:pPr>
        <w:pStyle w:val="264"/>
        <w:numPr>
          <w:ilvl w:val="3"/>
          <w:numId w:val="10"/>
        </w:numPr>
        <w:tabs>
          <w:tab w:val="left" w:pos="3007"/>
        </w:tabs>
        <w:spacing w:before="45" w:after="0" w:line="348" w:lineRule="auto"/>
        <w:ind w:left="3006" w:right="211" w:hanging="900"/>
        <w:jc w:val="both"/>
        <w:rPr>
          <w:rFonts w:ascii="Arial" w:eastAsia="Arial"/>
          <w:sz w:val="24"/>
        </w:rPr>
      </w:pPr>
      <w:r>
        <w:rPr>
          <w:spacing w:val="-5"/>
          <w:sz w:val="24"/>
        </w:rPr>
        <w:t>提供本单位制造的货物、承担的工程或者服务</w:t>
      </w:r>
      <w:r>
        <w:rPr>
          <w:sz w:val="24"/>
        </w:rPr>
        <w:t>（以下简称产</w:t>
      </w:r>
      <w:r>
        <w:rPr>
          <w:spacing w:val="1"/>
          <w:sz w:val="24"/>
        </w:rPr>
        <w:t>品</w:t>
      </w:r>
      <w:r>
        <w:rPr>
          <w:spacing w:val="-118"/>
          <w:sz w:val="24"/>
        </w:rPr>
        <w:t>）</w:t>
      </w:r>
      <w:r>
        <w:rPr>
          <w:spacing w:val="1"/>
          <w:sz w:val="24"/>
        </w:rPr>
        <w:t>，或者提供其他残疾人福利性单位制造的货物（</w:t>
      </w:r>
      <w:r>
        <w:rPr>
          <w:spacing w:val="0"/>
          <w:sz w:val="24"/>
        </w:rPr>
        <w:t>不包括使用非残疾人福利性单位注册商标的货物</w:t>
      </w:r>
      <w:r>
        <w:rPr>
          <w:spacing w:val="-121"/>
          <w:sz w:val="24"/>
        </w:rPr>
        <w:t>）</w:t>
      </w:r>
      <w:r>
        <w:rPr>
          <w:sz w:val="24"/>
        </w:rPr>
        <w:t>；</w:t>
      </w:r>
    </w:p>
    <w:p>
      <w:pPr>
        <w:pStyle w:val="264"/>
        <w:numPr>
          <w:ilvl w:val="3"/>
          <w:numId w:val="10"/>
        </w:numPr>
        <w:tabs>
          <w:tab w:val="left" w:pos="3007"/>
        </w:tabs>
        <w:spacing w:before="43" w:after="0" w:line="240" w:lineRule="auto"/>
        <w:ind w:left="3006" w:right="0" w:hanging="900"/>
        <w:jc w:val="left"/>
        <w:rPr>
          <w:rFonts w:ascii="Arial" w:eastAsia="Arial"/>
          <w:sz w:val="24"/>
        </w:rPr>
      </w:pPr>
      <w:r>
        <w:rPr>
          <w:spacing w:val="-4"/>
          <w:sz w:val="24"/>
        </w:rPr>
        <w:t>前款所称残疾人是指法定劳动年龄内，持有《中华人民共和</w:t>
      </w:r>
    </w:p>
    <w:p>
      <w:pPr>
        <w:spacing w:after="0" w:line="240" w:lineRule="auto"/>
        <w:jc w:val="left"/>
        <w:rPr>
          <w:rFonts w:ascii="Arial" w:eastAsia="Arial"/>
          <w:sz w:val="24"/>
        </w:rPr>
        <w:sectPr>
          <w:pgSz w:w="11910" w:h="16840"/>
          <w:pgMar w:top="1100" w:right="920" w:bottom="1080" w:left="1580" w:header="879" w:footer="892" w:gutter="0"/>
          <w:pgNumType w:fmt="decimal"/>
          <w:cols w:space="720" w:num="1"/>
        </w:sectPr>
      </w:pPr>
    </w:p>
    <w:p>
      <w:pPr>
        <w:pStyle w:val="2"/>
        <w:tabs>
          <w:tab w:val="clear" w:pos="567"/>
        </w:tabs>
        <w:spacing w:before="9"/>
        <w:rPr>
          <w:sz w:val="16"/>
        </w:rPr>
      </w:pPr>
    </w:p>
    <w:p>
      <w:pPr>
        <w:pStyle w:val="2"/>
        <w:tabs>
          <w:tab w:val="clear" w:pos="567"/>
        </w:tabs>
        <w:spacing w:before="43" w:line="350" w:lineRule="auto"/>
        <w:ind w:left="3006" w:right="194"/>
      </w:pPr>
      <w:r>
        <w:rPr>
          <w:spacing w:val="-19"/>
        </w:rPr>
        <w:t>国残疾人证》或者《中华人民共和国残疾军人证</w:t>
      </w:r>
      <w:r>
        <w:t>（</w:t>
      </w:r>
      <w:r>
        <w:rPr>
          <w:rFonts w:ascii="Lucida Sans" w:eastAsia="Lucida Sans"/>
        </w:rPr>
        <w:t>1</w:t>
      </w:r>
      <w:r>
        <w:rPr>
          <w:rFonts w:ascii="Lucida Sans" w:eastAsia="Lucida Sans"/>
          <w:spacing w:val="43"/>
        </w:rPr>
        <w:t xml:space="preserve"> </w:t>
      </w:r>
      <w:r>
        <w:rPr>
          <w:spacing w:val="-31"/>
        </w:rPr>
        <w:t xml:space="preserve">至 </w:t>
      </w:r>
      <w:r>
        <w:rPr>
          <w:rFonts w:ascii="Lucida Sans" w:eastAsia="Lucida Sans"/>
        </w:rPr>
        <w:t>8</w:t>
      </w:r>
      <w:r>
        <w:rPr>
          <w:rFonts w:ascii="Lucida Sans" w:eastAsia="Lucida Sans"/>
          <w:spacing w:val="43"/>
        </w:rPr>
        <w:t xml:space="preserve"> </w:t>
      </w:r>
      <w:r>
        <w:t>级</w:t>
      </w:r>
      <w:r>
        <w:rPr>
          <w:spacing w:val="-121"/>
        </w:rPr>
        <w:t>）</w:t>
      </w:r>
      <w:r>
        <w:t>》</w:t>
      </w:r>
      <w:r>
        <w:rPr>
          <w:spacing w:val="-6"/>
        </w:rPr>
        <w:t xml:space="preserve">的自然人，包括具有劳动条件和劳动意愿的精神残疾人。在 </w:t>
      </w:r>
      <w:r>
        <w:rPr>
          <w:spacing w:val="5"/>
        </w:rPr>
        <w:t>职职工人数是指与残疾人福利性单位建立劳动关系并依法 签订劳动合同或服务协议的雇员人数。</w:t>
      </w:r>
    </w:p>
    <w:p>
      <w:pPr>
        <w:pStyle w:val="264"/>
        <w:numPr>
          <w:ilvl w:val="2"/>
          <w:numId w:val="10"/>
        </w:numPr>
        <w:tabs>
          <w:tab w:val="left" w:pos="2101"/>
          <w:tab w:val="left" w:pos="2102"/>
        </w:tabs>
        <w:spacing w:before="40" w:after="0" w:line="240" w:lineRule="auto"/>
        <w:ind w:left="2101" w:right="0" w:hanging="900"/>
        <w:jc w:val="left"/>
        <w:rPr>
          <w:rFonts w:ascii="Lucida Sans" w:eastAsia="Lucida Sans"/>
          <w:sz w:val="24"/>
        </w:rPr>
      </w:pPr>
      <w:r>
        <w:rPr>
          <w:spacing w:val="-5"/>
          <w:sz w:val="24"/>
        </w:rPr>
        <w:t>本项目是否专门面向中小企业预留采购份额见第一章《投标邀请》。</w:t>
      </w:r>
    </w:p>
    <w:p>
      <w:pPr>
        <w:pStyle w:val="264"/>
        <w:numPr>
          <w:ilvl w:val="2"/>
          <w:numId w:val="10"/>
        </w:numPr>
        <w:tabs>
          <w:tab w:val="left" w:pos="2101"/>
          <w:tab w:val="left" w:pos="2102"/>
        </w:tabs>
        <w:spacing w:before="136" w:after="0" w:line="240" w:lineRule="auto"/>
        <w:ind w:left="2101" w:right="0" w:hanging="900"/>
        <w:jc w:val="left"/>
        <w:rPr>
          <w:rFonts w:ascii="Lucida Sans" w:eastAsia="Lucida Sans"/>
          <w:sz w:val="24"/>
        </w:rPr>
      </w:pPr>
      <w:r>
        <w:rPr>
          <w:spacing w:val="-10"/>
          <w:sz w:val="24"/>
        </w:rPr>
        <w:t>采购标的对应的中小企业划分标准所属行业见《投标人须知资料表》。</w:t>
      </w:r>
    </w:p>
    <w:p>
      <w:pPr>
        <w:pStyle w:val="264"/>
        <w:numPr>
          <w:ilvl w:val="2"/>
          <w:numId w:val="10"/>
        </w:numPr>
        <w:tabs>
          <w:tab w:val="left" w:pos="2101"/>
          <w:tab w:val="left" w:pos="2102"/>
        </w:tabs>
        <w:spacing w:before="134" w:after="0" w:line="338" w:lineRule="auto"/>
        <w:ind w:left="2101" w:right="350" w:hanging="900"/>
        <w:jc w:val="left"/>
        <w:rPr>
          <w:rFonts w:ascii="Lucida Sans" w:eastAsia="Lucida Sans"/>
          <w:sz w:val="24"/>
        </w:rPr>
      </w:pPr>
      <w:r>
        <w:rPr>
          <w:spacing w:val="-7"/>
          <w:sz w:val="24"/>
        </w:rPr>
        <w:t>小微企业价格评审优惠的政策调整：见第四章《评标程序、评标方法</w:t>
      </w:r>
      <w:r>
        <w:rPr>
          <w:spacing w:val="-23"/>
          <w:sz w:val="24"/>
        </w:rPr>
        <w:t>和评标标准》。</w:t>
      </w:r>
    </w:p>
    <w:p>
      <w:pPr>
        <w:pStyle w:val="264"/>
        <w:numPr>
          <w:ilvl w:val="1"/>
          <w:numId w:val="10"/>
        </w:numPr>
        <w:tabs>
          <w:tab w:val="left" w:pos="1201"/>
          <w:tab w:val="left" w:pos="1202"/>
        </w:tabs>
        <w:spacing w:before="53" w:after="0" w:line="240" w:lineRule="auto"/>
        <w:ind w:left="1201" w:right="0" w:hanging="720"/>
        <w:jc w:val="left"/>
        <w:rPr>
          <w:rFonts w:ascii="Lucida Sans" w:eastAsia="Lucida Sans"/>
          <w:sz w:val="24"/>
        </w:rPr>
      </w:pPr>
      <w:r>
        <w:rPr>
          <w:sz w:val="24"/>
        </w:rPr>
        <w:t>政府采购节能产品、环境标志产品</w:t>
      </w:r>
    </w:p>
    <w:p>
      <w:pPr>
        <w:pStyle w:val="264"/>
        <w:numPr>
          <w:ilvl w:val="2"/>
          <w:numId w:val="10"/>
        </w:numPr>
        <w:tabs>
          <w:tab w:val="left" w:pos="2102"/>
        </w:tabs>
        <w:spacing w:before="137" w:after="0" w:line="352" w:lineRule="auto"/>
        <w:ind w:left="2101" w:right="350" w:hanging="900"/>
        <w:jc w:val="both"/>
        <w:rPr>
          <w:rFonts w:ascii="Lucida Sans" w:eastAsia="Lucida Sans"/>
          <w:sz w:val="24"/>
        </w:rPr>
      </w:pPr>
      <w:r>
        <w:rPr>
          <w:spacing w:val="-8"/>
          <w:sz w:val="24"/>
        </w:rPr>
        <w:t>政府采购节能产品、环境标志产品实施品目清单管理。财政部、发展</w:t>
      </w:r>
      <w:r>
        <w:rPr>
          <w:spacing w:val="-11"/>
          <w:sz w:val="24"/>
        </w:rPr>
        <w:t>改革委、生态环境部等部门根据产品节能环保性能、技术水平和市场</w:t>
      </w:r>
      <w:r>
        <w:rPr>
          <w:spacing w:val="-15"/>
          <w:sz w:val="24"/>
        </w:rPr>
        <w:t>成熟程度等因素，确定实施政府优先采购和强制采购的产品类别及所</w:t>
      </w:r>
      <w:r>
        <w:rPr>
          <w:spacing w:val="-17"/>
          <w:sz w:val="24"/>
        </w:rPr>
        <w:t>依据的相关标准规范，以品目清单的形式发布并适时调整。依据品目清单和认证证书实施政府优先采购和强制采购。</w:t>
      </w:r>
    </w:p>
    <w:p>
      <w:pPr>
        <w:pStyle w:val="264"/>
        <w:numPr>
          <w:ilvl w:val="2"/>
          <w:numId w:val="10"/>
        </w:numPr>
        <w:tabs>
          <w:tab w:val="left" w:pos="2101"/>
          <w:tab w:val="left" w:pos="2102"/>
        </w:tabs>
        <w:spacing w:before="41" w:after="0" w:line="350" w:lineRule="auto"/>
        <w:ind w:left="2101" w:right="110" w:hanging="900"/>
        <w:jc w:val="left"/>
        <w:rPr>
          <w:rFonts w:ascii="Lucida Sans" w:eastAsia="Lucida Sans"/>
          <w:sz w:val="24"/>
        </w:rPr>
      </w:pPr>
      <w:r>
        <w:rPr>
          <w:spacing w:val="-6"/>
          <w:sz w:val="24"/>
        </w:rPr>
        <w:t xml:space="preserve">采购人拟采购的产品属于品目清单范围的，采购人及其委托的采购代 </w:t>
      </w:r>
      <w:r>
        <w:rPr>
          <w:spacing w:val="-12"/>
          <w:sz w:val="24"/>
        </w:rPr>
        <w:t>理机构依据国家确定的认证机构出具的、处于有效期之内的节能产品、</w:t>
      </w:r>
      <w:r>
        <w:rPr>
          <w:spacing w:val="-16"/>
          <w:sz w:val="24"/>
        </w:rPr>
        <w:t xml:space="preserve">环境标志产品认证证书，对获得证书的产品实施政府优先采购或强制 </w:t>
      </w:r>
      <w:r>
        <w:rPr>
          <w:spacing w:val="-12"/>
          <w:sz w:val="24"/>
        </w:rPr>
        <w:t xml:space="preserve">采购。关于政府采购节能产品、环境标志产品的相关规定依据《关于 </w:t>
      </w:r>
      <w:r>
        <w:rPr>
          <w:spacing w:val="-17"/>
          <w:sz w:val="24"/>
        </w:rPr>
        <w:t>调整优化节能产品、环境标志产品政府采购执行机制的通知》</w:t>
      </w:r>
      <w:r>
        <w:rPr>
          <w:sz w:val="24"/>
        </w:rPr>
        <w:t>（财库</w:t>
      </w:r>
    </w:p>
    <w:p>
      <w:pPr>
        <w:pStyle w:val="2"/>
        <w:tabs>
          <w:tab w:val="clear" w:pos="567"/>
        </w:tabs>
        <w:spacing w:before="43"/>
        <w:ind w:left="2101"/>
      </w:pPr>
      <w:r>
        <w:t>〔</w:t>
      </w:r>
      <w:r>
        <w:rPr>
          <w:rFonts w:ascii="Lucida Sans" w:eastAsia="Lucida Sans"/>
        </w:rPr>
        <w:t>2019</w:t>
      </w:r>
      <w:r>
        <w:t>〕</w:t>
      </w:r>
      <w:r>
        <w:rPr>
          <w:rFonts w:ascii="Lucida Sans" w:eastAsia="Lucida Sans"/>
        </w:rPr>
        <w:t xml:space="preserve">9 </w:t>
      </w:r>
      <w:r>
        <w:t>号</w:t>
      </w:r>
      <w:r>
        <w:rPr>
          <w:spacing w:val="-121"/>
        </w:rPr>
        <w:t>）</w:t>
      </w:r>
      <w:r>
        <w:t>。</w:t>
      </w:r>
    </w:p>
    <w:p>
      <w:pPr>
        <w:pStyle w:val="264"/>
        <w:numPr>
          <w:ilvl w:val="2"/>
          <w:numId w:val="10"/>
        </w:numPr>
        <w:tabs>
          <w:tab w:val="left" w:pos="2101"/>
          <w:tab w:val="left" w:pos="2102"/>
        </w:tabs>
        <w:spacing w:before="136" w:after="0" w:line="348" w:lineRule="auto"/>
        <w:ind w:left="2101" w:right="243" w:hanging="900"/>
        <w:jc w:val="left"/>
        <w:rPr>
          <w:rFonts w:ascii="Lucida Sans" w:eastAsia="Lucida Sans"/>
          <w:sz w:val="24"/>
        </w:rPr>
      </w:pPr>
      <w:r>
        <w:rPr>
          <w:sz w:val="24"/>
        </w:rPr>
        <w:t xml:space="preserve">如本项目采购产品属于实施政府强制采购品目清单范围的节能产品， </w:t>
      </w:r>
      <w:r>
        <w:rPr>
          <w:spacing w:val="-5"/>
          <w:sz w:val="24"/>
        </w:rPr>
        <w:t>则投标人所报产品必须获得国家确定的认证机构出具的、处于有效期之内的节能产品认证证书，否则</w:t>
      </w:r>
      <w:r>
        <w:rPr>
          <w:b/>
          <w:bCs/>
          <w:spacing w:val="-5"/>
          <w:sz w:val="24"/>
        </w:rPr>
        <w:t>投标无效</w:t>
      </w:r>
      <w:r>
        <w:rPr>
          <w:spacing w:val="-5"/>
          <w:sz w:val="24"/>
        </w:rPr>
        <w:t>；</w:t>
      </w:r>
    </w:p>
    <w:p>
      <w:pPr>
        <w:pStyle w:val="264"/>
        <w:numPr>
          <w:ilvl w:val="2"/>
          <w:numId w:val="10"/>
        </w:numPr>
        <w:tabs>
          <w:tab w:val="left" w:pos="2102"/>
        </w:tabs>
        <w:spacing w:before="43" w:after="0" w:line="348" w:lineRule="auto"/>
        <w:ind w:left="2101" w:right="350" w:hanging="900"/>
        <w:jc w:val="both"/>
        <w:rPr>
          <w:rFonts w:ascii="Lucida Sans" w:eastAsia="Lucida Sans"/>
          <w:sz w:val="24"/>
        </w:rPr>
      </w:pPr>
      <w:r>
        <w:rPr>
          <w:spacing w:val="-6"/>
          <w:sz w:val="24"/>
        </w:rPr>
        <w:t>非政府强制采购的节能产品或环境标志产品，依据品目清单和认证证</w:t>
      </w:r>
      <w:r>
        <w:rPr>
          <w:spacing w:val="-12"/>
          <w:sz w:val="24"/>
        </w:rPr>
        <w:t>书实施政府优先采购。优先采购的具体规定见第四章《评标程序、评</w:t>
      </w:r>
      <w:r>
        <w:rPr>
          <w:spacing w:val="-25"/>
          <w:sz w:val="24"/>
        </w:rPr>
        <w:t>标方法和评标标准》</w:t>
      </w:r>
      <w:r>
        <w:rPr>
          <w:sz w:val="24"/>
        </w:rPr>
        <w:t>（如涉及</w:t>
      </w:r>
      <w:r>
        <w:rPr>
          <w:spacing w:val="-121"/>
          <w:sz w:val="24"/>
        </w:rPr>
        <w:t>）</w:t>
      </w:r>
      <w:r>
        <w:rPr>
          <w:sz w:val="24"/>
        </w:rPr>
        <w:t>。</w:t>
      </w:r>
    </w:p>
    <w:p>
      <w:pPr>
        <w:pStyle w:val="264"/>
        <w:numPr>
          <w:ilvl w:val="1"/>
          <w:numId w:val="10"/>
        </w:numPr>
        <w:tabs>
          <w:tab w:val="left" w:pos="1201"/>
          <w:tab w:val="left" w:pos="1202"/>
        </w:tabs>
        <w:spacing w:before="46" w:after="0" w:line="240" w:lineRule="auto"/>
        <w:ind w:left="1201" w:right="0" w:hanging="720"/>
        <w:jc w:val="left"/>
        <w:rPr>
          <w:rFonts w:ascii="Lucida Sans" w:eastAsia="Lucida Sans"/>
          <w:sz w:val="24"/>
        </w:rPr>
      </w:pPr>
      <w:r>
        <w:rPr>
          <w:sz w:val="24"/>
        </w:rPr>
        <w:t>正版软件</w:t>
      </w:r>
    </w:p>
    <w:p>
      <w:pPr>
        <w:pStyle w:val="264"/>
        <w:numPr>
          <w:ilvl w:val="2"/>
          <w:numId w:val="10"/>
        </w:numPr>
        <w:tabs>
          <w:tab w:val="left" w:pos="2102"/>
        </w:tabs>
        <w:spacing w:before="135" w:after="0" w:line="338" w:lineRule="auto"/>
        <w:ind w:left="2101" w:right="230" w:hanging="900"/>
        <w:jc w:val="both"/>
        <w:rPr>
          <w:rFonts w:ascii="Lucida Sans" w:eastAsia="Lucida Sans"/>
          <w:sz w:val="24"/>
        </w:rPr>
      </w:pPr>
      <w:r>
        <w:rPr>
          <w:spacing w:val="-12"/>
          <w:sz w:val="24"/>
        </w:rPr>
        <w:t>依据《财政部 国家发展改革委 信息产业部关于印发无线局域网产品</w:t>
      </w:r>
      <w:r>
        <w:rPr>
          <w:spacing w:val="-7"/>
          <w:sz w:val="24"/>
        </w:rPr>
        <w:t>政府采购实施意见的通知</w:t>
      </w:r>
      <w:r>
        <w:rPr>
          <w:spacing w:val="-144"/>
          <w:sz w:val="24"/>
        </w:rPr>
        <w:t>》</w:t>
      </w:r>
      <w:r>
        <w:rPr>
          <w:sz w:val="24"/>
        </w:rPr>
        <w:t>（</w:t>
      </w:r>
      <w:r>
        <w:rPr>
          <w:spacing w:val="-9"/>
          <w:sz w:val="24"/>
        </w:rPr>
        <w:t>财库〔</w:t>
      </w:r>
      <w:r>
        <w:rPr>
          <w:rFonts w:ascii="Lucida Sans" w:eastAsia="Lucida Sans"/>
          <w:spacing w:val="-2"/>
          <w:w w:val="100"/>
          <w:sz w:val="24"/>
        </w:rPr>
        <w:t>2</w:t>
      </w:r>
      <w:r>
        <w:rPr>
          <w:rFonts w:ascii="Lucida Sans" w:eastAsia="Lucida Sans"/>
          <w:w w:val="100"/>
          <w:sz w:val="24"/>
        </w:rPr>
        <w:t>0</w:t>
      </w:r>
      <w:r>
        <w:rPr>
          <w:rFonts w:ascii="Lucida Sans" w:eastAsia="Lucida Sans"/>
          <w:spacing w:val="-2"/>
          <w:w w:val="100"/>
          <w:sz w:val="24"/>
        </w:rPr>
        <w:t>0</w:t>
      </w:r>
      <w:r>
        <w:rPr>
          <w:rFonts w:ascii="Lucida Sans" w:eastAsia="Lucida Sans"/>
          <w:spacing w:val="2"/>
          <w:w w:val="100"/>
          <w:sz w:val="24"/>
        </w:rPr>
        <w:t>5</w:t>
      </w:r>
      <w:r>
        <w:rPr>
          <w:spacing w:val="-25"/>
          <w:sz w:val="24"/>
        </w:rPr>
        <w:t>〕</w:t>
      </w:r>
      <w:r>
        <w:rPr>
          <w:rFonts w:ascii="Lucida Sans" w:eastAsia="Lucida Sans"/>
          <w:spacing w:val="-2"/>
          <w:w w:val="100"/>
          <w:sz w:val="24"/>
        </w:rPr>
        <w:t>3</w:t>
      </w:r>
      <w:r>
        <w:rPr>
          <w:rFonts w:ascii="Lucida Sans" w:eastAsia="Lucida Sans"/>
          <w:w w:val="100"/>
          <w:sz w:val="24"/>
        </w:rPr>
        <w:t>66</w:t>
      </w:r>
      <w:r>
        <w:rPr>
          <w:rFonts w:ascii="Lucida Sans" w:eastAsia="Lucida Sans"/>
          <w:spacing w:val="-16"/>
          <w:sz w:val="24"/>
        </w:rPr>
        <w:t xml:space="preserve">  </w:t>
      </w:r>
      <w:r>
        <w:rPr>
          <w:sz w:val="24"/>
        </w:rPr>
        <w:t>号</w:t>
      </w:r>
      <w:r>
        <w:rPr>
          <w:spacing w:val="-121"/>
          <w:sz w:val="24"/>
        </w:rPr>
        <w:t>）</w:t>
      </w:r>
      <w:r>
        <w:rPr>
          <w:spacing w:val="-4"/>
          <w:sz w:val="24"/>
        </w:rPr>
        <w:t>，采购无线局域</w:t>
      </w:r>
      <w:r>
        <w:rPr>
          <w:spacing w:val="-15"/>
          <w:sz w:val="24"/>
        </w:rPr>
        <w:t>网产品和含有无线局域网功能的计算机、通信设备、打印机、复印机、</w:t>
      </w:r>
    </w:p>
    <w:p>
      <w:pPr>
        <w:spacing w:after="0" w:line="338" w:lineRule="auto"/>
        <w:jc w:val="both"/>
        <w:rPr>
          <w:rFonts w:ascii="Lucida Sans" w:eastAsia="Lucida Sans"/>
          <w:sz w:val="24"/>
        </w:rPr>
        <w:sectPr>
          <w:footerReference r:id="rId7" w:type="default"/>
          <w:pgSz w:w="11910" w:h="16840"/>
          <w:pgMar w:top="1100" w:right="780" w:bottom="1080" w:left="1580" w:header="879" w:footer="892" w:gutter="0"/>
          <w:pgNumType w:fmt="decimal"/>
          <w:cols w:space="720" w:num="1"/>
        </w:sectPr>
      </w:pPr>
    </w:p>
    <w:p>
      <w:pPr>
        <w:pStyle w:val="2"/>
        <w:tabs>
          <w:tab w:val="clear" w:pos="567"/>
        </w:tabs>
        <w:spacing w:before="9"/>
        <w:rPr>
          <w:sz w:val="16"/>
        </w:rPr>
      </w:pPr>
    </w:p>
    <w:p>
      <w:pPr>
        <w:pStyle w:val="2"/>
        <w:tabs>
          <w:tab w:val="clear" w:pos="567"/>
        </w:tabs>
        <w:spacing w:before="43"/>
        <w:ind w:left="2101"/>
        <w:jc w:val="both"/>
      </w:pPr>
    </w:p>
    <w:p>
      <w:pPr>
        <w:pStyle w:val="2"/>
        <w:tabs>
          <w:tab w:val="clear" w:pos="567"/>
        </w:tabs>
        <w:spacing w:before="43"/>
        <w:ind w:left="2101"/>
        <w:jc w:val="both"/>
        <w:rPr>
          <w:rFonts w:ascii="Arial" w:eastAsia="Arial"/>
        </w:rPr>
      </w:pPr>
      <w:r>
        <w:t>投影仪等产品的，优先采购符合国家无线局域网安全标准（</w:t>
      </w:r>
      <w:r>
        <w:rPr>
          <w:rFonts w:ascii="Arial" w:eastAsia="Arial"/>
        </w:rPr>
        <w:t>GB</w:t>
      </w:r>
    </w:p>
    <w:p>
      <w:pPr>
        <w:pStyle w:val="2"/>
        <w:tabs>
          <w:tab w:val="clear" w:pos="567"/>
        </w:tabs>
        <w:spacing w:before="134" w:line="348" w:lineRule="auto"/>
        <w:ind w:left="2101" w:right="221"/>
        <w:jc w:val="both"/>
      </w:pPr>
      <w:r>
        <w:rPr>
          <w:rFonts w:ascii="Arial" w:hAnsi="Arial" w:eastAsia="Arial"/>
          <w:spacing w:val="-1"/>
        </w:rPr>
        <w:t>15629.11/1102</w:t>
      </w:r>
      <w:r>
        <w:rPr>
          <w:spacing w:val="-1"/>
        </w:rPr>
        <w:t>）</w:t>
      </w:r>
      <w:r>
        <w:rPr>
          <w:spacing w:val="-3"/>
        </w:rPr>
        <w:t xml:space="preserve">并通过国家产品认证的产品。其中，国家有特殊 </w:t>
      </w:r>
      <w:r>
        <w:rPr>
          <w:spacing w:val="-9"/>
        </w:rPr>
        <w:t>信息安全要求的项目必须采购认证产品，否则</w:t>
      </w:r>
      <w:r>
        <w:rPr>
          <w:b/>
          <w:bCs/>
          <w:spacing w:val="-9"/>
        </w:rPr>
        <w:t>投标无效</w:t>
      </w:r>
      <w:r>
        <w:rPr>
          <w:spacing w:val="-9"/>
        </w:rPr>
        <w:t>。财政部、国</w:t>
      </w:r>
      <w:r>
        <w:rPr>
          <w:spacing w:val="-14"/>
        </w:rPr>
        <w:t>家发展改革委、信息产业部根据政府采购改革进展和无线局域网产品</w:t>
      </w:r>
      <w:r>
        <w:rPr>
          <w:spacing w:val="-17"/>
        </w:rPr>
        <w:t>技术及市场成熟等情况，从国家指定的认证机构认证的生产厂商和产品型号中确定优先采购的产品，并以</w:t>
      </w:r>
      <w:r>
        <w:rPr>
          <w:rFonts w:ascii="Arial" w:hAnsi="Arial" w:eastAsia="Arial"/>
        </w:rPr>
        <w:t>“</w:t>
      </w:r>
      <w:r>
        <w:t>无线局域网认证产品政府采购</w:t>
      </w:r>
      <w:r>
        <w:rPr>
          <w:spacing w:val="-1"/>
        </w:rPr>
        <w:t>清单</w:t>
      </w:r>
      <w:r>
        <w:rPr>
          <w:rFonts w:ascii="Arial" w:hAnsi="Arial" w:eastAsia="Arial"/>
          <w:spacing w:val="-1"/>
        </w:rPr>
        <w:t>”</w:t>
      </w:r>
      <w:r>
        <w:rPr>
          <w:spacing w:val="-1"/>
        </w:rPr>
        <w:t>（以下简称清单）的形式公布。清单中新增认证产品厂商和型</w:t>
      </w:r>
      <w:r>
        <w:rPr>
          <w:spacing w:val="-11"/>
        </w:rPr>
        <w:t>号，由财政部、国家发展改革委、信息产业部以文件形式确定、公布并适时调整。</w:t>
      </w:r>
    </w:p>
    <w:p>
      <w:pPr>
        <w:pStyle w:val="264"/>
        <w:numPr>
          <w:ilvl w:val="2"/>
          <w:numId w:val="10"/>
        </w:numPr>
        <w:tabs>
          <w:tab w:val="left" w:pos="2102"/>
        </w:tabs>
        <w:spacing w:before="46" w:after="0" w:line="350" w:lineRule="auto"/>
        <w:ind w:left="2101" w:right="108" w:hanging="900"/>
        <w:jc w:val="both"/>
        <w:rPr>
          <w:rFonts w:ascii="Arial" w:eastAsia="Arial"/>
          <w:sz w:val="24"/>
        </w:rPr>
      </w:pPr>
      <w:r>
        <w:rPr>
          <w:spacing w:val="-6"/>
          <w:sz w:val="24"/>
        </w:rPr>
        <w:t>各级政府部门在购置计算机办公设备时，必须采购预装正版操作系统</w:t>
      </w:r>
      <w:r>
        <w:rPr>
          <w:spacing w:val="-13"/>
          <w:sz w:val="24"/>
        </w:rPr>
        <w:t>软件的计算机产品，相关规定依据《国家版权局、信息产业部、财政</w:t>
      </w:r>
      <w:r>
        <w:rPr>
          <w:spacing w:val="-12"/>
          <w:sz w:val="24"/>
        </w:rPr>
        <w:t>部、国务院机关事务管理局关于政府部门购置计算机办公设备必须采</w:t>
      </w:r>
      <w:r>
        <w:rPr>
          <w:spacing w:val="-9"/>
          <w:sz w:val="24"/>
        </w:rPr>
        <w:t>购已预装正版操作系统软件产品的通知》</w:t>
      </w:r>
      <w:r>
        <w:rPr>
          <w:sz w:val="24"/>
        </w:rPr>
        <w:t>（国权联〔</w:t>
      </w:r>
      <w:r>
        <w:rPr>
          <w:rFonts w:ascii="Arial" w:eastAsia="Arial"/>
          <w:sz w:val="24"/>
        </w:rPr>
        <w:t>2006</w:t>
      </w:r>
      <w:r>
        <w:rPr>
          <w:sz w:val="24"/>
        </w:rPr>
        <w:t>〕</w:t>
      </w:r>
      <w:r>
        <w:rPr>
          <w:rFonts w:ascii="Arial" w:eastAsia="Arial"/>
          <w:sz w:val="24"/>
        </w:rPr>
        <w:t>1</w:t>
      </w:r>
      <w:r>
        <w:rPr>
          <w:rFonts w:ascii="Arial" w:eastAsia="Arial"/>
          <w:spacing w:val="18"/>
          <w:sz w:val="24"/>
        </w:rPr>
        <w:t xml:space="preserve"> </w:t>
      </w:r>
      <w:r>
        <w:rPr>
          <w:spacing w:val="2"/>
          <w:sz w:val="24"/>
        </w:rPr>
        <w:t>号</w:t>
      </w:r>
      <w:r>
        <w:rPr>
          <w:spacing w:val="-118"/>
          <w:sz w:val="24"/>
        </w:rPr>
        <w:t>）</w:t>
      </w:r>
      <w:r>
        <w:rPr>
          <w:sz w:val="24"/>
        </w:rPr>
        <w:t>、</w:t>
      </w:r>
    </w:p>
    <w:p>
      <w:pPr>
        <w:pStyle w:val="2"/>
        <w:tabs>
          <w:tab w:val="clear" w:pos="567"/>
        </w:tabs>
        <w:spacing w:before="13"/>
        <w:ind w:left="2101"/>
        <w:jc w:val="both"/>
      </w:pPr>
      <w:r>
        <w:t>《国务院办公厅关于进一步做好政府机关使用正版软件工作的通知》</w:t>
      </w:r>
    </w:p>
    <w:p>
      <w:pPr>
        <w:pStyle w:val="2"/>
        <w:tabs>
          <w:tab w:val="clear" w:pos="567"/>
        </w:tabs>
        <w:spacing w:before="153" w:line="338" w:lineRule="auto"/>
        <w:ind w:left="2101" w:right="228" w:hanging="1"/>
        <w:jc w:val="both"/>
      </w:pPr>
      <w:r>
        <w:t>（国办发〔</w:t>
      </w:r>
      <w:r>
        <w:rPr>
          <w:rFonts w:ascii="Arial" w:eastAsia="Arial"/>
        </w:rPr>
        <w:t>2010</w:t>
      </w:r>
      <w:r>
        <w:t>〕</w:t>
      </w:r>
      <w:r>
        <w:rPr>
          <w:rFonts w:ascii="Arial" w:eastAsia="Arial"/>
        </w:rPr>
        <w:t xml:space="preserve">47 </w:t>
      </w:r>
      <w:r>
        <w:rPr>
          <w:spacing w:val="2"/>
        </w:rPr>
        <w:t>号</w:t>
      </w:r>
      <w:r>
        <w:rPr>
          <w:spacing w:val="-118"/>
        </w:rPr>
        <w:t>）</w:t>
      </w:r>
      <w:r>
        <w:rPr>
          <w:spacing w:val="-12"/>
        </w:rPr>
        <w:t>、《财政部关于进一步做好政府机关使用</w:t>
      </w:r>
      <w:r>
        <w:rPr>
          <w:spacing w:val="-23"/>
        </w:rPr>
        <w:t>正版软件工作的通知》</w:t>
      </w:r>
      <w:r>
        <w:t>（财预〔</w:t>
      </w:r>
      <w:r>
        <w:rPr>
          <w:rFonts w:ascii="Arial" w:eastAsia="Arial"/>
        </w:rPr>
        <w:t>2010</w:t>
      </w:r>
      <w:r>
        <w:t>〕</w:t>
      </w:r>
      <w:r>
        <w:rPr>
          <w:rFonts w:ascii="Arial" w:eastAsia="Arial"/>
        </w:rPr>
        <w:t>536</w:t>
      </w:r>
      <w:r>
        <w:rPr>
          <w:rFonts w:ascii="Arial" w:eastAsia="Arial"/>
          <w:spacing w:val="15"/>
        </w:rPr>
        <w:t xml:space="preserve">   </w:t>
      </w:r>
      <w:r>
        <w:t>号</w:t>
      </w:r>
      <w:r>
        <w:rPr>
          <w:spacing w:val="-121"/>
        </w:rPr>
        <w:t>）</w:t>
      </w:r>
      <w:r>
        <w:t>。</w:t>
      </w:r>
    </w:p>
    <w:p>
      <w:pPr>
        <w:pStyle w:val="264"/>
        <w:numPr>
          <w:ilvl w:val="1"/>
          <w:numId w:val="10"/>
        </w:numPr>
        <w:tabs>
          <w:tab w:val="left" w:pos="1201"/>
          <w:tab w:val="left" w:pos="1202"/>
        </w:tabs>
        <w:spacing w:before="26" w:after="0" w:line="240" w:lineRule="auto"/>
        <w:ind w:left="1201" w:right="0" w:hanging="720"/>
        <w:jc w:val="left"/>
        <w:rPr>
          <w:rFonts w:ascii="Arial" w:eastAsia="Arial"/>
          <w:sz w:val="24"/>
        </w:rPr>
      </w:pPr>
      <w:r>
        <w:rPr>
          <w:sz w:val="24"/>
        </w:rPr>
        <w:t>网络安全专用产品</w:t>
      </w:r>
    </w:p>
    <w:p>
      <w:pPr>
        <w:pStyle w:val="264"/>
        <w:numPr>
          <w:ilvl w:val="2"/>
          <w:numId w:val="10"/>
        </w:numPr>
        <w:tabs>
          <w:tab w:val="left" w:pos="2101"/>
          <w:tab w:val="left" w:pos="2102"/>
        </w:tabs>
        <w:spacing w:before="134" w:after="0" w:line="350" w:lineRule="auto"/>
        <w:ind w:left="2101" w:right="123" w:hanging="900"/>
        <w:jc w:val="left"/>
        <w:rPr>
          <w:rFonts w:ascii="Arial" w:eastAsia="Arial"/>
          <w:sz w:val="24"/>
        </w:rPr>
      </w:pPr>
      <w:r>
        <w:rPr>
          <w:spacing w:val="-9"/>
          <w:sz w:val="24"/>
        </w:rPr>
        <w:t>所投产品属于列入《网络关键设备和网络安全专用产品目录》的网络安全专用产品，应当在国家互联网信息办公室会同工业和信息化部、</w:t>
      </w:r>
      <w:r>
        <w:rPr>
          <w:spacing w:val="-13"/>
          <w:sz w:val="24"/>
        </w:rPr>
        <w:t>公安部、国家认证认可监督管理委员会统一公布和更新的符合要求的网络关键设备和网络安全专用产品清单中。</w:t>
      </w:r>
    </w:p>
    <w:p>
      <w:pPr>
        <w:pStyle w:val="264"/>
        <w:numPr>
          <w:ilvl w:val="1"/>
          <w:numId w:val="10"/>
        </w:numPr>
        <w:tabs>
          <w:tab w:val="left" w:pos="1201"/>
          <w:tab w:val="left" w:pos="1202"/>
        </w:tabs>
        <w:spacing w:before="41" w:after="0" w:line="240" w:lineRule="auto"/>
        <w:ind w:left="1201" w:right="0" w:hanging="720"/>
        <w:jc w:val="left"/>
        <w:rPr>
          <w:rFonts w:ascii="Arial" w:eastAsia="Arial"/>
          <w:sz w:val="24"/>
        </w:rPr>
      </w:pPr>
      <w:r>
        <w:rPr>
          <w:spacing w:val="-1"/>
          <w:sz w:val="24"/>
        </w:rPr>
        <w:t>推广使用低挥发性有机化合物</w:t>
      </w:r>
      <w:r>
        <w:rPr>
          <w:sz w:val="24"/>
        </w:rPr>
        <w:t>（</w:t>
      </w:r>
      <w:r>
        <w:rPr>
          <w:rFonts w:ascii="Arial" w:eastAsia="Arial"/>
          <w:sz w:val="24"/>
        </w:rPr>
        <w:t>VOCs</w:t>
      </w:r>
      <w:r>
        <w:rPr>
          <w:sz w:val="24"/>
        </w:rPr>
        <w:t>）</w:t>
      </w:r>
    </w:p>
    <w:p>
      <w:pPr>
        <w:pStyle w:val="264"/>
        <w:numPr>
          <w:ilvl w:val="2"/>
          <w:numId w:val="10"/>
        </w:numPr>
        <w:tabs>
          <w:tab w:val="left" w:pos="2101"/>
          <w:tab w:val="left" w:pos="2102"/>
        </w:tabs>
        <w:spacing w:before="136" w:after="0" w:line="345" w:lineRule="auto"/>
        <w:ind w:left="2101" w:right="104" w:hanging="900"/>
        <w:jc w:val="left"/>
        <w:rPr>
          <w:rFonts w:ascii="Arial" w:eastAsia="Arial"/>
          <w:sz w:val="24"/>
        </w:rPr>
      </w:pPr>
      <w:r>
        <w:rPr>
          <w:spacing w:val="-1"/>
          <w:sz w:val="24"/>
        </w:rPr>
        <w:t>为全面推进本市挥发性有机物</w:t>
      </w:r>
      <w:r>
        <w:rPr>
          <w:spacing w:val="-3"/>
          <w:sz w:val="24"/>
        </w:rPr>
        <w:t>（</w:t>
      </w:r>
      <w:r>
        <w:rPr>
          <w:rFonts w:ascii="Arial" w:eastAsia="Arial"/>
          <w:spacing w:val="-3"/>
          <w:sz w:val="24"/>
        </w:rPr>
        <w:t>VOCs</w:t>
      </w:r>
      <w:r>
        <w:rPr>
          <w:spacing w:val="-3"/>
          <w:sz w:val="24"/>
        </w:rPr>
        <w:t>）治理，贯彻落实挥发性有机</w:t>
      </w:r>
      <w:r>
        <w:rPr>
          <w:spacing w:val="-10"/>
          <w:sz w:val="24"/>
        </w:rPr>
        <w:t>物污染治理专项行动有关要求，相关规定依据《北京市财政局北京市</w:t>
      </w:r>
      <w:r>
        <w:rPr>
          <w:spacing w:val="-11"/>
          <w:sz w:val="24"/>
        </w:rPr>
        <w:t>生态环境局关于政府采购推广使用低挥发性有机化合物</w:t>
      </w:r>
      <w:r>
        <w:rPr>
          <w:spacing w:val="-4"/>
          <w:sz w:val="24"/>
        </w:rPr>
        <w:t>（</w:t>
      </w:r>
      <w:r>
        <w:rPr>
          <w:rFonts w:ascii="Arial" w:eastAsia="Arial"/>
          <w:spacing w:val="-4"/>
          <w:sz w:val="24"/>
        </w:rPr>
        <w:t>VOCs</w:t>
      </w:r>
      <w:r>
        <w:rPr>
          <w:spacing w:val="-4"/>
          <w:sz w:val="24"/>
        </w:rPr>
        <w:t>）</w:t>
      </w:r>
      <w:r>
        <w:rPr>
          <w:sz w:val="24"/>
        </w:rPr>
        <w:t>有</w:t>
      </w:r>
      <w:r>
        <w:rPr>
          <w:spacing w:val="-1"/>
          <w:sz w:val="24"/>
        </w:rPr>
        <w:t>关事项的通知</w:t>
      </w:r>
      <w:r>
        <w:rPr>
          <w:spacing w:val="-152"/>
          <w:sz w:val="24"/>
        </w:rPr>
        <w:t>》</w:t>
      </w:r>
      <w:r>
        <w:rPr>
          <w:sz w:val="24"/>
        </w:rPr>
        <w:t>（</w:t>
      </w:r>
      <w:r>
        <w:rPr>
          <w:spacing w:val="-7"/>
          <w:sz w:val="24"/>
        </w:rPr>
        <w:t>京财采购〔</w:t>
      </w:r>
      <w:r>
        <w:rPr>
          <w:rFonts w:ascii="Arial" w:eastAsia="Arial"/>
          <w:sz w:val="24"/>
        </w:rPr>
        <w:t>2020</w:t>
      </w:r>
      <w:r>
        <w:rPr>
          <w:spacing w:val="-32"/>
          <w:sz w:val="24"/>
        </w:rPr>
        <w:t>〕</w:t>
      </w:r>
      <w:r>
        <w:rPr>
          <w:rFonts w:ascii="Arial" w:eastAsia="Arial"/>
          <w:sz w:val="24"/>
        </w:rPr>
        <w:t>2381</w:t>
      </w:r>
      <w:r>
        <w:rPr>
          <w:rFonts w:ascii="Arial" w:eastAsia="Arial"/>
          <w:spacing w:val="52"/>
          <w:sz w:val="24"/>
        </w:rPr>
        <w:t xml:space="preserve"> </w:t>
      </w:r>
      <w:r>
        <w:rPr>
          <w:sz w:val="24"/>
        </w:rPr>
        <w:t>号</w:t>
      </w:r>
      <w:r>
        <w:rPr>
          <w:spacing w:val="-121"/>
          <w:sz w:val="24"/>
        </w:rPr>
        <w:t>）</w:t>
      </w:r>
      <w:r>
        <w:rPr>
          <w:spacing w:val="-6"/>
          <w:sz w:val="24"/>
        </w:rPr>
        <w:t xml:space="preserve">。本项目中涉及涂料、胶黏剂、油墨、清洗剂等挥发性有机物产品的，属于强制性标准的， </w:t>
      </w:r>
      <w:r>
        <w:rPr>
          <w:spacing w:val="-10"/>
          <w:sz w:val="24"/>
        </w:rPr>
        <w:t xml:space="preserve">供应商应执行符合本市和国家的 </w:t>
      </w:r>
      <w:r>
        <w:rPr>
          <w:rFonts w:ascii="Arial" w:eastAsia="Arial"/>
          <w:sz w:val="24"/>
        </w:rPr>
        <w:t>VOCs</w:t>
      </w:r>
      <w:r>
        <w:rPr>
          <w:rFonts w:ascii="Arial" w:eastAsia="Arial"/>
          <w:spacing w:val="63"/>
          <w:sz w:val="24"/>
        </w:rPr>
        <w:t xml:space="preserve"> </w:t>
      </w:r>
      <w:r>
        <w:rPr>
          <w:sz w:val="24"/>
        </w:rPr>
        <w:t>含量限制标准（具体标准见</w:t>
      </w:r>
      <w:r>
        <w:rPr>
          <w:spacing w:val="-21"/>
          <w:sz w:val="24"/>
        </w:rPr>
        <w:t>第五章《采购需求》</w:t>
      </w:r>
      <w:r>
        <w:rPr>
          <w:spacing w:val="-90"/>
          <w:sz w:val="24"/>
        </w:rPr>
        <w:t>）</w:t>
      </w:r>
      <w:r>
        <w:rPr>
          <w:spacing w:val="-16"/>
          <w:sz w:val="24"/>
        </w:rPr>
        <w:t>，否则</w:t>
      </w:r>
      <w:r>
        <w:rPr>
          <w:b/>
          <w:bCs/>
          <w:spacing w:val="-16"/>
          <w:sz w:val="24"/>
        </w:rPr>
        <w:t>投标无效</w:t>
      </w:r>
      <w:r>
        <w:rPr>
          <w:spacing w:val="-16"/>
          <w:sz w:val="24"/>
        </w:rPr>
        <w:t xml:space="preserve">；属于推荐性标准的，优先采购， </w:t>
      </w:r>
      <w:r>
        <w:rPr>
          <w:spacing w:val="-21"/>
          <w:sz w:val="24"/>
        </w:rPr>
        <w:t>具体见第四章《评标程序、评标方法和评标标准》。</w:t>
      </w:r>
    </w:p>
    <w:p>
      <w:pPr>
        <w:spacing w:after="0" w:line="345" w:lineRule="auto"/>
        <w:jc w:val="left"/>
        <w:rPr>
          <w:rFonts w:ascii="Arial" w:eastAsia="Arial"/>
          <w:sz w:val="24"/>
        </w:rPr>
        <w:sectPr>
          <w:pgSz w:w="11910" w:h="16840"/>
          <w:pgMar w:top="1100" w:right="900" w:bottom="1080" w:left="1580" w:header="879" w:footer="892" w:gutter="0"/>
          <w:pgNumType w:fmt="decimal"/>
          <w:cols w:space="720" w:num="1"/>
        </w:sectPr>
      </w:pPr>
    </w:p>
    <w:p>
      <w:pPr>
        <w:pStyle w:val="2"/>
        <w:tabs>
          <w:tab w:val="clear" w:pos="567"/>
        </w:tabs>
        <w:spacing w:before="9"/>
        <w:rPr>
          <w:sz w:val="16"/>
        </w:rPr>
      </w:pPr>
    </w:p>
    <w:p>
      <w:pPr>
        <w:pStyle w:val="264"/>
        <w:numPr>
          <w:ilvl w:val="1"/>
          <w:numId w:val="10"/>
        </w:numPr>
        <w:tabs>
          <w:tab w:val="left" w:pos="1201"/>
          <w:tab w:val="left" w:pos="1202"/>
        </w:tabs>
        <w:spacing w:before="43" w:after="0" w:line="240" w:lineRule="auto"/>
        <w:ind w:left="1201" w:right="0" w:hanging="720"/>
        <w:jc w:val="left"/>
        <w:rPr>
          <w:rFonts w:ascii="Lucida Sans" w:eastAsia="Lucida Sans"/>
          <w:sz w:val="24"/>
        </w:rPr>
      </w:pPr>
      <w:r>
        <w:rPr>
          <w:sz w:val="24"/>
        </w:rPr>
        <w:t>采购需求标准</w:t>
      </w:r>
    </w:p>
    <w:p>
      <w:pPr>
        <w:pStyle w:val="264"/>
        <w:numPr>
          <w:ilvl w:val="2"/>
          <w:numId w:val="10"/>
        </w:numPr>
        <w:tabs>
          <w:tab w:val="left" w:pos="2101"/>
          <w:tab w:val="left" w:pos="2102"/>
        </w:tabs>
        <w:spacing w:before="134" w:after="0" w:line="240" w:lineRule="auto"/>
        <w:ind w:left="2101" w:right="0" w:hanging="900"/>
        <w:jc w:val="left"/>
        <w:rPr>
          <w:rFonts w:ascii="Lucida Sans" w:eastAsia="Lucida Sans"/>
          <w:sz w:val="24"/>
        </w:rPr>
      </w:pPr>
      <w:r>
        <w:rPr>
          <w:sz w:val="24"/>
        </w:rPr>
        <w:t>商品包装、快递包装政府采购需求标准（试行）</w:t>
      </w:r>
    </w:p>
    <w:p>
      <w:pPr>
        <w:pStyle w:val="2"/>
        <w:tabs>
          <w:tab w:val="clear" w:pos="567"/>
        </w:tabs>
        <w:spacing w:before="136" w:line="350" w:lineRule="auto"/>
        <w:ind w:left="2106" w:right="228"/>
        <w:jc w:val="both"/>
      </w:pPr>
      <w:r>
        <w:rPr>
          <w:spacing w:val="-8"/>
        </w:rPr>
        <w:t>为助力打好污染防治攻坚战，推广使用绿色包装，根据财政部关于印发《商品包装政府采购需求标准（</w:t>
      </w:r>
      <w:r>
        <w:rPr>
          <w:spacing w:val="-6"/>
        </w:rPr>
        <w:t>试行</w:t>
      </w:r>
      <w:r>
        <w:rPr>
          <w:spacing w:val="-121"/>
        </w:rPr>
        <w:t>）</w:t>
      </w:r>
      <w:r>
        <w:rPr>
          <w:spacing w:val="-22"/>
        </w:rPr>
        <w:t>》、《快递包装政府采购需求</w:t>
      </w:r>
      <w:r>
        <w:rPr>
          <w:spacing w:val="-15"/>
        </w:rPr>
        <w:t>标准</w:t>
      </w:r>
      <w:r>
        <w:t>（试行</w:t>
      </w:r>
      <w:r>
        <w:rPr>
          <w:spacing w:val="-121"/>
        </w:rPr>
        <w:t>）</w:t>
      </w:r>
      <w:r>
        <w:rPr>
          <w:spacing w:val="-4"/>
        </w:rPr>
        <w:t>》的通知</w:t>
      </w:r>
      <w:r>
        <w:t>（</w:t>
      </w:r>
      <w:r>
        <w:rPr>
          <w:spacing w:val="-3"/>
        </w:rPr>
        <w:t>财办库〔</w:t>
      </w:r>
      <w:r>
        <w:rPr>
          <w:rFonts w:ascii="Lucida Sans" w:eastAsia="Lucida Sans"/>
          <w:spacing w:val="-2"/>
          <w:w w:val="100"/>
        </w:rPr>
        <w:t>2</w:t>
      </w:r>
      <w:r>
        <w:rPr>
          <w:rFonts w:ascii="Lucida Sans" w:eastAsia="Lucida Sans"/>
          <w:w w:val="100"/>
        </w:rPr>
        <w:t>0</w:t>
      </w:r>
      <w:r>
        <w:rPr>
          <w:rFonts w:ascii="Lucida Sans" w:eastAsia="Lucida Sans"/>
          <w:spacing w:val="-2"/>
          <w:w w:val="100"/>
        </w:rPr>
        <w:t>2</w:t>
      </w:r>
      <w:r>
        <w:rPr>
          <w:rFonts w:ascii="Lucida Sans" w:eastAsia="Lucida Sans"/>
          <w:spacing w:val="2"/>
          <w:w w:val="100"/>
        </w:rPr>
        <w:t>0</w:t>
      </w:r>
      <w:r>
        <w:rPr>
          <w:spacing w:val="-8"/>
        </w:rPr>
        <w:t>〕</w:t>
      </w:r>
      <w:r>
        <w:rPr>
          <w:rFonts w:ascii="Lucida Sans" w:eastAsia="Lucida Sans"/>
          <w:spacing w:val="-2"/>
          <w:w w:val="100"/>
        </w:rPr>
        <w:t>1</w:t>
      </w:r>
      <w:r>
        <w:rPr>
          <w:rFonts w:ascii="Lucida Sans" w:eastAsia="Lucida Sans"/>
          <w:w w:val="100"/>
        </w:rPr>
        <w:t>23</w:t>
      </w:r>
      <w:r>
        <w:rPr>
          <w:rFonts w:ascii="Lucida Sans" w:eastAsia="Lucida Sans"/>
        </w:rPr>
        <w:t xml:space="preserve"> </w:t>
      </w:r>
      <w:r>
        <w:t>号</w:t>
      </w:r>
      <w:r>
        <w:rPr>
          <w:spacing w:val="-121"/>
        </w:rPr>
        <w:t>）</w:t>
      </w:r>
      <w:r>
        <w:rPr>
          <w:spacing w:val="-3"/>
        </w:rPr>
        <w:t>，本项目如涉及商</w:t>
      </w:r>
      <w:r>
        <w:rPr>
          <w:spacing w:val="-8"/>
        </w:rPr>
        <w:t>品包装和快递包装的，则其具体要求见第五章《采购需求》。</w:t>
      </w:r>
    </w:p>
    <w:p>
      <w:pPr>
        <w:pStyle w:val="264"/>
        <w:numPr>
          <w:ilvl w:val="2"/>
          <w:numId w:val="10"/>
        </w:numPr>
        <w:tabs>
          <w:tab w:val="left" w:pos="2101"/>
          <w:tab w:val="left" w:pos="2102"/>
        </w:tabs>
        <w:spacing w:before="40" w:after="0" w:line="240" w:lineRule="auto"/>
        <w:ind w:left="2101" w:right="0" w:hanging="900"/>
        <w:jc w:val="left"/>
        <w:rPr>
          <w:rFonts w:ascii="Lucida Sans" w:eastAsia="Lucida Sans"/>
          <w:sz w:val="24"/>
        </w:rPr>
      </w:pPr>
      <w:r>
        <w:rPr>
          <w:sz w:val="24"/>
        </w:rPr>
        <w:t>绿色数据中心政府采购需求标准（试行）</w:t>
      </w:r>
    </w:p>
    <w:p>
      <w:pPr>
        <w:pStyle w:val="2"/>
        <w:tabs>
          <w:tab w:val="clear" w:pos="567"/>
        </w:tabs>
        <w:spacing w:before="136" w:line="355" w:lineRule="auto"/>
        <w:ind w:left="2101" w:right="230"/>
        <w:jc w:val="both"/>
      </w:pPr>
      <w:r>
        <w:rPr>
          <w:spacing w:val="-9"/>
        </w:rPr>
        <w:t>为加快数据中心绿色转型，根据财政部 生态环境部 工业和信息化部关于印发《绿色数据中心政府采购需求标准（</w:t>
      </w:r>
      <w:r>
        <w:rPr>
          <w:spacing w:val="-6"/>
        </w:rPr>
        <w:t>试行</w:t>
      </w:r>
      <w:r>
        <w:rPr>
          <w:spacing w:val="-121"/>
        </w:rPr>
        <w:t>）</w:t>
      </w:r>
      <w:r>
        <w:t>》的通知（财库</w:t>
      </w:r>
    </w:p>
    <w:p>
      <w:pPr>
        <w:pStyle w:val="2"/>
        <w:tabs>
          <w:tab w:val="clear" w:pos="567"/>
        </w:tabs>
        <w:spacing w:before="38"/>
        <w:ind w:left="2101"/>
        <w:jc w:val="both"/>
      </w:pPr>
      <w:r>
        <w:t>〔</w:t>
      </w:r>
      <w:r>
        <w:rPr>
          <w:rFonts w:ascii="Lucida Sans" w:eastAsia="Lucida Sans"/>
        </w:rPr>
        <w:t>2023</w:t>
      </w:r>
      <w:r>
        <w:rPr>
          <w:spacing w:val="-32"/>
        </w:rPr>
        <w:t>〕</w:t>
      </w:r>
      <w:r>
        <w:rPr>
          <w:rFonts w:ascii="Lucida Sans" w:eastAsia="Lucida Sans"/>
        </w:rPr>
        <w:t xml:space="preserve">7 </w:t>
      </w:r>
      <w:r>
        <w:t>号</w:t>
      </w:r>
      <w:r>
        <w:rPr>
          <w:spacing w:val="-75"/>
        </w:rPr>
        <w:t>）</w:t>
      </w:r>
      <w:r>
        <w:rPr>
          <w:spacing w:val="-11"/>
        </w:rPr>
        <w:t>，本项目如涉及绿色数据中心，则具体要求见第五章</w:t>
      </w:r>
    </w:p>
    <w:p>
      <w:pPr>
        <w:pStyle w:val="2"/>
        <w:tabs>
          <w:tab w:val="clear" w:pos="567"/>
        </w:tabs>
        <w:spacing w:before="134"/>
        <w:ind w:left="2101"/>
        <w:jc w:val="both"/>
      </w:pPr>
      <w:r>
        <w:t>《采购需求》。</w:t>
      </w:r>
    </w:p>
    <w:p>
      <w:pPr>
        <w:numPr>
          <w:ilvl w:val="0"/>
          <w:numId w:val="9"/>
        </w:numPr>
        <w:tabs>
          <w:tab w:val="left" w:pos="360"/>
          <w:tab w:val="left" w:pos="900"/>
        </w:tabs>
        <w:snapToGrid w:val="0"/>
        <w:spacing w:line="360" w:lineRule="auto"/>
        <w:ind w:left="357" w:hanging="357"/>
        <w:outlineLvl w:val="1"/>
        <w:rPr>
          <w:sz w:val="24"/>
        </w:rPr>
      </w:pPr>
      <w:r>
        <w:rPr>
          <w:sz w:val="24"/>
        </w:rPr>
        <w:t>投标费用</w:t>
      </w:r>
    </w:p>
    <w:p>
      <w:pPr>
        <w:numPr>
          <w:ilvl w:val="1"/>
          <w:numId w:val="9"/>
        </w:numPr>
        <w:tabs>
          <w:tab w:val="left" w:pos="1080"/>
          <w:tab w:val="left" w:pos="1589"/>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7" w:name="_1.8_计量单位"/>
      <w:bookmarkEnd w:id="167"/>
    </w:p>
    <w:p>
      <w:pPr>
        <w:pStyle w:val="5"/>
        <w:spacing w:before="0" w:line="360" w:lineRule="auto"/>
        <w:rPr>
          <w:rFonts w:ascii="Times New Roman" w:hAnsi="Times New Roman" w:eastAsia="宋体"/>
          <w:sz w:val="28"/>
        </w:rPr>
      </w:pPr>
      <w:r>
        <w:rPr>
          <w:rFonts w:ascii="Times New Roman" w:hAnsi="Times New Roman" w:eastAsia="宋体"/>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pPr>
        <w:numPr>
          <w:ilvl w:val="0"/>
          <w:numId w:val="9"/>
        </w:numPr>
        <w:tabs>
          <w:tab w:val="left" w:pos="360"/>
          <w:tab w:val="left" w:pos="900"/>
        </w:tabs>
        <w:snapToGrid w:val="0"/>
        <w:spacing w:line="360" w:lineRule="auto"/>
        <w:ind w:left="357" w:hanging="357"/>
        <w:outlineLvl w:val="1"/>
        <w:rPr>
          <w:sz w:val="24"/>
        </w:rPr>
      </w:pPr>
      <w:bookmarkStart w:id="168" w:name="_Toc164608637"/>
      <w:bookmarkStart w:id="169" w:name="_Toc164229218"/>
      <w:bookmarkStart w:id="170" w:name="_Toc142311025"/>
      <w:bookmarkStart w:id="171" w:name="_Toc151193621"/>
      <w:bookmarkStart w:id="172" w:name="_Toc226309767"/>
      <w:bookmarkStart w:id="173" w:name="_Toc226965796"/>
      <w:bookmarkStart w:id="174" w:name="_Toc150774728"/>
      <w:bookmarkStart w:id="175" w:name="_Toc520356147"/>
      <w:bookmarkStart w:id="176" w:name="_Toc164351617"/>
      <w:bookmarkStart w:id="177" w:name="_Toc150509274"/>
      <w:bookmarkStart w:id="178" w:name="_Toc195842888"/>
      <w:bookmarkStart w:id="179" w:name="_Toc305158865"/>
      <w:bookmarkStart w:id="180" w:name="_Toc164608792"/>
      <w:bookmarkStart w:id="181" w:name="_Toc164229364"/>
      <w:bookmarkStart w:id="182" w:name="_Toc150480761"/>
      <w:bookmarkStart w:id="183" w:name="_Toc264969213"/>
      <w:bookmarkStart w:id="184" w:name="_Toc151190150"/>
      <w:bookmarkStart w:id="185" w:name="_Toc151193911"/>
      <w:bookmarkStart w:id="186" w:name="_Toc305158791"/>
      <w:bookmarkStart w:id="187" w:name="_Toc151193765"/>
      <w:bookmarkStart w:id="188" w:name="_Toc127161437"/>
      <w:bookmarkStart w:id="189" w:name="_Toc151193837"/>
      <w:bookmarkStart w:id="190" w:name="_Toc151193693"/>
      <w:bookmarkStart w:id="191" w:name="_Toc149720816"/>
      <w:bookmarkStart w:id="192" w:name="_Toc127151724"/>
      <w:bookmarkStart w:id="193" w:name="_Toc226337219"/>
      <w:bookmarkStart w:id="194" w:name="_Toc150774623"/>
      <w:bookmarkStart w:id="195" w:name="_Toc226965713"/>
      <w:bookmarkStart w:id="196" w:name="_Toc127151523"/>
      <w:bookmarkStart w:id="197" w:name="_Toc265228361"/>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pPr>
        <w:numPr>
          <w:ilvl w:val="1"/>
          <w:numId w:val="9"/>
        </w:numPr>
        <w:tabs>
          <w:tab w:val="left" w:pos="1080"/>
          <w:tab w:val="left" w:pos="1589"/>
          <w:tab w:val="left" w:pos="2014"/>
        </w:tabs>
        <w:snapToGrid w:val="0"/>
        <w:spacing w:line="360" w:lineRule="auto"/>
        <w:ind w:left="1080" w:hanging="720"/>
        <w:rPr>
          <w:sz w:val="24"/>
        </w:rPr>
      </w:pPr>
      <w:r>
        <w:rPr>
          <w:sz w:val="24"/>
        </w:rPr>
        <w:t>招标文件包括以下部分：</w:t>
      </w:r>
    </w:p>
    <w:p>
      <w:pPr>
        <w:numPr>
          <w:ilvl w:val="0"/>
          <w:numId w:val="11"/>
        </w:numPr>
        <w:tabs>
          <w:tab w:val="left" w:pos="1980"/>
          <w:tab w:val="left" w:pos="2520"/>
          <w:tab w:val="left" w:pos="4941"/>
        </w:tabs>
        <w:snapToGrid w:val="0"/>
        <w:spacing w:line="360" w:lineRule="auto"/>
        <w:ind w:left="1440" w:firstLine="5"/>
        <w:rPr>
          <w:sz w:val="24"/>
        </w:rPr>
      </w:pPr>
      <w:r>
        <w:rPr>
          <w:sz w:val="24"/>
        </w:rPr>
        <w:t>投标邀请</w:t>
      </w:r>
    </w:p>
    <w:p>
      <w:pPr>
        <w:numPr>
          <w:ilvl w:val="0"/>
          <w:numId w:val="11"/>
        </w:numPr>
        <w:tabs>
          <w:tab w:val="left" w:pos="1980"/>
          <w:tab w:val="left" w:pos="2520"/>
          <w:tab w:val="left" w:pos="4941"/>
        </w:tabs>
        <w:snapToGrid w:val="0"/>
        <w:spacing w:line="360" w:lineRule="auto"/>
        <w:ind w:left="1440" w:firstLine="5"/>
        <w:rPr>
          <w:sz w:val="24"/>
        </w:rPr>
      </w:pPr>
      <w:r>
        <w:rPr>
          <w:sz w:val="24"/>
        </w:rPr>
        <w:t>投标人须知</w:t>
      </w:r>
    </w:p>
    <w:p>
      <w:pPr>
        <w:numPr>
          <w:ilvl w:val="0"/>
          <w:numId w:val="11"/>
        </w:numPr>
        <w:tabs>
          <w:tab w:val="left" w:pos="1980"/>
          <w:tab w:val="left" w:pos="2520"/>
          <w:tab w:val="left" w:pos="4941"/>
        </w:tabs>
        <w:snapToGrid w:val="0"/>
        <w:spacing w:line="360" w:lineRule="auto"/>
        <w:ind w:left="1440" w:firstLine="5"/>
        <w:rPr>
          <w:sz w:val="24"/>
        </w:rPr>
      </w:pPr>
      <w:r>
        <w:rPr>
          <w:sz w:val="24"/>
        </w:rPr>
        <w:t>资格审查</w:t>
      </w:r>
    </w:p>
    <w:p>
      <w:pPr>
        <w:numPr>
          <w:ilvl w:val="0"/>
          <w:numId w:val="11"/>
        </w:numPr>
        <w:tabs>
          <w:tab w:val="left" w:pos="1980"/>
          <w:tab w:val="left" w:pos="2520"/>
          <w:tab w:val="left" w:pos="4941"/>
        </w:tabs>
        <w:snapToGrid w:val="0"/>
        <w:spacing w:line="360" w:lineRule="auto"/>
        <w:ind w:left="1440" w:firstLine="5"/>
        <w:rPr>
          <w:sz w:val="24"/>
        </w:rPr>
      </w:pPr>
      <w:r>
        <w:rPr>
          <w:sz w:val="24"/>
        </w:rPr>
        <w:t>评标程序、评标方法和评标标准</w:t>
      </w:r>
    </w:p>
    <w:p>
      <w:pPr>
        <w:numPr>
          <w:ilvl w:val="0"/>
          <w:numId w:val="11"/>
        </w:numPr>
        <w:tabs>
          <w:tab w:val="left" w:pos="1980"/>
          <w:tab w:val="left" w:pos="2520"/>
          <w:tab w:val="left" w:pos="4941"/>
        </w:tabs>
        <w:snapToGrid w:val="0"/>
        <w:spacing w:line="360" w:lineRule="auto"/>
        <w:ind w:left="1440" w:firstLine="5"/>
        <w:rPr>
          <w:sz w:val="24"/>
        </w:rPr>
      </w:pPr>
      <w:r>
        <w:rPr>
          <w:sz w:val="24"/>
        </w:rPr>
        <w:t>采购需求</w:t>
      </w:r>
    </w:p>
    <w:p>
      <w:pPr>
        <w:numPr>
          <w:ilvl w:val="0"/>
          <w:numId w:val="11"/>
        </w:numPr>
        <w:tabs>
          <w:tab w:val="left" w:pos="1980"/>
          <w:tab w:val="left" w:pos="2520"/>
          <w:tab w:val="left" w:pos="4941"/>
        </w:tabs>
        <w:snapToGrid w:val="0"/>
        <w:spacing w:line="360" w:lineRule="auto"/>
        <w:ind w:left="1440" w:firstLine="5"/>
        <w:rPr>
          <w:sz w:val="24"/>
        </w:rPr>
      </w:pPr>
      <w:r>
        <w:rPr>
          <w:sz w:val="24"/>
        </w:rPr>
        <w:t>拟签订的合同文本</w:t>
      </w:r>
    </w:p>
    <w:p>
      <w:pPr>
        <w:numPr>
          <w:ilvl w:val="0"/>
          <w:numId w:val="11"/>
        </w:numPr>
        <w:tabs>
          <w:tab w:val="left" w:pos="1980"/>
          <w:tab w:val="left" w:pos="2520"/>
          <w:tab w:val="left" w:pos="4941"/>
        </w:tabs>
        <w:snapToGrid w:val="0"/>
        <w:spacing w:line="360" w:lineRule="auto"/>
        <w:ind w:left="1440" w:firstLine="5"/>
        <w:rPr>
          <w:sz w:val="24"/>
        </w:rPr>
      </w:pPr>
      <w:r>
        <w:rPr>
          <w:sz w:val="24"/>
        </w:rPr>
        <w:t>投标文件格式</w:t>
      </w:r>
    </w:p>
    <w:p>
      <w:pPr>
        <w:numPr>
          <w:ilvl w:val="1"/>
          <w:numId w:val="9"/>
        </w:numPr>
        <w:tabs>
          <w:tab w:val="left" w:pos="1080"/>
          <w:tab w:val="left" w:pos="1589"/>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9"/>
        </w:numPr>
        <w:tabs>
          <w:tab w:val="left" w:pos="900"/>
          <w:tab w:val="left" w:pos="1080"/>
          <w:tab w:val="left" w:pos="2014"/>
        </w:tabs>
        <w:snapToGrid w:val="0"/>
        <w:spacing w:line="360" w:lineRule="auto"/>
        <w:ind w:left="357" w:hanging="357"/>
        <w:outlineLvl w:val="1"/>
        <w:rPr>
          <w:sz w:val="24"/>
        </w:rPr>
      </w:pPr>
      <w:r>
        <w:rPr>
          <w:sz w:val="24"/>
        </w:rPr>
        <w:t>对招标文件的澄清或修改</w:t>
      </w:r>
    </w:p>
    <w:p>
      <w:pPr>
        <w:numPr>
          <w:ilvl w:val="1"/>
          <w:numId w:val="9"/>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1589"/>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1589"/>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8" w:name="_Toc516367020"/>
      <w:bookmarkStart w:id="199" w:name="_Toc150774626"/>
      <w:bookmarkStart w:id="200" w:name="_Toc226309770"/>
      <w:bookmarkStart w:id="201" w:name="_Toc226337222"/>
      <w:bookmarkStart w:id="202" w:name="_Toc151193624"/>
      <w:bookmarkStart w:id="203" w:name="_Toc151193696"/>
      <w:bookmarkStart w:id="204" w:name="_Toc151193840"/>
      <w:bookmarkStart w:id="205" w:name="_Toc150774731"/>
      <w:bookmarkStart w:id="206" w:name="_Toc264969216"/>
      <w:bookmarkStart w:id="207" w:name="_Toc195842891"/>
      <w:bookmarkStart w:id="208" w:name="_Toc151193914"/>
      <w:bookmarkStart w:id="209" w:name="_Toc151190153"/>
      <w:bookmarkStart w:id="210" w:name="_Toc226965716"/>
      <w:bookmarkStart w:id="211" w:name="_Toc305158794"/>
      <w:bookmarkStart w:id="212" w:name="_Toc150480764"/>
      <w:bookmarkStart w:id="213" w:name="_Toc265228364"/>
      <w:bookmarkStart w:id="214" w:name="_Toc305158868"/>
      <w:bookmarkStart w:id="215" w:name="_Toc142311028"/>
      <w:bookmarkStart w:id="216" w:name="_Toc520356150"/>
      <w:bookmarkStart w:id="217" w:name="_Toc127151526"/>
      <w:bookmarkStart w:id="218" w:name="_Toc226965799"/>
      <w:bookmarkStart w:id="219" w:name="_Toc151193768"/>
      <w:bookmarkStart w:id="220" w:name="_Toc150509277"/>
    </w:p>
    <w:p>
      <w:pPr>
        <w:pStyle w:val="5"/>
        <w:spacing w:before="0" w:line="360" w:lineRule="auto"/>
        <w:rPr>
          <w:rFonts w:ascii="Times New Roman" w:hAnsi="Times New Roman" w:eastAsia="宋体"/>
          <w:sz w:val="28"/>
        </w:rPr>
      </w:pPr>
      <w:r>
        <w:rPr>
          <w:rFonts w:ascii="Times New Roman" w:hAnsi="Times New Roman" w:eastAsia="宋体"/>
          <w:sz w:val="28"/>
        </w:rPr>
        <w:t>三   投标文件</w:t>
      </w:r>
      <w:bookmarkEnd w:id="198"/>
      <w:r>
        <w:rPr>
          <w:rFonts w:ascii="Times New Roman" w:hAnsi="Times New Roman" w:eastAsia="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numPr>
          <w:ilvl w:val="0"/>
          <w:numId w:val="9"/>
        </w:numPr>
        <w:tabs>
          <w:tab w:val="left" w:pos="360"/>
          <w:tab w:val="left" w:pos="900"/>
        </w:tabs>
        <w:snapToGrid w:val="0"/>
        <w:spacing w:line="360" w:lineRule="auto"/>
        <w:ind w:left="357" w:hanging="357"/>
        <w:outlineLvl w:val="1"/>
        <w:rPr>
          <w:sz w:val="24"/>
        </w:rPr>
      </w:pPr>
      <w:bookmarkStart w:id="221" w:name="_Toc164608796"/>
      <w:bookmarkStart w:id="222" w:name="_Toc164351621"/>
      <w:bookmarkStart w:id="223" w:name="_Toc195842892"/>
      <w:bookmarkStart w:id="224" w:name="_Toc151190154"/>
      <w:bookmarkStart w:id="225" w:name="_Toc264969217"/>
      <w:bookmarkStart w:id="226" w:name="_Toc265228365"/>
      <w:bookmarkStart w:id="227" w:name="_Toc127161441"/>
      <w:bookmarkStart w:id="228" w:name="_Toc127151728"/>
      <w:bookmarkStart w:id="229" w:name="_Toc305158795"/>
      <w:bookmarkStart w:id="230" w:name="_Toc150480765"/>
      <w:bookmarkStart w:id="231" w:name="_Toc142311029"/>
      <w:bookmarkStart w:id="232" w:name="_Toc516367021"/>
      <w:bookmarkStart w:id="233" w:name="_Toc305158869"/>
      <w:bookmarkStart w:id="234" w:name="_Toc164229222"/>
      <w:bookmarkStart w:id="235" w:name="_Toc150774732"/>
      <w:bookmarkStart w:id="236" w:name="_Toc164608641"/>
      <w:bookmarkStart w:id="237" w:name="_Toc164229368"/>
      <w:bookmarkStart w:id="238" w:name="_Toc520356151"/>
      <w:bookmarkStart w:id="239" w:name="_Toc151193697"/>
      <w:bookmarkStart w:id="240" w:name="_Toc226337223"/>
      <w:bookmarkStart w:id="241" w:name="_Toc151193841"/>
      <w:bookmarkStart w:id="242" w:name="_Toc151193769"/>
      <w:bookmarkStart w:id="243" w:name="_Toc151193625"/>
      <w:bookmarkStart w:id="244" w:name="_Toc150774627"/>
      <w:bookmarkStart w:id="245" w:name="_Toc151193915"/>
      <w:bookmarkStart w:id="246" w:name="_Toc149720820"/>
      <w:bookmarkStart w:id="247" w:name="_Toc226965717"/>
      <w:bookmarkStart w:id="248" w:name="_Toc127151527"/>
      <w:bookmarkStart w:id="249" w:name="_Toc226965800"/>
      <w:bookmarkStart w:id="250" w:name="_Toc150509278"/>
      <w:bookmarkStart w:id="251" w:name="_Toc226309771"/>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pPr>
        <w:numPr>
          <w:ilvl w:val="1"/>
          <w:numId w:val="9"/>
        </w:numPr>
        <w:tabs>
          <w:tab w:val="left" w:pos="1080"/>
          <w:tab w:val="left" w:pos="1589"/>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9"/>
        </w:numPr>
        <w:tabs>
          <w:tab w:val="left" w:pos="1080"/>
          <w:tab w:val="left" w:pos="1589"/>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9"/>
        </w:numPr>
        <w:tabs>
          <w:tab w:val="left" w:pos="1080"/>
          <w:tab w:val="left" w:pos="1589"/>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 w:val="left" w:pos="900"/>
        </w:tabs>
        <w:snapToGrid w:val="0"/>
        <w:spacing w:line="360" w:lineRule="auto"/>
        <w:ind w:left="357" w:hanging="357"/>
        <w:outlineLvl w:val="1"/>
        <w:rPr>
          <w:sz w:val="24"/>
        </w:rPr>
      </w:pPr>
      <w:bookmarkStart w:id="252" w:name="_Ref467306676"/>
      <w:bookmarkStart w:id="253" w:name="_Toc516367022"/>
      <w:bookmarkStart w:id="254" w:name="_Ref467306195"/>
      <w:bookmarkStart w:id="255" w:name="_Toc151193626"/>
      <w:bookmarkStart w:id="256" w:name="_Toc226965718"/>
      <w:bookmarkStart w:id="257" w:name="_Toc150480766"/>
      <w:bookmarkStart w:id="258" w:name="_Toc164229223"/>
      <w:bookmarkStart w:id="259" w:name="_Toc305158870"/>
      <w:bookmarkStart w:id="260" w:name="_Toc226965801"/>
      <w:bookmarkStart w:id="261" w:name="_Toc142311030"/>
      <w:bookmarkStart w:id="262" w:name="_Toc164608797"/>
      <w:bookmarkStart w:id="263" w:name="_Toc151193842"/>
      <w:bookmarkStart w:id="264" w:name="_Toc305158796"/>
      <w:bookmarkStart w:id="265" w:name="_Toc226337224"/>
      <w:bookmarkStart w:id="266" w:name="_Toc264969218"/>
      <w:bookmarkStart w:id="267" w:name="_Toc164229369"/>
      <w:bookmarkStart w:id="268" w:name="_Toc226309772"/>
      <w:bookmarkStart w:id="269" w:name="_Toc151193770"/>
      <w:bookmarkStart w:id="270" w:name="_Toc150509279"/>
      <w:bookmarkStart w:id="271" w:name="_Toc151193916"/>
      <w:bookmarkStart w:id="272" w:name="_Toc127151528"/>
      <w:bookmarkStart w:id="273" w:name="_Toc149720821"/>
      <w:bookmarkStart w:id="274" w:name="_Toc127151729"/>
      <w:bookmarkStart w:id="275" w:name="_Toc151190155"/>
      <w:bookmarkStart w:id="276" w:name="_Toc127161442"/>
      <w:bookmarkStart w:id="277" w:name="_Toc265228366"/>
      <w:bookmarkStart w:id="278" w:name="_Toc151193698"/>
      <w:bookmarkStart w:id="279" w:name="_Toc150774733"/>
      <w:bookmarkStart w:id="280" w:name="_Toc150774628"/>
      <w:bookmarkStart w:id="281" w:name="_Toc164608642"/>
      <w:bookmarkStart w:id="282" w:name="_Toc520356152"/>
      <w:bookmarkStart w:id="283" w:name="_Toc164351622"/>
      <w:bookmarkStart w:id="284" w:name="_Toc195842893"/>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numPr>
          <w:ilvl w:val="1"/>
          <w:numId w:val="9"/>
        </w:numPr>
        <w:tabs>
          <w:tab w:val="left" w:pos="1080"/>
          <w:tab w:val="left" w:pos="1589"/>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投标人应当按照招标文件的要求编制投标文件。投标文件应由《资格证明文件》、《商务技术文件》两部分构成</w:t>
      </w:r>
      <w:r>
        <w:rPr>
          <w:rFonts w:hint="eastAsia"/>
          <w:sz w:val="24"/>
        </w:rPr>
        <w:t>，</w:t>
      </w:r>
      <w:r>
        <w:rPr>
          <w:sz w:val="24"/>
        </w:rPr>
        <w:t>投标人应分别编制并包装。投标文件的部分格式要求，见第七章《投标文件格式》。</w:t>
      </w:r>
    </w:p>
    <w:p>
      <w:pPr>
        <w:numPr>
          <w:ilvl w:val="1"/>
          <w:numId w:val="9"/>
        </w:numPr>
        <w:tabs>
          <w:tab w:val="left" w:pos="1080"/>
          <w:tab w:val="left" w:pos="1589"/>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9"/>
        </w:numPr>
        <w:tabs>
          <w:tab w:val="left" w:pos="1080"/>
          <w:tab w:val="left" w:pos="1589"/>
          <w:tab w:val="left" w:pos="2014"/>
        </w:tabs>
        <w:snapToGrid w:val="0"/>
        <w:spacing w:line="360" w:lineRule="auto"/>
        <w:ind w:left="1077" w:hanging="720"/>
        <w:rPr>
          <w:sz w:val="24"/>
        </w:rPr>
      </w:pPr>
      <w:r>
        <w:rPr>
          <w:sz w:val="24"/>
        </w:rPr>
        <w:t>第四章《评标程序、评标方法和评标标准》中涉及的证明文件。</w:t>
      </w:r>
    </w:p>
    <w:p>
      <w:pPr>
        <w:numPr>
          <w:ilvl w:val="1"/>
          <w:numId w:val="9"/>
        </w:numPr>
        <w:tabs>
          <w:tab w:val="left" w:pos="1080"/>
          <w:tab w:val="left" w:pos="1589"/>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1589"/>
          <w:tab w:val="left" w:pos="2014"/>
        </w:tabs>
        <w:snapToGrid w:val="0"/>
        <w:spacing w:line="360" w:lineRule="auto"/>
        <w:ind w:left="1077" w:hanging="720"/>
        <w:rPr>
          <w:sz w:val="24"/>
        </w:rPr>
      </w:pPr>
      <w:r>
        <w:rPr>
          <w:sz w:val="24"/>
        </w:rPr>
        <w:t>投标人认为应附的其他材料。</w:t>
      </w:r>
      <w:bookmarkEnd w:id="285"/>
    </w:p>
    <w:p>
      <w:pPr>
        <w:numPr>
          <w:ilvl w:val="0"/>
          <w:numId w:val="9"/>
        </w:numPr>
        <w:tabs>
          <w:tab w:val="left" w:pos="360"/>
          <w:tab w:val="left" w:pos="900"/>
        </w:tabs>
        <w:snapToGrid w:val="0"/>
        <w:spacing w:line="360" w:lineRule="auto"/>
        <w:ind w:left="357" w:hanging="357"/>
        <w:outlineLvl w:val="1"/>
        <w:rPr>
          <w:sz w:val="24"/>
        </w:rPr>
      </w:pPr>
      <w:bookmarkStart w:id="286" w:name="_Toc195842895"/>
      <w:bookmarkStart w:id="287" w:name="_Toc164608644"/>
      <w:bookmarkStart w:id="288" w:name="_Toc520356155"/>
      <w:bookmarkStart w:id="289" w:name="_Toc151193772"/>
      <w:bookmarkStart w:id="290" w:name="_Toc151193628"/>
      <w:bookmarkStart w:id="291" w:name="_Toc142311032"/>
      <w:bookmarkStart w:id="292" w:name="_Toc164229371"/>
      <w:bookmarkStart w:id="293" w:name="_Toc127151530"/>
      <w:bookmarkStart w:id="294" w:name="_Toc150774630"/>
      <w:bookmarkStart w:id="295" w:name="_Toc150509281"/>
      <w:bookmarkStart w:id="296" w:name="_Toc151193918"/>
      <w:bookmarkStart w:id="297" w:name="_Toc149720823"/>
      <w:bookmarkStart w:id="298" w:name="_Toc151193844"/>
      <w:bookmarkStart w:id="299" w:name="_Toc164608799"/>
      <w:bookmarkStart w:id="300" w:name="_Toc164351624"/>
      <w:bookmarkStart w:id="301" w:name="_Toc150480768"/>
      <w:bookmarkStart w:id="302" w:name="_Toc127151731"/>
      <w:bookmarkStart w:id="303" w:name="_Toc150774735"/>
      <w:bookmarkStart w:id="304" w:name="_Toc127161444"/>
      <w:bookmarkStart w:id="305" w:name="_Toc151193700"/>
      <w:bookmarkStart w:id="306" w:name="_Toc151190157"/>
      <w:bookmarkStart w:id="307" w:name="_Toc164229225"/>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pPr>
        <w:numPr>
          <w:ilvl w:val="1"/>
          <w:numId w:val="9"/>
        </w:numPr>
        <w:tabs>
          <w:tab w:val="left" w:pos="1080"/>
          <w:tab w:val="left" w:pos="1589"/>
          <w:tab w:val="left" w:pos="2014"/>
        </w:tabs>
        <w:snapToGrid w:val="0"/>
        <w:spacing w:line="360" w:lineRule="auto"/>
        <w:ind w:left="1077" w:hanging="720"/>
        <w:rPr>
          <w:sz w:val="24"/>
        </w:rPr>
      </w:pPr>
      <w:r>
        <w:rPr>
          <w:sz w:val="24"/>
        </w:rPr>
        <w:t>所有投标均以人民币报价。</w:t>
      </w:r>
    </w:p>
    <w:p>
      <w:pPr>
        <w:numPr>
          <w:ilvl w:val="1"/>
          <w:numId w:val="9"/>
        </w:numPr>
        <w:tabs>
          <w:tab w:val="left" w:pos="1080"/>
          <w:tab w:val="left" w:pos="1589"/>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9"/>
        </w:numPr>
        <w:tabs>
          <w:tab w:val="left" w:pos="1980"/>
        </w:tabs>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tabs>
          <w:tab w:val="left" w:pos="1980"/>
        </w:tabs>
        <w:snapToGrid w:val="0"/>
        <w:spacing w:line="360" w:lineRule="auto"/>
        <w:rPr>
          <w:sz w:val="24"/>
        </w:rPr>
      </w:pPr>
      <w:r>
        <w:rPr>
          <w:sz w:val="24"/>
        </w:rPr>
        <w:t xml:space="preserve">按照招标文件要求完成本项目的全部相关服务费用。 </w:t>
      </w:r>
    </w:p>
    <w:p>
      <w:pPr>
        <w:numPr>
          <w:ilvl w:val="1"/>
          <w:numId w:val="9"/>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9"/>
        </w:numPr>
        <w:tabs>
          <w:tab w:val="left" w:pos="1080"/>
          <w:tab w:val="left" w:pos="1589"/>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pPr>
        <w:numPr>
          <w:ilvl w:val="0"/>
          <w:numId w:val="9"/>
        </w:numPr>
        <w:tabs>
          <w:tab w:val="left" w:pos="360"/>
          <w:tab w:val="left" w:pos="900"/>
        </w:tabs>
        <w:snapToGrid w:val="0"/>
        <w:spacing w:line="360" w:lineRule="auto"/>
        <w:ind w:left="357" w:hanging="357"/>
        <w:outlineLvl w:val="1"/>
        <w:rPr>
          <w:sz w:val="24"/>
        </w:rPr>
      </w:pPr>
      <w:bookmarkStart w:id="308" w:name="_Toc149720824"/>
      <w:bookmarkStart w:id="309" w:name="_Toc150774736"/>
      <w:bookmarkStart w:id="310" w:name="_Toc264969221"/>
      <w:bookmarkStart w:id="311" w:name="_Toc127151531"/>
      <w:bookmarkStart w:id="312" w:name="_Toc305158873"/>
      <w:bookmarkStart w:id="313" w:name="_Toc127161445"/>
      <w:bookmarkStart w:id="314" w:name="_Toc195842896"/>
      <w:bookmarkStart w:id="315" w:name="_Toc127151732"/>
      <w:bookmarkStart w:id="316" w:name="_Toc150774631"/>
      <w:bookmarkStart w:id="317" w:name="_Toc151190158"/>
      <w:bookmarkStart w:id="318" w:name="_Toc226965721"/>
      <w:bookmarkStart w:id="319" w:name="_Toc142311033"/>
      <w:bookmarkStart w:id="320" w:name="_Toc226309775"/>
      <w:bookmarkStart w:id="321" w:name="_Toc164351625"/>
      <w:bookmarkStart w:id="322" w:name="_Toc164229226"/>
      <w:bookmarkStart w:id="323" w:name="_Toc151193919"/>
      <w:bookmarkStart w:id="324" w:name="_Toc150480769"/>
      <w:bookmarkStart w:id="325" w:name="_Toc305158799"/>
      <w:bookmarkStart w:id="326" w:name="_Toc151193701"/>
      <w:bookmarkStart w:id="327" w:name="_Toc164608800"/>
      <w:bookmarkStart w:id="328" w:name="_Toc265228369"/>
      <w:bookmarkStart w:id="329" w:name="_Toc150509282"/>
      <w:bookmarkStart w:id="330" w:name="_Toc164229372"/>
      <w:bookmarkStart w:id="331" w:name="_Toc151193773"/>
      <w:bookmarkStart w:id="332" w:name="_Toc226337227"/>
      <w:bookmarkStart w:id="333" w:name="_Toc164608645"/>
      <w:bookmarkStart w:id="334" w:name="_Toc520356156"/>
      <w:bookmarkStart w:id="335" w:name="_Toc151193845"/>
      <w:bookmarkStart w:id="336" w:name="_Ref467306513"/>
      <w:bookmarkStart w:id="337" w:name="_Toc226965804"/>
      <w:bookmarkStart w:id="338" w:name="_Toc151193629"/>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numPr>
          <w:ilvl w:val="1"/>
          <w:numId w:val="9"/>
        </w:numPr>
        <w:tabs>
          <w:tab w:val="left" w:pos="1080"/>
          <w:tab w:val="left" w:pos="1589"/>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，并作为其投标的一部分。</w:t>
      </w:r>
    </w:p>
    <w:p>
      <w:pPr>
        <w:numPr>
          <w:ilvl w:val="1"/>
          <w:numId w:val="9"/>
        </w:numPr>
        <w:tabs>
          <w:tab w:val="left" w:pos="1080"/>
          <w:tab w:val="left" w:pos="1589"/>
          <w:tab w:val="left" w:pos="2014"/>
        </w:tabs>
        <w:snapToGrid w:val="0"/>
        <w:spacing w:line="360" w:lineRule="auto"/>
        <w:ind w:left="1077" w:hanging="720"/>
        <w:rPr>
          <w:sz w:val="24"/>
        </w:rPr>
      </w:pPr>
      <w:r>
        <w:rPr>
          <w:sz w:val="24"/>
        </w:rPr>
        <w:t>交纳投标保证金可采用的形式：</w:t>
      </w:r>
      <w:r>
        <w:rPr>
          <w:rFonts w:hint="eastAsia"/>
          <w:sz w:val="24"/>
        </w:rPr>
        <w:t>政府采购法律法规接受的支票、汇票、本票、网上银行支付或者金融机构、担保机构出具的保函等非现金形式。</w:t>
      </w:r>
    </w:p>
    <w:p>
      <w:pPr>
        <w:numPr>
          <w:ilvl w:val="1"/>
          <w:numId w:val="9"/>
        </w:numPr>
        <w:tabs>
          <w:tab w:val="left" w:pos="1080"/>
          <w:tab w:val="left" w:pos="1589"/>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招标代理机构。由于到账时间晚于投标截止时间的，或者票据错误、印鉴不清等原因导致不能到账的，其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9"/>
        </w:numPr>
        <w:tabs>
          <w:tab w:val="left" w:pos="1080"/>
          <w:tab w:val="left" w:pos="1589"/>
          <w:tab w:val="left" w:pos="2014"/>
        </w:tabs>
        <w:snapToGrid w:val="0"/>
        <w:spacing w:line="360" w:lineRule="auto"/>
        <w:ind w:left="1077" w:hanging="720"/>
        <w:rPr>
          <w:sz w:val="24"/>
        </w:rPr>
      </w:pPr>
      <w:r>
        <w:rPr>
          <w:rFonts w:hint="eastAsia"/>
          <w:sz w:val="24"/>
        </w:rPr>
        <w:t>投标保证金有效期同投标有效期。</w:t>
      </w:r>
    </w:p>
    <w:p>
      <w:pPr>
        <w:numPr>
          <w:ilvl w:val="1"/>
          <w:numId w:val="9"/>
        </w:numPr>
        <w:tabs>
          <w:tab w:val="left" w:pos="1080"/>
          <w:tab w:val="left" w:pos="1589"/>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9"/>
        </w:numPr>
        <w:tabs>
          <w:tab w:val="left" w:pos="1080"/>
          <w:tab w:val="left" w:pos="1589"/>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9"/>
        </w:numPr>
        <w:tabs>
          <w:tab w:val="left" w:pos="1980"/>
        </w:tabs>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9"/>
        </w:numPr>
        <w:tabs>
          <w:tab w:val="left" w:pos="1980"/>
        </w:tabs>
        <w:snapToGrid w:val="0"/>
        <w:spacing w:line="360" w:lineRule="auto"/>
        <w:rPr>
          <w:sz w:val="24"/>
        </w:rPr>
      </w:pPr>
      <w:r>
        <w:rPr>
          <w:sz w:val="24"/>
        </w:rPr>
        <w:t>中标人的投标保证金，自采购合同签订之日起5个工作日内退还中标人；</w:t>
      </w:r>
    </w:p>
    <w:p>
      <w:pPr>
        <w:numPr>
          <w:ilvl w:val="2"/>
          <w:numId w:val="9"/>
        </w:numPr>
        <w:tabs>
          <w:tab w:val="left" w:pos="1980"/>
        </w:tabs>
        <w:snapToGrid w:val="0"/>
        <w:spacing w:line="360" w:lineRule="auto"/>
        <w:rPr>
          <w:sz w:val="24"/>
        </w:rPr>
      </w:pPr>
      <w:r>
        <w:rPr>
          <w:sz w:val="24"/>
        </w:rPr>
        <w:t>未中标投标人的投标保证金，自中标通知书发出之日起5个工作日内退还未中标人；</w:t>
      </w:r>
    </w:p>
    <w:p>
      <w:pPr>
        <w:numPr>
          <w:ilvl w:val="2"/>
          <w:numId w:val="9"/>
        </w:numPr>
        <w:tabs>
          <w:tab w:val="left" w:pos="1980"/>
        </w:tabs>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9"/>
        </w:numPr>
        <w:tabs>
          <w:tab w:val="left" w:pos="1080"/>
          <w:tab w:val="left" w:pos="1589"/>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9"/>
        </w:numPr>
        <w:tabs>
          <w:tab w:val="left" w:pos="1980"/>
        </w:tabs>
        <w:snapToGrid w:val="0"/>
        <w:spacing w:line="360" w:lineRule="auto"/>
        <w:rPr>
          <w:sz w:val="24"/>
        </w:rPr>
      </w:pPr>
      <w:r>
        <w:rPr>
          <w:sz w:val="24"/>
        </w:rPr>
        <w:t>投标有效期内投标人撤销投标文件的；</w:t>
      </w:r>
    </w:p>
    <w:p>
      <w:pPr>
        <w:numPr>
          <w:ilvl w:val="2"/>
          <w:numId w:val="9"/>
        </w:numPr>
        <w:tabs>
          <w:tab w:val="left" w:pos="900"/>
          <w:tab w:val="left" w:pos="1080"/>
          <w:tab w:val="left" w:pos="1980"/>
          <w:tab w:val="left" w:pos="2014"/>
        </w:tabs>
        <w:snapToGrid w:val="0"/>
        <w:spacing w:line="360" w:lineRule="auto"/>
        <w:rPr>
          <w:sz w:val="24"/>
        </w:rPr>
      </w:pPr>
      <w:r>
        <w:rPr>
          <w:sz w:val="24"/>
        </w:rPr>
        <w:t>《投标人须知资料表》中规定的其他情形。</w:t>
      </w:r>
    </w:p>
    <w:p>
      <w:pPr>
        <w:numPr>
          <w:ilvl w:val="0"/>
          <w:numId w:val="9"/>
        </w:numPr>
        <w:tabs>
          <w:tab w:val="left" w:pos="360"/>
          <w:tab w:val="left" w:pos="900"/>
        </w:tabs>
        <w:snapToGrid w:val="0"/>
        <w:spacing w:line="360" w:lineRule="auto"/>
        <w:ind w:left="357" w:hanging="357"/>
        <w:outlineLvl w:val="1"/>
        <w:rPr>
          <w:sz w:val="24"/>
        </w:rPr>
      </w:pPr>
      <w:bookmarkStart w:id="340" w:name="_Toc226337228"/>
      <w:bookmarkStart w:id="341" w:name="_Toc150509283"/>
      <w:bookmarkStart w:id="342" w:name="_Toc150774632"/>
      <w:bookmarkStart w:id="343" w:name="_Toc142311034"/>
      <w:bookmarkStart w:id="344" w:name="_Toc164229373"/>
      <w:bookmarkStart w:id="345" w:name="_Toc305158874"/>
      <w:bookmarkStart w:id="346" w:name="_Toc150774737"/>
      <w:bookmarkStart w:id="347" w:name="_Toc151193630"/>
      <w:bookmarkStart w:id="348" w:name="_Toc127151532"/>
      <w:bookmarkStart w:id="349" w:name="_Toc149720825"/>
      <w:bookmarkStart w:id="350" w:name="_Toc226965722"/>
      <w:bookmarkStart w:id="351" w:name="_Toc265228370"/>
      <w:bookmarkStart w:id="352" w:name="_Toc164351626"/>
      <w:bookmarkStart w:id="353" w:name="_Toc164229227"/>
      <w:bookmarkStart w:id="354" w:name="_Toc195842897"/>
      <w:bookmarkStart w:id="355" w:name="_Toc164608801"/>
      <w:bookmarkStart w:id="356" w:name="_Toc151193920"/>
      <w:bookmarkStart w:id="357" w:name="_Toc226965805"/>
      <w:bookmarkStart w:id="358" w:name="_Toc520356157"/>
      <w:bookmarkStart w:id="359" w:name="_Toc305158800"/>
      <w:bookmarkStart w:id="360" w:name="_Toc151193702"/>
      <w:bookmarkStart w:id="361" w:name="_Toc264969222"/>
      <w:bookmarkStart w:id="362" w:name="_Toc151193774"/>
      <w:bookmarkStart w:id="363" w:name="_Toc226309776"/>
      <w:bookmarkStart w:id="364" w:name="_Toc127161446"/>
      <w:bookmarkStart w:id="365" w:name="_Toc127151733"/>
      <w:bookmarkStart w:id="366" w:name="_Toc151190159"/>
      <w:bookmarkStart w:id="367" w:name="_Toc164608646"/>
      <w:bookmarkStart w:id="368" w:name="_Toc151193846"/>
      <w:bookmarkStart w:id="369" w:name="_Toc150480770"/>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numPr>
          <w:ilvl w:val="1"/>
          <w:numId w:val="9"/>
        </w:numPr>
        <w:tabs>
          <w:tab w:val="left" w:pos="1080"/>
          <w:tab w:val="left" w:pos="1589"/>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9"/>
        </w:numPr>
        <w:tabs>
          <w:tab w:val="left" w:pos="360"/>
          <w:tab w:val="left" w:pos="900"/>
        </w:tabs>
        <w:snapToGrid w:val="0"/>
        <w:spacing w:line="360" w:lineRule="auto"/>
        <w:ind w:left="357" w:hanging="357"/>
        <w:outlineLvl w:val="1"/>
        <w:rPr>
          <w:sz w:val="24"/>
        </w:rPr>
      </w:pPr>
      <w:bookmarkStart w:id="370" w:name="_Toc305158801"/>
      <w:bookmarkStart w:id="371" w:name="_Toc226965806"/>
      <w:bookmarkStart w:id="372" w:name="_Toc149720826"/>
      <w:bookmarkStart w:id="373" w:name="_Toc226965723"/>
      <w:bookmarkStart w:id="374" w:name="_Toc127151734"/>
      <w:bookmarkStart w:id="375" w:name="_Toc150774633"/>
      <w:bookmarkStart w:id="376" w:name="_Toc195842898"/>
      <w:bookmarkStart w:id="377" w:name="_Toc226309777"/>
      <w:bookmarkStart w:id="378" w:name="_Toc142311035"/>
      <w:bookmarkStart w:id="379" w:name="_Toc164229228"/>
      <w:bookmarkStart w:id="380" w:name="_Toc164351627"/>
      <w:bookmarkStart w:id="381" w:name="_Toc265228371"/>
      <w:bookmarkStart w:id="382" w:name="_Toc226337229"/>
      <w:bookmarkStart w:id="383" w:name="_Toc151193775"/>
      <w:bookmarkStart w:id="384" w:name="_Toc305158875"/>
      <w:bookmarkStart w:id="385" w:name="_Toc520356158"/>
      <w:bookmarkStart w:id="386" w:name="_Toc164229374"/>
      <w:bookmarkStart w:id="387" w:name="_Toc150509284"/>
      <w:bookmarkStart w:id="388" w:name="_Toc127151533"/>
      <w:bookmarkStart w:id="389" w:name="_Toc127161447"/>
      <w:bookmarkStart w:id="390" w:name="_Toc151193921"/>
      <w:bookmarkStart w:id="391" w:name="_Toc151193703"/>
      <w:bookmarkStart w:id="392" w:name="_Toc151193847"/>
      <w:bookmarkStart w:id="393" w:name="_Toc150480771"/>
      <w:bookmarkStart w:id="394" w:name="_Toc151190160"/>
      <w:bookmarkStart w:id="395" w:name="_Toc164608647"/>
      <w:bookmarkStart w:id="396" w:name="_Toc164608802"/>
      <w:bookmarkStart w:id="397" w:name="_Toc151193631"/>
      <w:bookmarkStart w:id="398" w:name="_Toc150774738"/>
      <w:bookmarkStart w:id="399" w:name="_Toc264969223"/>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pPr>
        <w:numPr>
          <w:ilvl w:val="1"/>
          <w:numId w:val="9"/>
        </w:numPr>
        <w:tabs>
          <w:tab w:val="left" w:pos="1080"/>
          <w:tab w:val="left" w:pos="1589"/>
          <w:tab w:val="left" w:pos="2014"/>
        </w:tabs>
        <w:snapToGrid w:val="0"/>
        <w:spacing w:line="360" w:lineRule="auto"/>
        <w:ind w:left="1080" w:hanging="720"/>
        <w:rPr>
          <w:sz w:val="24"/>
        </w:rPr>
      </w:pPr>
      <w:bookmarkStart w:id="400" w:name="_Toc520356159"/>
      <w:bookmarkStart w:id="401" w:name="_Toc151190161"/>
      <w:bookmarkStart w:id="402" w:name="_Toc264969224"/>
      <w:bookmarkStart w:id="403" w:name="_Toc305158876"/>
      <w:bookmarkStart w:id="404" w:name="_Toc151193848"/>
      <w:bookmarkStart w:id="405" w:name="_Toc195842899"/>
      <w:bookmarkStart w:id="406" w:name="_Toc151193632"/>
      <w:bookmarkStart w:id="407" w:name="_Toc226309778"/>
      <w:bookmarkStart w:id="408" w:name="_Toc305158802"/>
      <w:bookmarkStart w:id="409" w:name="_Toc150480772"/>
      <w:bookmarkStart w:id="410" w:name="_Toc150509285"/>
      <w:bookmarkStart w:id="411" w:name="_Toc151193776"/>
      <w:bookmarkStart w:id="412" w:name="_Toc142311036"/>
      <w:bookmarkStart w:id="413" w:name="_Toc226337230"/>
      <w:bookmarkStart w:id="414" w:name="_Toc265228372"/>
      <w:bookmarkStart w:id="415" w:name="_Toc127151534"/>
      <w:bookmarkStart w:id="416" w:name="_Toc226965724"/>
      <w:bookmarkStart w:id="417" w:name="_Toc150774634"/>
      <w:bookmarkStart w:id="418" w:name="_Toc226965807"/>
      <w:bookmarkStart w:id="419" w:name="_Toc151193704"/>
      <w:bookmarkStart w:id="420" w:name="_Toc151193922"/>
      <w:bookmarkStart w:id="421" w:name="_Toc15077473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9"/>
        </w:numPr>
        <w:tabs>
          <w:tab w:val="left" w:pos="1080"/>
          <w:tab w:val="left" w:pos="1589"/>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pPr>
        <w:pStyle w:val="2"/>
      </w:pPr>
    </w:p>
    <w:p>
      <w:pPr>
        <w:pStyle w:val="5"/>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numPr>
          <w:ilvl w:val="0"/>
          <w:numId w:val="9"/>
        </w:numPr>
        <w:tabs>
          <w:tab w:val="left" w:pos="360"/>
          <w:tab w:val="left" w:pos="900"/>
        </w:tabs>
        <w:snapToGrid w:val="0"/>
        <w:spacing w:line="360" w:lineRule="auto"/>
        <w:ind w:left="357" w:hanging="357"/>
        <w:outlineLvl w:val="1"/>
        <w:rPr>
          <w:sz w:val="24"/>
        </w:rPr>
      </w:pPr>
      <w:bookmarkStart w:id="422" w:name="_Toc127151535"/>
      <w:bookmarkStart w:id="423" w:name="_Toc151190162"/>
      <w:bookmarkStart w:id="424" w:name="_Toc164608649"/>
      <w:bookmarkStart w:id="425" w:name="_Toc127161449"/>
      <w:bookmarkStart w:id="426" w:name="_Toc226965808"/>
      <w:bookmarkStart w:id="427" w:name="_Toc151193923"/>
      <w:bookmarkStart w:id="428" w:name="_Toc150774635"/>
      <w:bookmarkStart w:id="429" w:name="_Toc127151736"/>
      <w:bookmarkStart w:id="430" w:name="_Toc149720828"/>
      <w:bookmarkStart w:id="431" w:name="_Toc265228373"/>
      <w:bookmarkStart w:id="432" w:name="_Toc226965725"/>
      <w:bookmarkStart w:id="433" w:name="_Toc164229376"/>
      <w:bookmarkStart w:id="434" w:name="_Toc151193705"/>
      <w:bookmarkStart w:id="435" w:name="_Toc264969225"/>
      <w:bookmarkStart w:id="436" w:name="_Toc226337231"/>
      <w:bookmarkStart w:id="437" w:name="_Toc164351629"/>
      <w:bookmarkStart w:id="438" w:name="_Toc150774740"/>
      <w:bookmarkStart w:id="439" w:name="_Toc142311037"/>
      <w:bookmarkStart w:id="440" w:name="_Toc226309779"/>
      <w:bookmarkStart w:id="441" w:name="_Toc520356160"/>
      <w:bookmarkStart w:id="442" w:name="_Toc151193633"/>
      <w:bookmarkStart w:id="443" w:name="_Toc164229230"/>
      <w:bookmarkStart w:id="444" w:name="_Toc150509286"/>
      <w:bookmarkStart w:id="445" w:name="_Toc305158877"/>
      <w:bookmarkStart w:id="446" w:name="_Toc195842900"/>
      <w:bookmarkStart w:id="447" w:name="_Toc151193777"/>
      <w:bookmarkStart w:id="448" w:name="_Toc151193849"/>
      <w:bookmarkStart w:id="449" w:name="_Toc305158803"/>
      <w:bookmarkStart w:id="450" w:name="_Toc164608804"/>
      <w:bookmarkStart w:id="451" w:name="_Toc150480773"/>
      <w:r>
        <w:rPr>
          <w:bCs/>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bCs/>
          <w:sz w:val="24"/>
        </w:rPr>
        <w:t>提交</w:t>
      </w:r>
    </w:p>
    <w:p>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452" w:name="_Hlk39148771"/>
      <w:r>
        <w:rPr>
          <w:sz w:val="24"/>
        </w:rPr>
        <w:t>本项目使用电子交易平台。投标人根据招标文件及电子交易平台供应商操作手册要求编制、生成并提交电子投标文件。</w:t>
      </w:r>
    </w:p>
    <w:bookmarkEnd w:id="452"/>
    <w:p>
      <w:pPr>
        <w:numPr>
          <w:ilvl w:val="1"/>
          <w:numId w:val="9"/>
        </w:numPr>
        <w:tabs>
          <w:tab w:val="left" w:pos="1080"/>
          <w:tab w:val="left" w:pos="1589"/>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9"/>
        </w:numPr>
        <w:tabs>
          <w:tab w:val="left" w:pos="360"/>
          <w:tab w:val="left" w:pos="900"/>
        </w:tabs>
        <w:snapToGrid w:val="0"/>
        <w:spacing w:line="360" w:lineRule="auto"/>
        <w:ind w:left="357" w:hanging="357"/>
        <w:outlineLvl w:val="1"/>
        <w:rPr>
          <w:sz w:val="24"/>
        </w:rPr>
      </w:pPr>
      <w:bookmarkStart w:id="453" w:name="_Toc127161450"/>
      <w:bookmarkStart w:id="454" w:name="_Toc164229231"/>
      <w:bookmarkStart w:id="455" w:name="_Toc164608650"/>
      <w:bookmarkStart w:id="456" w:name="_Toc150480774"/>
      <w:bookmarkStart w:id="457" w:name="_Toc265228374"/>
      <w:bookmarkStart w:id="458" w:name="_Toc195842901"/>
      <w:bookmarkStart w:id="459" w:name="_Toc305158878"/>
      <w:bookmarkStart w:id="460" w:name="_Toc164608805"/>
      <w:bookmarkStart w:id="461" w:name="_Toc226337232"/>
      <w:bookmarkStart w:id="462" w:name="_Toc150774741"/>
      <w:bookmarkStart w:id="463" w:name="_Toc151190163"/>
      <w:bookmarkStart w:id="464" w:name="_Toc127151737"/>
      <w:bookmarkStart w:id="465" w:name="_Toc264969226"/>
      <w:bookmarkStart w:id="466" w:name="_Toc226965809"/>
      <w:bookmarkStart w:id="467" w:name="_Toc305158804"/>
      <w:bookmarkStart w:id="468" w:name="_Toc151193706"/>
      <w:bookmarkStart w:id="469" w:name="_Toc151193778"/>
      <w:bookmarkStart w:id="470" w:name="_Toc520356161"/>
      <w:bookmarkStart w:id="471" w:name="_Toc150509287"/>
      <w:bookmarkStart w:id="472" w:name="_Toc150774636"/>
      <w:bookmarkStart w:id="473" w:name="_Toc142311038"/>
      <w:bookmarkStart w:id="474" w:name="_Toc226309780"/>
      <w:bookmarkStart w:id="475" w:name="_Toc226965726"/>
      <w:bookmarkStart w:id="476" w:name="_Toc149720829"/>
      <w:bookmarkStart w:id="477" w:name="_Toc127151536"/>
      <w:bookmarkStart w:id="478" w:name="_Toc151193924"/>
      <w:bookmarkStart w:id="479" w:name="_Toc164229377"/>
      <w:bookmarkStart w:id="480" w:name="_Toc151193634"/>
      <w:bookmarkStart w:id="481" w:name="_Toc151193850"/>
      <w:bookmarkStart w:id="482" w:name="_Toc164351630"/>
      <w:r>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sz w:val="24"/>
        </w:rPr>
        <w:t>时间</w:t>
      </w:r>
    </w:p>
    <w:p>
      <w:pPr>
        <w:numPr>
          <w:ilvl w:val="1"/>
          <w:numId w:val="9"/>
        </w:numPr>
        <w:tabs>
          <w:tab w:val="left" w:pos="1080"/>
          <w:tab w:val="left" w:pos="1589"/>
          <w:tab w:val="left" w:pos="2014"/>
        </w:tabs>
        <w:snapToGrid w:val="0"/>
        <w:spacing w:line="360" w:lineRule="auto"/>
        <w:ind w:left="1077" w:hanging="720"/>
        <w:rPr>
          <w:rFonts w:ascii="宋体" w:hAnsi="宋体" w:cs="宋体"/>
          <w:sz w:val="24"/>
        </w:rPr>
      </w:pPr>
      <w:bookmarkStart w:id="483" w:name="_Hlk37683929"/>
      <w:r>
        <w:rPr>
          <w:sz w:val="24"/>
        </w:rPr>
        <w:t>投标人应在招标文件要求提交投标文件截止时间前，将电子投标文件提交至电子交易平台。</w:t>
      </w:r>
      <w:bookmarkEnd w:id="483"/>
    </w:p>
    <w:p>
      <w:pPr>
        <w:numPr>
          <w:ilvl w:val="1"/>
          <w:numId w:val="9"/>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采购人、采购代理机构有权按本须知的规定，通过修改招标文件延长投标截止时间。在此情况下，采购人、采购代理机构和投标人受投标截止时间制约的所有权利和义务均应当延长至新的截止期。</w:t>
      </w:r>
    </w:p>
    <w:p>
      <w:pPr>
        <w:numPr>
          <w:ilvl w:val="0"/>
          <w:numId w:val="9"/>
        </w:numPr>
        <w:tabs>
          <w:tab w:val="left" w:pos="360"/>
          <w:tab w:val="left" w:pos="900"/>
        </w:tabs>
        <w:snapToGrid w:val="0"/>
        <w:spacing w:line="360" w:lineRule="auto"/>
        <w:ind w:left="357" w:hanging="357"/>
        <w:outlineLvl w:val="1"/>
        <w:rPr>
          <w:sz w:val="24"/>
        </w:rPr>
      </w:pPr>
      <w:bookmarkStart w:id="484" w:name="_Toc520356162"/>
      <w:bookmarkStart w:id="485" w:name="_Toc164351631"/>
      <w:bookmarkStart w:id="486" w:name="_Toc151193707"/>
      <w:bookmarkStart w:id="487" w:name="_Toc142311039"/>
      <w:bookmarkStart w:id="488" w:name="_Toc195842902"/>
      <w:bookmarkStart w:id="489" w:name="_Toc151190164"/>
      <w:bookmarkStart w:id="490" w:name="_Toc226309781"/>
      <w:bookmarkStart w:id="491" w:name="_Toc264969227"/>
      <w:bookmarkStart w:id="492" w:name="_Toc151193851"/>
      <w:bookmarkStart w:id="493" w:name="_Toc151193635"/>
      <w:bookmarkStart w:id="494" w:name="_Toc151193925"/>
      <w:bookmarkStart w:id="495" w:name="_Toc127151537"/>
      <w:bookmarkStart w:id="496" w:name="_Toc164229378"/>
      <w:bookmarkStart w:id="497" w:name="_Toc149720830"/>
      <w:bookmarkStart w:id="498" w:name="_Toc164608806"/>
      <w:bookmarkStart w:id="499" w:name="_Toc305158879"/>
      <w:bookmarkStart w:id="500" w:name="_Toc127151738"/>
      <w:bookmarkStart w:id="501" w:name="_Toc265228375"/>
      <w:bookmarkStart w:id="502" w:name="_Toc226965727"/>
      <w:bookmarkStart w:id="503" w:name="_Toc226965810"/>
      <w:bookmarkStart w:id="504" w:name="_Toc164229232"/>
      <w:bookmarkStart w:id="505" w:name="_Toc150480775"/>
      <w:bookmarkStart w:id="506" w:name="_Toc150774637"/>
      <w:bookmarkStart w:id="507" w:name="_Toc127161451"/>
      <w:bookmarkStart w:id="508" w:name="_Toc226337233"/>
      <w:bookmarkStart w:id="509" w:name="_Toc151193779"/>
      <w:bookmarkStart w:id="510" w:name="_Toc150509288"/>
      <w:bookmarkStart w:id="511" w:name="_Toc305158805"/>
      <w:bookmarkStart w:id="512" w:name="_Toc164608651"/>
      <w:bookmarkStart w:id="513" w:name="_Toc150774742"/>
      <w:r>
        <w:rPr>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pPr>
        <w:numPr>
          <w:ilvl w:val="1"/>
          <w:numId w:val="9"/>
        </w:numPr>
        <w:tabs>
          <w:tab w:val="left" w:pos="1080"/>
          <w:tab w:val="left" w:pos="1589"/>
          <w:tab w:val="left" w:pos="2014"/>
        </w:tabs>
        <w:snapToGrid w:val="0"/>
        <w:spacing w:line="360" w:lineRule="auto"/>
        <w:ind w:left="1077" w:hanging="720"/>
        <w:rPr>
          <w:sz w:val="24"/>
        </w:rPr>
      </w:pPr>
      <w:r>
        <w:rPr>
          <w:sz w:val="24"/>
        </w:rPr>
        <w:t>投标截止时间前，投标人可以通过电子交易平台对所提交的投标文件进行补充、修改或者撤回。投标保证金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pPr>
        <w:numPr>
          <w:ilvl w:val="1"/>
          <w:numId w:val="9"/>
        </w:numPr>
        <w:tabs>
          <w:tab w:val="left" w:pos="1080"/>
          <w:tab w:val="left" w:pos="1589"/>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5"/>
        <w:spacing w:before="0" w:line="360" w:lineRule="auto"/>
        <w:rPr>
          <w:rFonts w:ascii="Times New Roman" w:hAnsi="Times New Roman" w:eastAsia="宋体"/>
          <w:sz w:val="28"/>
        </w:rPr>
      </w:pPr>
      <w:bookmarkStart w:id="514" w:name="_Toc305158806"/>
      <w:bookmarkStart w:id="515" w:name="_Toc226965811"/>
      <w:bookmarkStart w:id="516" w:name="_Toc150774743"/>
      <w:bookmarkStart w:id="517" w:name="_Toc127151538"/>
      <w:bookmarkStart w:id="518" w:name="_Toc151193708"/>
      <w:bookmarkStart w:id="519" w:name="_Toc151193852"/>
      <w:bookmarkStart w:id="520" w:name="_Toc142311040"/>
      <w:bookmarkStart w:id="521" w:name="_Toc226309782"/>
      <w:bookmarkStart w:id="522" w:name="_Toc151193780"/>
      <w:bookmarkStart w:id="523" w:name="_Toc150509289"/>
      <w:bookmarkStart w:id="524" w:name="_Toc151193636"/>
      <w:bookmarkStart w:id="525" w:name="_Toc226337234"/>
      <w:bookmarkStart w:id="526" w:name="_Toc226965728"/>
      <w:bookmarkStart w:id="527" w:name="_Toc195842903"/>
      <w:bookmarkStart w:id="528" w:name="_Toc305158880"/>
      <w:bookmarkStart w:id="529" w:name="_Toc151193926"/>
      <w:bookmarkStart w:id="530" w:name="_Toc150774638"/>
      <w:bookmarkStart w:id="531" w:name="_Toc265228376"/>
      <w:bookmarkStart w:id="532" w:name="_Toc151190165"/>
      <w:bookmarkStart w:id="533" w:name="_Toc520356163"/>
      <w:bookmarkStart w:id="534" w:name="_Toc150480776"/>
      <w:bookmarkStart w:id="535" w:name="_Toc264969228"/>
      <w:r>
        <w:rPr>
          <w:rFonts w:ascii="Times New Roman" w:hAnsi="Times New Roman" w:eastAsia="宋体"/>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numPr>
          <w:ilvl w:val="0"/>
          <w:numId w:val="9"/>
        </w:numPr>
        <w:tabs>
          <w:tab w:val="left" w:pos="360"/>
          <w:tab w:val="left" w:pos="900"/>
        </w:tabs>
        <w:snapToGrid w:val="0"/>
        <w:spacing w:line="360" w:lineRule="auto"/>
        <w:ind w:left="357" w:hanging="357"/>
        <w:outlineLvl w:val="1"/>
        <w:rPr>
          <w:sz w:val="24"/>
        </w:rPr>
      </w:pPr>
      <w:bookmarkStart w:id="536" w:name="_Toc265228377"/>
      <w:bookmarkStart w:id="537" w:name="_Toc151193781"/>
      <w:bookmarkStart w:id="538" w:name="_Toc150774639"/>
      <w:bookmarkStart w:id="539" w:name="_Toc226965729"/>
      <w:bookmarkStart w:id="540" w:name="_Toc149720832"/>
      <w:bookmarkStart w:id="541" w:name="_Toc520356164"/>
      <w:bookmarkStart w:id="542" w:name="_Toc164608653"/>
      <w:bookmarkStart w:id="543" w:name="_Toc226965812"/>
      <w:bookmarkStart w:id="544" w:name="_Toc164351633"/>
      <w:bookmarkStart w:id="545" w:name="_Toc151193853"/>
      <w:bookmarkStart w:id="546" w:name="_Toc305158807"/>
      <w:bookmarkStart w:id="547" w:name="_Toc226309783"/>
      <w:bookmarkStart w:id="548" w:name="_Toc164608808"/>
      <w:bookmarkStart w:id="549" w:name="_Toc264969229"/>
      <w:bookmarkStart w:id="550" w:name="_Toc164229234"/>
      <w:bookmarkStart w:id="551" w:name="_Toc151193927"/>
      <w:bookmarkStart w:id="552" w:name="_Toc151190166"/>
      <w:bookmarkStart w:id="553" w:name="_Toc164229380"/>
      <w:bookmarkStart w:id="554" w:name="_Toc150480777"/>
      <w:bookmarkStart w:id="555" w:name="_Toc127151539"/>
      <w:bookmarkStart w:id="556" w:name="_Toc226337235"/>
      <w:bookmarkStart w:id="557" w:name="_Toc195842904"/>
      <w:bookmarkStart w:id="558" w:name="_Toc305158881"/>
      <w:bookmarkStart w:id="559" w:name="_Toc127161453"/>
      <w:bookmarkStart w:id="560" w:name="_Toc151193709"/>
      <w:bookmarkStart w:id="561" w:name="_Toc150774744"/>
      <w:bookmarkStart w:id="562" w:name="_Toc151193637"/>
      <w:bookmarkStart w:id="563" w:name="_Toc150509290"/>
      <w:bookmarkStart w:id="564" w:name="_Toc127151740"/>
      <w:bookmarkStart w:id="565" w:name="_Toc142311041"/>
      <w:r>
        <w:rPr>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pPr>
        <w:numPr>
          <w:ilvl w:val="1"/>
          <w:numId w:val="9"/>
        </w:numPr>
        <w:tabs>
          <w:tab w:val="left" w:pos="1080"/>
          <w:tab w:val="left" w:pos="1589"/>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9"/>
        </w:numPr>
        <w:tabs>
          <w:tab w:val="left" w:pos="1080"/>
          <w:tab w:val="left" w:pos="1589"/>
          <w:tab w:val="left" w:pos="2014"/>
        </w:tabs>
        <w:snapToGrid w:val="0"/>
        <w:spacing w:line="360" w:lineRule="auto"/>
        <w:ind w:left="1077" w:hanging="720"/>
        <w:rPr>
          <w:sz w:val="24"/>
        </w:rPr>
      </w:pPr>
      <w:r>
        <w:rPr>
          <w:sz w:val="24"/>
        </w:rPr>
        <w:t>本项目开标使用</w:t>
      </w:r>
      <w:r>
        <w:rPr>
          <w:rFonts w:hint="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pPr>
        <w:numPr>
          <w:ilvl w:val="1"/>
          <w:numId w:val="9"/>
        </w:numPr>
        <w:tabs>
          <w:tab w:val="left" w:pos="1080"/>
          <w:tab w:val="left" w:pos="1589"/>
          <w:tab w:val="left" w:pos="2014"/>
        </w:tabs>
        <w:snapToGrid w:val="0"/>
        <w:spacing w:line="360" w:lineRule="auto"/>
        <w:ind w:left="1077" w:hanging="720"/>
        <w:rPr>
          <w:sz w:val="24"/>
        </w:rPr>
      </w:pPr>
      <w:bookmarkStart w:id="566" w:name="_Toc520356165"/>
      <w:r>
        <w:rPr>
          <w:sz w:val="24"/>
        </w:rPr>
        <w:t>开标过程将使用电子交易平台宣布投标人名称、投标价格和招标文件规定的需要宣布的其他内容并进行记录，并由参加开标的各投标人代表确认。</w:t>
      </w:r>
      <w:r>
        <w:rPr>
          <w:rFonts w:hint="eastAsia"/>
          <w:sz w:val="24"/>
        </w:rPr>
        <w:t>投标人未在规定时间内提出疑义或确认一览表的，视同认可开标结果</w:t>
      </w:r>
      <w:r>
        <w:rPr>
          <w:sz w:val="24"/>
        </w:rPr>
        <w:t>。</w:t>
      </w:r>
    </w:p>
    <w:p>
      <w:pPr>
        <w:numPr>
          <w:ilvl w:val="1"/>
          <w:numId w:val="9"/>
        </w:numPr>
        <w:tabs>
          <w:tab w:val="left" w:pos="1080"/>
          <w:tab w:val="left" w:pos="1589"/>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9"/>
        </w:numPr>
        <w:tabs>
          <w:tab w:val="left" w:pos="1080"/>
          <w:tab w:val="left" w:pos="1589"/>
          <w:tab w:val="left" w:pos="2014"/>
        </w:tabs>
        <w:snapToGrid w:val="0"/>
        <w:spacing w:line="360" w:lineRule="auto"/>
        <w:ind w:left="1077" w:hanging="720"/>
        <w:rPr>
          <w:sz w:val="24"/>
        </w:rPr>
      </w:pPr>
      <w:r>
        <w:rPr>
          <w:sz w:val="24"/>
        </w:rPr>
        <w:t>投标人不足3家的，不予开标。</w:t>
      </w:r>
    </w:p>
    <w:p>
      <w:pPr>
        <w:numPr>
          <w:ilvl w:val="0"/>
          <w:numId w:val="9"/>
        </w:numPr>
        <w:tabs>
          <w:tab w:val="left" w:pos="360"/>
          <w:tab w:val="left" w:pos="900"/>
        </w:tabs>
        <w:snapToGrid w:val="0"/>
        <w:spacing w:line="360" w:lineRule="auto"/>
        <w:ind w:left="357" w:hanging="357"/>
        <w:outlineLvl w:val="1"/>
        <w:rPr>
          <w:sz w:val="24"/>
        </w:rPr>
      </w:pPr>
      <w:r>
        <w:rPr>
          <w:sz w:val="24"/>
        </w:rPr>
        <w:t>资格审查</w:t>
      </w:r>
    </w:p>
    <w:p>
      <w:pPr>
        <w:numPr>
          <w:ilvl w:val="1"/>
          <w:numId w:val="9"/>
        </w:numPr>
        <w:tabs>
          <w:tab w:val="left" w:pos="1080"/>
          <w:tab w:val="left" w:pos="1589"/>
          <w:tab w:val="left" w:pos="2014"/>
        </w:tabs>
        <w:snapToGrid w:val="0"/>
        <w:spacing w:line="360" w:lineRule="auto"/>
        <w:ind w:left="1077" w:hanging="720"/>
        <w:rPr>
          <w:sz w:val="24"/>
        </w:rPr>
      </w:pPr>
      <w:r>
        <w:rPr>
          <w:sz w:val="24"/>
        </w:rPr>
        <w:t>见第三章《资格审查》。</w:t>
      </w:r>
    </w:p>
    <w:bookmarkEnd w:id="566"/>
    <w:p>
      <w:pPr>
        <w:numPr>
          <w:ilvl w:val="0"/>
          <w:numId w:val="9"/>
        </w:numPr>
        <w:tabs>
          <w:tab w:val="left" w:pos="360"/>
          <w:tab w:val="left" w:pos="900"/>
        </w:tabs>
        <w:snapToGrid w:val="0"/>
        <w:spacing w:line="360" w:lineRule="auto"/>
        <w:ind w:left="357" w:hanging="357"/>
        <w:outlineLvl w:val="1"/>
        <w:rPr>
          <w:sz w:val="24"/>
        </w:rPr>
      </w:pPr>
      <w:bookmarkStart w:id="567" w:name="_Toc226337236"/>
      <w:bookmarkStart w:id="568" w:name="_Toc164229381"/>
      <w:bookmarkStart w:id="569" w:name="_Toc265228378"/>
      <w:bookmarkStart w:id="570" w:name="_Toc164351634"/>
      <w:bookmarkStart w:id="571" w:name="_Toc164608809"/>
      <w:bookmarkStart w:id="572" w:name="_Toc151193928"/>
      <w:bookmarkStart w:id="573" w:name="_Toc195842905"/>
      <w:bookmarkStart w:id="574" w:name="_Toc305158808"/>
      <w:bookmarkStart w:id="575" w:name="_Toc150774745"/>
      <w:bookmarkStart w:id="576" w:name="_Toc151193854"/>
      <w:bookmarkStart w:id="577" w:name="_Toc142311042"/>
      <w:bookmarkStart w:id="578" w:name="_Toc226309784"/>
      <w:bookmarkStart w:id="579" w:name="_Toc149720833"/>
      <w:bookmarkStart w:id="580" w:name="_Toc164229235"/>
      <w:bookmarkStart w:id="581" w:name="_Toc226965813"/>
      <w:bookmarkStart w:id="582" w:name="_Toc226965730"/>
      <w:bookmarkStart w:id="583" w:name="_Toc151190167"/>
      <w:bookmarkStart w:id="584" w:name="_Toc127151540"/>
      <w:bookmarkStart w:id="585" w:name="_Toc127161454"/>
      <w:bookmarkStart w:id="586" w:name="_Toc150774640"/>
      <w:bookmarkStart w:id="587" w:name="_Toc164608654"/>
      <w:bookmarkStart w:id="588" w:name="_Toc150509291"/>
      <w:bookmarkStart w:id="589" w:name="_Toc151193782"/>
      <w:bookmarkStart w:id="590" w:name="_Toc127151741"/>
      <w:bookmarkStart w:id="591" w:name="_Toc150480778"/>
      <w:bookmarkStart w:id="592" w:name="_Toc151193710"/>
      <w:bookmarkStart w:id="593" w:name="_Toc264969230"/>
      <w:bookmarkStart w:id="594" w:name="_Toc305158882"/>
      <w:bookmarkStart w:id="595" w:name="_Toc151193638"/>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pPr>
        <w:numPr>
          <w:ilvl w:val="1"/>
          <w:numId w:val="9"/>
        </w:numPr>
        <w:tabs>
          <w:tab w:val="left" w:pos="1080"/>
          <w:tab w:val="left" w:pos="1589"/>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6" w:name="_Toc520356166"/>
    </w:p>
    <w:p>
      <w:pPr>
        <w:numPr>
          <w:ilvl w:val="1"/>
          <w:numId w:val="9"/>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pPr>
        <w:numPr>
          <w:ilvl w:val="0"/>
          <w:numId w:val="9"/>
        </w:numPr>
        <w:tabs>
          <w:tab w:val="left" w:pos="360"/>
          <w:tab w:val="left" w:pos="900"/>
        </w:tabs>
        <w:snapToGrid w:val="0"/>
        <w:spacing w:line="360" w:lineRule="auto"/>
        <w:ind w:left="357" w:hanging="357"/>
        <w:outlineLvl w:val="1"/>
        <w:rPr>
          <w:sz w:val="24"/>
        </w:rPr>
      </w:pPr>
      <w:r>
        <w:rPr>
          <w:sz w:val="24"/>
        </w:rPr>
        <w:t>评标程序、评标方法和评标标准</w:t>
      </w:r>
    </w:p>
    <w:p>
      <w:pPr>
        <w:numPr>
          <w:ilvl w:val="1"/>
          <w:numId w:val="9"/>
        </w:numPr>
        <w:tabs>
          <w:tab w:val="left" w:pos="1080"/>
          <w:tab w:val="left" w:pos="1589"/>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bookmarkStart w:id="598" w:name="_Toc226309789"/>
      <w:bookmarkStart w:id="599" w:name="_Toc151193933"/>
      <w:bookmarkStart w:id="600" w:name="_Toc264969235"/>
      <w:bookmarkStart w:id="601" w:name="_Toc127151545"/>
      <w:bookmarkStart w:id="602" w:name="_Toc151193787"/>
      <w:bookmarkStart w:id="603" w:name="_Toc151193859"/>
      <w:bookmarkStart w:id="604" w:name="_Toc226965735"/>
      <w:bookmarkStart w:id="605" w:name="_Toc305158887"/>
      <w:bookmarkStart w:id="606" w:name="_Toc150774645"/>
      <w:bookmarkStart w:id="607" w:name="_Toc195842910"/>
      <w:bookmarkStart w:id="608" w:name="_Toc150480783"/>
      <w:bookmarkStart w:id="609" w:name="_Toc226965818"/>
      <w:bookmarkStart w:id="610" w:name="_Toc305158813"/>
      <w:bookmarkStart w:id="611" w:name="_Toc142311047"/>
      <w:bookmarkStart w:id="612" w:name="_Toc151190172"/>
      <w:bookmarkStart w:id="613" w:name="_Toc150509296"/>
      <w:bookmarkStart w:id="614" w:name="_Toc151193715"/>
      <w:bookmarkStart w:id="615" w:name="_Toc226337241"/>
      <w:bookmarkStart w:id="616" w:name="_Toc265228383"/>
      <w:bookmarkStart w:id="617" w:name="_Toc151193643"/>
      <w:bookmarkStart w:id="618" w:name="_Toc150774750"/>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64229242"/>
      <w:bookmarkStart w:id="620" w:name="_Toc265228385"/>
      <w:bookmarkStart w:id="621" w:name="_Toc150774647"/>
      <w:bookmarkStart w:id="622" w:name="_Toc150480785"/>
      <w:bookmarkStart w:id="623" w:name="_Toc226309791"/>
      <w:bookmarkStart w:id="624" w:name="_Toc164608816"/>
      <w:bookmarkStart w:id="625" w:name="_Toc127161461"/>
      <w:bookmarkStart w:id="626" w:name="_Toc151193717"/>
      <w:bookmarkStart w:id="627" w:name="_Toc149720840"/>
      <w:bookmarkStart w:id="628" w:name="_Toc127151547"/>
      <w:bookmarkStart w:id="629" w:name="_Toc226965820"/>
      <w:bookmarkStart w:id="630" w:name="_Toc164229388"/>
      <w:bookmarkStart w:id="631" w:name="_Toc127151748"/>
      <w:bookmarkStart w:id="632" w:name="_Toc226337243"/>
      <w:bookmarkStart w:id="633" w:name="_Toc151190174"/>
      <w:bookmarkStart w:id="634" w:name="_Toc151193789"/>
      <w:bookmarkStart w:id="635" w:name="_Toc150509298"/>
      <w:bookmarkStart w:id="636" w:name="_Toc164351641"/>
      <w:bookmarkStart w:id="637" w:name="_Toc142311049"/>
      <w:bookmarkStart w:id="638" w:name="_Toc226965737"/>
      <w:bookmarkStart w:id="639" w:name="_Toc151193645"/>
      <w:bookmarkStart w:id="640" w:name="_Toc150774752"/>
      <w:bookmarkStart w:id="641" w:name="_Toc195842912"/>
      <w:bookmarkStart w:id="642" w:name="_Toc264969237"/>
      <w:bookmarkStart w:id="643" w:name="_Toc305158815"/>
      <w:bookmarkStart w:id="644" w:name="_Toc305158889"/>
      <w:bookmarkStart w:id="645" w:name="_Toc164608661"/>
      <w:bookmarkStart w:id="646" w:name="_Toc151193861"/>
      <w:bookmarkStart w:id="647" w:name="_Toc151193935"/>
    </w:p>
    <w:p>
      <w:pPr>
        <w:numPr>
          <w:ilvl w:val="0"/>
          <w:numId w:val="9"/>
        </w:numPr>
        <w:tabs>
          <w:tab w:val="left" w:pos="360"/>
          <w:tab w:val="left" w:pos="90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numPr>
          <w:ilvl w:val="1"/>
          <w:numId w:val="9"/>
        </w:numPr>
        <w:tabs>
          <w:tab w:val="left" w:pos="1080"/>
          <w:tab w:val="left" w:pos="1589"/>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pPr>
        <w:numPr>
          <w:ilvl w:val="0"/>
          <w:numId w:val="9"/>
        </w:numPr>
        <w:tabs>
          <w:tab w:val="left" w:pos="360"/>
          <w:tab w:val="left" w:pos="900"/>
        </w:tabs>
        <w:snapToGrid w:val="0"/>
        <w:spacing w:line="360" w:lineRule="auto"/>
        <w:ind w:left="357" w:hanging="357"/>
        <w:outlineLvl w:val="1"/>
        <w:rPr>
          <w:sz w:val="24"/>
        </w:rPr>
      </w:pPr>
      <w:bookmarkStart w:id="648" w:name="_Toc305158891"/>
      <w:bookmarkStart w:id="649" w:name="_Toc305158817"/>
      <w:bookmarkStart w:id="650" w:name="_Toc226965822"/>
      <w:bookmarkStart w:id="651" w:name="_Toc151193647"/>
      <w:bookmarkStart w:id="652" w:name="_Toc164608663"/>
      <w:bookmarkStart w:id="653" w:name="_Toc142311051"/>
      <w:bookmarkStart w:id="654" w:name="_Toc149720842"/>
      <w:bookmarkStart w:id="655" w:name="_Toc127151549"/>
      <w:bookmarkStart w:id="656" w:name="_Toc127161463"/>
      <w:bookmarkStart w:id="657" w:name="_Toc127151750"/>
      <w:bookmarkStart w:id="658" w:name="_Toc151193719"/>
      <w:bookmarkStart w:id="659" w:name="_Toc164351643"/>
      <w:bookmarkStart w:id="660" w:name="_Toc150774754"/>
      <w:bookmarkStart w:id="661" w:name="_Toc195842914"/>
      <w:bookmarkStart w:id="662" w:name="_Toc150480787"/>
      <w:bookmarkStart w:id="663" w:name="_Toc164229244"/>
      <w:bookmarkStart w:id="664" w:name="_Toc226309793"/>
      <w:bookmarkStart w:id="665" w:name="_Toc164608818"/>
      <w:bookmarkStart w:id="666" w:name="_Toc164229390"/>
      <w:bookmarkStart w:id="667" w:name="_Toc150509300"/>
      <w:bookmarkStart w:id="668" w:name="_Toc226337245"/>
      <w:bookmarkStart w:id="669" w:name="_Toc264969239"/>
      <w:bookmarkStart w:id="670" w:name="_Toc226965739"/>
      <w:bookmarkStart w:id="671" w:name="_Toc150774649"/>
      <w:bookmarkStart w:id="672" w:name="_Toc151193863"/>
      <w:bookmarkStart w:id="673" w:name="_Toc265228387"/>
      <w:bookmarkStart w:id="674" w:name="_Toc151193791"/>
      <w:bookmarkStart w:id="675" w:name="_Toc151190176"/>
      <w:bookmarkStart w:id="676" w:name="_Toc151193937"/>
      <w:bookmarkStart w:id="677" w:name="_Ref467306425"/>
      <w:bookmarkStart w:id="678" w:name="_Ref467307090"/>
      <w:bookmarkStart w:id="679" w:name="_Toc520356176"/>
      <w:r>
        <w:rPr>
          <w:sz w:val="24"/>
        </w:rPr>
        <w:t>中标公告与中标通知书</w:t>
      </w:r>
      <w:bookmarkEnd w:id="648"/>
      <w:bookmarkEnd w:id="649"/>
    </w:p>
    <w:p>
      <w:pPr>
        <w:numPr>
          <w:ilvl w:val="1"/>
          <w:numId w:val="9"/>
        </w:numPr>
        <w:tabs>
          <w:tab w:val="left" w:pos="1080"/>
          <w:tab w:val="left" w:pos="1589"/>
          <w:tab w:val="left" w:pos="2014"/>
        </w:tabs>
        <w:snapToGrid w:val="0"/>
        <w:spacing w:line="360" w:lineRule="auto"/>
        <w:ind w:left="1077" w:hanging="720"/>
        <w:rPr>
          <w:sz w:val="24"/>
        </w:rPr>
      </w:pPr>
      <w:r>
        <w:rPr>
          <w:sz w:val="24"/>
        </w:rPr>
        <w:t>采购人或采购代理机构自中标人确定之日起2个工作日内，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9"/>
        </w:numPr>
        <w:tabs>
          <w:tab w:val="left" w:pos="1080"/>
          <w:tab w:val="left" w:pos="1589"/>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 w:val="left" w:pos="900"/>
        </w:tabs>
        <w:snapToGrid w:val="0"/>
        <w:spacing w:line="360" w:lineRule="auto"/>
        <w:ind w:left="357" w:hanging="357"/>
        <w:outlineLvl w:val="1"/>
        <w:rPr>
          <w:sz w:val="24"/>
        </w:rPr>
      </w:pPr>
      <w:r>
        <w:rPr>
          <w:sz w:val="24"/>
        </w:rPr>
        <w:t>废标</w:t>
      </w:r>
    </w:p>
    <w:p>
      <w:pPr>
        <w:numPr>
          <w:ilvl w:val="1"/>
          <w:numId w:val="9"/>
        </w:numPr>
        <w:tabs>
          <w:tab w:val="left" w:pos="1080"/>
          <w:tab w:val="left" w:pos="1589"/>
          <w:tab w:val="left" w:pos="2014"/>
        </w:tabs>
        <w:snapToGrid w:val="0"/>
        <w:spacing w:line="360" w:lineRule="auto"/>
        <w:ind w:left="1077" w:hanging="720"/>
        <w:rPr>
          <w:sz w:val="24"/>
        </w:rPr>
      </w:pPr>
      <w:r>
        <w:rPr>
          <w:sz w:val="24"/>
        </w:rPr>
        <w:t>在招标采购中，出现下列情形之一的，应予废标：</w:t>
      </w:r>
    </w:p>
    <w:p>
      <w:pPr>
        <w:numPr>
          <w:ilvl w:val="2"/>
          <w:numId w:val="9"/>
        </w:numPr>
        <w:tabs>
          <w:tab w:val="left" w:pos="1980"/>
        </w:tabs>
        <w:snapToGrid w:val="0"/>
        <w:spacing w:line="360" w:lineRule="auto"/>
        <w:rPr>
          <w:sz w:val="24"/>
        </w:rPr>
      </w:pPr>
      <w:r>
        <w:rPr>
          <w:sz w:val="24"/>
        </w:rPr>
        <w:t>符合专业条件的供应商或者对招标文件作实质响应的供应商不足三家的；</w:t>
      </w:r>
    </w:p>
    <w:p>
      <w:pPr>
        <w:numPr>
          <w:ilvl w:val="2"/>
          <w:numId w:val="9"/>
        </w:numPr>
        <w:tabs>
          <w:tab w:val="left" w:pos="1980"/>
        </w:tabs>
        <w:snapToGrid w:val="0"/>
        <w:spacing w:line="360" w:lineRule="auto"/>
        <w:rPr>
          <w:sz w:val="24"/>
        </w:rPr>
      </w:pPr>
      <w:r>
        <w:rPr>
          <w:sz w:val="24"/>
        </w:rPr>
        <w:t>出现影响采购公正的违法、违规行为的；</w:t>
      </w:r>
    </w:p>
    <w:p>
      <w:pPr>
        <w:numPr>
          <w:ilvl w:val="2"/>
          <w:numId w:val="9"/>
        </w:numPr>
        <w:tabs>
          <w:tab w:val="left" w:pos="1980"/>
        </w:tabs>
        <w:snapToGrid w:val="0"/>
        <w:spacing w:line="360" w:lineRule="auto"/>
        <w:rPr>
          <w:sz w:val="24"/>
        </w:rPr>
      </w:pPr>
      <w:r>
        <w:rPr>
          <w:sz w:val="24"/>
        </w:rPr>
        <w:t>投标人的报价均超过了采购预算，采购人不能支付的；</w:t>
      </w:r>
    </w:p>
    <w:p>
      <w:pPr>
        <w:numPr>
          <w:ilvl w:val="2"/>
          <w:numId w:val="9"/>
        </w:numPr>
        <w:tabs>
          <w:tab w:val="left" w:pos="1980"/>
        </w:tabs>
        <w:snapToGrid w:val="0"/>
        <w:spacing w:line="360" w:lineRule="auto"/>
        <w:rPr>
          <w:sz w:val="24"/>
        </w:rPr>
      </w:pPr>
      <w:r>
        <w:rPr>
          <w:sz w:val="24"/>
        </w:rPr>
        <w:t>因重大变故，采购任务取消的。</w:t>
      </w:r>
    </w:p>
    <w:p>
      <w:pPr>
        <w:numPr>
          <w:ilvl w:val="1"/>
          <w:numId w:val="9"/>
        </w:numPr>
        <w:tabs>
          <w:tab w:val="left" w:pos="1080"/>
          <w:tab w:val="left" w:pos="1589"/>
          <w:tab w:val="left" w:pos="2014"/>
        </w:tabs>
        <w:snapToGrid w:val="0"/>
        <w:spacing w:line="360" w:lineRule="auto"/>
        <w:ind w:left="1077" w:hanging="720"/>
        <w:rPr>
          <w:sz w:val="24"/>
        </w:rPr>
      </w:pPr>
      <w:r>
        <w:rPr>
          <w:sz w:val="24"/>
        </w:rPr>
        <w:t>废标后，采购人将废标理由通知所有投标人。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Pr>
        <w:numPr>
          <w:ilvl w:val="0"/>
          <w:numId w:val="9"/>
        </w:numPr>
        <w:tabs>
          <w:tab w:val="left" w:pos="360"/>
          <w:tab w:val="left" w:pos="900"/>
        </w:tabs>
        <w:snapToGrid w:val="0"/>
        <w:spacing w:line="360" w:lineRule="auto"/>
        <w:ind w:left="357" w:hanging="357"/>
        <w:outlineLvl w:val="1"/>
        <w:rPr>
          <w:sz w:val="24"/>
        </w:rPr>
      </w:pPr>
      <w:bookmarkStart w:id="680" w:name="_Toc127161464"/>
      <w:bookmarkStart w:id="681" w:name="_Toc127151751"/>
      <w:bookmarkStart w:id="682" w:name="_Toc305158892"/>
      <w:bookmarkStart w:id="683" w:name="_Toc265228388"/>
      <w:bookmarkStart w:id="684" w:name="_Toc150480788"/>
      <w:bookmarkStart w:id="685" w:name="_Toc151193864"/>
      <w:bookmarkStart w:id="686" w:name="_Toc149720843"/>
      <w:bookmarkStart w:id="687" w:name="_Toc142311052"/>
      <w:bookmarkStart w:id="688" w:name="_Toc164351644"/>
      <w:bookmarkStart w:id="689" w:name="_Toc226965740"/>
      <w:bookmarkStart w:id="690" w:name="_Toc151193938"/>
      <w:bookmarkStart w:id="691" w:name="_Toc151193720"/>
      <w:bookmarkStart w:id="692" w:name="_Toc164229391"/>
      <w:bookmarkStart w:id="693" w:name="_Toc151193648"/>
      <w:bookmarkStart w:id="694" w:name="_Toc164229245"/>
      <w:bookmarkStart w:id="695" w:name="_Toc195842915"/>
      <w:bookmarkStart w:id="696" w:name="_Toc520356175"/>
      <w:bookmarkStart w:id="697" w:name="_Ref467307204"/>
      <w:bookmarkStart w:id="698" w:name="_Toc150509301"/>
      <w:bookmarkStart w:id="699" w:name="_Toc127151550"/>
      <w:bookmarkStart w:id="700" w:name="_Ref467306377"/>
      <w:bookmarkStart w:id="701" w:name="_Toc226337246"/>
      <w:bookmarkStart w:id="702" w:name="_Toc164608819"/>
      <w:bookmarkStart w:id="703" w:name="_Toc264969240"/>
      <w:bookmarkStart w:id="704" w:name="_Toc151193792"/>
      <w:bookmarkStart w:id="705" w:name="_Toc226965823"/>
      <w:bookmarkStart w:id="706" w:name="_Toc226309794"/>
      <w:bookmarkStart w:id="707" w:name="_Ref467306978"/>
      <w:bookmarkStart w:id="708" w:name="_Toc150774755"/>
      <w:bookmarkStart w:id="709" w:name="_Toc305158818"/>
      <w:bookmarkStart w:id="710" w:name="_Ref467307062"/>
      <w:bookmarkStart w:id="711" w:name="_Toc164608664"/>
      <w:bookmarkStart w:id="712" w:name="_Toc151190177"/>
      <w:bookmarkStart w:id="713" w:name="_Toc150774650"/>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numPr>
          <w:ilvl w:val="1"/>
          <w:numId w:val="9"/>
        </w:numPr>
        <w:tabs>
          <w:tab w:val="left" w:pos="1080"/>
          <w:tab w:val="left" w:pos="1589"/>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1589"/>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9"/>
        </w:numPr>
        <w:tabs>
          <w:tab w:val="left" w:pos="1080"/>
          <w:tab w:val="left" w:pos="1589"/>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9"/>
        </w:numPr>
        <w:tabs>
          <w:tab w:val="left" w:pos="1080"/>
          <w:tab w:val="left" w:pos="1589"/>
          <w:tab w:val="left" w:pos="2014"/>
        </w:tabs>
        <w:snapToGrid w:val="0"/>
        <w:spacing w:line="360" w:lineRule="auto"/>
        <w:ind w:left="1077" w:hanging="720"/>
        <w:rPr>
          <w:sz w:val="24"/>
        </w:rPr>
      </w:pPr>
      <w:r>
        <w:rPr>
          <w:sz w:val="24"/>
        </w:rPr>
        <w:t>政府采购合同不能转包。</w:t>
      </w:r>
    </w:p>
    <w:p>
      <w:pPr>
        <w:numPr>
          <w:ilvl w:val="1"/>
          <w:numId w:val="9"/>
        </w:numPr>
        <w:tabs>
          <w:tab w:val="left" w:pos="1080"/>
          <w:tab w:val="left" w:pos="1589"/>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7"/>
    <w:bookmarkEnd w:id="678"/>
    <w:bookmarkEnd w:id="679"/>
    <w:p>
      <w:pPr>
        <w:numPr>
          <w:ilvl w:val="0"/>
          <w:numId w:val="9"/>
        </w:numPr>
        <w:tabs>
          <w:tab w:val="left" w:pos="360"/>
          <w:tab w:val="left" w:pos="900"/>
        </w:tabs>
        <w:snapToGrid w:val="0"/>
        <w:spacing w:line="360" w:lineRule="auto"/>
        <w:ind w:left="357" w:hanging="357"/>
        <w:outlineLvl w:val="1"/>
        <w:rPr>
          <w:sz w:val="24"/>
        </w:rPr>
      </w:pPr>
      <w:r>
        <w:rPr>
          <w:sz w:val="24"/>
        </w:rPr>
        <w:t>询问与质疑</w:t>
      </w:r>
    </w:p>
    <w:p>
      <w:pPr>
        <w:numPr>
          <w:ilvl w:val="1"/>
          <w:numId w:val="9"/>
        </w:numPr>
        <w:tabs>
          <w:tab w:val="left" w:pos="1080"/>
          <w:tab w:val="left" w:pos="1589"/>
          <w:tab w:val="left" w:pos="2014"/>
        </w:tabs>
        <w:snapToGrid w:val="0"/>
        <w:spacing w:line="360" w:lineRule="auto"/>
        <w:ind w:left="1077" w:hanging="720"/>
        <w:rPr>
          <w:sz w:val="24"/>
        </w:rPr>
      </w:pPr>
      <w:r>
        <w:rPr>
          <w:sz w:val="24"/>
        </w:rPr>
        <w:t>询问</w:t>
      </w:r>
    </w:p>
    <w:p>
      <w:pPr>
        <w:numPr>
          <w:ilvl w:val="2"/>
          <w:numId w:val="9"/>
        </w:numPr>
        <w:tabs>
          <w:tab w:val="left" w:pos="1980"/>
        </w:tabs>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9"/>
        </w:numPr>
        <w:tabs>
          <w:tab w:val="left" w:pos="1980"/>
        </w:tabs>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9"/>
        </w:numPr>
        <w:tabs>
          <w:tab w:val="left" w:pos="1080"/>
          <w:tab w:val="left" w:pos="1589"/>
          <w:tab w:val="left" w:pos="2014"/>
        </w:tabs>
        <w:snapToGrid w:val="0"/>
        <w:spacing w:line="360" w:lineRule="auto"/>
        <w:ind w:left="1077" w:hanging="720"/>
        <w:rPr>
          <w:sz w:val="24"/>
        </w:rPr>
      </w:pPr>
      <w:r>
        <w:rPr>
          <w:sz w:val="24"/>
        </w:rPr>
        <w:t>质疑</w:t>
      </w:r>
    </w:p>
    <w:p>
      <w:pPr>
        <w:numPr>
          <w:ilvl w:val="2"/>
          <w:numId w:val="9"/>
        </w:numPr>
        <w:tabs>
          <w:tab w:val="left" w:pos="1980"/>
        </w:tabs>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9"/>
        </w:numPr>
        <w:tabs>
          <w:tab w:val="left" w:pos="1980"/>
        </w:tabs>
        <w:snapToGrid w:val="0"/>
        <w:spacing w:line="360" w:lineRule="auto"/>
        <w:rPr>
          <w:sz w:val="24"/>
        </w:rPr>
      </w:pPr>
      <w:r>
        <w:rPr>
          <w:sz w:val="24"/>
        </w:rPr>
        <w:t>质疑函须使用财政部制定的范本文件。</w:t>
      </w:r>
    </w:p>
    <w:p>
      <w:pPr>
        <w:numPr>
          <w:ilvl w:val="2"/>
          <w:numId w:val="9"/>
        </w:numPr>
        <w:tabs>
          <w:tab w:val="left" w:pos="1980"/>
        </w:tabs>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9"/>
        </w:numPr>
        <w:tabs>
          <w:tab w:val="left" w:pos="1980"/>
        </w:tabs>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9"/>
        </w:numPr>
        <w:tabs>
          <w:tab w:val="left" w:pos="360"/>
          <w:tab w:val="left" w:pos="900"/>
        </w:tabs>
        <w:snapToGrid w:val="0"/>
        <w:spacing w:line="360" w:lineRule="auto"/>
        <w:ind w:left="357" w:hanging="357"/>
        <w:outlineLvl w:val="1"/>
        <w:rPr>
          <w:sz w:val="24"/>
        </w:rPr>
      </w:pPr>
      <w:r>
        <w:rPr>
          <w:sz w:val="24"/>
        </w:rPr>
        <w:t>代理费</w:t>
      </w:r>
    </w:p>
    <w:p>
      <w:pPr>
        <w:numPr>
          <w:ilvl w:val="1"/>
          <w:numId w:val="9"/>
        </w:numPr>
        <w:tabs>
          <w:tab w:val="left" w:pos="1080"/>
          <w:tab w:val="left" w:pos="1589"/>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 w:val="left" w:pos="2014"/>
        </w:tabs>
        <w:snapToGrid w:val="0"/>
        <w:spacing w:line="360" w:lineRule="auto"/>
        <w:ind w:left="1077"/>
        <w:rPr>
          <w:sz w:val="24"/>
        </w:rPr>
      </w:pPr>
    </w:p>
    <w:p>
      <w:pPr>
        <w:tabs>
          <w:tab w:val="left" w:pos="900"/>
          <w:tab w:val="left" w:pos="1080"/>
          <w:tab w:val="left" w:pos="1589"/>
        </w:tabs>
        <w:snapToGrid w:val="0"/>
        <w:spacing w:line="360" w:lineRule="auto"/>
        <w:rPr>
          <w:sz w:val="24"/>
        </w:rPr>
      </w:pPr>
    </w:p>
    <w:p>
      <w:pPr>
        <w:spacing w:line="360" w:lineRule="auto"/>
        <w:jc w:val="center"/>
        <w:outlineLvl w:val="0"/>
        <w:rPr>
          <w:b/>
          <w:sz w:val="36"/>
          <w:szCs w:val="36"/>
        </w:rPr>
      </w:pPr>
      <w:bookmarkStart w:id="714" w:name="_Toc226337250"/>
      <w:bookmarkStart w:id="715" w:name="_Toc142311056"/>
      <w:bookmarkStart w:id="716" w:name="_Toc353873934"/>
      <w:bookmarkStart w:id="717" w:name="_Toc226965827"/>
      <w:bookmarkStart w:id="718" w:name="_Toc127151554"/>
      <w:bookmarkStart w:id="719" w:name="_Toc353825544"/>
      <w:bookmarkStart w:id="720" w:name="_Toc150480792"/>
      <w:bookmarkStart w:id="721" w:name="_Toc265228392"/>
      <w:bookmarkStart w:id="722" w:name="_Toc305158822"/>
      <w:bookmarkStart w:id="723" w:name="_Toc353873664"/>
      <w:bookmarkStart w:id="724" w:name="_Toc150774759"/>
      <w:bookmarkStart w:id="725" w:name="_Toc264969244"/>
      <w:bookmarkStart w:id="726" w:name="_Toc305158896"/>
      <w:r>
        <w:rPr>
          <w:sz w:val="24"/>
        </w:rPr>
        <w:br w:type="page"/>
      </w:r>
      <w:bookmarkStart w:id="727" w:name="_Toc8693"/>
      <w:r>
        <w:rPr>
          <w:b/>
          <w:sz w:val="36"/>
          <w:szCs w:val="36"/>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End w:id="727"/>
      <w:bookmarkStart w:id="728" w:name="_Toc487900382"/>
    </w:p>
    <w:p>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pPr>
        <w:numPr>
          <w:ilvl w:val="0"/>
          <w:numId w:val="12"/>
        </w:numPr>
        <w:tabs>
          <w:tab w:val="left" w:pos="426"/>
          <w:tab w:val="left" w:pos="851"/>
          <w:tab w:val="left"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2"/>
        </w:numPr>
        <w:tabs>
          <w:tab w:val="left" w:pos="426"/>
          <w:tab w:val="left" w:pos="851"/>
          <w:tab w:val="left"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2"/>
        </w:numPr>
        <w:tabs>
          <w:tab w:val="left" w:pos="426"/>
          <w:tab w:val="left" w:pos="851"/>
          <w:tab w:val="left"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2"/>
        </w:numPr>
        <w:tabs>
          <w:tab w:val="left" w:pos="426"/>
          <w:tab w:val="left" w:pos="851"/>
          <w:tab w:val="left"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8"/>
    <w:tbl>
      <w:tblPr>
        <w:tblStyle w:val="5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trPr>
        <w:tc>
          <w:tcPr>
            <w:tcW w:w="845" w:type="dxa"/>
            <w:vAlign w:val="center"/>
          </w:tcPr>
          <w:p>
            <w:pPr>
              <w:tabs>
                <w:tab w:val="left" w:pos="1080"/>
              </w:tabs>
              <w:snapToGrid w:val="0"/>
              <w:jc w:val="center"/>
              <w:rPr>
                <w:b/>
                <w:sz w:val="24"/>
              </w:rPr>
            </w:pPr>
            <w:bookmarkStart w:id="730" w:name="_Hlt487972895"/>
            <w:bookmarkEnd w:id="730"/>
            <w:bookmarkStart w:id="731" w:name="_Toc226965858"/>
            <w:bookmarkStart w:id="732" w:name="_Toc127161490"/>
            <w:bookmarkStart w:id="733" w:name="_Toc353825550"/>
            <w:bookmarkStart w:id="734" w:name="_Toc127151779"/>
            <w:bookmarkStart w:id="735" w:name="_Toc353873940"/>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9"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45" w:type="dxa"/>
            <w:vAlign w:val="center"/>
          </w:tcPr>
          <w:p>
            <w:pPr>
              <w:tabs>
                <w:tab w:val="left" w:pos="1080"/>
              </w:tabs>
              <w:snapToGrid w:val="0"/>
              <w:jc w:val="center"/>
              <w:rPr>
                <w:rFonts w:hint="eastAsia" w:eastAsia="宋体"/>
                <w:sz w:val="24"/>
                <w:lang w:eastAsia="zh-CN"/>
              </w:rPr>
            </w:pPr>
            <w:r>
              <w:rPr>
                <w:rFonts w:hint="eastAsia"/>
                <w:sz w:val="24"/>
                <w:lang w:val="en-US" w:eastAsia="zh-CN"/>
              </w:rPr>
              <w:t>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sz w:val="24"/>
              </w:rPr>
            </w:pPr>
            <w:r>
              <w:rPr>
                <w:rFonts w:hint="eastAsia"/>
                <w:sz w:val="24"/>
              </w:rPr>
              <w:t>若本项目允许分支机构参加投标，则分支机构参加投标的，此处可提供该分支机构或其所属法人或其他组织的相应证明文件。</w:t>
            </w:r>
          </w:p>
          <w:p>
            <w:pPr>
              <w:tabs>
                <w:tab w:val="left" w:pos="1080"/>
              </w:tabs>
              <w:snapToGrid w:val="0"/>
              <w:rPr>
                <w:rFonts w:asciiTheme="minorEastAsia" w:hAnsiTheme="minorEastAsia" w:eastAsiaTheme="minorEastAsia"/>
                <w:sz w:val="24"/>
              </w:rPr>
            </w:pPr>
            <w:r>
              <w:rPr>
                <w:rFonts w:hint="eastAsia" w:asciiTheme="minorEastAsia" w:hAnsiTheme="minorEastAsia" w:eastAsiaTheme="minorEastAsia"/>
                <w:sz w:val="24"/>
              </w:rPr>
              <w:t>分支机构参加投标的，应提供该分支机构或其所属法人/其他组织的相应证明文件；同时还应提供其所属法人/其他组织出具的授权其</w:t>
            </w:r>
            <w:r>
              <w:rPr>
                <w:rFonts w:hint="eastAsia" w:asciiTheme="minorEastAsia" w:hAnsiTheme="minorEastAsia" w:eastAsiaTheme="minorEastAsia"/>
                <w:b/>
                <w:sz w:val="24"/>
              </w:rPr>
              <w:t>参与本项目</w:t>
            </w:r>
            <w:r>
              <w:rPr>
                <w:rFonts w:hint="eastAsia" w:asciiTheme="minorEastAsia" w:hAnsiTheme="minorEastAsia" w:eastAsiaTheme="minorEastAsia"/>
                <w:sz w:val="24"/>
              </w:rPr>
              <w:t>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39"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45" w:type="dxa"/>
            <w:vAlign w:val="center"/>
          </w:tcPr>
          <w:p>
            <w:pPr>
              <w:tabs>
                <w:tab w:val="left" w:pos="1080"/>
              </w:tabs>
              <w:snapToGrid w:val="0"/>
              <w:jc w:val="center"/>
              <w:rPr>
                <w:rFonts w:hint="eastAsia" w:eastAsia="宋体"/>
                <w:sz w:val="24"/>
                <w:lang w:eastAsia="zh-CN"/>
              </w:rPr>
            </w:pPr>
            <w:r>
              <w:rPr>
                <w:rFonts w:hint="eastAsia"/>
                <w:sz w:val="24"/>
                <w:lang w:val="en-US" w:eastAsia="zh-CN"/>
              </w:rPr>
              <w:t>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45" w:type="dxa"/>
            <w:vAlign w:val="center"/>
          </w:tcPr>
          <w:p>
            <w:pPr>
              <w:tabs>
                <w:tab w:val="left" w:pos="1080"/>
              </w:tabs>
              <w:snapToGrid w:val="0"/>
              <w:jc w:val="center"/>
              <w:rPr>
                <w:rFonts w:hint="eastAsia" w:eastAsia="宋体"/>
                <w:sz w:val="24"/>
                <w:lang w:eastAsia="zh-CN"/>
              </w:rPr>
            </w:pPr>
            <w:r>
              <w:rPr>
                <w:rFonts w:hint="eastAsia"/>
                <w:sz w:val="24"/>
                <w:lang w:val="en-US" w:eastAsia="zh-CN"/>
              </w:rPr>
              <w:t>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w:t>
            </w:r>
            <w:r>
              <w:rPr>
                <w:rFonts w:hint="eastAsia"/>
                <w:sz w:val="24"/>
              </w:rPr>
              <w:t>政府采购严重违法失信行为记录名单</w:t>
            </w:r>
            <w:r>
              <w:rPr>
                <w:sz w:val="24"/>
              </w:rPr>
              <w:t>、</w:t>
            </w:r>
            <w:r>
              <w:rPr>
                <w:rFonts w:hint="eastAsia"/>
                <w:sz w:val="24"/>
              </w:rPr>
              <w:t>重大税收违法失信主体</w:t>
            </w:r>
            <w:r>
              <w:rPr>
                <w:sz w:val="24"/>
              </w:rPr>
              <w:t>的投标人，其</w:t>
            </w:r>
            <w:r>
              <w:rPr>
                <w:b/>
                <w:sz w:val="24"/>
              </w:rPr>
              <w:t>投标无效</w:t>
            </w:r>
            <w:r>
              <w:rPr>
                <w:sz w:val="24"/>
              </w:rPr>
              <w:t>。联合体形式投标的，联合体成员存在不良信用记录，视同联合体存在不良信用记录。</w:t>
            </w:r>
          </w:p>
        </w:tc>
        <w:tc>
          <w:tcPr>
            <w:tcW w:w="1639" w:type="dxa"/>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45" w:type="dxa"/>
            <w:vAlign w:val="center"/>
          </w:tcPr>
          <w:p>
            <w:pPr>
              <w:tabs>
                <w:tab w:val="left" w:pos="1080"/>
              </w:tabs>
              <w:snapToGrid w:val="0"/>
              <w:jc w:val="center"/>
              <w:rPr>
                <w:rFonts w:hint="eastAsia" w:eastAsia="宋体"/>
                <w:sz w:val="24"/>
                <w:lang w:val="en-US" w:eastAsia="zh-CN"/>
              </w:rPr>
            </w:pPr>
            <w:r>
              <w:rPr>
                <w:rFonts w:hint="eastAsia"/>
                <w:sz w:val="24"/>
                <w:lang w:val="en-US" w:eastAsia="zh-CN"/>
              </w:rPr>
              <w:t>4</w:t>
            </w:r>
          </w:p>
        </w:tc>
        <w:tc>
          <w:tcPr>
            <w:tcW w:w="1982" w:type="dxa"/>
            <w:vAlign w:val="center"/>
          </w:tcPr>
          <w:p>
            <w:pPr>
              <w:tabs>
                <w:tab w:val="left" w:pos="1080"/>
              </w:tabs>
              <w:snapToGrid w:val="0"/>
              <w:rPr>
                <w:sz w:val="24"/>
              </w:rPr>
            </w:pPr>
            <w:r>
              <w:rPr>
                <w:sz w:val="24"/>
              </w:rPr>
              <w:t>中小企业声明函</w:t>
            </w:r>
          </w:p>
        </w:tc>
        <w:tc>
          <w:tcPr>
            <w:tcW w:w="4822" w:type="dxa"/>
            <w:vAlign w:val="center"/>
          </w:tcPr>
          <w:p>
            <w:pPr>
              <w:tabs>
                <w:tab w:val="left" w:pos="1080"/>
              </w:tabs>
              <w:snapToGrid w:val="0"/>
              <w:rPr>
                <w:b/>
                <w:bCs/>
                <w:sz w:val="24"/>
              </w:rPr>
            </w:pPr>
            <w:r>
              <w:rPr>
                <w:sz w:val="24"/>
              </w:rPr>
              <w:t>当本项目（包）涉及预留份额专门面向中小企业采购，此时建议在《资格证明文件》中提供。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8" w:hRule="atLeast"/>
        </w:trPr>
        <w:tc>
          <w:tcPr>
            <w:tcW w:w="845" w:type="dxa"/>
            <w:vAlign w:val="center"/>
          </w:tcPr>
          <w:p>
            <w:pPr>
              <w:tabs>
                <w:tab w:val="left" w:pos="1080"/>
              </w:tabs>
              <w:snapToGrid w:val="0"/>
              <w:jc w:val="center"/>
              <w:rPr>
                <w:rFonts w:hint="eastAsia" w:eastAsia="宋体"/>
                <w:sz w:val="24"/>
                <w:lang w:eastAsia="zh-CN"/>
              </w:rPr>
            </w:pPr>
            <w:r>
              <w:rPr>
                <w:rFonts w:hint="eastAsia"/>
                <w:sz w:val="24"/>
                <w:lang w:val="en-US" w:eastAsia="zh-CN"/>
              </w:rPr>
              <w:t>5</w:t>
            </w:r>
          </w:p>
        </w:tc>
        <w:tc>
          <w:tcPr>
            <w:tcW w:w="1982" w:type="dxa"/>
            <w:vAlign w:val="center"/>
          </w:tcPr>
          <w:p>
            <w:pPr>
              <w:tabs>
                <w:tab w:val="left" w:pos="1080"/>
              </w:tabs>
              <w:snapToGrid w:val="0"/>
              <w:rPr>
                <w:sz w:val="24"/>
              </w:rPr>
            </w:pPr>
            <w:r>
              <w:rPr>
                <w:rFonts w:hint="eastAsia"/>
                <w:sz w:val="24"/>
              </w:rPr>
              <w:t>本项目对于联合体的要求</w:t>
            </w:r>
          </w:p>
        </w:tc>
        <w:tc>
          <w:tcPr>
            <w:tcW w:w="4822" w:type="dxa"/>
            <w:vAlign w:val="center"/>
          </w:tcPr>
          <w:p>
            <w:pPr>
              <w:tabs>
                <w:tab w:val="left" w:pos="1080"/>
              </w:tabs>
              <w:snapToGrid w:val="0"/>
              <w:rPr>
                <w:sz w:val="24"/>
              </w:rPr>
            </w:pPr>
            <w:r>
              <w:rPr>
                <w:rFonts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sz w:val="24"/>
              </w:rPr>
            </w:pPr>
            <w:r>
              <w:rPr>
                <w:rFonts w:hint="eastAsia"/>
                <w:sz w:val="24"/>
              </w:rPr>
              <w:t>2、联合体各成员单位均须提供本表中序号1-1、1-2 的证明文件。联合体各成员单位均应满足本表 3-2 项规定。</w:t>
            </w:r>
          </w:p>
          <w:p>
            <w:pPr>
              <w:tabs>
                <w:tab w:val="left" w:pos="1080"/>
              </w:tabs>
              <w:snapToGrid w:val="0"/>
              <w:rPr>
                <w:sz w:val="24"/>
              </w:rPr>
            </w:pPr>
            <w:r>
              <w:rPr>
                <w:rFonts w:hint="eastAsia"/>
                <w:sz w:val="24"/>
              </w:rPr>
              <w:t>3、本表序号 3-3 项规定的其他特定资格要求中的每一小项要求，联合体各方中至少应当有一方符合本表中其他资格要求并提供证明文件。</w:t>
            </w:r>
          </w:p>
          <w:p>
            <w:pPr>
              <w:tabs>
                <w:tab w:val="left" w:pos="1080"/>
              </w:tabs>
              <w:snapToGrid w:val="0"/>
              <w:rPr>
                <w:sz w:val="24"/>
              </w:rPr>
            </w:pPr>
            <w:r>
              <w:rPr>
                <w:rFonts w:hint="eastAsia"/>
                <w:sz w:val="24"/>
              </w:rPr>
              <w:t>4、联合体中有同类资质的投标人按照联合体分工承担相同工作的，应当按照资质等级较低的投标人确定资质等级。</w:t>
            </w:r>
          </w:p>
          <w:p>
            <w:pPr>
              <w:tabs>
                <w:tab w:val="left" w:pos="1080"/>
              </w:tabs>
              <w:snapToGrid w:val="0"/>
              <w:rPr>
                <w:sz w:val="24"/>
              </w:rPr>
            </w:pPr>
            <w:r>
              <w:rPr>
                <w:rFonts w:hint="eastAsia"/>
                <w:sz w:val="24"/>
              </w:rPr>
              <w:t>5、以联合体形式参加政府采购活动的，联合体各方不得再单独参加或者与其他投标人另外组成联合体参加同一合同项下的政府采购活动。</w:t>
            </w:r>
          </w:p>
          <w:p>
            <w:pPr>
              <w:tabs>
                <w:tab w:val="left" w:pos="1080"/>
              </w:tabs>
              <w:snapToGrid w:val="0"/>
              <w:rPr>
                <w:sz w:val="24"/>
              </w:rPr>
            </w:pPr>
            <w:r>
              <w:rPr>
                <w:rFonts w:hint="eastAsia"/>
                <w:sz w:val="24"/>
              </w:rPr>
              <w:t>6、若联合体中任一成员单位中途退出，则该联合体的</w:t>
            </w:r>
            <w:r>
              <w:rPr>
                <w:rFonts w:hint="eastAsia"/>
                <w:b/>
                <w:bCs/>
                <w:sz w:val="24"/>
              </w:rPr>
              <w:t>投标无效</w:t>
            </w:r>
            <w:r>
              <w:rPr>
                <w:rFonts w:hint="eastAsia"/>
                <w:sz w:val="24"/>
              </w:rPr>
              <w:t>。</w:t>
            </w:r>
          </w:p>
          <w:p>
            <w:pPr>
              <w:tabs>
                <w:tab w:val="left" w:pos="1080"/>
              </w:tabs>
              <w:snapToGrid w:val="0"/>
              <w:rPr>
                <w:sz w:val="24"/>
              </w:rPr>
            </w:pPr>
            <w:r>
              <w:rPr>
                <w:rFonts w:hint="eastAsia"/>
                <w:sz w:val="24"/>
              </w:rPr>
              <w:t>7、本项目不接受联合体投标时，投标人不得为联合体。</w:t>
            </w:r>
          </w:p>
        </w:tc>
        <w:tc>
          <w:tcPr>
            <w:tcW w:w="1639" w:type="dxa"/>
            <w:vAlign w:val="center"/>
          </w:tcPr>
          <w:p>
            <w:pPr>
              <w:tabs>
                <w:tab w:val="left" w:pos="1080"/>
              </w:tabs>
              <w:snapToGrid w:val="0"/>
              <w:rPr>
                <w:sz w:val="24"/>
              </w:rPr>
            </w:pPr>
            <w:r>
              <w:rPr>
                <w:sz w:val="24"/>
              </w:rPr>
              <w:t>提供《联合协议》</w:t>
            </w:r>
            <w:r>
              <w:rPr>
                <w:rFonts w:hint="eastAsia"/>
                <w:sz w:val="24"/>
              </w:rPr>
              <w:t>原</w:t>
            </w:r>
            <w:r>
              <w:rPr>
                <w:sz w:val="24"/>
              </w:rPr>
              <w:t>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eastAsia="宋体"/>
                <w:sz w:val="24"/>
                <w:lang w:val="en-US" w:eastAsia="zh-CN"/>
              </w:rPr>
            </w:pPr>
            <w:r>
              <w:rPr>
                <w:rFonts w:hint="eastAsia"/>
                <w:sz w:val="24"/>
                <w:lang w:val="en-US" w:eastAsia="zh-CN"/>
              </w:rPr>
              <w:t>6</w:t>
            </w:r>
          </w:p>
        </w:tc>
        <w:tc>
          <w:tcPr>
            <w:tcW w:w="1982" w:type="dxa"/>
            <w:vAlign w:val="center"/>
          </w:tcPr>
          <w:p>
            <w:pPr>
              <w:tabs>
                <w:tab w:val="left" w:pos="1080"/>
              </w:tabs>
              <w:snapToGrid w:val="0"/>
              <w:rPr>
                <w:sz w:val="24"/>
              </w:rPr>
            </w:pPr>
            <w:r>
              <w:rPr>
                <w:rFonts w:hint="eastAsia"/>
                <w:sz w:val="24"/>
              </w:rPr>
              <w:t>投标保证金</w:t>
            </w:r>
          </w:p>
        </w:tc>
        <w:tc>
          <w:tcPr>
            <w:tcW w:w="4822" w:type="dxa"/>
            <w:vAlign w:val="center"/>
          </w:tcPr>
          <w:p>
            <w:pPr>
              <w:tabs>
                <w:tab w:val="left" w:pos="1080"/>
              </w:tabs>
              <w:snapToGrid w:val="0"/>
              <w:rPr>
                <w:sz w:val="24"/>
              </w:rPr>
            </w:pPr>
            <w:r>
              <w:rPr>
                <w:kern w:val="0"/>
                <w:sz w:val="24"/>
              </w:rPr>
              <w:t>按照招标文件的规定提交投标保证金</w:t>
            </w:r>
            <w:r>
              <w:rPr>
                <w:rFonts w:hint="eastAsia"/>
                <w:kern w:val="0"/>
                <w:sz w:val="24"/>
              </w:rPr>
              <w:t>。</w:t>
            </w:r>
          </w:p>
        </w:tc>
        <w:tc>
          <w:tcPr>
            <w:tcW w:w="1639" w:type="dxa"/>
            <w:vAlign w:val="center"/>
          </w:tcPr>
          <w:p>
            <w:pPr>
              <w:tabs>
                <w:tab w:val="left" w:pos="1080"/>
              </w:tabs>
              <w:snapToGrid w:val="0"/>
              <w:jc w:val="center"/>
              <w:rPr>
                <w:sz w:val="24"/>
              </w:rPr>
            </w:pPr>
            <w:r>
              <w:rPr>
                <w:rFonts w:hint="eastAsia"/>
                <w:sz w:val="24"/>
              </w:rPr>
              <w:t>/</w:t>
            </w:r>
          </w:p>
        </w:tc>
        <w:bookmarkStart w:id="736" w:name="_Hlt522424701"/>
        <w:bookmarkStart w:id="737" w:name="_Hlt487900425"/>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eastAsia="宋体"/>
                <w:sz w:val="24"/>
                <w:lang w:val="en-US" w:eastAsia="zh-CN"/>
              </w:rPr>
            </w:pPr>
            <w:r>
              <w:rPr>
                <w:rFonts w:hint="eastAsia"/>
                <w:sz w:val="24"/>
                <w:lang w:val="en-US" w:eastAsia="zh-CN"/>
              </w:rPr>
              <w:t>7</w:t>
            </w:r>
          </w:p>
        </w:tc>
        <w:tc>
          <w:tcPr>
            <w:tcW w:w="1982" w:type="dxa"/>
            <w:vAlign w:val="center"/>
          </w:tcPr>
          <w:p>
            <w:pPr>
              <w:tabs>
                <w:tab w:val="left" w:pos="1080"/>
              </w:tabs>
              <w:snapToGrid w:val="0"/>
              <w:rPr>
                <w:sz w:val="24"/>
              </w:rPr>
            </w:pPr>
            <w:r>
              <w:rPr>
                <w:sz w:val="24"/>
              </w:rPr>
              <w:t>获取招标文件</w:t>
            </w:r>
          </w:p>
        </w:tc>
        <w:tc>
          <w:tcPr>
            <w:tcW w:w="4822" w:type="dxa"/>
            <w:vAlign w:val="center"/>
          </w:tcPr>
          <w:p>
            <w:pPr>
              <w:tabs>
                <w:tab w:val="left" w:pos="1080"/>
              </w:tabs>
              <w:snapToGrid w:val="0"/>
              <w:rPr>
                <w:sz w:val="24"/>
                <w:lang w:bidi="ar"/>
              </w:rPr>
            </w:pPr>
            <w:r>
              <w:rPr>
                <w:sz w:val="24"/>
                <w:lang w:bidi="ar"/>
              </w:rPr>
              <w:t>在规定期限内通过北京市政府采购电子交易平台获取招标文件。</w:t>
            </w:r>
          </w:p>
          <w:p>
            <w:pPr>
              <w:pStyle w:val="2"/>
              <w:rPr>
                <w:lang w:bidi="ar"/>
              </w:rPr>
            </w:pPr>
          </w:p>
          <w:p>
            <w:pPr>
              <w:rPr>
                <w:lang w:bidi="ar"/>
              </w:rPr>
            </w:pPr>
            <w:r>
              <w:rPr>
                <w:rFonts w:cs="宋体"/>
                <w:sz w:val="24"/>
              </w:rPr>
              <w:t>注：如本项目接受联合体，且供应商为联合体时，联合体中任一成员获取文件即视为满足要求</w:t>
            </w:r>
            <w:r>
              <w:rPr>
                <w:rFonts w:hint="eastAsia" w:cs="宋体"/>
                <w:sz w:val="24"/>
              </w:rPr>
              <w:t>。</w:t>
            </w:r>
          </w:p>
        </w:tc>
        <w:tc>
          <w:tcPr>
            <w:tcW w:w="1639" w:type="dxa"/>
            <w:vAlign w:val="center"/>
          </w:tcPr>
          <w:p>
            <w:pPr>
              <w:tabs>
                <w:tab w:val="left" w:pos="1080"/>
              </w:tabs>
              <w:snapToGrid w:val="0"/>
              <w:jc w:val="center"/>
              <w:rPr>
                <w:sz w:val="24"/>
              </w:rPr>
            </w:pPr>
            <w:r>
              <w:rPr>
                <w:rFonts w:hint="eastAsia"/>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sz w:val="24"/>
                <w:lang w:val="en-US" w:eastAsia="zh-CN"/>
              </w:rPr>
            </w:pPr>
          </w:p>
        </w:tc>
        <w:tc>
          <w:tcPr>
            <w:tcW w:w="1982" w:type="dxa"/>
            <w:vAlign w:val="center"/>
          </w:tcPr>
          <w:p>
            <w:pPr>
              <w:tabs>
                <w:tab w:val="left" w:pos="1080"/>
              </w:tabs>
              <w:snapToGrid w:val="0"/>
              <w:rPr>
                <w:sz w:val="24"/>
              </w:rPr>
            </w:pPr>
          </w:p>
        </w:tc>
        <w:tc>
          <w:tcPr>
            <w:tcW w:w="4822" w:type="dxa"/>
            <w:vAlign w:val="center"/>
          </w:tcPr>
          <w:p>
            <w:pPr>
              <w:rPr>
                <w:rFonts w:cs="宋体"/>
                <w:sz w:val="24"/>
              </w:rPr>
            </w:pPr>
          </w:p>
        </w:tc>
        <w:tc>
          <w:tcPr>
            <w:tcW w:w="1639" w:type="dxa"/>
            <w:vAlign w:val="center"/>
          </w:tcPr>
          <w:p>
            <w:pPr>
              <w:tabs>
                <w:tab w:val="left" w:pos="1080"/>
              </w:tabs>
              <w:snapToGrid w:val="0"/>
              <w:jc w:val="center"/>
              <w:rPr>
                <w:rFonts w:hint="eastAsia"/>
                <w:sz w:val="24"/>
              </w:rPr>
            </w:pPr>
          </w:p>
        </w:tc>
      </w:tr>
      <w:bookmarkEnd w:id="736"/>
      <w:bookmarkEnd w:id="737"/>
    </w:tbl>
    <w:p>
      <w:pPr>
        <w:spacing w:line="360" w:lineRule="auto"/>
        <w:jc w:val="center"/>
        <w:outlineLvl w:val="0"/>
        <w:rPr>
          <w:b/>
          <w:sz w:val="36"/>
          <w:szCs w:val="36"/>
        </w:rPr>
      </w:pPr>
      <w:r>
        <w:rPr>
          <w:sz w:val="24"/>
        </w:rPr>
        <w:br w:type="page"/>
      </w:r>
      <w:bookmarkStart w:id="738" w:name="_Toc19271"/>
      <w:r>
        <w:rPr>
          <w:b/>
          <w:sz w:val="36"/>
          <w:szCs w:val="36"/>
        </w:rPr>
        <w:t xml:space="preserve">第四章   </w:t>
      </w:r>
      <w:bookmarkStart w:id="739" w:name="_Hlt164229061"/>
      <w:bookmarkEnd w:id="739"/>
      <w:bookmarkEnd w:id="731"/>
      <w:bookmarkEnd w:id="732"/>
      <w:bookmarkEnd w:id="733"/>
      <w:bookmarkEnd w:id="734"/>
      <w:bookmarkEnd w:id="735"/>
      <w:r>
        <w:rPr>
          <w:b/>
          <w:sz w:val="36"/>
          <w:szCs w:val="36"/>
        </w:rPr>
        <w:t>评标程序、评标方法和评标标准</w:t>
      </w:r>
      <w:bookmarkEnd w:id="738"/>
    </w:p>
    <w:p>
      <w:pPr>
        <w:tabs>
          <w:tab w:val="left" w:pos="360"/>
          <w:tab w:val="left" w:pos="900"/>
        </w:tabs>
        <w:snapToGrid w:val="0"/>
        <w:spacing w:line="360" w:lineRule="auto"/>
        <w:jc w:val="center"/>
        <w:outlineLvl w:val="1"/>
        <w:rPr>
          <w:b/>
        </w:rPr>
      </w:pPr>
      <w:r>
        <w:rPr>
          <w:b/>
          <w:sz w:val="24"/>
        </w:rPr>
        <w:t>一、评标方法</w:t>
      </w:r>
    </w:p>
    <w:p>
      <w:pPr>
        <w:numPr>
          <w:ilvl w:val="0"/>
          <w:numId w:val="13"/>
        </w:numPr>
        <w:tabs>
          <w:tab w:val="left" w:pos="360"/>
          <w:tab w:val="left" w:pos="900"/>
        </w:tabs>
        <w:snapToGrid w:val="0"/>
        <w:spacing w:line="360" w:lineRule="auto"/>
        <w:outlineLvl w:val="1"/>
        <w:rPr>
          <w:sz w:val="24"/>
        </w:rPr>
      </w:pPr>
      <w:bookmarkStart w:id="740" w:name="_Toc151190168"/>
      <w:bookmarkStart w:id="741" w:name="_Toc150774641"/>
      <w:bookmarkStart w:id="742" w:name="_Toc164229236"/>
      <w:bookmarkStart w:id="743" w:name="_Toc127151541"/>
      <w:bookmarkStart w:id="744" w:name="_Toc150509292"/>
      <w:bookmarkStart w:id="745" w:name="_Toc151193929"/>
      <w:bookmarkStart w:id="746" w:name="_Toc164351635"/>
      <w:bookmarkStart w:id="747" w:name="_Toc164608810"/>
      <w:bookmarkStart w:id="748" w:name="_Toc142311043"/>
      <w:bookmarkStart w:id="749" w:name="_Toc265228379"/>
      <w:bookmarkStart w:id="750" w:name="_Toc195842906"/>
      <w:bookmarkStart w:id="751" w:name="_Toc305158883"/>
      <w:bookmarkStart w:id="752" w:name="_Toc150774746"/>
      <w:bookmarkStart w:id="753" w:name="_Toc164229382"/>
      <w:bookmarkStart w:id="754" w:name="_Toc226965814"/>
      <w:bookmarkStart w:id="755" w:name="_Toc264969231"/>
      <w:bookmarkStart w:id="756" w:name="_Toc305158809"/>
      <w:bookmarkStart w:id="757" w:name="_Toc149720834"/>
      <w:bookmarkStart w:id="758" w:name="_Toc127151742"/>
      <w:bookmarkStart w:id="759" w:name="_Toc151193855"/>
      <w:bookmarkStart w:id="760" w:name="_Toc150480779"/>
      <w:bookmarkStart w:id="761" w:name="_Toc226309785"/>
      <w:bookmarkStart w:id="762" w:name="_Toc226965731"/>
      <w:bookmarkStart w:id="763" w:name="_Toc127161455"/>
      <w:bookmarkStart w:id="764" w:name="_Toc151193639"/>
      <w:bookmarkStart w:id="765" w:name="_Toc164608655"/>
      <w:bookmarkStart w:id="766" w:name="_Toc151193711"/>
      <w:bookmarkStart w:id="767" w:name="_Toc226337237"/>
      <w:bookmarkStart w:id="768" w:name="_Toc151193783"/>
      <w:bookmarkStart w:id="769" w:name="_Toc353873941"/>
      <w:bookmarkStart w:id="770" w:name="_Toc353825551"/>
      <w:bookmarkStart w:id="771" w:name="_Toc150480793"/>
      <w:bookmarkStart w:id="772" w:name="_Toc353825545"/>
      <w:bookmarkStart w:id="773" w:name="_Toc353873665"/>
      <w:bookmarkStart w:id="774" w:name="_Toc305158823"/>
      <w:bookmarkStart w:id="775" w:name="_Toc264969245"/>
      <w:bookmarkStart w:id="776" w:name="_Toc195842920"/>
      <w:bookmarkStart w:id="777" w:name="_Toc150774760"/>
      <w:bookmarkStart w:id="778" w:name="_Toc265228393"/>
      <w:bookmarkStart w:id="779" w:name="_Toc127151555"/>
      <w:bookmarkStart w:id="780" w:name="_Toc226965828"/>
      <w:bookmarkStart w:id="781" w:name="_Toc226337251"/>
      <w:bookmarkStart w:id="782" w:name="_Toc305158897"/>
      <w:bookmarkStart w:id="783" w:name="_Toc353873935"/>
      <w:bookmarkStart w:id="784" w:name="_Toc142311057"/>
      <w:r>
        <w:rPr>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numPr>
          <w:ilvl w:val="1"/>
          <w:numId w:val="13"/>
        </w:numPr>
        <w:tabs>
          <w:tab w:val="left" w:pos="1080"/>
          <w:tab w:val="left" w:pos="1589"/>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5" w:name="_Toc520356167"/>
    </w:p>
    <w:p>
      <w:pPr>
        <w:numPr>
          <w:ilvl w:val="1"/>
          <w:numId w:val="13"/>
        </w:numPr>
        <w:tabs>
          <w:tab w:val="left" w:pos="1080"/>
          <w:tab w:val="left" w:pos="1589"/>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5"/>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sz w:val="24"/>
        </w:rPr>
      </w:pPr>
      <w:r>
        <w:rPr>
          <w:b/>
          <w:sz w:val="24"/>
        </w:rPr>
        <w:t>符合性审查</w:t>
      </w:r>
      <w:r>
        <w:rPr>
          <w:rFonts w:hint="eastAsia"/>
          <w:b/>
          <w:sz w:val="24"/>
        </w:rPr>
        <w:t>要求</w:t>
      </w:r>
    </w:p>
    <w:tbl>
      <w:tblPr>
        <w:tblStyle w:val="56"/>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10"/>
        <w:gridCol w:w="6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745" w:type="dxa"/>
            <w:vAlign w:val="center"/>
          </w:tcPr>
          <w:p>
            <w:pPr>
              <w:widowControl/>
              <w:jc w:val="center"/>
              <w:rPr>
                <w:b/>
                <w:color w:val="000000"/>
                <w:kern w:val="0"/>
                <w:sz w:val="24"/>
              </w:rPr>
            </w:pPr>
            <w:r>
              <w:rPr>
                <w:b/>
                <w:color w:val="000000"/>
                <w:kern w:val="0"/>
                <w:sz w:val="24"/>
              </w:rPr>
              <w:t>序号</w:t>
            </w:r>
          </w:p>
        </w:tc>
        <w:tc>
          <w:tcPr>
            <w:tcW w:w="1810" w:type="dxa"/>
            <w:vAlign w:val="center"/>
          </w:tcPr>
          <w:p>
            <w:pPr>
              <w:widowControl/>
              <w:jc w:val="center"/>
              <w:rPr>
                <w:b/>
                <w:color w:val="000000"/>
                <w:kern w:val="0"/>
                <w:sz w:val="24"/>
              </w:rPr>
            </w:pPr>
            <w:r>
              <w:rPr>
                <w:b/>
                <w:color w:val="000000"/>
                <w:kern w:val="0"/>
                <w:sz w:val="24"/>
              </w:rPr>
              <w:t>审查因素</w:t>
            </w:r>
          </w:p>
        </w:tc>
        <w:tc>
          <w:tcPr>
            <w:tcW w:w="6733" w:type="dxa"/>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1</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授权委托书</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2</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投标完整性</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3</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投标报价</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投标报价未超过招标文件中规定的项目/采购包预算金额或者项目/采购包最高限价；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4</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报价唯一性</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投标文件未出现可选择性或可调整的报价（招标文件另有规定的除外）；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5</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投标有效期</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6</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实质性格式</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45" w:type="dxa"/>
            <w:vAlign w:val="center"/>
          </w:tcPr>
          <w:p>
            <w:pPr>
              <w:widowControl/>
              <w:jc w:val="center"/>
              <w:rPr>
                <w:rFonts w:hint="eastAsia" w:asciiTheme="minorEastAsia" w:hAnsiTheme="minorEastAsia" w:eastAsiaTheme="minorEastAsia"/>
                <w:color w:val="000000"/>
                <w:kern w:val="0"/>
                <w:sz w:val="24"/>
                <w:lang w:eastAsia="zh-CN"/>
              </w:rPr>
            </w:pPr>
            <w:r>
              <w:rPr>
                <w:rFonts w:hint="eastAsia" w:asciiTheme="minorEastAsia" w:hAnsiTheme="minorEastAsia" w:eastAsiaTheme="minorEastAsia"/>
                <w:w w:val="115"/>
                <w:sz w:val="24"/>
                <w:lang w:val="en-US" w:eastAsia="zh-CN"/>
              </w:rPr>
              <w:t>7</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报价的修正（如有）</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 w:hRule="atLeast"/>
          <w:jc w:val="center"/>
        </w:trPr>
        <w:tc>
          <w:tcPr>
            <w:tcW w:w="745" w:type="dxa"/>
            <w:vAlign w:val="center"/>
          </w:tcPr>
          <w:p>
            <w:pPr>
              <w:widowControl/>
              <w:jc w:val="center"/>
              <w:rPr>
                <w:rFonts w:hint="eastAsia" w:asciiTheme="minorEastAsia" w:hAnsiTheme="minorEastAsia" w:eastAsiaTheme="minorEastAsia"/>
                <w:color w:val="000000"/>
                <w:kern w:val="0"/>
                <w:sz w:val="24"/>
                <w:lang w:eastAsia="zh-CN"/>
              </w:rPr>
            </w:pPr>
            <w:r>
              <w:rPr>
                <w:rFonts w:hint="eastAsia" w:asciiTheme="minorEastAsia" w:hAnsiTheme="minorEastAsia" w:eastAsiaTheme="minorEastAsia"/>
                <w:sz w:val="24"/>
                <w:lang w:val="en-US" w:eastAsia="zh-CN"/>
              </w:rPr>
              <w:t>8</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报价合理性</w:t>
            </w:r>
          </w:p>
        </w:tc>
        <w:tc>
          <w:tcPr>
            <w:tcW w:w="6733" w:type="dxa"/>
            <w:vAlign w:val="center"/>
          </w:tcPr>
          <w:p>
            <w:pPr>
              <w:pStyle w:val="216"/>
              <w:spacing w:line="275"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报价合理，或投标人的报价明显低于其他通过符合性审查投标</w:t>
            </w:r>
          </w:p>
          <w:p>
            <w:pPr>
              <w:widowControl/>
              <w:jc w:val="left"/>
              <w:rPr>
                <w:rFonts w:asciiTheme="minorEastAsia" w:hAnsiTheme="minorEastAsia" w:eastAsiaTheme="minorEastAsia"/>
                <w:color w:val="000000"/>
                <w:sz w:val="24"/>
              </w:rPr>
            </w:pPr>
            <w:r>
              <w:rPr>
                <w:rFonts w:hint="eastAsia" w:asciiTheme="minorEastAsia" w:hAnsiTheme="minorEastAsia" w:eastAsiaTheme="minorEastAsia"/>
                <w:sz w:val="24"/>
              </w:rPr>
              <w:t>人的报价，有可能影响产品质量或者不能诚信履约的，能够应评标委员会要求在规定时间内证明其报价合理性的；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hint="eastAsia" w:asciiTheme="minorEastAsia" w:hAnsiTheme="minorEastAsia" w:eastAsiaTheme="minorEastAsia"/>
                <w:color w:val="000000"/>
                <w:kern w:val="0"/>
                <w:sz w:val="24"/>
                <w:lang w:eastAsia="zh-CN"/>
              </w:rPr>
            </w:pPr>
            <w:r>
              <w:rPr>
                <w:rFonts w:hint="eastAsia" w:asciiTheme="minorEastAsia" w:hAnsiTheme="minorEastAsia" w:eastAsiaTheme="minorEastAsia"/>
                <w:w w:val="115"/>
                <w:sz w:val="24"/>
                <w:lang w:val="en-US" w:eastAsia="zh-CN"/>
              </w:rPr>
              <w:t>9</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公平竞争</w:t>
            </w:r>
          </w:p>
        </w:tc>
        <w:tc>
          <w:tcPr>
            <w:tcW w:w="6733" w:type="dxa"/>
            <w:vAlign w:val="center"/>
          </w:tcPr>
          <w:p>
            <w:pPr>
              <w:pStyle w:val="216"/>
              <w:spacing w:line="274" w:lineRule="exact"/>
              <w:rPr>
                <w:rFonts w:asciiTheme="minorEastAsia" w:hAnsiTheme="minorEastAsia" w:eastAsiaTheme="minorEastAsia"/>
                <w:color w:val="000000"/>
                <w:sz w:val="24"/>
                <w:szCs w:val="24"/>
                <w:lang w:eastAsia="zh-CN"/>
              </w:rPr>
            </w:pPr>
            <w:r>
              <w:rPr>
                <w:rFonts w:hint="eastAsia" w:asciiTheme="minorEastAsia" w:hAnsiTheme="minorEastAsia" w:eastAsiaTheme="minorEastAsia"/>
                <w:sz w:val="24"/>
                <w:szCs w:val="24"/>
                <w:lang w:eastAsia="zh-CN"/>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jc w:val="center"/>
        </w:trPr>
        <w:tc>
          <w:tcPr>
            <w:tcW w:w="745" w:type="dxa"/>
            <w:vAlign w:val="center"/>
          </w:tcPr>
          <w:p>
            <w:pPr>
              <w:widowControl/>
              <w:jc w:val="center"/>
              <w:rPr>
                <w:rFonts w:hint="default" w:asciiTheme="minorEastAsia" w:hAnsiTheme="minorEastAsia" w:eastAsiaTheme="minorEastAsia"/>
                <w:color w:val="000000"/>
                <w:kern w:val="0"/>
                <w:sz w:val="24"/>
                <w:lang w:val="en-US" w:eastAsia="zh-CN"/>
              </w:rPr>
            </w:pPr>
            <w:r>
              <w:rPr>
                <w:rFonts w:hint="eastAsia" w:asciiTheme="minorEastAsia" w:hAnsiTheme="minorEastAsia" w:eastAsiaTheme="minorEastAsia"/>
                <w:w w:val="115"/>
                <w:sz w:val="24"/>
                <w:lang w:val="en-US" w:eastAsia="zh-CN"/>
              </w:rPr>
              <w:t>10</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串通投标</w:t>
            </w:r>
          </w:p>
        </w:tc>
        <w:tc>
          <w:tcPr>
            <w:tcW w:w="6733" w:type="dxa"/>
            <w:vAlign w:val="center"/>
          </w:tcPr>
          <w:p>
            <w:pPr>
              <w:pStyle w:val="216"/>
              <w:spacing w:line="274" w:lineRule="exact"/>
              <w:rPr>
                <w:rFonts w:asciiTheme="minorEastAsia" w:hAnsiTheme="minorEastAsia" w:eastAsiaTheme="minorEastAsia"/>
                <w:color w:val="000000"/>
                <w:sz w:val="24"/>
                <w:szCs w:val="24"/>
                <w:lang w:eastAsia="zh-CN"/>
              </w:rPr>
            </w:pPr>
            <w:r>
              <w:rPr>
                <w:rFonts w:hint="eastAsia" w:asciiTheme="minorEastAsia" w:hAnsiTheme="minorEastAsia" w:eastAsiaTheme="minorEastAsia"/>
                <w:sz w:val="24"/>
                <w:szCs w:val="24"/>
                <w:lang w:eastAsia="zh-CN"/>
              </w:rPr>
              <w:t>不存在《政府采购货物和服务招标投标管理办法》视为投标人串通投标的情形</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一</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不同投标人的投标文件由同一单位或者个人编制</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二</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不同投标人委托同一单位或者个人办理投标事</w:t>
            </w:r>
            <w:r>
              <w:rPr>
                <w:rFonts w:hint="eastAsia" w:asciiTheme="minorEastAsia" w:hAnsiTheme="minorEastAsia" w:eastAsiaTheme="minorEastAsia"/>
                <w:spacing w:val="-83"/>
                <w:sz w:val="24"/>
                <w:szCs w:val="24"/>
                <w:lang w:eastAsia="zh-CN"/>
              </w:rPr>
              <w:t>宜；</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三</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不同投标人的投标文件载明的项目管理成员或者联系人员为同一人</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四</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不同投标人的投标文件异常一致或者投标报价呈规律性差异</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五</w:t>
            </w:r>
            <w:r>
              <w:rPr>
                <w:rFonts w:hint="eastAsia" w:asciiTheme="minorEastAsia" w:hAnsiTheme="minorEastAsia" w:eastAsiaTheme="minorEastAsia"/>
                <w:spacing w:val="-109"/>
                <w:sz w:val="24"/>
                <w:szCs w:val="24"/>
                <w:lang w:eastAsia="zh-CN"/>
              </w:rPr>
              <w:t>）</w:t>
            </w:r>
            <w:r>
              <w:rPr>
                <w:rFonts w:hint="eastAsia" w:asciiTheme="minorEastAsia" w:hAnsiTheme="minorEastAsia" w:eastAsiaTheme="minorEastAsia"/>
                <w:sz w:val="24"/>
                <w:szCs w:val="24"/>
                <w:lang w:eastAsia="zh-CN"/>
              </w:rPr>
              <w:t>不同投标人的投标文件相互混装</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z w:val="24"/>
                <w:szCs w:val="24"/>
                <w:lang w:eastAsia="zh-CN"/>
              </w:rPr>
              <w:t>（六）不同投标人的投标保证金从同一单位或者个人的账户转出；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hint="eastAsia" w:asciiTheme="minorEastAsia" w:hAnsiTheme="minorEastAsia" w:eastAsiaTheme="minorEastAsia"/>
                <w:color w:val="000000"/>
                <w:kern w:val="0"/>
                <w:sz w:val="24"/>
                <w:lang w:eastAsia="zh-CN"/>
              </w:rPr>
            </w:pPr>
            <w:r>
              <w:rPr>
                <w:rFonts w:hint="eastAsia" w:asciiTheme="minorEastAsia" w:hAnsiTheme="minorEastAsia" w:eastAsiaTheme="minorEastAsia"/>
                <w:w w:val="115"/>
                <w:sz w:val="24"/>
              </w:rPr>
              <w:t>1</w:t>
            </w:r>
            <w:r>
              <w:rPr>
                <w:rFonts w:hint="eastAsia" w:asciiTheme="minorEastAsia" w:hAnsiTheme="minorEastAsia" w:eastAsiaTheme="minorEastAsia"/>
                <w:w w:val="115"/>
                <w:sz w:val="24"/>
                <w:lang w:val="en-US" w:eastAsia="zh-CN"/>
              </w:rPr>
              <w:t>1</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其他无效情形</w:t>
            </w:r>
          </w:p>
        </w:tc>
        <w:tc>
          <w:tcPr>
            <w:tcW w:w="6733" w:type="dxa"/>
            <w:vAlign w:val="center"/>
          </w:tcPr>
          <w:p>
            <w:pPr>
              <w:widowControl/>
              <w:jc w:val="left"/>
              <w:rPr>
                <w:rFonts w:asciiTheme="minorEastAsia" w:hAnsiTheme="minorEastAsia" w:eastAsiaTheme="minorEastAsia"/>
                <w:color w:val="000000"/>
                <w:sz w:val="24"/>
              </w:rPr>
            </w:pPr>
            <w:r>
              <w:rPr>
                <w:rFonts w:hint="eastAsia" w:asciiTheme="minorEastAsia" w:hAnsiTheme="minorEastAsia" w:eastAsiaTheme="minorEastAsia"/>
                <w:sz w:val="24"/>
              </w:rPr>
              <w:t>投标人、投标文件不存在不符合法律、法规和招标文件规定的其他无效情形。</w:t>
            </w:r>
          </w:p>
        </w:tc>
      </w:tr>
    </w:tbl>
    <w:p>
      <w:pPr>
        <w:numPr>
          <w:ilvl w:val="0"/>
          <w:numId w:val="14"/>
        </w:numPr>
        <w:tabs>
          <w:tab w:val="left" w:pos="900"/>
          <w:tab w:val="left" w:pos="1080"/>
          <w:tab w:val="left" w:pos="1589"/>
        </w:tabs>
        <w:snapToGrid w:val="0"/>
        <w:spacing w:line="360" w:lineRule="auto"/>
        <w:rPr>
          <w:sz w:val="24"/>
        </w:rPr>
        <w:sectPr>
          <w:pgSz w:w="11907" w:h="16840"/>
          <w:pgMar w:top="1418" w:right="1134" w:bottom="1418" w:left="1701" w:header="851" w:footer="851" w:gutter="0"/>
          <w:pgNumType w:fmt="decimal"/>
          <w:cols w:space="720" w:num="1"/>
          <w:docGrid w:linePitch="462" w:charSpace="0"/>
        </w:sectPr>
      </w:pPr>
    </w:p>
    <w:bookmarkEnd w:id="769"/>
    <w:bookmarkEnd w:id="770"/>
    <w:p>
      <w:pPr>
        <w:numPr>
          <w:ilvl w:val="0"/>
          <w:numId w:val="13"/>
        </w:numPr>
        <w:tabs>
          <w:tab w:val="left" w:pos="360"/>
          <w:tab w:val="left" w:pos="900"/>
        </w:tabs>
        <w:snapToGrid w:val="0"/>
        <w:spacing w:line="360" w:lineRule="auto"/>
        <w:outlineLvl w:val="1"/>
        <w:rPr>
          <w:sz w:val="24"/>
        </w:rPr>
      </w:pPr>
      <w:r>
        <w:rPr>
          <w:sz w:val="24"/>
        </w:rPr>
        <w:t>投标文件有关事项的澄清或者说明</w:t>
      </w:r>
    </w:p>
    <w:p>
      <w:pPr>
        <w:numPr>
          <w:ilvl w:val="1"/>
          <w:numId w:val="13"/>
        </w:numPr>
        <w:tabs>
          <w:tab w:val="left" w:pos="1080"/>
          <w:tab w:val="left" w:pos="1589"/>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 w:val="left" w:pos="1589"/>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3"/>
        </w:numPr>
        <w:tabs>
          <w:tab w:val="left" w:pos="1080"/>
          <w:tab w:val="left" w:pos="1589"/>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3"/>
        </w:numPr>
        <w:tabs>
          <w:tab w:val="left" w:pos="1080"/>
          <w:tab w:val="left" w:pos="1589"/>
        </w:tabs>
        <w:snapToGrid w:val="0"/>
        <w:spacing w:line="360" w:lineRule="auto"/>
        <w:ind w:left="1077" w:hanging="720"/>
        <w:rPr>
          <w:sz w:val="24"/>
        </w:rPr>
      </w:pPr>
      <w:r>
        <w:rPr>
          <w:sz w:val="24"/>
        </w:rPr>
        <w:t>投标文件报价出现前后不一致的，按照下列规定修正：</w:t>
      </w:r>
    </w:p>
    <w:p>
      <w:pPr>
        <w:numPr>
          <w:ilvl w:val="2"/>
          <w:numId w:val="13"/>
        </w:numPr>
        <w:tabs>
          <w:tab w:val="left" w:pos="1080"/>
          <w:tab w:val="left" w:pos="1589"/>
          <w:tab w:val="left" w:pos="1980"/>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rFonts w:hint="eastAsia" w:ascii="宋体" w:hAnsi="宋体" w:cs="宋体"/>
          <w:sz w:val="24"/>
        </w:rPr>
        <w:t>□</w:t>
      </w: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ascii="新宋体" w:hAnsi="新宋体" w:eastAsia="新宋体" w:cs="新宋体"/>
          <w:sz w:val="24"/>
        </w:rPr>
        <w:t>■</w:t>
      </w:r>
      <w:r>
        <w:rPr>
          <w:sz w:val="24"/>
        </w:rPr>
        <w:t>无，按下述2.4.2-2.4.7项规定修正。</w:t>
      </w:r>
    </w:p>
    <w:p>
      <w:pPr>
        <w:numPr>
          <w:ilvl w:val="2"/>
          <w:numId w:val="13"/>
        </w:numPr>
        <w:tabs>
          <w:tab w:val="left" w:pos="1980"/>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pPr>
        <w:numPr>
          <w:ilvl w:val="2"/>
          <w:numId w:val="13"/>
        </w:numPr>
        <w:tabs>
          <w:tab w:val="left" w:pos="1980"/>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pPr>
        <w:numPr>
          <w:ilvl w:val="2"/>
          <w:numId w:val="13"/>
        </w:numPr>
        <w:tabs>
          <w:tab w:val="left" w:pos="1980"/>
          <w:tab w:val="left" w:pos="2035"/>
          <w:tab w:val="left" w:pos="2114"/>
          <w:tab w:val="left" w:pos="2977"/>
        </w:tabs>
        <w:snapToGrid w:val="0"/>
        <w:spacing w:line="360" w:lineRule="auto"/>
        <w:ind w:left="2035"/>
        <w:rPr>
          <w:sz w:val="24"/>
        </w:rPr>
      </w:pPr>
      <w:r>
        <w:rPr>
          <w:sz w:val="24"/>
        </w:rPr>
        <w:t>大写金额和小写金额不一致的，以大写金额为准；</w:t>
      </w:r>
    </w:p>
    <w:p>
      <w:pPr>
        <w:numPr>
          <w:ilvl w:val="2"/>
          <w:numId w:val="13"/>
        </w:numPr>
        <w:tabs>
          <w:tab w:val="left" w:pos="1980"/>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pPr>
        <w:numPr>
          <w:ilvl w:val="2"/>
          <w:numId w:val="13"/>
        </w:numPr>
        <w:tabs>
          <w:tab w:val="left" w:pos="1980"/>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pPr>
        <w:numPr>
          <w:ilvl w:val="2"/>
          <w:numId w:val="13"/>
        </w:numPr>
        <w:tabs>
          <w:tab w:val="left" w:pos="1080"/>
          <w:tab w:val="left" w:pos="1589"/>
          <w:tab w:val="left" w:pos="1980"/>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3"/>
        </w:numPr>
        <w:tabs>
          <w:tab w:val="left" w:pos="1080"/>
          <w:tab w:val="left" w:pos="1589"/>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rPr>
        <w:t>10</w:t>
      </w:r>
      <w:r>
        <w:rPr>
          <w:sz w:val="24"/>
        </w:rPr>
        <w:t>%的扣除，用扣除后的价格参加评审。</w:t>
      </w:r>
    </w:p>
    <w:p>
      <w:pPr>
        <w:numPr>
          <w:ilvl w:val="2"/>
          <w:numId w:val="13"/>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w:t>
      </w:r>
      <w:r>
        <w:rPr>
          <w:sz w:val="24"/>
        </w:rPr>
        <w:t>%的扣除，用扣除后的价格参加评审。</w:t>
      </w:r>
    </w:p>
    <w:p>
      <w:pPr>
        <w:numPr>
          <w:ilvl w:val="2"/>
          <w:numId w:val="13"/>
        </w:numPr>
        <w:tabs>
          <w:tab w:val="left" w:pos="1080"/>
          <w:tab w:val="left" w:pos="1589"/>
          <w:tab w:val="left" w:pos="1980"/>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1980"/>
          <w:tab w:val="left" w:pos="2035"/>
        </w:tabs>
        <w:snapToGrid w:val="0"/>
        <w:spacing w:line="360" w:lineRule="auto"/>
        <w:ind w:left="2035"/>
        <w:rPr>
          <w:sz w:val="24"/>
        </w:rPr>
      </w:pPr>
      <w:r>
        <w:rPr>
          <w:sz w:val="24"/>
        </w:rPr>
        <w:t>价格扣除比例对小型企业和微型企业同等对待，不作区分。</w:t>
      </w:r>
    </w:p>
    <w:p>
      <w:pPr>
        <w:numPr>
          <w:ilvl w:val="2"/>
          <w:numId w:val="13"/>
        </w:numPr>
        <w:tabs>
          <w:tab w:val="left" w:pos="1080"/>
          <w:tab w:val="left" w:pos="1589"/>
          <w:tab w:val="left" w:pos="1980"/>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1980"/>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1980"/>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3"/>
        </w:numPr>
        <w:tabs>
          <w:tab w:val="left" w:pos="1080"/>
          <w:tab w:val="left" w:pos="1589"/>
          <w:tab w:val="left" w:pos="1980"/>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3"/>
        </w:numPr>
        <w:tabs>
          <w:tab w:val="left" w:pos="360"/>
          <w:tab w:val="left" w:pos="900"/>
        </w:tabs>
        <w:snapToGrid w:val="0"/>
        <w:spacing w:line="360" w:lineRule="auto"/>
        <w:outlineLvl w:val="1"/>
        <w:rPr>
          <w:sz w:val="24"/>
        </w:rPr>
      </w:pPr>
      <w:r>
        <w:rPr>
          <w:sz w:val="24"/>
        </w:rPr>
        <w:t>投标文件的比较和评价</w:t>
      </w:r>
    </w:p>
    <w:p>
      <w:pPr>
        <w:numPr>
          <w:ilvl w:val="1"/>
          <w:numId w:val="13"/>
        </w:numPr>
        <w:tabs>
          <w:tab w:val="left" w:pos="1080"/>
          <w:tab w:val="left" w:pos="1589"/>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 w:val="left" w:pos="1589"/>
        </w:tabs>
        <w:snapToGrid w:val="0"/>
        <w:spacing w:line="360" w:lineRule="auto"/>
        <w:ind w:left="1077" w:hanging="720"/>
        <w:rPr>
          <w:sz w:val="24"/>
        </w:rPr>
      </w:pPr>
      <w:r>
        <w:rPr>
          <w:sz w:val="24"/>
        </w:rPr>
        <w:t>评标方法和评标标准</w:t>
      </w:r>
    </w:p>
    <w:p>
      <w:pPr>
        <w:numPr>
          <w:ilvl w:val="2"/>
          <w:numId w:val="13"/>
        </w:numPr>
        <w:tabs>
          <w:tab w:val="left" w:pos="1080"/>
          <w:tab w:val="left" w:pos="1589"/>
          <w:tab w:val="left" w:pos="1980"/>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ascii="新宋体" w:hAnsi="新宋体" w:eastAsia="新宋体" w:cs="新宋体"/>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rFonts w:hint="eastAsia" w:ascii="宋体" w:hAnsi="宋体" w:cs="宋体"/>
          <w:sz w:val="24"/>
        </w:rPr>
        <w:t>□</w:t>
      </w:r>
      <w:r>
        <w:rPr>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1980"/>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rFonts w:hint="eastAsia" w:ascii="新宋体" w:hAnsi="新宋体" w:eastAsia="新宋体" w:cs="新宋体"/>
          <w:sz w:val="24"/>
        </w:rPr>
        <w:t>■</w:t>
      </w:r>
      <w:r>
        <w:rPr>
          <w:sz w:val="24"/>
        </w:rPr>
        <w:t>随机抽取</w:t>
      </w:r>
    </w:p>
    <w:p>
      <w:pPr>
        <w:tabs>
          <w:tab w:val="left" w:pos="1080"/>
          <w:tab w:val="left" w:pos="1589"/>
          <w:tab w:val="left" w:pos="2035"/>
        </w:tabs>
        <w:snapToGrid w:val="0"/>
        <w:spacing w:line="360" w:lineRule="auto"/>
        <w:ind w:left="2035"/>
        <w:rPr>
          <w:sz w:val="24"/>
          <w:u w:val="single"/>
        </w:rPr>
      </w:pPr>
      <w:r>
        <w:rPr>
          <w:rFonts w:hint="eastAsia" w:ascii="宋体" w:hAnsi="宋体" w:cs="宋体"/>
          <w:sz w:val="24"/>
        </w:rPr>
        <w:t>□</w:t>
      </w:r>
      <w:r>
        <w:rPr>
          <w:sz w:val="24"/>
        </w:rPr>
        <w:t>其他方式，具体要求：_____</w:t>
      </w:r>
    </w:p>
    <w:p>
      <w:pPr>
        <w:numPr>
          <w:ilvl w:val="2"/>
          <w:numId w:val="13"/>
        </w:numPr>
        <w:tabs>
          <w:tab w:val="left" w:pos="1080"/>
          <w:tab w:val="left" w:pos="1589"/>
          <w:tab w:val="left" w:pos="1980"/>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rPr>
        <w:t>：</w:t>
      </w:r>
      <w:r>
        <w:rPr>
          <w:sz w:val="24"/>
        </w:rPr>
        <w:t>当投标人因核心产品相同、综合评分相同或投标报价相同时将被优先推荐为中标候选人。</w:t>
      </w:r>
    </w:p>
    <w:p>
      <w:pPr>
        <w:numPr>
          <w:ilvl w:val="2"/>
          <w:numId w:val="13"/>
        </w:numPr>
        <w:tabs>
          <w:tab w:val="left" w:pos="1080"/>
          <w:tab w:val="left" w:pos="1589"/>
          <w:tab w:val="left" w:pos="1980"/>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rPr>
        <w:t>：</w:t>
      </w:r>
      <w:r>
        <w:rPr>
          <w:sz w:val="24"/>
        </w:rPr>
        <w:t>当投标人因核心产品相同、综合评分相同或投标报价相同时将被优先推荐为中标候选人。</w:t>
      </w:r>
    </w:p>
    <w:p>
      <w:pPr>
        <w:numPr>
          <w:ilvl w:val="0"/>
          <w:numId w:val="13"/>
        </w:numPr>
        <w:tabs>
          <w:tab w:val="left" w:pos="360"/>
          <w:tab w:val="left" w:pos="900"/>
        </w:tabs>
        <w:snapToGrid w:val="0"/>
        <w:spacing w:line="360" w:lineRule="auto"/>
        <w:outlineLvl w:val="1"/>
        <w:rPr>
          <w:sz w:val="24"/>
        </w:rPr>
      </w:pPr>
      <w:r>
        <w:rPr>
          <w:sz w:val="24"/>
        </w:rPr>
        <w:t>确定</w:t>
      </w:r>
      <w:bookmarkStart w:id="786" w:name="_Toc127151546"/>
      <w:bookmarkStart w:id="787" w:name="_Toc150774646"/>
      <w:bookmarkStart w:id="788" w:name="_Toc127161460"/>
      <w:bookmarkStart w:id="789" w:name="_Toc305158888"/>
      <w:bookmarkStart w:id="790" w:name="_Ref467307010"/>
      <w:bookmarkStart w:id="791" w:name="_Toc305158814"/>
      <w:bookmarkStart w:id="792" w:name="_Toc151193716"/>
      <w:bookmarkStart w:id="793" w:name="_Toc226309790"/>
      <w:bookmarkStart w:id="794" w:name="_Toc151193860"/>
      <w:bookmarkStart w:id="795" w:name="_Toc164608660"/>
      <w:bookmarkStart w:id="796" w:name="_Toc151193788"/>
      <w:bookmarkStart w:id="797" w:name="_Toc164608815"/>
      <w:bookmarkStart w:id="798" w:name="_Toc195842911"/>
      <w:bookmarkStart w:id="799" w:name="_Toc150774751"/>
      <w:bookmarkStart w:id="800" w:name="_Toc265228384"/>
      <w:bookmarkStart w:id="801" w:name="_Toc149720839"/>
      <w:bookmarkStart w:id="802" w:name="_Toc226965736"/>
      <w:bookmarkStart w:id="803" w:name="_Toc226965819"/>
      <w:bookmarkStart w:id="804" w:name="_Toc164229387"/>
      <w:bookmarkStart w:id="805" w:name="_Toc142311048"/>
      <w:bookmarkStart w:id="806" w:name="_Toc164351640"/>
      <w:bookmarkStart w:id="807" w:name="_Toc520356170"/>
      <w:bookmarkStart w:id="808" w:name="_Toc150509297"/>
      <w:bookmarkStart w:id="809" w:name="_Toc127151747"/>
      <w:bookmarkStart w:id="810" w:name="_Toc264969236"/>
      <w:bookmarkStart w:id="811" w:name="_Toc226337242"/>
      <w:bookmarkStart w:id="812" w:name="_Toc150480784"/>
      <w:bookmarkStart w:id="813" w:name="_Toc151193644"/>
      <w:bookmarkStart w:id="814" w:name="_Toc151190173"/>
      <w:bookmarkStart w:id="815" w:name="_Toc164229241"/>
      <w:bookmarkStart w:id="816" w:name="_Toc151193934"/>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pPr>
        <w:numPr>
          <w:ilvl w:val="1"/>
          <w:numId w:val="13"/>
        </w:numPr>
        <w:tabs>
          <w:tab w:val="left" w:pos="1080"/>
          <w:tab w:val="left" w:pos="1589"/>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Ansi="宋体" w:cs="宋体"/>
          <w:sz w:val="24"/>
        </w:rPr>
        <w:t>□</w:t>
      </w: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ascii="新宋体" w:hAnsi="新宋体" w:eastAsia="新宋体" w:cs="新宋体"/>
          <w:sz w:val="24"/>
          <w:szCs w:val="24"/>
        </w:rPr>
        <w:t>■</w:t>
      </w:r>
      <w:r>
        <w:rPr>
          <w:rFonts w:hint="default" w:ascii="Times New Roman" w:hAnsi="Times New Roman"/>
          <w:sz w:val="24"/>
          <w:szCs w:val="24"/>
        </w:rPr>
        <w:t>其他方式，具体要求：</w:t>
      </w:r>
      <w:r>
        <w:rPr>
          <w:rFonts w:ascii="Times New Roman" w:hAnsi="Times New Roman"/>
          <w:sz w:val="24"/>
          <w:szCs w:val="24"/>
        </w:rPr>
        <w:t>评审得分相同的，按投标报价由低到高顺序排列。得分及投标报价均相同的，按技术部分得分由高到低</w:t>
      </w:r>
      <w:r>
        <w:rPr>
          <w:rFonts w:hAnsi="宋体" w:cs="宋体"/>
          <w:sz w:val="24"/>
          <w:szCs w:val="24"/>
        </w:rPr>
        <w:t>规则排列，技术得分也相同的，随机抽取。</w:t>
      </w:r>
    </w:p>
    <w:p>
      <w:pPr>
        <w:numPr>
          <w:ilvl w:val="1"/>
          <w:numId w:val="13"/>
        </w:numPr>
        <w:tabs>
          <w:tab w:val="left" w:pos="1080"/>
          <w:tab w:val="left" w:pos="1589"/>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 w:val="left" w:pos="1589"/>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 w:val="left" w:pos="1589"/>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3"/>
        </w:numPr>
        <w:tabs>
          <w:tab w:val="left" w:pos="1080"/>
          <w:tab w:val="left" w:pos="1589"/>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w:t>
      </w:r>
      <w:r>
        <w:rPr>
          <w:rFonts w:hint="eastAsia"/>
          <w:sz w:val="24"/>
        </w:rPr>
        <w:t>全部</w:t>
      </w:r>
      <w:r>
        <w:rPr>
          <w:sz w:val="24"/>
        </w:rPr>
        <w:t>中标候选人，起草并签署评标报告。</w:t>
      </w:r>
    </w:p>
    <w:p>
      <w:pPr>
        <w:numPr>
          <w:ilvl w:val="0"/>
          <w:numId w:val="13"/>
        </w:numPr>
        <w:tabs>
          <w:tab w:val="left" w:pos="360"/>
          <w:tab w:val="left" w:pos="900"/>
        </w:tabs>
        <w:snapToGrid w:val="0"/>
        <w:spacing w:line="360" w:lineRule="auto"/>
        <w:outlineLvl w:val="1"/>
        <w:rPr>
          <w:sz w:val="24"/>
        </w:rPr>
      </w:pPr>
      <w:r>
        <w:rPr>
          <w:sz w:val="24"/>
        </w:rPr>
        <w:t>报告违法行为</w:t>
      </w:r>
    </w:p>
    <w:p>
      <w:pPr>
        <w:numPr>
          <w:ilvl w:val="1"/>
          <w:numId w:val="13"/>
        </w:numPr>
        <w:tabs>
          <w:tab w:val="left" w:pos="1080"/>
          <w:tab w:val="left" w:pos="1589"/>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numPr>
          <w:ilvl w:val="0"/>
          <w:numId w:val="13"/>
        </w:numPr>
        <w:tabs>
          <w:tab w:val="left" w:pos="360"/>
          <w:tab w:val="left" w:pos="900"/>
        </w:tabs>
        <w:snapToGrid w:val="0"/>
        <w:spacing w:line="360" w:lineRule="auto"/>
        <w:outlineLvl w:val="1"/>
        <w:rPr>
          <w:rFonts w:ascii="宋体" w:hAnsi="宋体"/>
          <w:sz w:val="24"/>
        </w:rPr>
      </w:pPr>
      <w:r>
        <w:rPr>
          <w:rFonts w:hint="eastAsia" w:ascii="宋体" w:hAnsi="宋体"/>
          <w:b/>
          <w:kern w:val="0"/>
          <w:sz w:val="24"/>
        </w:rPr>
        <w:t>为了确保服务质量，评标将遵循“兼投不兼中”原则，即一个投标人最多只能成为一个包的中标候选人。评标委员会将按照1、2、3、4、5包的顺序进行评标。如果某包排名第一的投标人已经成为前面任意一包的中标候选人，则该包由排名第二的投标人作为中标候选人，以此类推。若某包的所有参与评分的投标人已经成为前面任意一包的中标候选人，则该包无法推荐中标候选人，需重新采购。</w:t>
      </w:r>
    </w:p>
    <w:p>
      <w:pPr>
        <w:pStyle w:val="2"/>
        <w:rPr>
          <w:rFonts w:hint="eastAsia" w:eastAsia="宋体"/>
          <w:lang w:val="en-US" w:eastAsia="zh-CN"/>
        </w:rPr>
      </w:pPr>
    </w:p>
    <w:p>
      <w:pPr>
        <w:widowControl/>
        <w:jc w:val="left"/>
        <w:rPr>
          <w:b/>
          <w:sz w:val="24"/>
        </w:rPr>
      </w:pPr>
      <w:r>
        <w:rPr>
          <w:b/>
          <w:sz w:val="24"/>
        </w:rPr>
        <w:br w:type="page"/>
      </w:r>
    </w:p>
    <w:p>
      <w:pPr>
        <w:numPr>
          <w:ilvl w:val="0"/>
          <w:numId w:val="15"/>
        </w:numPr>
        <w:tabs>
          <w:tab w:val="left" w:pos="360"/>
          <w:tab w:val="left" w:pos="900"/>
        </w:tabs>
        <w:snapToGrid w:val="0"/>
        <w:spacing w:line="360" w:lineRule="auto"/>
        <w:jc w:val="center"/>
        <w:outlineLvl w:val="1"/>
      </w:pPr>
      <w:r>
        <w:rPr>
          <w:b/>
          <w:sz w:val="24"/>
        </w:rPr>
        <w:t>评标标准</w:t>
      </w:r>
    </w:p>
    <w:p>
      <w:pPr>
        <w:tabs>
          <w:tab w:val="left" w:pos="360"/>
          <w:tab w:val="left" w:pos="1080"/>
        </w:tabs>
        <w:snapToGrid w:val="0"/>
        <w:spacing w:line="360" w:lineRule="auto"/>
        <w:ind w:left="1080"/>
        <w:rPr>
          <w:sz w:val="24"/>
        </w:rPr>
      </w:pPr>
    </w:p>
    <w:p>
      <w:pPr>
        <w:spacing w:line="360" w:lineRule="auto"/>
        <w:rPr>
          <w:b/>
          <w:bCs/>
          <w:sz w:val="24"/>
          <w:vertAlign w:val="baseline"/>
        </w:rPr>
      </w:pPr>
      <w:r>
        <w:rPr>
          <w:rFonts w:hint="eastAsia"/>
          <w:b/>
          <w:bCs/>
          <w:sz w:val="24"/>
        </w:rPr>
        <w:t>1、商务部分（</w:t>
      </w:r>
      <w:r>
        <w:rPr>
          <w:b/>
          <w:bCs/>
          <w:sz w:val="24"/>
        </w:rPr>
        <w:t>2</w:t>
      </w:r>
      <w:r>
        <w:rPr>
          <w:rFonts w:hint="eastAsia"/>
          <w:b/>
          <w:bCs/>
          <w:sz w:val="24"/>
          <w:lang w:val="en-US" w:eastAsia="zh-CN"/>
        </w:rPr>
        <w:t>7</w:t>
      </w:r>
      <w:r>
        <w:rPr>
          <w:rFonts w:hint="eastAsia"/>
          <w:b/>
          <w:bCs/>
          <w:sz w:val="24"/>
        </w:rPr>
        <w:t>分）：</w:t>
      </w:r>
    </w:p>
    <w:tbl>
      <w:tblPr>
        <w:tblStyle w:val="5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2115"/>
        <w:gridCol w:w="795"/>
        <w:gridCol w:w="5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89" w:type="dxa"/>
            <w:vAlign w:val="center"/>
          </w:tcPr>
          <w:p>
            <w:pPr>
              <w:ind w:firstLine="28" w:firstLineChars="0"/>
              <w:jc w:val="center"/>
              <w:rPr>
                <w:b/>
                <w:bCs/>
                <w:sz w:val="24"/>
                <w:vertAlign w:val="baseline"/>
              </w:rPr>
            </w:pPr>
            <w:r>
              <w:rPr>
                <w:rFonts w:hint="eastAsia" w:ascii="宋体" w:hAnsi="宋体" w:cs="宋体"/>
                <w:b/>
                <w:sz w:val="24"/>
              </w:rPr>
              <w:t>序号</w:t>
            </w:r>
          </w:p>
        </w:tc>
        <w:tc>
          <w:tcPr>
            <w:tcW w:w="2115" w:type="dxa"/>
            <w:vAlign w:val="center"/>
          </w:tcPr>
          <w:p>
            <w:pPr>
              <w:ind w:firstLine="28" w:firstLineChars="0"/>
              <w:jc w:val="center"/>
              <w:rPr>
                <w:b/>
                <w:bCs/>
                <w:sz w:val="24"/>
                <w:vertAlign w:val="baseline"/>
              </w:rPr>
            </w:pPr>
            <w:r>
              <w:rPr>
                <w:rFonts w:hint="eastAsia" w:ascii="宋体" w:hAnsi="宋体" w:cs="宋体"/>
                <w:b/>
                <w:sz w:val="24"/>
              </w:rPr>
              <w:t>评分因素</w:t>
            </w:r>
          </w:p>
        </w:tc>
        <w:tc>
          <w:tcPr>
            <w:tcW w:w="795" w:type="dxa"/>
            <w:vAlign w:val="center"/>
          </w:tcPr>
          <w:p>
            <w:pPr>
              <w:ind w:firstLine="28" w:firstLineChars="0"/>
              <w:jc w:val="center"/>
              <w:rPr>
                <w:b/>
                <w:bCs/>
                <w:sz w:val="24"/>
                <w:vertAlign w:val="baseline"/>
              </w:rPr>
            </w:pPr>
            <w:r>
              <w:rPr>
                <w:rFonts w:hint="eastAsia" w:ascii="宋体" w:hAnsi="宋体" w:cs="宋体"/>
                <w:b/>
                <w:sz w:val="24"/>
              </w:rPr>
              <w:t>分值</w:t>
            </w:r>
          </w:p>
        </w:tc>
        <w:tc>
          <w:tcPr>
            <w:tcW w:w="5389" w:type="dxa"/>
            <w:vAlign w:val="center"/>
          </w:tcPr>
          <w:p>
            <w:pPr>
              <w:ind w:firstLine="28" w:firstLineChars="0"/>
              <w:jc w:val="center"/>
              <w:rPr>
                <w:b/>
                <w:bCs/>
                <w:sz w:val="24"/>
                <w:vertAlign w:val="baseline"/>
              </w:rPr>
            </w:pPr>
            <w:r>
              <w:rPr>
                <w:rFonts w:hint="eastAsia" w:ascii="宋体" w:hAnsi="宋体" w:cs="宋体"/>
                <w:b/>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89" w:type="dxa"/>
          </w:tcPr>
          <w:p>
            <w:pPr>
              <w:snapToGrid w:val="0"/>
              <w:jc w:val="center"/>
              <w:rPr>
                <w:rFonts w:hint="eastAsia" w:ascii="宋体" w:hAnsi="宋体" w:cs="宋体"/>
                <w:bCs/>
                <w:color w:val="auto"/>
                <w:sz w:val="24"/>
                <w:highlight w:val="none"/>
                <w:lang w:val="en-US" w:eastAsia="zh-CN"/>
              </w:rPr>
            </w:pPr>
          </w:p>
          <w:p>
            <w:pPr>
              <w:snapToGrid w:val="0"/>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w:t>
            </w:r>
          </w:p>
        </w:tc>
        <w:tc>
          <w:tcPr>
            <w:tcW w:w="2115" w:type="dxa"/>
          </w:tcPr>
          <w:p>
            <w:pPr>
              <w:snapToGrid w:val="0"/>
              <w:jc w:val="center"/>
              <w:rPr>
                <w:rFonts w:hint="eastAsia" w:ascii="宋体" w:hAnsi="宋体" w:cs="宋体"/>
                <w:bCs/>
                <w:color w:val="auto"/>
                <w:sz w:val="24"/>
                <w:highlight w:val="none"/>
              </w:rPr>
            </w:pPr>
          </w:p>
          <w:p>
            <w:pPr>
              <w:snapToGrid w:val="0"/>
              <w:jc w:val="center"/>
              <w:rPr>
                <w:rFonts w:hint="eastAsia" w:ascii="宋体" w:hAnsi="宋体" w:cs="宋体"/>
                <w:bCs/>
                <w:color w:val="auto"/>
                <w:sz w:val="24"/>
                <w:highlight w:val="none"/>
              </w:rPr>
            </w:pPr>
            <w:r>
              <w:rPr>
                <w:rFonts w:hint="eastAsia" w:ascii="宋体" w:hAnsi="宋体" w:cs="宋体"/>
                <w:bCs/>
                <w:color w:val="auto"/>
                <w:sz w:val="24"/>
                <w:highlight w:val="none"/>
              </w:rPr>
              <w:t>类似项目</w:t>
            </w:r>
          </w:p>
        </w:tc>
        <w:tc>
          <w:tcPr>
            <w:tcW w:w="795" w:type="dxa"/>
          </w:tcPr>
          <w:p>
            <w:pPr>
              <w:snapToGrid w:val="0"/>
              <w:jc w:val="left"/>
              <w:rPr>
                <w:rFonts w:hint="eastAsia" w:ascii="宋体" w:hAnsi="宋体" w:cs="宋体"/>
                <w:bCs/>
                <w:color w:val="auto"/>
                <w:sz w:val="24"/>
                <w:highlight w:val="none"/>
                <w:lang w:val="en-US" w:eastAsia="zh-CN"/>
              </w:rPr>
            </w:pPr>
          </w:p>
          <w:p>
            <w:pPr>
              <w:snapToGrid w:val="0"/>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15</w:t>
            </w:r>
          </w:p>
        </w:tc>
        <w:tc>
          <w:tcPr>
            <w:tcW w:w="5389" w:type="dxa"/>
          </w:tcPr>
          <w:p>
            <w:pPr>
              <w:jc w:val="left"/>
              <w:rPr>
                <w:rFonts w:hint="eastAsia" w:ascii="宋体" w:hAnsi="宋体" w:cs="宋体"/>
                <w:color w:val="auto"/>
                <w:sz w:val="24"/>
                <w:highlight w:val="none"/>
              </w:rPr>
            </w:pPr>
            <w:r>
              <w:rPr>
                <w:rFonts w:hint="eastAsia" w:ascii="宋体" w:hAnsi="宋体" w:cs="宋体"/>
                <w:color w:val="auto"/>
                <w:sz w:val="24"/>
                <w:highlight w:val="none"/>
              </w:rPr>
              <w:t>近5年（2018年12月1日至今）承担的类似项目业绩，须提供合同或中标通知书等相关证明资料的复印件，每有一项业绩得3分，最多得15分。</w:t>
            </w:r>
          </w:p>
          <w:p>
            <w:pPr>
              <w:jc w:val="left"/>
              <w:rPr>
                <w:rFonts w:hint="eastAsia" w:eastAsia="宋体"/>
                <w:lang w:val="en-US" w:eastAsia="zh-CN"/>
              </w:rPr>
            </w:pPr>
            <w:r>
              <w:rPr>
                <w:rFonts w:hint="eastAsia" w:ascii="宋体" w:hAnsi="宋体" w:cs="宋体"/>
                <w:color w:val="auto"/>
                <w:sz w:val="24"/>
                <w:highlight w:val="none"/>
                <w:lang w:val="en-US" w:eastAsia="zh-CN"/>
              </w:rPr>
              <w:t>类似项目:车辆保管服务项目业绩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89" w:type="dxa"/>
          </w:tcPr>
          <w:p>
            <w:pPr>
              <w:jc w:val="center"/>
              <w:rPr>
                <w:rFonts w:hint="eastAsia" w:ascii="宋体" w:hAnsi="宋体" w:cs="宋体"/>
                <w:color w:val="auto"/>
                <w:sz w:val="24"/>
                <w:highlight w:val="none"/>
                <w:lang w:val="en-US" w:eastAsia="zh-CN"/>
              </w:rPr>
            </w:pPr>
          </w:p>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2115" w:type="dxa"/>
          </w:tcPr>
          <w:p>
            <w:pPr>
              <w:jc w:val="center"/>
              <w:rPr>
                <w:rFonts w:hint="eastAsia" w:ascii="宋体" w:hAnsi="宋体" w:cs="宋体"/>
                <w:color w:val="auto"/>
                <w:sz w:val="24"/>
                <w:highlight w:val="none"/>
              </w:rPr>
            </w:pPr>
          </w:p>
          <w:p>
            <w:pPr>
              <w:jc w:val="center"/>
              <w:rPr>
                <w:rFonts w:hint="eastAsia" w:ascii="宋体" w:hAnsi="宋体" w:cs="宋体"/>
                <w:color w:val="auto"/>
                <w:sz w:val="24"/>
                <w:highlight w:val="none"/>
              </w:rPr>
            </w:pPr>
            <w:r>
              <w:rPr>
                <w:rFonts w:hint="eastAsia" w:ascii="宋体" w:hAnsi="宋体" w:cs="宋体"/>
                <w:color w:val="auto"/>
                <w:sz w:val="24"/>
                <w:highlight w:val="none"/>
              </w:rPr>
              <w:t>停车场工作人员</w:t>
            </w:r>
            <w:r>
              <w:rPr>
                <w:rFonts w:hint="eastAsia" w:ascii="宋体" w:hAnsi="宋体" w:cs="宋体"/>
                <w:color w:val="auto"/>
                <w:sz w:val="24"/>
                <w:highlight w:val="none"/>
                <w:lang w:val="en-US" w:eastAsia="zh-CN"/>
              </w:rPr>
              <w:t>岗位设置</w:t>
            </w:r>
          </w:p>
        </w:tc>
        <w:tc>
          <w:tcPr>
            <w:tcW w:w="795" w:type="dxa"/>
          </w:tcPr>
          <w:p>
            <w:pPr>
              <w:jc w:val="center"/>
              <w:rPr>
                <w:rFonts w:hint="eastAsia" w:ascii="宋体" w:hAnsi="宋体" w:cs="宋体"/>
                <w:color w:val="auto"/>
                <w:sz w:val="24"/>
                <w:highlight w:val="none"/>
                <w:lang w:val="en-US" w:eastAsia="zh-CN"/>
              </w:rPr>
            </w:pPr>
          </w:p>
          <w:p>
            <w:pPr>
              <w:jc w:val="center"/>
              <w:rPr>
                <w:rFonts w:hint="eastAsia" w:ascii="宋体" w:hAnsi="宋体" w:cs="宋体"/>
                <w:color w:val="auto"/>
                <w:sz w:val="24"/>
                <w:highlight w:val="none"/>
                <w:lang w:val="en-US" w:eastAsia="zh-CN"/>
              </w:rPr>
            </w:pPr>
          </w:p>
          <w:p>
            <w:pPr>
              <w:jc w:val="center"/>
              <w:rPr>
                <w:rFonts w:hint="eastAsia" w:ascii="宋体" w:hAnsi="宋体" w:cs="宋体"/>
                <w:color w:val="auto"/>
                <w:sz w:val="24"/>
                <w:highlight w:val="none"/>
                <w:lang w:val="en-US" w:eastAsia="zh-CN"/>
              </w:rPr>
            </w:pPr>
          </w:p>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5389"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配备的工作人员岗位设置齐全，包括管理、安保、消防人员，且人员经过培训（提供证明材料，证明材料包括但不限于公司内部培训记录等），得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pPr>
              <w:jc w:val="left"/>
              <w:rPr>
                <w:rFonts w:hint="eastAsia" w:ascii="宋体" w:hAnsi="宋体" w:cs="宋体"/>
                <w:color w:val="auto"/>
                <w:sz w:val="24"/>
                <w:highlight w:val="none"/>
              </w:rPr>
            </w:pPr>
            <w:r>
              <w:rPr>
                <w:rFonts w:hint="eastAsia" w:ascii="宋体" w:hAnsi="宋体" w:cs="宋体"/>
                <w:color w:val="auto"/>
                <w:sz w:val="24"/>
                <w:highlight w:val="none"/>
              </w:rPr>
              <w:t>配备的工作人员岗位设置齐全，包括管理、安保、消防人员，但无经过培训的证明材料，得3分；</w:t>
            </w:r>
          </w:p>
          <w:p>
            <w:pPr>
              <w:jc w:val="left"/>
              <w:rPr>
                <w:rFonts w:hint="eastAsia" w:ascii="宋体" w:hAnsi="宋体" w:cs="宋体"/>
                <w:color w:val="auto"/>
                <w:sz w:val="24"/>
                <w:highlight w:val="none"/>
              </w:rPr>
            </w:pPr>
            <w:r>
              <w:rPr>
                <w:rFonts w:hint="eastAsia" w:ascii="宋体" w:hAnsi="宋体" w:cs="宋体"/>
                <w:color w:val="auto"/>
                <w:sz w:val="24"/>
                <w:highlight w:val="none"/>
              </w:rPr>
              <w:t>配备的工作人员岗位设置不齐全，缺少管理、安保、消防人员任意一项，得0分。</w:t>
            </w:r>
          </w:p>
          <w:p>
            <w:pPr>
              <w:jc w:val="left"/>
              <w:rPr>
                <w:rFonts w:hint="eastAsia" w:ascii="宋体" w:hAnsi="宋体" w:cs="宋体"/>
                <w:color w:val="auto"/>
                <w:sz w:val="24"/>
                <w:highlight w:val="none"/>
              </w:rPr>
            </w:pPr>
            <w:r>
              <w:rPr>
                <w:rFonts w:hint="eastAsia" w:ascii="宋体" w:hAnsi="宋体" w:cs="宋体"/>
                <w:color w:val="auto"/>
                <w:sz w:val="24"/>
                <w:highlight w:val="none"/>
              </w:rPr>
              <w:t>(必须提供劳动合同，未提供以上证明材料，不得分。)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89" w:type="dxa"/>
          </w:tcPr>
          <w:p>
            <w:pPr>
              <w:spacing w:line="360" w:lineRule="auto"/>
              <w:jc w:val="center"/>
              <w:rPr>
                <w:rFonts w:hint="eastAsia"/>
                <w:b w:val="0"/>
                <w:bCs w:val="0"/>
                <w:sz w:val="24"/>
                <w:vertAlign w:val="baseline"/>
                <w:lang w:val="en-US" w:eastAsia="zh-CN"/>
              </w:rPr>
            </w:pPr>
          </w:p>
          <w:p>
            <w:pPr>
              <w:spacing w:line="360" w:lineRule="auto"/>
              <w:jc w:val="center"/>
              <w:rPr>
                <w:rFonts w:hint="eastAsia"/>
                <w:b w:val="0"/>
                <w:bCs w:val="0"/>
                <w:sz w:val="24"/>
                <w:vertAlign w:val="baseline"/>
                <w:lang w:val="en-US" w:eastAsia="zh-CN"/>
              </w:rPr>
            </w:pPr>
            <w:r>
              <w:rPr>
                <w:rFonts w:hint="eastAsia"/>
                <w:b w:val="0"/>
                <w:bCs w:val="0"/>
                <w:sz w:val="24"/>
                <w:vertAlign w:val="baseline"/>
                <w:lang w:val="en-US" w:eastAsia="zh-CN"/>
              </w:rPr>
              <w:t>3</w:t>
            </w:r>
          </w:p>
        </w:tc>
        <w:tc>
          <w:tcPr>
            <w:tcW w:w="2115" w:type="dxa"/>
          </w:tcPr>
          <w:p>
            <w:pPr>
              <w:spacing w:line="360" w:lineRule="auto"/>
              <w:jc w:val="center"/>
              <w:rPr>
                <w:b/>
                <w:bCs/>
                <w:sz w:val="24"/>
                <w:vertAlign w:val="baseline"/>
              </w:rPr>
            </w:pPr>
            <w:r>
              <w:rPr>
                <w:rFonts w:hint="eastAsia" w:ascii="宋体" w:hAnsi="宋体" w:cs="宋体"/>
                <w:color w:val="auto"/>
                <w:sz w:val="24"/>
                <w:highlight w:val="none"/>
              </w:rPr>
              <w:t>停车场工作人员</w:t>
            </w:r>
            <w:r>
              <w:rPr>
                <w:rFonts w:hint="eastAsia" w:ascii="宋体" w:hAnsi="宋体" w:cs="宋体"/>
                <w:color w:val="auto"/>
                <w:sz w:val="24"/>
                <w:highlight w:val="none"/>
                <w:lang w:val="en-US" w:eastAsia="zh-CN"/>
              </w:rPr>
              <w:t>驾驶经历</w:t>
            </w:r>
          </w:p>
        </w:tc>
        <w:tc>
          <w:tcPr>
            <w:tcW w:w="795" w:type="dxa"/>
          </w:tcPr>
          <w:p>
            <w:pPr>
              <w:spacing w:line="360" w:lineRule="auto"/>
              <w:jc w:val="center"/>
              <w:rPr>
                <w:rFonts w:hint="eastAsia" w:ascii="宋体" w:hAnsi="宋体" w:cs="宋体"/>
                <w:color w:val="auto"/>
                <w:sz w:val="24"/>
                <w:highlight w:val="none"/>
                <w:lang w:val="en-US" w:eastAsia="zh-CN"/>
              </w:rPr>
            </w:pPr>
          </w:p>
          <w:p>
            <w:pPr>
              <w:spacing w:line="360" w:lineRule="auto"/>
              <w:jc w:val="center"/>
              <w:rPr>
                <w:rFonts w:hint="eastAsia" w:ascii="宋体" w:hAnsi="宋体" w:cs="宋体"/>
                <w:color w:val="auto"/>
                <w:sz w:val="24"/>
                <w:highlight w:val="none"/>
                <w:lang w:val="en-US" w:eastAsia="zh-CN"/>
              </w:rPr>
            </w:pPr>
          </w:p>
          <w:p>
            <w:pPr>
              <w:spacing w:line="360" w:lineRule="auto"/>
              <w:jc w:val="both"/>
              <w:rPr>
                <w:rFonts w:hint="eastAsia" w:eastAsia="宋体"/>
                <w:b/>
                <w:bCs/>
                <w:sz w:val="24"/>
                <w:vertAlign w:val="baseline"/>
                <w:lang w:val="en-US" w:eastAsia="zh-CN"/>
              </w:rPr>
            </w:pPr>
            <w:r>
              <w:rPr>
                <w:rFonts w:hint="eastAsia" w:ascii="宋体" w:hAnsi="宋体" w:cs="宋体"/>
                <w:color w:val="auto"/>
                <w:sz w:val="24"/>
                <w:highlight w:val="none"/>
                <w:lang w:val="en-US" w:eastAsia="zh-CN"/>
              </w:rPr>
              <w:t xml:space="preserve">  6</w:t>
            </w:r>
          </w:p>
        </w:tc>
        <w:tc>
          <w:tcPr>
            <w:tcW w:w="5389"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投标人至少具备</w:t>
            </w: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名C1以上（其中</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名不低于A1）驾驶资格并具有3年以上驾驶经历的专业驾驶人员，且无交通肇事犯罪、危险驾驶犯罪记录，无吸毒记录，无饮酒后驾驶记录，最近连续3个记分周期内没有记满12分记录。每多一名C1以上驾驶资格的工作人员得1分，每多一名不低于A1驾驶资格的工作人员得2分，最高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pPr>
              <w:jc w:val="left"/>
              <w:rPr>
                <w:b/>
                <w:bCs/>
                <w:sz w:val="24"/>
                <w:vertAlign w:val="baseline"/>
              </w:rPr>
            </w:pPr>
            <w:r>
              <w:rPr>
                <w:rFonts w:hint="eastAsia" w:ascii="宋体" w:hAnsi="宋体" w:cs="宋体"/>
                <w:color w:val="auto"/>
                <w:sz w:val="24"/>
                <w:highlight w:val="none"/>
              </w:rPr>
              <w:t>(必须提供劳动合同及驾驶本复印件，未提供以上证明材料，不得分。)</w:t>
            </w:r>
          </w:p>
        </w:tc>
      </w:tr>
    </w:tbl>
    <w:p>
      <w:pPr>
        <w:spacing w:line="360" w:lineRule="auto"/>
        <w:rPr>
          <w:b/>
          <w:bCs/>
          <w:sz w:val="24"/>
        </w:rPr>
      </w:pPr>
    </w:p>
    <w:p>
      <w:pPr>
        <w:spacing w:line="360" w:lineRule="auto"/>
        <w:rPr>
          <w:b/>
          <w:bCs/>
          <w:sz w:val="24"/>
        </w:rPr>
      </w:pPr>
    </w:p>
    <w:p>
      <w:pPr>
        <w:widowControl/>
        <w:jc w:val="left"/>
        <w:rPr>
          <w:b/>
          <w:bCs/>
          <w:sz w:val="24"/>
        </w:rPr>
      </w:pPr>
      <w:r>
        <w:rPr>
          <w:b/>
          <w:bCs/>
          <w:sz w:val="24"/>
        </w:rPr>
        <w:br w:type="page"/>
      </w:r>
    </w:p>
    <w:p>
      <w:pPr>
        <w:spacing w:line="360" w:lineRule="auto"/>
        <w:rPr>
          <w:b/>
          <w:bCs/>
          <w:sz w:val="24"/>
        </w:rPr>
      </w:pPr>
      <w:r>
        <w:rPr>
          <w:rFonts w:hint="eastAsia"/>
          <w:b/>
          <w:bCs/>
          <w:sz w:val="24"/>
        </w:rPr>
        <w:t>2、技术部分（</w:t>
      </w:r>
      <w:r>
        <w:rPr>
          <w:b/>
          <w:bCs/>
          <w:sz w:val="24"/>
        </w:rPr>
        <w:t>6</w:t>
      </w:r>
      <w:r>
        <w:rPr>
          <w:rFonts w:hint="eastAsia"/>
          <w:b/>
          <w:bCs/>
          <w:sz w:val="24"/>
          <w:lang w:val="en-US" w:eastAsia="zh-CN"/>
        </w:rPr>
        <w:t>3</w:t>
      </w:r>
      <w:r>
        <w:rPr>
          <w:rFonts w:hint="eastAsia"/>
          <w:b/>
          <w:bCs/>
          <w:sz w:val="24"/>
        </w:rPr>
        <w:t>分）：</w:t>
      </w:r>
    </w:p>
    <w:tbl>
      <w:tblPr>
        <w:tblStyle w:val="56"/>
        <w:tblW w:w="9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322"/>
        <w:gridCol w:w="6095"/>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jc w:val="center"/>
        </w:trPr>
        <w:tc>
          <w:tcPr>
            <w:tcW w:w="800" w:type="dxa"/>
            <w:vMerge w:val="restart"/>
            <w:vAlign w:val="center"/>
          </w:tcPr>
          <w:p>
            <w:pPr>
              <w:adjustRightInd w:val="0"/>
              <w:snapToGrid w:val="0"/>
              <w:jc w:val="center"/>
              <w:rPr>
                <w:b/>
                <w:sz w:val="24"/>
              </w:rPr>
            </w:pPr>
            <w:r>
              <w:rPr>
                <w:rFonts w:hint="eastAsia"/>
                <w:b/>
                <w:sz w:val="24"/>
              </w:rPr>
              <w:t>序号</w:t>
            </w:r>
          </w:p>
        </w:tc>
        <w:tc>
          <w:tcPr>
            <w:tcW w:w="1322" w:type="dxa"/>
            <w:vMerge w:val="restart"/>
            <w:vAlign w:val="center"/>
          </w:tcPr>
          <w:p>
            <w:pPr>
              <w:adjustRightInd w:val="0"/>
              <w:snapToGrid w:val="0"/>
              <w:jc w:val="center"/>
              <w:rPr>
                <w:b/>
                <w:sz w:val="24"/>
              </w:rPr>
            </w:pPr>
            <w:r>
              <w:rPr>
                <w:rFonts w:hint="eastAsia"/>
                <w:b/>
                <w:sz w:val="24"/>
              </w:rPr>
              <w:t>评分因素</w:t>
            </w:r>
          </w:p>
        </w:tc>
        <w:tc>
          <w:tcPr>
            <w:tcW w:w="6095" w:type="dxa"/>
            <w:vMerge w:val="restart"/>
            <w:vAlign w:val="center"/>
          </w:tcPr>
          <w:p>
            <w:pPr>
              <w:adjustRightInd w:val="0"/>
              <w:snapToGrid w:val="0"/>
              <w:jc w:val="center"/>
              <w:rPr>
                <w:b/>
                <w:sz w:val="24"/>
              </w:rPr>
            </w:pPr>
            <w:r>
              <w:rPr>
                <w:rFonts w:hint="eastAsia"/>
                <w:b/>
                <w:sz w:val="24"/>
              </w:rPr>
              <w:t>评分标准</w:t>
            </w:r>
          </w:p>
        </w:tc>
        <w:tc>
          <w:tcPr>
            <w:tcW w:w="845" w:type="dxa"/>
            <w:vMerge w:val="restart"/>
            <w:vAlign w:val="center"/>
          </w:tcPr>
          <w:p>
            <w:pPr>
              <w:adjustRightInd w:val="0"/>
              <w:snapToGrid w:val="0"/>
              <w:jc w:val="center"/>
              <w:rPr>
                <w:b/>
                <w:sz w:val="24"/>
              </w:rPr>
            </w:pPr>
            <w:r>
              <w:rPr>
                <w:rFonts w:hint="eastAsia"/>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6" w:hRule="atLeast"/>
          <w:jc w:val="center"/>
        </w:trPr>
        <w:tc>
          <w:tcPr>
            <w:tcW w:w="800" w:type="dxa"/>
            <w:vMerge w:val="continue"/>
            <w:vAlign w:val="center"/>
          </w:tcPr>
          <w:p>
            <w:pPr>
              <w:adjustRightInd w:val="0"/>
              <w:snapToGrid w:val="0"/>
              <w:jc w:val="center"/>
              <w:rPr>
                <w:sz w:val="24"/>
              </w:rPr>
            </w:pPr>
          </w:p>
        </w:tc>
        <w:tc>
          <w:tcPr>
            <w:tcW w:w="1322" w:type="dxa"/>
            <w:vMerge w:val="continue"/>
            <w:vAlign w:val="center"/>
          </w:tcPr>
          <w:p>
            <w:pPr>
              <w:adjustRightInd w:val="0"/>
              <w:snapToGrid w:val="0"/>
              <w:jc w:val="center"/>
              <w:rPr>
                <w:sz w:val="24"/>
              </w:rPr>
            </w:pPr>
          </w:p>
        </w:tc>
        <w:tc>
          <w:tcPr>
            <w:tcW w:w="6095" w:type="dxa"/>
            <w:vMerge w:val="continue"/>
            <w:vAlign w:val="center"/>
          </w:tcPr>
          <w:p>
            <w:pPr>
              <w:adjustRightInd w:val="0"/>
              <w:snapToGrid w:val="0"/>
              <w:jc w:val="center"/>
              <w:rPr>
                <w:sz w:val="24"/>
              </w:rPr>
            </w:pPr>
          </w:p>
        </w:tc>
        <w:tc>
          <w:tcPr>
            <w:tcW w:w="845" w:type="dxa"/>
            <w:vMerge w:val="continue"/>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jc w:val="center"/>
        </w:trPr>
        <w:tc>
          <w:tcPr>
            <w:tcW w:w="800" w:type="dxa"/>
            <w:vAlign w:val="center"/>
          </w:tcPr>
          <w:p>
            <w:pPr>
              <w:adjustRightInd w:val="0"/>
              <w:snapToGrid w:val="0"/>
              <w:jc w:val="center"/>
              <w:rPr>
                <w:rFonts w:hint="eastAsia" w:eastAsia="宋体"/>
                <w:sz w:val="24"/>
                <w:lang w:val="en-US" w:eastAsia="zh-CN"/>
              </w:rPr>
            </w:pPr>
            <w:r>
              <w:rPr>
                <w:rFonts w:hint="eastAsia"/>
                <w:sz w:val="24"/>
                <w:lang w:val="en-US" w:eastAsia="zh-CN"/>
              </w:rPr>
              <w:t>1</w:t>
            </w:r>
          </w:p>
        </w:tc>
        <w:tc>
          <w:tcPr>
            <w:tcW w:w="1322" w:type="dxa"/>
            <w:vAlign w:val="center"/>
          </w:tcPr>
          <w:p>
            <w:pPr>
              <w:adjustRightInd w:val="0"/>
              <w:snapToGrid w:val="0"/>
              <w:jc w:val="center"/>
              <w:rPr>
                <w:sz w:val="24"/>
              </w:rPr>
            </w:pPr>
            <w:r>
              <w:rPr>
                <w:rFonts w:hint="eastAsia" w:asciiTheme="minorEastAsia" w:hAnsiTheme="minorEastAsia" w:eastAsiaTheme="minorEastAsia"/>
                <w:szCs w:val="21"/>
              </w:rPr>
              <w:t>停车场地理位置及环境</w:t>
            </w:r>
          </w:p>
        </w:tc>
        <w:tc>
          <w:tcPr>
            <w:tcW w:w="6095" w:type="dxa"/>
            <w:vAlign w:val="center"/>
          </w:tcPr>
          <w:p>
            <w:pPr>
              <w:ind w:firstLine="28"/>
              <w:jc w:val="left"/>
              <w:rPr>
                <w:rFonts w:hint="eastAsia" w:ascii="宋体" w:hAnsi="宋体" w:cs="宋体"/>
                <w:bCs/>
                <w:sz w:val="24"/>
                <w:lang w:val="en-US" w:eastAsia="zh-CN"/>
              </w:rPr>
            </w:pPr>
            <w:r>
              <w:rPr>
                <w:rFonts w:hint="eastAsia" w:ascii="宋体" w:hAnsi="宋体" w:cs="宋体"/>
                <w:bCs/>
                <w:sz w:val="24"/>
                <w:lang w:val="en-US" w:eastAsia="zh-CN"/>
              </w:rPr>
              <w:t>提供停车场（库）的土地使用权或建筑物产权或租赁合同的证明资料（场地须在通州区域内）；</w:t>
            </w:r>
          </w:p>
          <w:p>
            <w:pPr>
              <w:ind w:firstLine="28"/>
              <w:jc w:val="left"/>
              <w:rPr>
                <w:rFonts w:hint="eastAsia" w:ascii="宋体" w:hAnsi="宋体" w:cs="宋体"/>
                <w:bCs/>
                <w:sz w:val="24"/>
                <w:lang w:val="en-US" w:eastAsia="zh-CN"/>
              </w:rPr>
            </w:pPr>
            <w:r>
              <w:rPr>
                <w:rFonts w:hint="eastAsia" w:ascii="宋体" w:hAnsi="宋体" w:cs="宋体"/>
                <w:bCs/>
                <w:sz w:val="24"/>
                <w:lang w:val="en-US" w:eastAsia="zh-CN"/>
              </w:rPr>
              <w:t>地理位置优越，导航便利。与环路或城市主干道相邻，周边道路交通顺畅，大型车辆进出便捷得5分；</w:t>
            </w:r>
          </w:p>
          <w:p>
            <w:pPr>
              <w:ind w:firstLine="28"/>
              <w:jc w:val="left"/>
              <w:rPr>
                <w:rFonts w:hint="eastAsia" w:ascii="宋体" w:hAnsi="宋体" w:cs="宋体"/>
                <w:bCs/>
                <w:sz w:val="24"/>
                <w:lang w:val="en-US" w:eastAsia="zh-CN"/>
              </w:rPr>
            </w:pPr>
            <w:r>
              <w:rPr>
                <w:rFonts w:hint="eastAsia" w:ascii="宋体" w:hAnsi="宋体" w:cs="宋体"/>
                <w:bCs/>
                <w:sz w:val="24"/>
                <w:lang w:val="en-US" w:eastAsia="zh-CN"/>
              </w:rPr>
              <w:t>地理位置好，与环路或城市主干道不相邻但周边道路交通顺畅，交通便利得3分；</w:t>
            </w:r>
          </w:p>
          <w:p>
            <w:pPr>
              <w:ind w:firstLine="28"/>
              <w:jc w:val="left"/>
              <w:rPr>
                <w:rFonts w:ascii="宋体" w:hAnsi="宋体" w:cs="宋体"/>
                <w:bCs/>
                <w:kern w:val="0"/>
                <w:sz w:val="24"/>
                <w:lang w:bidi="ar"/>
              </w:rPr>
            </w:pPr>
            <w:r>
              <w:rPr>
                <w:rFonts w:hint="eastAsia" w:ascii="宋体" w:hAnsi="宋体" w:cs="宋体"/>
                <w:bCs/>
                <w:sz w:val="24"/>
                <w:lang w:val="en-US" w:eastAsia="zh-CN"/>
              </w:rPr>
              <w:t>地理位置偏僻，周边道路狭窄、拥堵，大型车辆进出不便。交通不通畅得1分。</w:t>
            </w:r>
          </w:p>
        </w:tc>
        <w:tc>
          <w:tcPr>
            <w:tcW w:w="845" w:type="dxa"/>
            <w:vAlign w:val="center"/>
          </w:tcPr>
          <w:p>
            <w:pPr>
              <w:adjustRightInd w:val="0"/>
              <w:snapToGrid w:val="0"/>
              <w:jc w:val="center"/>
              <w:rPr>
                <w:rFonts w:hint="eastAsia" w:eastAsia="宋体"/>
                <w:sz w:val="24"/>
                <w:lang w:val="en-US" w:eastAsia="zh-CN"/>
              </w:rPr>
            </w:pPr>
            <w:r>
              <w:rPr>
                <w:rFonts w:hint="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0" w:type="dxa"/>
            <w:vAlign w:val="center"/>
          </w:tcPr>
          <w:p>
            <w:pPr>
              <w:adjustRightInd w:val="0"/>
              <w:snapToGrid w:val="0"/>
              <w:jc w:val="center"/>
              <w:rPr>
                <w:rFonts w:hint="eastAsia"/>
                <w:sz w:val="24"/>
                <w:lang w:val="en-US" w:eastAsia="zh-CN"/>
              </w:rPr>
            </w:pPr>
            <w:r>
              <w:rPr>
                <w:rFonts w:hint="eastAsia"/>
                <w:sz w:val="24"/>
                <w:lang w:val="en-US" w:eastAsia="zh-CN"/>
              </w:rPr>
              <w:t>2</w:t>
            </w:r>
          </w:p>
        </w:tc>
        <w:tc>
          <w:tcPr>
            <w:tcW w:w="1322" w:type="dxa"/>
            <w:vAlign w:val="center"/>
          </w:tcPr>
          <w:p>
            <w:pPr>
              <w:adjustRightInd w:val="0"/>
              <w:snapToGrid w:val="0"/>
              <w:jc w:val="center"/>
              <w:rPr>
                <w:rFonts w:hint="eastAsia"/>
                <w:bCs/>
                <w:color w:val="auto"/>
                <w:sz w:val="24"/>
                <w:highlight w:val="none"/>
                <w:lang w:val="en-US" w:bidi="ar-SA"/>
              </w:rPr>
            </w:pPr>
            <w:r>
              <w:rPr>
                <w:rFonts w:hint="eastAsia" w:asciiTheme="minorEastAsia" w:hAnsiTheme="minorEastAsia" w:eastAsiaTheme="minorEastAsia"/>
                <w:szCs w:val="21"/>
              </w:rPr>
              <w:t>停车场</w:t>
            </w:r>
            <w:r>
              <w:rPr>
                <w:rFonts w:hint="eastAsia" w:asciiTheme="minorEastAsia" w:hAnsiTheme="minorEastAsia" w:eastAsiaTheme="minorEastAsia"/>
                <w:szCs w:val="21"/>
                <w:lang w:val="en-US" w:eastAsia="zh-CN"/>
              </w:rPr>
              <w:t>与通州区交通局</w:t>
            </w:r>
            <w:r>
              <w:rPr>
                <w:rFonts w:hint="eastAsia" w:asciiTheme="minorEastAsia" w:hAnsiTheme="minorEastAsia" w:eastAsiaTheme="minorEastAsia"/>
                <w:szCs w:val="21"/>
              </w:rPr>
              <w:t>距离</w:t>
            </w:r>
          </w:p>
        </w:tc>
        <w:tc>
          <w:tcPr>
            <w:tcW w:w="6095" w:type="dxa"/>
            <w:vAlign w:val="center"/>
          </w:tcPr>
          <w:p>
            <w:pPr>
              <w:ind w:firstLine="28"/>
              <w:jc w:val="left"/>
              <w:rPr>
                <w:rFonts w:hint="eastAsia" w:ascii="宋体" w:hAnsi="宋体" w:cs="宋体"/>
                <w:bCs/>
                <w:sz w:val="24"/>
                <w:lang w:val="en-US" w:eastAsia="zh-CN"/>
              </w:rPr>
            </w:pPr>
            <w:r>
              <w:rPr>
                <w:rFonts w:hint="eastAsia" w:ascii="宋体" w:hAnsi="宋体" w:cs="宋体"/>
                <w:bCs/>
                <w:sz w:val="24"/>
                <w:lang w:val="en-US" w:eastAsia="zh-CN"/>
              </w:rPr>
              <w:t>停车场与通州区交通局距离4公里（含）以内得5分，5-9公里（含）得4分，10-13公里（含）得3分，14-16公里得1分，大于16公里不得分。</w:t>
            </w:r>
          </w:p>
          <w:p>
            <w:pPr>
              <w:ind w:firstLine="28"/>
              <w:jc w:val="left"/>
              <w:rPr>
                <w:rFonts w:hint="eastAsia" w:ascii="宋体" w:hAnsi="宋体" w:cs="宋体"/>
                <w:color w:val="auto"/>
                <w:sz w:val="24"/>
                <w:highlight w:val="none"/>
              </w:rPr>
            </w:pPr>
            <w:r>
              <w:rPr>
                <w:rFonts w:hint="eastAsia" w:ascii="宋体" w:hAnsi="宋体" w:cs="宋体"/>
                <w:bCs/>
                <w:sz w:val="24"/>
                <w:lang w:val="en-US" w:eastAsia="zh-CN"/>
              </w:rPr>
              <w:t>提供主流地图软件驾车导航截图(截图示例见第五章 第二部分 技术规格及要求中注释：地图驾车导航截图示例)</w:t>
            </w:r>
          </w:p>
        </w:tc>
        <w:tc>
          <w:tcPr>
            <w:tcW w:w="845" w:type="dxa"/>
            <w:vAlign w:val="center"/>
          </w:tcPr>
          <w:p>
            <w:pPr>
              <w:adjustRightInd w:val="0"/>
              <w:snapToGrid w:val="0"/>
              <w:jc w:val="center"/>
              <w:rPr>
                <w:rFonts w:hint="eastAsia"/>
                <w:sz w:val="24"/>
                <w:lang w:val="en-US" w:eastAsia="zh-CN"/>
              </w:rPr>
            </w:pPr>
            <w:r>
              <w:rPr>
                <w:rFonts w:hint="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0" w:type="dxa"/>
            <w:vAlign w:val="center"/>
          </w:tcPr>
          <w:p>
            <w:pPr>
              <w:adjustRightInd w:val="0"/>
              <w:snapToGrid w:val="0"/>
              <w:jc w:val="center"/>
              <w:rPr>
                <w:rFonts w:hint="eastAsia" w:eastAsia="宋体"/>
                <w:sz w:val="24"/>
                <w:lang w:val="en-US" w:eastAsia="zh-CN"/>
              </w:rPr>
            </w:pPr>
            <w:r>
              <w:rPr>
                <w:rFonts w:hint="eastAsia"/>
                <w:sz w:val="24"/>
                <w:lang w:val="en-US" w:eastAsia="zh-CN"/>
              </w:rPr>
              <w:t>3</w:t>
            </w:r>
          </w:p>
        </w:tc>
        <w:tc>
          <w:tcPr>
            <w:tcW w:w="1322" w:type="dxa"/>
            <w:vAlign w:val="center"/>
          </w:tcPr>
          <w:p>
            <w:pPr>
              <w:adjustRightInd w:val="0"/>
              <w:snapToGrid w:val="0"/>
              <w:jc w:val="center"/>
              <w:rPr>
                <w:bCs/>
                <w:sz w:val="24"/>
              </w:rPr>
            </w:pPr>
            <w:r>
              <w:rPr>
                <w:rFonts w:hint="eastAsia"/>
                <w:bCs/>
                <w:color w:val="auto"/>
                <w:sz w:val="24"/>
                <w:highlight w:val="none"/>
                <w:lang w:val="en-US" w:bidi="ar-SA"/>
              </w:rPr>
              <w:t>停车场场地情况评价</w:t>
            </w:r>
          </w:p>
        </w:tc>
        <w:tc>
          <w:tcPr>
            <w:tcW w:w="6095" w:type="dxa"/>
            <w:vAlign w:val="center"/>
          </w:tcPr>
          <w:p>
            <w:pPr>
              <w:widowControl/>
              <w:snapToGrid w:val="0"/>
              <w:rPr>
                <w:rFonts w:ascii="宋体" w:hAnsi="宋体" w:cs="宋体"/>
                <w:color w:val="auto"/>
                <w:sz w:val="24"/>
                <w:highlight w:val="none"/>
              </w:rPr>
            </w:pPr>
            <w:r>
              <w:rPr>
                <w:rFonts w:hint="eastAsia" w:ascii="宋体" w:hAnsi="宋体" w:cs="宋体"/>
                <w:color w:val="auto"/>
                <w:sz w:val="24"/>
                <w:highlight w:val="none"/>
              </w:rPr>
              <w:t>根据投标人提供的停车场场地情况，对地面硬化情况、围栏、标线等情况进行评价（需提供现场实际图片或其他证明材料并加盖单位公章）：</w:t>
            </w:r>
          </w:p>
          <w:p>
            <w:pPr>
              <w:widowControl/>
              <w:snapToGrid w:val="0"/>
              <w:rPr>
                <w:rFonts w:ascii="宋体" w:hAnsi="宋体" w:cs="宋体"/>
                <w:color w:val="auto"/>
                <w:sz w:val="24"/>
                <w:highlight w:val="none"/>
              </w:rPr>
            </w:pPr>
            <w:r>
              <w:rPr>
                <w:rFonts w:hint="eastAsia" w:ascii="宋体" w:hAnsi="宋体" w:cs="宋体"/>
                <w:color w:val="auto"/>
                <w:sz w:val="24"/>
                <w:highlight w:val="none"/>
              </w:rPr>
              <w:t>停车场场地地面全部硬化平整、围栏标线规范清晰，得</w:t>
            </w:r>
            <w:r>
              <w:rPr>
                <w:rFonts w:hint="eastAsia" w:ascii="宋体" w:hAnsi="宋体" w:cs="宋体"/>
                <w:color w:val="auto"/>
                <w:kern w:val="0"/>
                <w:sz w:val="24"/>
                <w:highlight w:val="none"/>
                <w:lang w:val="en-US" w:eastAsia="zh-CN"/>
              </w:rPr>
              <w:t>10</w:t>
            </w:r>
            <w:r>
              <w:rPr>
                <w:rFonts w:hint="eastAsia" w:ascii="宋体" w:hAnsi="宋体" w:cs="宋体"/>
                <w:color w:val="auto"/>
                <w:sz w:val="24"/>
                <w:highlight w:val="none"/>
              </w:rPr>
              <w:t>分；</w:t>
            </w:r>
          </w:p>
          <w:p>
            <w:pPr>
              <w:widowControl/>
              <w:snapToGrid w:val="0"/>
              <w:rPr>
                <w:rFonts w:ascii="宋体" w:hAnsi="宋体" w:cs="宋体"/>
                <w:color w:val="auto"/>
                <w:sz w:val="24"/>
                <w:highlight w:val="none"/>
              </w:rPr>
            </w:pPr>
            <w:r>
              <w:rPr>
                <w:rFonts w:hint="eastAsia" w:ascii="宋体" w:hAnsi="宋体" w:cs="宋体"/>
                <w:color w:val="auto"/>
                <w:sz w:val="24"/>
                <w:highlight w:val="none"/>
              </w:rPr>
              <w:t>停车场场地地面部分硬化平整、围栏标线</w:t>
            </w:r>
            <w:r>
              <w:rPr>
                <w:rFonts w:hint="eastAsia" w:ascii="宋体" w:hAnsi="宋体" w:cs="宋体"/>
                <w:color w:val="auto"/>
                <w:sz w:val="24"/>
                <w:highlight w:val="none"/>
                <w:lang w:val="en-US" w:eastAsia="zh-CN"/>
              </w:rPr>
              <w:t>规范但模糊不清</w:t>
            </w:r>
            <w:r>
              <w:rPr>
                <w:rFonts w:hint="eastAsia" w:ascii="宋体" w:hAnsi="宋体" w:cs="宋体"/>
                <w:color w:val="auto"/>
                <w:sz w:val="24"/>
                <w:highlight w:val="none"/>
              </w:rPr>
              <w:t>，得</w:t>
            </w:r>
            <w:r>
              <w:rPr>
                <w:rFonts w:hint="eastAsia" w:ascii="宋体" w:hAnsi="宋体" w:cs="宋体"/>
                <w:color w:val="auto"/>
                <w:kern w:val="0"/>
                <w:sz w:val="24"/>
                <w:highlight w:val="none"/>
                <w:lang w:val="en-US" w:eastAsia="zh-CN"/>
              </w:rPr>
              <w:t>6</w:t>
            </w:r>
            <w:r>
              <w:rPr>
                <w:rFonts w:hint="eastAsia" w:ascii="宋体" w:hAnsi="宋体" w:cs="宋体"/>
                <w:color w:val="auto"/>
                <w:sz w:val="24"/>
                <w:highlight w:val="none"/>
              </w:rPr>
              <w:t>分；</w:t>
            </w:r>
          </w:p>
          <w:p>
            <w:pPr>
              <w:widowControl/>
              <w:snapToGrid w:val="0"/>
              <w:rPr>
                <w:rFonts w:ascii="宋体" w:hAnsi="宋体" w:cs="宋体"/>
                <w:color w:val="auto"/>
                <w:sz w:val="24"/>
                <w:highlight w:val="none"/>
              </w:rPr>
            </w:pPr>
            <w:r>
              <w:rPr>
                <w:rFonts w:hint="eastAsia" w:ascii="宋体" w:hAnsi="宋体" w:cs="宋体"/>
                <w:color w:val="auto"/>
                <w:sz w:val="24"/>
                <w:highlight w:val="none"/>
              </w:rPr>
              <w:t>停车场场地地面未硬化、围栏标线不清晰，得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pPr>
              <w:pStyle w:val="263"/>
              <w:widowControl/>
              <w:numPr>
                <w:ilvl w:val="0"/>
                <w:numId w:val="0"/>
              </w:numPr>
              <w:tabs>
                <w:tab w:val="clear" w:pos="360"/>
                <w:tab w:val="clear" w:pos="768"/>
                <w:tab w:val="clear" w:pos="900"/>
                <w:tab w:val="clear" w:pos="4941"/>
              </w:tabs>
              <w:adjustRightInd w:val="0"/>
              <w:snapToGrid w:val="0"/>
              <w:ind w:leftChars="0"/>
              <w:rPr>
                <w:rFonts w:ascii="宋体" w:hAnsi="宋体" w:cs="宋体"/>
                <w:bCs/>
                <w:kern w:val="0"/>
                <w:sz w:val="24"/>
                <w:lang w:bidi="ar"/>
              </w:rPr>
            </w:pPr>
            <w:r>
              <w:rPr>
                <w:rFonts w:hint="eastAsia" w:ascii="宋体" w:hAnsi="宋体" w:cs="宋体"/>
                <w:color w:val="auto"/>
                <w:sz w:val="24"/>
                <w:highlight w:val="none"/>
              </w:rPr>
              <w:t>不提供，不得分。</w:t>
            </w:r>
          </w:p>
        </w:tc>
        <w:tc>
          <w:tcPr>
            <w:tcW w:w="845" w:type="dxa"/>
            <w:vAlign w:val="center"/>
          </w:tcPr>
          <w:p>
            <w:pPr>
              <w:adjustRightInd w:val="0"/>
              <w:snapToGrid w:val="0"/>
              <w:jc w:val="center"/>
              <w:rPr>
                <w:rFonts w:hint="eastAsia" w:eastAsia="宋体"/>
                <w:sz w:val="24"/>
                <w:lang w:val="en-US" w:eastAsia="zh-CN"/>
              </w:rPr>
            </w:pPr>
            <w:r>
              <w:rPr>
                <w:rFonts w:hint="eastAsia"/>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0"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4</w:t>
            </w:r>
          </w:p>
        </w:tc>
        <w:tc>
          <w:tcPr>
            <w:tcW w:w="1322" w:type="dxa"/>
            <w:vAlign w:val="center"/>
          </w:tcPr>
          <w:p>
            <w:pPr>
              <w:adjustRightInd w:val="0"/>
              <w:snapToGrid w:val="0"/>
              <w:jc w:val="center"/>
              <w:rPr>
                <w:rFonts w:ascii="宋体" w:hAnsi="宋体" w:cs="宋体"/>
                <w:sz w:val="24"/>
              </w:rPr>
            </w:pPr>
            <w:r>
              <w:rPr>
                <w:rFonts w:hint="eastAsia"/>
                <w:bCs/>
                <w:color w:val="auto"/>
                <w:sz w:val="24"/>
                <w:highlight w:val="none"/>
                <w:lang w:val="en-US" w:bidi="ar-SA"/>
              </w:rPr>
              <w:t>组织实施方案</w:t>
            </w:r>
          </w:p>
        </w:tc>
        <w:tc>
          <w:tcPr>
            <w:tcW w:w="6095" w:type="dxa"/>
            <w:vAlign w:val="center"/>
          </w:tcPr>
          <w:p>
            <w:pPr>
              <w:widowControl/>
              <w:snapToGrid w:val="0"/>
              <w:rPr>
                <w:rFonts w:ascii="宋体" w:hAnsi="宋体" w:cs="宋体"/>
                <w:color w:val="auto"/>
                <w:sz w:val="24"/>
                <w:highlight w:val="none"/>
              </w:rPr>
            </w:pPr>
            <w:r>
              <w:rPr>
                <w:rFonts w:hint="eastAsia" w:ascii="宋体" w:hAnsi="宋体" w:cs="宋体"/>
                <w:color w:val="auto"/>
                <w:sz w:val="24"/>
                <w:highlight w:val="none"/>
              </w:rPr>
              <w:t>管理流程设计</w:t>
            </w:r>
            <w:r>
              <w:rPr>
                <w:rFonts w:hint="eastAsia" w:ascii="宋体" w:hAnsi="宋体" w:cs="宋体"/>
                <w:color w:val="auto"/>
                <w:sz w:val="24"/>
                <w:highlight w:val="none"/>
                <w:lang w:val="en-US" w:eastAsia="zh-CN"/>
              </w:rPr>
              <w:t>思路完整</w:t>
            </w:r>
            <w:r>
              <w:rPr>
                <w:rFonts w:hint="eastAsia" w:ascii="宋体" w:hAnsi="宋体" w:cs="宋体"/>
                <w:color w:val="auto"/>
                <w:sz w:val="24"/>
                <w:highlight w:val="none"/>
              </w:rPr>
              <w:t>，组织实施方案</w:t>
            </w:r>
            <w:r>
              <w:rPr>
                <w:rFonts w:hint="eastAsia" w:ascii="宋体" w:hAnsi="宋体" w:cs="宋体"/>
                <w:color w:val="auto"/>
                <w:sz w:val="24"/>
                <w:highlight w:val="none"/>
                <w:lang w:val="en-US" w:eastAsia="zh-CN"/>
              </w:rPr>
              <w:t>完善且描述清晰</w:t>
            </w:r>
            <w:r>
              <w:rPr>
                <w:rFonts w:hint="eastAsia" w:ascii="宋体" w:hAnsi="宋体" w:cs="宋体"/>
                <w:color w:val="auto"/>
                <w:sz w:val="24"/>
                <w:highlight w:val="none"/>
              </w:rPr>
              <w:t>，满足实际情况和需求，得</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p>
          <w:p>
            <w:pPr>
              <w:widowControl/>
              <w:snapToGrid w:val="0"/>
              <w:rPr>
                <w:rFonts w:ascii="宋体" w:hAnsi="宋体" w:cs="宋体"/>
                <w:color w:val="auto"/>
                <w:sz w:val="24"/>
                <w:highlight w:val="none"/>
              </w:rPr>
            </w:pPr>
            <w:r>
              <w:rPr>
                <w:rFonts w:hint="eastAsia" w:ascii="宋体" w:hAnsi="宋体" w:cs="宋体"/>
                <w:color w:val="auto"/>
                <w:sz w:val="24"/>
                <w:highlight w:val="none"/>
              </w:rPr>
              <w:t>管理流程设计</w:t>
            </w:r>
            <w:r>
              <w:rPr>
                <w:rFonts w:hint="eastAsia" w:ascii="宋体" w:hAnsi="宋体" w:cs="宋体"/>
                <w:color w:val="auto"/>
                <w:sz w:val="24"/>
                <w:highlight w:val="none"/>
                <w:lang w:val="en-US" w:eastAsia="zh-CN"/>
              </w:rPr>
              <w:t>思路完整</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组织实施方案</w:t>
            </w:r>
            <w:r>
              <w:rPr>
                <w:rFonts w:hint="eastAsia" w:ascii="宋体" w:hAnsi="宋体" w:cs="宋体"/>
                <w:color w:val="auto"/>
                <w:sz w:val="24"/>
                <w:highlight w:val="none"/>
                <w:lang w:val="en-US" w:eastAsia="zh-CN"/>
              </w:rPr>
              <w:t>大纲</w:t>
            </w:r>
            <w:r>
              <w:rPr>
                <w:rFonts w:hint="eastAsia" w:ascii="宋体" w:hAnsi="宋体" w:cs="宋体"/>
                <w:color w:val="auto"/>
                <w:sz w:val="24"/>
                <w:highlight w:val="none"/>
              </w:rPr>
              <w:t>，满足实际情况和需求，得</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分；</w:t>
            </w:r>
          </w:p>
          <w:p>
            <w:pPr>
              <w:widowControl/>
              <w:snapToGrid w:val="0"/>
              <w:rPr>
                <w:rFonts w:ascii="宋体" w:hAnsi="宋体" w:cs="宋体"/>
                <w:color w:val="auto"/>
                <w:sz w:val="24"/>
                <w:highlight w:val="none"/>
              </w:rPr>
            </w:pPr>
            <w:r>
              <w:rPr>
                <w:rFonts w:hint="eastAsia" w:ascii="宋体" w:hAnsi="宋体" w:cs="宋体"/>
                <w:color w:val="auto"/>
                <w:sz w:val="24"/>
                <w:highlight w:val="none"/>
              </w:rPr>
              <w:t>管理流程设计</w:t>
            </w:r>
            <w:r>
              <w:rPr>
                <w:rFonts w:hint="eastAsia" w:ascii="宋体" w:hAnsi="宋体" w:cs="宋体"/>
                <w:color w:val="auto"/>
                <w:sz w:val="24"/>
                <w:highlight w:val="none"/>
                <w:lang w:val="en-US" w:eastAsia="zh-CN"/>
              </w:rPr>
              <w:t>思路不完整</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组织实施方案</w:t>
            </w:r>
            <w:r>
              <w:rPr>
                <w:rFonts w:hint="eastAsia" w:ascii="宋体" w:hAnsi="宋体" w:cs="宋体"/>
                <w:color w:val="auto"/>
                <w:sz w:val="24"/>
                <w:highlight w:val="none"/>
                <w:lang w:val="en-US" w:eastAsia="zh-CN"/>
              </w:rPr>
              <w:t>描述</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但不</w:t>
            </w:r>
            <w:r>
              <w:rPr>
                <w:rFonts w:hint="eastAsia" w:ascii="宋体" w:hAnsi="宋体" w:cs="宋体"/>
                <w:color w:val="auto"/>
                <w:sz w:val="24"/>
                <w:highlight w:val="none"/>
              </w:rPr>
              <w:t>满足实际情况和需求，得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pPr>
              <w:widowControl/>
              <w:snapToGrid w:val="0"/>
              <w:rPr>
                <w:rFonts w:ascii="宋体" w:hAnsi="宋体" w:cs="宋体"/>
                <w:color w:val="auto"/>
                <w:sz w:val="24"/>
                <w:highlight w:val="none"/>
              </w:rPr>
            </w:pPr>
            <w:r>
              <w:rPr>
                <w:rFonts w:hint="eastAsia" w:ascii="宋体" w:hAnsi="宋体" w:cs="宋体"/>
                <w:color w:val="auto"/>
                <w:sz w:val="24"/>
                <w:highlight w:val="none"/>
                <w:lang w:val="en-US" w:eastAsia="zh-CN"/>
              </w:rPr>
              <w:t>针对</w:t>
            </w:r>
            <w:r>
              <w:rPr>
                <w:rFonts w:hint="eastAsia" w:ascii="宋体" w:hAnsi="宋体" w:cs="宋体"/>
                <w:color w:val="auto"/>
                <w:sz w:val="24"/>
                <w:highlight w:val="none"/>
              </w:rPr>
              <w:t>管理流程设计</w:t>
            </w:r>
            <w:r>
              <w:rPr>
                <w:rFonts w:hint="eastAsia" w:ascii="宋体" w:hAnsi="宋体" w:cs="宋体"/>
                <w:color w:val="auto"/>
                <w:sz w:val="24"/>
                <w:highlight w:val="none"/>
                <w:lang w:val="en-US" w:eastAsia="zh-CN"/>
              </w:rPr>
              <w:t>及</w:t>
            </w:r>
            <w:r>
              <w:rPr>
                <w:rFonts w:hint="eastAsia" w:ascii="宋体" w:hAnsi="宋体" w:cs="宋体"/>
                <w:color w:val="auto"/>
                <w:sz w:val="24"/>
                <w:highlight w:val="none"/>
              </w:rPr>
              <w:t>组织实施方案</w:t>
            </w:r>
            <w:r>
              <w:rPr>
                <w:rFonts w:hint="eastAsia" w:ascii="宋体" w:hAnsi="宋体" w:cs="宋体"/>
                <w:color w:val="auto"/>
                <w:sz w:val="24"/>
                <w:highlight w:val="none"/>
                <w:lang w:val="en-US" w:eastAsia="zh-CN"/>
              </w:rPr>
              <w:t>仅提供简短描述</w:t>
            </w:r>
            <w:r>
              <w:rPr>
                <w:rFonts w:hint="eastAsia" w:ascii="宋体" w:hAnsi="宋体" w:cs="宋体"/>
                <w:color w:val="auto"/>
                <w:sz w:val="24"/>
                <w:highlight w:val="none"/>
              </w:rPr>
              <w:t>得1分；</w:t>
            </w:r>
          </w:p>
          <w:p>
            <w:pPr>
              <w:pStyle w:val="263"/>
              <w:widowControl/>
              <w:numPr>
                <w:ilvl w:val="0"/>
                <w:numId w:val="0"/>
              </w:numPr>
              <w:tabs>
                <w:tab w:val="clear" w:pos="360"/>
                <w:tab w:val="clear" w:pos="768"/>
                <w:tab w:val="clear" w:pos="900"/>
                <w:tab w:val="clear" w:pos="4941"/>
              </w:tabs>
              <w:adjustRightInd w:val="0"/>
              <w:snapToGrid w:val="0"/>
              <w:ind w:leftChars="0"/>
              <w:rPr>
                <w:rFonts w:ascii="宋体" w:hAnsi="宋体" w:cs="宋体"/>
                <w:bCs/>
                <w:kern w:val="0"/>
                <w:sz w:val="24"/>
                <w:lang w:bidi="ar"/>
              </w:rPr>
            </w:pPr>
            <w:r>
              <w:rPr>
                <w:rFonts w:hint="eastAsia" w:ascii="宋体" w:hAnsi="宋体" w:cs="宋体"/>
                <w:color w:val="auto"/>
                <w:sz w:val="24"/>
                <w:highlight w:val="none"/>
              </w:rPr>
              <w:t>不提供，不得分。</w:t>
            </w:r>
          </w:p>
        </w:tc>
        <w:tc>
          <w:tcPr>
            <w:tcW w:w="845"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0"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5</w:t>
            </w:r>
          </w:p>
        </w:tc>
        <w:tc>
          <w:tcPr>
            <w:tcW w:w="1322" w:type="dxa"/>
            <w:vAlign w:val="center"/>
          </w:tcPr>
          <w:p>
            <w:pPr>
              <w:adjustRightInd w:val="0"/>
              <w:snapToGrid w:val="0"/>
              <w:jc w:val="center"/>
              <w:rPr>
                <w:rFonts w:ascii="宋体" w:hAnsi="宋体" w:cs="宋体"/>
                <w:sz w:val="24"/>
              </w:rPr>
            </w:pPr>
            <w:r>
              <w:rPr>
                <w:rFonts w:hint="eastAsia"/>
                <w:bCs/>
                <w:color w:val="auto"/>
                <w:sz w:val="24"/>
                <w:highlight w:val="none"/>
                <w:lang w:val="en-US" w:bidi="ar-SA"/>
              </w:rPr>
              <w:t>停车场消防设施情况</w:t>
            </w:r>
          </w:p>
        </w:tc>
        <w:tc>
          <w:tcPr>
            <w:tcW w:w="6095" w:type="dxa"/>
            <w:vAlign w:val="center"/>
          </w:tcPr>
          <w:p>
            <w:pPr>
              <w:jc w:val="left"/>
              <w:rPr>
                <w:rFonts w:hint="eastAsia" w:ascii="宋体" w:hAnsi="宋体" w:cs="宋体"/>
                <w:sz w:val="24"/>
              </w:rPr>
            </w:pPr>
            <w:r>
              <w:rPr>
                <w:rFonts w:hint="eastAsia" w:ascii="宋体" w:hAnsi="宋体" w:cs="宋体"/>
                <w:sz w:val="24"/>
              </w:rPr>
              <w:t>根据投标人提供的停车场的消防设施情况进行综合评价（需提供相关证明材料，包括但不限于数量说明、图片展示及设备器材清单并加盖单位公章）：</w:t>
            </w:r>
          </w:p>
          <w:p>
            <w:pPr>
              <w:jc w:val="left"/>
              <w:rPr>
                <w:rFonts w:hint="eastAsia" w:ascii="宋体" w:hAnsi="宋体" w:cs="宋体"/>
                <w:sz w:val="24"/>
              </w:rPr>
            </w:pPr>
            <w:r>
              <w:rPr>
                <w:rFonts w:hint="eastAsia" w:ascii="宋体" w:hAnsi="宋体" w:cs="宋体"/>
                <w:sz w:val="24"/>
              </w:rPr>
              <w:t>停车场消防设施齐全，得</w:t>
            </w:r>
            <w:r>
              <w:rPr>
                <w:rFonts w:hint="eastAsia" w:ascii="宋体" w:hAnsi="宋体" w:cs="宋体"/>
                <w:sz w:val="24"/>
                <w:lang w:val="en-US" w:eastAsia="zh-CN"/>
              </w:rPr>
              <w:t>5</w:t>
            </w:r>
            <w:r>
              <w:rPr>
                <w:rFonts w:hint="eastAsia" w:ascii="宋体" w:hAnsi="宋体" w:cs="宋体"/>
                <w:sz w:val="24"/>
              </w:rPr>
              <w:t>分；</w:t>
            </w:r>
          </w:p>
          <w:p>
            <w:pPr>
              <w:jc w:val="left"/>
              <w:rPr>
                <w:rFonts w:hint="eastAsia" w:ascii="宋体" w:hAnsi="宋体" w:cs="宋体"/>
                <w:sz w:val="24"/>
              </w:rPr>
            </w:pPr>
            <w:r>
              <w:rPr>
                <w:rFonts w:hint="eastAsia" w:ascii="宋体" w:hAnsi="宋体" w:cs="宋体"/>
                <w:sz w:val="24"/>
              </w:rPr>
              <w:t>停车场消防设施</w:t>
            </w:r>
            <w:r>
              <w:rPr>
                <w:rFonts w:hint="eastAsia" w:ascii="宋体" w:hAnsi="宋体" w:cs="宋体"/>
                <w:sz w:val="24"/>
                <w:lang w:val="en-US" w:eastAsia="zh-CN"/>
              </w:rPr>
              <w:t>有欠缺</w:t>
            </w:r>
            <w:r>
              <w:rPr>
                <w:rFonts w:hint="eastAsia" w:ascii="宋体" w:hAnsi="宋体" w:cs="宋体"/>
                <w:sz w:val="24"/>
              </w:rPr>
              <w:t>，得</w:t>
            </w:r>
            <w:r>
              <w:rPr>
                <w:rFonts w:hint="eastAsia" w:ascii="宋体" w:hAnsi="宋体" w:cs="宋体"/>
                <w:sz w:val="24"/>
                <w:lang w:val="en-US" w:eastAsia="zh-CN"/>
              </w:rPr>
              <w:t>3</w:t>
            </w:r>
            <w:r>
              <w:rPr>
                <w:rFonts w:hint="eastAsia" w:ascii="宋体" w:hAnsi="宋体" w:cs="宋体"/>
                <w:sz w:val="24"/>
              </w:rPr>
              <w:t>分；</w:t>
            </w:r>
          </w:p>
          <w:p>
            <w:pPr>
              <w:jc w:val="left"/>
              <w:rPr>
                <w:rFonts w:hint="eastAsia" w:ascii="宋体" w:hAnsi="宋体" w:cs="宋体"/>
                <w:sz w:val="24"/>
              </w:rPr>
            </w:pPr>
            <w:r>
              <w:rPr>
                <w:rFonts w:hint="eastAsia" w:ascii="宋体" w:hAnsi="宋体" w:cs="宋体"/>
                <w:sz w:val="24"/>
              </w:rPr>
              <w:t>停车场消防设施</w:t>
            </w:r>
            <w:r>
              <w:rPr>
                <w:rFonts w:hint="eastAsia" w:ascii="宋体" w:hAnsi="宋体" w:cs="宋体"/>
                <w:sz w:val="24"/>
                <w:lang w:val="en-US" w:eastAsia="zh-CN"/>
              </w:rPr>
              <w:t>仅提供简单说明</w:t>
            </w:r>
            <w:r>
              <w:rPr>
                <w:rFonts w:hint="eastAsia" w:ascii="宋体" w:hAnsi="宋体" w:cs="宋体"/>
                <w:sz w:val="24"/>
              </w:rPr>
              <w:t>，得1分；</w:t>
            </w:r>
          </w:p>
          <w:p>
            <w:pPr>
              <w:pStyle w:val="263"/>
              <w:widowControl/>
              <w:numPr>
                <w:ilvl w:val="0"/>
                <w:numId w:val="0"/>
              </w:numPr>
              <w:tabs>
                <w:tab w:val="clear" w:pos="360"/>
                <w:tab w:val="clear" w:pos="768"/>
                <w:tab w:val="clear" w:pos="900"/>
                <w:tab w:val="clear" w:pos="4941"/>
              </w:tabs>
              <w:adjustRightInd w:val="0"/>
              <w:snapToGrid w:val="0"/>
              <w:ind w:leftChars="0"/>
              <w:rPr>
                <w:rFonts w:ascii="宋体" w:hAnsi="宋体" w:cs="宋体"/>
                <w:bCs/>
                <w:kern w:val="0"/>
                <w:sz w:val="24"/>
                <w:lang w:bidi="ar"/>
              </w:rPr>
            </w:pPr>
            <w:r>
              <w:rPr>
                <w:rFonts w:hint="eastAsia" w:ascii="宋体" w:hAnsi="宋体" w:cs="宋体"/>
                <w:sz w:val="24"/>
              </w:rPr>
              <w:t>不提供，不得分。</w:t>
            </w:r>
          </w:p>
        </w:tc>
        <w:tc>
          <w:tcPr>
            <w:tcW w:w="845"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0"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6</w:t>
            </w:r>
          </w:p>
        </w:tc>
        <w:tc>
          <w:tcPr>
            <w:tcW w:w="1322" w:type="dxa"/>
            <w:vAlign w:val="center"/>
          </w:tcPr>
          <w:p>
            <w:pPr>
              <w:ind w:firstLine="28" w:firstLineChars="0"/>
              <w:jc w:val="center"/>
              <w:rPr>
                <w:rFonts w:ascii="宋体" w:hAnsi="宋体" w:cs="宋体"/>
                <w:sz w:val="24"/>
              </w:rPr>
            </w:pPr>
            <w:r>
              <w:rPr>
                <w:rFonts w:hint="eastAsia"/>
                <w:bCs/>
                <w:color w:val="auto"/>
                <w:sz w:val="24"/>
                <w:highlight w:val="none"/>
                <w:lang w:val="en-US" w:bidi="ar-SA"/>
              </w:rPr>
              <w:t>停车场监控设备情况</w:t>
            </w:r>
          </w:p>
        </w:tc>
        <w:tc>
          <w:tcPr>
            <w:tcW w:w="6095" w:type="dxa"/>
            <w:vAlign w:val="center"/>
          </w:tcPr>
          <w:p>
            <w:pPr>
              <w:jc w:val="left"/>
              <w:rPr>
                <w:rFonts w:hint="eastAsia" w:ascii="宋体" w:hAnsi="宋体" w:cs="宋体"/>
                <w:sz w:val="24"/>
              </w:rPr>
            </w:pPr>
            <w:r>
              <w:rPr>
                <w:rFonts w:hint="eastAsia" w:ascii="宋体" w:hAnsi="宋体" w:cs="宋体"/>
                <w:sz w:val="24"/>
              </w:rPr>
              <w:t>根据投标人提供的停车场的监控设备情况进行综合评价（需提供相关证明材料，包括但不限于说明书、设计图或实景照片展示及设备清单并加盖单位公章）：</w:t>
            </w:r>
          </w:p>
          <w:p>
            <w:pPr>
              <w:jc w:val="left"/>
              <w:rPr>
                <w:rFonts w:hint="eastAsia" w:ascii="宋体" w:hAnsi="宋体" w:cs="宋体"/>
                <w:sz w:val="24"/>
              </w:rPr>
            </w:pPr>
            <w:r>
              <w:rPr>
                <w:rFonts w:hint="eastAsia" w:ascii="宋体" w:hAnsi="宋体" w:cs="宋体"/>
                <w:sz w:val="24"/>
              </w:rPr>
              <w:t>停车场监控设备覆盖全且满足存储时间15天以上，得</w:t>
            </w:r>
            <w:r>
              <w:rPr>
                <w:rFonts w:hint="eastAsia" w:ascii="宋体" w:hAnsi="宋体" w:cs="宋体"/>
                <w:sz w:val="24"/>
                <w:lang w:val="en-US" w:eastAsia="zh-CN"/>
              </w:rPr>
              <w:t>5</w:t>
            </w:r>
            <w:r>
              <w:rPr>
                <w:rFonts w:hint="eastAsia" w:ascii="宋体" w:hAnsi="宋体" w:cs="宋体"/>
                <w:sz w:val="24"/>
              </w:rPr>
              <w:t>分；</w:t>
            </w:r>
          </w:p>
          <w:p>
            <w:pPr>
              <w:jc w:val="left"/>
              <w:rPr>
                <w:rFonts w:hint="eastAsia" w:ascii="宋体" w:hAnsi="宋体" w:cs="宋体"/>
                <w:sz w:val="24"/>
              </w:rPr>
            </w:pPr>
            <w:r>
              <w:rPr>
                <w:rFonts w:hint="eastAsia" w:ascii="宋体" w:hAnsi="宋体" w:cs="宋体"/>
                <w:sz w:val="24"/>
              </w:rPr>
              <w:t>停车场监控设备覆盖</w:t>
            </w:r>
            <w:r>
              <w:rPr>
                <w:rFonts w:hint="eastAsia" w:ascii="宋体" w:hAnsi="宋体" w:cs="宋体"/>
                <w:sz w:val="24"/>
                <w:lang w:val="en-US" w:eastAsia="zh-CN"/>
              </w:rPr>
              <w:t>有欠缺但</w:t>
            </w:r>
            <w:r>
              <w:rPr>
                <w:rFonts w:hint="eastAsia" w:ascii="宋体" w:hAnsi="宋体" w:cs="宋体"/>
                <w:sz w:val="24"/>
              </w:rPr>
              <w:t>满足存储时间15天以上，得</w:t>
            </w:r>
            <w:r>
              <w:rPr>
                <w:rFonts w:hint="eastAsia" w:ascii="宋体" w:hAnsi="宋体" w:cs="宋体"/>
                <w:sz w:val="24"/>
                <w:lang w:val="en-US" w:eastAsia="zh-CN"/>
              </w:rPr>
              <w:t>3</w:t>
            </w:r>
            <w:r>
              <w:rPr>
                <w:rFonts w:hint="eastAsia" w:ascii="宋体" w:hAnsi="宋体" w:cs="宋体"/>
                <w:sz w:val="24"/>
              </w:rPr>
              <w:t>分；</w:t>
            </w:r>
          </w:p>
          <w:p>
            <w:pPr>
              <w:jc w:val="left"/>
              <w:rPr>
                <w:rFonts w:hint="eastAsia" w:ascii="宋体" w:hAnsi="宋体" w:cs="宋体"/>
                <w:sz w:val="24"/>
              </w:rPr>
            </w:pPr>
            <w:r>
              <w:rPr>
                <w:rFonts w:hint="eastAsia" w:ascii="宋体" w:hAnsi="宋体" w:cs="宋体"/>
                <w:sz w:val="24"/>
              </w:rPr>
              <w:t>停车场监控设备覆盖不全，得1分；</w:t>
            </w:r>
          </w:p>
          <w:p>
            <w:pPr>
              <w:jc w:val="left"/>
              <w:rPr>
                <w:rFonts w:ascii="宋体" w:hAnsi="宋体" w:cs="宋体"/>
                <w:bCs/>
                <w:kern w:val="0"/>
                <w:sz w:val="24"/>
                <w:lang w:bidi="ar"/>
              </w:rPr>
            </w:pPr>
            <w:r>
              <w:rPr>
                <w:rFonts w:hint="eastAsia" w:ascii="宋体" w:hAnsi="宋体" w:cs="宋体"/>
                <w:sz w:val="24"/>
              </w:rPr>
              <w:t>不提供不得分。</w:t>
            </w:r>
          </w:p>
        </w:tc>
        <w:tc>
          <w:tcPr>
            <w:tcW w:w="845"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0"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7</w:t>
            </w:r>
          </w:p>
        </w:tc>
        <w:tc>
          <w:tcPr>
            <w:tcW w:w="1322" w:type="dxa"/>
            <w:vAlign w:val="center"/>
          </w:tcPr>
          <w:p>
            <w:pPr>
              <w:pStyle w:val="216"/>
              <w:snapToGrid w:val="0"/>
              <w:ind w:left="108" w:leftChars="0" w:right="95" w:rightChars="0"/>
              <w:jc w:val="center"/>
              <w:rPr>
                <w:rFonts w:hint="eastAsia"/>
                <w:color w:val="auto"/>
                <w:sz w:val="24"/>
                <w:highlight w:val="none"/>
              </w:rPr>
            </w:pPr>
            <w:r>
              <w:rPr>
                <w:rFonts w:hint="eastAsia"/>
                <w:color w:val="auto"/>
                <w:sz w:val="24"/>
                <w:highlight w:val="none"/>
              </w:rPr>
              <w:t>停车场办公管理情况</w:t>
            </w:r>
          </w:p>
          <w:p>
            <w:pPr>
              <w:pStyle w:val="216"/>
              <w:snapToGrid w:val="0"/>
              <w:ind w:left="108" w:leftChars="0" w:right="95" w:rightChars="0"/>
              <w:jc w:val="center"/>
              <w:rPr>
                <w:rFonts w:ascii="宋体" w:hAnsi="宋体" w:cs="宋体"/>
                <w:bCs/>
                <w:sz w:val="24"/>
              </w:rPr>
            </w:pPr>
          </w:p>
        </w:tc>
        <w:tc>
          <w:tcPr>
            <w:tcW w:w="6095" w:type="dxa"/>
            <w:vAlign w:val="center"/>
          </w:tcPr>
          <w:p>
            <w:pPr>
              <w:widowControl/>
              <w:snapToGrid w:val="0"/>
              <w:rPr>
                <w:rFonts w:ascii="宋体" w:hAnsi="宋体" w:cs="宋体"/>
                <w:color w:val="auto"/>
                <w:sz w:val="24"/>
                <w:highlight w:val="none"/>
              </w:rPr>
            </w:pPr>
            <w:r>
              <w:rPr>
                <w:rFonts w:hint="eastAsia" w:ascii="宋体" w:hAnsi="宋体" w:cs="宋体"/>
                <w:color w:val="auto"/>
                <w:sz w:val="24"/>
                <w:highlight w:val="none"/>
              </w:rPr>
              <w:t>根据投标人提供的停车场的办公管理等情况进行综合评价（需提供相关证明材料，包括但不限于电脑系统及存储柜说明书或实景图片及清单并加盖单位公章）：</w:t>
            </w:r>
          </w:p>
          <w:p>
            <w:pPr>
              <w:widowControl/>
              <w:snapToGrid w:val="0"/>
              <w:rPr>
                <w:rFonts w:ascii="宋体" w:hAnsi="宋体" w:cs="宋体"/>
                <w:color w:val="auto"/>
                <w:sz w:val="24"/>
                <w:highlight w:val="none"/>
              </w:rPr>
            </w:pPr>
            <w:r>
              <w:rPr>
                <w:rFonts w:hint="eastAsia" w:ascii="宋体" w:hAnsi="宋体" w:cs="宋体"/>
                <w:color w:val="auto"/>
                <w:sz w:val="24"/>
                <w:highlight w:val="none"/>
              </w:rPr>
              <w:t>停车场办公管理配备满足要求，得</w:t>
            </w:r>
            <w:r>
              <w:rPr>
                <w:rFonts w:hint="eastAsia" w:ascii="宋体" w:hAnsi="宋体" w:cs="宋体"/>
                <w:color w:val="auto"/>
                <w:kern w:val="0"/>
                <w:sz w:val="24"/>
                <w:highlight w:val="none"/>
                <w:lang w:val="en-US" w:eastAsia="zh-CN"/>
              </w:rPr>
              <w:t>5</w:t>
            </w:r>
            <w:r>
              <w:rPr>
                <w:rFonts w:hint="eastAsia" w:ascii="宋体" w:hAnsi="宋体" w:cs="宋体"/>
                <w:color w:val="auto"/>
                <w:sz w:val="24"/>
                <w:highlight w:val="none"/>
              </w:rPr>
              <w:t>分；</w:t>
            </w:r>
          </w:p>
          <w:p>
            <w:pPr>
              <w:widowControl/>
              <w:snapToGrid w:val="0"/>
              <w:rPr>
                <w:rFonts w:ascii="宋体" w:hAnsi="宋体" w:cs="宋体"/>
                <w:color w:val="auto"/>
                <w:sz w:val="24"/>
                <w:highlight w:val="none"/>
              </w:rPr>
            </w:pPr>
            <w:r>
              <w:rPr>
                <w:rFonts w:hint="eastAsia" w:ascii="宋体" w:hAnsi="宋体" w:cs="宋体"/>
                <w:color w:val="auto"/>
                <w:sz w:val="24"/>
                <w:highlight w:val="none"/>
              </w:rPr>
              <w:t>停车场办公管理配备</w:t>
            </w:r>
            <w:r>
              <w:rPr>
                <w:rFonts w:hint="eastAsia" w:ascii="宋体" w:hAnsi="宋体" w:cs="宋体"/>
                <w:color w:val="auto"/>
                <w:sz w:val="24"/>
                <w:highlight w:val="none"/>
                <w:lang w:val="en-US" w:eastAsia="zh-CN"/>
              </w:rPr>
              <w:t>有缺陷但满足本项目要求</w:t>
            </w:r>
            <w:r>
              <w:rPr>
                <w:rFonts w:hint="eastAsia" w:ascii="宋体" w:hAnsi="宋体" w:cs="宋体"/>
                <w:color w:val="auto"/>
                <w:sz w:val="24"/>
                <w:highlight w:val="none"/>
              </w:rPr>
              <w:t>，得</w:t>
            </w:r>
            <w:r>
              <w:rPr>
                <w:rFonts w:hint="eastAsia" w:ascii="宋体" w:hAnsi="宋体" w:cs="宋体"/>
                <w:color w:val="auto"/>
                <w:kern w:val="0"/>
                <w:sz w:val="24"/>
                <w:highlight w:val="none"/>
              </w:rPr>
              <w:t>2</w:t>
            </w:r>
            <w:r>
              <w:rPr>
                <w:rFonts w:hint="eastAsia" w:ascii="宋体" w:hAnsi="宋体" w:cs="宋体"/>
                <w:color w:val="auto"/>
                <w:sz w:val="24"/>
                <w:highlight w:val="none"/>
              </w:rPr>
              <w:t>分；</w:t>
            </w:r>
          </w:p>
          <w:p>
            <w:pPr>
              <w:widowControl/>
              <w:snapToGrid w:val="0"/>
              <w:rPr>
                <w:rFonts w:ascii="宋体" w:hAnsi="宋体" w:cs="宋体"/>
                <w:bCs/>
                <w:kern w:val="0"/>
                <w:sz w:val="24"/>
                <w:lang w:bidi="ar"/>
              </w:rPr>
            </w:pPr>
            <w:r>
              <w:rPr>
                <w:rFonts w:hint="eastAsia" w:ascii="宋体" w:hAnsi="宋体" w:cs="宋体"/>
                <w:color w:val="auto"/>
                <w:sz w:val="24"/>
                <w:highlight w:val="none"/>
              </w:rPr>
              <w:t>停车场办公管理配备不满足，得0分；</w:t>
            </w:r>
          </w:p>
        </w:tc>
        <w:tc>
          <w:tcPr>
            <w:tcW w:w="845"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0"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1322" w:type="dxa"/>
            <w:vAlign w:val="center"/>
          </w:tcPr>
          <w:p>
            <w:pPr>
              <w:adjustRightInd w:val="0"/>
              <w:snapToGrid w:val="0"/>
              <w:jc w:val="center"/>
              <w:rPr>
                <w:rFonts w:ascii="宋体" w:hAnsi="宋体" w:cs="宋体"/>
                <w:bCs/>
                <w:sz w:val="24"/>
              </w:rPr>
            </w:pPr>
            <w:r>
              <w:rPr>
                <w:rFonts w:hint="eastAsia" w:asciiTheme="minorEastAsia" w:hAnsiTheme="minorEastAsia" w:eastAsiaTheme="minorEastAsia"/>
                <w:szCs w:val="21"/>
              </w:rPr>
              <w:t>停车场服务管理方案</w:t>
            </w:r>
          </w:p>
        </w:tc>
        <w:tc>
          <w:tcPr>
            <w:tcW w:w="6095" w:type="dxa"/>
            <w:vAlign w:val="center"/>
          </w:tcPr>
          <w:p>
            <w:pPr>
              <w:rPr>
                <w:rFonts w:hint="eastAsia" w:ascii="宋体" w:hAnsi="宋体" w:cs="宋体"/>
                <w:sz w:val="24"/>
              </w:rPr>
            </w:pPr>
            <w:r>
              <w:rPr>
                <w:rFonts w:hint="eastAsia" w:ascii="宋体" w:hAnsi="宋体" w:cs="宋体"/>
                <w:sz w:val="24"/>
              </w:rPr>
              <w:t>投标单位提供停车场服务管理方案，内容包括</w:t>
            </w:r>
            <w:r>
              <w:rPr>
                <w:color w:val="auto"/>
                <w:sz w:val="24"/>
                <w:highlight w:val="none"/>
              </w:rPr>
              <w:t>（</w:t>
            </w:r>
            <w:r>
              <w:rPr>
                <w:rFonts w:hint="eastAsia"/>
                <w:color w:val="auto"/>
                <w:sz w:val="24"/>
                <w:highlight w:val="none"/>
                <w:lang w:val="en-US" w:eastAsia="zh-CN"/>
              </w:rPr>
              <w:t>1</w:t>
            </w:r>
            <w:r>
              <w:rPr>
                <w:color w:val="auto"/>
                <w:sz w:val="24"/>
                <w:highlight w:val="none"/>
              </w:rPr>
              <w:t>）财务管理制度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2</w:t>
            </w:r>
            <w:r>
              <w:rPr>
                <w:color w:val="auto"/>
                <w:sz w:val="24"/>
                <w:highlight w:val="none"/>
              </w:rPr>
              <w:t>）安保管理制度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3</w:t>
            </w:r>
            <w:r>
              <w:rPr>
                <w:color w:val="auto"/>
                <w:sz w:val="24"/>
                <w:highlight w:val="none"/>
              </w:rPr>
              <w:t>）消防管理制度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4</w:t>
            </w:r>
            <w:r>
              <w:rPr>
                <w:rFonts w:hint="eastAsia"/>
                <w:color w:val="auto"/>
                <w:sz w:val="24"/>
                <w:highlight w:val="none"/>
                <w:lang w:eastAsia="zh-CN"/>
              </w:rPr>
              <w:t>）</w:t>
            </w:r>
            <w:r>
              <w:rPr>
                <w:color w:val="auto"/>
                <w:sz w:val="24"/>
                <w:highlight w:val="none"/>
              </w:rPr>
              <w:t>人员管理制度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5</w:t>
            </w:r>
            <w:r>
              <w:rPr>
                <w:color w:val="auto"/>
                <w:sz w:val="24"/>
                <w:highlight w:val="none"/>
              </w:rPr>
              <w:t>）车辆交接制度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6</w:t>
            </w:r>
            <w:r>
              <w:rPr>
                <w:color w:val="auto"/>
                <w:sz w:val="24"/>
                <w:highlight w:val="none"/>
              </w:rPr>
              <w:t>）车辆进出场制度</w:t>
            </w:r>
            <w:r>
              <w:rPr>
                <w:rFonts w:hint="eastAsia"/>
                <w:color w:val="auto"/>
                <w:sz w:val="24"/>
                <w:highlight w:val="none"/>
                <w:lang w:eastAsia="zh-CN"/>
              </w:rPr>
              <w:t>、（</w:t>
            </w:r>
            <w:r>
              <w:rPr>
                <w:rFonts w:hint="eastAsia"/>
                <w:color w:val="auto"/>
                <w:sz w:val="24"/>
                <w:highlight w:val="none"/>
                <w:lang w:val="en-US" w:eastAsia="zh-CN"/>
              </w:rPr>
              <w:t>7）危化车辆管理制度、</w:t>
            </w:r>
            <w:r>
              <w:rPr>
                <w:color w:val="auto"/>
                <w:sz w:val="24"/>
                <w:highlight w:val="none"/>
              </w:rPr>
              <w:t>（</w:t>
            </w:r>
            <w:r>
              <w:rPr>
                <w:rFonts w:hint="eastAsia"/>
                <w:color w:val="auto"/>
                <w:sz w:val="24"/>
                <w:highlight w:val="none"/>
                <w:lang w:val="en-US" w:eastAsia="zh-CN"/>
              </w:rPr>
              <w:t>8</w:t>
            </w:r>
            <w:r>
              <w:rPr>
                <w:color w:val="auto"/>
                <w:sz w:val="24"/>
                <w:highlight w:val="none"/>
              </w:rPr>
              <w:t>）计算机及监控管理制度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9</w:t>
            </w:r>
            <w:r>
              <w:rPr>
                <w:color w:val="auto"/>
                <w:sz w:val="24"/>
                <w:highlight w:val="none"/>
              </w:rPr>
              <w:t>）紧急突发情况处置预案</w:t>
            </w:r>
            <w:r>
              <w:rPr>
                <w:rFonts w:hint="eastAsia"/>
                <w:color w:val="auto"/>
                <w:sz w:val="24"/>
                <w:highlight w:val="none"/>
                <w:lang w:eastAsia="zh-CN"/>
              </w:rPr>
              <w:t>。</w:t>
            </w:r>
            <w:r>
              <w:rPr>
                <w:rFonts w:hint="eastAsia" w:ascii="宋体" w:hAnsi="宋体" w:cs="宋体"/>
                <w:sz w:val="24"/>
                <w:lang w:val="en-US" w:eastAsia="zh-CN"/>
              </w:rPr>
              <w:t>九</w:t>
            </w:r>
            <w:r>
              <w:rPr>
                <w:rFonts w:hint="eastAsia" w:ascii="宋体" w:hAnsi="宋体" w:cs="宋体"/>
                <w:sz w:val="24"/>
              </w:rPr>
              <w:t>项内容，</w:t>
            </w:r>
          </w:p>
          <w:p>
            <w:pPr>
              <w:rPr>
                <w:rFonts w:hint="eastAsia" w:ascii="宋体" w:hAnsi="宋体" w:cs="宋体"/>
                <w:sz w:val="24"/>
              </w:rPr>
            </w:pPr>
            <w:r>
              <w:rPr>
                <w:rFonts w:hint="eastAsia" w:ascii="宋体" w:hAnsi="宋体" w:cs="宋体"/>
                <w:sz w:val="24"/>
              </w:rPr>
              <w:t>每有一项内容进行了</w:t>
            </w:r>
            <w:r>
              <w:rPr>
                <w:rFonts w:hint="eastAsia" w:ascii="宋体" w:hAnsi="宋体" w:cs="宋体"/>
                <w:sz w:val="24"/>
                <w:lang w:val="en-US" w:eastAsia="zh-CN"/>
              </w:rPr>
              <w:t>详细</w:t>
            </w:r>
            <w:r>
              <w:rPr>
                <w:rFonts w:hint="eastAsia" w:ascii="宋体" w:hAnsi="宋体" w:cs="宋体"/>
                <w:sz w:val="24"/>
              </w:rPr>
              <w:t>阐述且</w:t>
            </w:r>
            <w:r>
              <w:rPr>
                <w:rFonts w:hint="eastAsia" w:ascii="宋体" w:hAnsi="宋体" w:cs="宋体"/>
                <w:sz w:val="24"/>
                <w:lang w:val="en-US" w:eastAsia="zh-CN"/>
              </w:rPr>
              <w:t>符合本项目特点</w:t>
            </w:r>
            <w:r>
              <w:rPr>
                <w:rFonts w:hint="eastAsia" w:ascii="宋体" w:hAnsi="宋体" w:cs="宋体"/>
                <w:sz w:val="24"/>
              </w:rPr>
              <w:t>，得2分；</w:t>
            </w:r>
          </w:p>
          <w:p>
            <w:pPr>
              <w:rPr>
                <w:rFonts w:hint="eastAsia" w:ascii="宋体" w:hAnsi="宋体" w:cs="宋体"/>
                <w:sz w:val="24"/>
              </w:rPr>
            </w:pPr>
            <w:r>
              <w:rPr>
                <w:rFonts w:hint="eastAsia" w:ascii="宋体" w:hAnsi="宋体" w:cs="宋体"/>
                <w:sz w:val="24"/>
              </w:rPr>
              <w:t>每有一项内容虽阐述但并未贴合项目实际情况进行论述，或内容中未包括具体实施细节及措施，得1分。</w:t>
            </w:r>
          </w:p>
          <w:p>
            <w:pPr>
              <w:pStyle w:val="263"/>
              <w:widowControl/>
              <w:numPr>
                <w:ilvl w:val="0"/>
                <w:numId w:val="0"/>
              </w:numPr>
              <w:tabs>
                <w:tab w:val="clear" w:pos="360"/>
                <w:tab w:val="clear" w:pos="768"/>
                <w:tab w:val="clear" w:pos="900"/>
                <w:tab w:val="clear" w:pos="4941"/>
              </w:tabs>
              <w:adjustRightInd w:val="0"/>
              <w:snapToGrid w:val="0"/>
              <w:ind w:leftChars="0"/>
              <w:rPr>
                <w:rFonts w:ascii="宋体" w:hAnsi="宋体" w:cs="宋体"/>
                <w:bCs/>
                <w:kern w:val="0"/>
                <w:sz w:val="24"/>
                <w:lang w:bidi="ar"/>
              </w:rPr>
            </w:pPr>
            <w:r>
              <w:rPr>
                <w:rFonts w:hint="eastAsia" w:ascii="宋体" w:hAnsi="宋体" w:cs="宋体"/>
                <w:sz w:val="24"/>
              </w:rPr>
              <w:t>每有一项内容未进行阐述或不满足采购需求，得0分。</w:t>
            </w:r>
          </w:p>
        </w:tc>
        <w:tc>
          <w:tcPr>
            <w:tcW w:w="845" w:type="dxa"/>
            <w:vAlign w:val="center"/>
          </w:tcPr>
          <w:p>
            <w:pPr>
              <w:adjustRightInd w:val="0"/>
              <w:snapToGrid w:val="0"/>
              <w:jc w:val="center"/>
              <w:rPr>
                <w:rFonts w:hint="eastAsia" w:ascii="宋体" w:hAnsi="宋体" w:eastAsia="宋体" w:cs="宋体"/>
                <w:sz w:val="24"/>
                <w:lang w:val="en-US" w:eastAsia="zh-CN"/>
              </w:rPr>
            </w:pPr>
            <w:r>
              <w:rPr>
                <w:rFonts w:hint="eastAsia" w:ascii="宋体" w:hAnsi="宋体" w:cs="宋体"/>
                <w:sz w:val="24"/>
                <w:lang w:val="en-US" w:eastAsia="zh-CN"/>
              </w:rPr>
              <w:t>18</w:t>
            </w:r>
          </w:p>
        </w:tc>
      </w:tr>
    </w:tbl>
    <w:p>
      <w:pPr>
        <w:widowControl/>
        <w:jc w:val="left"/>
        <w:rPr>
          <w:b/>
          <w:bCs/>
          <w:sz w:val="24"/>
        </w:rPr>
      </w:pPr>
      <w:r>
        <w:rPr>
          <w:b/>
          <w:bCs/>
          <w:sz w:val="24"/>
        </w:rPr>
        <w:br w:type="page"/>
      </w:r>
    </w:p>
    <w:p>
      <w:pPr>
        <w:spacing w:line="360" w:lineRule="auto"/>
        <w:rPr>
          <w:b/>
          <w:bCs/>
          <w:sz w:val="24"/>
        </w:rPr>
      </w:pPr>
      <w:r>
        <w:rPr>
          <w:rFonts w:hint="eastAsia"/>
          <w:b/>
          <w:bCs/>
          <w:sz w:val="24"/>
        </w:rPr>
        <w:t>3、价格部分（</w:t>
      </w:r>
      <w:r>
        <w:rPr>
          <w:b/>
          <w:bCs/>
          <w:sz w:val="24"/>
        </w:rPr>
        <w:t>10</w:t>
      </w:r>
      <w:r>
        <w:rPr>
          <w:rFonts w:hint="eastAsia"/>
          <w:b/>
          <w:bCs/>
          <w:sz w:val="24"/>
        </w:rPr>
        <w:t>分）：</w:t>
      </w:r>
    </w:p>
    <w:tbl>
      <w:tblPr>
        <w:tblStyle w:val="56"/>
        <w:tblpPr w:leftFromText="180" w:rightFromText="180" w:vertAnchor="text" w:horzAnchor="margin" w:tblpXSpec="center" w:tblpY="19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256"/>
        <w:gridCol w:w="5983"/>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trPr>
        <w:tc>
          <w:tcPr>
            <w:tcW w:w="836" w:type="dxa"/>
            <w:vAlign w:val="center"/>
          </w:tcPr>
          <w:p>
            <w:pPr>
              <w:spacing w:line="360" w:lineRule="auto"/>
              <w:jc w:val="center"/>
              <w:rPr>
                <w:b/>
                <w:sz w:val="24"/>
              </w:rPr>
            </w:pPr>
            <w:r>
              <w:rPr>
                <w:rFonts w:hint="eastAsia"/>
                <w:b/>
                <w:sz w:val="24"/>
              </w:rPr>
              <w:t>序号</w:t>
            </w:r>
          </w:p>
        </w:tc>
        <w:tc>
          <w:tcPr>
            <w:tcW w:w="1256" w:type="dxa"/>
            <w:vAlign w:val="center"/>
          </w:tcPr>
          <w:p>
            <w:pPr>
              <w:spacing w:line="360" w:lineRule="auto"/>
              <w:jc w:val="center"/>
              <w:rPr>
                <w:b/>
                <w:sz w:val="24"/>
              </w:rPr>
            </w:pPr>
            <w:r>
              <w:rPr>
                <w:rFonts w:hint="eastAsia"/>
                <w:b/>
                <w:sz w:val="24"/>
              </w:rPr>
              <w:t>评分因素</w:t>
            </w:r>
          </w:p>
        </w:tc>
        <w:tc>
          <w:tcPr>
            <w:tcW w:w="5983" w:type="dxa"/>
            <w:vAlign w:val="center"/>
          </w:tcPr>
          <w:p>
            <w:pPr>
              <w:spacing w:line="360" w:lineRule="auto"/>
              <w:jc w:val="center"/>
              <w:rPr>
                <w:b/>
                <w:sz w:val="24"/>
              </w:rPr>
            </w:pPr>
            <w:r>
              <w:rPr>
                <w:rFonts w:hint="eastAsia"/>
                <w:b/>
                <w:sz w:val="24"/>
              </w:rPr>
              <w:t>评分标准</w:t>
            </w:r>
          </w:p>
        </w:tc>
        <w:tc>
          <w:tcPr>
            <w:tcW w:w="992" w:type="dxa"/>
            <w:vAlign w:val="center"/>
          </w:tcPr>
          <w:p>
            <w:pPr>
              <w:spacing w:line="360" w:lineRule="auto"/>
              <w:jc w:val="center"/>
              <w:rPr>
                <w:b/>
                <w:sz w:val="24"/>
              </w:rPr>
            </w:pPr>
            <w:r>
              <w:rPr>
                <w:rFonts w:hint="eastAsia"/>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6" w:hRule="atLeast"/>
        </w:trPr>
        <w:tc>
          <w:tcPr>
            <w:tcW w:w="836" w:type="dxa"/>
            <w:vAlign w:val="center"/>
          </w:tcPr>
          <w:p>
            <w:pPr>
              <w:adjustRightInd w:val="0"/>
              <w:snapToGrid w:val="0"/>
              <w:spacing w:line="360" w:lineRule="auto"/>
              <w:jc w:val="center"/>
              <w:rPr>
                <w:sz w:val="24"/>
              </w:rPr>
            </w:pPr>
            <w:r>
              <w:rPr>
                <w:rFonts w:hint="eastAsia" w:ascii="宋体" w:hAnsi="宋体" w:cs="宋体"/>
                <w:sz w:val="24"/>
              </w:rPr>
              <w:t>1</w:t>
            </w:r>
          </w:p>
        </w:tc>
        <w:tc>
          <w:tcPr>
            <w:tcW w:w="1256" w:type="dxa"/>
            <w:vAlign w:val="center"/>
          </w:tcPr>
          <w:p>
            <w:pPr>
              <w:adjustRightInd w:val="0"/>
              <w:snapToGrid w:val="0"/>
              <w:spacing w:line="360" w:lineRule="auto"/>
              <w:rPr>
                <w:rFonts w:ascii="宋体" w:hAnsi="宋体" w:cs="宋体"/>
                <w:sz w:val="24"/>
              </w:rPr>
            </w:pPr>
            <w:r>
              <w:rPr>
                <w:rFonts w:hint="eastAsia" w:ascii="宋体" w:hAnsi="宋体" w:cs="宋体"/>
                <w:sz w:val="24"/>
              </w:rPr>
              <w:t>投标报价</w:t>
            </w:r>
          </w:p>
          <w:p>
            <w:pPr>
              <w:spacing w:line="360" w:lineRule="auto"/>
              <w:rPr>
                <w:sz w:val="24"/>
              </w:rPr>
            </w:pPr>
            <w:r>
              <w:rPr>
                <w:rFonts w:hint="eastAsia" w:ascii="宋体" w:hAnsi="宋体" w:cs="宋体"/>
                <w:sz w:val="24"/>
              </w:rPr>
              <w:t>（</w:t>
            </w:r>
            <w:r>
              <w:rPr>
                <w:rFonts w:ascii="宋体" w:hAnsi="宋体" w:cs="宋体"/>
                <w:sz w:val="24"/>
              </w:rPr>
              <w:t>10</w:t>
            </w:r>
            <w:r>
              <w:rPr>
                <w:rFonts w:hint="eastAsia" w:ascii="宋体" w:hAnsi="宋体" w:cs="宋体"/>
                <w:sz w:val="24"/>
              </w:rPr>
              <w:t>分）</w:t>
            </w:r>
          </w:p>
        </w:tc>
        <w:tc>
          <w:tcPr>
            <w:tcW w:w="5983" w:type="dxa"/>
            <w:vAlign w:val="center"/>
          </w:tcPr>
          <w:p>
            <w:pPr>
              <w:pStyle w:val="146"/>
              <w:jc w:val="both"/>
              <w:rPr>
                <w:color w:val="auto"/>
                <w:sz w:val="24"/>
              </w:rPr>
            </w:pPr>
            <w:r>
              <w:rPr>
                <w:rFonts w:hint="eastAsia"/>
                <w:color w:val="auto"/>
                <w:sz w:val="24"/>
              </w:rPr>
              <w:t>此处投标报价指经过报价修正，及因落实政府采购政策进行价 格调整后的报价，详见第四章《评标程序、评标方法和评标标 准》2.4及2.5。</w:t>
            </w:r>
          </w:p>
          <w:p>
            <w:pPr>
              <w:pStyle w:val="146"/>
              <w:ind w:left="852" w:hanging="852"/>
              <w:jc w:val="both"/>
              <w:rPr>
                <w:color w:val="auto"/>
                <w:sz w:val="24"/>
              </w:rPr>
            </w:pPr>
          </w:p>
          <w:p>
            <w:pPr>
              <w:pStyle w:val="146"/>
              <w:ind w:left="852" w:hanging="852"/>
              <w:jc w:val="both"/>
              <w:rPr>
                <w:color w:val="auto"/>
                <w:sz w:val="24"/>
              </w:rPr>
            </w:pPr>
            <w:r>
              <w:rPr>
                <w:rFonts w:hint="eastAsia"/>
                <w:color w:val="auto"/>
                <w:sz w:val="24"/>
              </w:rPr>
              <w:t>价格分采用低价优先法计算。</w:t>
            </w:r>
          </w:p>
          <w:p>
            <w:pPr>
              <w:rPr>
                <w:rFonts w:hint="eastAsia" w:ascii="宋体" w:hAnsi="宋体" w:cs="宋体"/>
                <w:sz w:val="24"/>
              </w:rPr>
            </w:pPr>
            <w:r>
              <w:rPr>
                <w:rFonts w:hint="eastAsia" w:ascii="宋体" w:hAnsi="宋体" w:cs="宋体"/>
                <w:sz w:val="24"/>
              </w:rPr>
              <w:t>满足招标文件要求且投标价格最低的投标报价为评标基准价，其价格分为满分。其他投标人的价格分统一按照下列公式计算：</w:t>
            </w:r>
          </w:p>
          <w:p>
            <w:pPr>
              <w:tabs>
                <w:tab w:val="left" w:pos="567"/>
              </w:tabs>
              <w:spacing w:line="360" w:lineRule="auto"/>
            </w:pPr>
            <w:r>
              <w:rPr>
                <w:rFonts w:hint="eastAsia" w:ascii="宋体" w:hAnsi="宋体" w:cs="宋体"/>
                <w:sz w:val="24"/>
              </w:rPr>
              <w:t>投标报价得分＝（评标基准价/投标报价）×10。</w:t>
            </w:r>
          </w:p>
        </w:tc>
        <w:tc>
          <w:tcPr>
            <w:tcW w:w="992" w:type="dxa"/>
            <w:vAlign w:val="center"/>
          </w:tcPr>
          <w:p>
            <w:pPr>
              <w:adjustRightInd w:val="0"/>
              <w:snapToGrid w:val="0"/>
              <w:spacing w:line="360" w:lineRule="auto"/>
              <w:jc w:val="center"/>
              <w:rPr>
                <w:sz w:val="24"/>
              </w:rPr>
            </w:pPr>
            <w:r>
              <w:rPr>
                <w:rFonts w:ascii="宋体" w:hAnsi="宋体" w:cs="宋体"/>
                <w:sz w:val="24"/>
              </w:rPr>
              <w:t>10</w:t>
            </w:r>
          </w:p>
        </w:tc>
      </w:tr>
    </w:tbl>
    <w:p>
      <w:pPr>
        <w:widowControl/>
        <w:spacing w:line="360" w:lineRule="auto"/>
        <w:jc w:val="left"/>
        <w:rPr>
          <w:b/>
          <w:sz w:val="24"/>
        </w:rPr>
      </w:pPr>
    </w:p>
    <w:p>
      <w:pPr>
        <w:widowControl/>
        <w:spacing w:line="360" w:lineRule="auto"/>
        <w:jc w:val="center"/>
        <w:outlineLvl w:val="0"/>
        <w:rPr>
          <w:rFonts w:hint="eastAsia"/>
          <w:b/>
          <w:sz w:val="24"/>
        </w:rPr>
      </w:pPr>
      <w:r>
        <w:rPr>
          <w:rFonts w:hint="eastAsia"/>
          <w:b/>
          <w:sz w:val="24"/>
        </w:rPr>
        <w:br w:type="page"/>
      </w:r>
    </w:p>
    <w:p>
      <w:pPr>
        <w:widowControl/>
        <w:spacing w:line="360" w:lineRule="auto"/>
        <w:jc w:val="center"/>
        <w:outlineLvl w:val="0"/>
        <w:rPr>
          <w:b/>
          <w:sz w:val="36"/>
          <w:szCs w:val="36"/>
        </w:rPr>
      </w:pPr>
      <w:bookmarkStart w:id="817" w:name="_Toc6692"/>
      <w:r>
        <w:rPr>
          <w:b/>
          <w:sz w:val="36"/>
          <w:szCs w:val="36"/>
        </w:rPr>
        <w:t>第五章   采购需求</w:t>
      </w:r>
      <w:bookmarkEnd w:id="817"/>
    </w:p>
    <w:p>
      <w:pPr>
        <w:ind w:firstLine="723" w:firstLineChars="200"/>
      </w:pPr>
      <w:r>
        <w:rPr>
          <w:b/>
          <w:sz w:val="36"/>
          <w:szCs w:val="36"/>
        </w:rPr>
        <w:tab/>
      </w:r>
    </w:p>
    <w:p>
      <w:pPr>
        <w:autoSpaceDE w:val="0"/>
        <w:autoSpaceDN w:val="0"/>
        <w:rPr>
          <w:rFonts w:hint="eastAsia" w:ascii="宋体" w:hAnsi="宋体" w:cs="宋体"/>
          <w:bCs/>
        </w:rPr>
      </w:pPr>
    </w:p>
    <w:p>
      <w:pPr>
        <w:snapToGrid w:val="0"/>
        <w:spacing w:line="360" w:lineRule="auto"/>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 xml:space="preserve">第一部分  </w:t>
      </w:r>
      <w:r>
        <w:rPr>
          <w:rFonts w:hint="eastAsia" w:ascii="宋体" w:hAnsi="宋体" w:cs="宋体"/>
          <w:b/>
          <w:bCs/>
          <w:color w:val="auto"/>
          <w:kern w:val="0"/>
          <w:sz w:val="32"/>
          <w:szCs w:val="32"/>
          <w:highlight w:val="none"/>
          <w:lang w:val="en-US" w:eastAsia="zh-CN"/>
        </w:rPr>
        <w:t>采购</w:t>
      </w:r>
      <w:r>
        <w:rPr>
          <w:rFonts w:hint="eastAsia" w:ascii="宋体" w:hAnsi="宋体" w:cs="宋体"/>
          <w:b/>
          <w:bCs/>
          <w:color w:val="auto"/>
          <w:kern w:val="0"/>
          <w:sz w:val="32"/>
          <w:szCs w:val="32"/>
          <w:highlight w:val="none"/>
        </w:rPr>
        <w:t>内容</w:t>
      </w:r>
    </w:p>
    <w:p>
      <w:pPr>
        <w:numPr>
          <w:ilvl w:val="0"/>
          <w:numId w:val="16"/>
        </w:numPr>
        <w:snapToGrid w:val="0"/>
        <w:spacing w:line="360" w:lineRule="auto"/>
        <w:rPr>
          <w:rFonts w:hint="eastAsia" w:ascii="宋体" w:hAnsi="宋体" w:cs="宋体"/>
          <w:b/>
          <w:bCs/>
          <w:color w:val="auto"/>
          <w:sz w:val="24"/>
          <w:szCs w:val="32"/>
          <w:highlight w:val="none"/>
          <w:lang w:eastAsia="zh-CN"/>
        </w:rPr>
      </w:pPr>
      <w:r>
        <w:rPr>
          <w:rFonts w:hint="eastAsia" w:ascii="宋体" w:hAnsi="宋体" w:cs="宋体"/>
          <w:b/>
          <w:bCs/>
          <w:color w:val="auto"/>
          <w:sz w:val="24"/>
          <w:szCs w:val="32"/>
          <w:highlight w:val="none"/>
        </w:rPr>
        <w:t>项目名称：</w:t>
      </w:r>
      <w:r>
        <w:rPr>
          <w:rFonts w:hint="eastAsia" w:ascii="宋体" w:hAnsi="宋体" w:cs="宋体"/>
          <w:b/>
          <w:bCs/>
          <w:color w:val="auto"/>
          <w:sz w:val="24"/>
          <w:szCs w:val="32"/>
          <w:highlight w:val="none"/>
          <w:lang w:eastAsia="zh-CN"/>
        </w:rPr>
        <w:t>2024年扣押违法车辆停车保管服务项目</w:t>
      </w:r>
    </w:p>
    <w:p>
      <w:pPr>
        <w:numPr>
          <w:ilvl w:val="0"/>
          <w:numId w:val="0"/>
        </w:numPr>
        <w:tabs>
          <w:tab w:val="clear" w:pos="360"/>
          <w:tab w:val="clear" w:pos="768"/>
          <w:tab w:val="clear" w:pos="900"/>
          <w:tab w:val="clear" w:pos="4941"/>
        </w:tabs>
        <w:snapToGrid w:val="0"/>
        <w:spacing w:line="360" w:lineRule="auto"/>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2、服务需求内容：</w:t>
      </w:r>
    </w:p>
    <w:p>
      <w:pPr>
        <w:spacing w:line="360" w:lineRule="auto"/>
        <w:rPr>
          <w:rFonts w:asciiTheme="minorEastAsia" w:hAnsiTheme="minorEastAsia"/>
          <w:sz w:val="24"/>
        </w:rPr>
      </w:pPr>
      <w:r>
        <w:rPr>
          <w:rFonts w:hint="eastAsia" w:asciiTheme="minorEastAsia" w:hAnsiTheme="minorEastAsia"/>
          <w:sz w:val="24"/>
          <w:lang w:val="en-US" w:eastAsia="zh-CN"/>
        </w:rPr>
        <w:t xml:space="preserve">   2.1 </w:t>
      </w:r>
      <w:r>
        <w:rPr>
          <w:rFonts w:hint="eastAsia" w:asciiTheme="minorEastAsia" w:hAnsiTheme="minorEastAsia"/>
          <w:sz w:val="24"/>
          <w:lang w:eastAsia="zh-CN"/>
        </w:rPr>
        <w:t>北京市通州区交通局</w:t>
      </w:r>
      <w:r>
        <w:rPr>
          <w:rFonts w:hint="eastAsia" w:asciiTheme="minorEastAsia" w:hAnsiTheme="minorEastAsia"/>
          <w:sz w:val="24"/>
        </w:rPr>
        <w:t>对</w:t>
      </w:r>
      <w:r>
        <w:rPr>
          <w:rFonts w:hint="eastAsia" w:ascii="宋体" w:hAnsi="宋体" w:cs="宋体"/>
          <w:b/>
          <w:bCs/>
          <w:color w:val="auto"/>
          <w:sz w:val="24"/>
          <w:szCs w:val="32"/>
          <w:highlight w:val="none"/>
          <w:lang w:eastAsia="zh-CN"/>
        </w:rPr>
        <w:t>2024年扣押违法车辆停车保管服务项目</w:t>
      </w:r>
      <w:r>
        <w:rPr>
          <w:rFonts w:hint="eastAsia" w:asciiTheme="minorEastAsia" w:hAnsiTheme="minorEastAsia"/>
          <w:sz w:val="24"/>
        </w:rPr>
        <w:t>进行公开招标，本项目共招标</w:t>
      </w:r>
      <w:r>
        <w:rPr>
          <w:rFonts w:hint="eastAsia" w:asciiTheme="minorEastAsia" w:hAnsiTheme="minorEastAsia"/>
          <w:sz w:val="24"/>
          <w:lang w:val="en-US" w:eastAsia="zh-CN"/>
        </w:rPr>
        <w:t>4</w:t>
      </w:r>
      <w:r>
        <w:rPr>
          <w:rFonts w:hint="eastAsia" w:asciiTheme="minorEastAsia" w:hAnsiTheme="minorEastAsia"/>
          <w:sz w:val="24"/>
        </w:rPr>
        <w:t>个停车场，分为</w:t>
      </w:r>
      <w:r>
        <w:rPr>
          <w:rFonts w:hint="eastAsia" w:asciiTheme="minorEastAsia" w:hAnsiTheme="minorEastAsia"/>
          <w:sz w:val="24"/>
          <w:lang w:val="en-US" w:eastAsia="zh-CN"/>
        </w:rPr>
        <w:t>4</w:t>
      </w:r>
      <w:r>
        <w:rPr>
          <w:rFonts w:hint="eastAsia" w:asciiTheme="minorEastAsia" w:hAnsiTheme="minorEastAsia"/>
          <w:sz w:val="24"/>
        </w:rPr>
        <w:t>个包。</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lang w:eastAsia="zh-CN"/>
        </w:rPr>
        <w:t>2024年扣押违法车辆停车保管服务项目（</w:t>
      </w:r>
      <w:r>
        <w:rPr>
          <w:rFonts w:hint="eastAsia" w:asciiTheme="minorEastAsia" w:hAnsiTheme="minorEastAsia"/>
          <w:sz w:val="24"/>
        </w:rPr>
        <w:t>包</w:t>
      </w:r>
      <w:r>
        <w:rPr>
          <w:rFonts w:hint="eastAsia" w:asciiTheme="minorEastAsia" w:hAnsiTheme="minorEastAsia"/>
          <w:sz w:val="24"/>
          <w:highlight w:val="none"/>
        </w:rPr>
        <w:t>1</w:t>
      </w:r>
      <w:r>
        <w:rPr>
          <w:rFonts w:hint="eastAsia" w:asciiTheme="minorEastAsia" w:hAnsiTheme="minorEastAsia"/>
          <w:sz w:val="24"/>
          <w:lang w:eastAsia="zh-CN"/>
        </w:rPr>
        <w:t>）</w:t>
      </w:r>
      <w:r>
        <w:rPr>
          <w:rFonts w:hint="eastAsia" w:asciiTheme="minorEastAsia" w:hAnsiTheme="minorEastAsia"/>
          <w:sz w:val="24"/>
          <w:highlight w:val="none"/>
        </w:rPr>
        <w:t>：</w:t>
      </w:r>
      <w:r>
        <w:rPr>
          <w:rFonts w:hint="eastAsia" w:ascii="宋体" w:hAnsi="宋体" w:cs="宋体"/>
          <w:color w:val="auto"/>
          <w:sz w:val="24"/>
          <w:szCs w:val="32"/>
          <w:highlight w:val="none"/>
          <w:lang w:eastAsia="zh-CN"/>
        </w:rPr>
        <w:t>通州城区</w:t>
      </w:r>
      <w:r>
        <w:rPr>
          <w:rFonts w:hint="eastAsia" w:ascii="宋体" w:hAnsi="宋体" w:cs="宋体"/>
          <w:color w:val="auto"/>
          <w:sz w:val="24"/>
          <w:szCs w:val="32"/>
          <w:highlight w:val="none"/>
          <w:lang w:val="en-US" w:eastAsia="zh-CN"/>
        </w:rPr>
        <w:t>北部</w:t>
      </w:r>
      <w:r>
        <w:rPr>
          <w:rFonts w:hint="eastAsia" w:ascii="宋体" w:hAnsi="宋体" w:cs="宋体"/>
          <w:color w:val="auto"/>
          <w:sz w:val="24"/>
          <w:szCs w:val="32"/>
          <w:highlight w:val="none"/>
        </w:rPr>
        <w:t>交通执法、联合执法暂扣车辆保管</w:t>
      </w:r>
      <w:r>
        <w:rPr>
          <w:rFonts w:hint="eastAsia" w:asciiTheme="minorEastAsia" w:hAnsiTheme="minorEastAsia"/>
          <w:sz w:val="24"/>
          <w:highlight w:val="none"/>
        </w:rPr>
        <w:t>：</w:t>
      </w:r>
      <w:r>
        <w:rPr>
          <w:rFonts w:hint="eastAsia" w:asciiTheme="minorEastAsia" w:hAnsiTheme="minorEastAsia"/>
          <w:sz w:val="24"/>
          <w:highlight w:val="none"/>
          <w:lang w:val="en-US" w:eastAsia="zh-CN"/>
        </w:rPr>
        <w:t>35</w:t>
      </w:r>
      <w:r>
        <w:rPr>
          <w:rFonts w:hint="eastAsia" w:asciiTheme="minorEastAsia" w:hAnsiTheme="minorEastAsia"/>
          <w:sz w:val="24"/>
          <w:highlight w:val="none"/>
        </w:rPr>
        <w:t>万元，预计停放</w:t>
      </w:r>
      <w:r>
        <w:rPr>
          <w:rFonts w:hint="eastAsia" w:asciiTheme="minorEastAsia" w:hAnsiTheme="minorEastAsia"/>
          <w:sz w:val="24"/>
          <w:highlight w:val="none"/>
          <w:lang w:val="en-US" w:eastAsia="zh-CN"/>
        </w:rPr>
        <w:t>600</w:t>
      </w:r>
      <w:r>
        <w:rPr>
          <w:rFonts w:hint="eastAsia" w:asciiTheme="minorEastAsia" w:hAnsiTheme="minorEastAsia"/>
          <w:sz w:val="24"/>
          <w:highlight w:val="none"/>
        </w:rPr>
        <w:t>辆（含一般小型车</w:t>
      </w:r>
      <w:r>
        <w:rPr>
          <w:rFonts w:hint="eastAsia" w:asciiTheme="minorEastAsia" w:hAnsiTheme="minorEastAsia"/>
          <w:sz w:val="24"/>
          <w:highlight w:val="none"/>
          <w:lang w:val="en-US" w:eastAsia="zh-CN"/>
        </w:rPr>
        <w:t>560</w:t>
      </w:r>
      <w:r>
        <w:rPr>
          <w:rFonts w:hint="eastAsia" w:asciiTheme="minorEastAsia" w:hAnsiTheme="minorEastAsia"/>
          <w:sz w:val="24"/>
          <w:highlight w:val="none"/>
        </w:rPr>
        <w:t>辆、一般大型车</w:t>
      </w:r>
      <w:r>
        <w:rPr>
          <w:rFonts w:hint="eastAsia" w:asciiTheme="minorEastAsia" w:hAnsiTheme="minorEastAsia"/>
          <w:sz w:val="24"/>
          <w:highlight w:val="none"/>
          <w:lang w:val="en-US" w:eastAsia="zh-CN"/>
        </w:rPr>
        <w:t>30</w:t>
      </w:r>
      <w:r>
        <w:rPr>
          <w:rFonts w:hint="eastAsia" w:asciiTheme="minorEastAsia" w:hAnsiTheme="minorEastAsia"/>
          <w:sz w:val="24"/>
          <w:highlight w:val="none"/>
        </w:rPr>
        <w:t>辆</w:t>
      </w:r>
      <w:r>
        <w:rPr>
          <w:rFonts w:hint="eastAsia" w:asciiTheme="minorEastAsia" w:hAnsiTheme="minorEastAsia"/>
          <w:sz w:val="24"/>
          <w:highlight w:val="none"/>
          <w:lang w:eastAsia="zh-CN"/>
        </w:rPr>
        <w:t>，</w:t>
      </w:r>
      <w:r>
        <w:rPr>
          <w:rFonts w:hint="eastAsia" w:ascii="宋体" w:hAnsi="宋体" w:cs="宋体"/>
          <w:color w:val="auto"/>
          <w:sz w:val="24"/>
          <w:szCs w:val="32"/>
          <w:highlight w:val="none"/>
          <w:lang w:eastAsia="zh-CN"/>
        </w:rPr>
        <w:t>延长或滞留车</w:t>
      </w:r>
      <w:r>
        <w:rPr>
          <w:rFonts w:hint="eastAsia" w:ascii="宋体" w:hAnsi="宋体" w:cs="宋体"/>
          <w:color w:val="auto"/>
          <w:sz w:val="24"/>
          <w:szCs w:val="32"/>
          <w:highlight w:val="none"/>
          <w:lang w:val="en-US" w:eastAsia="zh-CN"/>
        </w:rPr>
        <w:t>10</w:t>
      </w:r>
      <w:r>
        <w:rPr>
          <w:rFonts w:hint="eastAsia" w:ascii="宋体" w:hAnsi="宋体" w:cs="宋体"/>
          <w:color w:val="auto"/>
          <w:sz w:val="24"/>
          <w:szCs w:val="32"/>
          <w:highlight w:val="none"/>
          <w:lang w:eastAsia="zh-CN"/>
        </w:rPr>
        <w:t>辆</w:t>
      </w:r>
      <w:r>
        <w:rPr>
          <w:rFonts w:hint="eastAsia" w:asciiTheme="minorEastAsia" w:hAnsiTheme="minorEastAsia"/>
          <w:sz w:val="24"/>
          <w:highlight w:val="none"/>
        </w:rPr>
        <w:t>）</w:t>
      </w:r>
      <w:r>
        <w:rPr>
          <w:rFonts w:hint="eastAsia" w:asciiTheme="minorEastAsia" w:hAnsiTheme="minorEastAsia"/>
          <w:sz w:val="24"/>
          <w:highlight w:val="none"/>
          <w:lang w:val="en-US" w:eastAsia="zh-CN"/>
        </w:rPr>
        <w:t>若高于停车上限停放数量按停车上限数量结算</w:t>
      </w:r>
      <w:r>
        <w:rPr>
          <w:rFonts w:hint="eastAsia" w:asciiTheme="minorEastAsia" w:hAnsiTheme="minorEastAsia"/>
          <w:sz w:val="24"/>
          <w:highlight w:val="none"/>
          <w:lang w:eastAsia="zh-CN"/>
        </w:rPr>
        <w:t>；</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lang w:eastAsia="zh-CN"/>
        </w:rPr>
        <w:t>2024年扣押违法车辆停车保管服务项目（</w:t>
      </w:r>
      <w:r>
        <w:rPr>
          <w:rFonts w:hint="eastAsia" w:asciiTheme="minorEastAsia" w:hAnsiTheme="minorEastAsia"/>
          <w:sz w:val="24"/>
          <w:highlight w:val="none"/>
        </w:rPr>
        <w:t>包</w:t>
      </w:r>
      <w:r>
        <w:rPr>
          <w:rFonts w:hint="eastAsia" w:asciiTheme="minorEastAsia" w:hAnsiTheme="minorEastAsia"/>
          <w:sz w:val="24"/>
          <w:highlight w:val="none"/>
          <w:lang w:val="en-US" w:eastAsia="zh-CN"/>
        </w:rPr>
        <w:t>2</w:t>
      </w:r>
      <w:r>
        <w:rPr>
          <w:rFonts w:hint="eastAsia" w:asciiTheme="minorEastAsia" w:hAnsiTheme="minorEastAsia"/>
          <w:sz w:val="24"/>
          <w:highlight w:val="none"/>
          <w:lang w:eastAsia="zh-CN"/>
        </w:rPr>
        <w:t>）</w:t>
      </w:r>
      <w:r>
        <w:rPr>
          <w:rFonts w:hint="eastAsia" w:asciiTheme="minorEastAsia" w:hAnsiTheme="minorEastAsia"/>
          <w:sz w:val="24"/>
          <w:highlight w:val="none"/>
        </w:rPr>
        <w:t>：</w:t>
      </w:r>
      <w:r>
        <w:rPr>
          <w:rFonts w:hint="eastAsia" w:ascii="宋体" w:hAnsi="宋体" w:cs="宋体"/>
          <w:color w:val="auto"/>
          <w:sz w:val="24"/>
          <w:szCs w:val="32"/>
          <w:highlight w:val="none"/>
          <w:lang w:val="en-US" w:eastAsia="zh-CN"/>
        </w:rPr>
        <w:t>通州城区南部交通执法、联合执法暂扣车辆保管</w:t>
      </w:r>
      <w:r>
        <w:rPr>
          <w:rFonts w:hint="eastAsia" w:asciiTheme="minorEastAsia" w:hAnsiTheme="minorEastAsia"/>
          <w:sz w:val="24"/>
          <w:highlight w:val="none"/>
        </w:rPr>
        <w:t>：</w:t>
      </w:r>
      <w:r>
        <w:rPr>
          <w:rFonts w:hint="eastAsia" w:asciiTheme="minorEastAsia" w:hAnsiTheme="minorEastAsia"/>
          <w:sz w:val="24"/>
          <w:highlight w:val="none"/>
          <w:lang w:val="en-US" w:eastAsia="zh-CN"/>
        </w:rPr>
        <w:t>35</w:t>
      </w:r>
      <w:r>
        <w:rPr>
          <w:rFonts w:hint="eastAsia" w:asciiTheme="minorEastAsia" w:hAnsiTheme="minorEastAsia"/>
          <w:sz w:val="24"/>
          <w:highlight w:val="none"/>
        </w:rPr>
        <w:t>万元，预计停放</w:t>
      </w:r>
      <w:r>
        <w:rPr>
          <w:rFonts w:hint="eastAsia" w:asciiTheme="minorEastAsia" w:hAnsiTheme="minorEastAsia"/>
          <w:sz w:val="24"/>
          <w:highlight w:val="none"/>
          <w:lang w:val="en-US" w:eastAsia="zh-CN"/>
        </w:rPr>
        <w:t>600</w:t>
      </w:r>
      <w:r>
        <w:rPr>
          <w:rFonts w:hint="eastAsia" w:asciiTheme="minorEastAsia" w:hAnsiTheme="minorEastAsia"/>
          <w:sz w:val="24"/>
          <w:highlight w:val="none"/>
        </w:rPr>
        <w:t>辆（含一般小型车</w:t>
      </w:r>
      <w:r>
        <w:rPr>
          <w:rFonts w:hint="eastAsia" w:asciiTheme="minorEastAsia" w:hAnsiTheme="minorEastAsia"/>
          <w:sz w:val="24"/>
          <w:highlight w:val="none"/>
          <w:lang w:val="en-US" w:eastAsia="zh-CN"/>
        </w:rPr>
        <w:t>560</w:t>
      </w:r>
      <w:r>
        <w:rPr>
          <w:rFonts w:hint="eastAsia" w:asciiTheme="minorEastAsia" w:hAnsiTheme="minorEastAsia"/>
          <w:sz w:val="24"/>
          <w:highlight w:val="none"/>
        </w:rPr>
        <w:t>辆、一般大型车</w:t>
      </w:r>
      <w:r>
        <w:rPr>
          <w:rFonts w:hint="eastAsia" w:asciiTheme="minorEastAsia" w:hAnsiTheme="minorEastAsia"/>
          <w:sz w:val="24"/>
          <w:highlight w:val="none"/>
          <w:lang w:val="en-US" w:eastAsia="zh-CN"/>
        </w:rPr>
        <w:t>30</w:t>
      </w:r>
      <w:r>
        <w:rPr>
          <w:rFonts w:hint="eastAsia" w:asciiTheme="minorEastAsia" w:hAnsiTheme="minorEastAsia"/>
          <w:sz w:val="24"/>
          <w:highlight w:val="none"/>
        </w:rPr>
        <w:t>辆</w:t>
      </w:r>
      <w:r>
        <w:rPr>
          <w:rFonts w:hint="eastAsia" w:asciiTheme="minorEastAsia" w:hAnsiTheme="minorEastAsia"/>
          <w:sz w:val="24"/>
          <w:highlight w:val="none"/>
          <w:lang w:eastAsia="zh-CN"/>
        </w:rPr>
        <w:t>，</w:t>
      </w:r>
      <w:r>
        <w:rPr>
          <w:rFonts w:hint="eastAsia" w:ascii="宋体" w:hAnsi="宋体" w:cs="宋体"/>
          <w:color w:val="auto"/>
          <w:sz w:val="24"/>
          <w:szCs w:val="32"/>
          <w:highlight w:val="none"/>
          <w:lang w:eastAsia="zh-CN"/>
        </w:rPr>
        <w:t>延长或滞留车</w:t>
      </w:r>
      <w:r>
        <w:rPr>
          <w:rFonts w:hint="eastAsia" w:ascii="宋体" w:hAnsi="宋体" w:cs="宋体"/>
          <w:color w:val="auto"/>
          <w:sz w:val="24"/>
          <w:szCs w:val="32"/>
          <w:highlight w:val="none"/>
          <w:lang w:val="en-US" w:eastAsia="zh-CN"/>
        </w:rPr>
        <w:t>10</w:t>
      </w:r>
      <w:r>
        <w:rPr>
          <w:rFonts w:hint="eastAsia" w:ascii="宋体" w:hAnsi="宋体" w:cs="宋体"/>
          <w:color w:val="auto"/>
          <w:sz w:val="24"/>
          <w:szCs w:val="32"/>
          <w:highlight w:val="none"/>
          <w:lang w:eastAsia="zh-CN"/>
        </w:rPr>
        <w:t>辆</w:t>
      </w:r>
      <w:r>
        <w:rPr>
          <w:rFonts w:hint="eastAsia" w:asciiTheme="minorEastAsia" w:hAnsiTheme="minorEastAsia"/>
          <w:sz w:val="24"/>
          <w:highlight w:val="none"/>
        </w:rPr>
        <w:t>）</w:t>
      </w:r>
      <w:r>
        <w:rPr>
          <w:rFonts w:hint="eastAsia" w:asciiTheme="minorEastAsia" w:hAnsiTheme="minorEastAsia"/>
          <w:sz w:val="24"/>
          <w:highlight w:val="none"/>
          <w:lang w:val="en-US" w:eastAsia="zh-CN"/>
        </w:rPr>
        <w:t>若高于停车上限停放数量按停车上限数量结算</w:t>
      </w:r>
      <w:r>
        <w:rPr>
          <w:rFonts w:hint="eastAsia" w:asciiTheme="minorEastAsia" w:hAnsiTheme="minorEastAsia"/>
          <w:sz w:val="24"/>
          <w:highlight w:val="none"/>
        </w:rPr>
        <w:t>；</w:t>
      </w:r>
    </w:p>
    <w:p>
      <w:pPr>
        <w:spacing w:line="360" w:lineRule="auto"/>
        <w:ind w:firstLine="480" w:firstLineChars="200"/>
        <w:rPr>
          <w:rFonts w:hint="eastAsia" w:asciiTheme="minorEastAsia" w:hAnsiTheme="minorEastAsia"/>
          <w:sz w:val="24"/>
          <w:highlight w:val="none"/>
        </w:rPr>
      </w:pPr>
      <w:r>
        <w:rPr>
          <w:rFonts w:hint="eastAsia" w:asciiTheme="minorEastAsia" w:hAnsiTheme="minorEastAsia"/>
          <w:sz w:val="24"/>
          <w:highlight w:val="none"/>
          <w:lang w:eastAsia="zh-CN"/>
        </w:rPr>
        <w:t>2024年扣押违法车辆停车保管服务项目（</w:t>
      </w:r>
      <w:r>
        <w:rPr>
          <w:rFonts w:hint="eastAsia" w:asciiTheme="minorEastAsia" w:hAnsiTheme="minorEastAsia"/>
          <w:sz w:val="24"/>
          <w:highlight w:val="none"/>
        </w:rPr>
        <w:t>包</w:t>
      </w:r>
      <w:r>
        <w:rPr>
          <w:rFonts w:hint="eastAsia" w:asciiTheme="minorEastAsia" w:hAnsiTheme="minorEastAsia"/>
          <w:sz w:val="24"/>
          <w:highlight w:val="none"/>
          <w:lang w:val="en-US" w:eastAsia="zh-CN"/>
        </w:rPr>
        <w:t>3</w:t>
      </w:r>
      <w:r>
        <w:rPr>
          <w:rFonts w:hint="eastAsia" w:asciiTheme="minorEastAsia" w:hAnsiTheme="minorEastAsia"/>
          <w:sz w:val="24"/>
          <w:highlight w:val="none"/>
          <w:lang w:eastAsia="zh-CN"/>
        </w:rPr>
        <w:t>）</w:t>
      </w:r>
      <w:r>
        <w:rPr>
          <w:rFonts w:hint="eastAsia" w:asciiTheme="minorEastAsia" w:hAnsiTheme="minorEastAsia"/>
          <w:sz w:val="24"/>
          <w:highlight w:val="none"/>
        </w:rPr>
        <w:t>：</w:t>
      </w:r>
      <w:r>
        <w:rPr>
          <w:rFonts w:hint="eastAsia" w:ascii="宋体" w:hAnsi="宋体" w:cs="宋体"/>
          <w:color w:val="auto"/>
          <w:sz w:val="24"/>
          <w:szCs w:val="32"/>
          <w:highlight w:val="none"/>
          <w:lang w:val="en-US" w:eastAsia="zh-CN"/>
        </w:rPr>
        <w:t>通州城区东部交通执法、联合执法暂扣车辆</w:t>
      </w:r>
      <w:r>
        <w:rPr>
          <w:rFonts w:hint="eastAsia" w:asciiTheme="minorEastAsia" w:hAnsiTheme="minorEastAsia"/>
          <w:sz w:val="24"/>
          <w:highlight w:val="none"/>
        </w:rPr>
        <w:t>：</w:t>
      </w:r>
      <w:r>
        <w:rPr>
          <w:rFonts w:hint="eastAsia" w:asciiTheme="minorEastAsia" w:hAnsiTheme="minorEastAsia"/>
          <w:sz w:val="24"/>
          <w:highlight w:val="none"/>
          <w:lang w:val="en-US" w:eastAsia="zh-CN"/>
        </w:rPr>
        <w:t>15</w:t>
      </w:r>
      <w:r>
        <w:rPr>
          <w:rFonts w:hint="eastAsia" w:asciiTheme="minorEastAsia" w:hAnsiTheme="minorEastAsia"/>
          <w:sz w:val="24"/>
          <w:highlight w:val="none"/>
        </w:rPr>
        <w:t>万元，预计停放</w:t>
      </w:r>
      <w:r>
        <w:rPr>
          <w:rFonts w:hint="eastAsia" w:asciiTheme="minorEastAsia" w:hAnsiTheme="minorEastAsia"/>
          <w:sz w:val="24"/>
          <w:highlight w:val="none"/>
          <w:lang w:val="en-US" w:eastAsia="zh-CN"/>
        </w:rPr>
        <w:t>300</w:t>
      </w:r>
      <w:r>
        <w:rPr>
          <w:rFonts w:hint="eastAsia" w:asciiTheme="minorEastAsia" w:hAnsiTheme="minorEastAsia"/>
          <w:sz w:val="24"/>
          <w:highlight w:val="none"/>
        </w:rPr>
        <w:t>辆（含一般小型车</w:t>
      </w:r>
      <w:r>
        <w:rPr>
          <w:rFonts w:hint="eastAsia" w:asciiTheme="minorEastAsia" w:hAnsiTheme="minorEastAsia"/>
          <w:sz w:val="24"/>
          <w:highlight w:val="none"/>
          <w:lang w:val="en-US" w:eastAsia="zh-CN"/>
        </w:rPr>
        <w:t>260</w:t>
      </w:r>
      <w:r>
        <w:rPr>
          <w:rFonts w:hint="eastAsia" w:asciiTheme="minorEastAsia" w:hAnsiTheme="minorEastAsia"/>
          <w:sz w:val="24"/>
          <w:highlight w:val="none"/>
        </w:rPr>
        <w:t>辆、一般大型车</w:t>
      </w:r>
      <w:r>
        <w:rPr>
          <w:rFonts w:hint="eastAsia" w:asciiTheme="minorEastAsia" w:hAnsiTheme="minorEastAsia"/>
          <w:sz w:val="24"/>
          <w:highlight w:val="none"/>
          <w:lang w:val="en-US" w:eastAsia="zh-CN"/>
        </w:rPr>
        <w:t>30</w:t>
      </w:r>
      <w:r>
        <w:rPr>
          <w:rFonts w:hint="eastAsia" w:asciiTheme="minorEastAsia" w:hAnsiTheme="minorEastAsia"/>
          <w:sz w:val="24"/>
          <w:highlight w:val="none"/>
        </w:rPr>
        <w:t>辆</w:t>
      </w:r>
      <w:r>
        <w:rPr>
          <w:rFonts w:hint="eastAsia" w:asciiTheme="minorEastAsia" w:hAnsiTheme="minorEastAsia"/>
          <w:sz w:val="24"/>
          <w:highlight w:val="none"/>
          <w:lang w:eastAsia="zh-CN"/>
        </w:rPr>
        <w:t>，</w:t>
      </w:r>
      <w:r>
        <w:rPr>
          <w:rFonts w:hint="eastAsia" w:ascii="宋体" w:hAnsi="宋体" w:cs="宋体"/>
          <w:color w:val="auto"/>
          <w:sz w:val="24"/>
          <w:szCs w:val="32"/>
          <w:highlight w:val="none"/>
          <w:lang w:eastAsia="zh-CN"/>
        </w:rPr>
        <w:t>延长或滞留车</w:t>
      </w:r>
      <w:r>
        <w:rPr>
          <w:rFonts w:hint="eastAsia" w:ascii="宋体" w:hAnsi="宋体" w:cs="宋体"/>
          <w:color w:val="auto"/>
          <w:sz w:val="24"/>
          <w:szCs w:val="32"/>
          <w:highlight w:val="none"/>
          <w:lang w:val="en-US" w:eastAsia="zh-CN"/>
        </w:rPr>
        <w:t>10</w:t>
      </w:r>
      <w:r>
        <w:rPr>
          <w:rFonts w:hint="eastAsia" w:ascii="宋体" w:hAnsi="宋体" w:cs="宋体"/>
          <w:color w:val="auto"/>
          <w:sz w:val="24"/>
          <w:szCs w:val="32"/>
          <w:highlight w:val="none"/>
          <w:lang w:eastAsia="zh-CN"/>
        </w:rPr>
        <w:t>辆</w:t>
      </w:r>
      <w:r>
        <w:rPr>
          <w:rFonts w:hint="eastAsia" w:asciiTheme="minorEastAsia" w:hAnsiTheme="minorEastAsia"/>
          <w:sz w:val="24"/>
          <w:highlight w:val="none"/>
        </w:rPr>
        <w:t>））</w:t>
      </w:r>
      <w:r>
        <w:rPr>
          <w:rFonts w:hint="eastAsia" w:asciiTheme="minorEastAsia" w:hAnsiTheme="minorEastAsia"/>
          <w:sz w:val="24"/>
          <w:highlight w:val="none"/>
          <w:lang w:val="en-US" w:eastAsia="zh-CN"/>
        </w:rPr>
        <w:t>若高于停车上限停放数量按停车上限数量结算</w:t>
      </w:r>
      <w:r>
        <w:rPr>
          <w:rFonts w:hint="eastAsia" w:asciiTheme="minorEastAsia" w:hAnsiTheme="minorEastAsia"/>
          <w:sz w:val="24"/>
          <w:highlight w:val="none"/>
        </w:rPr>
        <w:t>；</w:t>
      </w:r>
    </w:p>
    <w:p>
      <w:pPr>
        <w:spacing w:line="360" w:lineRule="auto"/>
        <w:ind w:firstLine="480" w:firstLineChars="200"/>
        <w:rPr>
          <w:rFonts w:hint="eastAsia"/>
          <w:highlight w:val="none"/>
        </w:rPr>
      </w:pPr>
      <w:r>
        <w:rPr>
          <w:rFonts w:hint="eastAsia" w:asciiTheme="minorEastAsia" w:hAnsiTheme="minorEastAsia"/>
          <w:sz w:val="24"/>
          <w:highlight w:val="none"/>
          <w:lang w:eastAsia="zh-CN"/>
        </w:rPr>
        <w:t>2024年扣押违法车辆停车保管服务项目（</w:t>
      </w:r>
      <w:r>
        <w:rPr>
          <w:rFonts w:hint="eastAsia" w:asciiTheme="minorEastAsia" w:hAnsiTheme="minorEastAsia"/>
          <w:sz w:val="24"/>
          <w:highlight w:val="none"/>
        </w:rPr>
        <w:t>包</w:t>
      </w:r>
      <w:r>
        <w:rPr>
          <w:rFonts w:hint="eastAsia" w:asciiTheme="minorEastAsia" w:hAnsiTheme="minorEastAsia"/>
          <w:sz w:val="24"/>
          <w:highlight w:val="none"/>
          <w:lang w:val="en-US" w:eastAsia="zh-CN"/>
        </w:rPr>
        <w:t>4</w:t>
      </w:r>
      <w:r>
        <w:rPr>
          <w:rFonts w:hint="eastAsia" w:asciiTheme="minorEastAsia" w:hAnsiTheme="minorEastAsia"/>
          <w:sz w:val="24"/>
          <w:highlight w:val="none"/>
          <w:lang w:eastAsia="zh-CN"/>
        </w:rPr>
        <w:t>）</w:t>
      </w:r>
      <w:r>
        <w:rPr>
          <w:rFonts w:hint="eastAsia" w:asciiTheme="minorEastAsia" w:hAnsiTheme="minorEastAsia"/>
          <w:sz w:val="24"/>
          <w:highlight w:val="none"/>
        </w:rPr>
        <w:t>：</w:t>
      </w:r>
      <w:r>
        <w:rPr>
          <w:rFonts w:hint="eastAsia" w:ascii="宋体" w:hAnsi="宋体" w:cs="宋体"/>
          <w:color w:val="auto"/>
          <w:sz w:val="24"/>
          <w:szCs w:val="32"/>
          <w:highlight w:val="none"/>
          <w:lang w:val="en-US" w:eastAsia="zh-CN"/>
        </w:rPr>
        <w:t>通州城区全域交通执法、联合执法暂扣车辆</w:t>
      </w:r>
      <w:r>
        <w:rPr>
          <w:rFonts w:hint="eastAsia" w:asciiTheme="minorEastAsia" w:hAnsiTheme="minorEastAsia"/>
          <w:sz w:val="24"/>
          <w:highlight w:val="none"/>
        </w:rPr>
        <w:t>：</w:t>
      </w:r>
      <w:r>
        <w:rPr>
          <w:rFonts w:hint="eastAsia" w:asciiTheme="minorEastAsia" w:hAnsiTheme="minorEastAsia"/>
          <w:sz w:val="24"/>
          <w:highlight w:val="none"/>
          <w:lang w:val="en-US" w:eastAsia="zh-CN"/>
        </w:rPr>
        <w:t>35</w:t>
      </w:r>
      <w:r>
        <w:rPr>
          <w:rFonts w:hint="eastAsia" w:asciiTheme="minorEastAsia" w:hAnsiTheme="minorEastAsia"/>
          <w:sz w:val="24"/>
          <w:highlight w:val="none"/>
        </w:rPr>
        <w:t>万元，预计停放</w:t>
      </w:r>
      <w:r>
        <w:rPr>
          <w:rFonts w:hint="eastAsia" w:asciiTheme="minorEastAsia" w:hAnsiTheme="minorEastAsia"/>
          <w:sz w:val="24"/>
          <w:highlight w:val="none"/>
          <w:lang w:val="en-US" w:eastAsia="zh-CN"/>
        </w:rPr>
        <w:t>600</w:t>
      </w:r>
      <w:r>
        <w:rPr>
          <w:rFonts w:hint="eastAsia" w:asciiTheme="minorEastAsia" w:hAnsiTheme="minorEastAsia"/>
          <w:sz w:val="24"/>
          <w:highlight w:val="none"/>
        </w:rPr>
        <w:t>辆（含一般小型车</w:t>
      </w:r>
      <w:r>
        <w:rPr>
          <w:rFonts w:hint="eastAsia" w:asciiTheme="minorEastAsia" w:hAnsiTheme="minorEastAsia"/>
          <w:sz w:val="24"/>
          <w:highlight w:val="none"/>
          <w:lang w:val="en-US" w:eastAsia="zh-CN"/>
        </w:rPr>
        <w:t>560</w:t>
      </w:r>
      <w:r>
        <w:rPr>
          <w:rFonts w:hint="eastAsia" w:asciiTheme="minorEastAsia" w:hAnsiTheme="minorEastAsia"/>
          <w:sz w:val="24"/>
          <w:highlight w:val="none"/>
        </w:rPr>
        <w:t>辆、一般大型车</w:t>
      </w:r>
      <w:r>
        <w:rPr>
          <w:rFonts w:hint="eastAsia" w:asciiTheme="minorEastAsia" w:hAnsiTheme="minorEastAsia"/>
          <w:sz w:val="24"/>
          <w:highlight w:val="none"/>
          <w:lang w:val="en-US" w:eastAsia="zh-CN"/>
        </w:rPr>
        <w:t>30</w:t>
      </w:r>
      <w:r>
        <w:rPr>
          <w:rFonts w:hint="eastAsia" w:asciiTheme="minorEastAsia" w:hAnsiTheme="minorEastAsia"/>
          <w:sz w:val="24"/>
          <w:highlight w:val="none"/>
        </w:rPr>
        <w:t>辆</w:t>
      </w:r>
      <w:r>
        <w:rPr>
          <w:rFonts w:hint="eastAsia" w:asciiTheme="minorEastAsia" w:hAnsiTheme="minorEastAsia"/>
          <w:sz w:val="24"/>
          <w:highlight w:val="none"/>
          <w:lang w:eastAsia="zh-CN"/>
        </w:rPr>
        <w:t>，</w:t>
      </w:r>
      <w:r>
        <w:rPr>
          <w:rFonts w:hint="eastAsia" w:ascii="宋体" w:hAnsi="宋体" w:cs="宋体"/>
          <w:color w:val="auto"/>
          <w:sz w:val="24"/>
          <w:szCs w:val="32"/>
          <w:highlight w:val="none"/>
          <w:lang w:eastAsia="zh-CN"/>
        </w:rPr>
        <w:t>延长或滞留车</w:t>
      </w:r>
      <w:r>
        <w:rPr>
          <w:rFonts w:hint="eastAsia" w:ascii="宋体" w:hAnsi="宋体" w:cs="宋体"/>
          <w:color w:val="auto"/>
          <w:sz w:val="24"/>
          <w:szCs w:val="32"/>
          <w:highlight w:val="none"/>
          <w:lang w:val="en-US" w:eastAsia="zh-CN"/>
        </w:rPr>
        <w:t>10</w:t>
      </w:r>
      <w:r>
        <w:rPr>
          <w:rFonts w:hint="eastAsia" w:ascii="宋体" w:hAnsi="宋体" w:cs="宋体"/>
          <w:color w:val="auto"/>
          <w:sz w:val="24"/>
          <w:szCs w:val="32"/>
          <w:highlight w:val="none"/>
          <w:lang w:eastAsia="zh-CN"/>
        </w:rPr>
        <w:t>辆</w:t>
      </w:r>
      <w:r>
        <w:rPr>
          <w:rFonts w:hint="eastAsia" w:asciiTheme="minorEastAsia" w:hAnsiTheme="minorEastAsia"/>
          <w:sz w:val="24"/>
          <w:highlight w:val="none"/>
        </w:rPr>
        <w:t>））</w:t>
      </w:r>
      <w:r>
        <w:rPr>
          <w:rFonts w:hint="eastAsia" w:asciiTheme="minorEastAsia" w:hAnsiTheme="minorEastAsia"/>
          <w:sz w:val="24"/>
          <w:highlight w:val="none"/>
          <w:lang w:val="en-US" w:eastAsia="zh-CN"/>
        </w:rPr>
        <w:t>若高于停车上限停放数量按停车上限数量结算</w:t>
      </w:r>
      <w:r>
        <w:rPr>
          <w:rFonts w:hint="eastAsia" w:asciiTheme="minorEastAsia" w:hAnsiTheme="minorEastAsia"/>
          <w:sz w:val="24"/>
          <w:highlight w:val="none"/>
        </w:rPr>
        <w:t>；</w:t>
      </w:r>
    </w:p>
    <w:p>
      <w:pPr>
        <w:spacing w:line="360" w:lineRule="auto"/>
        <w:ind w:firstLine="480" w:firstLineChars="200"/>
        <w:rPr>
          <w:rFonts w:hint="eastAsia"/>
        </w:rPr>
      </w:pPr>
      <w:r>
        <w:rPr>
          <w:rFonts w:hint="eastAsia" w:asciiTheme="minorEastAsia" w:hAnsiTheme="minorEastAsia"/>
          <w:sz w:val="24"/>
        </w:rPr>
        <w:t>用于2024年-202</w:t>
      </w:r>
      <w:r>
        <w:rPr>
          <w:rFonts w:hint="eastAsia" w:asciiTheme="minorEastAsia" w:hAnsiTheme="minorEastAsia"/>
          <w:sz w:val="24"/>
          <w:lang w:val="en-US" w:eastAsia="zh-CN"/>
        </w:rPr>
        <w:t>5</w:t>
      </w:r>
      <w:r>
        <w:rPr>
          <w:rFonts w:hint="eastAsia" w:asciiTheme="minorEastAsia" w:hAnsiTheme="minorEastAsia"/>
          <w:sz w:val="24"/>
        </w:rPr>
        <w:t>年</w:t>
      </w:r>
      <w:r>
        <w:rPr>
          <w:rFonts w:hint="eastAsia" w:asciiTheme="minorEastAsia" w:hAnsiTheme="minorEastAsia"/>
          <w:sz w:val="24"/>
          <w:lang w:val="en-US" w:eastAsia="zh-CN"/>
        </w:rPr>
        <w:t>通州交通局</w:t>
      </w:r>
      <w:r>
        <w:rPr>
          <w:rFonts w:hint="eastAsia" w:asciiTheme="minorEastAsia" w:hAnsiTheme="minorEastAsia"/>
          <w:sz w:val="24"/>
        </w:rPr>
        <w:t>交通执法暂扣车辆保管采购项目。</w:t>
      </w:r>
    </w:p>
    <w:p>
      <w:pPr>
        <w:snapToGrid w:val="0"/>
        <w:spacing w:line="360" w:lineRule="auto"/>
        <w:jc w:val="left"/>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   </w:t>
      </w:r>
      <w:r>
        <w:rPr>
          <w:rFonts w:hint="eastAsia" w:ascii="宋体" w:hAnsi="宋体" w:cs="宋体"/>
          <w:color w:val="auto"/>
          <w:sz w:val="24"/>
          <w:szCs w:val="32"/>
          <w:highlight w:val="none"/>
        </w:rPr>
        <w:t>2.</w:t>
      </w:r>
      <w:r>
        <w:rPr>
          <w:rFonts w:hint="eastAsia" w:ascii="宋体" w:hAnsi="宋体" w:cs="宋体"/>
          <w:color w:val="auto"/>
          <w:sz w:val="24"/>
          <w:szCs w:val="32"/>
          <w:highlight w:val="none"/>
          <w:lang w:val="en-US" w:eastAsia="zh-CN"/>
        </w:rPr>
        <w:t>2 招标控制单价：小型车辆545元/辆；大型车辆745元/辆；</w:t>
      </w:r>
      <w:r>
        <w:rPr>
          <w:rFonts w:hint="eastAsia" w:asciiTheme="minorEastAsia" w:hAnsiTheme="minorEastAsia"/>
          <w:sz w:val="24"/>
          <w:highlight w:val="none"/>
        </w:rPr>
        <w:t>超过30天的车辆</w:t>
      </w:r>
      <w:r>
        <w:rPr>
          <w:rFonts w:hint="eastAsia" w:asciiTheme="minorEastAsia" w:hAnsiTheme="minorEastAsia"/>
          <w:sz w:val="24"/>
          <w:highlight w:val="none"/>
          <w:lang w:eastAsia="zh-CN"/>
        </w:rPr>
        <w:t>（</w:t>
      </w:r>
      <w:r>
        <w:rPr>
          <w:rFonts w:hint="eastAsia" w:ascii="宋体" w:hAnsi="宋体" w:cs="宋体"/>
          <w:kern w:val="0"/>
          <w:sz w:val="24"/>
        </w:rPr>
        <w:t>延长或滞留车</w:t>
      </w:r>
      <w:r>
        <w:rPr>
          <w:rFonts w:hint="eastAsia" w:asciiTheme="minorEastAsia" w:hAnsiTheme="minorEastAsia"/>
          <w:sz w:val="24"/>
          <w:highlight w:val="none"/>
          <w:lang w:eastAsia="zh-CN"/>
        </w:rPr>
        <w:t>）</w:t>
      </w:r>
      <w:r>
        <w:rPr>
          <w:rFonts w:hint="eastAsia" w:asciiTheme="minorEastAsia" w:hAnsiTheme="minorEastAsia"/>
          <w:sz w:val="24"/>
          <w:highlight w:val="none"/>
        </w:rPr>
        <w:t>按保管费用2倍计算。</w:t>
      </w:r>
    </w:p>
    <w:p>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 xml:space="preserve">注： 1、技术规格及要求详见第二部分技术规格及要求 </w:t>
      </w:r>
    </w:p>
    <w:p>
      <w:pPr>
        <w:snapToGrid w:val="0"/>
        <w:spacing w:line="360" w:lineRule="auto"/>
        <w:ind w:firstLine="1058" w:firstLineChars="441"/>
        <w:rPr>
          <w:rFonts w:ascii="宋体" w:hAnsi="宋体" w:cs="宋体"/>
          <w:color w:val="auto"/>
          <w:sz w:val="24"/>
          <w:szCs w:val="32"/>
          <w:highlight w:val="none"/>
        </w:rPr>
      </w:pPr>
      <w:r>
        <w:rPr>
          <w:rFonts w:hint="eastAsia" w:ascii="宋体" w:hAnsi="宋体" w:cs="宋体"/>
          <w:color w:val="auto"/>
          <w:sz w:val="24"/>
          <w:szCs w:val="32"/>
          <w:highlight w:val="none"/>
        </w:rPr>
        <w:t xml:space="preserve">2、投标人提供高德地图停车场位置截图，地图比例为 100 米。（截图 </w:t>
      </w:r>
    </w:p>
    <w:p>
      <w:pPr>
        <w:snapToGrid w:val="0"/>
        <w:spacing w:line="360" w:lineRule="auto"/>
        <w:ind w:firstLine="1058" w:firstLineChars="441"/>
        <w:rPr>
          <w:color w:val="auto"/>
          <w:highlight w:val="none"/>
        </w:rPr>
      </w:pPr>
      <w:r>
        <w:rPr>
          <w:rFonts w:hint="eastAsia" w:ascii="宋体" w:hAnsi="宋体" w:cs="宋体"/>
          <w:color w:val="auto"/>
          <w:sz w:val="24"/>
          <w:szCs w:val="32"/>
          <w:highlight w:val="none"/>
        </w:rPr>
        <w:t>示例见下页）</w:t>
      </w:r>
      <w:r>
        <w:rPr>
          <w:rFonts w:hint="eastAsia" w:ascii="宋体" w:hAnsi="宋体" w:cs="宋体"/>
          <w:b/>
          <w:bCs/>
          <w:color w:val="auto"/>
          <w:kern w:val="0"/>
          <w:sz w:val="24"/>
          <w:highlight w:val="none"/>
          <w:lang w:bidi="ar"/>
        </w:rPr>
        <w:t xml:space="preserve"> </w:t>
      </w:r>
    </w:p>
    <w:p>
      <w:pPr>
        <w:snapToGrid w:val="0"/>
        <w:spacing w:line="360" w:lineRule="auto"/>
        <w:rPr>
          <w:color w:val="auto"/>
          <w:highlight w:val="none"/>
        </w:rPr>
      </w:pPr>
      <w:r>
        <w:rPr>
          <w:sz w:val="21"/>
        </w:rPr>
        <mc:AlternateContent>
          <mc:Choice Requires="wps">
            <w:drawing>
              <wp:anchor distT="0" distB="0" distL="114300" distR="114300" simplePos="0" relativeHeight="251659264" behindDoc="0" locked="0" layoutInCell="1" allowOverlap="1">
                <wp:simplePos x="0" y="0"/>
                <wp:positionH relativeFrom="column">
                  <wp:posOffset>5407660</wp:posOffset>
                </wp:positionH>
                <wp:positionV relativeFrom="paragraph">
                  <wp:posOffset>2861945</wp:posOffset>
                </wp:positionV>
                <wp:extent cx="438150" cy="171450"/>
                <wp:effectExtent l="12700" t="0" r="25400" b="26035"/>
                <wp:wrapNone/>
                <wp:docPr id="8" name="矩形 8"/>
                <wp:cNvGraphicFramePr/>
                <a:graphic xmlns:a="http://schemas.openxmlformats.org/drawingml/2006/main">
                  <a:graphicData uri="http://schemas.microsoft.com/office/word/2010/wordprocessingShape">
                    <wps:wsp>
                      <wps:cNvSpPr/>
                      <wps:spPr>
                        <a:xfrm>
                          <a:off x="6487795" y="7893050"/>
                          <a:ext cx="43815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25.8pt;margin-top:225.35pt;height:13.5pt;width:34.5pt;z-index:251659264;v-text-anchor:middle;mso-width-relative:page;mso-height-relative:page;" filled="f" stroked="t" coordsize="21600,21600" o:gfxdata="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gs7GzZAAAACwEAAA8AAAAAAAAAAQAgAAAAIgAAAGRycy9kb3ducmV2LnhtbFBLAQIUABQAAAAI&#10;AIdO4kB0E6zzXgIAAJIEAAAOAAAAAAAAAAEAIAAAACgBAABkcnMvZTJvRG9jLnhtbFBLBQYAAAAA&#10;BgAGAFkBAAD4BQAAAAA=&#10;">
                <v:fill on="f" focussize="0,0"/>
                <v:stroke weight="2pt" color="#385D8A [3204]" joinstyle="round"/>
                <v:imagedata o:title=""/>
                <o:lock v:ext="edit" aspectratio="f"/>
              </v:rect>
            </w:pict>
          </mc:Fallback>
        </mc:AlternateContent>
      </w:r>
      <w:r>
        <w:drawing>
          <wp:inline distT="0" distB="0" distL="114300" distR="114300">
            <wp:extent cx="5755005" cy="3020060"/>
            <wp:effectExtent l="0" t="0" r="17145"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8"/>
                    <a:stretch>
                      <a:fillRect/>
                    </a:stretch>
                  </pic:blipFill>
                  <pic:spPr>
                    <a:xfrm>
                      <a:off x="0" y="0"/>
                      <a:ext cx="5755005" cy="3020060"/>
                    </a:xfrm>
                    <a:prstGeom prst="rect">
                      <a:avLst/>
                    </a:prstGeom>
                    <a:noFill/>
                    <a:ln w="9525">
                      <a:noFill/>
                      <a:miter/>
                    </a:ln>
                  </pic:spPr>
                </pic:pic>
              </a:graphicData>
            </a:graphic>
          </wp:inline>
        </w:drawing>
      </w:r>
    </w:p>
    <w:p>
      <w:pPr>
        <w:snapToGrid w:val="0"/>
        <w:spacing w:line="360" w:lineRule="auto"/>
        <w:rPr>
          <w:rFonts w:hint="eastAsia" w:ascii="宋体" w:hAnsi="宋体" w:cs="宋体"/>
          <w:color w:val="auto"/>
          <w:sz w:val="24"/>
          <w:szCs w:val="32"/>
          <w:highlight w:val="none"/>
          <w:lang w:val="en-US" w:eastAsia="zh-CN"/>
        </w:rPr>
      </w:pPr>
    </w:p>
    <w:p>
      <w:pPr>
        <w:snapToGrid w:val="0"/>
        <w:spacing w:line="360" w:lineRule="auto"/>
        <w:rPr>
          <w:rFonts w:hint="eastAsia" w:ascii="宋体" w:hAnsi="宋体" w:cs="宋体"/>
          <w:color w:val="auto"/>
          <w:sz w:val="24"/>
          <w:szCs w:val="32"/>
          <w:highlight w:val="none"/>
          <w:lang w:val="en-US" w:eastAsia="zh-CN"/>
        </w:rPr>
      </w:pPr>
    </w:p>
    <w:p>
      <w:pPr>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br w:type="page"/>
      </w:r>
    </w:p>
    <w:p>
      <w:pPr>
        <w:snapToGrid w:val="0"/>
        <w:spacing w:line="360" w:lineRule="auto"/>
        <w:rPr>
          <w:rFonts w:hint="default"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2.3车辆性质划分：</w:t>
      </w:r>
    </w:p>
    <w:p>
      <w:pPr>
        <w:numPr>
          <w:ilvl w:val="0"/>
          <w:numId w:val="17"/>
        </w:numPr>
        <w:snapToGrid w:val="0"/>
        <w:spacing w:line="360" w:lineRule="auto"/>
        <w:rPr>
          <w:rFonts w:hint="eastAsia"/>
          <w:color w:val="auto"/>
          <w:sz w:val="24"/>
          <w:highlight w:val="none"/>
          <w:lang w:val="en-US" w:eastAsia="zh-CN"/>
        </w:rPr>
      </w:pPr>
      <w:r>
        <w:rPr>
          <w:rFonts w:hint="eastAsia"/>
          <w:color w:val="auto"/>
          <w:sz w:val="24"/>
          <w:highlight w:val="none"/>
          <w:lang w:val="en-US" w:eastAsia="zh-CN"/>
        </w:rPr>
        <w:t>扣押车辆正常保管期限为：1-30（含）天；</w:t>
      </w:r>
    </w:p>
    <w:p>
      <w:pPr>
        <w:numPr>
          <w:ilvl w:val="0"/>
          <w:numId w:val="17"/>
        </w:numPr>
        <w:snapToGrid w:val="0"/>
        <w:spacing w:line="360" w:lineRule="auto"/>
        <w:rPr>
          <w:rFonts w:hint="eastAsia"/>
          <w:color w:val="auto"/>
          <w:sz w:val="24"/>
          <w:highlight w:val="none"/>
          <w:lang w:val="en-US" w:eastAsia="zh-CN"/>
        </w:rPr>
      </w:pPr>
      <w:r>
        <w:rPr>
          <w:rFonts w:hint="eastAsia"/>
          <w:color w:val="auto"/>
          <w:sz w:val="24"/>
          <w:highlight w:val="none"/>
          <w:lang w:val="en-US" w:eastAsia="zh-CN"/>
        </w:rPr>
        <w:t>延长扣押车辆：指停放天数大于30天，小于60天的车辆；</w:t>
      </w:r>
    </w:p>
    <w:p>
      <w:pPr>
        <w:numPr>
          <w:ilvl w:val="0"/>
          <w:numId w:val="17"/>
        </w:numPr>
        <w:snapToGrid w:val="0"/>
        <w:spacing w:line="360" w:lineRule="auto"/>
        <w:rPr>
          <w:rFonts w:hint="default" w:ascii="宋体" w:hAnsi="宋体" w:eastAsia="宋体" w:cs="宋体"/>
          <w:color w:val="auto"/>
          <w:sz w:val="24"/>
          <w:szCs w:val="32"/>
          <w:highlight w:val="none"/>
          <w:lang w:val="en-US" w:eastAsia="zh-CN"/>
        </w:rPr>
      </w:pPr>
      <w:r>
        <w:rPr>
          <w:rFonts w:hint="eastAsia"/>
          <w:color w:val="auto"/>
          <w:sz w:val="24"/>
          <w:highlight w:val="none"/>
          <w:lang w:val="en-US" w:eastAsia="zh-CN"/>
        </w:rPr>
        <w:t>滞留扣押车辆：指停放天数大于60天或长期不来接受处理的车辆。</w:t>
      </w:r>
    </w:p>
    <w:p>
      <w:pPr>
        <w:snapToGrid w:val="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br w:type="page"/>
      </w:r>
    </w:p>
    <w:p>
      <w:pPr>
        <w:snapToGrid w:val="0"/>
        <w:spacing w:line="360" w:lineRule="auto"/>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第二部分  技术规格及要求</w:t>
      </w:r>
    </w:p>
    <w:p>
      <w:pPr>
        <w:pStyle w:val="265"/>
        <w:keepNext/>
        <w:keepLines/>
        <w:tabs>
          <w:tab w:val="left" w:pos="517"/>
        </w:tabs>
        <w:spacing w:line="471" w:lineRule="exact"/>
        <w:outlineLvl w:val="9"/>
        <w:rPr>
          <w:color w:val="auto"/>
          <w:highlight w:val="none"/>
        </w:rPr>
      </w:pPr>
      <w:bookmarkStart w:id="818" w:name="bookmark296"/>
      <w:bookmarkStart w:id="819" w:name="bookmark294"/>
      <w:bookmarkStart w:id="820" w:name="bookmark297"/>
      <w:bookmarkStart w:id="821" w:name="bookmark293"/>
      <w:bookmarkStart w:id="822" w:name="bookmark295"/>
      <w:r>
        <w:rPr>
          <w:color w:val="auto"/>
          <w:sz w:val="24"/>
          <w:highlight w:val="none"/>
        </w:rPr>
        <w:t>一</w:t>
      </w:r>
      <w:bookmarkEnd w:id="818"/>
      <w:r>
        <w:rPr>
          <w:color w:val="auto"/>
          <w:sz w:val="24"/>
          <w:highlight w:val="none"/>
        </w:rPr>
        <w:t>、</w:t>
      </w:r>
      <w:r>
        <w:rPr>
          <w:color w:val="auto"/>
          <w:sz w:val="24"/>
          <w:highlight w:val="none"/>
        </w:rPr>
        <w:tab/>
      </w:r>
      <w:r>
        <w:rPr>
          <w:color w:val="auto"/>
          <w:sz w:val="24"/>
          <w:highlight w:val="none"/>
        </w:rPr>
        <w:t>服务要求</w:t>
      </w:r>
      <w:bookmarkEnd w:id="819"/>
      <w:bookmarkEnd w:id="820"/>
      <w:bookmarkEnd w:id="821"/>
      <w:bookmarkEnd w:id="822"/>
    </w:p>
    <w:p>
      <w:pPr>
        <w:pStyle w:val="258"/>
        <w:tabs>
          <w:tab w:val="left" w:pos="402"/>
        </w:tabs>
        <w:spacing w:line="471" w:lineRule="exact"/>
        <w:ind w:firstLine="0"/>
        <w:rPr>
          <w:rFonts w:hint="eastAsia"/>
          <w:color w:val="auto"/>
          <w:sz w:val="24"/>
          <w:highlight w:val="none"/>
        </w:rPr>
      </w:pPr>
      <w:bookmarkStart w:id="823" w:name="bookmark298"/>
      <w:r>
        <w:rPr>
          <w:rFonts w:ascii="Times New Roman" w:hAnsi="Times New Roman" w:eastAsia="Times New Roman" w:cs="Times New Roman"/>
          <w:color w:val="auto"/>
          <w:sz w:val="24"/>
          <w:highlight w:val="none"/>
        </w:rPr>
        <w:t>1</w:t>
      </w:r>
      <w:bookmarkEnd w:id="823"/>
      <w:r>
        <w:rPr>
          <w:color w:val="auto"/>
          <w:sz w:val="24"/>
          <w:highlight w:val="none"/>
        </w:rPr>
        <w:t>、</w:t>
      </w:r>
      <w:r>
        <w:rPr>
          <w:color w:val="auto"/>
          <w:sz w:val="24"/>
          <w:highlight w:val="none"/>
        </w:rPr>
        <w:tab/>
      </w:r>
      <w:r>
        <w:rPr>
          <w:color w:val="auto"/>
          <w:sz w:val="24"/>
          <w:highlight w:val="none"/>
        </w:rPr>
        <w:tab/>
      </w:r>
      <w:r>
        <w:rPr>
          <w:rFonts w:hint="eastAsia"/>
          <w:color w:val="auto"/>
          <w:sz w:val="24"/>
          <w:highlight w:val="none"/>
          <w:lang w:val="en-US" w:eastAsia="zh-CN"/>
        </w:rPr>
        <w:t>投标人</w:t>
      </w:r>
      <w:r>
        <w:rPr>
          <w:color w:val="auto"/>
          <w:sz w:val="24"/>
          <w:highlight w:val="none"/>
        </w:rPr>
        <w:t>应当</w:t>
      </w:r>
      <w:bookmarkStart w:id="824" w:name="bookmark299"/>
      <w:r>
        <w:rPr>
          <w:rFonts w:hint="eastAsia"/>
          <w:color w:val="auto"/>
          <w:sz w:val="24"/>
          <w:highlight w:val="none"/>
        </w:rPr>
        <w:t>配备满足工作需要并经过人员培训的管理、安保、消防人员和具备驾驶各类车辆资格、满足执法暂扣车辆转移需要的专业驾驶人员，且所有人员五年内无暴力犯罪记录或其他不良记录。</w:t>
      </w:r>
    </w:p>
    <w:p>
      <w:pPr>
        <w:pStyle w:val="258"/>
        <w:tabs>
          <w:tab w:val="left" w:pos="402"/>
        </w:tabs>
        <w:spacing w:line="471" w:lineRule="exact"/>
        <w:ind w:firstLine="0"/>
        <w:rPr>
          <w:color w:val="auto"/>
          <w:highlight w:val="none"/>
        </w:rPr>
      </w:pPr>
      <w:r>
        <w:rPr>
          <w:rFonts w:ascii="Times New Roman" w:hAnsi="Times New Roman" w:eastAsia="Times New Roman" w:cs="Times New Roman"/>
          <w:color w:val="auto"/>
          <w:sz w:val="24"/>
          <w:highlight w:val="none"/>
        </w:rPr>
        <w:t>2</w:t>
      </w:r>
      <w:bookmarkEnd w:id="824"/>
      <w:r>
        <w:rPr>
          <w:color w:val="auto"/>
          <w:sz w:val="24"/>
          <w:highlight w:val="none"/>
        </w:rPr>
        <w:t>、</w:t>
      </w:r>
      <w:r>
        <w:rPr>
          <w:color w:val="auto"/>
          <w:sz w:val="24"/>
          <w:highlight w:val="none"/>
        </w:rPr>
        <w:tab/>
      </w:r>
      <w:r>
        <w:rPr>
          <w:color w:val="auto"/>
          <w:sz w:val="24"/>
          <w:highlight w:val="none"/>
        </w:rPr>
        <w:t>乙方派往执法现场的工作人员，必须业务熟练，具备过硬的驾驶技术，停车场至少拥有</w:t>
      </w:r>
      <w:r>
        <w:rPr>
          <w:rFonts w:hint="eastAsia"/>
          <w:color w:val="auto"/>
          <w:sz w:val="24"/>
          <w:highlight w:val="none"/>
          <w:lang w:eastAsia="zh-CN"/>
        </w:rPr>
        <w:t>六</w:t>
      </w:r>
      <w:r>
        <w:rPr>
          <w:color w:val="auto"/>
          <w:sz w:val="24"/>
          <w:highlight w:val="none"/>
        </w:rPr>
        <w:t>名</w:t>
      </w:r>
      <w:r>
        <w:rPr>
          <w:color w:val="auto"/>
          <w:sz w:val="24"/>
          <w:highlight w:val="none"/>
          <w:lang w:val="en-US" w:eastAsia="zh-CN" w:bidi="en-US"/>
        </w:rPr>
        <w:t>C1</w:t>
      </w:r>
      <w:r>
        <w:rPr>
          <w:color w:val="auto"/>
          <w:sz w:val="24"/>
          <w:highlight w:val="none"/>
        </w:rPr>
        <w:t>以上（其中</w:t>
      </w:r>
      <w:r>
        <w:rPr>
          <w:rFonts w:hint="eastAsia"/>
          <w:color w:val="auto"/>
          <w:sz w:val="24"/>
          <w:highlight w:val="none"/>
          <w:lang w:eastAsia="zh-CN"/>
        </w:rPr>
        <w:t>2</w:t>
      </w:r>
      <w:r>
        <w:rPr>
          <w:color w:val="auto"/>
          <w:sz w:val="24"/>
          <w:highlight w:val="none"/>
        </w:rPr>
        <w:t>名不低于</w:t>
      </w:r>
      <w:r>
        <w:rPr>
          <w:color w:val="auto"/>
          <w:sz w:val="24"/>
          <w:highlight w:val="none"/>
          <w:lang w:val="en-US" w:eastAsia="zh-CN" w:bidi="en-US"/>
        </w:rPr>
        <w:t>A1）</w:t>
      </w:r>
      <w:r>
        <w:rPr>
          <w:color w:val="auto"/>
          <w:sz w:val="24"/>
          <w:highlight w:val="none"/>
        </w:rPr>
        <w:t>驾驶资格并具有3年以上驾驶经历的专业驾驶人员，且无交通肇事犯罪、危险驾驶犯罪记录，无吸毒记录，无饮酒后驾驶记录，最近连续3个记分周期内没有记满12分记录。</w:t>
      </w:r>
    </w:p>
    <w:p>
      <w:pPr>
        <w:pStyle w:val="258"/>
        <w:tabs>
          <w:tab w:val="left" w:pos="402"/>
        </w:tabs>
        <w:spacing w:line="470" w:lineRule="exact"/>
        <w:ind w:firstLine="0"/>
        <w:rPr>
          <w:color w:val="auto"/>
          <w:highlight w:val="none"/>
        </w:rPr>
      </w:pPr>
      <w:r>
        <w:rPr>
          <w:rFonts w:hint="eastAsia" w:ascii="Times New Roman" w:hAnsi="Times New Roman" w:eastAsia="宋体" w:cs="Times New Roman"/>
          <w:color w:val="auto"/>
          <w:sz w:val="24"/>
          <w:highlight w:val="none"/>
          <w:lang w:val="en-US" w:eastAsia="zh-CN"/>
        </w:rPr>
        <w:t>3</w:t>
      </w:r>
      <w:r>
        <w:rPr>
          <w:color w:val="auto"/>
          <w:sz w:val="24"/>
          <w:highlight w:val="none"/>
        </w:rPr>
        <w:t>、</w:t>
      </w:r>
      <w:r>
        <w:rPr>
          <w:color w:val="auto"/>
          <w:sz w:val="24"/>
          <w:highlight w:val="none"/>
        </w:rPr>
        <w:tab/>
      </w:r>
      <w:r>
        <w:rPr>
          <w:color w:val="auto"/>
          <w:sz w:val="24"/>
          <w:highlight w:val="none"/>
        </w:rPr>
        <w:t>投标人必须保障</w:t>
      </w:r>
      <w:r>
        <w:rPr>
          <w:rFonts w:ascii="Times New Roman" w:hAnsi="Times New Roman" w:eastAsia="Times New Roman" w:cs="Times New Roman"/>
          <w:color w:val="auto"/>
          <w:sz w:val="24"/>
          <w:highlight w:val="none"/>
        </w:rPr>
        <w:t>24</w:t>
      </w:r>
      <w:r>
        <w:rPr>
          <w:color w:val="auto"/>
          <w:sz w:val="24"/>
          <w:highlight w:val="none"/>
        </w:rPr>
        <w:t>小时随时运送采购人执法扣押的车辆和物品。</w:t>
      </w:r>
    </w:p>
    <w:p>
      <w:pPr>
        <w:pStyle w:val="258"/>
        <w:tabs>
          <w:tab w:val="left" w:pos="402"/>
        </w:tabs>
        <w:spacing w:line="470" w:lineRule="exact"/>
        <w:ind w:firstLine="0"/>
        <w:rPr>
          <w:rFonts w:ascii="Times New Roman" w:hAnsi="Times New Roman" w:eastAsia="Times New Roman" w:cs="Times New Roman"/>
          <w:color w:val="auto"/>
          <w:sz w:val="24"/>
          <w:highlight w:val="none"/>
        </w:rPr>
      </w:pPr>
      <w:bookmarkStart w:id="825" w:name="bookmark303"/>
      <w:r>
        <w:rPr>
          <w:rFonts w:hint="eastAsia" w:ascii="Times New Roman" w:hAnsi="Times New Roman" w:eastAsia="Times New Roman" w:cs="Times New Roman"/>
          <w:color w:val="auto"/>
          <w:sz w:val="24"/>
          <w:highlight w:val="none"/>
        </w:rPr>
        <w:t>4、</w:t>
      </w:r>
      <w:r>
        <w:rPr>
          <w:rFonts w:hint="eastAsia" w:ascii="Times New Roman" w:hAnsi="Times New Roman" w:eastAsia="宋体" w:cs="Times New Roman"/>
          <w:color w:val="auto"/>
          <w:sz w:val="24"/>
          <w:highlight w:val="none"/>
          <w:lang w:val="en-US" w:eastAsia="zh-CN"/>
        </w:rPr>
        <w:t>投标人</w:t>
      </w:r>
      <w:r>
        <w:rPr>
          <w:rFonts w:hint="eastAsia" w:ascii="Times New Roman" w:hAnsi="Times New Roman" w:eastAsia="Times New Roman" w:cs="Times New Roman"/>
          <w:color w:val="auto"/>
          <w:sz w:val="24"/>
          <w:highlight w:val="none"/>
        </w:rPr>
        <w:t>须向工作人员配发带有停车场名称标识的统一服装及工作员证，</w:t>
      </w:r>
      <w:r>
        <w:rPr>
          <w:rFonts w:hint="eastAsia" w:ascii="Times New Roman" w:hAnsi="Times New Roman" w:eastAsia="宋体" w:cs="Times New Roman"/>
          <w:color w:val="auto"/>
          <w:sz w:val="24"/>
          <w:highlight w:val="none"/>
          <w:lang w:val="en-US" w:eastAsia="zh-CN"/>
        </w:rPr>
        <w:t>投标人</w:t>
      </w:r>
      <w:r>
        <w:rPr>
          <w:rFonts w:hint="eastAsia" w:ascii="Times New Roman" w:hAnsi="Times New Roman" w:eastAsia="Times New Roman" w:cs="Times New Roman"/>
          <w:color w:val="auto"/>
          <w:sz w:val="24"/>
          <w:highlight w:val="none"/>
        </w:rPr>
        <w:t>工作人员工作中必须着带有停车场名称标识的统一服装及佩戴工作员证，停车场工作人员不得参与甲方对执法相对人的现场执法工作。</w:t>
      </w:r>
    </w:p>
    <w:bookmarkEnd w:id="825"/>
    <w:p>
      <w:pPr>
        <w:pStyle w:val="258"/>
        <w:tabs>
          <w:tab w:val="left" w:pos="402"/>
        </w:tabs>
        <w:spacing w:line="470" w:lineRule="exact"/>
        <w:ind w:firstLine="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5、投标人须将工作人员花名册及工作证配发情况向甲方进行备案，发生变动后，须在5个工作日内向甲方更新备案。</w:t>
      </w:r>
    </w:p>
    <w:p>
      <w:pPr>
        <w:pStyle w:val="258"/>
        <w:tabs>
          <w:tab w:val="left" w:pos="402"/>
        </w:tabs>
        <w:spacing w:line="470" w:lineRule="exact"/>
        <w:ind w:firstLine="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6、投标人必须与聘用的工作人员签订正式的劳动合同或与劳务派遣公司签订的劳务派遣合同，并按规定缴纳社会保险。所有人员的劳动合同及社保缴纳证明文件需向甲方进行备案，如有人员变更需及时向甲方更新备案；投标人不得聘用临时工担任停车管理员和接车驾驶员岗位。投标人不得使用或变相使用计件的方式支付投标人工作人员薪酬工资。</w:t>
      </w:r>
    </w:p>
    <w:p>
      <w:pPr>
        <w:pStyle w:val="258"/>
        <w:tabs>
          <w:tab w:val="left" w:pos="402"/>
        </w:tabs>
        <w:spacing w:line="470" w:lineRule="exact"/>
        <w:ind w:firstLine="0"/>
        <w:rPr>
          <w:color w:val="auto"/>
          <w:sz w:val="24"/>
          <w:highlight w:val="none"/>
        </w:rPr>
      </w:pPr>
      <w:r>
        <w:rPr>
          <w:rFonts w:hint="eastAsia"/>
          <w:color w:val="auto"/>
          <w:sz w:val="24"/>
          <w:highlight w:val="none"/>
          <w:lang w:val="en-US" w:eastAsia="zh-CN"/>
        </w:rPr>
        <w:t>7</w:t>
      </w:r>
      <w:r>
        <w:rPr>
          <w:color w:val="auto"/>
          <w:sz w:val="24"/>
          <w:highlight w:val="none"/>
        </w:rPr>
        <w:t>、</w:t>
      </w:r>
      <w:r>
        <w:rPr>
          <w:color w:val="auto"/>
          <w:sz w:val="24"/>
          <w:highlight w:val="none"/>
        </w:rPr>
        <w:tab/>
      </w:r>
      <w:r>
        <w:rPr>
          <w:color w:val="auto"/>
          <w:sz w:val="24"/>
          <w:highlight w:val="none"/>
        </w:rPr>
        <w:t>不得为违法经营者说情，向执法人员索要扣押的证件、车辆等，无权决定对车辆和物品进行返还，不得干扰甲方执法人员正常工作。投标人无权对任何媒体或其他单位及个人解释与采购人工作相关的一切事宜。投标人及其工作人员对采购人的执法行动负有保密义务，不得向第三方泄露。</w:t>
      </w:r>
    </w:p>
    <w:p>
      <w:pPr>
        <w:pStyle w:val="265"/>
        <w:keepNext/>
        <w:keepLines/>
        <w:tabs>
          <w:tab w:val="left" w:pos="517"/>
        </w:tabs>
        <w:spacing w:line="470" w:lineRule="exact"/>
        <w:outlineLvl w:val="9"/>
        <w:rPr>
          <w:color w:val="auto"/>
          <w:highlight w:val="none"/>
        </w:rPr>
      </w:pPr>
      <w:bookmarkStart w:id="826" w:name="bookmark306"/>
      <w:bookmarkStart w:id="827" w:name="bookmark305"/>
      <w:bookmarkStart w:id="828" w:name="bookmark307"/>
      <w:bookmarkStart w:id="829" w:name="bookmark304"/>
      <w:r>
        <w:rPr>
          <w:color w:val="auto"/>
          <w:sz w:val="24"/>
          <w:highlight w:val="none"/>
        </w:rPr>
        <w:t>二</w:t>
      </w:r>
      <w:bookmarkEnd w:id="826"/>
      <w:r>
        <w:rPr>
          <w:color w:val="auto"/>
          <w:sz w:val="24"/>
          <w:highlight w:val="none"/>
        </w:rPr>
        <w:t>、</w:t>
      </w:r>
      <w:r>
        <w:rPr>
          <w:color w:val="auto"/>
          <w:sz w:val="24"/>
          <w:highlight w:val="none"/>
        </w:rPr>
        <w:tab/>
      </w:r>
      <w:r>
        <w:rPr>
          <w:color w:val="auto"/>
          <w:sz w:val="24"/>
          <w:highlight w:val="none"/>
        </w:rPr>
        <w:t>对投标人停车场及车辆日常管理的要求</w:t>
      </w:r>
      <w:bookmarkEnd w:id="827"/>
      <w:bookmarkEnd w:id="828"/>
      <w:bookmarkEnd w:id="829"/>
    </w:p>
    <w:p>
      <w:pPr>
        <w:pStyle w:val="258"/>
        <w:tabs>
          <w:tab w:val="left" w:pos="378"/>
        </w:tabs>
        <w:spacing w:line="470" w:lineRule="exact"/>
        <w:ind w:firstLine="0"/>
        <w:rPr>
          <w:color w:val="auto"/>
          <w:highlight w:val="none"/>
        </w:rPr>
      </w:pPr>
      <w:bookmarkStart w:id="830" w:name="bookmark308"/>
      <w:r>
        <w:rPr>
          <w:rFonts w:ascii="Times New Roman" w:hAnsi="Times New Roman" w:eastAsia="Times New Roman" w:cs="Times New Roman"/>
          <w:color w:val="auto"/>
          <w:sz w:val="24"/>
          <w:highlight w:val="none"/>
        </w:rPr>
        <w:t>1</w:t>
      </w:r>
      <w:bookmarkEnd w:id="830"/>
      <w:r>
        <w:rPr>
          <w:color w:val="auto"/>
          <w:sz w:val="24"/>
          <w:highlight w:val="none"/>
        </w:rPr>
        <w:t>、</w:t>
      </w:r>
      <w:r>
        <w:rPr>
          <w:color w:val="auto"/>
          <w:sz w:val="24"/>
          <w:highlight w:val="none"/>
        </w:rPr>
        <w:tab/>
      </w:r>
      <w:r>
        <w:rPr>
          <w:color w:val="auto"/>
          <w:sz w:val="24"/>
          <w:highlight w:val="none"/>
        </w:rPr>
        <w:t>投标人应当根据存放、保管执法暂扣车辆的需要，制定完善的内部管理制度。</w:t>
      </w:r>
      <w:r>
        <w:rPr>
          <w:rFonts w:hint="eastAsia"/>
          <w:color w:val="auto"/>
          <w:sz w:val="24"/>
          <w:highlight w:val="none"/>
          <w:lang w:val="en-US" w:eastAsia="zh-CN"/>
        </w:rPr>
        <w:t>包括但不限于</w:t>
      </w:r>
      <w:r>
        <w:rPr>
          <w:color w:val="auto"/>
          <w:sz w:val="24"/>
          <w:highlight w:val="none"/>
        </w:rPr>
        <w:t>（</w:t>
      </w:r>
      <w:r>
        <w:rPr>
          <w:rFonts w:hint="eastAsia"/>
          <w:color w:val="auto"/>
          <w:sz w:val="24"/>
          <w:highlight w:val="none"/>
          <w:lang w:val="en-US" w:eastAsia="zh-CN"/>
        </w:rPr>
        <w:t>1</w:t>
      </w:r>
      <w:r>
        <w:rPr>
          <w:color w:val="auto"/>
          <w:sz w:val="24"/>
          <w:highlight w:val="none"/>
        </w:rPr>
        <w:t>）财务管理制度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2</w:t>
      </w:r>
      <w:r>
        <w:rPr>
          <w:color w:val="auto"/>
          <w:sz w:val="24"/>
          <w:highlight w:val="none"/>
        </w:rPr>
        <w:t>）安保管理制度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3</w:t>
      </w:r>
      <w:r>
        <w:rPr>
          <w:color w:val="auto"/>
          <w:sz w:val="24"/>
          <w:highlight w:val="none"/>
        </w:rPr>
        <w:t>）消防管理制度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4</w:t>
      </w:r>
      <w:r>
        <w:rPr>
          <w:rFonts w:hint="eastAsia"/>
          <w:color w:val="auto"/>
          <w:sz w:val="24"/>
          <w:highlight w:val="none"/>
          <w:lang w:eastAsia="zh-CN"/>
        </w:rPr>
        <w:t>）</w:t>
      </w:r>
      <w:r>
        <w:rPr>
          <w:color w:val="auto"/>
          <w:sz w:val="24"/>
          <w:highlight w:val="none"/>
        </w:rPr>
        <w:t>人员管理制度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5</w:t>
      </w:r>
      <w:r>
        <w:rPr>
          <w:color w:val="auto"/>
          <w:sz w:val="24"/>
          <w:highlight w:val="none"/>
        </w:rPr>
        <w:t>）车辆交接制度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6</w:t>
      </w:r>
      <w:r>
        <w:rPr>
          <w:color w:val="auto"/>
          <w:sz w:val="24"/>
          <w:highlight w:val="none"/>
        </w:rPr>
        <w:t>）车辆进出场制度</w:t>
      </w:r>
      <w:r>
        <w:rPr>
          <w:rFonts w:hint="eastAsia"/>
          <w:color w:val="auto"/>
          <w:sz w:val="24"/>
          <w:highlight w:val="none"/>
          <w:lang w:eastAsia="zh-CN"/>
        </w:rPr>
        <w:t>、（</w:t>
      </w:r>
      <w:r>
        <w:rPr>
          <w:rFonts w:hint="eastAsia"/>
          <w:color w:val="auto"/>
          <w:sz w:val="24"/>
          <w:highlight w:val="none"/>
          <w:lang w:val="en-US" w:eastAsia="zh-CN"/>
        </w:rPr>
        <w:t>7）危化车辆管理制度、</w:t>
      </w:r>
      <w:r>
        <w:rPr>
          <w:color w:val="auto"/>
          <w:sz w:val="24"/>
          <w:highlight w:val="none"/>
        </w:rPr>
        <w:t>（</w:t>
      </w:r>
      <w:r>
        <w:rPr>
          <w:rFonts w:hint="eastAsia"/>
          <w:color w:val="auto"/>
          <w:sz w:val="24"/>
          <w:highlight w:val="none"/>
          <w:lang w:val="en-US" w:eastAsia="zh-CN"/>
        </w:rPr>
        <w:t>8</w:t>
      </w:r>
      <w:r>
        <w:rPr>
          <w:color w:val="auto"/>
          <w:sz w:val="24"/>
          <w:highlight w:val="none"/>
        </w:rPr>
        <w:t>）计算机及监控管理制度</w:t>
      </w:r>
      <w:r>
        <w:rPr>
          <w:rFonts w:hint="eastAsia"/>
          <w:color w:val="auto"/>
          <w:sz w:val="24"/>
          <w:highlight w:val="none"/>
          <w:lang w:eastAsia="zh-CN"/>
        </w:rPr>
        <w:t>、</w:t>
      </w:r>
      <w:r>
        <w:rPr>
          <w:color w:val="auto"/>
          <w:sz w:val="24"/>
          <w:highlight w:val="none"/>
        </w:rPr>
        <w:t>（</w:t>
      </w:r>
      <w:r>
        <w:rPr>
          <w:rFonts w:hint="eastAsia"/>
          <w:color w:val="auto"/>
          <w:sz w:val="24"/>
          <w:highlight w:val="none"/>
          <w:lang w:val="en-US" w:eastAsia="zh-CN"/>
        </w:rPr>
        <w:t>9</w:t>
      </w:r>
      <w:r>
        <w:rPr>
          <w:color w:val="auto"/>
          <w:sz w:val="24"/>
          <w:highlight w:val="none"/>
        </w:rPr>
        <w:t>）紧急突发情况处置预案</w:t>
      </w:r>
      <w:r>
        <w:rPr>
          <w:rFonts w:hint="eastAsia"/>
          <w:color w:val="auto"/>
          <w:sz w:val="24"/>
          <w:highlight w:val="none"/>
          <w:lang w:eastAsia="zh-CN"/>
        </w:rPr>
        <w:t>。以上管理制度及处置预案应作为投标文件组成部分。</w:t>
      </w:r>
    </w:p>
    <w:p>
      <w:pPr>
        <w:pStyle w:val="258"/>
        <w:tabs>
          <w:tab w:val="left" w:pos="402"/>
        </w:tabs>
        <w:spacing w:line="470" w:lineRule="exact"/>
        <w:ind w:firstLine="0"/>
        <w:rPr>
          <w:color w:val="auto"/>
          <w:highlight w:val="none"/>
        </w:rPr>
      </w:pPr>
      <w:bookmarkStart w:id="831" w:name="bookmark309"/>
      <w:r>
        <w:rPr>
          <w:rFonts w:ascii="Times New Roman" w:hAnsi="Times New Roman" w:eastAsia="Times New Roman" w:cs="Times New Roman"/>
          <w:color w:val="auto"/>
          <w:sz w:val="24"/>
          <w:highlight w:val="none"/>
        </w:rPr>
        <w:t>2</w:t>
      </w:r>
      <w:bookmarkEnd w:id="831"/>
      <w:r>
        <w:rPr>
          <w:color w:val="auto"/>
          <w:sz w:val="24"/>
          <w:highlight w:val="none"/>
        </w:rPr>
        <w:t>、</w:t>
      </w:r>
      <w:r>
        <w:rPr>
          <w:color w:val="auto"/>
          <w:sz w:val="24"/>
          <w:highlight w:val="none"/>
        </w:rPr>
        <w:tab/>
      </w:r>
      <w:r>
        <w:rPr>
          <w:color w:val="auto"/>
          <w:sz w:val="24"/>
          <w:highlight w:val="none"/>
        </w:rPr>
        <w:t>投标人必须配备必要的消防设施。存放、保管、移动执法暂扣车辆时，应当按照北京市消防局和安全生产监督管理局的有关规定执行。</w:t>
      </w:r>
    </w:p>
    <w:p>
      <w:pPr>
        <w:pStyle w:val="258"/>
        <w:tabs>
          <w:tab w:val="left" w:pos="402"/>
        </w:tabs>
        <w:spacing w:line="470" w:lineRule="exact"/>
        <w:ind w:firstLine="0"/>
        <w:rPr>
          <w:rFonts w:hint="eastAsia"/>
          <w:color w:val="auto"/>
          <w:sz w:val="24"/>
          <w:highlight w:val="none"/>
        </w:rPr>
      </w:pPr>
      <w:bookmarkStart w:id="832" w:name="bookmark310"/>
      <w:r>
        <w:rPr>
          <w:rFonts w:ascii="Times New Roman" w:hAnsi="Times New Roman" w:eastAsia="Times New Roman" w:cs="Times New Roman"/>
          <w:color w:val="auto"/>
          <w:sz w:val="24"/>
          <w:highlight w:val="none"/>
        </w:rPr>
        <w:t>3</w:t>
      </w:r>
      <w:bookmarkEnd w:id="832"/>
      <w:r>
        <w:rPr>
          <w:color w:val="auto"/>
          <w:sz w:val="24"/>
          <w:highlight w:val="none"/>
        </w:rPr>
        <w:t>、</w:t>
      </w:r>
      <w:r>
        <w:rPr>
          <w:color w:val="auto"/>
          <w:sz w:val="24"/>
          <w:highlight w:val="none"/>
        </w:rPr>
        <w:tab/>
      </w:r>
      <w:r>
        <w:rPr>
          <w:rFonts w:hint="eastAsia"/>
          <w:color w:val="auto"/>
          <w:sz w:val="24"/>
          <w:highlight w:val="none"/>
        </w:rPr>
        <w:t xml:space="preserve">停车场应当相对封闭，配备能够覆盖整个场区和所有出入口的监控设 </w:t>
      </w:r>
    </w:p>
    <w:p>
      <w:pPr>
        <w:pStyle w:val="258"/>
        <w:tabs>
          <w:tab w:val="left" w:pos="402"/>
        </w:tabs>
        <w:spacing w:line="470" w:lineRule="exact"/>
        <w:ind w:firstLine="0"/>
        <w:rPr>
          <w:rFonts w:hint="eastAsia"/>
          <w:color w:val="auto"/>
          <w:sz w:val="24"/>
          <w:highlight w:val="none"/>
        </w:rPr>
      </w:pPr>
      <w:r>
        <w:rPr>
          <w:rFonts w:hint="eastAsia"/>
          <w:color w:val="auto"/>
          <w:sz w:val="24"/>
          <w:highlight w:val="none"/>
        </w:rPr>
        <w:t xml:space="preserve">备，实现全天候、全时段、全方位的清晰、无死角监控，监控信息刻制光盘保存备查，保留期 1 年。 </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同时存放社会车辆的，必须设立足够的区域专门存放执法暂扣车辆，且需优先满足执法暂扣车辆停放。</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停车场内严禁存放易燃易爆物品及停放装有化学危险品的重载车辆。</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投标人应当在被扣车内挡风玻璃上粘贴《执法暂扣车辆交接单》编号，并在执法暂扣车辆进场时建档登记，详细记录执法暂扣车辆的基本情况，包括但不限于车型、车号、颜色、车辆识别号、发动机号、进场时间、进场时车辆行驶公里数、存放时间、发还时间等内容。采购人对登记内容另有要求的，投标人应当执行。</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执法暂扣车辆按照大型车及小型车分区域停放。</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定期检查执法暂扣车辆的存放、保管情况。</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停车场不得在工作用车内存放管制和违禁物品。</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 xml:space="preserve">具备符合甲方对功能及技术指标要求的车辆号牌识别系统及专用的计算机设备，所有进出场的执法暂扣车辆必须做到计算机管理。 </w:t>
      </w:r>
    </w:p>
    <w:p>
      <w:pPr>
        <w:pStyle w:val="258"/>
        <w:numPr>
          <w:ilvl w:val="0"/>
          <w:numId w:val="17"/>
        </w:numPr>
        <w:tabs>
          <w:tab w:val="left" w:pos="1246"/>
        </w:tabs>
        <w:autoSpaceDN/>
        <w:snapToGrid w:val="0"/>
        <w:ind w:left="0" w:leftChars="0" w:firstLine="0" w:firstLineChars="0"/>
        <w:rPr>
          <w:rFonts w:hint="eastAsia"/>
          <w:sz w:val="24"/>
          <w:szCs w:val="28"/>
          <w:highlight w:val="none"/>
        </w:rPr>
      </w:pPr>
      <w:r>
        <w:rPr>
          <w:rFonts w:hint="eastAsia"/>
          <w:sz w:val="24"/>
          <w:szCs w:val="28"/>
          <w:highlight w:val="none"/>
        </w:rPr>
        <w:t>制订失火、盗抢等紧急突发情况的处置预案。</w:t>
      </w:r>
    </w:p>
    <w:p>
      <w:pPr>
        <w:pStyle w:val="258"/>
        <w:numPr>
          <w:ilvl w:val="0"/>
          <w:numId w:val="17"/>
        </w:numPr>
        <w:tabs>
          <w:tab w:val="left" w:pos="402"/>
        </w:tabs>
        <w:spacing w:line="470" w:lineRule="exact"/>
        <w:ind w:left="0" w:leftChars="0" w:firstLine="0" w:firstLineChars="0"/>
        <w:rPr>
          <w:color w:val="auto"/>
          <w:sz w:val="24"/>
          <w:highlight w:val="none"/>
        </w:rPr>
      </w:pPr>
      <w:r>
        <w:rPr>
          <w:color w:val="auto"/>
          <w:sz w:val="24"/>
          <w:highlight w:val="none"/>
        </w:rPr>
        <w:t>停车场必须按不低于</w:t>
      </w:r>
      <w:r>
        <w:rPr>
          <w:color w:val="auto"/>
          <w:sz w:val="24"/>
          <w:highlight w:val="none"/>
          <w:lang w:val="zh-CN" w:eastAsia="zh-CN" w:bidi="zh-CN"/>
        </w:rPr>
        <w:t>“北</w:t>
      </w:r>
      <w:r>
        <w:rPr>
          <w:color w:val="auto"/>
          <w:sz w:val="24"/>
          <w:highlight w:val="none"/>
        </w:rPr>
        <w:t>京市公共停车场经营备案证</w:t>
      </w:r>
      <w:r>
        <w:rPr>
          <w:color w:val="auto"/>
          <w:sz w:val="24"/>
          <w:highlight w:val="none"/>
          <w:lang w:val="zh-CN" w:eastAsia="zh-CN" w:bidi="zh-CN"/>
        </w:rPr>
        <w:t>”批准</w:t>
      </w:r>
      <w:r>
        <w:rPr>
          <w:color w:val="auto"/>
          <w:sz w:val="24"/>
          <w:highlight w:val="none"/>
        </w:rPr>
        <w:t>标明的停车位数投保企业财产保险。</w:t>
      </w:r>
    </w:p>
    <w:p>
      <w:pPr>
        <w:pStyle w:val="258"/>
        <w:numPr>
          <w:ilvl w:val="0"/>
          <w:numId w:val="17"/>
        </w:numPr>
        <w:tabs>
          <w:tab w:val="left" w:pos="402"/>
        </w:tabs>
        <w:spacing w:line="470" w:lineRule="exact"/>
        <w:ind w:left="0" w:leftChars="0" w:firstLine="0" w:firstLineChars="0"/>
        <w:rPr>
          <w:rFonts w:hint="eastAsia"/>
          <w:color w:val="auto"/>
          <w:sz w:val="24"/>
          <w:highlight w:val="none"/>
          <w:lang w:val="en-US" w:eastAsia="zh-CN"/>
        </w:rPr>
      </w:pPr>
      <w:r>
        <w:rPr>
          <w:rFonts w:hint="eastAsia"/>
          <w:color w:val="auto"/>
          <w:sz w:val="24"/>
          <w:highlight w:val="none"/>
          <w:lang w:val="en-US" w:eastAsia="zh-CN"/>
        </w:rPr>
        <w:t>《北京市公共停车场经营备案证》须按规定年审。</w:t>
      </w:r>
    </w:p>
    <w:p>
      <w:pPr>
        <w:pStyle w:val="258"/>
        <w:numPr>
          <w:ilvl w:val="0"/>
          <w:numId w:val="17"/>
        </w:numPr>
        <w:tabs>
          <w:tab w:val="left" w:pos="402"/>
        </w:tabs>
        <w:spacing w:line="470" w:lineRule="exact"/>
        <w:ind w:left="0" w:leftChars="0" w:firstLine="0" w:firstLineChars="0"/>
        <w:rPr>
          <w:rFonts w:hint="eastAsia"/>
          <w:color w:val="auto"/>
          <w:sz w:val="24"/>
          <w:highlight w:val="none"/>
          <w:lang w:val="en-US" w:eastAsia="zh-CN"/>
        </w:rPr>
      </w:pPr>
      <w:r>
        <w:rPr>
          <w:rFonts w:hint="eastAsia"/>
          <w:color w:val="auto"/>
          <w:sz w:val="24"/>
          <w:highlight w:val="none"/>
          <w:lang w:val="en-US" w:eastAsia="zh-CN"/>
        </w:rPr>
        <w:t>执法暂扣车辆必须停放于投标人提供的“北京市公共停车场经营备案证”批准地点。</w:t>
      </w:r>
    </w:p>
    <w:p>
      <w:pPr>
        <w:pStyle w:val="258"/>
        <w:numPr>
          <w:ilvl w:val="0"/>
          <w:numId w:val="17"/>
        </w:numPr>
        <w:tabs>
          <w:tab w:val="left" w:pos="402"/>
        </w:tabs>
        <w:spacing w:line="470" w:lineRule="exact"/>
        <w:ind w:left="0" w:leftChars="0" w:firstLine="0" w:firstLineChars="0"/>
        <w:rPr>
          <w:rFonts w:hint="eastAsia"/>
          <w:color w:val="auto"/>
          <w:sz w:val="24"/>
          <w:highlight w:val="none"/>
          <w:lang w:val="en-US" w:eastAsia="zh-CN"/>
        </w:rPr>
      </w:pPr>
      <w:r>
        <w:rPr>
          <w:rFonts w:hint="eastAsia"/>
          <w:color w:val="auto"/>
          <w:sz w:val="24"/>
          <w:highlight w:val="none"/>
          <w:lang w:val="en-US" w:eastAsia="zh-CN"/>
        </w:rPr>
        <w:t xml:space="preserve">投标人必须配备不少于两辆年检合格的可满足执法暂扣车辆转移需要的专用车辆，负责随甲方外勤执法人员接送执法暂扣车辆。 </w:t>
      </w:r>
    </w:p>
    <w:p>
      <w:pPr>
        <w:pStyle w:val="258"/>
        <w:numPr>
          <w:ilvl w:val="0"/>
          <w:numId w:val="17"/>
        </w:numPr>
        <w:tabs>
          <w:tab w:val="left" w:pos="402"/>
        </w:tabs>
        <w:spacing w:line="470" w:lineRule="exact"/>
        <w:ind w:left="0" w:leftChars="0" w:firstLine="0" w:firstLineChars="0"/>
        <w:rPr>
          <w:rFonts w:hint="eastAsia"/>
          <w:color w:val="auto"/>
          <w:sz w:val="24"/>
          <w:highlight w:val="none"/>
          <w:lang w:val="en-US" w:eastAsia="zh-CN"/>
        </w:rPr>
      </w:pPr>
      <w:r>
        <w:rPr>
          <w:rFonts w:hint="eastAsia"/>
          <w:color w:val="auto"/>
          <w:sz w:val="24"/>
          <w:highlight w:val="none"/>
          <w:lang w:val="en-US" w:eastAsia="zh-CN"/>
        </w:rPr>
        <w:t>投标人须服从采购人的调派、监督、管理。</w:t>
      </w:r>
    </w:p>
    <w:p>
      <w:pPr>
        <w:pStyle w:val="258"/>
        <w:numPr>
          <w:ilvl w:val="0"/>
          <w:numId w:val="17"/>
        </w:numPr>
        <w:tabs>
          <w:tab w:val="left" w:pos="402"/>
        </w:tabs>
        <w:spacing w:line="470" w:lineRule="exact"/>
        <w:ind w:left="0" w:leftChars="0" w:firstLine="0" w:firstLineChars="0"/>
        <w:rPr>
          <w:rFonts w:hint="eastAsia"/>
          <w:color w:val="auto"/>
          <w:sz w:val="24"/>
          <w:highlight w:val="none"/>
          <w:lang w:val="en-US" w:eastAsia="zh-CN"/>
        </w:rPr>
      </w:pPr>
      <w:r>
        <w:rPr>
          <w:rFonts w:hint="eastAsia"/>
          <w:color w:val="auto"/>
          <w:sz w:val="24"/>
          <w:highlight w:val="none"/>
          <w:lang w:val="en-US" w:eastAsia="zh-CN"/>
        </w:rPr>
        <w:t>投标人需定期开展全部人员的廉洁自律教育工作，并提出具体的廉洁自律要求，防范可能出现的不廉洁问题。</w:t>
      </w:r>
    </w:p>
    <w:p>
      <w:pPr>
        <w:pStyle w:val="258"/>
        <w:tabs>
          <w:tab w:val="left" w:pos="402"/>
        </w:tabs>
        <w:spacing w:line="470" w:lineRule="exact"/>
        <w:ind w:firstLine="0"/>
        <w:rPr>
          <w:color w:val="auto"/>
          <w:sz w:val="24"/>
          <w:highlight w:val="none"/>
        </w:rPr>
      </w:pPr>
      <w:r>
        <w:rPr>
          <w:rFonts w:hint="eastAsia"/>
          <w:color w:val="auto"/>
          <w:sz w:val="24"/>
          <w:highlight w:val="none"/>
          <w:lang w:val="en-US" w:eastAsia="zh-CN"/>
        </w:rPr>
        <w:t>18、</w:t>
      </w:r>
      <w:r>
        <w:rPr>
          <w:rFonts w:hint="eastAsia"/>
          <w:color w:val="auto"/>
          <w:sz w:val="24"/>
          <w:highlight w:val="none"/>
        </w:rPr>
        <w:t>必须配备不少于</w:t>
      </w:r>
      <w:r>
        <w:rPr>
          <w:rFonts w:hint="eastAsia"/>
          <w:color w:val="auto"/>
          <w:sz w:val="24"/>
          <w:highlight w:val="none"/>
          <w:lang w:val="en-US" w:eastAsia="zh-CN"/>
        </w:rPr>
        <w:t>两</w:t>
      </w:r>
      <w:r>
        <w:rPr>
          <w:rFonts w:hint="eastAsia"/>
          <w:color w:val="auto"/>
          <w:sz w:val="24"/>
          <w:highlight w:val="none"/>
        </w:rPr>
        <w:t>辆年检合格的可满足执法暂扣车辆转移需要的专用车辆， 负责随</w:t>
      </w:r>
      <w:r>
        <w:rPr>
          <w:rFonts w:hint="eastAsia"/>
          <w:color w:val="auto"/>
          <w:sz w:val="24"/>
          <w:highlight w:val="none"/>
          <w:lang w:eastAsia="zh-CN"/>
        </w:rPr>
        <w:t>执法部门</w:t>
      </w:r>
      <w:r>
        <w:rPr>
          <w:rFonts w:hint="eastAsia"/>
          <w:color w:val="auto"/>
          <w:sz w:val="24"/>
          <w:highlight w:val="none"/>
        </w:rPr>
        <w:t>外勤执法人员接送执法暂扣车辆</w:t>
      </w:r>
      <w:r>
        <w:rPr>
          <w:rFonts w:hint="eastAsia"/>
          <w:color w:val="auto"/>
          <w:sz w:val="24"/>
          <w:highlight w:val="none"/>
          <w:lang w:eastAsia="zh-CN"/>
        </w:rPr>
        <w:t>。</w:t>
      </w:r>
      <w:r>
        <w:rPr>
          <w:rFonts w:hint="eastAsia"/>
          <w:color w:val="auto"/>
          <w:sz w:val="24"/>
          <w:highlight w:val="none"/>
          <w:lang w:val="en-US" w:eastAsia="zh-CN"/>
        </w:rPr>
        <w:t>投标人</w:t>
      </w:r>
      <w:r>
        <w:rPr>
          <w:color w:val="auto"/>
          <w:sz w:val="24"/>
          <w:highlight w:val="none"/>
        </w:rPr>
        <w:t>须保证车辆按时年检，并将年检资料在</w:t>
      </w:r>
      <w:r>
        <w:rPr>
          <w:rFonts w:hint="eastAsia"/>
          <w:color w:val="auto"/>
          <w:sz w:val="24"/>
          <w:highlight w:val="none"/>
          <w:lang w:val="en-US" w:eastAsia="zh-CN"/>
        </w:rPr>
        <w:t>采购人</w:t>
      </w:r>
      <w:r>
        <w:rPr>
          <w:color w:val="auto"/>
          <w:sz w:val="24"/>
          <w:highlight w:val="none"/>
        </w:rPr>
        <w:t>进行备案。</w:t>
      </w:r>
      <w:r>
        <w:rPr>
          <w:rFonts w:hint="eastAsia"/>
          <w:b/>
          <w:bCs/>
          <w:color w:val="auto"/>
          <w:sz w:val="24"/>
          <w:highlight w:val="none"/>
        </w:rPr>
        <w:t>（需提供相关数量车辆行驶证复印件加盖投标人公章）</w:t>
      </w:r>
    </w:p>
    <w:p>
      <w:pPr>
        <w:pStyle w:val="265"/>
        <w:keepNext/>
        <w:keepLines/>
        <w:tabs>
          <w:tab w:val="left" w:pos="581"/>
        </w:tabs>
        <w:spacing w:line="467" w:lineRule="exact"/>
        <w:jc w:val="left"/>
        <w:outlineLvl w:val="9"/>
        <w:rPr>
          <w:color w:val="auto"/>
          <w:highlight w:val="none"/>
        </w:rPr>
      </w:pPr>
      <w:bookmarkStart w:id="833" w:name="bookmark321"/>
      <w:bookmarkStart w:id="834" w:name="bookmark319"/>
      <w:bookmarkStart w:id="835" w:name="bookmark322"/>
      <w:bookmarkStart w:id="836" w:name="bookmark320"/>
      <w:r>
        <w:rPr>
          <w:color w:val="auto"/>
          <w:sz w:val="24"/>
          <w:highlight w:val="none"/>
        </w:rPr>
        <w:t>三</w:t>
      </w:r>
      <w:bookmarkEnd w:id="833"/>
      <w:r>
        <w:rPr>
          <w:color w:val="auto"/>
          <w:sz w:val="24"/>
          <w:highlight w:val="none"/>
        </w:rPr>
        <w:t>、</w:t>
      </w:r>
      <w:r>
        <w:rPr>
          <w:color w:val="auto"/>
          <w:sz w:val="24"/>
          <w:highlight w:val="none"/>
        </w:rPr>
        <w:tab/>
      </w:r>
      <w:r>
        <w:rPr>
          <w:color w:val="auto"/>
          <w:sz w:val="24"/>
          <w:highlight w:val="none"/>
        </w:rPr>
        <w:t>其它要求</w:t>
      </w:r>
      <w:bookmarkEnd w:id="834"/>
      <w:bookmarkEnd w:id="835"/>
      <w:bookmarkEnd w:id="836"/>
    </w:p>
    <w:p>
      <w:pPr>
        <w:pStyle w:val="258"/>
        <w:tabs>
          <w:tab w:val="left" w:pos="392"/>
        </w:tabs>
        <w:spacing w:line="467" w:lineRule="exact"/>
        <w:ind w:firstLine="0"/>
        <w:rPr>
          <w:color w:val="auto"/>
          <w:highlight w:val="none"/>
        </w:rPr>
      </w:pPr>
      <w:bookmarkStart w:id="837" w:name="bookmark323"/>
      <w:r>
        <w:rPr>
          <w:rFonts w:ascii="Times New Roman" w:hAnsi="Times New Roman" w:eastAsia="Times New Roman" w:cs="Times New Roman"/>
          <w:color w:val="auto"/>
          <w:sz w:val="24"/>
          <w:highlight w:val="none"/>
        </w:rPr>
        <w:t>1</w:t>
      </w:r>
      <w:bookmarkEnd w:id="837"/>
      <w:r>
        <w:rPr>
          <w:color w:val="auto"/>
          <w:sz w:val="24"/>
          <w:highlight w:val="none"/>
        </w:rPr>
        <w:t>、</w:t>
      </w:r>
      <w:r>
        <w:rPr>
          <w:color w:val="auto"/>
          <w:sz w:val="24"/>
          <w:highlight w:val="none"/>
        </w:rPr>
        <w:tab/>
      </w:r>
      <w:r>
        <w:rPr>
          <w:color w:val="auto"/>
          <w:sz w:val="24"/>
          <w:highlight w:val="none"/>
        </w:rPr>
        <w:t>投标人保证不降低招投标文件中所列服务要求和承诺，投标文件中所列服务要求和承诺作为本合同的附件，如有冲突以合同</w:t>
      </w:r>
      <w:r>
        <w:rPr>
          <w:rFonts w:hint="eastAsia"/>
          <w:color w:val="auto"/>
          <w:sz w:val="24"/>
          <w:highlight w:val="none"/>
          <w:lang w:val="en-US" w:eastAsia="zh-CN"/>
        </w:rPr>
        <w:t>签订</w:t>
      </w:r>
      <w:r>
        <w:rPr>
          <w:color w:val="auto"/>
          <w:sz w:val="24"/>
          <w:highlight w:val="none"/>
        </w:rPr>
        <w:t>为准。</w:t>
      </w:r>
    </w:p>
    <w:p>
      <w:pPr>
        <w:pStyle w:val="258"/>
        <w:tabs>
          <w:tab w:val="left" w:pos="402"/>
        </w:tabs>
        <w:spacing w:line="467" w:lineRule="exact"/>
        <w:ind w:firstLine="0"/>
        <w:rPr>
          <w:color w:val="auto"/>
          <w:highlight w:val="none"/>
        </w:rPr>
      </w:pPr>
      <w:bookmarkStart w:id="838" w:name="bookmark324"/>
      <w:r>
        <w:rPr>
          <w:rFonts w:ascii="Times New Roman" w:hAnsi="Times New Roman" w:eastAsia="Times New Roman" w:cs="Times New Roman"/>
          <w:color w:val="auto"/>
          <w:sz w:val="24"/>
          <w:highlight w:val="none"/>
        </w:rPr>
        <w:t>2</w:t>
      </w:r>
      <w:bookmarkEnd w:id="838"/>
      <w:r>
        <w:rPr>
          <w:color w:val="auto"/>
          <w:sz w:val="24"/>
          <w:highlight w:val="none"/>
        </w:rPr>
        <w:t>、</w:t>
      </w:r>
      <w:r>
        <w:rPr>
          <w:color w:val="auto"/>
          <w:sz w:val="24"/>
          <w:highlight w:val="none"/>
        </w:rPr>
        <w:tab/>
      </w:r>
      <w:r>
        <w:rPr>
          <w:color w:val="auto"/>
          <w:sz w:val="24"/>
          <w:highlight w:val="none"/>
        </w:rPr>
        <w:t>保证执法暂扣车辆及时交接、停放及发还。</w:t>
      </w:r>
    </w:p>
    <w:p>
      <w:pPr>
        <w:pStyle w:val="258"/>
        <w:tabs>
          <w:tab w:val="left" w:pos="397"/>
        </w:tabs>
        <w:spacing w:line="467" w:lineRule="exact"/>
        <w:ind w:firstLine="0"/>
        <w:rPr>
          <w:color w:val="auto"/>
          <w:highlight w:val="none"/>
        </w:rPr>
      </w:pPr>
      <w:bookmarkStart w:id="839" w:name="bookmark325"/>
      <w:r>
        <w:rPr>
          <w:rFonts w:ascii="Times New Roman" w:hAnsi="Times New Roman" w:eastAsia="Times New Roman" w:cs="Times New Roman"/>
          <w:color w:val="auto"/>
          <w:sz w:val="24"/>
          <w:highlight w:val="none"/>
        </w:rPr>
        <w:t>3</w:t>
      </w:r>
      <w:bookmarkEnd w:id="839"/>
      <w:r>
        <w:rPr>
          <w:color w:val="auto"/>
          <w:sz w:val="24"/>
          <w:highlight w:val="none"/>
        </w:rPr>
        <w:t>、</w:t>
      </w:r>
      <w:r>
        <w:rPr>
          <w:color w:val="auto"/>
          <w:sz w:val="24"/>
          <w:highlight w:val="none"/>
        </w:rPr>
        <w:tab/>
      </w:r>
      <w:r>
        <w:rPr>
          <w:color w:val="auto"/>
          <w:sz w:val="24"/>
          <w:highlight w:val="none"/>
        </w:rPr>
        <w:t>从采购人或采购人认可的工作人员与停车场工作人员进行暂扣车辆交接工作起，投标人即开始承担车辆保管责任。</w:t>
      </w:r>
    </w:p>
    <w:p>
      <w:pPr>
        <w:pStyle w:val="258"/>
        <w:tabs>
          <w:tab w:val="left" w:pos="402"/>
        </w:tabs>
        <w:spacing w:line="467" w:lineRule="exact"/>
        <w:ind w:firstLine="0"/>
        <w:rPr>
          <w:color w:val="auto"/>
          <w:highlight w:val="none"/>
        </w:rPr>
      </w:pPr>
      <w:bookmarkStart w:id="840" w:name="bookmark326"/>
      <w:r>
        <w:rPr>
          <w:rFonts w:ascii="Times New Roman" w:hAnsi="Times New Roman" w:eastAsia="Times New Roman" w:cs="Times New Roman"/>
          <w:color w:val="auto"/>
          <w:sz w:val="24"/>
          <w:highlight w:val="none"/>
        </w:rPr>
        <w:t>4</w:t>
      </w:r>
      <w:bookmarkEnd w:id="840"/>
      <w:r>
        <w:rPr>
          <w:color w:val="auto"/>
          <w:sz w:val="24"/>
          <w:highlight w:val="none"/>
        </w:rPr>
        <w:t>、</w:t>
      </w:r>
      <w:r>
        <w:rPr>
          <w:color w:val="auto"/>
          <w:sz w:val="24"/>
          <w:highlight w:val="none"/>
        </w:rPr>
        <w:tab/>
      </w:r>
      <w:r>
        <w:rPr>
          <w:color w:val="auto"/>
          <w:sz w:val="24"/>
          <w:highlight w:val="none"/>
        </w:rPr>
        <w:t>投标人应保证执法暂扣车辆转移、存放、保管期间的安全和完好。执法暂扣车辆转移、存放、保管期间发生毁损、丢失、被盗、冒领、抢夺等情形的，投标人承担赔偿责任，并应立即向采购人报告。涉嫌犯罪的，投标人应立即报警。</w:t>
      </w:r>
    </w:p>
    <w:p>
      <w:pPr>
        <w:pStyle w:val="258"/>
        <w:tabs>
          <w:tab w:val="left" w:pos="406"/>
        </w:tabs>
        <w:spacing w:line="467" w:lineRule="exact"/>
        <w:ind w:firstLine="0"/>
        <w:rPr>
          <w:color w:val="auto"/>
          <w:highlight w:val="none"/>
        </w:rPr>
      </w:pPr>
      <w:bookmarkStart w:id="841" w:name="bookmark327"/>
      <w:r>
        <w:rPr>
          <w:rFonts w:ascii="Times New Roman" w:hAnsi="Times New Roman" w:eastAsia="Times New Roman" w:cs="Times New Roman"/>
          <w:color w:val="auto"/>
          <w:sz w:val="24"/>
          <w:highlight w:val="none"/>
        </w:rPr>
        <w:t>5</w:t>
      </w:r>
      <w:bookmarkEnd w:id="841"/>
      <w:r>
        <w:rPr>
          <w:color w:val="auto"/>
          <w:sz w:val="24"/>
          <w:highlight w:val="none"/>
        </w:rPr>
        <w:t>、</w:t>
      </w:r>
      <w:r>
        <w:rPr>
          <w:color w:val="auto"/>
          <w:sz w:val="24"/>
          <w:highlight w:val="none"/>
        </w:rPr>
        <w:tab/>
      </w:r>
      <w:r>
        <w:rPr>
          <w:color w:val="auto"/>
          <w:sz w:val="24"/>
          <w:highlight w:val="none"/>
        </w:rPr>
        <w:t>执法暂扣车辆存放、保管期间，投标人不得动用执法暂扣车辆，严禁拆卸、变卖零部件、挪用执法暂扣车辆及号牌；不得动用车内物品。由此造成损失的，投标人负责赔偿。</w:t>
      </w:r>
    </w:p>
    <w:p>
      <w:pPr>
        <w:pStyle w:val="258"/>
        <w:tabs>
          <w:tab w:val="left" w:pos="402"/>
        </w:tabs>
        <w:spacing w:line="467" w:lineRule="exact"/>
        <w:ind w:firstLine="0"/>
        <w:rPr>
          <w:color w:val="auto"/>
          <w:highlight w:val="none"/>
        </w:rPr>
      </w:pPr>
      <w:bookmarkStart w:id="842" w:name="bookmark328"/>
      <w:r>
        <w:rPr>
          <w:rFonts w:ascii="Times New Roman" w:hAnsi="Times New Roman" w:eastAsia="Times New Roman" w:cs="Times New Roman"/>
          <w:color w:val="auto"/>
          <w:sz w:val="24"/>
          <w:highlight w:val="none"/>
        </w:rPr>
        <w:t>6</w:t>
      </w:r>
      <w:bookmarkEnd w:id="842"/>
      <w:r>
        <w:rPr>
          <w:color w:val="auto"/>
          <w:sz w:val="24"/>
          <w:highlight w:val="none"/>
        </w:rPr>
        <w:t>、</w:t>
      </w:r>
      <w:r>
        <w:rPr>
          <w:color w:val="auto"/>
          <w:sz w:val="24"/>
          <w:highlight w:val="none"/>
        </w:rPr>
        <w:tab/>
      </w:r>
      <w:r>
        <w:rPr>
          <w:color w:val="auto"/>
          <w:sz w:val="24"/>
          <w:highlight w:val="none"/>
        </w:rPr>
        <w:t>投标人应当接受采购人对停车场存放、保管执法暂扣车辆的监督。一经发现，</w:t>
      </w:r>
      <w:r>
        <w:rPr>
          <w:rFonts w:hint="eastAsia"/>
          <w:color w:val="auto"/>
          <w:sz w:val="24"/>
          <w:highlight w:val="none"/>
          <w:lang w:val="en-US" w:eastAsia="zh-CN"/>
        </w:rPr>
        <w:t>投标人</w:t>
      </w:r>
      <w:r>
        <w:rPr>
          <w:color w:val="auto"/>
          <w:sz w:val="24"/>
          <w:highlight w:val="none"/>
        </w:rPr>
        <w:t>应按照</w:t>
      </w:r>
      <w:r>
        <w:rPr>
          <w:rFonts w:hint="eastAsia"/>
          <w:color w:val="auto"/>
          <w:sz w:val="24"/>
          <w:highlight w:val="none"/>
          <w:lang w:val="en-US" w:eastAsia="zh-CN"/>
        </w:rPr>
        <w:t>采购人</w:t>
      </w:r>
      <w:r>
        <w:rPr>
          <w:color w:val="auto"/>
          <w:sz w:val="24"/>
          <w:highlight w:val="none"/>
        </w:rPr>
        <w:t>提出的要求进行整改，并向</w:t>
      </w:r>
      <w:r>
        <w:rPr>
          <w:rFonts w:hint="eastAsia"/>
          <w:color w:val="auto"/>
          <w:sz w:val="24"/>
          <w:highlight w:val="none"/>
          <w:lang w:val="en-US" w:eastAsia="zh-CN"/>
        </w:rPr>
        <w:t>采购人</w:t>
      </w:r>
      <w:r>
        <w:rPr>
          <w:color w:val="auto"/>
          <w:sz w:val="24"/>
          <w:highlight w:val="none"/>
        </w:rPr>
        <w:t>提交整改报告。</w:t>
      </w:r>
    </w:p>
    <w:p>
      <w:pPr>
        <w:pStyle w:val="258"/>
        <w:tabs>
          <w:tab w:val="left" w:pos="402"/>
        </w:tabs>
        <w:spacing w:line="467" w:lineRule="exact"/>
        <w:ind w:firstLine="0"/>
        <w:rPr>
          <w:color w:val="auto"/>
          <w:highlight w:val="none"/>
        </w:rPr>
      </w:pPr>
      <w:bookmarkStart w:id="843" w:name="bookmark329"/>
      <w:r>
        <w:rPr>
          <w:rFonts w:ascii="Times New Roman" w:hAnsi="Times New Roman" w:eastAsia="Times New Roman" w:cs="Times New Roman"/>
          <w:color w:val="auto"/>
          <w:sz w:val="24"/>
          <w:highlight w:val="none"/>
        </w:rPr>
        <w:t>7</w:t>
      </w:r>
      <w:bookmarkEnd w:id="843"/>
      <w:r>
        <w:rPr>
          <w:color w:val="auto"/>
          <w:sz w:val="24"/>
          <w:highlight w:val="none"/>
        </w:rPr>
        <w:t>、除规定必须由当事人支付的费用外，</w:t>
      </w:r>
      <w:r>
        <w:rPr>
          <w:rFonts w:hint="eastAsia"/>
          <w:color w:val="auto"/>
          <w:sz w:val="24"/>
          <w:highlight w:val="none"/>
          <w:lang w:val="en-US" w:eastAsia="zh-CN"/>
        </w:rPr>
        <w:t>投标人</w:t>
      </w:r>
      <w:r>
        <w:rPr>
          <w:color w:val="auto"/>
          <w:sz w:val="24"/>
          <w:highlight w:val="none"/>
        </w:rPr>
        <w:t>不得向当事人收取任何额外费用。如：根据《北京市查处非法客运若干规定》第十一条规定，</w:t>
      </w:r>
      <w:r>
        <w:rPr>
          <w:color w:val="auto"/>
          <w:sz w:val="24"/>
          <w:highlight w:val="none"/>
          <w:lang w:val="zh-CN" w:eastAsia="zh-CN" w:bidi="zh-CN"/>
        </w:rPr>
        <w:t>“非法</w:t>
      </w:r>
      <w:r>
        <w:rPr>
          <w:color w:val="auto"/>
          <w:sz w:val="24"/>
          <w:highlight w:val="none"/>
        </w:rPr>
        <w:t>客运经营车辆被扣押期间的保管费用由执法部门承担，自扣押解除之日起，车辆保管费用由当事人承担。</w:t>
      </w:r>
      <w:r>
        <w:rPr>
          <w:color w:val="auto"/>
          <w:sz w:val="24"/>
          <w:highlight w:val="none"/>
          <w:lang w:val="zh-CN" w:eastAsia="zh-CN" w:bidi="zh-CN"/>
        </w:rPr>
        <w:t>”因</w:t>
      </w:r>
      <w:r>
        <w:rPr>
          <w:color w:val="auto"/>
          <w:sz w:val="24"/>
          <w:highlight w:val="none"/>
        </w:rPr>
        <w:t>此，自扣押解除之日起，停车场可按</w:t>
      </w:r>
      <w:r>
        <w:rPr>
          <w:rFonts w:hint="eastAsia"/>
          <w:color w:val="auto"/>
          <w:sz w:val="24"/>
          <w:highlight w:val="none"/>
          <w:lang w:val="en-US" w:eastAsia="zh-CN"/>
        </w:rPr>
        <w:t>相关国家政策及</w:t>
      </w:r>
      <w:r>
        <w:rPr>
          <w:color w:val="auto"/>
          <w:sz w:val="24"/>
          <w:highlight w:val="none"/>
        </w:rPr>
        <w:t>收费标准向当事人收取</w:t>
      </w:r>
      <w:r>
        <w:rPr>
          <w:rFonts w:hint="eastAsia"/>
          <w:color w:val="auto"/>
          <w:sz w:val="24"/>
          <w:highlight w:val="none"/>
          <w:lang w:val="en-US" w:eastAsia="zh-CN"/>
        </w:rPr>
        <w:t>停车费</w:t>
      </w:r>
      <w:r>
        <w:rPr>
          <w:color w:val="auto"/>
          <w:sz w:val="24"/>
          <w:highlight w:val="none"/>
        </w:rPr>
        <w:t>。</w:t>
      </w:r>
    </w:p>
    <w:p>
      <w:pPr>
        <w:pStyle w:val="258"/>
        <w:tabs>
          <w:tab w:val="left" w:pos="402"/>
        </w:tabs>
        <w:spacing w:line="467" w:lineRule="exact"/>
        <w:ind w:firstLine="0"/>
        <w:rPr>
          <w:color w:val="auto"/>
          <w:sz w:val="24"/>
          <w:highlight w:val="none"/>
        </w:rPr>
      </w:pPr>
      <w:bookmarkStart w:id="844" w:name="bookmark330"/>
      <w:r>
        <w:rPr>
          <w:rFonts w:ascii="Times New Roman" w:hAnsi="Times New Roman" w:eastAsia="Times New Roman" w:cs="Times New Roman"/>
          <w:color w:val="auto"/>
          <w:sz w:val="24"/>
          <w:highlight w:val="none"/>
        </w:rPr>
        <w:t>8</w:t>
      </w:r>
      <w:bookmarkEnd w:id="844"/>
      <w:r>
        <w:rPr>
          <w:color w:val="auto"/>
          <w:sz w:val="24"/>
          <w:highlight w:val="none"/>
        </w:rPr>
        <w:t>、</w:t>
      </w:r>
      <w:r>
        <w:rPr>
          <w:rFonts w:hint="eastAsia"/>
          <w:color w:val="auto"/>
          <w:sz w:val="24"/>
          <w:highlight w:val="none"/>
        </w:rPr>
        <w:t xml:space="preserve">因故需要移动、修理车辆号牌识别系统及专用计算机设备、线路的费用全部由乙方自行承担。 </w:t>
      </w:r>
    </w:p>
    <w:p>
      <w:pPr>
        <w:widowControl/>
        <w:snapToGrid w:val="0"/>
        <w:spacing w:line="360" w:lineRule="auto"/>
        <w:jc w:val="left"/>
      </w:pPr>
      <w:r>
        <w:rPr>
          <w:rFonts w:hint="eastAsia" w:ascii="Times New Roman" w:hAnsi="Times New Roman" w:eastAsia="Times New Roman" w:cs="Times New Roman"/>
          <w:color w:val="auto"/>
          <w:kern w:val="3"/>
          <w:sz w:val="24"/>
          <w:szCs w:val="30"/>
          <w:highlight w:val="none"/>
          <w:lang w:val="en-US" w:eastAsia="zh-CN" w:bidi="zh-TW"/>
        </w:rPr>
        <w:t>9、</w:t>
      </w:r>
      <w:r>
        <w:rPr>
          <w:rFonts w:hint="eastAsia" w:cs="Times New Roman"/>
          <w:color w:val="auto"/>
          <w:kern w:val="3"/>
          <w:sz w:val="24"/>
          <w:szCs w:val="30"/>
          <w:highlight w:val="none"/>
          <w:lang w:val="en-US" w:eastAsia="zh-CN" w:bidi="zh-TW"/>
        </w:rPr>
        <w:t>投标人</w:t>
      </w:r>
      <w:r>
        <w:rPr>
          <w:rFonts w:hint="eastAsia" w:ascii="Times New Roman" w:hAnsi="Times New Roman" w:eastAsia="Times New Roman" w:cs="Times New Roman"/>
          <w:color w:val="auto"/>
          <w:kern w:val="3"/>
          <w:sz w:val="24"/>
          <w:szCs w:val="30"/>
          <w:highlight w:val="none"/>
          <w:lang w:val="zh-TW" w:eastAsia="zh-TW" w:bidi="zh-TW"/>
        </w:rPr>
        <w:t>应每月月初向甲方提供上月停车场进出场车辆明细表（纸质及电子文档），每年</w:t>
      </w:r>
      <w:r>
        <w:rPr>
          <w:rFonts w:hint="eastAsia" w:ascii="宋体" w:hAnsi="宋体" w:cs="宋体"/>
          <w:kern w:val="0"/>
          <w:sz w:val="24"/>
          <w:lang w:bidi="ar"/>
        </w:rPr>
        <w:t>年底向甲方提供停放时间大于六个月的滞留车辆明细表（纸质及电子文档）。</w:t>
      </w:r>
    </w:p>
    <w:p>
      <w:pPr>
        <w:pStyle w:val="258"/>
        <w:tabs>
          <w:tab w:val="left" w:pos="402"/>
        </w:tabs>
        <w:spacing w:line="467" w:lineRule="exact"/>
        <w:ind w:firstLine="0"/>
        <w:rPr>
          <w:color w:val="auto"/>
          <w:highlight w:val="none"/>
        </w:rPr>
      </w:pPr>
    </w:p>
    <w:p>
      <w:pPr>
        <w:pStyle w:val="265"/>
        <w:keepNext/>
        <w:keepLines/>
        <w:tabs>
          <w:tab w:val="left" w:pos="522"/>
        </w:tabs>
        <w:spacing w:line="467" w:lineRule="exact"/>
        <w:jc w:val="left"/>
        <w:outlineLvl w:val="9"/>
        <w:rPr>
          <w:color w:val="auto"/>
          <w:highlight w:val="none"/>
        </w:rPr>
      </w:pPr>
      <w:bookmarkStart w:id="845" w:name="bookmark333"/>
      <w:bookmarkStart w:id="846" w:name="bookmark332"/>
      <w:bookmarkStart w:id="847" w:name="bookmark334"/>
      <w:bookmarkStart w:id="848" w:name="bookmark331"/>
      <w:r>
        <w:rPr>
          <w:color w:val="auto"/>
          <w:sz w:val="24"/>
          <w:highlight w:val="none"/>
        </w:rPr>
        <w:t>四</w:t>
      </w:r>
      <w:bookmarkEnd w:id="845"/>
      <w:r>
        <w:rPr>
          <w:color w:val="auto"/>
          <w:sz w:val="24"/>
          <w:highlight w:val="none"/>
        </w:rPr>
        <w:t>、</w:t>
      </w:r>
      <w:r>
        <w:rPr>
          <w:color w:val="auto"/>
          <w:sz w:val="24"/>
          <w:highlight w:val="none"/>
        </w:rPr>
        <w:tab/>
      </w:r>
      <w:r>
        <w:rPr>
          <w:color w:val="auto"/>
          <w:sz w:val="24"/>
          <w:highlight w:val="none"/>
        </w:rPr>
        <w:t>执法暂扣车辆的交接</w:t>
      </w:r>
      <w:bookmarkEnd w:id="846"/>
      <w:bookmarkEnd w:id="847"/>
      <w:bookmarkEnd w:id="848"/>
    </w:p>
    <w:p>
      <w:pPr>
        <w:pStyle w:val="258"/>
        <w:tabs>
          <w:tab w:val="left" w:pos="378"/>
        </w:tabs>
        <w:spacing w:line="467" w:lineRule="exact"/>
        <w:ind w:firstLine="0"/>
        <w:jc w:val="left"/>
        <w:rPr>
          <w:color w:val="auto"/>
          <w:highlight w:val="none"/>
        </w:rPr>
      </w:pPr>
      <w:bookmarkStart w:id="849" w:name="bookmark335"/>
      <w:r>
        <w:rPr>
          <w:rFonts w:ascii="Times New Roman" w:hAnsi="Times New Roman" w:eastAsia="Times New Roman" w:cs="Times New Roman"/>
          <w:color w:val="auto"/>
          <w:sz w:val="24"/>
          <w:highlight w:val="none"/>
        </w:rPr>
        <w:t>1</w:t>
      </w:r>
      <w:bookmarkEnd w:id="849"/>
      <w:r>
        <w:rPr>
          <w:color w:val="auto"/>
          <w:sz w:val="24"/>
          <w:highlight w:val="none"/>
        </w:rPr>
        <w:t>、</w:t>
      </w:r>
      <w:r>
        <w:rPr>
          <w:color w:val="auto"/>
          <w:sz w:val="24"/>
          <w:highlight w:val="none"/>
        </w:rPr>
        <w:tab/>
      </w:r>
      <w:r>
        <w:rPr>
          <w:color w:val="auto"/>
          <w:sz w:val="24"/>
          <w:highlight w:val="none"/>
        </w:rPr>
        <w:t>采购人根据相关法律、法规查扣车辆后，通知投标人移送车辆。</w:t>
      </w:r>
    </w:p>
    <w:p>
      <w:pPr>
        <w:pStyle w:val="258"/>
        <w:tabs>
          <w:tab w:val="left" w:pos="402"/>
        </w:tabs>
        <w:spacing w:line="467" w:lineRule="exact"/>
        <w:ind w:firstLine="0"/>
        <w:jc w:val="left"/>
        <w:rPr>
          <w:color w:val="auto"/>
          <w:highlight w:val="none"/>
        </w:rPr>
      </w:pPr>
      <w:bookmarkStart w:id="850" w:name="bookmark336"/>
      <w:r>
        <w:rPr>
          <w:rFonts w:ascii="Times New Roman" w:hAnsi="Times New Roman" w:eastAsia="Times New Roman" w:cs="Times New Roman"/>
          <w:color w:val="auto"/>
          <w:sz w:val="24"/>
          <w:highlight w:val="none"/>
        </w:rPr>
        <w:t>2</w:t>
      </w:r>
      <w:bookmarkEnd w:id="850"/>
      <w:r>
        <w:rPr>
          <w:color w:val="auto"/>
          <w:sz w:val="24"/>
          <w:highlight w:val="none"/>
        </w:rPr>
        <w:t>、</w:t>
      </w:r>
      <w:r>
        <w:rPr>
          <w:color w:val="auto"/>
          <w:sz w:val="24"/>
          <w:highlight w:val="none"/>
        </w:rPr>
        <w:tab/>
      </w:r>
      <w:r>
        <w:rPr>
          <w:color w:val="auto"/>
          <w:sz w:val="24"/>
          <w:highlight w:val="none"/>
        </w:rPr>
        <w:t>投标人接到采购人通知后，应立即指派工作人员到现场接收并及时移送车辆，投标人工作人员需与采购人执法人员共同对车辆的车况、外观进行勘验，并点验车内物品，填写《执法暂扣车辆交接单》。</w:t>
      </w:r>
    </w:p>
    <w:p>
      <w:pPr>
        <w:pStyle w:val="258"/>
        <w:tabs>
          <w:tab w:val="left" w:pos="581"/>
        </w:tabs>
        <w:spacing w:line="473" w:lineRule="exact"/>
        <w:ind w:firstLine="0"/>
        <w:jc w:val="left"/>
        <w:rPr>
          <w:color w:val="auto"/>
          <w:highlight w:val="none"/>
        </w:rPr>
      </w:pPr>
      <w:bookmarkStart w:id="851" w:name="bookmark337"/>
      <w:r>
        <w:rPr>
          <w:rFonts w:ascii="Times New Roman" w:hAnsi="Times New Roman" w:eastAsia="Times New Roman" w:cs="Times New Roman"/>
          <w:color w:val="auto"/>
          <w:sz w:val="24"/>
          <w:highlight w:val="none"/>
        </w:rPr>
        <w:t>3</w:t>
      </w:r>
      <w:bookmarkEnd w:id="851"/>
      <w:r>
        <w:rPr>
          <w:color w:val="auto"/>
          <w:sz w:val="24"/>
          <w:highlight w:val="none"/>
        </w:rPr>
        <w:t>、《执法暂扣车辆交接单》应包括当事人姓名、车辆的车型、车号、车架号、车身颜色、车辆行驶公里数、车辆交接时间、交接地点、车内物品、车辆状况等要素。双方签字确认后，投标人及时将查扣车辆安全移送至停车场。</w:t>
      </w:r>
    </w:p>
    <w:p>
      <w:pPr>
        <w:pStyle w:val="258"/>
        <w:tabs>
          <w:tab w:val="left" w:pos="405"/>
        </w:tabs>
        <w:spacing w:line="470" w:lineRule="exact"/>
        <w:ind w:firstLine="0"/>
        <w:rPr>
          <w:color w:val="auto"/>
          <w:highlight w:val="none"/>
        </w:rPr>
      </w:pPr>
      <w:bookmarkStart w:id="852" w:name="bookmark339"/>
      <w:bookmarkStart w:id="853" w:name="bookmark338"/>
      <w:r>
        <w:rPr>
          <w:rFonts w:ascii="Times New Roman" w:hAnsi="Times New Roman" w:eastAsia="Times New Roman" w:cs="Times New Roman"/>
          <w:color w:val="auto"/>
          <w:sz w:val="24"/>
          <w:highlight w:val="none"/>
        </w:rPr>
        <w:t>4</w:t>
      </w:r>
      <w:bookmarkEnd w:id="852"/>
      <w:r>
        <w:rPr>
          <w:color w:val="auto"/>
          <w:sz w:val="24"/>
          <w:highlight w:val="none"/>
        </w:rPr>
        <w:t>、</w:t>
      </w:r>
      <w:r>
        <w:rPr>
          <w:color w:val="auto"/>
          <w:sz w:val="24"/>
          <w:highlight w:val="none"/>
        </w:rPr>
        <w:tab/>
      </w:r>
      <w:r>
        <w:rPr>
          <w:color w:val="auto"/>
          <w:sz w:val="24"/>
          <w:highlight w:val="none"/>
        </w:rPr>
        <w:t>投标人移送执法暂扣车辆途中发生交通违章、交通事故、意外等情况，由投标人承担责任。</w:t>
      </w:r>
      <w:bookmarkEnd w:id="853"/>
    </w:p>
    <w:p>
      <w:pPr>
        <w:pStyle w:val="258"/>
        <w:tabs>
          <w:tab w:val="left" w:pos="405"/>
        </w:tabs>
        <w:spacing w:line="470" w:lineRule="exact"/>
        <w:ind w:firstLine="0"/>
        <w:rPr>
          <w:color w:val="auto"/>
          <w:sz w:val="24"/>
          <w:highlight w:val="none"/>
        </w:rPr>
      </w:pPr>
      <w:bookmarkStart w:id="854" w:name="bookmark340"/>
      <w:r>
        <w:rPr>
          <w:rFonts w:ascii="Times New Roman" w:hAnsi="Times New Roman" w:eastAsia="Times New Roman" w:cs="Times New Roman"/>
          <w:color w:val="auto"/>
          <w:sz w:val="24"/>
          <w:highlight w:val="none"/>
        </w:rPr>
        <w:t>5</w:t>
      </w:r>
      <w:bookmarkEnd w:id="854"/>
      <w:r>
        <w:rPr>
          <w:color w:val="auto"/>
          <w:sz w:val="24"/>
          <w:highlight w:val="none"/>
        </w:rPr>
        <w:t>、</w:t>
      </w:r>
      <w:r>
        <w:rPr>
          <w:color w:val="auto"/>
          <w:sz w:val="24"/>
          <w:highlight w:val="none"/>
        </w:rPr>
        <w:tab/>
      </w:r>
      <w:r>
        <w:rPr>
          <w:color w:val="auto"/>
          <w:sz w:val="24"/>
          <w:highlight w:val="none"/>
        </w:rPr>
        <w:t>车辆移送途中，不得搭乘违法当事人及其他人员；如遇拦抢等情况，投标人工作人员应立即报警，并及时报告采购人执法人员。</w:t>
      </w:r>
    </w:p>
    <w:p>
      <w:pPr>
        <w:pStyle w:val="258"/>
        <w:spacing w:line="471" w:lineRule="exact"/>
        <w:ind w:firstLine="0"/>
        <w:rPr>
          <w:color w:val="auto"/>
          <w:sz w:val="24"/>
          <w:highlight w:val="none"/>
          <w:lang w:val="en-US" w:eastAsia="zh-CN"/>
        </w:rPr>
      </w:pPr>
      <w:r>
        <w:rPr>
          <w:rFonts w:hint="eastAsia"/>
          <w:color w:val="auto"/>
          <w:sz w:val="24"/>
          <w:highlight w:val="none"/>
          <w:lang w:val="en-US" w:eastAsia="zh-CN"/>
        </w:rPr>
        <w:t>6、针对机挂分离的车辆，不分开计算，采购人以合同中确定的收费标准（按整车计算）向投标人支付停车保管费用，投标人应告知当事人相关保管责任。</w:t>
      </w:r>
    </w:p>
    <w:p>
      <w:pPr>
        <w:pStyle w:val="258"/>
        <w:spacing w:line="471" w:lineRule="exact"/>
        <w:ind w:firstLine="0"/>
        <w:rPr>
          <w:rFonts w:hint="eastAsia"/>
          <w:color w:val="auto"/>
          <w:sz w:val="24"/>
          <w:highlight w:val="none"/>
          <w:lang w:val="en-US" w:eastAsia="zh-CN"/>
        </w:rPr>
      </w:pPr>
      <w:r>
        <w:rPr>
          <w:rFonts w:hint="eastAsia"/>
          <w:color w:val="auto"/>
          <w:sz w:val="24"/>
          <w:highlight w:val="none"/>
          <w:lang w:val="en-US" w:eastAsia="zh-CN"/>
        </w:rPr>
        <w:t>7、由于拖车、吊车、装卸所产生的费用，依据《北京市发展和改革委员会北京市交通委员会北京市住房和城乡建设委员会关于本市停车收费管理有关问题的通知》京发改〔2015〕2688号，严格落实明码标价制度，在停车场醒目位置设置明码标价牌，由投标人与当事人自行协商解决，招标人只承担车辆保管费。</w:t>
      </w:r>
    </w:p>
    <w:p>
      <w:pPr>
        <w:pStyle w:val="258"/>
        <w:tabs>
          <w:tab w:val="left" w:pos="405"/>
        </w:tabs>
        <w:spacing w:line="470" w:lineRule="exact"/>
        <w:ind w:firstLine="0"/>
        <w:rPr>
          <w:rFonts w:hint="eastAsia"/>
          <w:color w:val="auto"/>
          <w:sz w:val="24"/>
          <w:highlight w:val="none"/>
          <w:lang w:val="en-US" w:eastAsia="zh-CN"/>
        </w:rPr>
      </w:pPr>
    </w:p>
    <w:p>
      <w:pPr>
        <w:pStyle w:val="265"/>
        <w:keepNext/>
        <w:keepLines/>
        <w:tabs>
          <w:tab w:val="left" w:pos="467"/>
        </w:tabs>
        <w:spacing w:line="470" w:lineRule="exact"/>
        <w:outlineLvl w:val="9"/>
        <w:rPr>
          <w:color w:val="auto"/>
          <w:highlight w:val="none"/>
        </w:rPr>
      </w:pPr>
      <w:bookmarkStart w:id="855" w:name="bookmark343"/>
      <w:bookmarkStart w:id="856" w:name="bookmark341"/>
      <w:bookmarkStart w:id="857" w:name="bookmark342"/>
      <w:bookmarkStart w:id="858" w:name="bookmark344"/>
      <w:r>
        <w:rPr>
          <w:color w:val="auto"/>
          <w:sz w:val="24"/>
          <w:highlight w:val="none"/>
        </w:rPr>
        <w:t>五</w:t>
      </w:r>
      <w:bookmarkEnd w:id="855"/>
      <w:r>
        <w:rPr>
          <w:color w:val="auto"/>
          <w:sz w:val="24"/>
          <w:highlight w:val="none"/>
        </w:rPr>
        <w:t>、执法暂扣车辆的发还</w:t>
      </w:r>
      <w:bookmarkEnd w:id="856"/>
      <w:bookmarkEnd w:id="857"/>
      <w:bookmarkEnd w:id="858"/>
    </w:p>
    <w:p>
      <w:pPr>
        <w:pStyle w:val="258"/>
        <w:tabs>
          <w:tab w:val="left" w:pos="405"/>
        </w:tabs>
        <w:spacing w:line="470" w:lineRule="exact"/>
        <w:ind w:firstLine="0"/>
        <w:rPr>
          <w:color w:val="auto"/>
          <w:highlight w:val="none"/>
        </w:rPr>
      </w:pPr>
      <w:bookmarkStart w:id="859" w:name="bookmark345"/>
      <w:r>
        <w:rPr>
          <w:rFonts w:ascii="Times New Roman" w:hAnsi="Times New Roman" w:eastAsia="Times New Roman" w:cs="Times New Roman"/>
          <w:color w:val="auto"/>
          <w:sz w:val="24"/>
          <w:highlight w:val="none"/>
        </w:rPr>
        <w:t>1</w:t>
      </w:r>
      <w:bookmarkEnd w:id="859"/>
      <w:r>
        <w:rPr>
          <w:color w:val="auto"/>
          <w:sz w:val="24"/>
          <w:highlight w:val="none"/>
        </w:rPr>
        <w:t>、</w:t>
      </w:r>
      <w:r>
        <w:rPr>
          <w:color w:val="auto"/>
          <w:sz w:val="24"/>
          <w:highlight w:val="none"/>
        </w:rPr>
        <w:tab/>
      </w:r>
      <w:r>
        <w:rPr>
          <w:color w:val="auto"/>
          <w:sz w:val="24"/>
          <w:highlight w:val="none"/>
        </w:rPr>
        <w:t>执法暂扣车辆的违法当事人须持</w:t>
      </w:r>
      <w:r>
        <w:rPr>
          <w:rFonts w:hint="eastAsia"/>
          <w:color w:val="auto"/>
          <w:sz w:val="24"/>
          <w:highlight w:val="none"/>
          <w:lang w:val="en-US" w:eastAsia="zh-CN"/>
        </w:rPr>
        <w:t>采购人</w:t>
      </w:r>
      <w:r>
        <w:rPr>
          <w:color w:val="auto"/>
          <w:sz w:val="24"/>
          <w:highlight w:val="none"/>
        </w:rPr>
        <w:t>相关</w:t>
      </w:r>
      <w:r>
        <w:rPr>
          <w:rFonts w:hint="eastAsia"/>
          <w:color w:val="auto"/>
          <w:sz w:val="24"/>
          <w:highlight w:val="none"/>
          <w:lang w:eastAsia="zh-CN"/>
        </w:rPr>
        <w:t>执法部门</w:t>
      </w:r>
      <w:r>
        <w:rPr>
          <w:color w:val="auto"/>
          <w:sz w:val="24"/>
          <w:highlight w:val="none"/>
        </w:rPr>
        <w:t>开具的</w:t>
      </w:r>
      <w:r>
        <w:rPr>
          <w:rFonts w:hint="eastAsia"/>
          <w:color w:val="auto"/>
          <w:sz w:val="24"/>
          <w:highlight w:val="none"/>
        </w:rPr>
        <w:t>《车辆领取通知书》</w:t>
      </w:r>
      <w:r>
        <w:rPr>
          <w:color w:val="auto"/>
          <w:sz w:val="24"/>
          <w:highlight w:val="none"/>
        </w:rPr>
        <w:t>及车辆相关证件到</w:t>
      </w:r>
      <w:r>
        <w:rPr>
          <w:rFonts w:hint="eastAsia"/>
          <w:color w:val="auto"/>
          <w:sz w:val="24"/>
          <w:highlight w:val="none"/>
          <w:lang w:val="en-US" w:eastAsia="zh-CN"/>
        </w:rPr>
        <w:t>投标人</w:t>
      </w:r>
      <w:r>
        <w:rPr>
          <w:color w:val="auto"/>
          <w:sz w:val="24"/>
          <w:highlight w:val="none"/>
        </w:rPr>
        <w:t>停车场提取车辆。</w:t>
      </w:r>
    </w:p>
    <w:p>
      <w:pPr>
        <w:pStyle w:val="258"/>
        <w:spacing w:line="470" w:lineRule="exact"/>
        <w:ind w:firstLine="0"/>
        <w:rPr>
          <w:color w:val="auto"/>
          <w:highlight w:val="none"/>
        </w:rPr>
      </w:pPr>
      <w:bookmarkStart w:id="860" w:name="bookmark346"/>
      <w:r>
        <w:rPr>
          <w:rFonts w:ascii="Times New Roman" w:hAnsi="Times New Roman" w:eastAsia="Times New Roman" w:cs="Times New Roman"/>
          <w:color w:val="auto"/>
          <w:sz w:val="24"/>
          <w:highlight w:val="none"/>
        </w:rPr>
        <w:t>2</w:t>
      </w:r>
      <w:bookmarkEnd w:id="860"/>
      <w:r>
        <w:rPr>
          <w:color w:val="auto"/>
          <w:sz w:val="24"/>
          <w:highlight w:val="none"/>
        </w:rPr>
        <w:t>、发还执法暂扣车辆时，投标人应当先与采购人相关执法部门核对信息，核对无误后，与违法当事人就执法暂扣车辆的车况和车内物品进行核对交接，违法当事人认可后在《车辆领取通知书》上签字，同时注明取车时间。</w:t>
      </w:r>
    </w:p>
    <w:p>
      <w:pPr>
        <w:rPr>
          <w:rFonts w:ascii="宋体" w:hAnsi="宋体" w:cs="宋体"/>
          <w:b/>
          <w:bCs/>
          <w:color w:val="auto"/>
          <w:kern w:val="0"/>
          <w:sz w:val="24"/>
          <w:highlight w:val="none"/>
          <w:lang w:bidi="ar"/>
        </w:rPr>
      </w:pPr>
      <w:r>
        <w:rPr>
          <w:rFonts w:hint="eastAsia" w:ascii="宋体" w:hAnsi="宋体" w:cs="宋体"/>
          <w:b/>
          <w:bCs/>
          <w:color w:val="auto"/>
          <w:kern w:val="0"/>
          <w:sz w:val="24"/>
          <w:highlight w:val="none"/>
          <w:lang w:eastAsia="zh-CN" w:bidi="ar"/>
        </w:rPr>
        <w:t>六</w:t>
      </w:r>
      <w:r>
        <w:rPr>
          <w:rFonts w:hint="eastAsia" w:ascii="宋体" w:hAnsi="宋体" w:cs="宋体"/>
          <w:b/>
          <w:bCs/>
          <w:color w:val="auto"/>
          <w:kern w:val="0"/>
          <w:sz w:val="24"/>
          <w:highlight w:val="none"/>
          <w:lang w:bidi="ar"/>
        </w:rPr>
        <w:t>、服务期限及服务地点</w:t>
      </w:r>
    </w:p>
    <w:p>
      <w:pPr>
        <w:rPr>
          <w:rFonts w:ascii="宋体" w:hAnsi="宋体" w:cs="宋体"/>
          <w:color w:val="auto"/>
          <w:sz w:val="24"/>
          <w:highlight w:val="none"/>
        </w:rPr>
      </w:pPr>
    </w:p>
    <w:p>
      <w:pPr>
        <w:widowControl/>
        <w:snapToGrid w:val="0"/>
        <w:spacing w:line="360" w:lineRule="auto"/>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服务期限：自合同签订之日起至202</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年1月31日。</w:t>
      </w:r>
    </w:p>
    <w:p>
      <w:pPr>
        <w:spacing w:line="360" w:lineRule="auto"/>
        <w:jc w:val="both"/>
        <w:outlineLvl w:val="0"/>
        <w:rPr>
          <w:rFonts w:hint="eastAsia" w:ascii="宋体" w:hAnsi="宋体" w:cs="宋体"/>
          <w:color w:val="auto"/>
          <w:kern w:val="0"/>
          <w:sz w:val="24"/>
          <w:highlight w:val="none"/>
          <w:lang w:bidi="ar"/>
        </w:rPr>
      </w:pPr>
      <w:bookmarkStart w:id="861" w:name="_Toc30150"/>
      <w:r>
        <w:rPr>
          <w:rFonts w:hint="eastAsia" w:ascii="宋体" w:hAnsi="宋体" w:cs="宋体"/>
          <w:color w:val="auto"/>
          <w:kern w:val="0"/>
          <w:sz w:val="24"/>
          <w:highlight w:val="none"/>
          <w:lang w:bidi="ar"/>
        </w:rPr>
        <w:t>服务地点：</w:t>
      </w:r>
      <w:r>
        <w:rPr>
          <w:rFonts w:hint="eastAsia" w:ascii="宋体" w:hAnsi="宋体" w:cs="宋体"/>
          <w:color w:val="auto"/>
          <w:kern w:val="0"/>
          <w:sz w:val="24"/>
          <w:highlight w:val="none"/>
          <w:lang w:val="en-US" w:eastAsia="zh-CN" w:bidi="ar"/>
        </w:rPr>
        <w:t>采购</w:t>
      </w:r>
      <w:r>
        <w:rPr>
          <w:rFonts w:hint="eastAsia" w:ascii="宋体" w:hAnsi="宋体" w:cs="宋体"/>
          <w:color w:val="auto"/>
          <w:kern w:val="0"/>
          <w:sz w:val="24"/>
          <w:highlight w:val="none"/>
          <w:lang w:bidi="ar"/>
        </w:rPr>
        <w:t>人指定地点。</w:t>
      </w:r>
    </w:p>
    <w:p>
      <w:pPr>
        <w:pStyle w:val="34"/>
        <w:numPr>
          <w:ilvl w:val="0"/>
          <w:numId w:val="0"/>
        </w:numPr>
        <w:tabs>
          <w:tab w:val="clear" w:pos="360"/>
          <w:tab w:val="clear" w:pos="768"/>
          <w:tab w:val="clear" w:pos="900"/>
          <w:tab w:val="clear" w:pos="4941"/>
        </w:tabs>
      </w:pPr>
    </w:p>
    <w:p>
      <w:pPr>
        <w:pStyle w:val="34"/>
        <w:numPr>
          <w:ilvl w:val="0"/>
          <w:numId w:val="0"/>
        </w:numPr>
        <w:tabs>
          <w:tab w:val="clear" w:pos="360"/>
          <w:tab w:val="clear" w:pos="768"/>
          <w:tab w:val="clear" w:pos="900"/>
          <w:tab w:val="clear" w:pos="4941"/>
        </w:tabs>
      </w:pPr>
      <w:r>
        <w:rPr>
          <w:rFonts w:hint="eastAsia"/>
          <w:sz w:val="24"/>
          <w:lang w:val="en-US" w:eastAsia="zh-CN"/>
        </w:rPr>
        <w:t>注释：</w:t>
      </w:r>
      <w:r>
        <w:rPr>
          <w:rFonts w:hint="eastAsia"/>
          <w:sz w:val="24"/>
        </w:rPr>
        <w:t>地图驾车导航截图示例：</w:t>
      </w:r>
    </w:p>
    <w:p>
      <w:pPr>
        <w:pStyle w:val="2"/>
        <w:rPr>
          <w:rFonts w:hint="eastAsia" w:eastAsia="宋体"/>
          <w:lang w:eastAsia="zh-CN"/>
        </w:rPr>
      </w:pPr>
      <w:r>
        <w:rPr>
          <w:rFonts w:hint="eastAsia" w:eastAsia="宋体"/>
          <w:lang w:eastAsia="zh-CN"/>
        </w:rPr>
        <w:drawing>
          <wp:inline distT="0" distB="0" distL="114300" distR="114300">
            <wp:extent cx="3582035" cy="3743960"/>
            <wp:effectExtent l="0" t="0" r="18415" b="8890"/>
            <wp:docPr id="9" name="图片 9" descr="c68d4ad76396d8d2c680a27fe6cf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68d4ad76396d8d2c680a27fe6cf579"/>
                    <pic:cNvPicPr>
                      <a:picLocks noChangeAspect="1"/>
                    </pic:cNvPicPr>
                  </pic:nvPicPr>
                  <pic:blipFill>
                    <a:blip r:embed="rId19"/>
                    <a:stretch>
                      <a:fillRect/>
                    </a:stretch>
                  </pic:blipFill>
                  <pic:spPr>
                    <a:xfrm>
                      <a:off x="0" y="0"/>
                      <a:ext cx="3582035" cy="3743960"/>
                    </a:xfrm>
                    <a:prstGeom prst="rect">
                      <a:avLst/>
                    </a:prstGeom>
                  </pic:spPr>
                </pic:pic>
              </a:graphicData>
            </a:graphic>
          </wp:inline>
        </w:drawing>
      </w:r>
    </w:p>
    <w:p>
      <w:pPr>
        <w:snapToGrid w:val="0"/>
        <w:spacing w:line="360" w:lineRule="auto"/>
        <w:ind w:firstLine="28"/>
        <w:jc w:val="left"/>
        <w:rPr>
          <w:sz w:val="24"/>
        </w:rPr>
      </w:pPr>
      <w:r>
        <w:rPr>
          <w:rFonts w:hint="eastAsia"/>
          <w:sz w:val="24"/>
        </w:rPr>
        <w:t>停车场与任意最近支队距离以驾车推荐方案中最短距离为准。</w:t>
      </w:r>
    </w:p>
    <w:p>
      <w:pPr>
        <w:pStyle w:val="2"/>
      </w:pPr>
      <w:r>
        <w:rPr>
          <w:rFonts w:hint="eastAsia" w:asciiTheme="minorEastAsia" w:hAnsiTheme="minorEastAsia" w:eastAsiaTheme="minorEastAsia"/>
          <w:szCs w:val="21"/>
        </w:rPr>
        <w:t>停车场到最近地铁站步行时间以最短时间为准。</w:t>
      </w:r>
    </w:p>
    <w:p>
      <w:pPr>
        <w:spacing w:line="360" w:lineRule="auto"/>
        <w:jc w:val="both"/>
        <w:outlineLvl w:val="0"/>
        <w:rPr>
          <w:rFonts w:hint="eastAsia" w:ascii="宋体" w:hAnsi="宋体" w:eastAsia="宋体" w:cs="宋体"/>
          <w:color w:val="auto"/>
          <w:kern w:val="3"/>
          <w:sz w:val="28"/>
          <w:szCs w:val="32"/>
          <w:highlight w:val="none"/>
          <w:lang w:val="zh-TW" w:eastAsia="zh-TW" w:bidi="zh-TW"/>
        </w:rPr>
      </w:pPr>
      <w:r>
        <w:rPr>
          <w:sz w:val="36"/>
          <w:szCs w:val="36"/>
        </w:rPr>
        <w:br w:type="page"/>
      </w:r>
      <w:bookmarkEnd w:id="861"/>
    </w:p>
    <w:p>
      <w:pPr>
        <w:spacing w:line="360" w:lineRule="auto"/>
        <w:jc w:val="center"/>
        <w:rPr>
          <w:rFonts w:ascii="宋体" w:hAnsi="宋体" w:cs="宋体"/>
          <w:kern w:val="3"/>
          <w:sz w:val="24"/>
          <w:szCs w:val="30"/>
          <w:lang w:val="zh-TW" w:eastAsia="zh-TW" w:bidi="zh-TW"/>
        </w:rPr>
      </w:pPr>
    </w:p>
    <w:p>
      <w:pPr>
        <w:spacing w:line="360" w:lineRule="auto"/>
        <w:jc w:val="center"/>
        <w:outlineLvl w:val="0"/>
        <w:rPr>
          <w:rFonts w:ascii="宋体" w:hAnsi="宋体"/>
          <w:b/>
          <w:sz w:val="36"/>
          <w:szCs w:val="36"/>
        </w:rPr>
      </w:pPr>
      <w:bookmarkStart w:id="862" w:name="_Toc20517"/>
      <w:r>
        <w:rPr>
          <w:rFonts w:ascii="宋体" w:hAnsi="宋体"/>
          <w:b/>
          <w:sz w:val="36"/>
          <w:szCs w:val="36"/>
        </w:rPr>
        <w:t>第六章   拟签订的合同文本</w:t>
      </w:r>
      <w:bookmarkEnd w:id="862"/>
    </w:p>
    <w:p>
      <w:pPr>
        <w:spacing w:line="360" w:lineRule="auto"/>
        <w:jc w:val="center"/>
        <w:rPr>
          <w:rFonts w:ascii="宋体" w:hAnsi="宋体" w:cs="宋体"/>
          <w:kern w:val="3"/>
          <w:sz w:val="24"/>
          <w:szCs w:val="30"/>
          <w:lang w:val="zh-TW" w:eastAsia="zh-TW" w:bidi="zh-TW"/>
        </w:rPr>
      </w:pPr>
    </w:p>
    <w:p>
      <w:pPr>
        <w:snapToGrid w:val="0"/>
        <w:spacing w:line="360" w:lineRule="auto"/>
        <w:jc w:val="left"/>
        <w:rPr>
          <w:rFonts w:ascii="宋体" w:hAnsi="宋体" w:cs="宋体"/>
          <w:kern w:val="3"/>
          <w:sz w:val="28"/>
          <w:szCs w:val="32"/>
          <w:lang w:val="zh-TW" w:eastAsia="zh-TW" w:bidi="zh-TW"/>
        </w:rPr>
      </w:pPr>
      <w:r>
        <w:rPr>
          <w:rFonts w:hint="eastAsia" w:ascii="宋体" w:hAnsi="宋体" w:cs="宋体"/>
          <w:kern w:val="3"/>
          <w:sz w:val="28"/>
          <w:szCs w:val="32"/>
          <w:lang w:val="zh-TW" w:eastAsia="zh-TW" w:bidi="zh-TW"/>
        </w:rPr>
        <w:t xml:space="preserve">合同编号：                        </w:t>
      </w: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ind w:firstLine="560" w:firstLineChars="200"/>
        <w:jc w:val="center"/>
        <w:rPr>
          <w:rFonts w:hint="eastAsia" w:ascii="宋体" w:hAnsi="宋体" w:eastAsia="宋体" w:cs="宋体"/>
          <w:kern w:val="3"/>
          <w:sz w:val="28"/>
          <w:szCs w:val="32"/>
          <w:lang w:val="zh-TW" w:eastAsia="zh-CN" w:bidi="zh-TW"/>
        </w:rPr>
      </w:pPr>
      <w:r>
        <w:rPr>
          <w:rFonts w:hint="eastAsia" w:ascii="宋体" w:hAnsi="宋体" w:cs="宋体"/>
          <w:kern w:val="3"/>
          <w:sz w:val="28"/>
          <w:szCs w:val="32"/>
          <w:lang w:val="zh-TW" w:eastAsia="zh-CN" w:bidi="zh-TW"/>
        </w:rPr>
        <w:t>2024年扣押违法车辆停车保管服务项目</w:t>
      </w:r>
    </w:p>
    <w:p>
      <w:pPr>
        <w:snapToGrid w:val="0"/>
        <w:spacing w:line="360" w:lineRule="auto"/>
        <w:ind w:firstLine="560" w:firstLineChars="200"/>
        <w:jc w:val="center"/>
        <w:rPr>
          <w:rFonts w:ascii="宋体" w:hAnsi="宋体" w:cs="宋体"/>
          <w:kern w:val="3"/>
          <w:sz w:val="28"/>
          <w:szCs w:val="32"/>
          <w:lang w:val="zh-TW" w:eastAsia="zh-TW" w:bidi="zh-TW"/>
        </w:rPr>
      </w:pPr>
      <w:r>
        <w:rPr>
          <w:rFonts w:hint="eastAsia" w:ascii="宋体" w:hAnsi="宋体" w:cs="宋体"/>
          <w:kern w:val="3"/>
          <w:sz w:val="28"/>
          <w:szCs w:val="32"/>
          <w:lang w:val="zh-TW" w:eastAsia="zh-TW" w:bidi="zh-TW"/>
        </w:rPr>
        <w:t>委托合同</w:t>
      </w: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rPr>
          <w:rFonts w:ascii="宋体" w:hAnsi="宋体" w:cs="宋体"/>
          <w:kern w:val="3"/>
          <w:sz w:val="28"/>
          <w:szCs w:val="32"/>
          <w:lang w:val="zh-TW" w:eastAsia="zh-TW" w:bidi="zh-TW"/>
        </w:rPr>
      </w:pPr>
    </w:p>
    <w:p>
      <w:pPr>
        <w:snapToGrid w:val="0"/>
        <w:spacing w:line="360" w:lineRule="auto"/>
        <w:rPr>
          <w:rFonts w:ascii="宋体" w:hAnsi="宋体" w:cs="宋体"/>
          <w:kern w:val="3"/>
          <w:sz w:val="28"/>
          <w:szCs w:val="32"/>
          <w:lang w:val="zh-TW" w:eastAsia="zh-TW" w:bidi="zh-TW"/>
        </w:rPr>
      </w:pPr>
    </w:p>
    <w:p>
      <w:pPr>
        <w:snapToGrid w:val="0"/>
        <w:spacing w:line="360" w:lineRule="auto"/>
        <w:rPr>
          <w:rFonts w:ascii="宋体" w:hAnsi="宋体" w:cs="宋体"/>
          <w:kern w:val="3"/>
          <w:sz w:val="28"/>
          <w:szCs w:val="32"/>
          <w:lang w:val="zh-TW" w:eastAsia="zh-TW" w:bidi="zh-TW"/>
        </w:rPr>
      </w:pPr>
    </w:p>
    <w:p>
      <w:pPr>
        <w:snapToGrid w:val="0"/>
        <w:spacing w:line="360" w:lineRule="auto"/>
        <w:ind w:firstLine="560" w:firstLineChars="200"/>
        <w:jc w:val="left"/>
        <w:rPr>
          <w:rFonts w:ascii="宋体" w:hAnsi="宋体" w:cs="宋体"/>
          <w:kern w:val="3"/>
          <w:sz w:val="28"/>
          <w:szCs w:val="32"/>
          <w:lang w:val="zh-TW" w:eastAsia="zh-TW" w:bidi="zh-TW"/>
        </w:rPr>
      </w:pPr>
    </w:p>
    <w:p>
      <w:pPr>
        <w:snapToGrid w:val="0"/>
        <w:spacing w:line="360" w:lineRule="auto"/>
        <w:ind w:firstLine="560" w:firstLineChars="200"/>
        <w:jc w:val="left"/>
        <w:rPr>
          <w:rFonts w:hint="eastAsia" w:ascii="宋体" w:hAnsi="宋体" w:cs="宋体"/>
          <w:kern w:val="3"/>
          <w:sz w:val="28"/>
          <w:szCs w:val="32"/>
          <w:lang w:val="zh-TW" w:eastAsia="zh-TW" w:bidi="zh-TW"/>
        </w:rPr>
      </w:pPr>
      <w:r>
        <w:rPr>
          <w:rFonts w:hint="eastAsia" w:ascii="宋体" w:hAnsi="宋体" w:cs="宋体"/>
          <w:kern w:val="3"/>
          <w:sz w:val="28"/>
          <w:szCs w:val="32"/>
          <w:lang w:val="zh-TW" w:eastAsia="zh-TW" w:bidi="zh-TW"/>
        </w:rPr>
        <w:t>项目名称：</w:t>
      </w:r>
      <w:r>
        <w:rPr>
          <w:rFonts w:hint="eastAsia" w:ascii="宋体" w:hAnsi="宋体" w:cs="宋体"/>
          <w:kern w:val="3"/>
          <w:sz w:val="28"/>
          <w:szCs w:val="32"/>
          <w:lang w:val="zh-TW" w:eastAsia="zh-CN" w:bidi="zh-TW"/>
        </w:rPr>
        <w:t>2024年扣押违法车辆停车保管服务项目</w:t>
      </w:r>
    </w:p>
    <w:p>
      <w:pPr>
        <w:snapToGrid w:val="0"/>
        <w:spacing w:line="360" w:lineRule="auto"/>
        <w:ind w:firstLine="560" w:firstLineChars="200"/>
        <w:jc w:val="left"/>
        <w:rPr>
          <w:rFonts w:ascii="宋体" w:hAnsi="宋体" w:cs="宋体"/>
          <w:kern w:val="3"/>
          <w:sz w:val="28"/>
          <w:szCs w:val="32"/>
          <w:lang w:val="zh-TW" w:eastAsia="zh-TW" w:bidi="zh-TW"/>
        </w:rPr>
      </w:pPr>
      <w:r>
        <w:rPr>
          <w:rFonts w:hint="eastAsia" w:ascii="宋体" w:hAnsi="宋体" w:cs="宋体"/>
          <w:kern w:val="3"/>
          <w:sz w:val="28"/>
          <w:szCs w:val="32"/>
          <w:lang w:val="zh-TW" w:eastAsia="zh-TW" w:bidi="zh-TW"/>
        </w:rPr>
        <w:t xml:space="preserve">委托方（甲方）： </w:t>
      </w:r>
    </w:p>
    <w:p>
      <w:pPr>
        <w:snapToGrid w:val="0"/>
        <w:spacing w:line="360" w:lineRule="auto"/>
        <w:ind w:firstLine="560" w:firstLineChars="200"/>
        <w:jc w:val="left"/>
        <w:rPr>
          <w:rFonts w:ascii="宋体" w:hAnsi="宋体" w:cs="宋体"/>
          <w:b/>
          <w:sz w:val="28"/>
          <w:szCs w:val="28"/>
          <w:lang w:eastAsia="zh-TW"/>
        </w:rPr>
      </w:pPr>
      <w:r>
        <w:rPr>
          <w:rFonts w:hint="eastAsia" w:ascii="宋体" w:hAnsi="宋体" w:cs="宋体"/>
          <w:kern w:val="3"/>
          <w:sz w:val="28"/>
          <w:szCs w:val="32"/>
          <w:lang w:val="zh-TW" w:eastAsia="zh-TW" w:bidi="zh-TW"/>
        </w:rPr>
        <w:t xml:space="preserve">受托方（乙方）：    </w:t>
      </w:r>
      <w:r>
        <w:rPr>
          <w:rFonts w:hint="eastAsia" w:ascii="宋体" w:hAnsi="宋体" w:cs="宋体"/>
          <w:b/>
          <w:sz w:val="28"/>
          <w:szCs w:val="28"/>
          <w:lang w:eastAsia="zh-TW"/>
        </w:rPr>
        <w:t xml:space="preserve">                             </w:t>
      </w:r>
    </w:p>
    <w:p>
      <w:pPr>
        <w:snapToGrid w:val="0"/>
        <w:spacing w:line="360" w:lineRule="auto"/>
        <w:rPr>
          <w:rFonts w:ascii="宋体" w:hAnsi="宋体" w:cs="宋体"/>
          <w:b/>
          <w:bCs/>
          <w:sz w:val="28"/>
          <w:szCs w:val="28"/>
          <w:lang w:eastAsia="zh-TW"/>
        </w:rPr>
      </w:pPr>
    </w:p>
    <w:p>
      <w:pPr>
        <w:snapToGrid w:val="0"/>
        <w:spacing w:line="360" w:lineRule="auto"/>
        <w:rPr>
          <w:rFonts w:ascii="宋体" w:hAnsi="宋体" w:cs="宋体"/>
          <w:b/>
          <w:bCs/>
          <w:sz w:val="28"/>
          <w:szCs w:val="28"/>
          <w:lang w:eastAsia="zh-TW"/>
        </w:rPr>
      </w:pPr>
    </w:p>
    <w:p>
      <w:pPr>
        <w:snapToGrid w:val="0"/>
        <w:spacing w:line="360" w:lineRule="auto"/>
        <w:rPr>
          <w:rFonts w:ascii="宋体" w:hAnsi="宋体" w:cs="宋体"/>
          <w:b/>
          <w:bCs/>
          <w:sz w:val="28"/>
          <w:szCs w:val="28"/>
          <w:lang w:eastAsia="zh-TW"/>
        </w:rPr>
      </w:pPr>
    </w:p>
    <w:p>
      <w:pPr>
        <w:snapToGrid w:val="0"/>
        <w:spacing w:line="360" w:lineRule="auto"/>
        <w:ind w:firstLine="2811" w:firstLineChars="1000"/>
        <w:jc w:val="left"/>
        <w:rPr>
          <w:rFonts w:ascii="宋体" w:hAnsi="宋体" w:cs="宋体"/>
          <w:b/>
          <w:bCs/>
          <w:sz w:val="28"/>
          <w:szCs w:val="28"/>
        </w:rPr>
      </w:pPr>
      <w:r>
        <w:rPr>
          <w:rFonts w:hint="eastAsia" w:ascii="宋体" w:hAnsi="宋体" w:cs="宋体"/>
          <w:b/>
          <w:bCs/>
          <w:sz w:val="28"/>
          <w:szCs w:val="28"/>
        </w:rPr>
        <w:t>签订时间：  年  月  日</w:t>
      </w:r>
    </w:p>
    <w:p>
      <w:pPr>
        <w:snapToGrid w:val="0"/>
        <w:spacing w:line="360" w:lineRule="auto"/>
        <w:ind w:firstLine="2811" w:firstLineChars="1000"/>
        <w:jc w:val="left"/>
        <w:rPr>
          <w:rFonts w:ascii="宋体" w:hAnsi="宋体" w:cs="宋体"/>
          <w:b/>
          <w:bCs/>
          <w:sz w:val="28"/>
          <w:szCs w:val="28"/>
        </w:rPr>
      </w:pPr>
      <w:r>
        <w:rPr>
          <w:rFonts w:hint="eastAsia" w:ascii="宋体" w:hAnsi="宋体" w:cs="宋体"/>
          <w:b/>
          <w:bCs/>
          <w:sz w:val="28"/>
          <w:szCs w:val="28"/>
        </w:rPr>
        <w:t>签订地点：</w:t>
      </w:r>
      <w:r>
        <w:rPr>
          <w:rFonts w:hint="eastAsia" w:ascii="宋体" w:hAnsi="宋体" w:cs="宋体"/>
          <w:b/>
          <w:bCs/>
          <w:sz w:val="28"/>
          <w:szCs w:val="28"/>
        </w:rPr>
        <w:br w:type="page"/>
      </w:r>
    </w:p>
    <w:p>
      <w:pPr>
        <w:pStyle w:val="258"/>
        <w:autoSpaceDN/>
        <w:snapToGrid w:val="0"/>
        <w:ind w:firstLine="480"/>
        <w:rPr>
          <w:sz w:val="28"/>
          <w:szCs w:val="28"/>
        </w:rPr>
      </w:pPr>
      <w:r>
        <w:rPr>
          <w:rFonts w:hint="eastAsia"/>
          <w:sz w:val="24"/>
          <w:szCs w:val="28"/>
        </w:rPr>
        <w:t>甲方：北京市通州区交通局</w:t>
      </w:r>
    </w:p>
    <w:p>
      <w:pPr>
        <w:pStyle w:val="258"/>
        <w:autoSpaceDN/>
        <w:snapToGrid w:val="0"/>
        <w:ind w:firstLine="480"/>
        <w:rPr>
          <w:sz w:val="28"/>
          <w:szCs w:val="28"/>
        </w:rPr>
      </w:pPr>
      <w:r>
        <w:rPr>
          <w:rFonts w:hint="eastAsia"/>
          <w:sz w:val="24"/>
          <w:szCs w:val="28"/>
        </w:rPr>
        <w:t>乙方：</w:t>
      </w:r>
    </w:p>
    <w:p>
      <w:pPr>
        <w:pStyle w:val="258"/>
        <w:tabs>
          <w:tab w:val="left" w:pos="4680"/>
          <w:tab w:val="left" w:pos="8083"/>
        </w:tabs>
        <w:autoSpaceDN/>
        <w:snapToGrid w:val="0"/>
        <w:ind w:firstLine="480"/>
        <w:rPr>
          <w:sz w:val="28"/>
          <w:szCs w:val="28"/>
        </w:rPr>
      </w:pPr>
      <w:r>
        <w:rPr>
          <w:rFonts w:hint="eastAsia"/>
          <w:sz w:val="24"/>
          <w:szCs w:val="28"/>
        </w:rPr>
        <w:t>（统一社会信用代码：</w:t>
      </w:r>
      <w:r>
        <w:rPr>
          <w:rFonts w:hint="eastAsia"/>
          <w:sz w:val="24"/>
          <w:szCs w:val="28"/>
        </w:rPr>
        <w:tab/>
      </w:r>
      <w:r>
        <w:rPr>
          <w:rFonts w:hint="eastAsia"/>
          <w:sz w:val="24"/>
          <w:szCs w:val="28"/>
        </w:rPr>
        <w:t>法定代表人：</w:t>
      </w:r>
      <w:r>
        <w:rPr>
          <w:rFonts w:hint="eastAsia"/>
          <w:sz w:val="24"/>
          <w:szCs w:val="28"/>
        </w:rPr>
        <w:tab/>
      </w:r>
      <w:r>
        <w:rPr>
          <w:rFonts w:hint="eastAsia"/>
          <w:sz w:val="24"/>
          <w:szCs w:val="28"/>
        </w:rPr>
        <w:t>）</w:t>
      </w:r>
    </w:p>
    <w:p>
      <w:pPr>
        <w:pStyle w:val="258"/>
        <w:autoSpaceDN/>
        <w:snapToGrid w:val="0"/>
        <w:ind w:firstLine="480"/>
        <w:rPr>
          <w:sz w:val="28"/>
          <w:szCs w:val="28"/>
        </w:rPr>
      </w:pPr>
      <w:r>
        <w:rPr>
          <w:rFonts w:hint="eastAsia"/>
          <w:sz w:val="24"/>
          <w:szCs w:val="28"/>
        </w:rPr>
        <w:t>为解决北京市通州区交通局</w:t>
      </w:r>
      <w:r>
        <w:rPr>
          <w:rFonts w:hint="eastAsia"/>
          <w:sz w:val="24"/>
          <w:szCs w:val="28"/>
          <w:lang w:val="en-US" w:eastAsia="zh-CN"/>
        </w:rPr>
        <w:t>2024年</w:t>
      </w:r>
      <w:r>
        <w:rPr>
          <w:rFonts w:hint="eastAsia"/>
          <w:sz w:val="24"/>
          <w:szCs w:val="28"/>
        </w:rPr>
        <w:t>执法暂扣车辆的存放、保管问题，甲乙双方根据《中华人民共和国</w:t>
      </w:r>
      <w:r>
        <w:rPr>
          <w:rFonts w:hint="eastAsia"/>
          <w:sz w:val="24"/>
          <w:szCs w:val="28"/>
          <w:lang w:val="en-US" w:eastAsia="zh-CN"/>
        </w:rPr>
        <w:t>民法典</w:t>
      </w:r>
      <w:r>
        <w:rPr>
          <w:rFonts w:hint="eastAsia"/>
          <w:sz w:val="24"/>
          <w:szCs w:val="28"/>
        </w:rPr>
        <w:t>》，经平等协商，自愿签订本合同，以资共同遵照执行。</w:t>
      </w:r>
    </w:p>
    <w:p>
      <w:pPr>
        <w:pStyle w:val="258"/>
        <w:autoSpaceDN/>
        <w:snapToGrid w:val="0"/>
        <w:ind w:firstLine="480"/>
        <w:rPr>
          <w:sz w:val="28"/>
          <w:szCs w:val="28"/>
        </w:rPr>
      </w:pPr>
      <w:r>
        <w:rPr>
          <w:rFonts w:hint="eastAsia"/>
          <w:sz w:val="24"/>
          <w:szCs w:val="28"/>
        </w:rPr>
        <w:t>第一条：停车场的位置、面积</w:t>
      </w:r>
    </w:p>
    <w:p>
      <w:pPr>
        <w:pStyle w:val="258"/>
        <w:tabs>
          <w:tab w:val="left" w:pos="1790"/>
          <w:tab w:val="left" w:pos="8184"/>
        </w:tabs>
        <w:autoSpaceDN/>
        <w:snapToGrid w:val="0"/>
        <w:ind w:firstLine="480"/>
        <w:rPr>
          <w:sz w:val="28"/>
          <w:szCs w:val="28"/>
        </w:rPr>
      </w:pPr>
      <w:r>
        <w:rPr>
          <w:rFonts w:hint="eastAsia"/>
          <w:sz w:val="24"/>
          <w:szCs w:val="28"/>
        </w:rPr>
        <w:t>乙方停车场，位于</w:t>
      </w:r>
      <w:r>
        <w:rPr>
          <w:rFonts w:hint="eastAsia"/>
          <w:sz w:val="24"/>
          <w:szCs w:val="28"/>
          <w:lang w:val="en-US" w:eastAsia="zh-CN"/>
        </w:rPr>
        <w:t>北京市</w:t>
      </w:r>
      <w:r>
        <w:rPr>
          <w:rFonts w:hint="eastAsia"/>
          <w:sz w:val="24"/>
          <w:szCs w:val="28"/>
          <w:u w:val="single"/>
          <w:lang w:val="en-US" w:eastAsia="zh-CN"/>
        </w:rPr>
        <w:t xml:space="preserve">              </w:t>
      </w:r>
      <w:r>
        <w:rPr>
          <w:rFonts w:hint="eastAsia"/>
          <w:sz w:val="24"/>
          <w:szCs w:val="28"/>
          <w:lang w:val="en-US" w:eastAsia="zh-CN"/>
        </w:rPr>
        <w:t>，</w:t>
      </w:r>
      <w:r>
        <w:rPr>
          <w:rFonts w:hint="eastAsia"/>
          <w:sz w:val="24"/>
          <w:szCs w:val="28"/>
        </w:rPr>
        <w:t>场地面积</w:t>
      </w:r>
      <w:r>
        <w:rPr>
          <w:rFonts w:hint="eastAsia"/>
          <w:sz w:val="24"/>
          <w:szCs w:val="28"/>
          <w:u w:val="single"/>
          <w:lang w:val="en-US" w:eastAsia="zh-CN"/>
        </w:rPr>
        <w:t xml:space="preserve">      </w:t>
      </w:r>
      <w:r>
        <w:rPr>
          <w:rFonts w:hint="eastAsia"/>
          <w:sz w:val="24"/>
          <w:szCs w:val="28"/>
          <w:lang w:val="en-US" w:eastAsia="zh-CN" w:bidi="en-US"/>
        </w:rPr>
        <w:t>㎡。</w:t>
      </w:r>
      <w:r>
        <w:rPr>
          <w:rFonts w:hint="eastAsia"/>
          <w:sz w:val="24"/>
          <w:szCs w:val="28"/>
        </w:rPr>
        <w:t>其中：办公用房占地面积</w:t>
      </w:r>
      <w:r>
        <w:rPr>
          <w:rFonts w:hint="eastAsia"/>
          <w:sz w:val="24"/>
          <w:szCs w:val="28"/>
          <w:u w:val="single"/>
          <w:lang w:val="en-US" w:eastAsia="zh-CN"/>
        </w:rPr>
        <w:t xml:space="preserve">        </w:t>
      </w:r>
      <w:r>
        <w:rPr>
          <w:rFonts w:hint="eastAsia"/>
          <w:sz w:val="24"/>
          <w:szCs w:val="28"/>
          <w:lang w:val="en-US" w:eastAsia="zh-CN" w:bidi="en-US"/>
        </w:rPr>
        <w:t>㎡，</w:t>
      </w:r>
      <w:r>
        <w:rPr>
          <w:rFonts w:hint="eastAsia"/>
          <w:sz w:val="24"/>
          <w:szCs w:val="28"/>
        </w:rPr>
        <w:t>停车位占地面积</w:t>
      </w:r>
      <w:r>
        <w:rPr>
          <w:rFonts w:hint="eastAsia"/>
          <w:sz w:val="24"/>
          <w:szCs w:val="28"/>
          <w:u w:val="single"/>
          <w:lang w:val="en-US" w:eastAsia="zh-CN"/>
        </w:rPr>
        <w:t xml:space="preserve">        </w:t>
      </w:r>
      <w:r>
        <w:rPr>
          <w:rFonts w:hint="eastAsia"/>
          <w:sz w:val="24"/>
          <w:szCs w:val="28"/>
          <w:lang w:val="en-US" w:eastAsia="zh-CN" w:bidi="en-US"/>
        </w:rPr>
        <w:t>㎡，大型</w:t>
      </w:r>
      <w:r>
        <w:rPr>
          <w:rFonts w:hint="eastAsia"/>
          <w:sz w:val="24"/>
          <w:szCs w:val="28"/>
        </w:rPr>
        <w:t>车位数</w:t>
      </w:r>
      <w:r>
        <w:rPr>
          <w:rFonts w:hint="eastAsia"/>
          <w:sz w:val="24"/>
          <w:szCs w:val="28"/>
          <w:u w:val="single"/>
          <w:lang w:val="en-US" w:eastAsia="zh-CN"/>
        </w:rPr>
        <w:t xml:space="preserve">         </w:t>
      </w:r>
      <w:r>
        <w:rPr>
          <w:rFonts w:hint="eastAsia"/>
          <w:sz w:val="24"/>
          <w:szCs w:val="28"/>
          <w:lang w:val="en-US" w:eastAsia="zh-CN"/>
        </w:rPr>
        <w:t>，小</w:t>
      </w:r>
      <w:r>
        <w:rPr>
          <w:rFonts w:hint="eastAsia"/>
          <w:sz w:val="24"/>
          <w:szCs w:val="28"/>
          <w:lang w:val="en-US" w:eastAsia="zh-CN" w:bidi="en-US"/>
        </w:rPr>
        <w:t>型</w:t>
      </w:r>
      <w:r>
        <w:rPr>
          <w:rFonts w:hint="eastAsia"/>
          <w:sz w:val="24"/>
          <w:szCs w:val="28"/>
        </w:rPr>
        <w:t>车位数</w:t>
      </w:r>
      <w:r>
        <w:rPr>
          <w:rFonts w:hint="eastAsia"/>
          <w:sz w:val="24"/>
          <w:szCs w:val="28"/>
          <w:u w:val="single"/>
          <w:lang w:val="en-US" w:eastAsia="zh-CN"/>
        </w:rPr>
        <w:t xml:space="preserve">        。</w:t>
      </w:r>
    </w:p>
    <w:p>
      <w:pPr>
        <w:pStyle w:val="258"/>
        <w:autoSpaceDN/>
        <w:snapToGrid w:val="0"/>
        <w:ind w:firstLine="480"/>
        <w:rPr>
          <w:sz w:val="28"/>
          <w:szCs w:val="28"/>
        </w:rPr>
      </w:pPr>
      <w:r>
        <w:rPr>
          <w:rFonts w:hint="eastAsia"/>
          <w:sz w:val="24"/>
          <w:szCs w:val="28"/>
        </w:rPr>
        <w:t>第二条：合同期限</w:t>
      </w:r>
    </w:p>
    <w:p>
      <w:pPr>
        <w:pStyle w:val="258"/>
        <w:autoSpaceDN/>
        <w:snapToGrid w:val="0"/>
        <w:ind w:firstLine="480"/>
        <w:rPr>
          <w:sz w:val="24"/>
          <w:szCs w:val="28"/>
        </w:rPr>
      </w:pPr>
      <w:r>
        <w:rPr>
          <w:rFonts w:hint="eastAsia"/>
          <w:sz w:val="24"/>
          <w:szCs w:val="28"/>
        </w:rPr>
        <w:t>本合同有效期自</w:t>
      </w:r>
      <w:r>
        <w:rPr>
          <w:rFonts w:hint="eastAsia"/>
          <w:sz w:val="24"/>
          <w:szCs w:val="28"/>
          <w:u w:val="single"/>
          <w:lang w:val="en-US" w:eastAsia="zh-CN"/>
        </w:rPr>
        <w:t xml:space="preserve">    </w:t>
      </w:r>
      <w:r>
        <w:rPr>
          <w:rFonts w:hint="eastAsia"/>
          <w:sz w:val="24"/>
          <w:szCs w:val="28"/>
        </w:rPr>
        <w:t>年</w:t>
      </w:r>
      <w:r>
        <w:rPr>
          <w:rFonts w:hint="eastAsia"/>
          <w:sz w:val="24"/>
          <w:szCs w:val="28"/>
          <w:u w:val="single"/>
          <w:lang w:val="en-US" w:eastAsia="zh-CN"/>
        </w:rPr>
        <w:t xml:space="preserve">  </w:t>
      </w:r>
      <w:r>
        <w:rPr>
          <w:rFonts w:hint="eastAsia"/>
          <w:sz w:val="24"/>
          <w:szCs w:val="28"/>
        </w:rPr>
        <w:t>月</w:t>
      </w:r>
      <w:r>
        <w:rPr>
          <w:rFonts w:hint="eastAsia"/>
          <w:sz w:val="24"/>
          <w:szCs w:val="28"/>
          <w:u w:val="single"/>
          <w:lang w:val="en-US" w:eastAsia="zh-CN"/>
        </w:rPr>
        <w:t xml:space="preserve">  </w:t>
      </w:r>
      <w:r>
        <w:rPr>
          <w:rFonts w:hint="eastAsia"/>
          <w:sz w:val="24"/>
          <w:szCs w:val="28"/>
        </w:rPr>
        <w:t>日起至</w:t>
      </w:r>
      <w:r>
        <w:rPr>
          <w:rFonts w:hint="eastAsia"/>
          <w:sz w:val="24"/>
          <w:szCs w:val="28"/>
          <w:u w:val="single"/>
          <w:lang w:val="en-US" w:eastAsia="zh-CN"/>
        </w:rPr>
        <w:t xml:space="preserve">    </w:t>
      </w:r>
      <w:r>
        <w:rPr>
          <w:rFonts w:hint="eastAsia"/>
          <w:sz w:val="24"/>
          <w:szCs w:val="28"/>
        </w:rPr>
        <w:t>年</w:t>
      </w:r>
      <w:r>
        <w:rPr>
          <w:rFonts w:hint="eastAsia"/>
          <w:sz w:val="24"/>
          <w:szCs w:val="28"/>
          <w:u w:val="single"/>
          <w:lang w:val="en-US" w:eastAsia="zh-CN"/>
        </w:rPr>
        <w:t xml:space="preserve">  </w:t>
      </w:r>
      <w:r>
        <w:rPr>
          <w:rFonts w:hint="eastAsia"/>
          <w:sz w:val="24"/>
          <w:szCs w:val="28"/>
        </w:rPr>
        <w:t>月</w:t>
      </w:r>
      <w:r>
        <w:rPr>
          <w:rFonts w:hint="eastAsia"/>
          <w:sz w:val="24"/>
          <w:szCs w:val="28"/>
          <w:u w:val="single"/>
          <w:lang w:val="en-US" w:eastAsia="zh-CN"/>
        </w:rPr>
        <w:t xml:space="preserve">  </w:t>
      </w:r>
      <w:r>
        <w:rPr>
          <w:rFonts w:hint="eastAsia"/>
          <w:sz w:val="24"/>
          <w:szCs w:val="28"/>
        </w:rPr>
        <w:t>日止。</w:t>
      </w:r>
    </w:p>
    <w:p>
      <w:pPr>
        <w:pStyle w:val="258"/>
        <w:autoSpaceDN/>
        <w:snapToGrid w:val="0"/>
        <w:ind w:firstLine="480"/>
        <w:rPr>
          <w:sz w:val="24"/>
          <w:szCs w:val="28"/>
          <w:lang w:val="en-US" w:eastAsia="zh-CN"/>
        </w:rPr>
      </w:pPr>
      <w:r>
        <w:rPr>
          <w:rFonts w:hint="eastAsia"/>
          <w:sz w:val="24"/>
          <w:szCs w:val="28"/>
          <w:lang w:val="en-US" w:eastAsia="zh-CN"/>
        </w:rPr>
        <w:t>第三条：合同金额</w:t>
      </w:r>
    </w:p>
    <w:p>
      <w:pPr>
        <w:spacing w:line="360" w:lineRule="auto"/>
        <w:ind w:left="479" w:leftChars="228"/>
        <w:rPr>
          <w:rFonts w:ascii="宋体" w:hAnsi="宋体" w:cs="宋体"/>
          <w:color w:val="000000"/>
          <w:kern w:val="0"/>
          <w:sz w:val="24"/>
        </w:rPr>
      </w:pPr>
      <w:r>
        <w:rPr>
          <w:rFonts w:hint="eastAsia" w:ascii="宋体" w:hAnsi="宋体" w:cs="宋体"/>
          <w:color w:val="000000"/>
          <w:kern w:val="0"/>
          <w:sz w:val="24"/>
        </w:rPr>
        <w:t xml:space="preserve">合同总价暂定为： </w:t>
      </w:r>
      <w:r>
        <w:rPr>
          <w:rFonts w:hint="eastAsia" w:ascii="宋体" w:hAnsi="宋体" w:cs="宋体"/>
          <w:color w:val="000000"/>
          <w:kern w:val="0"/>
          <w:sz w:val="24"/>
          <w:u w:val="single"/>
        </w:rPr>
        <w:t xml:space="preserve">               元（大写：人民币                    ）。</w:t>
      </w:r>
      <w:r>
        <w:rPr>
          <w:rFonts w:hint="eastAsia" w:ascii="宋体" w:hAnsi="宋体" w:cs="宋体"/>
          <w:color w:val="000000"/>
          <w:kern w:val="0"/>
          <w:sz w:val="24"/>
        </w:rPr>
        <w:t>单价：</w:t>
      </w:r>
    </w:p>
    <w:p>
      <w:pPr>
        <w:spacing w:line="360" w:lineRule="auto"/>
        <w:ind w:left="479" w:leftChars="228" w:firstLine="720" w:firstLineChars="300"/>
        <w:rPr>
          <w:rFonts w:ascii="宋体" w:hAnsi="宋体" w:cs="宋体"/>
          <w:color w:val="000000"/>
          <w:kern w:val="0"/>
          <w:sz w:val="24"/>
        </w:rPr>
      </w:pPr>
      <w:r>
        <w:rPr>
          <w:rFonts w:hint="eastAsia" w:ascii="宋体" w:hAnsi="宋体" w:cs="宋体"/>
          <w:color w:val="000000"/>
          <w:kern w:val="0"/>
          <w:sz w:val="24"/>
        </w:rPr>
        <w:t>小型车：</w:t>
      </w:r>
      <w:r>
        <w:rPr>
          <w:rFonts w:hint="eastAsia" w:ascii="宋体" w:hAnsi="宋体" w:cs="宋体"/>
          <w:color w:val="000000"/>
          <w:kern w:val="0"/>
          <w:sz w:val="24"/>
          <w:u w:val="single"/>
        </w:rPr>
        <w:t xml:space="preserve">      </w:t>
      </w:r>
      <w:r>
        <w:rPr>
          <w:rFonts w:hint="eastAsia" w:ascii="宋体" w:hAnsi="宋体" w:cs="宋体"/>
          <w:color w:val="000000"/>
          <w:kern w:val="0"/>
          <w:sz w:val="24"/>
        </w:rPr>
        <w:t>元/辆，延长或滞留小型车：</w:t>
      </w:r>
      <w:r>
        <w:rPr>
          <w:rFonts w:hint="eastAsia" w:ascii="宋体" w:hAnsi="宋体" w:cs="宋体"/>
          <w:color w:val="000000"/>
          <w:kern w:val="0"/>
          <w:sz w:val="24"/>
          <w:u w:val="single"/>
        </w:rPr>
        <w:t xml:space="preserve">     </w:t>
      </w:r>
      <w:r>
        <w:rPr>
          <w:rFonts w:hint="eastAsia" w:ascii="宋体" w:hAnsi="宋体" w:cs="宋体"/>
          <w:color w:val="000000"/>
          <w:kern w:val="0"/>
          <w:sz w:val="24"/>
        </w:rPr>
        <w:t>元/辆；</w:t>
      </w:r>
    </w:p>
    <w:p>
      <w:pPr>
        <w:spacing w:line="360" w:lineRule="auto"/>
        <w:ind w:left="479" w:leftChars="228" w:firstLine="720" w:firstLineChars="300"/>
      </w:pPr>
      <w:r>
        <w:rPr>
          <w:rFonts w:hint="eastAsia" w:ascii="宋体" w:hAnsi="宋体" w:cs="宋体"/>
          <w:color w:val="000000"/>
          <w:kern w:val="0"/>
          <w:sz w:val="24"/>
        </w:rPr>
        <w:t>大型车：</w:t>
      </w:r>
      <w:r>
        <w:rPr>
          <w:rFonts w:hint="eastAsia" w:ascii="宋体" w:hAnsi="宋体" w:cs="宋体"/>
          <w:color w:val="000000"/>
          <w:kern w:val="0"/>
          <w:sz w:val="24"/>
          <w:u w:val="single"/>
        </w:rPr>
        <w:t xml:space="preserve">      </w:t>
      </w:r>
      <w:r>
        <w:rPr>
          <w:rFonts w:hint="eastAsia" w:ascii="宋体" w:hAnsi="宋体" w:cs="宋体"/>
          <w:color w:val="000000"/>
          <w:kern w:val="0"/>
          <w:sz w:val="24"/>
        </w:rPr>
        <w:t>元/辆，延长或滞留大型车：</w:t>
      </w:r>
      <w:r>
        <w:rPr>
          <w:rFonts w:hint="eastAsia" w:ascii="宋体" w:hAnsi="宋体" w:cs="宋体"/>
          <w:color w:val="000000"/>
          <w:kern w:val="0"/>
          <w:sz w:val="24"/>
          <w:u w:val="single"/>
        </w:rPr>
        <w:t xml:space="preserve">     </w:t>
      </w:r>
      <w:r>
        <w:rPr>
          <w:rFonts w:hint="eastAsia" w:ascii="宋体" w:hAnsi="宋体" w:cs="宋体"/>
          <w:color w:val="000000"/>
          <w:kern w:val="0"/>
          <w:sz w:val="24"/>
        </w:rPr>
        <w:t>元/辆。</w:t>
      </w:r>
    </w:p>
    <w:p>
      <w:pPr>
        <w:pStyle w:val="258"/>
        <w:autoSpaceDN/>
        <w:snapToGrid w:val="0"/>
        <w:ind w:firstLine="480"/>
        <w:rPr>
          <w:sz w:val="24"/>
          <w:szCs w:val="28"/>
          <w:highlight w:val="green"/>
          <w:lang w:val="en-US" w:eastAsia="zh-CN"/>
        </w:rPr>
      </w:pPr>
      <w:r>
        <w:rPr>
          <w:rFonts w:hint="eastAsia"/>
          <w:color w:val="000000"/>
          <w:kern w:val="0"/>
          <w:sz w:val="24"/>
          <w:szCs w:val="28"/>
          <w:lang w:val="en-US" w:eastAsia="zh-CN"/>
        </w:rPr>
        <w:t>最终结算金额以实际停放车数量为准，如最终实际结算金额超出本合同暂定总价，则以本合同暂定总价为最终结算金额</w:t>
      </w:r>
      <w:r>
        <w:rPr>
          <w:rFonts w:hint="eastAsia"/>
          <w:color w:val="000000"/>
          <w:kern w:val="0"/>
          <w:sz w:val="24"/>
          <w:szCs w:val="28"/>
        </w:rPr>
        <w:t>。</w:t>
      </w:r>
    </w:p>
    <w:p>
      <w:pPr>
        <w:pStyle w:val="258"/>
        <w:autoSpaceDN/>
        <w:snapToGrid w:val="0"/>
        <w:ind w:firstLine="480"/>
        <w:rPr>
          <w:sz w:val="28"/>
          <w:szCs w:val="28"/>
        </w:rPr>
      </w:pPr>
      <w:r>
        <w:rPr>
          <w:rFonts w:hint="eastAsia"/>
          <w:sz w:val="24"/>
          <w:szCs w:val="28"/>
        </w:rPr>
        <w:t>第</w:t>
      </w:r>
      <w:r>
        <w:rPr>
          <w:rFonts w:hint="eastAsia"/>
          <w:sz w:val="24"/>
          <w:szCs w:val="28"/>
          <w:lang w:val="en-US" w:eastAsia="zh-CN"/>
        </w:rPr>
        <w:t>四</w:t>
      </w:r>
      <w:r>
        <w:rPr>
          <w:rFonts w:hint="eastAsia"/>
          <w:sz w:val="24"/>
          <w:szCs w:val="28"/>
        </w:rPr>
        <w:t>条：对乙方停车场工作人员的要求</w:t>
      </w:r>
    </w:p>
    <w:p>
      <w:pPr>
        <w:pStyle w:val="258"/>
        <w:tabs>
          <w:tab w:val="left" w:pos="1256"/>
        </w:tabs>
        <w:autoSpaceDN/>
        <w:snapToGrid w:val="0"/>
        <w:ind w:firstLine="480"/>
        <w:rPr>
          <w:sz w:val="28"/>
          <w:szCs w:val="28"/>
        </w:rPr>
      </w:pPr>
      <w:bookmarkStart w:id="863" w:name="bookmark441"/>
      <w:r>
        <w:rPr>
          <w:rFonts w:hint="eastAsia"/>
          <w:sz w:val="24"/>
          <w:szCs w:val="28"/>
        </w:rPr>
        <w:t>（</w:t>
      </w:r>
      <w:bookmarkEnd w:id="863"/>
      <w:r>
        <w:rPr>
          <w:rFonts w:hint="eastAsia"/>
          <w:sz w:val="24"/>
          <w:szCs w:val="28"/>
        </w:rPr>
        <w:t>一）</w:t>
      </w:r>
      <w:r>
        <w:rPr>
          <w:rFonts w:hint="eastAsia"/>
          <w:sz w:val="24"/>
          <w:szCs w:val="28"/>
        </w:rPr>
        <w:tab/>
      </w:r>
      <w:r>
        <w:rPr>
          <w:rFonts w:hint="eastAsia"/>
          <w:sz w:val="24"/>
          <w:szCs w:val="28"/>
        </w:rPr>
        <w:t>乙方应当配备满足工作需要并经过人员培训的管理、安保、消防人员和具备驾驶各类车辆资格、满足执法暂扣车辆转移需要的专业驾驶人员，且所有人员五年内无暴力犯罪记录或其他不良记录。</w:t>
      </w:r>
    </w:p>
    <w:p>
      <w:pPr>
        <w:pStyle w:val="258"/>
        <w:tabs>
          <w:tab w:val="left" w:pos="1251"/>
        </w:tabs>
        <w:autoSpaceDN/>
        <w:snapToGrid w:val="0"/>
        <w:ind w:firstLine="480"/>
        <w:rPr>
          <w:sz w:val="28"/>
          <w:szCs w:val="28"/>
        </w:rPr>
      </w:pPr>
      <w:bookmarkStart w:id="864" w:name="bookmark442"/>
      <w:r>
        <w:rPr>
          <w:rFonts w:hint="eastAsia"/>
          <w:sz w:val="24"/>
          <w:szCs w:val="28"/>
        </w:rPr>
        <w:t>（</w:t>
      </w:r>
      <w:bookmarkEnd w:id="864"/>
      <w:r>
        <w:rPr>
          <w:rFonts w:hint="eastAsia"/>
          <w:sz w:val="24"/>
          <w:szCs w:val="28"/>
        </w:rPr>
        <w:t>二）</w:t>
      </w:r>
      <w:r>
        <w:rPr>
          <w:rFonts w:hint="eastAsia"/>
          <w:sz w:val="24"/>
          <w:szCs w:val="28"/>
        </w:rPr>
        <w:tab/>
      </w:r>
      <w:r>
        <w:rPr>
          <w:rFonts w:hint="eastAsia"/>
          <w:sz w:val="24"/>
          <w:szCs w:val="28"/>
        </w:rPr>
        <w:t>乙方派往执法现场的工作人员，必须业务熟练，具备过硬的驾驶技术，停车场至少拥有</w:t>
      </w:r>
      <w:r>
        <w:rPr>
          <w:rFonts w:hint="eastAsia"/>
          <w:color w:val="auto"/>
          <w:sz w:val="24"/>
          <w:szCs w:val="28"/>
          <w:lang w:val="en-US" w:eastAsia="zh-CN"/>
        </w:rPr>
        <w:t>六</w:t>
      </w:r>
      <w:r>
        <w:rPr>
          <w:rFonts w:hint="eastAsia"/>
          <w:sz w:val="24"/>
          <w:szCs w:val="28"/>
        </w:rPr>
        <w:t>名</w:t>
      </w:r>
      <w:r>
        <w:rPr>
          <w:rFonts w:hint="eastAsia"/>
          <w:sz w:val="24"/>
          <w:szCs w:val="28"/>
          <w:lang w:val="en-US" w:eastAsia="zh-CN" w:bidi="en-US"/>
        </w:rPr>
        <w:t>C1</w:t>
      </w:r>
      <w:r>
        <w:rPr>
          <w:rFonts w:hint="eastAsia"/>
          <w:sz w:val="24"/>
          <w:szCs w:val="28"/>
        </w:rPr>
        <w:t>以上（其中</w:t>
      </w:r>
      <w:r>
        <w:rPr>
          <w:rFonts w:hint="eastAsia"/>
          <w:sz w:val="24"/>
          <w:szCs w:val="28"/>
          <w:lang w:val="en-US" w:eastAsia="zh-CN"/>
        </w:rPr>
        <w:t>2</w:t>
      </w:r>
      <w:r>
        <w:rPr>
          <w:rFonts w:hint="eastAsia"/>
          <w:sz w:val="24"/>
          <w:szCs w:val="28"/>
        </w:rPr>
        <w:t>名不低于</w:t>
      </w:r>
      <w:r>
        <w:rPr>
          <w:rFonts w:hint="eastAsia"/>
          <w:sz w:val="24"/>
          <w:szCs w:val="28"/>
          <w:lang w:val="en-US" w:eastAsia="zh-CN" w:bidi="en-US"/>
        </w:rPr>
        <w:t>A1）</w:t>
      </w:r>
      <w:r>
        <w:rPr>
          <w:rFonts w:hint="eastAsia"/>
          <w:sz w:val="24"/>
          <w:szCs w:val="28"/>
        </w:rPr>
        <w:t>驾驶资格并具有3年以上驾驶经历的专业驾驶人员，且无交通肇事犯罪、危险驾驶犯罪记录，无吸毒记录，无饮酒后驾驶记录，最近连续3个记分周期内没有记满12分记录。</w:t>
      </w:r>
    </w:p>
    <w:p>
      <w:pPr>
        <w:widowControl/>
        <w:snapToGrid w:val="0"/>
        <w:spacing w:line="360" w:lineRule="auto"/>
        <w:ind w:firstLine="480" w:firstLineChars="200"/>
        <w:rPr>
          <w:rFonts w:hint="eastAsia"/>
          <w:sz w:val="24"/>
        </w:rPr>
      </w:pPr>
      <w:bookmarkStart w:id="865" w:name="bookmark443"/>
      <w:r>
        <w:rPr>
          <w:rFonts w:hint="eastAsia"/>
          <w:sz w:val="24"/>
        </w:rPr>
        <w:t>（</w:t>
      </w:r>
      <w:bookmarkEnd w:id="865"/>
      <w:r>
        <w:rPr>
          <w:rFonts w:hint="eastAsia"/>
          <w:sz w:val="24"/>
        </w:rPr>
        <w:t>三）</w:t>
      </w:r>
      <w:r>
        <w:rPr>
          <w:rFonts w:hint="eastAsia"/>
          <w:sz w:val="24"/>
        </w:rPr>
        <w:tab/>
      </w:r>
      <w:r>
        <w:rPr>
          <w:rFonts w:hint="eastAsia"/>
          <w:sz w:val="24"/>
          <w:lang w:val="en-US" w:eastAsia="zh-CN"/>
        </w:rPr>
        <w:t>乙方</w:t>
      </w:r>
      <w:r>
        <w:rPr>
          <w:rFonts w:hint="eastAsia"/>
          <w:sz w:val="24"/>
        </w:rPr>
        <w:t>必须保障24小时随时运送采购人执法扣押的车辆和物品。</w:t>
      </w:r>
    </w:p>
    <w:p>
      <w:pPr>
        <w:widowControl/>
        <w:snapToGrid w:val="0"/>
        <w:spacing w:line="360" w:lineRule="auto"/>
        <w:ind w:firstLine="480" w:firstLineChars="200"/>
      </w:pPr>
      <w:r>
        <w:rPr>
          <w:rFonts w:hint="eastAsia"/>
          <w:sz w:val="24"/>
          <w:lang w:eastAsia="zh-CN"/>
        </w:rPr>
        <w:t>（</w:t>
      </w:r>
      <w:r>
        <w:rPr>
          <w:rFonts w:hint="eastAsia"/>
          <w:sz w:val="24"/>
          <w:lang w:val="en-US" w:eastAsia="zh-CN"/>
        </w:rPr>
        <w:t>四</w:t>
      </w:r>
      <w:r>
        <w:rPr>
          <w:rFonts w:hint="eastAsia"/>
          <w:sz w:val="24"/>
          <w:lang w:eastAsia="zh-CN"/>
        </w:rPr>
        <w:t>）</w:t>
      </w:r>
      <w:r>
        <w:rPr>
          <w:rFonts w:hint="eastAsia"/>
          <w:sz w:val="24"/>
        </w:rPr>
        <w:tab/>
      </w:r>
      <w:r>
        <w:rPr>
          <w:rFonts w:hint="eastAsia" w:ascii="宋体" w:hAnsi="宋体" w:cs="宋体"/>
          <w:kern w:val="0"/>
          <w:sz w:val="24"/>
          <w:lang w:bidi="ar"/>
        </w:rPr>
        <w:t>乙方须向工作人员配发带有停车场名称标识的统一服装及工作员证，乙方工作人员工作中必须着带有停车场名称标识的统一服装及佩戴工作员证，停车场工作人员不得参与甲方对执法相对人的现场执法工作。</w:t>
      </w:r>
    </w:p>
    <w:p>
      <w:pPr>
        <w:pStyle w:val="258"/>
        <w:tabs>
          <w:tab w:val="left" w:pos="1251"/>
        </w:tabs>
        <w:autoSpaceDN/>
        <w:snapToGrid w:val="0"/>
        <w:ind w:firstLine="480"/>
        <w:rPr>
          <w:sz w:val="28"/>
          <w:szCs w:val="28"/>
        </w:rPr>
      </w:pPr>
      <w:bookmarkStart w:id="866" w:name="bookmark444"/>
      <w:r>
        <w:rPr>
          <w:rFonts w:hint="eastAsia"/>
          <w:sz w:val="24"/>
          <w:szCs w:val="28"/>
        </w:rPr>
        <w:t>（</w:t>
      </w:r>
      <w:bookmarkEnd w:id="866"/>
      <w:r>
        <w:rPr>
          <w:rFonts w:hint="eastAsia"/>
          <w:sz w:val="24"/>
          <w:szCs w:val="28"/>
          <w:lang w:val="en-US" w:eastAsia="zh-CN"/>
        </w:rPr>
        <w:t>五</w:t>
      </w:r>
      <w:r>
        <w:rPr>
          <w:rFonts w:hint="eastAsia"/>
          <w:sz w:val="24"/>
          <w:szCs w:val="28"/>
        </w:rPr>
        <w:t>）</w:t>
      </w:r>
      <w:r>
        <w:rPr>
          <w:rFonts w:hint="eastAsia"/>
          <w:sz w:val="24"/>
          <w:szCs w:val="28"/>
        </w:rPr>
        <w:tab/>
      </w:r>
      <w:r>
        <w:rPr>
          <w:rFonts w:hint="eastAsia"/>
          <w:sz w:val="24"/>
          <w:szCs w:val="28"/>
        </w:rPr>
        <w:t>乙方须将工作人员花名册及工作证配发情况向甲方进行备案，发生变动后，须在5个工作日内向甲方更新备案。</w:t>
      </w:r>
    </w:p>
    <w:p>
      <w:pPr>
        <w:pStyle w:val="258"/>
        <w:tabs>
          <w:tab w:val="left" w:pos="1251"/>
        </w:tabs>
        <w:autoSpaceDN/>
        <w:snapToGrid w:val="0"/>
        <w:ind w:firstLine="480"/>
        <w:rPr>
          <w:rFonts w:hint="eastAsia"/>
          <w:sz w:val="24"/>
          <w:szCs w:val="28"/>
        </w:rPr>
      </w:pPr>
      <w:bookmarkStart w:id="867" w:name="bookmark445"/>
      <w:r>
        <w:rPr>
          <w:rFonts w:hint="eastAsia"/>
          <w:sz w:val="24"/>
          <w:szCs w:val="28"/>
        </w:rPr>
        <w:t>（</w:t>
      </w:r>
      <w:bookmarkEnd w:id="867"/>
      <w:r>
        <w:rPr>
          <w:rFonts w:hint="eastAsia"/>
          <w:sz w:val="24"/>
          <w:szCs w:val="28"/>
          <w:lang w:val="en-US" w:eastAsia="zh-CN"/>
        </w:rPr>
        <w:t>六</w:t>
      </w:r>
      <w:r>
        <w:rPr>
          <w:rFonts w:hint="eastAsia"/>
          <w:sz w:val="24"/>
          <w:szCs w:val="28"/>
        </w:rPr>
        <w:t>）</w:t>
      </w:r>
      <w:r>
        <w:rPr>
          <w:rFonts w:hint="eastAsia"/>
          <w:sz w:val="24"/>
          <w:szCs w:val="28"/>
        </w:rPr>
        <w:tab/>
      </w:r>
      <w:r>
        <w:rPr>
          <w:rFonts w:hint="eastAsia"/>
          <w:sz w:val="24"/>
          <w:szCs w:val="28"/>
        </w:rPr>
        <w:t>乙方必须与聘用的工作人员签订正式的劳动合同或与劳务派遣公司签订的劳务派遣合同，并按规定缴纳社会保险。所有人员的劳动合同及社保缴纳证明文件需向甲方进行备案，如有人员变更需及时向甲方更新备案；乙方不得聘用临时工担任停车管理员和接车驾驶员岗位。乙方不得使用或变相使用计件的方式支付乙方工作人员薪酬工资。</w:t>
      </w:r>
    </w:p>
    <w:p>
      <w:pPr>
        <w:pStyle w:val="258"/>
        <w:tabs>
          <w:tab w:val="left" w:pos="1251"/>
        </w:tabs>
        <w:autoSpaceDN/>
        <w:snapToGrid w:val="0"/>
        <w:ind w:firstLine="480"/>
        <w:rPr>
          <w:rFonts w:hint="eastAsia" w:eastAsia="宋体"/>
          <w:sz w:val="24"/>
          <w:szCs w:val="28"/>
          <w:lang w:eastAsia="zh-CN"/>
        </w:rPr>
      </w:pPr>
      <w:r>
        <w:rPr>
          <w:rFonts w:hint="eastAsia"/>
          <w:sz w:val="24"/>
          <w:szCs w:val="28"/>
          <w:lang w:eastAsia="zh-CN"/>
        </w:rPr>
        <w:t>（</w:t>
      </w:r>
      <w:r>
        <w:rPr>
          <w:rFonts w:hint="eastAsia"/>
          <w:sz w:val="24"/>
          <w:szCs w:val="28"/>
          <w:lang w:val="en-US" w:eastAsia="zh-CN"/>
        </w:rPr>
        <w:t>七</w:t>
      </w:r>
      <w:r>
        <w:rPr>
          <w:rFonts w:hint="eastAsia"/>
          <w:sz w:val="24"/>
          <w:szCs w:val="28"/>
          <w:lang w:eastAsia="zh-CN"/>
        </w:rPr>
        <w:t>）</w:t>
      </w:r>
      <w:r>
        <w:rPr>
          <w:color w:val="auto"/>
          <w:sz w:val="24"/>
          <w:highlight w:val="none"/>
        </w:rPr>
        <w:t>不得为违法经营者说情，向执法人员索要扣押的证件、车辆等，无权决定对车辆和物品进行返还，不得干扰甲方执法人员正常工作。投标人无权对任何媒体或其他单位及个人解释与采购人工作相关的一切事宜。投标人及其工作人员对采购人的执法行动负有保密义务，不得向第三方泄露。</w:t>
      </w:r>
    </w:p>
    <w:p>
      <w:pPr>
        <w:pStyle w:val="258"/>
        <w:autoSpaceDN/>
        <w:snapToGrid w:val="0"/>
        <w:ind w:firstLine="480"/>
        <w:rPr>
          <w:sz w:val="28"/>
          <w:szCs w:val="28"/>
        </w:rPr>
      </w:pPr>
      <w:r>
        <w:rPr>
          <w:rFonts w:hint="eastAsia"/>
          <w:sz w:val="24"/>
          <w:szCs w:val="28"/>
        </w:rPr>
        <w:t>第</w:t>
      </w:r>
      <w:r>
        <w:rPr>
          <w:rFonts w:hint="eastAsia"/>
          <w:sz w:val="24"/>
          <w:szCs w:val="28"/>
          <w:lang w:val="en-US" w:eastAsia="zh-CN"/>
        </w:rPr>
        <w:t>五</w:t>
      </w:r>
      <w:r>
        <w:rPr>
          <w:rFonts w:hint="eastAsia"/>
          <w:sz w:val="24"/>
          <w:szCs w:val="28"/>
        </w:rPr>
        <w:t>条：对乙方停车场及车辆日常管理的要求</w:t>
      </w:r>
    </w:p>
    <w:p>
      <w:pPr>
        <w:pStyle w:val="258"/>
        <w:tabs>
          <w:tab w:val="left" w:pos="1126"/>
        </w:tabs>
        <w:autoSpaceDN/>
        <w:snapToGrid w:val="0"/>
        <w:ind w:firstLine="480"/>
        <w:jc w:val="left"/>
        <w:rPr>
          <w:sz w:val="28"/>
          <w:szCs w:val="28"/>
          <w:lang w:val="en-US" w:eastAsia="zh-CN"/>
        </w:rPr>
      </w:pPr>
      <w:bookmarkStart w:id="868" w:name="bookmark446"/>
      <w:r>
        <w:rPr>
          <w:rFonts w:hint="eastAsia"/>
          <w:sz w:val="24"/>
          <w:szCs w:val="28"/>
        </w:rPr>
        <w:t>（</w:t>
      </w:r>
      <w:bookmarkEnd w:id="868"/>
      <w:r>
        <w:rPr>
          <w:rFonts w:hint="eastAsia"/>
          <w:sz w:val="24"/>
          <w:szCs w:val="28"/>
        </w:rPr>
        <w:t>一）</w:t>
      </w:r>
      <w:r>
        <w:rPr>
          <w:rFonts w:hint="eastAsia"/>
          <w:sz w:val="24"/>
          <w:szCs w:val="28"/>
        </w:rPr>
        <w:tab/>
      </w:r>
      <w:r>
        <w:rPr>
          <w:rFonts w:hint="eastAsia"/>
          <w:sz w:val="24"/>
          <w:szCs w:val="28"/>
        </w:rPr>
        <w:t>乙方应当根据存放、保管执法暂扣车辆的需要，制定完善的内部管理制度。</w:t>
      </w:r>
      <w:r>
        <w:rPr>
          <w:rFonts w:hint="eastAsia"/>
          <w:sz w:val="24"/>
          <w:szCs w:val="28"/>
          <w:lang w:val="en-US" w:eastAsia="zh-CN"/>
        </w:rPr>
        <w:t>包括但不限于</w:t>
      </w:r>
      <w:bookmarkStart w:id="869" w:name="bookmark514"/>
      <w:r>
        <w:rPr>
          <w:rFonts w:hint="eastAsia"/>
          <w:sz w:val="24"/>
          <w:szCs w:val="28"/>
        </w:rPr>
        <w:t>（</w:t>
      </w:r>
      <w:bookmarkEnd w:id="869"/>
      <w:r>
        <w:rPr>
          <w:rFonts w:hint="eastAsia"/>
          <w:sz w:val="24"/>
          <w:szCs w:val="28"/>
          <w:lang w:val="en-US" w:eastAsia="zh-CN"/>
        </w:rPr>
        <w:t>1</w:t>
      </w:r>
      <w:r>
        <w:rPr>
          <w:rFonts w:hint="eastAsia"/>
          <w:sz w:val="24"/>
          <w:szCs w:val="28"/>
        </w:rPr>
        <w:t>）财务管理制度</w:t>
      </w:r>
      <w:r>
        <w:rPr>
          <w:rFonts w:hint="eastAsia"/>
          <w:sz w:val="24"/>
          <w:szCs w:val="28"/>
          <w:lang w:eastAsia="zh-CN"/>
        </w:rPr>
        <w:t>、</w:t>
      </w:r>
      <w:bookmarkStart w:id="870" w:name="bookmark515"/>
      <w:r>
        <w:rPr>
          <w:rFonts w:hint="eastAsia"/>
          <w:sz w:val="24"/>
          <w:szCs w:val="28"/>
        </w:rPr>
        <w:t>（</w:t>
      </w:r>
      <w:bookmarkEnd w:id="870"/>
      <w:r>
        <w:rPr>
          <w:rFonts w:hint="eastAsia"/>
          <w:sz w:val="24"/>
          <w:szCs w:val="28"/>
          <w:lang w:val="en-US" w:eastAsia="zh-CN"/>
        </w:rPr>
        <w:t>2</w:t>
      </w:r>
      <w:r>
        <w:rPr>
          <w:rFonts w:hint="eastAsia"/>
          <w:sz w:val="24"/>
          <w:szCs w:val="28"/>
        </w:rPr>
        <w:t>）安保管理制度</w:t>
      </w:r>
      <w:r>
        <w:rPr>
          <w:rFonts w:hint="eastAsia"/>
          <w:sz w:val="24"/>
          <w:szCs w:val="28"/>
          <w:lang w:eastAsia="zh-CN"/>
        </w:rPr>
        <w:t>、</w:t>
      </w:r>
      <w:bookmarkStart w:id="871" w:name="bookmark516"/>
      <w:r>
        <w:rPr>
          <w:rFonts w:hint="eastAsia"/>
          <w:sz w:val="24"/>
          <w:szCs w:val="28"/>
        </w:rPr>
        <w:t>（</w:t>
      </w:r>
      <w:bookmarkEnd w:id="871"/>
      <w:r>
        <w:rPr>
          <w:rFonts w:hint="eastAsia"/>
          <w:sz w:val="24"/>
          <w:szCs w:val="28"/>
          <w:lang w:val="en-US" w:eastAsia="zh-CN"/>
        </w:rPr>
        <w:t>3</w:t>
      </w:r>
      <w:r>
        <w:rPr>
          <w:rFonts w:hint="eastAsia"/>
          <w:sz w:val="24"/>
          <w:szCs w:val="28"/>
        </w:rPr>
        <w:t>）消防管理制度</w:t>
      </w:r>
      <w:r>
        <w:rPr>
          <w:rFonts w:hint="eastAsia"/>
          <w:sz w:val="24"/>
          <w:szCs w:val="28"/>
          <w:lang w:eastAsia="zh-CN"/>
        </w:rPr>
        <w:t>、</w:t>
      </w:r>
      <w:bookmarkStart w:id="872" w:name="bookmark517"/>
      <w:r>
        <w:rPr>
          <w:rFonts w:hint="eastAsia"/>
          <w:sz w:val="24"/>
          <w:szCs w:val="28"/>
        </w:rPr>
        <w:t>（</w:t>
      </w:r>
      <w:bookmarkEnd w:id="872"/>
      <w:r>
        <w:rPr>
          <w:rFonts w:hint="eastAsia"/>
          <w:sz w:val="24"/>
          <w:szCs w:val="28"/>
          <w:lang w:val="en-US" w:eastAsia="zh-CN"/>
        </w:rPr>
        <w:t>4</w:t>
      </w:r>
      <w:r>
        <w:rPr>
          <w:rFonts w:hint="eastAsia"/>
          <w:sz w:val="24"/>
          <w:szCs w:val="28"/>
          <w:lang w:eastAsia="zh-CN"/>
        </w:rPr>
        <w:t>）</w:t>
      </w:r>
      <w:r>
        <w:rPr>
          <w:rFonts w:hint="eastAsia"/>
          <w:sz w:val="24"/>
          <w:szCs w:val="28"/>
        </w:rPr>
        <w:t>人员管理制度</w:t>
      </w:r>
      <w:r>
        <w:rPr>
          <w:rFonts w:hint="eastAsia"/>
          <w:sz w:val="24"/>
          <w:szCs w:val="28"/>
          <w:lang w:eastAsia="zh-CN"/>
        </w:rPr>
        <w:t>、</w:t>
      </w:r>
      <w:bookmarkStart w:id="873" w:name="bookmark518"/>
      <w:r>
        <w:rPr>
          <w:rFonts w:hint="eastAsia"/>
          <w:sz w:val="24"/>
          <w:szCs w:val="28"/>
        </w:rPr>
        <w:t>（</w:t>
      </w:r>
      <w:bookmarkEnd w:id="873"/>
      <w:r>
        <w:rPr>
          <w:rFonts w:hint="eastAsia"/>
          <w:sz w:val="24"/>
          <w:szCs w:val="28"/>
          <w:lang w:val="en-US" w:eastAsia="zh-CN"/>
        </w:rPr>
        <w:t>5</w:t>
      </w:r>
      <w:r>
        <w:rPr>
          <w:rFonts w:hint="eastAsia"/>
          <w:sz w:val="24"/>
          <w:szCs w:val="28"/>
        </w:rPr>
        <w:t>）车辆交接制度</w:t>
      </w:r>
      <w:r>
        <w:rPr>
          <w:rFonts w:hint="eastAsia"/>
          <w:sz w:val="24"/>
          <w:szCs w:val="28"/>
          <w:lang w:eastAsia="zh-CN"/>
        </w:rPr>
        <w:t>、</w:t>
      </w:r>
      <w:bookmarkStart w:id="874" w:name="bookmark519"/>
      <w:r>
        <w:rPr>
          <w:rFonts w:hint="eastAsia"/>
          <w:sz w:val="24"/>
          <w:szCs w:val="28"/>
        </w:rPr>
        <w:t>（</w:t>
      </w:r>
      <w:bookmarkEnd w:id="874"/>
      <w:r>
        <w:rPr>
          <w:rFonts w:hint="eastAsia"/>
          <w:sz w:val="24"/>
          <w:szCs w:val="28"/>
          <w:lang w:val="en-US" w:eastAsia="zh-CN"/>
        </w:rPr>
        <w:t>6</w:t>
      </w:r>
      <w:r>
        <w:rPr>
          <w:rFonts w:hint="eastAsia"/>
          <w:sz w:val="24"/>
          <w:szCs w:val="28"/>
        </w:rPr>
        <w:t>）车辆进出场制度</w:t>
      </w:r>
      <w:r>
        <w:rPr>
          <w:rFonts w:hint="eastAsia"/>
          <w:sz w:val="24"/>
          <w:szCs w:val="28"/>
          <w:lang w:eastAsia="zh-CN"/>
        </w:rPr>
        <w:t>、（</w:t>
      </w:r>
      <w:r>
        <w:rPr>
          <w:rFonts w:hint="eastAsia"/>
          <w:sz w:val="24"/>
          <w:szCs w:val="28"/>
          <w:lang w:val="en-US" w:eastAsia="zh-CN"/>
        </w:rPr>
        <w:t>7）危化车辆管理制度、</w:t>
      </w:r>
      <w:bookmarkStart w:id="875" w:name="bookmark520"/>
      <w:r>
        <w:rPr>
          <w:rFonts w:hint="eastAsia"/>
          <w:sz w:val="24"/>
          <w:szCs w:val="28"/>
        </w:rPr>
        <w:t>（</w:t>
      </w:r>
      <w:bookmarkEnd w:id="875"/>
      <w:r>
        <w:rPr>
          <w:rFonts w:hint="eastAsia"/>
          <w:sz w:val="24"/>
          <w:szCs w:val="28"/>
          <w:lang w:val="en-US" w:eastAsia="zh-CN"/>
        </w:rPr>
        <w:t>8</w:t>
      </w:r>
      <w:r>
        <w:rPr>
          <w:rFonts w:hint="eastAsia"/>
          <w:sz w:val="24"/>
          <w:szCs w:val="28"/>
        </w:rPr>
        <w:t>）计算机及监控管理制度</w:t>
      </w:r>
      <w:r>
        <w:rPr>
          <w:rFonts w:hint="eastAsia"/>
          <w:sz w:val="24"/>
          <w:szCs w:val="28"/>
          <w:lang w:eastAsia="zh-CN"/>
        </w:rPr>
        <w:t>、</w:t>
      </w:r>
      <w:bookmarkStart w:id="876" w:name="bookmark521"/>
      <w:r>
        <w:rPr>
          <w:rFonts w:hint="eastAsia"/>
          <w:sz w:val="24"/>
          <w:szCs w:val="28"/>
        </w:rPr>
        <w:t>（</w:t>
      </w:r>
      <w:bookmarkEnd w:id="876"/>
      <w:r>
        <w:rPr>
          <w:rFonts w:hint="eastAsia"/>
          <w:sz w:val="24"/>
          <w:szCs w:val="28"/>
          <w:lang w:val="en-US" w:eastAsia="zh-CN"/>
        </w:rPr>
        <w:t>9</w:t>
      </w:r>
      <w:r>
        <w:rPr>
          <w:rFonts w:hint="eastAsia"/>
          <w:sz w:val="24"/>
          <w:szCs w:val="28"/>
        </w:rPr>
        <w:t>）紧急突发情况处置预案</w:t>
      </w:r>
      <w:r>
        <w:rPr>
          <w:rFonts w:hint="eastAsia"/>
          <w:sz w:val="24"/>
          <w:szCs w:val="28"/>
          <w:lang w:eastAsia="zh-CN"/>
        </w:rPr>
        <w:t>。</w:t>
      </w:r>
    </w:p>
    <w:p>
      <w:pPr>
        <w:pStyle w:val="258"/>
        <w:tabs>
          <w:tab w:val="left" w:pos="1251"/>
        </w:tabs>
        <w:autoSpaceDN/>
        <w:snapToGrid w:val="0"/>
        <w:ind w:firstLine="480"/>
        <w:rPr>
          <w:sz w:val="28"/>
          <w:szCs w:val="28"/>
        </w:rPr>
      </w:pPr>
      <w:bookmarkStart w:id="877" w:name="bookmark447"/>
      <w:r>
        <w:rPr>
          <w:rFonts w:hint="eastAsia"/>
          <w:sz w:val="24"/>
          <w:szCs w:val="28"/>
        </w:rPr>
        <w:t>（</w:t>
      </w:r>
      <w:bookmarkEnd w:id="877"/>
      <w:r>
        <w:rPr>
          <w:rFonts w:hint="eastAsia"/>
          <w:sz w:val="24"/>
          <w:szCs w:val="28"/>
        </w:rPr>
        <w:t>二）</w:t>
      </w:r>
      <w:r>
        <w:rPr>
          <w:rFonts w:hint="eastAsia"/>
          <w:sz w:val="24"/>
          <w:szCs w:val="28"/>
        </w:rPr>
        <w:tab/>
      </w:r>
      <w:r>
        <w:rPr>
          <w:rFonts w:hint="eastAsia"/>
          <w:sz w:val="24"/>
          <w:szCs w:val="28"/>
        </w:rPr>
        <w:t>乙方必须配备必要的消防设施。存放、保管、移动执法暂扣车辆时，应当按照北京市消防局和安全生产监督管理局的有关规定执行。</w:t>
      </w:r>
    </w:p>
    <w:p>
      <w:pPr>
        <w:widowControl/>
        <w:snapToGrid w:val="0"/>
        <w:spacing w:line="360" w:lineRule="auto"/>
        <w:ind w:firstLine="480" w:firstLineChars="200"/>
        <w:jc w:val="left"/>
      </w:pPr>
      <w:bookmarkStart w:id="878" w:name="bookmark449"/>
      <w:r>
        <w:rPr>
          <w:rFonts w:hint="eastAsia" w:ascii="宋体" w:hAnsi="宋体" w:cs="宋体"/>
          <w:kern w:val="0"/>
          <w:sz w:val="24"/>
          <w:lang w:bidi="ar"/>
        </w:rPr>
        <w:t xml:space="preserve">（三）停车场应当相对封闭，配备能够覆盖整个场区和所有出入口的监控设 </w:t>
      </w:r>
    </w:p>
    <w:p>
      <w:pPr>
        <w:widowControl/>
        <w:snapToGrid w:val="0"/>
        <w:spacing w:line="360" w:lineRule="auto"/>
        <w:jc w:val="left"/>
        <w:rPr>
          <w:rFonts w:ascii="宋体" w:hAnsi="宋体" w:cs="宋体"/>
          <w:kern w:val="0"/>
          <w:sz w:val="24"/>
          <w:lang w:bidi="ar"/>
        </w:rPr>
      </w:pPr>
      <w:r>
        <w:rPr>
          <w:rFonts w:hint="eastAsia" w:ascii="宋体" w:hAnsi="宋体" w:cs="宋体"/>
          <w:kern w:val="0"/>
          <w:sz w:val="24"/>
          <w:lang w:bidi="ar"/>
        </w:rPr>
        <w:t xml:space="preserve">备，实现全天候、全时段、全方位的清晰、无死角监控，监控信息刻制光盘保存备查，保留期 1 年。 </w:t>
      </w:r>
    </w:p>
    <w:p>
      <w:pPr>
        <w:pStyle w:val="258"/>
        <w:tabs>
          <w:tab w:val="left" w:pos="1246"/>
        </w:tabs>
        <w:autoSpaceDN/>
        <w:snapToGrid w:val="0"/>
        <w:ind w:firstLine="480"/>
        <w:rPr>
          <w:sz w:val="28"/>
          <w:szCs w:val="28"/>
        </w:rPr>
      </w:pPr>
      <w:r>
        <w:rPr>
          <w:rFonts w:hint="eastAsia"/>
          <w:sz w:val="24"/>
          <w:szCs w:val="28"/>
        </w:rPr>
        <w:t>（</w:t>
      </w:r>
      <w:bookmarkEnd w:id="878"/>
      <w:r>
        <w:rPr>
          <w:rFonts w:hint="eastAsia"/>
          <w:sz w:val="24"/>
          <w:szCs w:val="28"/>
        </w:rPr>
        <w:t>四）</w:t>
      </w:r>
      <w:r>
        <w:rPr>
          <w:rFonts w:hint="eastAsia"/>
          <w:sz w:val="24"/>
          <w:szCs w:val="28"/>
        </w:rPr>
        <w:tab/>
      </w:r>
      <w:r>
        <w:rPr>
          <w:rFonts w:hint="eastAsia"/>
          <w:sz w:val="24"/>
          <w:szCs w:val="28"/>
        </w:rPr>
        <w:t>同时存放社会车辆的，必须设立足够的区域专门存放执法暂扣车辆，且需优先满足执法暂扣车辆停放。</w:t>
      </w:r>
    </w:p>
    <w:p>
      <w:pPr>
        <w:pStyle w:val="258"/>
        <w:tabs>
          <w:tab w:val="left" w:pos="1165"/>
        </w:tabs>
        <w:autoSpaceDN/>
        <w:snapToGrid w:val="0"/>
        <w:ind w:firstLine="480"/>
        <w:rPr>
          <w:sz w:val="28"/>
          <w:szCs w:val="28"/>
        </w:rPr>
      </w:pPr>
      <w:bookmarkStart w:id="879" w:name="bookmark450"/>
      <w:r>
        <w:rPr>
          <w:rFonts w:hint="eastAsia"/>
          <w:sz w:val="24"/>
          <w:szCs w:val="28"/>
        </w:rPr>
        <w:t>（</w:t>
      </w:r>
      <w:bookmarkEnd w:id="879"/>
      <w:r>
        <w:rPr>
          <w:rFonts w:hint="eastAsia"/>
          <w:sz w:val="24"/>
          <w:szCs w:val="28"/>
        </w:rPr>
        <w:t>五）</w:t>
      </w:r>
      <w:r>
        <w:rPr>
          <w:rFonts w:hint="eastAsia"/>
          <w:sz w:val="24"/>
          <w:szCs w:val="28"/>
        </w:rPr>
        <w:tab/>
      </w:r>
      <w:r>
        <w:rPr>
          <w:rFonts w:hint="eastAsia"/>
          <w:sz w:val="24"/>
          <w:szCs w:val="28"/>
        </w:rPr>
        <w:t>停车场内严禁存放易燃易爆物品及停放装有化学危险品的重载车辆。</w:t>
      </w:r>
    </w:p>
    <w:p>
      <w:pPr>
        <w:widowControl/>
        <w:snapToGrid w:val="0"/>
        <w:spacing w:line="360" w:lineRule="auto"/>
        <w:ind w:firstLine="480" w:firstLineChars="200"/>
        <w:jc w:val="left"/>
      </w:pPr>
      <w:r>
        <w:rPr>
          <w:rFonts w:hint="eastAsia" w:ascii="宋体" w:hAnsi="宋体" w:cs="宋体"/>
          <w:kern w:val="0"/>
          <w:sz w:val="24"/>
          <w:lang w:bidi="ar"/>
        </w:rPr>
        <w:t xml:space="preserve">（六）乙方应当在被扣车内挡风玻璃上粘贴《证据先行登记保存通知书》或 </w:t>
      </w:r>
    </w:p>
    <w:p>
      <w:pPr>
        <w:widowControl/>
        <w:snapToGrid w:val="0"/>
        <w:spacing w:line="360" w:lineRule="auto"/>
        <w:jc w:val="left"/>
      </w:pPr>
      <w:r>
        <w:rPr>
          <w:rFonts w:hint="eastAsia" w:ascii="宋体" w:hAnsi="宋体" w:cs="宋体"/>
          <w:kern w:val="0"/>
          <w:sz w:val="24"/>
          <w:lang w:bidi="ar"/>
        </w:rPr>
        <w:t xml:space="preserve">《行政强制措施决定书》编号，并在执法暂扣车辆进场时建档登记，详细记录执 </w:t>
      </w:r>
    </w:p>
    <w:p>
      <w:pPr>
        <w:widowControl/>
        <w:snapToGrid w:val="0"/>
        <w:spacing w:line="360" w:lineRule="auto"/>
        <w:jc w:val="left"/>
      </w:pPr>
      <w:r>
        <w:rPr>
          <w:rFonts w:hint="eastAsia" w:ascii="宋体" w:hAnsi="宋体" w:cs="宋体"/>
          <w:kern w:val="0"/>
          <w:sz w:val="24"/>
          <w:lang w:bidi="ar"/>
        </w:rPr>
        <w:t xml:space="preserve">法暂扣车辆的基本情况，包括但不限于车型、车号、颜色、车辆识别号、发动机 </w:t>
      </w:r>
    </w:p>
    <w:p>
      <w:pPr>
        <w:widowControl/>
        <w:snapToGrid w:val="0"/>
        <w:spacing w:line="360" w:lineRule="auto"/>
        <w:jc w:val="left"/>
      </w:pPr>
      <w:r>
        <w:rPr>
          <w:rFonts w:hint="eastAsia" w:ascii="宋体" w:hAnsi="宋体" w:cs="宋体"/>
          <w:kern w:val="0"/>
          <w:sz w:val="24"/>
          <w:lang w:bidi="ar"/>
        </w:rPr>
        <w:t xml:space="preserve">号、进场时间、进场时车辆行驶公里数、存放时间、发还时间等内容。甲方对登记内容另有要求的，乙方应当执行。 </w:t>
      </w:r>
    </w:p>
    <w:p>
      <w:pPr>
        <w:pStyle w:val="258"/>
        <w:tabs>
          <w:tab w:val="left" w:pos="1246"/>
        </w:tabs>
        <w:autoSpaceDN/>
        <w:snapToGrid w:val="0"/>
        <w:ind w:firstLine="480"/>
        <w:rPr>
          <w:sz w:val="28"/>
          <w:szCs w:val="28"/>
        </w:rPr>
      </w:pPr>
      <w:bookmarkStart w:id="880" w:name="bookmark452"/>
      <w:r>
        <w:rPr>
          <w:rFonts w:hint="eastAsia"/>
          <w:sz w:val="24"/>
          <w:szCs w:val="28"/>
        </w:rPr>
        <w:t>（</w:t>
      </w:r>
      <w:bookmarkEnd w:id="880"/>
      <w:r>
        <w:rPr>
          <w:rFonts w:hint="eastAsia"/>
          <w:sz w:val="24"/>
          <w:szCs w:val="28"/>
        </w:rPr>
        <w:t>七）</w:t>
      </w:r>
      <w:r>
        <w:rPr>
          <w:rFonts w:hint="eastAsia"/>
          <w:sz w:val="24"/>
          <w:szCs w:val="28"/>
        </w:rPr>
        <w:tab/>
      </w:r>
      <w:r>
        <w:rPr>
          <w:rFonts w:hint="eastAsia"/>
          <w:sz w:val="24"/>
          <w:szCs w:val="28"/>
        </w:rPr>
        <w:t>执法暂扣车辆按照大型车及小型车分区域停放。</w:t>
      </w:r>
    </w:p>
    <w:p>
      <w:pPr>
        <w:pStyle w:val="258"/>
        <w:tabs>
          <w:tab w:val="left" w:pos="1126"/>
        </w:tabs>
        <w:autoSpaceDN/>
        <w:snapToGrid w:val="0"/>
        <w:ind w:firstLine="480"/>
        <w:rPr>
          <w:sz w:val="28"/>
          <w:szCs w:val="28"/>
        </w:rPr>
      </w:pPr>
      <w:bookmarkStart w:id="881" w:name="bookmark453"/>
      <w:r>
        <w:rPr>
          <w:rFonts w:hint="eastAsia"/>
          <w:sz w:val="24"/>
          <w:szCs w:val="28"/>
        </w:rPr>
        <w:t>（</w:t>
      </w:r>
      <w:bookmarkEnd w:id="881"/>
      <w:r>
        <w:rPr>
          <w:rFonts w:hint="eastAsia"/>
          <w:sz w:val="24"/>
          <w:szCs w:val="28"/>
        </w:rPr>
        <w:t>八）</w:t>
      </w:r>
      <w:r>
        <w:rPr>
          <w:rFonts w:hint="eastAsia"/>
          <w:sz w:val="24"/>
          <w:szCs w:val="28"/>
        </w:rPr>
        <w:tab/>
      </w:r>
      <w:r>
        <w:rPr>
          <w:rFonts w:hint="eastAsia"/>
          <w:sz w:val="24"/>
          <w:szCs w:val="28"/>
        </w:rPr>
        <w:t>定期检查执法暂扣车辆的存放、保管情况。</w:t>
      </w:r>
    </w:p>
    <w:p>
      <w:pPr>
        <w:pStyle w:val="258"/>
        <w:tabs>
          <w:tab w:val="left" w:pos="1126"/>
        </w:tabs>
        <w:autoSpaceDN/>
        <w:snapToGrid w:val="0"/>
        <w:ind w:firstLine="480"/>
        <w:rPr>
          <w:sz w:val="28"/>
          <w:szCs w:val="28"/>
        </w:rPr>
      </w:pPr>
      <w:bookmarkStart w:id="882" w:name="bookmark454"/>
      <w:r>
        <w:rPr>
          <w:rFonts w:hint="eastAsia"/>
          <w:sz w:val="24"/>
          <w:szCs w:val="28"/>
        </w:rPr>
        <w:t>（</w:t>
      </w:r>
      <w:bookmarkEnd w:id="882"/>
      <w:r>
        <w:rPr>
          <w:rFonts w:hint="eastAsia"/>
          <w:sz w:val="24"/>
          <w:szCs w:val="28"/>
        </w:rPr>
        <w:t>九）</w:t>
      </w:r>
      <w:r>
        <w:rPr>
          <w:rFonts w:hint="eastAsia"/>
          <w:sz w:val="24"/>
          <w:szCs w:val="28"/>
        </w:rPr>
        <w:tab/>
      </w:r>
      <w:r>
        <w:rPr>
          <w:rFonts w:hint="eastAsia"/>
          <w:sz w:val="24"/>
          <w:szCs w:val="28"/>
        </w:rPr>
        <w:t>停车场不得在工作用车内存放管制和违禁物品。</w:t>
      </w:r>
    </w:p>
    <w:p>
      <w:pPr>
        <w:widowControl/>
        <w:snapToGrid w:val="0"/>
        <w:spacing w:line="360" w:lineRule="auto"/>
        <w:ind w:firstLine="480" w:firstLineChars="200"/>
        <w:jc w:val="left"/>
      </w:pPr>
      <w:r>
        <w:rPr>
          <w:rFonts w:hint="eastAsia" w:ascii="宋体" w:hAnsi="宋体" w:cs="宋体"/>
          <w:kern w:val="0"/>
          <w:sz w:val="24"/>
          <w:lang w:bidi="ar"/>
        </w:rPr>
        <w:t xml:space="preserve">（十）具备符合甲方对功能及技术指标要求的车辆号牌识别系统及专用的计 </w:t>
      </w:r>
    </w:p>
    <w:p>
      <w:pPr>
        <w:widowControl/>
        <w:snapToGrid w:val="0"/>
        <w:spacing w:line="360" w:lineRule="auto"/>
        <w:jc w:val="left"/>
      </w:pPr>
      <w:r>
        <w:rPr>
          <w:rFonts w:hint="eastAsia" w:ascii="宋体" w:hAnsi="宋体" w:cs="宋体"/>
          <w:kern w:val="0"/>
          <w:sz w:val="24"/>
          <w:lang w:bidi="ar"/>
        </w:rPr>
        <w:t xml:space="preserve">算机设备，所有进出场的执法暂扣车辆必须做到计算机管理。 </w:t>
      </w:r>
    </w:p>
    <w:p>
      <w:pPr>
        <w:widowControl/>
        <w:snapToGrid w:val="0"/>
        <w:spacing w:line="360" w:lineRule="auto"/>
        <w:ind w:firstLine="480" w:firstLineChars="200"/>
        <w:jc w:val="left"/>
      </w:pPr>
      <w:r>
        <w:rPr>
          <w:rFonts w:hint="eastAsia" w:ascii="宋体" w:hAnsi="宋体" w:cs="宋体"/>
          <w:kern w:val="0"/>
          <w:sz w:val="24"/>
          <w:lang w:bidi="ar"/>
        </w:rPr>
        <w:t xml:space="preserve">（十一）制订失火、盗抢等紧急突发情况的处置预案。 </w:t>
      </w:r>
    </w:p>
    <w:p>
      <w:pPr>
        <w:widowControl/>
        <w:snapToGrid w:val="0"/>
        <w:spacing w:line="360" w:lineRule="auto"/>
        <w:ind w:firstLine="480" w:firstLineChars="200"/>
        <w:jc w:val="left"/>
      </w:pPr>
      <w:r>
        <w:rPr>
          <w:rFonts w:hint="eastAsia" w:ascii="宋体" w:hAnsi="宋体" w:cs="宋体"/>
          <w:kern w:val="0"/>
          <w:sz w:val="24"/>
          <w:lang w:bidi="ar"/>
        </w:rPr>
        <w:t xml:space="preserve">（十二）停车场必须按不低于“北京市公共停车场经营备案证”批准标明的 </w:t>
      </w:r>
    </w:p>
    <w:p>
      <w:pPr>
        <w:widowControl/>
        <w:snapToGrid w:val="0"/>
        <w:spacing w:line="360" w:lineRule="auto"/>
        <w:jc w:val="left"/>
      </w:pPr>
      <w:r>
        <w:rPr>
          <w:rFonts w:hint="eastAsia" w:ascii="宋体" w:hAnsi="宋体" w:cs="宋体"/>
          <w:kern w:val="0"/>
          <w:sz w:val="24"/>
          <w:lang w:bidi="ar"/>
        </w:rPr>
        <w:t xml:space="preserve">停车位数投保企业财产保险。 </w:t>
      </w:r>
    </w:p>
    <w:p>
      <w:pPr>
        <w:widowControl/>
        <w:snapToGrid w:val="0"/>
        <w:spacing w:line="360" w:lineRule="auto"/>
        <w:ind w:firstLine="480" w:firstLineChars="200"/>
        <w:jc w:val="left"/>
      </w:pPr>
      <w:r>
        <w:rPr>
          <w:rFonts w:hint="eastAsia" w:ascii="宋体" w:hAnsi="宋体" w:cs="宋体"/>
          <w:kern w:val="0"/>
          <w:sz w:val="24"/>
          <w:lang w:bidi="ar"/>
        </w:rPr>
        <w:t xml:space="preserve">（十三）《北京市公共停车场经营备案证》须按规定年审； </w:t>
      </w:r>
    </w:p>
    <w:p>
      <w:pPr>
        <w:widowControl/>
        <w:snapToGrid w:val="0"/>
        <w:spacing w:line="360" w:lineRule="auto"/>
        <w:ind w:firstLine="480" w:firstLineChars="200"/>
        <w:jc w:val="left"/>
      </w:pPr>
      <w:r>
        <w:rPr>
          <w:rFonts w:hint="eastAsia" w:ascii="宋体" w:hAnsi="宋体" w:cs="宋体"/>
          <w:kern w:val="0"/>
          <w:sz w:val="24"/>
          <w:lang w:bidi="ar"/>
        </w:rPr>
        <w:t xml:space="preserve">（十四）执法暂扣车辆必须停放于投标人提供的“北京市公共停车场经营备 </w:t>
      </w:r>
    </w:p>
    <w:p>
      <w:pPr>
        <w:widowControl/>
        <w:snapToGrid w:val="0"/>
        <w:spacing w:line="360" w:lineRule="auto"/>
        <w:jc w:val="left"/>
      </w:pPr>
      <w:r>
        <w:rPr>
          <w:rFonts w:hint="eastAsia" w:ascii="宋体" w:hAnsi="宋体" w:cs="宋体"/>
          <w:kern w:val="0"/>
          <w:sz w:val="24"/>
          <w:lang w:bidi="ar"/>
        </w:rPr>
        <w:t xml:space="preserve">案证”批准地点。 </w:t>
      </w:r>
    </w:p>
    <w:p>
      <w:pPr>
        <w:widowControl/>
        <w:snapToGrid w:val="0"/>
        <w:spacing w:line="360" w:lineRule="auto"/>
        <w:ind w:firstLine="480" w:firstLineChars="200"/>
        <w:jc w:val="left"/>
      </w:pPr>
      <w:r>
        <w:rPr>
          <w:rFonts w:hint="eastAsia" w:ascii="宋体" w:hAnsi="宋体" w:cs="宋体"/>
          <w:kern w:val="0"/>
          <w:sz w:val="24"/>
          <w:lang w:bidi="ar"/>
        </w:rPr>
        <w:t xml:space="preserve">（十五）乙方必须配备不少于两辆年检合格的可满足执法暂扣车辆转移需要 </w:t>
      </w:r>
    </w:p>
    <w:p>
      <w:pPr>
        <w:widowControl/>
        <w:snapToGrid w:val="0"/>
        <w:spacing w:line="360" w:lineRule="auto"/>
        <w:jc w:val="left"/>
      </w:pPr>
      <w:r>
        <w:rPr>
          <w:rFonts w:hint="eastAsia" w:ascii="宋体" w:hAnsi="宋体" w:cs="宋体"/>
          <w:kern w:val="0"/>
          <w:sz w:val="24"/>
          <w:lang w:bidi="ar"/>
        </w:rPr>
        <w:t xml:space="preserve">的专用车辆，负责随甲方外勤执法人员接送执法暂扣车辆。 </w:t>
      </w:r>
    </w:p>
    <w:p>
      <w:pPr>
        <w:widowControl/>
        <w:snapToGrid w:val="0"/>
        <w:spacing w:line="360" w:lineRule="auto"/>
        <w:ind w:firstLine="480" w:firstLineChars="200"/>
        <w:jc w:val="left"/>
      </w:pPr>
      <w:r>
        <w:rPr>
          <w:rFonts w:hint="eastAsia" w:ascii="宋体" w:hAnsi="宋体" w:cs="宋体"/>
          <w:kern w:val="0"/>
          <w:sz w:val="24"/>
          <w:lang w:bidi="ar"/>
        </w:rPr>
        <w:t xml:space="preserve">（十六）乙方须服从甲方的调派、监督、管理。 </w:t>
      </w:r>
    </w:p>
    <w:p>
      <w:pPr>
        <w:widowControl/>
        <w:snapToGrid w:val="0"/>
        <w:spacing w:line="360" w:lineRule="auto"/>
        <w:ind w:firstLine="480" w:firstLineChars="200"/>
        <w:jc w:val="left"/>
      </w:pPr>
      <w:r>
        <w:rPr>
          <w:rFonts w:hint="eastAsia" w:ascii="宋体" w:hAnsi="宋体" w:cs="宋体"/>
          <w:kern w:val="0"/>
          <w:sz w:val="24"/>
          <w:lang w:bidi="ar"/>
        </w:rPr>
        <w:t xml:space="preserve">（十七）乙方需定期开展全部人员的廉洁自律教育工作，并提出具体的廉洁 </w:t>
      </w:r>
    </w:p>
    <w:p>
      <w:pPr>
        <w:pStyle w:val="258"/>
        <w:autoSpaceDN/>
        <w:snapToGrid w:val="0"/>
        <w:ind w:firstLine="0"/>
        <w:rPr>
          <w:sz w:val="28"/>
          <w:szCs w:val="28"/>
        </w:rPr>
      </w:pPr>
      <w:r>
        <w:rPr>
          <w:rFonts w:hint="eastAsia"/>
          <w:kern w:val="0"/>
          <w:sz w:val="24"/>
          <w:szCs w:val="24"/>
          <w:lang w:val="en-US" w:eastAsia="zh-CN" w:bidi="ar"/>
        </w:rPr>
        <w:t>自律要求，防范可能出现的不廉洁问题。</w:t>
      </w:r>
    </w:p>
    <w:p>
      <w:pPr>
        <w:pStyle w:val="258"/>
        <w:autoSpaceDN/>
        <w:snapToGrid w:val="0"/>
        <w:ind w:firstLine="480"/>
        <w:rPr>
          <w:sz w:val="28"/>
          <w:szCs w:val="28"/>
        </w:rPr>
      </w:pPr>
      <w:r>
        <w:rPr>
          <w:rFonts w:hint="eastAsia"/>
          <w:sz w:val="24"/>
          <w:szCs w:val="28"/>
        </w:rPr>
        <w:t>第</w:t>
      </w:r>
      <w:r>
        <w:rPr>
          <w:rFonts w:hint="eastAsia"/>
          <w:sz w:val="24"/>
          <w:szCs w:val="28"/>
          <w:lang w:val="en-US" w:eastAsia="zh-CN"/>
        </w:rPr>
        <w:t>六</w:t>
      </w:r>
      <w:r>
        <w:rPr>
          <w:rFonts w:hint="eastAsia"/>
          <w:sz w:val="24"/>
          <w:szCs w:val="28"/>
        </w:rPr>
        <w:t>条：乙方的责任</w:t>
      </w:r>
    </w:p>
    <w:p>
      <w:pPr>
        <w:pStyle w:val="258"/>
        <w:tabs>
          <w:tab w:val="left" w:pos="1126"/>
        </w:tabs>
        <w:autoSpaceDN/>
        <w:snapToGrid w:val="0"/>
        <w:ind w:firstLine="480"/>
        <w:rPr>
          <w:sz w:val="28"/>
          <w:szCs w:val="28"/>
        </w:rPr>
      </w:pPr>
      <w:bookmarkStart w:id="883" w:name="bookmark455"/>
      <w:r>
        <w:rPr>
          <w:rFonts w:hint="eastAsia"/>
          <w:sz w:val="24"/>
          <w:szCs w:val="28"/>
        </w:rPr>
        <w:t>（</w:t>
      </w:r>
      <w:bookmarkEnd w:id="883"/>
      <w:r>
        <w:rPr>
          <w:rFonts w:hint="eastAsia"/>
          <w:sz w:val="24"/>
          <w:szCs w:val="28"/>
        </w:rPr>
        <w:t>一）</w:t>
      </w:r>
      <w:r>
        <w:rPr>
          <w:rFonts w:hint="eastAsia"/>
          <w:sz w:val="24"/>
          <w:szCs w:val="28"/>
        </w:rPr>
        <w:tab/>
      </w:r>
      <w:r>
        <w:rPr>
          <w:rFonts w:hint="eastAsia"/>
          <w:sz w:val="24"/>
          <w:szCs w:val="28"/>
        </w:rPr>
        <w:t>乙方保证不降低招投标文件中所列服务要求和承诺。</w:t>
      </w:r>
    </w:p>
    <w:p>
      <w:pPr>
        <w:pStyle w:val="258"/>
        <w:tabs>
          <w:tab w:val="left" w:pos="1126"/>
        </w:tabs>
        <w:autoSpaceDN/>
        <w:snapToGrid w:val="0"/>
        <w:ind w:firstLine="480"/>
        <w:rPr>
          <w:sz w:val="28"/>
          <w:szCs w:val="28"/>
        </w:rPr>
      </w:pPr>
      <w:bookmarkStart w:id="884" w:name="bookmark456"/>
      <w:r>
        <w:rPr>
          <w:rFonts w:hint="eastAsia"/>
          <w:sz w:val="24"/>
          <w:szCs w:val="28"/>
        </w:rPr>
        <w:t>（</w:t>
      </w:r>
      <w:bookmarkEnd w:id="884"/>
      <w:r>
        <w:rPr>
          <w:rFonts w:hint="eastAsia"/>
          <w:sz w:val="24"/>
          <w:szCs w:val="28"/>
        </w:rPr>
        <w:t>二）</w:t>
      </w:r>
      <w:r>
        <w:rPr>
          <w:rFonts w:hint="eastAsia"/>
          <w:sz w:val="24"/>
          <w:szCs w:val="28"/>
        </w:rPr>
        <w:tab/>
      </w:r>
      <w:r>
        <w:rPr>
          <w:rFonts w:hint="eastAsia"/>
          <w:sz w:val="24"/>
          <w:szCs w:val="28"/>
        </w:rPr>
        <w:t>保证执法暂扣车辆及时交接、停放及发还。</w:t>
      </w:r>
    </w:p>
    <w:p>
      <w:pPr>
        <w:pStyle w:val="258"/>
        <w:tabs>
          <w:tab w:val="left" w:pos="1256"/>
        </w:tabs>
        <w:autoSpaceDN/>
        <w:snapToGrid w:val="0"/>
        <w:ind w:firstLine="480"/>
        <w:rPr>
          <w:sz w:val="28"/>
          <w:szCs w:val="28"/>
        </w:rPr>
      </w:pPr>
      <w:bookmarkStart w:id="885" w:name="bookmark457"/>
      <w:r>
        <w:rPr>
          <w:rFonts w:hint="eastAsia"/>
          <w:sz w:val="24"/>
          <w:szCs w:val="28"/>
        </w:rPr>
        <w:t>（</w:t>
      </w:r>
      <w:bookmarkEnd w:id="885"/>
      <w:r>
        <w:rPr>
          <w:rFonts w:hint="eastAsia"/>
          <w:sz w:val="24"/>
          <w:szCs w:val="28"/>
        </w:rPr>
        <w:t>三）</w:t>
      </w:r>
      <w:r>
        <w:rPr>
          <w:rFonts w:hint="eastAsia"/>
          <w:sz w:val="24"/>
          <w:szCs w:val="28"/>
        </w:rPr>
        <w:tab/>
      </w:r>
      <w:r>
        <w:rPr>
          <w:rFonts w:hint="eastAsia"/>
          <w:sz w:val="24"/>
          <w:szCs w:val="28"/>
        </w:rPr>
        <w:t>从甲方或甲方认可的工作人员与停车场工作人员进行暂扣车辆交接工作起，乙方即开始承担车辆保管责任。</w:t>
      </w:r>
    </w:p>
    <w:p>
      <w:pPr>
        <w:pStyle w:val="258"/>
        <w:tabs>
          <w:tab w:val="left" w:pos="1246"/>
        </w:tabs>
        <w:autoSpaceDN/>
        <w:snapToGrid w:val="0"/>
        <w:ind w:firstLine="480"/>
        <w:rPr>
          <w:sz w:val="28"/>
          <w:szCs w:val="28"/>
        </w:rPr>
      </w:pPr>
      <w:bookmarkStart w:id="886" w:name="bookmark458"/>
      <w:r>
        <w:rPr>
          <w:rFonts w:hint="eastAsia"/>
          <w:sz w:val="24"/>
          <w:szCs w:val="28"/>
        </w:rPr>
        <w:t>（</w:t>
      </w:r>
      <w:bookmarkEnd w:id="886"/>
      <w:r>
        <w:rPr>
          <w:rFonts w:hint="eastAsia"/>
          <w:sz w:val="24"/>
          <w:szCs w:val="28"/>
        </w:rPr>
        <w:t>四）</w:t>
      </w:r>
      <w:r>
        <w:rPr>
          <w:rFonts w:hint="eastAsia"/>
          <w:sz w:val="24"/>
          <w:szCs w:val="28"/>
        </w:rPr>
        <w:tab/>
      </w:r>
      <w:r>
        <w:rPr>
          <w:rFonts w:hint="eastAsia"/>
          <w:sz w:val="24"/>
          <w:szCs w:val="28"/>
        </w:rPr>
        <w:t>乙方应保证执法暂扣车辆转移、存放、保管期间的安全和完好。执法暂扣车辆转移、存放、保管期间发生毁损、丢失、被盗、冒领、抢夺等情形的，乙方承担赔偿责任，并应立即向甲方报告。涉嫌犯罪的，乙方应立即报警。</w:t>
      </w:r>
    </w:p>
    <w:p>
      <w:pPr>
        <w:pStyle w:val="258"/>
        <w:tabs>
          <w:tab w:val="left" w:pos="1245"/>
        </w:tabs>
        <w:autoSpaceDN/>
        <w:snapToGrid w:val="0"/>
        <w:ind w:firstLine="480"/>
        <w:rPr>
          <w:sz w:val="28"/>
          <w:szCs w:val="28"/>
        </w:rPr>
      </w:pPr>
      <w:bookmarkStart w:id="887" w:name="bookmark459"/>
      <w:r>
        <w:rPr>
          <w:rFonts w:hint="eastAsia"/>
          <w:sz w:val="24"/>
          <w:szCs w:val="28"/>
        </w:rPr>
        <w:t>（</w:t>
      </w:r>
      <w:bookmarkEnd w:id="887"/>
      <w:r>
        <w:rPr>
          <w:rFonts w:hint="eastAsia"/>
          <w:sz w:val="24"/>
          <w:szCs w:val="28"/>
        </w:rPr>
        <w:t>五）</w:t>
      </w:r>
      <w:r>
        <w:rPr>
          <w:rFonts w:hint="eastAsia"/>
          <w:sz w:val="24"/>
          <w:szCs w:val="28"/>
        </w:rPr>
        <w:tab/>
      </w:r>
      <w:r>
        <w:rPr>
          <w:rFonts w:hint="eastAsia"/>
          <w:sz w:val="24"/>
          <w:szCs w:val="28"/>
        </w:rPr>
        <w:t>执法暂扣车辆存放、保管期间，乙方不得动用执法暂扣车辆，严禁拆卸、变卖零部件、挪用执法暂扣车辆及号牌；不得动用车内物品。由此造成损失的，乙方负责赔偿。</w:t>
      </w:r>
    </w:p>
    <w:p>
      <w:pPr>
        <w:pStyle w:val="258"/>
        <w:tabs>
          <w:tab w:val="left" w:pos="1250"/>
        </w:tabs>
        <w:autoSpaceDN/>
        <w:snapToGrid w:val="0"/>
        <w:ind w:firstLine="480"/>
        <w:rPr>
          <w:sz w:val="28"/>
          <w:szCs w:val="28"/>
        </w:rPr>
      </w:pPr>
      <w:bookmarkStart w:id="888" w:name="bookmark460"/>
      <w:r>
        <w:rPr>
          <w:rFonts w:hint="eastAsia"/>
          <w:sz w:val="24"/>
          <w:szCs w:val="28"/>
        </w:rPr>
        <w:t>（</w:t>
      </w:r>
      <w:bookmarkEnd w:id="888"/>
      <w:r>
        <w:rPr>
          <w:rFonts w:hint="eastAsia"/>
          <w:sz w:val="24"/>
          <w:szCs w:val="28"/>
        </w:rPr>
        <w:t>六）</w:t>
      </w:r>
      <w:r>
        <w:rPr>
          <w:rFonts w:hint="eastAsia"/>
          <w:sz w:val="24"/>
          <w:szCs w:val="28"/>
        </w:rPr>
        <w:tab/>
      </w:r>
      <w:r>
        <w:rPr>
          <w:rFonts w:hint="eastAsia"/>
          <w:sz w:val="24"/>
          <w:szCs w:val="28"/>
        </w:rPr>
        <w:t>乙方应当接受甲方对停车场存放、保管执法暂扣车辆的监督。一经发现，乙方应按照甲方提出的要求进行整改，并向甲方提交整改报告。</w:t>
      </w:r>
    </w:p>
    <w:p>
      <w:pPr>
        <w:widowControl/>
        <w:snapToGrid w:val="0"/>
        <w:spacing w:line="360" w:lineRule="auto"/>
        <w:ind w:firstLine="480" w:firstLineChars="200"/>
        <w:jc w:val="left"/>
      </w:pPr>
      <w:bookmarkStart w:id="889" w:name="bookmark461"/>
      <w:r>
        <w:rPr>
          <w:rFonts w:hint="eastAsia"/>
          <w:sz w:val="24"/>
        </w:rPr>
        <w:t>（</w:t>
      </w:r>
      <w:bookmarkEnd w:id="889"/>
      <w:r>
        <w:rPr>
          <w:rFonts w:hint="eastAsia"/>
          <w:sz w:val="24"/>
        </w:rPr>
        <w:t>七）</w:t>
      </w:r>
      <w:r>
        <w:rPr>
          <w:rFonts w:hint="eastAsia"/>
          <w:sz w:val="24"/>
        </w:rPr>
        <w:tab/>
      </w:r>
      <w:r>
        <w:rPr>
          <w:rFonts w:hint="eastAsia" w:ascii="宋体" w:hAnsi="宋体" w:cs="宋体"/>
          <w:kern w:val="0"/>
          <w:sz w:val="24"/>
          <w:lang w:bidi="ar"/>
        </w:rPr>
        <w:t>除规定必须由当事人支付的费用外，乙方不得向当事人收取任何额外费用。如：根据《北京市查处非法客运若干规定》第十一条规定，“非法客运经营车辆被扣押期间的保管费用由执法部门承担，自扣押解除之日起，车辆保管费用由当事人承担。”因此，自扣押解除之日起，停车场可按《北京市机动车停车场收费标准核准表》核准的收费标准向当事人收取车辆保管费。</w:t>
      </w:r>
    </w:p>
    <w:p>
      <w:pPr>
        <w:widowControl/>
        <w:snapToGrid w:val="0"/>
        <w:spacing w:line="360" w:lineRule="auto"/>
        <w:ind w:firstLine="480" w:firstLineChars="200"/>
        <w:jc w:val="left"/>
      </w:pPr>
      <w:r>
        <w:rPr>
          <w:rFonts w:hint="eastAsia" w:ascii="宋体" w:hAnsi="宋体" w:cs="宋体"/>
          <w:kern w:val="0"/>
          <w:sz w:val="24"/>
          <w:lang w:bidi="ar"/>
        </w:rPr>
        <w:t xml:space="preserve">（八）因故需要移动、修理车辆号牌识别系统及专用计算机设备、线路的费用全部由乙方自行承担。 </w:t>
      </w:r>
    </w:p>
    <w:p>
      <w:pPr>
        <w:widowControl/>
        <w:snapToGrid w:val="0"/>
        <w:spacing w:line="360" w:lineRule="auto"/>
        <w:ind w:firstLine="480" w:firstLineChars="200"/>
        <w:jc w:val="left"/>
      </w:pPr>
      <w:r>
        <w:rPr>
          <w:rFonts w:hint="eastAsia" w:ascii="宋体" w:hAnsi="宋体" w:cs="宋体"/>
          <w:kern w:val="0"/>
          <w:sz w:val="24"/>
          <w:lang w:bidi="ar"/>
        </w:rPr>
        <w:t>（九）乙方应每月月初向甲方提供上月停车场进出场车辆明细表（纸质及电子文档），每年年底向甲方提供停放时间大于六个月的滞留车辆明细表（纸质及电子文档）。</w:t>
      </w:r>
    </w:p>
    <w:p>
      <w:pPr>
        <w:pStyle w:val="258"/>
        <w:autoSpaceDN/>
        <w:snapToGrid w:val="0"/>
        <w:ind w:firstLine="480"/>
        <w:rPr>
          <w:sz w:val="28"/>
          <w:szCs w:val="28"/>
        </w:rPr>
      </w:pPr>
      <w:r>
        <w:rPr>
          <w:rFonts w:hint="eastAsia"/>
          <w:sz w:val="24"/>
          <w:szCs w:val="28"/>
        </w:rPr>
        <w:t>第</w:t>
      </w:r>
      <w:r>
        <w:rPr>
          <w:rFonts w:hint="eastAsia"/>
          <w:sz w:val="24"/>
          <w:szCs w:val="28"/>
          <w:lang w:val="en-US" w:eastAsia="zh-CN"/>
        </w:rPr>
        <w:t>七</w:t>
      </w:r>
      <w:r>
        <w:rPr>
          <w:rFonts w:hint="eastAsia"/>
          <w:sz w:val="24"/>
          <w:szCs w:val="28"/>
        </w:rPr>
        <w:t>条：执法暂扣车辆的交接</w:t>
      </w:r>
    </w:p>
    <w:p>
      <w:pPr>
        <w:pStyle w:val="258"/>
        <w:tabs>
          <w:tab w:val="left" w:pos="1173"/>
        </w:tabs>
        <w:autoSpaceDN/>
        <w:snapToGrid w:val="0"/>
        <w:ind w:firstLine="480"/>
        <w:rPr>
          <w:sz w:val="28"/>
          <w:szCs w:val="28"/>
          <w:lang w:val="en-US" w:eastAsia="zh-CN"/>
        </w:rPr>
      </w:pPr>
      <w:bookmarkStart w:id="890" w:name="bookmark464"/>
      <w:r>
        <w:rPr>
          <w:rFonts w:hint="eastAsia"/>
          <w:sz w:val="24"/>
          <w:szCs w:val="28"/>
        </w:rPr>
        <w:t>（</w:t>
      </w:r>
      <w:bookmarkEnd w:id="890"/>
      <w:r>
        <w:rPr>
          <w:rFonts w:hint="eastAsia"/>
          <w:sz w:val="24"/>
          <w:szCs w:val="28"/>
        </w:rPr>
        <w:t>一）</w:t>
      </w:r>
      <w:r>
        <w:rPr>
          <w:rFonts w:hint="eastAsia"/>
          <w:sz w:val="24"/>
          <w:szCs w:val="28"/>
        </w:rPr>
        <w:tab/>
      </w:r>
      <w:r>
        <w:rPr>
          <w:rFonts w:hint="eastAsia"/>
          <w:sz w:val="24"/>
          <w:szCs w:val="28"/>
        </w:rPr>
        <w:t>甲方根据相关法律、法规查扣车辆后，通知乙方移送车辆。</w:t>
      </w:r>
    </w:p>
    <w:p>
      <w:pPr>
        <w:pStyle w:val="258"/>
        <w:tabs>
          <w:tab w:val="left" w:pos="1250"/>
        </w:tabs>
        <w:autoSpaceDN/>
        <w:snapToGrid w:val="0"/>
        <w:ind w:firstLine="480"/>
        <w:rPr>
          <w:sz w:val="28"/>
          <w:szCs w:val="28"/>
        </w:rPr>
      </w:pPr>
      <w:bookmarkStart w:id="891" w:name="bookmark465"/>
      <w:r>
        <w:rPr>
          <w:rFonts w:hint="eastAsia"/>
          <w:sz w:val="24"/>
          <w:szCs w:val="28"/>
        </w:rPr>
        <w:t>（</w:t>
      </w:r>
      <w:bookmarkEnd w:id="891"/>
      <w:r>
        <w:rPr>
          <w:rFonts w:hint="eastAsia"/>
          <w:sz w:val="24"/>
          <w:szCs w:val="28"/>
        </w:rPr>
        <w:t>二）</w:t>
      </w:r>
      <w:r>
        <w:rPr>
          <w:rFonts w:hint="eastAsia"/>
          <w:sz w:val="24"/>
          <w:szCs w:val="28"/>
        </w:rPr>
        <w:tab/>
      </w:r>
      <w:r>
        <w:rPr>
          <w:rFonts w:hint="eastAsia"/>
          <w:sz w:val="24"/>
          <w:szCs w:val="28"/>
        </w:rPr>
        <w:t>乙方接到甲方通知后，应立即指派工作人员到现场接收并及时移送车辆，乙方工作人员需与甲方执法人员共同对车辆的车况、外观进行勘验，并点验车内物品，填写《</w:t>
      </w:r>
      <w:r>
        <w:rPr>
          <w:rFonts w:hint="eastAsia"/>
          <w:sz w:val="24"/>
          <w:szCs w:val="28"/>
          <w:lang w:val="en-US" w:eastAsia="zh-CN"/>
        </w:rPr>
        <w:t>执法暂扣车辆交接单</w:t>
      </w:r>
      <w:r>
        <w:rPr>
          <w:rFonts w:hint="eastAsia"/>
          <w:sz w:val="24"/>
          <w:szCs w:val="28"/>
        </w:rPr>
        <w:t>》。</w:t>
      </w:r>
    </w:p>
    <w:p>
      <w:pPr>
        <w:widowControl/>
        <w:snapToGrid w:val="0"/>
        <w:spacing w:line="360" w:lineRule="auto"/>
        <w:ind w:firstLine="480" w:firstLineChars="200"/>
        <w:jc w:val="left"/>
      </w:pPr>
      <w:bookmarkStart w:id="892" w:name="bookmark466"/>
      <w:r>
        <w:rPr>
          <w:rFonts w:hint="eastAsia"/>
          <w:sz w:val="24"/>
        </w:rPr>
        <w:t>（</w:t>
      </w:r>
      <w:bookmarkEnd w:id="892"/>
      <w:r>
        <w:rPr>
          <w:rFonts w:hint="eastAsia"/>
          <w:sz w:val="24"/>
        </w:rPr>
        <w:t>三）《执法暂扣车辆交接单》</w:t>
      </w:r>
      <w:r>
        <w:rPr>
          <w:rFonts w:hint="eastAsia" w:ascii="宋体" w:hAnsi="宋体" w:cs="宋体"/>
          <w:kern w:val="0"/>
          <w:sz w:val="24"/>
          <w:lang w:bidi="ar"/>
        </w:rPr>
        <w:t>应包括当事人姓名、车辆的车型、车号、车架号、车身颜色、车辆行驶公里数、车辆交接时间、交接地点、车内物品、车辆状况等要素。双方确认后，乙方及时将查扣车辆安全移送至停车场。</w:t>
      </w:r>
    </w:p>
    <w:p>
      <w:pPr>
        <w:pStyle w:val="258"/>
        <w:tabs>
          <w:tab w:val="left" w:pos="693"/>
        </w:tabs>
        <w:autoSpaceDN/>
        <w:snapToGrid w:val="0"/>
        <w:ind w:firstLine="480"/>
        <w:rPr>
          <w:sz w:val="24"/>
          <w:szCs w:val="28"/>
        </w:rPr>
      </w:pPr>
      <w:bookmarkStart w:id="893" w:name="bookmark467"/>
      <w:r>
        <w:rPr>
          <w:rFonts w:hint="eastAsia"/>
          <w:sz w:val="24"/>
          <w:szCs w:val="28"/>
        </w:rPr>
        <w:t>（</w:t>
      </w:r>
      <w:bookmarkEnd w:id="893"/>
      <w:r>
        <w:rPr>
          <w:rFonts w:hint="eastAsia"/>
          <w:sz w:val="24"/>
          <w:szCs w:val="28"/>
        </w:rPr>
        <w:t>四）</w:t>
      </w:r>
      <w:r>
        <w:rPr>
          <w:rFonts w:hint="eastAsia"/>
          <w:sz w:val="24"/>
          <w:szCs w:val="28"/>
        </w:rPr>
        <w:tab/>
      </w:r>
      <w:r>
        <w:rPr>
          <w:rFonts w:hint="eastAsia"/>
          <w:sz w:val="24"/>
          <w:szCs w:val="28"/>
        </w:rPr>
        <w:t>乙方移送执法暂扣车辆途中发生交通违章、交通事故、意外等情况,由乙方</w:t>
      </w:r>
      <w:r>
        <w:rPr>
          <w:rFonts w:hint="eastAsia"/>
          <w:sz w:val="24"/>
          <w:szCs w:val="28"/>
          <w:lang w:val="en-US" w:eastAsia="zh-CN"/>
        </w:rPr>
        <w:t>自行</w:t>
      </w:r>
      <w:r>
        <w:rPr>
          <w:rFonts w:hint="eastAsia"/>
          <w:sz w:val="24"/>
          <w:szCs w:val="28"/>
        </w:rPr>
        <w:t>承担责任。</w:t>
      </w:r>
      <w:bookmarkStart w:id="894" w:name="bookmark468"/>
    </w:p>
    <w:p>
      <w:pPr>
        <w:pStyle w:val="258"/>
        <w:tabs>
          <w:tab w:val="left" w:pos="693"/>
        </w:tabs>
        <w:autoSpaceDN/>
        <w:snapToGrid w:val="0"/>
        <w:ind w:firstLine="480"/>
        <w:rPr>
          <w:sz w:val="28"/>
          <w:szCs w:val="28"/>
        </w:rPr>
      </w:pPr>
      <w:r>
        <w:rPr>
          <w:rFonts w:hint="eastAsia"/>
          <w:sz w:val="24"/>
          <w:szCs w:val="28"/>
        </w:rPr>
        <w:t>（</w:t>
      </w:r>
      <w:bookmarkEnd w:id="894"/>
      <w:r>
        <w:rPr>
          <w:rFonts w:hint="eastAsia"/>
          <w:sz w:val="24"/>
          <w:szCs w:val="28"/>
        </w:rPr>
        <w:t>五）</w:t>
      </w:r>
      <w:r>
        <w:rPr>
          <w:rFonts w:hint="eastAsia"/>
          <w:sz w:val="24"/>
          <w:szCs w:val="28"/>
        </w:rPr>
        <w:tab/>
      </w:r>
      <w:r>
        <w:rPr>
          <w:rFonts w:hint="eastAsia"/>
          <w:sz w:val="24"/>
          <w:szCs w:val="28"/>
        </w:rPr>
        <w:t>车辆移送途中，不得搭乘违法当事人及其他人员；如遇拦抢等情况,乙方工作人员应立即报警，并及时报告甲方执法人员。</w:t>
      </w:r>
    </w:p>
    <w:p>
      <w:pPr>
        <w:pStyle w:val="258"/>
        <w:tabs>
          <w:tab w:val="left" w:pos="1149"/>
        </w:tabs>
        <w:autoSpaceDN/>
        <w:snapToGrid w:val="0"/>
        <w:ind w:firstLine="480"/>
        <w:rPr>
          <w:sz w:val="24"/>
          <w:szCs w:val="28"/>
          <w:lang w:val="en-US" w:eastAsia="zh-CN"/>
        </w:rPr>
      </w:pPr>
      <w:r>
        <w:rPr>
          <w:rFonts w:hint="eastAsia"/>
          <w:sz w:val="24"/>
          <w:szCs w:val="28"/>
          <w:lang w:eastAsia="zh-CN"/>
        </w:rPr>
        <w:t>（</w:t>
      </w:r>
      <w:r>
        <w:rPr>
          <w:rFonts w:hint="eastAsia"/>
          <w:sz w:val="24"/>
          <w:szCs w:val="28"/>
          <w:lang w:val="en-US" w:eastAsia="zh-CN"/>
        </w:rPr>
        <w:t>六）针对机挂分离的车辆，不分开计算，甲方以合同中确定的收费标准（按整车计算）向乙方支付停车保管费用，乙方应告知当事人相关保管责任。</w:t>
      </w:r>
    </w:p>
    <w:p>
      <w:pPr>
        <w:pStyle w:val="258"/>
        <w:tabs>
          <w:tab w:val="left" w:pos="1149"/>
        </w:tabs>
        <w:autoSpaceDN/>
        <w:snapToGrid w:val="0"/>
        <w:ind w:firstLine="480"/>
        <w:rPr>
          <w:sz w:val="24"/>
          <w:szCs w:val="28"/>
          <w:lang w:val="en-US" w:eastAsia="zh-CN"/>
        </w:rPr>
      </w:pPr>
      <w:r>
        <w:rPr>
          <w:rFonts w:hint="eastAsia"/>
          <w:sz w:val="24"/>
          <w:szCs w:val="28"/>
          <w:lang w:val="en-US" w:eastAsia="zh-CN"/>
        </w:rPr>
        <w:t>（七）由于拖车、吊车、装卸所产生的费用，依据《北京市发展和改革委员会北京市交通委员会北京市住房和城乡建设委员会关于本市停车收费管理有关问题的通知》京发改〔2015〕2688号，严格落实明码标价制度，在停车场醒目位置设置明码标价牌，由投标人与当事人自行协商解决，招标人只承担车辆保管费。</w:t>
      </w:r>
    </w:p>
    <w:p>
      <w:pPr>
        <w:pStyle w:val="258"/>
        <w:autoSpaceDN/>
        <w:snapToGrid w:val="0"/>
        <w:ind w:firstLine="480"/>
        <w:rPr>
          <w:sz w:val="28"/>
          <w:szCs w:val="28"/>
        </w:rPr>
      </w:pPr>
      <w:r>
        <w:rPr>
          <w:rFonts w:hint="eastAsia"/>
          <w:sz w:val="24"/>
          <w:szCs w:val="28"/>
        </w:rPr>
        <w:t>第</w:t>
      </w:r>
      <w:r>
        <w:rPr>
          <w:rFonts w:hint="eastAsia"/>
          <w:sz w:val="24"/>
          <w:szCs w:val="28"/>
          <w:lang w:val="en-US" w:eastAsia="zh-CN"/>
        </w:rPr>
        <w:t>八</w:t>
      </w:r>
      <w:r>
        <w:rPr>
          <w:rFonts w:hint="eastAsia"/>
          <w:sz w:val="24"/>
          <w:szCs w:val="28"/>
        </w:rPr>
        <w:t>条：执法暂扣车辆的发还</w:t>
      </w:r>
    </w:p>
    <w:p>
      <w:pPr>
        <w:pStyle w:val="258"/>
        <w:tabs>
          <w:tab w:val="left" w:pos="1213"/>
        </w:tabs>
        <w:autoSpaceDN/>
        <w:snapToGrid w:val="0"/>
        <w:ind w:firstLine="480"/>
        <w:rPr>
          <w:sz w:val="28"/>
          <w:szCs w:val="28"/>
        </w:rPr>
      </w:pPr>
      <w:bookmarkStart w:id="895" w:name="bookmark470"/>
      <w:r>
        <w:rPr>
          <w:rFonts w:hint="eastAsia"/>
          <w:sz w:val="24"/>
          <w:szCs w:val="28"/>
        </w:rPr>
        <w:t>（</w:t>
      </w:r>
      <w:bookmarkEnd w:id="895"/>
      <w:r>
        <w:rPr>
          <w:rFonts w:hint="eastAsia"/>
          <w:sz w:val="24"/>
          <w:szCs w:val="28"/>
        </w:rPr>
        <w:t>一）</w:t>
      </w:r>
      <w:r>
        <w:rPr>
          <w:rFonts w:hint="eastAsia"/>
          <w:sz w:val="24"/>
          <w:szCs w:val="28"/>
        </w:rPr>
        <w:tab/>
      </w:r>
      <w:r>
        <w:rPr>
          <w:rFonts w:hint="eastAsia"/>
          <w:sz w:val="24"/>
          <w:szCs w:val="28"/>
        </w:rPr>
        <w:t>执法暂扣车辆的违法当事人须持甲方相关执法</w:t>
      </w:r>
      <w:r>
        <w:rPr>
          <w:rFonts w:hint="eastAsia"/>
          <w:sz w:val="24"/>
          <w:szCs w:val="28"/>
          <w:lang w:eastAsia="zh-CN"/>
        </w:rPr>
        <w:t>分</w:t>
      </w:r>
      <w:r>
        <w:rPr>
          <w:rFonts w:hint="eastAsia"/>
          <w:sz w:val="24"/>
          <w:szCs w:val="28"/>
        </w:rPr>
        <w:t>队开具的《车辆领取通知书》及车辆相关证件到乙方停车场提取车辆。</w:t>
      </w:r>
    </w:p>
    <w:p>
      <w:pPr>
        <w:pStyle w:val="258"/>
        <w:tabs>
          <w:tab w:val="left" w:pos="1213"/>
        </w:tabs>
        <w:autoSpaceDN/>
        <w:snapToGrid w:val="0"/>
        <w:ind w:firstLine="480"/>
        <w:rPr>
          <w:sz w:val="28"/>
          <w:szCs w:val="28"/>
        </w:rPr>
      </w:pPr>
      <w:bookmarkStart w:id="896" w:name="bookmark471"/>
      <w:r>
        <w:rPr>
          <w:rFonts w:hint="eastAsia"/>
          <w:sz w:val="24"/>
          <w:szCs w:val="28"/>
        </w:rPr>
        <w:t>（</w:t>
      </w:r>
      <w:bookmarkEnd w:id="896"/>
      <w:r>
        <w:rPr>
          <w:rFonts w:hint="eastAsia"/>
          <w:sz w:val="24"/>
          <w:szCs w:val="28"/>
        </w:rPr>
        <w:t>二）</w:t>
      </w:r>
      <w:r>
        <w:rPr>
          <w:rFonts w:hint="eastAsia"/>
          <w:sz w:val="24"/>
          <w:szCs w:val="28"/>
        </w:rPr>
        <w:tab/>
      </w:r>
      <w:r>
        <w:rPr>
          <w:rFonts w:hint="eastAsia"/>
          <w:sz w:val="24"/>
          <w:szCs w:val="28"/>
        </w:rPr>
        <w:t>发还执法暂扣车辆时，乙方应当先与甲方相关执法</w:t>
      </w:r>
      <w:r>
        <w:rPr>
          <w:rFonts w:hint="eastAsia"/>
          <w:sz w:val="24"/>
          <w:szCs w:val="28"/>
          <w:lang w:eastAsia="zh-CN"/>
        </w:rPr>
        <w:t>分</w:t>
      </w:r>
      <w:r>
        <w:rPr>
          <w:rFonts w:hint="eastAsia"/>
          <w:sz w:val="24"/>
          <w:szCs w:val="28"/>
        </w:rPr>
        <w:t>队核对</w:t>
      </w:r>
      <w:r>
        <w:rPr>
          <w:rFonts w:hint="eastAsia"/>
          <w:sz w:val="24"/>
          <w:szCs w:val="28"/>
          <w:lang w:val="en-US" w:eastAsia="zh-CN"/>
        </w:rPr>
        <w:t>信息</w:t>
      </w:r>
      <w:r>
        <w:rPr>
          <w:rFonts w:hint="eastAsia"/>
          <w:sz w:val="24"/>
          <w:szCs w:val="28"/>
          <w:lang w:eastAsia="zh-CN"/>
        </w:rPr>
        <w:t>，</w:t>
      </w:r>
      <w:r>
        <w:rPr>
          <w:rFonts w:hint="eastAsia"/>
          <w:sz w:val="24"/>
          <w:szCs w:val="28"/>
        </w:rPr>
        <w:t>核对无误后，与违法当事人就执法暂扣车辆的车况和车内物品进行核对交接，违法当事人认可后在《车辆领取通知书》上签字，同时注明取车时间。</w:t>
      </w:r>
    </w:p>
    <w:p>
      <w:pPr>
        <w:pStyle w:val="258"/>
        <w:autoSpaceDN/>
        <w:snapToGrid w:val="0"/>
        <w:ind w:firstLine="480"/>
        <w:jc w:val="left"/>
        <w:rPr>
          <w:sz w:val="28"/>
          <w:szCs w:val="28"/>
        </w:rPr>
      </w:pPr>
      <w:r>
        <w:rPr>
          <w:rFonts w:hint="eastAsia"/>
          <w:sz w:val="24"/>
          <w:szCs w:val="28"/>
        </w:rPr>
        <w:t>第</w:t>
      </w:r>
      <w:r>
        <w:rPr>
          <w:rFonts w:hint="eastAsia"/>
          <w:sz w:val="24"/>
          <w:szCs w:val="28"/>
          <w:lang w:val="en-US" w:eastAsia="zh-CN"/>
        </w:rPr>
        <w:t>九</w:t>
      </w:r>
      <w:r>
        <w:rPr>
          <w:rFonts w:hint="eastAsia"/>
          <w:sz w:val="24"/>
          <w:szCs w:val="28"/>
        </w:rPr>
        <w:t>条：保管服务费的支付标准和方式</w:t>
      </w:r>
    </w:p>
    <w:p>
      <w:pPr>
        <w:pStyle w:val="258"/>
        <w:tabs>
          <w:tab w:val="left" w:pos="669"/>
        </w:tabs>
        <w:autoSpaceDN/>
        <w:snapToGrid w:val="0"/>
        <w:ind w:firstLine="480" w:firstLineChars="200"/>
        <w:rPr>
          <w:sz w:val="24"/>
          <w:szCs w:val="28"/>
        </w:rPr>
      </w:pPr>
      <w:bookmarkStart w:id="897" w:name="bookmark474"/>
      <w:r>
        <w:rPr>
          <w:rFonts w:hint="eastAsia"/>
          <w:sz w:val="24"/>
          <w:szCs w:val="28"/>
          <w:lang w:eastAsia="zh-CN"/>
        </w:rPr>
        <w:t>（</w:t>
      </w:r>
      <w:r>
        <w:rPr>
          <w:rFonts w:hint="eastAsia"/>
          <w:sz w:val="24"/>
          <w:szCs w:val="28"/>
          <w:lang w:val="en-US" w:eastAsia="zh-CN"/>
        </w:rPr>
        <w:t>一）</w:t>
      </w:r>
      <w:r>
        <w:rPr>
          <w:rFonts w:hint="eastAsia"/>
          <w:sz w:val="24"/>
          <w:szCs w:val="28"/>
        </w:rPr>
        <w:t>执法暂扣车辆停车保管费</w:t>
      </w:r>
      <w:r>
        <w:rPr>
          <w:rFonts w:hint="eastAsia"/>
          <w:sz w:val="24"/>
          <w:szCs w:val="28"/>
          <w:lang w:val="en-US" w:eastAsia="zh-CN"/>
        </w:rPr>
        <w:t>每月结算</w:t>
      </w:r>
      <w:r>
        <w:rPr>
          <w:rFonts w:hint="eastAsia"/>
          <w:sz w:val="24"/>
          <w:szCs w:val="28"/>
        </w:rPr>
        <w:t>。对于已发还的执法暂扣车辆，甲方以合同中确定的收费标准向乙方支付</w:t>
      </w:r>
      <w:r>
        <w:rPr>
          <w:rFonts w:hint="eastAsia"/>
          <w:sz w:val="24"/>
          <w:szCs w:val="28"/>
          <w:lang w:val="en-US" w:eastAsia="zh-CN"/>
        </w:rPr>
        <w:t>对应车型</w:t>
      </w:r>
      <w:r>
        <w:rPr>
          <w:rFonts w:hint="eastAsia"/>
          <w:sz w:val="24"/>
          <w:szCs w:val="28"/>
        </w:rPr>
        <w:t>的停车保管费用。</w:t>
      </w:r>
      <w:r>
        <w:rPr>
          <w:rFonts w:hint="eastAsia"/>
          <w:sz w:val="24"/>
          <w:szCs w:val="28"/>
          <w:lang w:val="en-US" w:eastAsia="zh-CN"/>
        </w:rPr>
        <w:t>根据车辆停放保管数量结算；对于延长扣押的车辆（停放天数大于30天，小于60天的）或滞留车辆（停放天数大于60天或长期不来接受处理的车辆）按单车停放保管费用计算，一次性支付。最终结算金额为实际停放车辆数量对应车型的停车保管费用，且最高不超过项目包预算，无其他额外费用。</w:t>
      </w:r>
    </w:p>
    <w:p>
      <w:pPr>
        <w:widowControl/>
        <w:snapToGrid w:val="0"/>
        <w:spacing w:line="360" w:lineRule="auto"/>
        <w:ind w:firstLine="480" w:firstLineChars="200"/>
        <w:jc w:val="left"/>
        <w:rPr>
          <w:sz w:val="24"/>
        </w:rPr>
      </w:pPr>
      <w:r>
        <w:rPr>
          <w:rFonts w:hint="eastAsia"/>
          <w:sz w:val="24"/>
        </w:rPr>
        <w:t>（二）乙方每月5日前持《执法暂扣车辆交接单》和《车辆领取通知书》</w:t>
      </w:r>
      <w:r>
        <w:rPr>
          <w:rFonts w:hint="eastAsia" w:ascii="宋体" w:hAnsi="宋体" w:cs="宋体"/>
          <w:kern w:val="0"/>
          <w:sz w:val="24"/>
          <w:lang w:bidi="ar"/>
        </w:rPr>
        <w:t>及放车明细表到相关执法分队进行核对</w:t>
      </w:r>
      <w:r>
        <w:rPr>
          <w:rFonts w:hint="eastAsia"/>
          <w:sz w:val="24"/>
        </w:rPr>
        <w:t>。核对无误后，由相关执法部门负责人签字确认。</w:t>
      </w:r>
      <w:r>
        <w:rPr>
          <w:rFonts w:hint="eastAsia" w:ascii="宋体" w:hAnsi="宋体" w:cs="宋体"/>
          <w:kern w:val="0"/>
          <w:sz w:val="24"/>
          <w:lang w:bidi="ar"/>
        </w:rPr>
        <w:t>乙方需将相关执法分队签字盖章确认的</w:t>
      </w:r>
      <w:r>
        <w:rPr>
          <w:rFonts w:hint="eastAsia"/>
          <w:sz w:val="24"/>
        </w:rPr>
        <w:t>《执法暂扣车辆交接单》和《车辆领取通知书》</w:t>
      </w:r>
      <w:r>
        <w:rPr>
          <w:rFonts w:hint="eastAsia" w:ascii="宋体" w:hAnsi="宋体" w:cs="宋体"/>
          <w:kern w:val="0"/>
          <w:sz w:val="24"/>
          <w:lang w:bidi="ar"/>
        </w:rPr>
        <w:t>及放车明细表制作成册，乙方持</w:t>
      </w:r>
      <w:r>
        <w:rPr>
          <w:rFonts w:hint="eastAsia"/>
          <w:sz w:val="24"/>
        </w:rPr>
        <w:t>《进出场登记表》（纸质材料及对应电子版材料）和发票，于每月规定时间内到甲方办理上月的执法暂扣车辆费用结算手续。</w:t>
      </w:r>
    </w:p>
    <w:tbl>
      <w:tblPr>
        <w:tblStyle w:val="56"/>
        <w:tblW w:w="8475" w:type="dxa"/>
        <w:tblInd w:w="0" w:type="dxa"/>
        <w:tblLayout w:type="fixed"/>
        <w:tblCellMar>
          <w:top w:w="0" w:type="dxa"/>
          <w:left w:w="0" w:type="dxa"/>
          <w:bottom w:w="0" w:type="dxa"/>
          <w:right w:w="0" w:type="dxa"/>
        </w:tblCellMar>
      </w:tblPr>
      <w:tblGrid>
        <w:gridCol w:w="950"/>
        <w:gridCol w:w="6328"/>
        <w:gridCol w:w="1197"/>
      </w:tblGrid>
      <w:tr>
        <w:tblPrEx>
          <w:tblLayout w:type="fixed"/>
          <w:tblCellMar>
            <w:top w:w="0" w:type="dxa"/>
            <w:left w:w="0" w:type="dxa"/>
            <w:bottom w:w="0" w:type="dxa"/>
            <w:right w:w="0" w:type="dxa"/>
          </w:tblCellMar>
        </w:tblPrEx>
        <w:trPr>
          <w:cantSplit/>
          <w:trHeight w:val="567" w:hRule="exact"/>
        </w:trPr>
        <w:tc>
          <w:tcPr>
            <w:tcW w:w="950"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center"/>
              <w:rPr>
                <w:rFonts w:ascii="宋体" w:hAnsi="宋体" w:cs="宋体"/>
                <w:sz w:val="24"/>
              </w:rPr>
            </w:pPr>
            <w:r>
              <w:rPr>
                <w:rFonts w:hint="eastAsia" w:ascii="宋体" w:hAnsi="宋体" w:cs="宋体"/>
                <w:sz w:val="24"/>
              </w:rPr>
              <w:t>序号</w:t>
            </w:r>
          </w:p>
        </w:tc>
        <w:tc>
          <w:tcPr>
            <w:tcW w:w="6328"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center"/>
              <w:rPr>
                <w:rFonts w:ascii="宋体" w:hAnsi="宋体" w:cs="宋体"/>
                <w:sz w:val="24"/>
              </w:rPr>
            </w:pPr>
            <w:r>
              <w:rPr>
                <w:rFonts w:hint="eastAsia" w:ascii="宋体" w:hAnsi="宋体" w:cs="宋体"/>
                <w:sz w:val="24"/>
              </w:rPr>
              <w:t>收费标准</w:t>
            </w:r>
          </w:p>
        </w:tc>
        <w:tc>
          <w:tcPr>
            <w:tcW w:w="1197"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center"/>
              <w:rPr>
                <w:rFonts w:ascii="宋体" w:hAnsi="宋体" w:cs="宋体"/>
                <w:sz w:val="24"/>
              </w:rPr>
            </w:pPr>
            <w:r>
              <w:rPr>
                <w:rFonts w:hint="eastAsia" w:ascii="宋体" w:hAnsi="宋体" w:cs="宋体"/>
                <w:sz w:val="24"/>
              </w:rPr>
              <w:t>备注</w:t>
            </w:r>
          </w:p>
        </w:tc>
      </w:tr>
      <w:tr>
        <w:tblPrEx>
          <w:tblLayout w:type="fixed"/>
          <w:tblCellMar>
            <w:top w:w="0" w:type="dxa"/>
            <w:left w:w="0" w:type="dxa"/>
            <w:bottom w:w="0" w:type="dxa"/>
            <w:right w:w="0" w:type="dxa"/>
          </w:tblCellMar>
        </w:tblPrEx>
        <w:trPr>
          <w:cantSplit/>
          <w:trHeight w:val="567" w:hRule="exact"/>
        </w:trPr>
        <w:tc>
          <w:tcPr>
            <w:tcW w:w="950"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center"/>
              <w:rPr>
                <w:rFonts w:ascii="宋体" w:hAnsi="宋体" w:cs="宋体"/>
                <w:sz w:val="24"/>
              </w:rPr>
            </w:pPr>
            <w:r>
              <w:rPr>
                <w:rFonts w:hint="eastAsia" w:ascii="宋体" w:hAnsi="宋体" w:cs="宋体"/>
                <w:sz w:val="24"/>
              </w:rPr>
              <w:t>1</w:t>
            </w:r>
          </w:p>
        </w:tc>
        <w:tc>
          <w:tcPr>
            <w:tcW w:w="6328"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lang w:bidi="en-US"/>
              </w:rPr>
            </w:pPr>
            <w:r>
              <w:rPr>
                <w:rFonts w:hint="eastAsia" w:ascii="宋体" w:hAnsi="宋体" w:cs="宋体"/>
                <w:sz w:val="24"/>
              </w:rPr>
              <w:t>大型车辆：</w:t>
            </w:r>
            <w:r>
              <w:rPr>
                <w:rFonts w:hint="eastAsia" w:ascii="宋体" w:hAnsi="宋体" w:cs="宋体"/>
                <w:sz w:val="24"/>
                <w:u w:val="single"/>
              </w:rPr>
              <w:t xml:space="preserve">￥        </w:t>
            </w:r>
            <w:r>
              <w:rPr>
                <w:rFonts w:hint="eastAsia" w:ascii="宋体" w:hAnsi="宋体" w:cs="宋体"/>
                <w:sz w:val="24"/>
              </w:rPr>
              <w:t>元/辆</w:t>
            </w:r>
          </w:p>
        </w:tc>
        <w:tc>
          <w:tcPr>
            <w:tcW w:w="1197"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rPr>
            </w:pPr>
          </w:p>
        </w:tc>
      </w:tr>
      <w:tr>
        <w:tblPrEx>
          <w:tblLayout w:type="fixed"/>
          <w:tblCellMar>
            <w:top w:w="0" w:type="dxa"/>
            <w:left w:w="0" w:type="dxa"/>
            <w:bottom w:w="0" w:type="dxa"/>
            <w:right w:w="0" w:type="dxa"/>
          </w:tblCellMar>
        </w:tblPrEx>
        <w:trPr>
          <w:cantSplit/>
          <w:trHeight w:val="567" w:hRule="exact"/>
        </w:trPr>
        <w:tc>
          <w:tcPr>
            <w:tcW w:w="950"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center"/>
              <w:rPr>
                <w:rFonts w:ascii="宋体" w:hAnsi="宋体" w:cs="宋体"/>
                <w:sz w:val="24"/>
              </w:rPr>
            </w:pPr>
            <w:r>
              <w:rPr>
                <w:rFonts w:hint="eastAsia" w:ascii="宋体" w:hAnsi="宋体" w:cs="宋体"/>
                <w:sz w:val="24"/>
              </w:rPr>
              <w:t>2</w:t>
            </w:r>
          </w:p>
        </w:tc>
        <w:tc>
          <w:tcPr>
            <w:tcW w:w="6328"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rPr>
            </w:pPr>
            <w:r>
              <w:rPr>
                <w:rFonts w:hint="eastAsia" w:ascii="宋体" w:hAnsi="宋体" w:cs="宋体"/>
                <w:kern w:val="0"/>
                <w:sz w:val="24"/>
              </w:rPr>
              <w:t>延长或滞留车</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元/辆</w:t>
            </w:r>
          </w:p>
        </w:tc>
        <w:tc>
          <w:tcPr>
            <w:tcW w:w="1197"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rPr>
            </w:pPr>
          </w:p>
        </w:tc>
      </w:tr>
      <w:tr>
        <w:tblPrEx>
          <w:tblLayout w:type="fixed"/>
          <w:tblCellMar>
            <w:top w:w="0" w:type="dxa"/>
            <w:left w:w="0" w:type="dxa"/>
            <w:bottom w:w="0" w:type="dxa"/>
            <w:right w:w="0" w:type="dxa"/>
          </w:tblCellMar>
        </w:tblPrEx>
        <w:trPr>
          <w:cantSplit/>
          <w:trHeight w:val="567" w:hRule="exact"/>
        </w:trPr>
        <w:tc>
          <w:tcPr>
            <w:tcW w:w="950"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center"/>
              <w:rPr>
                <w:rFonts w:ascii="宋体" w:hAnsi="宋体" w:cs="宋体"/>
                <w:sz w:val="24"/>
              </w:rPr>
            </w:pPr>
            <w:r>
              <w:rPr>
                <w:rFonts w:hint="eastAsia" w:ascii="宋体" w:hAnsi="宋体" w:cs="宋体"/>
                <w:sz w:val="24"/>
              </w:rPr>
              <w:t>3</w:t>
            </w:r>
          </w:p>
        </w:tc>
        <w:tc>
          <w:tcPr>
            <w:tcW w:w="6328"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lang w:bidi="en-US"/>
              </w:rPr>
            </w:pPr>
            <w:r>
              <w:rPr>
                <w:rFonts w:hint="eastAsia" w:ascii="宋体" w:hAnsi="宋体" w:cs="宋体"/>
                <w:sz w:val="24"/>
              </w:rPr>
              <w:t>小型车辆：</w:t>
            </w:r>
            <w:r>
              <w:rPr>
                <w:rFonts w:hint="eastAsia" w:ascii="宋体" w:hAnsi="宋体" w:cs="宋体"/>
                <w:sz w:val="24"/>
                <w:u w:val="single"/>
              </w:rPr>
              <w:t xml:space="preserve">￥        </w:t>
            </w:r>
            <w:r>
              <w:rPr>
                <w:rFonts w:hint="eastAsia" w:ascii="宋体" w:hAnsi="宋体" w:cs="宋体"/>
                <w:sz w:val="24"/>
              </w:rPr>
              <w:t>元/辆</w:t>
            </w:r>
          </w:p>
        </w:tc>
        <w:tc>
          <w:tcPr>
            <w:tcW w:w="1197"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rPr>
            </w:pPr>
          </w:p>
        </w:tc>
      </w:tr>
      <w:tr>
        <w:tblPrEx>
          <w:tblLayout w:type="fixed"/>
          <w:tblCellMar>
            <w:top w:w="0" w:type="dxa"/>
            <w:left w:w="0" w:type="dxa"/>
            <w:bottom w:w="0" w:type="dxa"/>
            <w:right w:w="0" w:type="dxa"/>
          </w:tblCellMar>
        </w:tblPrEx>
        <w:trPr>
          <w:cantSplit/>
          <w:trHeight w:val="567" w:hRule="exact"/>
        </w:trPr>
        <w:tc>
          <w:tcPr>
            <w:tcW w:w="950"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center"/>
              <w:rPr>
                <w:rFonts w:ascii="宋体" w:hAnsi="宋体" w:cs="宋体"/>
                <w:sz w:val="24"/>
              </w:rPr>
            </w:pPr>
            <w:r>
              <w:rPr>
                <w:rFonts w:hint="eastAsia" w:ascii="宋体" w:hAnsi="宋体" w:cs="宋体"/>
                <w:sz w:val="24"/>
              </w:rPr>
              <w:t>4</w:t>
            </w:r>
          </w:p>
        </w:tc>
        <w:tc>
          <w:tcPr>
            <w:tcW w:w="6328"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rPr>
            </w:pPr>
            <w:r>
              <w:rPr>
                <w:rFonts w:hint="eastAsia" w:ascii="宋体" w:hAnsi="宋体" w:cs="宋体"/>
                <w:kern w:val="0"/>
                <w:sz w:val="24"/>
              </w:rPr>
              <w:t>延长或滞留车</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元/辆</w:t>
            </w:r>
          </w:p>
        </w:tc>
        <w:tc>
          <w:tcPr>
            <w:tcW w:w="1197" w:type="dxa"/>
            <w:tcBorders>
              <w:top w:val="single" w:color="auto" w:sz="8" w:space="0"/>
              <w:left w:val="single" w:color="auto" w:sz="8" w:space="0"/>
              <w:bottom w:val="single" w:color="auto" w:sz="8" w:space="0"/>
              <w:right w:val="single" w:color="auto" w:sz="4" w:space="0"/>
            </w:tcBorders>
            <w:vAlign w:val="center"/>
          </w:tcPr>
          <w:p>
            <w:pPr>
              <w:tabs>
                <w:tab w:val="left" w:pos="5580"/>
              </w:tabs>
              <w:snapToGrid w:val="0"/>
              <w:spacing w:before="120" w:line="360" w:lineRule="auto"/>
              <w:jc w:val="left"/>
              <w:rPr>
                <w:rFonts w:ascii="宋体" w:hAnsi="宋体" w:cs="宋体"/>
                <w:sz w:val="24"/>
              </w:rPr>
            </w:pPr>
          </w:p>
        </w:tc>
      </w:tr>
    </w:tbl>
    <w:p>
      <w:pPr>
        <w:widowControl/>
        <w:snapToGrid w:val="0"/>
        <w:spacing w:line="360" w:lineRule="auto"/>
        <w:ind w:firstLine="480" w:firstLineChars="200"/>
        <w:jc w:val="left"/>
        <w:rPr>
          <w:sz w:val="24"/>
        </w:rPr>
      </w:pPr>
      <w:r>
        <w:rPr>
          <w:rFonts w:hint="eastAsia"/>
          <w:sz w:val="24"/>
        </w:rPr>
        <w:t>（三）对于长期不来接受处理，需要解体销毁的滞留执法暂扣车辆，由甲方组织履行车辆销毁程序。车辆销毁程序完成后，无论停放时间长短，根据每台车对应的车型，甲方以合同中确定的收费标准向乙方一次性支付单车停车保管费用。</w:t>
      </w:r>
      <w:r>
        <w:rPr>
          <w:rFonts w:hint="eastAsia" w:ascii="宋体" w:hAnsi="宋体" w:cs="宋体"/>
          <w:kern w:val="0"/>
          <w:sz w:val="24"/>
          <w:lang w:bidi="ar"/>
        </w:rPr>
        <w:t>乙方凭车辆销毁公告、车辆销毁明细表及收费发票，到甲方办理相关结算手续。</w:t>
      </w:r>
    </w:p>
    <w:p>
      <w:pPr>
        <w:pStyle w:val="258"/>
        <w:tabs>
          <w:tab w:val="left" w:pos="669"/>
        </w:tabs>
        <w:autoSpaceDN/>
        <w:snapToGrid w:val="0"/>
        <w:ind w:firstLine="480"/>
        <w:rPr>
          <w:sz w:val="24"/>
          <w:szCs w:val="28"/>
        </w:rPr>
      </w:pPr>
      <w:r>
        <w:rPr>
          <w:rFonts w:hint="eastAsia"/>
          <w:sz w:val="24"/>
          <w:szCs w:val="28"/>
        </w:rPr>
        <w:t>（</w:t>
      </w:r>
      <w:bookmarkEnd w:id="897"/>
      <w:r>
        <w:rPr>
          <w:rFonts w:hint="eastAsia"/>
          <w:sz w:val="24"/>
          <w:szCs w:val="28"/>
          <w:lang w:val="en-US" w:eastAsia="zh-CN"/>
        </w:rPr>
        <w:t>四</w:t>
      </w:r>
      <w:r>
        <w:rPr>
          <w:rFonts w:hint="eastAsia"/>
          <w:sz w:val="24"/>
          <w:szCs w:val="28"/>
        </w:rPr>
        <w:t>）</w:t>
      </w:r>
      <w:r>
        <w:rPr>
          <w:rFonts w:hint="eastAsia"/>
          <w:sz w:val="24"/>
          <w:szCs w:val="28"/>
        </w:rPr>
        <w:tab/>
      </w:r>
      <w:r>
        <w:rPr>
          <w:rFonts w:hint="eastAsia"/>
          <w:sz w:val="24"/>
          <w:szCs w:val="28"/>
        </w:rPr>
        <w:t>乙方在结算保管服务费时需提供完全符合财务制度要求的正规发票，填写乙方全称。严禁使用替代发票。</w:t>
      </w:r>
    </w:p>
    <w:p>
      <w:pPr>
        <w:pStyle w:val="258"/>
        <w:tabs>
          <w:tab w:val="left" w:pos="669"/>
        </w:tabs>
        <w:autoSpaceDN/>
        <w:snapToGrid w:val="0"/>
        <w:ind w:firstLine="480"/>
        <w:rPr>
          <w:sz w:val="24"/>
          <w:szCs w:val="28"/>
          <w:lang w:eastAsia="zh-CN"/>
        </w:rPr>
      </w:pPr>
      <w:r>
        <w:rPr>
          <w:rFonts w:hint="eastAsia"/>
          <w:sz w:val="24"/>
          <w:szCs w:val="28"/>
          <w:lang w:eastAsia="zh-CN"/>
        </w:rPr>
        <w:t>（</w:t>
      </w:r>
      <w:r>
        <w:rPr>
          <w:rFonts w:hint="eastAsia"/>
          <w:sz w:val="24"/>
          <w:szCs w:val="28"/>
          <w:lang w:val="en-US" w:eastAsia="zh-CN"/>
        </w:rPr>
        <w:t>五</w:t>
      </w:r>
      <w:r>
        <w:rPr>
          <w:rFonts w:hint="eastAsia"/>
          <w:sz w:val="24"/>
          <w:szCs w:val="28"/>
          <w:lang w:eastAsia="zh-CN"/>
        </w:rPr>
        <w:t>）因财政国库支付受限时，结算支付相应顺延，甲方不承担违约责任，但应当及时通知乙方。障碍消除后，甲方应当及时恢复支付。乙方不得因此延迟、暂停、拒绝、终止义务的履行。</w:t>
      </w:r>
    </w:p>
    <w:p>
      <w:pPr>
        <w:pStyle w:val="258"/>
        <w:autoSpaceDN/>
        <w:snapToGrid w:val="0"/>
        <w:ind w:firstLine="480"/>
        <w:rPr>
          <w:sz w:val="28"/>
          <w:szCs w:val="28"/>
        </w:rPr>
      </w:pPr>
      <w:r>
        <w:rPr>
          <w:rFonts w:hint="eastAsia"/>
          <w:sz w:val="24"/>
          <w:szCs w:val="28"/>
        </w:rPr>
        <w:t>第</w:t>
      </w:r>
      <w:r>
        <w:rPr>
          <w:rFonts w:hint="eastAsia"/>
          <w:sz w:val="24"/>
          <w:szCs w:val="28"/>
          <w:lang w:val="en-US" w:eastAsia="zh-CN"/>
        </w:rPr>
        <w:t>十</w:t>
      </w:r>
      <w:r>
        <w:rPr>
          <w:rFonts w:hint="eastAsia"/>
          <w:sz w:val="24"/>
          <w:szCs w:val="28"/>
        </w:rPr>
        <w:t>条：合同的违约、终止和解除</w:t>
      </w:r>
    </w:p>
    <w:p>
      <w:pPr>
        <w:pStyle w:val="258"/>
        <w:autoSpaceDN/>
        <w:snapToGrid w:val="0"/>
        <w:ind w:firstLine="480"/>
        <w:rPr>
          <w:sz w:val="28"/>
          <w:szCs w:val="28"/>
        </w:rPr>
      </w:pPr>
      <w:r>
        <w:rPr>
          <w:rFonts w:hint="eastAsia"/>
          <w:sz w:val="24"/>
          <w:szCs w:val="28"/>
        </w:rPr>
        <w:t>（一）合同的违约</w:t>
      </w:r>
    </w:p>
    <w:p>
      <w:pPr>
        <w:pStyle w:val="258"/>
        <w:autoSpaceDN/>
        <w:snapToGrid w:val="0"/>
        <w:ind w:firstLine="480"/>
        <w:rPr>
          <w:sz w:val="28"/>
          <w:szCs w:val="28"/>
        </w:rPr>
      </w:pPr>
      <w:r>
        <w:rPr>
          <w:rFonts w:hint="eastAsia"/>
          <w:sz w:val="24"/>
          <w:szCs w:val="28"/>
        </w:rPr>
        <w:t>乙方存在包括但不限于以下情形之一的，应立即改正，甲方视情节可以暂停执行</w:t>
      </w:r>
      <w:r>
        <w:rPr>
          <w:rFonts w:hint="eastAsia"/>
          <w:sz w:val="24"/>
          <w:szCs w:val="28"/>
          <w:lang w:val="en-US" w:eastAsia="zh-CN"/>
        </w:rPr>
        <w:t>合同一到三个月</w:t>
      </w:r>
      <w:r>
        <w:rPr>
          <w:rFonts w:hint="eastAsia"/>
          <w:sz w:val="24"/>
          <w:szCs w:val="28"/>
        </w:rPr>
        <w:t>情节严重的解除本合同（暂停执行合同期间，甲方将停止向乙方存入执法暂扣车辆并暂停结算保管服务费）或解除本合同，乙方并将承担违约所带来的赔偿责任。</w:t>
      </w:r>
    </w:p>
    <w:p>
      <w:pPr>
        <w:pStyle w:val="258"/>
        <w:tabs>
          <w:tab w:val="left" w:pos="872"/>
        </w:tabs>
        <w:autoSpaceDN/>
        <w:snapToGrid w:val="0"/>
        <w:ind w:firstLine="480"/>
        <w:rPr>
          <w:sz w:val="28"/>
          <w:szCs w:val="28"/>
        </w:rPr>
      </w:pPr>
      <w:bookmarkStart w:id="898" w:name="bookmark478"/>
      <w:r>
        <w:rPr>
          <w:rFonts w:hint="eastAsia"/>
          <w:sz w:val="24"/>
          <w:szCs w:val="28"/>
        </w:rPr>
        <w:t>1</w:t>
      </w:r>
      <w:bookmarkEnd w:id="898"/>
      <w:r>
        <w:rPr>
          <w:rFonts w:hint="eastAsia"/>
          <w:sz w:val="24"/>
          <w:szCs w:val="28"/>
        </w:rPr>
        <w:t>、</w:t>
      </w:r>
      <w:r>
        <w:rPr>
          <w:rFonts w:hint="eastAsia"/>
          <w:sz w:val="24"/>
          <w:szCs w:val="28"/>
        </w:rPr>
        <w:tab/>
      </w:r>
      <w:r>
        <w:rPr>
          <w:rFonts w:hint="eastAsia"/>
          <w:sz w:val="24"/>
          <w:szCs w:val="28"/>
        </w:rPr>
        <w:t>擅自挪用、处置执法暂扣车辆的；</w:t>
      </w:r>
    </w:p>
    <w:p>
      <w:pPr>
        <w:pStyle w:val="258"/>
        <w:tabs>
          <w:tab w:val="left" w:pos="872"/>
        </w:tabs>
        <w:autoSpaceDN/>
        <w:snapToGrid w:val="0"/>
        <w:ind w:firstLine="480"/>
        <w:rPr>
          <w:sz w:val="28"/>
          <w:szCs w:val="28"/>
        </w:rPr>
      </w:pPr>
      <w:bookmarkStart w:id="899" w:name="bookmark479"/>
      <w:r>
        <w:rPr>
          <w:rFonts w:hint="eastAsia"/>
          <w:sz w:val="24"/>
          <w:szCs w:val="28"/>
        </w:rPr>
        <w:t>2</w:t>
      </w:r>
      <w:bookmarkEnd w:id="899"/>
      <w:r>
        <w:rPr>
          <w:rFonts w:hint="eastAsia"/>
          <w:sz w:val="24"/>
          <w:szCs w:val="28"/>
        </w:rPr>
        <w:t>、</w:t>
      </w:r>
      <w:r>
        <w:rPr>
          <w:rFonts w:hint="eastAsia"/>
          <w:sz w:val="24"/>
          <w:szCs w:val="28"/>
        </w:rPr>
        <w:tab/>
      </w:r>
      <w:r>
        <w:rPr>
          <w:rFonts w:hint="eastAsia"/>
          <w:sz w:val="24"/>
          <w:szCs w:val="28"/>
          <w:lang w:eastAsia="zh-CN"/>
        </w:rPr>
        <w:t>调</w:t>
      </w:r>
      <w:r>
        <w:rPr>
          <w:rFonts w:hint="eastAsia"/>
          <w:sz w:val="24"/>
          <w:szCs w:val="28"/>
        </w:rPr>
        <w:t>换、私放执法暂扣车辆的；</w:t>
      </w:r>
    </w:p>
    <w:p>
      <w:pPr>
        <w:pStyle w:val="258"/>
        <w:tabs>
          <w:tab w:val="left" w:pos="872"/>
        </w:tabs>
        <w:autoSpaceDN/>
        <w:snapToGrid w:val="0"/>
        <w:ind w:firstLine="480"/>
        <w:rPr>
          <w:sz w:val="28"/>
          <w:szCs w:val="28"/>
        </w:rPr>
      </w:pPr>
      <w:bookmarkStart w:id="900" w:name="bookmark480"/>
      <w:r>
        <w:rPr>
          <w:rFonts w:hint="eastAsia"/>
          <w:sz w:val="24"/>
          <w:szCs w:val="28"/>
        </w:rPr>
        <w:t>3</w:t>
      </w:r>
      <w:bookmarkEnd w:id="900"/>
      <w:r>
        <w:rPr>
          <w:rFonts w:hint="eastAsia"/>
          <w:sz w:val="24"/>
          <w:szCs w:val="28"/>
        </w:rPr>
        <w:t>、</w:t>
      </w:r>
      <w:r>
        <w:rPr>
          <w:rFonts w:hint="eastAsia"/>
          <w:sz w:val="24"/>
          <w:szCs w:val="28"/>
        </w:rPr>
        <w:tab/>
      </w:r>
      <w:r>
        <w:rPr>
          <w:rFonts w:hint="eastAsia"/>
          <w:sz w:val="24"/>
          <w:szCs w:val="28"/>
        </w:rPr>
        <w:t>挪用执法暂扣车辆号牌的；</w:t>
      </w:r>
    </w:p>
    <w:p>
      <w:pPr>
        <w:pStyle w:val="258"/>
        <w:tabs>
          <w:tab w:val="left" w:pos="877"/>
        </w:tabs>
        <w:autoSpaceDN/>
        <w:snapToGrid w:val="0"/>
        <w:ind w:firstLine="480"/>
        <w:rPr>
          <w:sz w:val="28"/>
          <w:szCs w:val="28"/>
        </w:rPr>
      </w:pPr>
      <w:bookmarkStart w:id="901" w:name="bookmark481"/>
      <w:r>
        <w:rPr>
          <w:rFonts w:hint="eastAsia"/>
          <w:sz w:val="24"/>
          <w:szCs w:val="28"/>
        </w:rPr>
        <w:t>4</w:t>
      </w:r>
      <w:bookmarkEnd w:id="901"/>
      <w:r>
        <w:rPr>
          <w:rFonts w:hint="eastAsia"/>
          <w:sz w:val="24"/>
          <w:szCs w:val="28"/>
        </w:rPr>
        <w:t>、</w:t>
      </w:r>
      <w:r>
        <w:rPr>
          <w:rFonts w:hint="eastAsia"/>
          <w:sz w:val="24"/>
          <w:szCs w:val="28"/>
        </w:rPr>
        <w:tab/>
      </w:r>
      <w:r>
        <w:rPr>
          <w:rFonts w:hint="eastAsia"/>
          <w:sz w:val="24"/>
          <w:szCs w:val="28"/>
        </w:rPr>
        <w:t>私拆执法暂扣车辆零部件的；</w:t>
      </w:r>
    </w:p>
    <w:p>
      <w:pPr>
        <w:pStyle w:val="258"/>
        <w:tabs>
          <w:tab w:val="left" w:pos="882"/>
        </w:tabs>
        <w:autoSpaceDN/>
        <w:snapToGrid w:val="0"/>
        <w:ind w:firstLine="480"/>
        <w:rPr>
          <w:sz w:val="28"/>
          <w:szCs w:val="28"/>
        </w:rPr>
      </w:pPr>
      <w:bookmarkStart w:id="902" w:name="bookmark482"/>
      <w:r>
        <w:rPr>
          <w:rFonts w:hint="eastAsia"/>
          <w:sz w:val="24"/>
          <w:szCs w:val="28"/>
        </w:rPr>
        <w:t>5</w:t>
      </w:r>
      <w:bookmarkEnd w:id="902"/>
      <w:r>
        <w:rPr>
          <w:rFonts w:hint="eastAsia"/>
          <w:sz w:val="24"/>
          <w:szCs w:val="28"/>
        </w:rPr>
        <w:t>、</w:t>
      </w:r>
      <w:r>
        <w:rPr>
          <w:rFonts w:hint="eastAsia"/>
          <w:sz w:val="24"/>
          <w:szCs w:val="28"/>
        </w:rPr>
        <w:tab/>
      </w:r>
      <w:r>
        <w:rPr>
          <w:rFonts w:hint="eastAsia"/>
          <w:sz w:val="24"/>
          <w:szCs w:val="28"/>
        </w:rPr>
        <w:t>执法暂扣车辆屡次被骗取、冒领的；</w:t>
      </w:r>
    </w:p>
    <w:p>
      <w:pPr>
        <w:pStyle w:val="258"/>
        <w:tabs>
          <w:tab w:val="left" w:pos="877"/>
        </w:tabs>
        <w:autoSpaceDN/>
        <w:snapToGrid w:val="0"/>
        <w:ind w:firstLine="480"/>
        <w:rPr>
          <w:sz w:val="28"/>
          <w:szCs w:val="28"/>
        </w:rPr>
      </w:pPr>
      <w:bookmarkStart w:id="903" w:name="bookmark483"/>
      <w:r>
        <w:rPr>
          <w:rFonts w:hint="eastAsia"/>
          <w:sz w:val="24"/>
          <w:szCs w:val="28"/>
        </w:rPr>
        <w:t>6</w:t>
      </w:r>
      <w:bookmarkEnd w:id="903"/>
      <w:r>
        <w:rPr>
          <w:rFonts w:hint="eastAsia"/>
          <w:sz w:val="24"/>
          <w:szCs w:val="28"/>
        </w:rPr>
        <w:t>、</w:t>
      </w:r>
      <w:r>
        <w:rPr>
          <w:rFonts w:hint="eastAsia"/>
          <w:sz w:val="24"/>
          <w:szCs w:val="28"/>
        </w:rPr>
        <w:tab/>
      </w:r>
      <w:r>
        <w:rPr>
          <w:rFonts w:hint="eastAsia"/>
          <w:sz w:val="24"/>
          <w:szCs w:val="28"/>
        </w:rPr>
        <w:t>执法暂扣车辆丢失或者严重损毁的，执法暂扣车辆转移、存放、保管期间发生车辆损毁后乙方拒绝承担赔偿责任的；</w:t>
      </w:r>
    </w:p>
    <w:p>
      <w:pPr>
        <w:pStyle w:val="258"/>
        <w:tabs>
          <w:tab w:val="left" w:pos="882"/>
        </w:tabs>
        <w:autoSpaceDN/>
        <w:snapToGrid w:val="0"/>
        <w:ind w:firstLine="480"/>
        <w:rPr>
          <w:sz w:val="28"/>
          <w:szCs w:val="28"/>
        </w:rPr>
      </w:pPr>
      <w:bookmarkStart w:id="904" w:name="bookmark484"/>
      <w:r>
        <w:rPr>
          <w:rFonts w:hint="eastAsia"/>
          <w:sz w:val="24"/>
          <w:szCs w:val="28"/>
        </w:rPr>
        <w:t>7</w:t>
      </w:r>
      <w:bookmarkEnd w:id="904"/>
      <w:r>
        <w:rPr>
          <w:rFonts w:hint="eastAsia"/>
          <w:sz w:val="24"/>
          <w:szCs w:val="28"/>
        </w:rPr>
        <w:t>、</w:t>
      </w:r>
      <w:r>
        <w:rPr>
          <w:rFonts w:hint="eastAsia"/>
          <w:sz w:val="24"/>
          <w:szCs w:val="28"/>
        </w:rPr>
        <w:tab/>
      </w:r>
      <w:r>
        <w:rPr>
          <w:rFonts w:hint="eastAsia"/>
          <w:sz w:val="24"/>
          <w:szCs w:val="28"/>
        </w:rPr>
        <w:t>向当事人收取</w:t>
      </w:r>
      <w:r>
        <w:rPr>
          <w:rFonts w:hint="eastAsia"/>
          <w:sz w:val="24"/>
          <w:szCs w:val="28"/>
          <w:lang w:val="en-US" w:eastAsia="zh-CN"/>
        </w:rPr>
        <w:t>不合理</w:t>
      </w:r>
      <w:r>
        <w:rPr>
          <w:rFonts w:hint="eastAsia"/>
          <w:sz w:val="24"/>
          <w:szCs w:val="28"/>
        </w:rPr>
        <w:t>费用，情节严重的；</w:t>
      </w:r>
    </w:p>
    <w:p>
      <w:pPr>
        <w:pStyle w:val="258"/>
        <w:tabs>
          <w:tab w:val="left" w:pos="397"/>
        </w:tabs>
        <w:autoSpaceDN/>
        <w:snapToGrid w:val="0"/>
        <w:ind w:firstLine="480"/>
        <w:rPr>
          <w:sz w:val="28"/>
          <w:szCs w:val="28"/>
        </w:rPr>
      </w:pPr>
      <w:bookmarkStart w:id="905" w:name="bookmark485"/>
      <w:r>
        <w:rPr>
          <w:rFonts w:hint="eastAsia"/>
          <w:sz w:val="24"/>
          <w:szCs w:val="28"/>
        </w:rPr>
        <w:t>8</w:t>
      </w:r>
      <w:bookmarkEnd w:id="905"/>
      <w:r>
        <w:rPr>
          <w:rFonts w:hint="eastAsia"/>
          <w:sz w:val="24"/>
          <w:szCs w:val="28"/>
        </w:rPr>
        <w:t>、结算保管服务服务费时，使用假发票或违反财务规定、制度的；</w:t>
      </w:r>
    </w:p>
    <w:p>
      <w:pPr>
        <w:pStyle w:val="258"/>
        <w:tabs>
          <w:tab w:val="left" w:pos="894"/>
        </w:tabs>
        <w:autoSpaceDN/>
        <w:snapToGrid w:val="0"/>
        <w:ind w:firstLine="500"/>
        <w:rPr>
          <w:sz w:val="28"/>
          <w:szCs w:val="28"/>
        </w:rPr>
      </w:pPr>
      <w:bookmarkStart w:id="906" w:name="bookmark486"/>
      <w:r>
        <w:rPr>
          <w:rFonts w:hint="eastAsia"/>
          <w:sz w:val="24"/>
          <w:szCs w:val="28"/>
        </w:rPr>
        <w:t>9</w:t>
      </w:r>
      <w:bookmarkEnd w:id="906"/>
      <w:r>
        <w:rPr>
          <w:rFonts w:hint="eastAsia"/>
          <w:sz w:val="24"/>
          <w:szCs w:val="28"/>
        </w:rPr>
        <w:t>、</w:t>
      </w:r>
      <w:r>
        <w:rPr>
          <w:rFonts w:hint="eastAsia"/>
          <w:sz w:val="24"/>
          <w:szCs w:val="28"/>
        </w:rPr>
        <w:tab/>
      </w:r>
      <w:r>
        <w:rPr>
          <w:rFonts w:hint="eastAsia"/>
          <w:sz w:val="24"/>
          <w:szCs w:val="28"/>
        </w:rPr>
        <w:t>不接受甲方调派、监督、管理的；</w:t>
      </w:r>
    </w:p>
    <w:p>
      <w:pPr>
        <w:pStyle w:val="258"/>
        <w:tabs>
          <w:tab w:val="left" w:pos="986"/>
        </w:tabs>
        <w:autoSpaceDN/>
        <w:snapToGrid w:val="0"/>
        <w:ind w:firstLine="500"/>
        <w:rPr>
          <w:sz w:val="28"/>
          <w:szCs w:val="28"/>
        </w:rPr>
      </w:pPr>
      <w:bookmarkStart w:id="907" w:name="bookmark487"/>
      <w:r>
        <w:rPr>
          <w:rFonts w:hint="eastAsia"/>
          <w:sz w:val="24"/>
          <w:szCs w:val="28"/>
        </w:rPr>
        <w:t>1</w:t>
      </w:r>
      <w:bookmarkEnd w:id="907"/>
      <w:r>
        <w:rPr>
          <w:rFonts w:hint="eastAsia"/>
          <w:sz w:val="24"/>
          <w:szCs w:val="28"/>
        </w:rPr>
        <w:t>0、</w:t>
      </w:r>
      <w:r>
        <w:rPr>
          <w:rFonts w:hint="eastAsia"/>
          <w:sz w:val="24"/>
          <w:szCs w:val="28"/>
        </w:rPr>
        <w:tab/>
      </w:r>
      <w:r>
        <w:rPr>
          <w:rFonts w:hint="eastAsia"/>
          <w:sz w:val="24"/>
          <w:szCs w:val="28"/>
        </w:rPr>
        <w:t>停车场使用不符合规定条件要求的工作人员、使用未签订正式的劳动合同或未与劳务派遣公司签订劳务派遣合同的工作人员或未按规定给工作人员缴纳社会保险的；</w:t>
      </w:r>
    </w:p>
    <w:p>
      <w:pPr>
        <w:pStyle w:val="258"/>
        <w:tabs>
          <w:tab w:val="left" w:pos="991"/>
        </w:tabs>
        <w:autoSpaceDN/>
        <w:snapToGrid w:val="0"/>
        <w:ind w:firstLine="500"/>
        <w:rPr>
          <w:sz w:val="24"/>
          <w:szCs w:val="28"/>
        </w:rPr>
      </w:pPr>
      <w:bookmarkStart w:id="908" w:name="bookmark488"/>
      <w:r>
        <w:rPr>
          <w:rFonts w:hint="eastAsia"/>
          <w:sz w:val="24"/>
          <w:szCs w:val="28"/>
        </w:rPr>
        <w:t>1</w:t>
      </w:r>
      <w:bookmarkEnd w:id="908"/>
      <w:r>
        <w:rPr>
          <w:rFonts w:hint="eastAsia"/>
          <w:sz w:val="24"/>
          <w:szCs w:val="28"/>
        </w:rPr>
        <w:t>1、</w:t>
      </w:r>
      <w:r>
        <w:rPr>
          <w:rFonts w:hint="eastAsia"/>
          <w:sz w:val="24"/>
          <w:szCs w:val="28"/>
        </w:rPr>
        <w:tab/>
      </w:r>
      <w:r>
        <w:rPr>
          <w:rFonts w:hint="eastAsia"/>
          <w:sz w:val="24"/>
          <w:szCs w:val="28"/>
        </w:rPr>
        <w:t>未经甲方批准擅自变更停车场地址、用途的；</w:t>
      </w:r>
    </w:p>
    <w:p>
      <w:pPr>
        <w:pStyle w:val="258"/>
        <w:tabs>
          <w:tab w:val="left" w:pos="991"/>
        </w:tabs>
        <w:autoSpaceDN/>
        <w:snapToGrid w:val="0"/>
        <w:ind w:firstLine="500"/>
        <w:rPr>
          <w:sz w:val="28"/>
          <w:szCs w:val="28"/>
        </w:rPr>
      </w:pPr>
      <w:r>
        <w:rPr>
          <w:rFonts w:hint="eastAsia"/>
          <w:sz w:val="24"/>
          <w:szCs w:val="28"/>
          <w:lang w:val="en-US" w:eastAsia="zh-CN"/>
        </w:rPr>
        <w:t>12、</w:t>
      </w:r>
      <w:r>
        <w:rPr>
          <w:rFonts w:hint="eastAsia"/>
          <w:sz w:val="24"/>
          <w:szCs w:val="28"/>
        </w:rPr>
        <w:t>《北京市公共停车场经营备案证》未按期年审或年审未通过的；</w:t>
      </w:r>
    </w:p>
    <w:p>
      <w:pPr>
        <w:pStyle w:val="258"/>
        <w:tabs>
          <w:tab w:val="left" w:pos="992"/>
        </w:tabs>
        <w:autoSpaceDN/>
        <w:snapToGrid w:val="0"/>
        <w:ind w:firstLine="500"/>
        <w:rPr>
          <w:sz w:val="28"/>
          <w:szCs w:val="28"/>
        </w:rPr>
      </w:pPr>
      <w:bookmarkStart w:id="909" w:name="bookmark489"/>
      <w:r>
        <w:rPr>
          <w:rFonts w:hint="eastAsia"/>
          <w:sz w:val="24"/>
          <w:szCs w:val="28"/>
        </w:rPr>
        <w:t>1</w:t>
      </w:r>
      <w:bookmarkEnd w:id="909"/>
      <w:r>
        <w:rPr>
          <w:rFonts w:hint="eastAsia"/>
          <w:sz w:val="24"/>
          <w:szCs w:val="28"/>
          <w:lang w:val="en-US" w:eastAsia="zh-CN"/>
        </w:rPr>
        <w:t>3</w:t>
      </w:r>
      <w:r>
        <w:rPr>
          <w:rFonts w:hint="eastAsia"/>
          <w:sz w:val="24"/>
          <w:szCs w:val="28"/>
        </w:rPr>
        <w:t>、</w:t>
      </w:r>
      <w:r>
        <w:rPr>
          <w:rFonts w:hint="eastAsia"/>
          <w:sz w:val="24"/>
          <w:szCs w:val="28"/>
        </w:rPr>
        <w:tab/>
      </w:r>
      <w:r>
        <w:rPr>
          <w:rFonts w:hint="eastAsia"/>
          <w:sz w:val="24"/>
          <w:szCs w:val="28"/>
        </w:rPr>
        <w:t>无法按原承诺标准提供服务的；</w:t>
      </w:r>
    </w:p>
    <w:p>
      <w:pPr>
        <w:pStyle w:val="258"/>
        <w:tabs>
          <w:tab w:val="left" w:pos="991"/>
        </w:tabs>
        <w:autoSpaceDN/>
        <w:snapToGrid w:val="0"/>
        <w:ind w:firstLine="500"/>
        <w:rPr>
          <w:sz w:val="28"/>
          <w:szCs w:val="28"/>
        </w:rPr>
      </w:pPr>
      <w:bookmarkStart w:id="910" w:name="bookmark490"/>
      <w:r>
        <w:rPr>
          <w:rFonts w:hint="eastAsia"/>
          <w:sz w:val="24"/>
          <w:szCs w:val="28"/>
        </w:rPr>
        <w:t>1</w:t>
      </w:r>
      <w:bookmarkEnd w:id="910"/>
      <w:r>
        <w:rPr>
          <w:rFonts w:hint="eastAsia"/>
          <w:sz w:val="24"/>
          <w:szCs w:val="28"/>
          <w:lang w:val="en-US" w:eastAsia="zh-CN"/>
        </w:rPr>
        <w:t>4</w:t>
      </w:r>
      <w:r>
        <w:rPr>
          <w:rFonts w:hint="eastAsia"/>
          <w:sz w:val="24"/>
          <w:szCs w:val="28"/>
        </w:rPr>
        <w:t>、</w:t>
      </w:r>
      <w:r>
        <w:rPr>
          <w:rFonts w:hint="eastAsia"/>
          <w:sz w:val="24"/>
          <w:szCs w:val="28"/>
        </w:rPr>
        <w:tab/>
      </w:r>
      <w:r>
        <w:rPr>
          <w:rFonts w:hint="eastAsia"/>
          <w:sz w:val="24"/>
          <w:szCs w:val="28"/>
        </w:rPr>
        <w:t>存在其它严重违纪违法行为，或者上述多种违约情形同时存在的。</w:t>
      </w:r>
    </w:p>
    <w:p>
      <w:pPr>
        <w:pStyle w:val="258"/>
        <w:autoSpaceDN/>
        <w:snapToGrid w:val="0"/>
        <w:ind w:firstLine="500"/>
        <w:rPr>
          <w:sz w:val="28"/>
          <w:szCs w:val="28"/>
        </w:rPr>
      </w:pPr>
      <w:r>
        <w:rPr>
          <w:rFonts w:hint="eastAsia"/>
          <w:sz w:val="24"/>
          <w:szCs w:val="28"/>
        </w:rPr>
        <w:t>（二）合同的终止及解除</w:t>
      </w:r>
    </w:p>
    <w:p>
      <w:pPr>
        <w:pStyle w:val="258"/>
        <w:tabs>
          <w:tab w:val="left" w:pos="894"/>
        </w:tabs>
        <w:autoSpaceDN/>
        <w:snapToGrid w:val="0"/>
        <w:ind w:firstLine="500"/>
        <w:rPr>
          <w:sz w:val="28"/>
          <w:szCs w:val="28"/>
        </w:rPr>
      </w:pPr>
      <w:bookmarkStart w:id="911" w:name="bookmark492"/>
      <w:r>
        <w:rPr>
          <w:rFonts w:hint="eastAsia"/>
          <w:sz w:val="24"/>
          <w:szCs w:val="28"/>
        </w:rPr>
        <w:t>1</w:t>
      </w:r>
      <w:bookmarkEnd w:id="911"/>
      <w:r>
        <w:rPr>
          <w:rFonts w:hint="eastAsia"/>
          <w:sz w:val="24"/>
          <w:szCs w:val="28"/>
        </w:rPr>
        <w:t>、</w:t>
      </w:r>
      <w:r>
        <w:rPr>
          <w:rFonts w:hint="eastAsia"/>
          <w:sz w:val="24"/>
          <w:szCs w:val="28"/>
        </w:rPr>
        <w:tab/>
      </w:r>
      <w:r>
        <w:rPr>
          <w:rFonts w:hint="eastAsia"/>
          <w:sz w:val="24"/>
          <w:szCs w:val="28"/>
        </w:rPr>
        <w:t>甲乙双方协商一致，并签订终止协议后，可以终止本合同。</w:t>
      </w:r>
    </w:p>
    <w:p>
      <w:pPr>
        <w:pStyle w:val="258"/>
        <w:tabs>
          <w:tab w:val="left" w:pos="894"/>
        </w:tabs>
        <w:autoSpaceDN/>
        <w:snapToGrid w:val="0"/>
        <w:ind w:firstLine="500"/>
        <w:rPr>
          <w:sz w:val="28"/>
          <w:szCs w:val="28"/>
        </w:rPr>
      </w:pPr>
      <w:bookmarkStart w:id="912" w:name="bookmark493"/>
      <w:r>
        <w:rPr>
          <w:rFonts w:hint="eastAsia"/>
          <w:sz w:val="24"/>
          <w:szCs w:val="28"/>
        </w:rPr>
        <w:t>2</w:t>
      </w:r>
      <w:bookmarkEnd w:id="912"/>
      <w:r>
        <w:rPr>
          <w:rFonts w:hint="eastAsia"/>
          <w:sz w:val="24"/>
          <w:szCs w:val="28"/>
        </w:rPr>
        <w:t>、</w:t>
      </w:r>
      <w:r>
        <w:rPr>
          <w:rFonts w:hint="eastAsia"/>
          <w:sz w:val="24"/>
          <w:szCs w:val="28"/>
        </w:rPr>
        <w:tab/>
      </w:r>
      <w:r>
        <w:rPr>
          <w:rFonts w:hint="eastAsia"/>
          <w:sz w:val="24"/>
          <w:szCs w:val="28"/>
        </w:rPr>
        <w:t>如遇国家或者北京市政策调整、甲方机构、职能调整，或者不可抗力致使本合同不能履行的，经双方友好协商同意，可以终止合同，互不承担违约责任。乙方应当自行承担因此导致的损失。</w:t>
      </w:r>
    </w:p>
    <w:p>
      <w:pPr>
        <w:pStyle w:val="258"/>
        <w:tabs>
          <w:tab w:val="left" w:pos="894"/>
        </w:tabs>
        <w:autoSpaceDN/>
        <w:snapToGrid w:val="0"/>
        <w:ind w:firstLine="500"/>
        <w:rPr>
          <w:sz w:val="28"/>
          <w:szCs w:val="28"/>
        </w:rPr>
      </w:pPr>
      <w:bookmarkStart w:id="913" w:name="bookmark494"/>
      <w:r>
        <w:rPr>
          <w:rFonts w:hint="eastAsia"/>
          <w:sz w:val="24"/>
          <w:szCs w:val="28"/>
        </w:rPr>
        <w:t>3</w:t>
      </w:r>
      <w:bookmarkEnd w:id="913"/>
      <w:r>
        <w:rPr>
          <w:rFonts w:hint="eastAsia"/>
          <w:sz w:val="24"/>
          <w:szCs w:val="28"/>
        </w:rPr>
        <w:t>、</w:t>
      </w:r>
      <w:r>
        <w:rPr>
          <w:rFonts w:hint="eastAsia"/>
          <w:sz w:val="24"/>
          <w:szCs w:val="28"/>
        </w:rPr>
        <w:tab/>
      </w:r>
      <w:r>
        <w:rPr>
          <w:rFonts w:hint="eastAsia"/>
          <w:sz w:val="24"/>
          <w:szCs w:val="28"/>
        </w:rPr>
        <w:t>如遇政府征地等原因导致乙方不能在合同中约定的地点继续履行合同的乙方必须配合甲方做好在停车辆的转移停放工作。</w:t>
      </w:r>
    </w:p>
    <w:p>
      <w:pPr>
        <w:pStyle w:val="258"/>
        <w:tabs>
          <w:tab w:val="left" w:pos="894"/>
        </w:tabs>
        <w:autoSpaceDN/>
        <w:snapToGrid w:val="0"/>
        <w:ind w:firstLine="500"/>
        <w:rPr>
          <w:sz w:val="28"/>
          <w:szCs w:val="28"/>
        </w:rPr>
      </w:pPr>
      <w:bookmarkStart w:id="914" w:name="bookmark495"/>
      <w:r>
        <w:rPr>
          <w:rFonts w:hint="eastAsia"/>
          <w:sz w:val="24"/>
          <w:szCs w:val="28"/>
        </w:rPr>
        <w:t>4</w:t>
      </w:r>
      <w:bookmarkEnd w:id="914"/>
      <w:r>
        <w:rPr>
          <w:rFonts w:hint="eastAsia"/>
          <w:sz w:val="24"/>
          <w:szCs w:val="28"/>
        </w:rPr>
        <w:t>、</w:t>
      </w:r>
      <w:r>
        <w:rPr>
          <w:rFonts w:hint="eastAsia"/>
          <w:sz w:val="24"/>
          <w:szCs w:val="28"/>
        </w:rPr>
        <w:tab/>
      </w:r>
      <w:r>
        <w:rPr>
          <w:rFonts w:hint="eastAsia"/>
          <w:sz w:val="24"/>
          <w:szCs w:val="28"/>
        </w:rPr>
        <w:t>合同到期后未续签合同的，乙方必须负责对该合同期内未处理的执法暂扣车辆继续进行保管，配合甲方做好车辆的转移停放工作，直到执法暂扣车辆处理完毕为止，保管服务费用结算按本合同一般车辆保管服务标准执行。</w:t>
      </w:r>
    </w:p>
    <w:p>
      <w:pPr>
        <w:pStyle w:val="258"/>
        <w:autoSpaceDN/>
        <w:snapToGrid w:val="0"/>
        <w:ind w:firstLine="480"/>
        <w:jc w:val="left"/>
        <w:rPr>
          <w:sz w:val="28"/>
          <w:szCs w:val="28"/>
        </w:rPr>
      </w:pPr>
      <w:r>
        <w:rPr>
          <w:rFonts w:hint="eastAsia"/>
          <w:sz w:val="24"/>
          <w:szCs w:val="28"/>
        </w:rPr>
        <w:t>第十</w:t>
      </w:r>
      <w:r>
        <w:rPr>
          <w:rFonts w:hint="eastAsia"/>
          <w:sz w:val="24"/>
          <w:szCs w:val="28"/>
          <w:lang w:val="en-US" w:eastAsia="zh-CN"/>
        </w:rPr>
        <w:t>一</w:t>
      </w:r>
      <w:r>
        <w:rPr>
          <w:rFonts w:hint="eastAsia"/>
          <w:sz w:val="24"/>
          <w:szCs w:val="28"/>
        </w:rPr>
        <w:t>条：管辖</w:t>
      </w:r>
    </w:p>
    <w:p>
      <w:pPr>
        <w:pStyle w:val="258"/>
        <w:autoSpaceDN/>
        <w:snapToGrid w:val="0"/>
        <w:ind w:firstLine="480"/>
        <w:jc w:val="left"/>
        <w:rPr>
          <w:sz w:val="28"/>
          <w:szCs w:val="28"/>
        </w:rPr>
      </w:pPr>
      <w:r>
        <w:rPr>
          <w:rFonts w:hint="eastAsia"/>
          <w:sz w:val="24"/>
          <w:szCs w:val="28"/>
        </w:rPr>
        <w:t>因履行本合同或者与本合同有关的一切争议，双方应当协商解决。协商不成的，依法向甲方住所地有管辖权的人民法院提起诉讼。</w:t>
      </w:r>
    </w:p>
    <w:p>
      <w:pPr>
        <w:pStyle w:val="258"/>
        <w:autoSpaceDN/>
        <w:snapToGrid w:val="0"/>
        <w:ind w:firstLine="480"/>
        <w:jc w:val="left"/>
        <w:rPr>
          <w:sz w:val="28"/>
          <w:szCs w:val="28"/>
        </w:rPr>
      </w:pPr>
      <w:r>
        <w:rPr>
          <w:rFonts w:hint="eastAsia"/>
          <w:sz w:val="24"/>
          <w:szCs w:val="28"/>
        </w:rPr>
        <w:t>第十</w:t>
      </w:r>
      <w:r>
        <w:rPr>
          <w:rFonts w:hint="eastAsia"/>
          <w:sz w:val="24"/>
          <w:szCs w:val="28"/>
          <w:lang w:val="en-US" w:eastAsia="zh-CN"/>
        </w:rPr>
        <w:t>二</w:t>
      </w:r>
      <w:r>
        <w:rPr>
          <w:rFonts w:hint="eastAsia"/>
          <w:sz w:val="24"/>
          <w:szCs w:val="28"/>
        </w:rPr>
        <w:t>条：合同的签署和生效</w:t>
      </w:r>
    </w:p>
    <w:p>
      <w:pPr>
        <w:pStyle w:val="258"/>
        <w:tabs>
          <w:tab w:val="left" w:pos="858"/>
        </w:tabs>
        <w:autoSpaceDN/>
        <w:snapToGrid w:val="0"/>
        <w:ind w:firstLine="480"/>
        <w:jc w:val="left"/>
        <w:rPr>
          <w:sz w:val="28"/>
          <w:szCs w:val="28"/>
        </w:rPr>
      </w:pPr>
      <w:bookmarkStart w:id="915" w:name="bookmark496"/>
      <w:r>
        <w:rPr>
          <w:rFonts w:hint="eastAsia"/>
          <w:sz w:val="24"/>
          <w:szCs w:val="28"/>
        </w:rPr>
        <w:t>1</w:t>
      </w:r>
      <w:bookmarkEnd w:id="915"/>
      <w:r>
        <w:rPr>
          <w:rFonts w:hint="eastAsia"/>
          <w:sz w:val="24"/>
          <w:szCs w:val="28"/>
        </w:rPr>
        <w:t>、</w:t>
      </w:r>
      <w:r>
        <w:rPr>
          <w:rFonts w:hint="eastAsia"/>
          <w:sz w:val="24"/>
          <w:szCs w:val="28"/>
        </w:rPr>
        <w:tab/>
      </w:r>
      <w:r>
        <w:rPr>
          <w:rFonts w:hint="eastAsia"/>
          <w:sz w:val="24"/>
          <w:szCs w:val="28"/>
        </w:rPr>
        <w:t>本合同一式四份，甲乙双方各持两份，具有同等法律效力。</w:t>
      </w:r>
    </w:p>
    <w:p>
      <w:pPr>
        <w:pStyle w:val="258"/>
        <w:tabs>
          <w:tab w:val="left" w:pos="872"/>
        </w:tabs>
        <w:autoSpaceDN/>
        <w:snapToGrid w:val="0"/>
        <w:ind w:firstLine="480"/>
        <w:jc w:val="left"/>
        <w:rPr>
          <w:sz w:val="24"/>
          <w:szCs w:val="28"/>
        </w:rPr>
      </w:pPr>
      <w:r>
        <w:rPr>
          <w:rFonts w:hint="eastAsia"/>
          <w:sz w:val="24"/>
          <w:szCs w:val="28"/>
          <w:lang w:val="en-US" w:eastAsia="zh-CN"/>
        </w:rPr>
        <w:t>2</w:t>
      </w:r>
      <w:r>
        <w:rPr>
          <w:rFonts w:hint="eastAsia"/>
          <w:sz w:val="24"/>
          <w:szCs w:val="28"/>
        </w:rPr>
        <w:t>、</w:t>
      </w:r>
      <w:r>
        <w:rPr>
          <w:rFonts w:hint="eastAsia"/>
          <w:sz w:val="24"/>
          <w:szCs w:val="28"/>
        </w:rPr>
        <w:tab/>
      </w:r>
      <w:r>
        <w:rPr>
          <w:rFonts w:hint="eastAsia"/>
          <w:sz w:val="24"/>
          <w:szCs w:val="28"/>
        </w:rPr>
        <w:t>本合同自甲乙双方代表人签字并加盖公章后生效。</w:t>
      </w:r>
    </w:p>
    <w:tbl>
      <w:tblPr>
        <w:tblStyle w:val="56"/>
        <w:tblpPr w:leftFromText="180" w:rightFromText="180" w:vertAnchor="text" w:horzAnchor="page" w:tblpX="1553" w:tblpY="376"/>
        <w:tblW w:w="8931" w:type="dxa"/>
        <w:tblInd w:w="0" w:type="dxa"/>
        <w:tblLayout w:type="fixed"/>
        <w:tblCellMar>
          <w:top w:w="0" w:type="dxa"/>
          <w:left w:w="108" w:type="dxa"/>
          <w:bottom w:w="0" w:type="dxa"/>
          <w:right w:w="108" w:type="dxa"/>
        </w:tblCellMar>
      </w:tblPr>
      <w:tblGrid>
        <w:gridCol w:w="4503"/>
        <w:gridCol w:w="4428"/>
      </w:tblGrid>
      <w:tr>
        <w:tblPrEx>
          <w:tblLayout w:type="fixed"/>
          <w:tblCellMar>
            <w:top w:w="0" w:type="dxa"/>
            <w:left w:w="108" w:type="dxa"/>
            <w:bottom w:w="0" w:type="dxa"/>
            <w:right w:w="108" w:type="dxa"/>
          </w:tblCellMar>
        </w:tblPrEx>
        <w:trPr>
          <w:trHeight w:val="567" w:hRule="exact"/>
        </w:trPr>
        <w:tc>
          <w:tcPr>
            <w:tcW w:w="4503" w:type="dxa"/>
          </w:tcPr>
          <w:p>
            <w:pPr>
              <w:snapToGrid w:val="0"/>
              <w:spacing w:line="360" w:lineRule="auto"/>
              <w:ind w:left="1200" w:hanging="1200" w:hangingChars="500"/>
              <w:rPr>
                <w:rFonts w:ascii="宋体" w:hAnsi="宋体" w:cs="宋体"/>
                <w:sz w:val="24"/>
              </w:rPr>
            </w:pPr>
            <w:r>
              <w:rPr>
                <w:rFonts w:hint="eastAsia" w:ascii="宋体" w:hAnsi="宋体" w:cs="宋体"/>
                <w:snapToGrid w:val="0"/>
                <w:kern w:val="0"/>
                <w:sz w:val="24"/>
              </w:rPr>
              <w:t>甲方名称：</w:t>
            </w:r>
          </w:p>
        </w:tc>
        <w:tc>
          <w:tcPr>
            <w:tcW w:w="4428" w:type="dxa"/>
          </w:tcPr>
          <w:p>
            <w:pPr>
              <w:adjustRightInd w:val="0"/>
              <w:snapToGrid w:val="0"/>
              <w:spacing w:line="360" w:lineRule="auto"/>
              <w:ind w:left="1200" w:hanging="1200" w:hangingChars="500"/>
              <w:jc w:val="left"/>
              <w:rPr>
                <w:rFonts w:ascii="宋体" w:hAnsi="宋体" w:cs="宋体"/>
                <w:snapToGrid w:val="0"/>
                <w:kern w:val="0"/>
                <w:sz w:val="24"/>
              </w:rPr>
            </w:pPr>
            <w:r>
              <w:rPr>
                <w:rFonts w:hint="eastAsia" w:ascii="宋体" w:hAnsi="宋体" w:cs="宋体"/>
                <w:snapToGrid w:val="0"/>
                <w:kern w:val="0"/>
                <w:sz w:val="24"/>
              </w:rPr>
              <w:t>乙方名称：</w:t>
            </w:r>
          </w:p>
        </w:tc>
      </w:tr>
      <w:tr>
        <w:tblPrEx>
          <w:tblLayout w:type="fixed"/>
          <w:tblCellMar>
            <w:top w:w="0" w:type="dxa"/>
            <w:left w:w="108" w:type="dxa"/>
            <w:bottom w:w="0" w:type="dxa"/>
            <w:right w:w="108" w:type="dxa"/>
          </w:tblCellMar>
        </w:tblPrEx>
        <w:trPr>
          <w:trHeight w:val="567" w:hRule="exact"/>
        </w:trPr>
        <w:tc>
          <w:tcPr>
            <w:tcW w:w="4503" w:type="dxa"/>
          </w:tcPr>
          <w:p>
            <w:pPr>
              <w:pStyle w:val="266"/>
              <w:wordWrap w:val="0"/>
              <w:snapToGrid w:val="0"/>
              <w:spacing w:line="360" w:lineRule="auto"/>
              <w:ind w:left="1200" w:hanging="1200" w:hangingChars="500"/>
            </w:pPr>
            <w:r>
              <w:rPr>
                <w:rFonts w:hint="eastAsia"/>
                <w:snapToGrid w:val="0"/>
              </w:rPr>
              <w:t>办公地址：</w:t>
            </w:r>
          </w:p>
        </w:tc>
        <w:tc>
          <w:tcPr>
            <w:tcW w:w="4428" w:type="dxa"/>
          </w:tcPr>
          <w:p>
            <w:pPr>
              <w:adjustRightInd w:val="0"/>
              <w:snapToGrid w:val="0"/>
              <w:spacing w:line="360" w:lineRule="auto"/>
              <w:ind w:left="1200" w:hanging="1200" w:hangingChars="500"/>
              <w:jc w:val="left"/>
              <w:rPr>
                <w:rFonts w:ascii="宋体" w:hAnsi="宋体" w:cs="宋体"/>
                <w:snapToGrid w:val="0"/>
                <w:kern w:val="0"/>
                <w:sz w:val="24"/>
              </w:rPr>
            </w:pPr>
            <w:r>
              <w:rPr>
                <w:rFonts w:hint="eastAsia" w:ascii="宋体" w:hAnsi="宋体" w:cs="宋体"/>
                <w:snapToGrid w:val="0"/>
                <w:kern w:val="0"/>
                <w:sz w:val="24"/>
              </w:rPr>
              <w:t>办公地址：</w:t>
            </w:r>
          </w:p>
        </w:tc>
      </w:tr>
      <w:tr>
        <w:tblPrEx>
          <w:tblLayout w:type="fixed"/>
          <w:tblCellMar>
            <w:top w:w="0" w:type="dxa"/>
            <w:left w:w="108" w:type="dxa"/>
            <w:bottom w:w="0" w:type="dxa"/>
            <w:right w:w="108" w:type="dxa"/>
          </w:tblCellMar>
        </w:tblPrEx>
        <w:trPr>
          <w:trHeight w:val="567" w:hRule="exact"/>
        </w:trPr>
        <w:tc>
          <w:tcPr>
            <w:tcW w:w="4503" w:type="dxa"/>
          </w:tcPr>
          <w:p>
            <w:pPr>
              <w:adjustRightInd w:val="0"/>
              <w:snapToGrid w:val="0"/>
              <w:spacing w:line="360" w:lineRule="auto"/>
              <w:ind w:firstLine="120" w:firstLineChars="50"/>
              <w:rPr>
                <w:rFonts w:ascii="宋体" w:hAnsi="宋体" w:cs="宋体"/>
                <w:snapToGrid w:val="0"/>
                <w:kern w:val="0"/>
                <w:sz w:val="24"/>
              </w:rPr>
            </w:pPr>
            <w:r>
              <w:rPr>
                <w:rFonts w:hint="eastAsia" w:ascii="宋体" w:hAnsi="宋体" w:cs="宋体"/>
                <w:snapToGrid w:val="0"/>
                <w:sz w:val="24"/>
              </w:rPr>
              <w:t>电    话：</w:t>
            </w:r>
            <w:r>
              <w:rPr>
                <w:rFonts w:hint="eastAsia" w:ascii="宋体" w:hAnsi="宋体" w:cs="宋体"/>
                <w:sz w:val="24"/>
              </w:rPr>
              <w:t xml:space="preserve"> </w:t>
            </w:r>
          </w:p>
        </w:tc>
        <w:tc>
          <w:tcPr>
            <w:tcW w:w="4428"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电    话：</w:t>
            </w:r>
          </w:p>
        </w:tc>
      </w:tr>
      <w:tr>
        <w:tblPrEx>
          <w:tblLayout w:type="fixed"/>
          <w:tblCellMar>
            <w:top w:w="0" w:type="dxa"/>
            <w:left w:w="108" w:type="dxa"/>
            <w:bottom w:w="0" w:type="dxa"/>
            <w:right w:w="108" w:type="dxa"/>
          </w:tblCellMar>
        </w:tblPrEx>
        <w:trPr>
          <w:trHeight w:val="567" w:hRule="exact"/>
        </w:trPr>
        <w:tc>
          <w:tcPr>
            <w:tcW w:w="4503" w:type="dxa"/>
          </w:tcPr>
          <w:p>
            <w:pPr>
              <w:adjustRightInd w:val="0"/>
              <w:snapToGrid w:val="0"/>
              <w:spacing w:line="360" w:lineRule="auto"/>
              <w:ind w:firstLine="120" w:firstLineChars="50"/>
              <w:jc w:val="left"/>
              <w:rPr>
                <w:rFonts w:ascii="宋体" w:hAnsi="宋体" w:cs="宋体"/>
                <w:snapToGrid w:val="0"/>
                <w:kern w:val="0"/>
                <w:sz w:val="24"/>
              </w:rPr>
            </w:pPr>
            <w:r>
              <w:rPr>
                <w:rFonts w:hint="eastAsia" w:ascii="宋体" w:hAnsi="宋体" w:cs="宋体"/>
                <w:snapToGrid w:val="0"/>
                <w:kern w:val="0"/>
                <w:sz w:val="24"/>
              </w:rPr>
              <w:t xml:space="preserve">传    真：  </w:t>
            </w:r>
            <w:r>
              <w:rPr>
                <w:rStyle w:val="267"/>
                <w:rFonts w:hint="eastAsia" w:ascii="宋体" w:hAnsi="宋体" w:cs="宋体"/>
              </w:rPr>
              <w:t xml:space="preserve"> </w:t>
            </w:r>
          </w:p>
        </w:tc>
        <w:tc>
          <w:tcPr>
            <w:tcW w:w="4428"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传    真：</w:t>
            </w:r>
          </w:p>
        </w:tc>
      </w:tr>
      <w:tr>
        <w:tblPrEx>
          <w:tblLayout w:type="fixed"/>
          <w:tblCellMar>
            <w:top w:w="0" w:type="dxa"/>
            <w:left w:w="108" w:type="dxa"/>
            <w:bottom w:w="0" w:type="dxa"/>
            <w:right w:w="108" w:type="dxa"/>
          </w:tblCellMar>
        </w:tblPrEx>
        <w:trPr>
          <w:trHeight w:val="567" w:hRule="exact"/>
        </w:trPr>
        <w:tc>
          <w:tcPr>
            <w:tcW w:w="4503"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 xml:space="preserve">甲方代表人签字或签章： </w:t>
            </w:r>
          </w:p>
        </w:tc>
        <w:tc>
          <w:tcPr>
            <w:tcW w:w="4428"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乙方代表人签字或签章：</w:t>
            </w:r>
          </w:p>
        </w:tc>
      </w:tr>
      <w:tr>
        <w:tblPrEx>
          <w:tblLayout w:type="fixed"/>
          <w:tblCellMar>
            <w:top w:w="0" w:type="dxa"/>
            <w:left w:w="108" w:type="dxa"/>
            <w:bottom w:w="0" w:type="dxa"/>
            <w:right w:w="108" w:type="dxa"/>
          </w:tblCellMar>
        </w:tblPrEx>
        <w:trPr>
          <w:trHeight w:val="567" w:hRule="exact"/>
        </w:trPr>
        <w:tc>
          <w:tcPr>
            <w:tcW w:w="4503"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甲方（公章或合同章）：</w:t>
            </w:r>
          </w:p>
        </w:tc>
        <w:tc>
          <w:tcPr>
            <w:tcW w:w="4428"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 xml:space="preserve">乙方（公章或合同章）：   </w:t>
            </w:r>
          </w:p>
          <w:p>
            <w:pPr>
              <w:adjustRightInd w:val="0"/>
              <w:snapToGrid w:val="0"/>
              <w:spacing w:line="360" w:lineRule="auto"/>
              <w:jc w:val="left"/>
              <w:rPr>
                <w:rFonts w:ascii="宋体" w:hAnsi="宋体" w:cs="宋体"/>
                <w:snapToGrid w:val="0"/>
                <w:kern w:val="0"/>
                <w:sz w:val="24"/>
              </w:rPr>
            </w:pPr>
          </w:p>
        </w:tc>
      </w:tr>
      <w:tr>
        <w:tblPrEx>
          <w:tblLayout w:type="fixed"/>
          <w:tblCellMar>
            <w:top w:w="0" w:type="dxa"/>
            <w:left w:w="108" w:type="dxa"/>
            <w:bottom w:w="0" w:type="dxa"/>
            <w:right w:w="108" w:type="dxa"/>
          </w:tblCellMar>
        </w:tblPrEx>
        <w:trPr>
          <w:trHeight w:val="567" w:hRule="exact"/>
        </w:trPr>
        <w:tc>
          <w:tcPr>
            <w:tcW w:w="4503"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 xml:space="preserve">    年    月    日       </w:t>
            </w:r>
          </w:p>
        </w:tc>
        <w:tc>
          <w:tcPr>
            <w:tcW w:w="4428" w:type="dxa"/>
          </w:tcPr>
          <w:p>
            <w:pPr>
              <w:adjustRightInd w:val="0"/>
              <w:snapToGrid w:val="0"/>
              <w:spacing w:line="360" w:lineRule="auto"/>
              <w:jc w:val="left"/>
              <w:rPr>
                <w:rFonts w:ascii="宋体" w:hAnsi="宋体" w:cs="宋体"/>
                <w:snapToGrid w:val="0"/>
                <w:kern w:val="0"/>
                <w:sz w:val="24"/>
              </w:rPr>
            </w:pPr>
            <w:r>
              <w:rPr>
                <w:rFonts w:hint="eastAsia" w:ascii="宋体" w:hAnsi="宋体" w:cs="宋体"/>
                <w:snapToGrid w:val="0"/>
                <w:kern w:val="0"/>
                <w:sz w:val="24"/>
              </w:rPr>
              <w:t xml:space="preserve">     年    月    日</w:t>
            </w:r>
          </w:p>
        </w:tc>
      </w:tr>
    </w:tbl>
    <w:p>
      <w:pPr/>
    </w:p>
    <w:p>
      <w:pPr>
        <w:pStyle w:val="25"/>
        <w:snapToGrid w:val="0"/>
        <w:spacing w:line="360" w:lineRule="auto"/>
        <w:jc w:val="center"/>
        <w:rPr>
          <w:rFonts w:ascii="宋体" w:hAnsi="宋体"/>
          <w:b/>
          <w:sz w:val="36"/>
          <w:szCs w:val="36"/>
        </w:rPr>
        <w:sectPr>
          <w:headerReference r:id="rId8" w:type="default"/>
          <w:pgSz w:w="11907" w:h="16840"/>
          <w:pgMar w:top="1418" w:right="1134" w:bottom="1418" w:left="1701" w:header="851" w:footer="851" w:gutter="0"/>
          <w:pgNumType w:fmt="decimal"/>
          <w:cols w:space="720" w:num="1"/>
          <w:docGrid w:linePitch="462" w:charSpace="0"/>
        </w:sectPr>
      </w:pPr>
    </w:p>
    <w:p>
      <w:pPr>
        <w:spacing w:line="360" w:lineRule="auto"/>
        <w:jc w:val="center"/>
        <w:outlineLvl w:val="0"/>
        <w:rPr>
          <w:rFonts w:ascii="宋体" w:hAnsi="宋体"/>
          <w:b/>
          <w:sz w:val="36"/>
          <w:szCs w:val="36"/>
        </w:rPr>
      </w:pPr>
    </w:p>
    <w:p>
      <w:pPr>
        <w:spacing w:line="360" w:lineRule="auto"/>
        <w:jc w:val="center"/>
        <w:outlineLvl w:val="0"/>
        <w:rPr>
          <w:rFonts w:ascii="宋体" w:hAnsi="宋体"/>
          <w:b/>
          <w:sz w:val="36"/>
          <w:szCs w:val="36"/>
        </w:rPr>
      </w:pPr>
      <w:bookmarkStart w:id="916" w:name="_Toc26469"/>
      <w:r>
        <w:rPr>
          <w:rFonts w:ascii="宋体" w:hAnsi="宋体"/>
          <w:b/>
          <w:sz w:val="36"/>
          <w:szCs w:val="36"/>
        </w:rPr>
        <w:t>第七章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 </w:t>
      </w:r>
      <w:r>
        <w:rPr>
          <w:rFonts w:ascii="宋体" w:hAnsi="宋体"/>
          <w:b/>
          <w:sz w:val="36"/>
          <w:szCs w:val="36"/>
        </w:rPr>
        <w:t>投标文件格式</w:t>
      </w:r>
      <w:bookmarkEnd w:id="916"/>
    </w:p>
    <w:p>
      <w:pPr>
        <w:snapToGrid w:val="0"/>
        <w:spacing w:line="360" w:lineRule="auto"/>
        <w:ind w:left="142"/>
        <w:rPr>
          <w:b/>
          <w:sz w:val="24"/>
        </w:rPr>
      </w:pPr>
    </w:p>
    <w:p>
      <w:pPr>
        <w:snapToGrid w:val="0"/>
        <w:spacing w:line="360" w:lineRule="auto"/>
        <w:ind w:left="142"/>
        <w:rPr>
          <w:b/>
          <w:sz w:val="24"/>
        </w:rPr>
      </w:pPr>
    </w:p>
    <w:p>
      <w:pPr>
        <w:snapToGrid w:val="0"/>
        <w:spacing w:line="360" w:lineRule="auto"/>
        <w:ind w:left="142"/>
        <w:rPr>
          <w:sz w:val="24"/>
        </w:rPr>
      </w:pPr>
      <w:r>
        <w:rPr>
          <w:rFonts w:ascii="宋体" w:hAnsi="宋体"/>
          <w:b/>
          <w:sz w:val="24"/>
        </w:rPr>
        <w:t>投标人编制文件须知</w:t>
      </w:r>
    </w:p>
    <w:p>
      <w:pPr>
        <w:snapToGrid w:val="0"/>
        <w:spacing w:line="360" w:lineRule="auto"/>
        <w:ind w:left="142"/>
        <w:rPr>
          <w:sz w:val="24"/>
        </w:rPr>
      </w:pPr>
      <w:r>
        <w:rPr>
          <w:sz w:val="24"/>
        </w:rPr>
        <w:t>1</w:t>
      </w:r>
      <w:r>
        <w:rPr>
          <w:rFonts w:ascii="宋体" w:hAnsi="宋体"/>
          <w:sz w:val="24"/>
        </w:rPr>
        <w:t>、投标人按照本部分的顺序编制投标文件（资格证明文件）、投标文件（商务技术文件），编制中涉及格式资料的，应按照本部分提供的内容和格式（所有表格的格式可扩展）填写提交。</w:t>
      </w:r>
    </w:p>
    <w:p>
      <w:pPr>
        <w:snapToGrid w:val="0"/>
        <w:spacing w:line="360" w:lineRule="auto"/>
        <w:ind w:left="142"/>
        <w:rPr>
          <w:kern w:val="0"/>
          <w:sz w:val="24"/>
        </w:rPr>
      </w:pPr>
      <w:r>
        <w:rPr>
          <w:sz w:val="24"/>
        </w:rPr>
        <w:t>2</w:t>
      </w:r>
      <w:r>
        <w:rPr>
          <w:rFonts w:ascii="宋体" w:hAnsi="宋体"/>
          <w:sz w:val="24"/>
        </w:rPr>
        <w:t>、</w:t>
      </w:r>
      <w:r>
        <w:rPr>
          <w:rFonts w:ascii="宋体" w:hAnsi="宋体"/>
          <w:kern w:val="0"/>
          <w:sz w:val="24"/>
        </w:rPr>
        <w:t>对于招标文件中标记了</w:t>
      </w:r>
      <w:r>
        <w:rPr>
          <w:kern w:val="0"/>
          <w:sz w:val="24"/>
        </w:rPr>
        <w:t>“</w:t>
      </w:r>
      <w:r>
        <w:rPr>
          <w:rFonts w:ascii="宋体" w:hAnsi="宋体"/>
          <w:kern w:val="0"/>
          <w:sz w:val="24"/>
        </w:rPr>
        <w:t>实质性格式</w:t>
      </w:r>
      <w:r>
        <w:rPr>
          <w:kern w:val="0"/>
          <w:sz w:val="24"/>
        </w:rPr>
        <w:t>”</w:t>
      </w:r>
      <w:r>
        <w:rPr>
          <w:rFonts w:ascii="宋体" w:hAnsi="宋体"/>
          <w:kern w:val="0"/>
          <w:sz w:val="24"/>
        </w:rPr>
        <w:t>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w:t>
      </w:r>
      <w:r>
        <w:rPr>
          <w:kern w:val="0"/>
          <w:sz w:val="24"/>
        </w:rPr>
        <w:t>“</w:t>
      </w:r>
      <w:r>
        <w:rPr>
          <w:rFonts w:ascii="宋体" w:hAnsi="宋体"/>
          <w:kern w:val="0"/>
          <w:sz w:val="24"/>
        </w:rPr>
        <w:t>实质性格式</w:t>
      </w:r>
      <w:r>
        <w:rPr>
          <w:kern w:val="0"/>
          <w:sz w:val="24"/>
        </w:rPr>
        <w:t>”</w:t>
      </w:r>
      <w:r>
        <w:rPr>
          <w:rFonts w:ascii="宋体" w:hAnsi="宋体"/>
          <w:kern w:val="0"/>
          <w:sz w:val="24"/>
        </w:rPr>
        <w:t>的文件和招标文件未提供格式的内容，可由投标人自行编写。</w:t>
      </w:r>
    </w:p>
    <w:p>
      <w:pPr>
        <w:snapToGrid w:val="0"/>
        <w:spacing w:line="360" w:lineRule="auto"/>
        <w:ind w:left="142"/>
        <w:rPr>
          <w:sz w:val="24"/>
        </w:rPr>
      </w:pPr>
      <w:r>
        <w:rPr>
          <w:sz w:val="24"/>
        </w:rPr>
        <w:t>3</w:t>
      </w:r>
      <w:r>
        <w:rPr>
          <w:rFonts w:ascii="宋体" w:hAnsi="宋体"/>
          <w:sz w:val="24"/>
        </w:rPr>
        <w:t>、全部声明和问题的回答及所附材料必须是真实的、准确的和完整的。</w:t>
      </w:r>
    </w:p>
    <w:p>
      <w:pPr>
        <w:widowControl/>
        <w:jc w:val="left"/>
        <w:rPr>
          <w:sz w:val="24"/>
        </w:rPr>
      </w:pPr>
      <w:r>
        <w:rPr>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sz w:val="24"/>
          <w:szCs w:val="20"/>
        </w:rPr>
      </w:pPr>
      <w:r>
        <w:rPr>
          <w:sz w:val="24"/>
          <w:szCs w:val="20"/>
        </w:rPr>
        <w:t xml:space="preserve">1 </w:t>
      </w:r>
      <w:r>
        <w:rPr>
          <w:sz w:val="24"/>
        </w:rPr>
        <w:t>满足《中华人民共和国政府采购法》第二十二条规定及法律法规的其他规定</w:t>
      </w:r>
    </w:p>
    <w:p>
      <w:pPr>
        <w:spacing w:line="360" w:lineRule="auto"/>
        <w:outlineLvl w:val="3"/>
        <w:rPr>
          <w:sz w:val="24"/>
          <w:szCs w:val="20"/>
        </w:rPr>
      </w:pPr>
      <w:r>
        <w:rPr>
          <w:sz w:val="24"/>
          <w:szCs w:val="20"/>
        </w:rPr>
        <w:t>1-1营业执照等证明文件</w:t>
      </w:r>
      <w:r>
        <w:rPr>
          <w:rFonts w:hint="eastAsia"/>
          <w:sz w:val="24"/>
          <w:szCs w:val="20"/>
        </w:rPr>
        <w:t xml:space="preserve"> </w:t>
      </w:r>
    </w:p>
    <w:p>
      <w:pPr>
        <w:tabs>
          <w:tab w:val="left" w:pos="1080"/>
        </w:tabs>
        <w:snapToGrid w:val="0"/>
        <w:rPr>
          <w:sz w:val="24"/>
        </w:rPr>
      </w:pPr>
    </w:p>
    <w:p>
      <w:pPr>
        <w:spacing w:line="360" w:lineRule="auto"/>
        <w:outlineLvl w:val="3"/>
        <w:rPr>
          <w:bCs/>
        </w:rPr>
      </w:pPr>
      <w:r>
        <w:rPr>
          <w:sz w:val="24"/>
        </w:rPr>
        <w:br w:type="page"/>
      </w:r>
      <w:r>
        <w:rPr>
          <w:sz w:val="24"/>
          <w:szCs w:val="20"/>
        </w:rPr>
        <w:t>1-2 投标人资格声明书（实质性格式）</w:t>
      </w:r>
    </w:p>
    <w:p>
      <w:pPr>
        <w:jc w:val="center"/>
        <w:rPr>
          <w:b/>
          <w:sz w:val="36"/>
          <w:szCs w:val="36"/>
        </w:rPr>
      </w:pPr>
      <w:r>
        <w:rPr>
          <w:rFonts w:hint="eastAsia"/>
          <w:b/>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8"/>
        </w:numPr>
        <w:spacing w:line="360" w:lineRule="auto"/>
        <w:ind w:left="1134"/>
        <w:rPr>
          <w:sz w:val="24"/>
          <w:szCs w:val="22"/>
        </w:rPr>
      </w:pPr>
      <w:r>
        <w:rPr>
          <w:sz w:val="24"/>
          <w:szCs w:val="22"/>
        </w:rPr>
        <w:t>具有良好的商业信誉和健全的财务会计制度；</w:t>
      </w:r>
    </w:p>
    <w:p>
      <w:pPr>
        <w:numPr>
          <w:ilvl w:val="0"/>
          <w:numId w:val="18"/>
        </w:numPr>
        <w:spacing w:line="360" w:lineRule="auto"/>
        <w:ind w:left="1134"/>
        <w:rPr>
          <w:sz w:val="24"/>
          <w:szCs w:val="22"/>
        </w:rPr>
      </w:pPr>
      <w:r>
        <w:rPr>
          <w:sz w:val="24"/>
          <w:szCs w:val="22"/>
        </w:rPr>
        <w:t>具有履行合同所必需的设备和专业技术能力；</w:t>
      </w:r>
    </w:p>
    <w:p>
      <w:pPr>
        <w:numPr>
          <w:ilvl w:val="0"/>
          <w:numId w:val="18"/>
        </w:numPr>
        <w:spacing w:line="360" w:lineRule="auto"/>
        <w:ind w:left="1134"/>
        <w:rPr>
          <w:sz w:val="24"/>
          <w:szCs w:val="22"/>
        </w:rPr>
      </w:pPr>
      <w:r>
        <w:rPr>
          <w:sz w:val="24"/>
          <w:szCs w:val="22"/>
        </w:rPr>
        <w:t>有依法缴纳税收和社会保障资金的良好记录；</w:t>
      </w:r>
    </w:p>
    <w:p>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r>
        <w:rPr>
          <w:rFonts w:hint="eastAsia"/>
          <w:sz w:val="24"/>
          <w:szCs w:val="22"/>
        </w:rPr>
        <w:t>。</w:t>
      </w:r>
    </w:p>
    <w:p>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6"/>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Pr/>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center"/>
        <w:rPr>
          <w:sz w:val="24"/>
          <w:lang w:val="zh-CN"/>
        </w:rPr>
      </w:pPr>
      <w:r>
        <w:rPr>
          <w:rFonts w:hint="eastAsia"/>
          <w:sz w:val="24"/>
        </w:rPr>
        <w:t xml:space="preserve">                                 </w:t>
      </w:r>
      <w:r>
        <w:rPr>
          <w:sz w:val="24"/>
        </w:rPr>
        <w:t>投标人名称（加盖公章）</w:t>
      </w:r>
      <w:r>
        <w:rPr>
          <w:sz w:val="24"/>
          <w:lang w:val="zh-CN"/>
        </w:rPr>
        <w:t>：____________</w:t>
      </w:r>
    </w:p>
    <w:p>
      <w:pPr>
        <w:spacing w:line="360" w:lineRule="auto"/>
        <w:ind w:right="360" w:firstLine="480"/>
        <w:jc w:val="right"/>
        <w:rPr>
          <w:sz w:val="24"/>
        </w:rPr>
      </w:pPr>
      <w:r>
        <w:rPr>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pPr>
        <w:spacing w:line="360" w:lineRule="auto"/>
        <w:outlineLvl w:val="2"/>
        <w:rPr>
          <w:sz w:val="24"/>
          <w:szCs w:val="20"/>
        </w:rPr>
      </w:pPr>
      <w:r>
        <w:rPr>
          <w:sz w:val="24"/>
          <w:szCs w:val="20"/>
        </w:rPr>
        <w:t>2 落实政府采购政策需满足的资格要求（如有）</w:t>
      </w:r>
    </w:p>
    <w:p>
      <w:pPr>
        <w:spacing w:line="360" w:lineRule="auto"/>
        <w:outlineLvl w:val="3"/>
        <w:rPr>
          <w:sz w:val="24"/>
          <w:szCs w:val="20"/>
        </w:rPr>
      </w:pPr>
      <w:r>
        <w:rPr>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w:t>
      </w:r>
      <w:r>
        <w:rPr>
          <w:rFonts w:ascii="宋体" w:hAnsi="宋体" w:cs="宋体"/>
          <w:spacing w:val="2"/>
          <w:sz w:val="24"/>
        </w:rPr>
        <w:t>如本项目（包）不专门</w:t>
      </w:r>
      <w:r>
        <w:rPr>
          <w:rFonts w:ascii="宋体" w:hAnsi="宋体" w:cs="宋体"/>
          <w:spacing w:val="1"/>
          <w:sz w:val="24"/>
        </w:rPr>
        <w:t>面向中小企业预留采购份额，资格证明文件部分无需提供</w:t>
      </w:r>
      <w:r>
        <w:rPr>
          <w:rFonts w:ascii="宋体" w:hAnsi="宋体" w:cs="宋体"/>
          <w:spacing w:val="-2"/>
          <w:sz w:val="24"/>
        </w:rPr>
        <w:t>《中小企业声明函》或《残疾人福利性单位声明函》或由省级以上监狱管理局、</w:t>
      </w:r>
      <w:r>
        <w:rPr>
          <w:rFonts w:ascii="宋体" w:hAnsi="宋体" w:cs="宋体"/>
          <w:spacing w:val="3"/>
          <w:sz w:val="24"/>
        </w:rPr>
        <w:t>戒毒管</w:t>
      </w:r>
      <w:r>
        <w:rPr>
          <w:rFonts w:ascii="宋体" w:hAnsi="宋体" w:cs="宋体"/>
          <w:spacing w:val="-2"/>
          <w:sz w:val="24"/>
        </w:rPr>
        <w:t>理局（含新疆生产建设兵团）出具的属于监狱</w:t>
      </w:r>
      <w:r>
        <w:rPr>
          <w:rFonts w:ascii="宋体" w:hAnsi="宋体" w:cs="宋体"/>
          <w:spacing w:val="-1"/>
          <w:sz w:val="24"/>
        </w:rPr>
        <w:t>企业的证明文件；</w:t>
      </w:r>
      <w:r>
        <w:rPr>
          <w:rFonts w:hint="eastAsia" w:ascii="宋体" w:hAnsi="宋体" w:cs="宋体"/>
          <w:spacing w:val="-1"/>
          <w:sz w:val="24"/>
        </w:rPr>
        <w:t>投标人</w:t>
      </w:r>
      <w:r>
        <w:rPr>
          <w:rFonts w:ascii="宋体" w:hAnsi="宋体" w:cs="宋体"/>
          <w:spacing w:val="-1"/>
          <w:sz w:val="24"/>
        </w:rPr>
        <w:t>如具有上述证明文件</w:t>
      </w:r>
      <w:r>
        <w:rPr>
          <w:rFonts w:ascii="宋体" w:hAnsi="宋体" w:cs="宋体"/>
          <w:sz w:val="24"/>
        </w:rPr>
        <w:t>，建议在商务技术文件中提供。</w:t>
      </w:r>
    </w:p>
    <w:p>
      <w:pPr>
        <w:tabs>
          <w:tab w:val="left" w:pos="5580"/>
        </w:tabs>
        <w:spacing w:line="360" w:lineRule="auto"/>
        <w:rPr>
          <w:sz w:val="24"/>
        </w:rPr>
      </w:pPr>
      <w:r>
        <w:rPr>
          <w:sz w:val="24"/>
        </w:rPr>
        <w:t>（2）</w:t>
      </w:r>
      <w:r>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r>
        <w:rPr>
          <w:sz w:val="24"/>
        </w:rPr>
        <w:t>。</w:t>
      </w:r>
    </w:p>
    <w:p>
      <w:pPr>
        <w:tabs>
          <w:tab w:val="left" w:pos="5580"/>
        </w:tabs>
        <w:spacing w:line="360" w:lineRule="auto"/>
        <w:rPr>
          <w:sz w:val="24"/>
        </w:rPr>
      </w:pPr>
      <w:r>
        <w:rPr>
          <w:sz w:val="24"/>
        </w:rPr>
        <w:t>（3）</w:t>
      </w:r>
      <w:r>
        <w:rPr>
          <w:rFonts w:hint="eastAsia"/>
          <w:sz w:val="24"/>
        </w:rPr>
        <w:t>如本项目（包）预留部分采购项目预算专门面向中小企业采购，且要求获得采购合同的投标人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r>
        <w:rPr>
          <w:sz w:val="24"/>
        </w:rPr>
        <w:t>。</w:t>
      </w:r>
    </w:p>
    <w:p>
      <w:pPr>
        <w:tabs>
          <w:tab w:val="left" w:pos="5580"/>
        </w:tabs>
        <w:spacing w:line="360" w:lineRule="auto"/>
        <w:rPr>
          <w:sz w:val="24"/>
        </w:rPr>
      </w:pPr>
      <w:r>
        <w:rPr>
          <w:rFonts w:hint="eastAsia"/>
          <w:sz w:val="24"/>
        </w:rPr>
        <w:t>（4）如本项目（包）预留部分采购项目预算专门面向中小企业采购，且要求投标人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pStyle w:val="2"/>
        <w:tabs>
          <w:tab w:val="clear" w:pos="567"/>
        </w:tabs>
        <w:spacing w:before="0" w:line="238" w:lineRule="auto"/>
      </w:pPr>
      <w:r>
        <w:rPr>
          <w:rFonts w:cs="宋体"/>
          <w:spacing w:val="1"/>
        </w:rPr>
        <w:t>（</w:t>
      </w:r>
      <w:r>
        <w:rPr>
          <w:rFonts w:ascii="Arial" w:hAnsi="Arial" w:eastAsia="Arial" w:cs="Arial"/>
        </w:rPr>
        <w:t>5</w:t>
      </w:r>
      <w:r>
        <w:rPr>
          <w:rFonts w:cs="宋体"/>
          <w:spacing w:val="2"/>
        </w:rPr>
        <w:t>）</w:t>
      </w:r>
      <w:r>
        <w:rPr>
          <w:rFonts w:cs="宋体"/>
          <w:spacing w:val="1"/>
        </w:rPr>
        <w:t>中小企业声明函填写注意事项</w:t>
      </w:r>
    </w:p>
    <w:p>
      <w:pPr>
        <w:spacing w:line="164" w:lineRule="exact"/>
      </w:pPr>
    </w:p>
    <w:p>
      <w:pPr>
        <w:tabs>
          <w:tab w:val="left" w:pos="5580"/>
        </w:tabs>
        <w:spacing w:line="360" w:lineRule="auto"/>
        <w:rPr>
          <w:sz w:val="24"/>
        </w:rPr>
      </w:pPr>
      <w:r>
        <w:rPr>
          <w:rFonts w:hint="eastAsia"/>
          <w:sz w:val="24"/>
        </w:rPr>
        <w:t>1）</w:t>
      </w:r>
      <w:r>
        <w:rPr>
          <w:rFonts w:ascii="宋体" w:hAnsi="宋体" w:cs="宋体"/>
          <w:spacing w:val="-5"/>
          <w:sz w:val="24"/>
        </w:rPr>
        <w:t>《中小企业声明函》由参加政府采购活动的投标人出具。联合体投标的，《中小</w:t>
      </w:r>
      <w:r>
        <w:rPr>
          <w:rFonts w:ascii="宋体" w:hAnsi="宋体" w:cs="宋体"/>
          <w:spacing w:val="-4"/>
          <w:sz w:val="24"/>
        </w:rPr>
        <w:t>企业</w:t>
      </w:r>
      <w:r>
        <w:rPr>
          <w:rFonts w:ascii="宋体" w:hAnsi="宋体" w:cs="宋体"/>
          <w:spacing w:val="-1"/>
          <w:sz w:val="24"/>
        </w:rPr>
        <w:t>声明</w:t>
      </w:r>
      <w:r>
        <w:rPr>
          <w:rFonts w:ascii="宋体" w:hAnsi="宋体" w:cs="宋体"/>
          <w:sz w:val="24"/>
        </w:rPr>
        <w:t>函》可由牵头人出具。</w:t>
      </w:r>
    </w:p>
    <w:p>
      <w:pPr>
        <w:tabs>
          <w:tab w:val="left" w:pos="5580"/>
        </w:tabs>
        <w:spacing w:line="360" w:lineRule="auto"/>
        <w:rPr>
          <w:rFonts w:ascii="宋体" w:hAnsi="宋体" w:cs="宋体"/>
          <w:sz w:val="24"/>
        </w:rPr>
      </w:pPr>
      <w:r>
        <w:rPr>
          <w:rFonts w:hint="eastAsia"/>
          <w:sz w:val="24"/>
        </w:rPr>
        <w:t>2）</w:t>
      </w:r>
      <w:r>
        <w:rPr>
          <w:rFonts w:ascii="宋体" w:hAnsi="宋体" w:cs="宋体"/>
          <w:spacing w:val="2"/>
          <w:sz w:val="24"/>
        </w:rPr>
        <w:t>对于联合体中由中小</w:t>
      </w:r>
      <w:r>
        <w:rPr>
          <w:rFonts w:ascii="宋体" w:hAnsi="宋体" w:cs="宋体"/>
          <w:spacing w:val="1"/>
          <w:sz w:val="24"/>
        </w:rPr>
        <w:t>企业承担的部分，或者分包给中小企业的部分，必须全部由中</w:t>
      </w:r>
      <w:r>
        <w:rPr>
          <w:rFonts w:ascii="宋体" w:hAnsi="宋体" w:cs="宋体"/>
          <w:sz w:val="24"/>
        </w:rPr>
        <w:t>小企业制造、承建或者承接。</w:t>
      </w:r>
      <w:r>
        <w:rPr>
          <w:rFonts w:hint="eastAsia" w:ascii="宋体" w:hAnsi="宋体" w:cs="宋体"/>
          <w:sz w:val="24"/>
        </w:rPr>
        <w:t>投标人</w:t>
      </w:r>
      <w:r>
        <w:rPr>
          <w:rFonts w:ascii="宋体" w:hAnsi="宋体" w:cs="宋体"/>
          <w:sz w:val="24"/>
        </w:rPr>
        <w:t>应当在声明函</w:t>
      </w:r>
      <w:r>
        <w:rPr>
          <w:rFonts w:ascii="Arial" w:hAnsi="Arial" w:eastAsia="Arial" w:cs="Arial"/>
          <w:spacing w:val="13"/>
          <w:sz w:val="24"/>
        </w:rPr>
        <w:t>“</w:t>
      </w:r>
      <w:r>
        <w:rPr>
          <w:rFonts w:ascii="宋体" w:hAnsi="宋体" w:cs="宋体"/>
          <w:sz w:val="24"/>
        </w:rPr>
        <w:t>标的名称</w:t>
      </w:r>
      <w:r>
        <w:rPr>
          <w:rFonts w:ascii="Arial" w:hAnsi="Arial" w:eastAsia="Arial" w:cs="Arial"/>
          <w:spacing w:val="2"/>
          <w:sz w:val="24"/>
        </w:rPr>
        <w:t>”</w:t>
      </w:r>
      <w:r>
        <w:rPr>
          <w:rFonts w:ascii="宋体" w:hAnsi="宋体" w:cs="宋体"/>
          <w:spacing w:val="1"/>
          <w:sz w:val="24"/>
        </w:rPr>
        <w:t>部分标明联合体中</w:t>
      </w:r>
      <w:r>
        <w:rPr>
          <w:rFonts w:ascii="宋体" w:hAnsi="宋体" w:cs="宋体"/>
          <w:sz w:val="24"/>
        </w:rPr>
        <w:t>中小企</w:t>
      </w:r>
      <w:r>
        <w:rPr>
          <w:rFonts w:ascii="宋体" w:hAnsi="宋体" w:cs="宋体"/>
          <w:spacing w:val="-1"/>
          <w:sz w:val="24"/>
        </w:rPr>
        <w:t>业承</w:t>
      </w:r>
      <w:r>
        <w:rPr>
          <w:rFonts w:ascii="宋体" w:hAnsi="宋体" w:cs="宋体"/>
          <w:sz w:val="24"/>
        </w:rPr>
        <w:t>担的具体内容或者中小企业的具体分包内容。</w:t>
      </w:r>
      <w:r>
        <w:rPr>
          <w:rFonts w:hint="eastAsia" w:ascii="宋体" w:hAnsi="宋体" w:cs="宋体"/>
          <w:sz w:val="24"/>
        </w:rPr>
        <w:t>同时，在声明函中写明联合体中的中小企业、签订分包意向协议的中小企业的具体情况。</w:t>
      </w:r>
    </w:p>
    <w:p>
      <w:pPr>
        <w:tabs>
          <w:tab w:val="left" w:pos="5580"/>
        </w:tabs>
        <w:spacing w:line="360" w:lineRule="auto"/>
        <w:rPr>
          <w:sz w:val="24"/>
        </w:rPr>
      </w:pPr>
      <w:r>
        <w:rPr>
          <w:rFonts w:hint="eastAsia"/>
          <w:sz w:val="24"/>
        </w:rPr>
        <w:t>3）</w:t>
      </w:r>
      <w:r>
        <w:rPr>
          <w:sz w:val="24"/>
        </w:rPr>
        <w:t>对于多标的的采购项目</w:t>
      </w:r>
      <w:r>
        <w:rPr>
          <w:rFonts w:hint="eastAsia"/>
          <w:sz w:val="24"/>
        </w:rPr>
        <w:t>，投标人</w:t>
      </w:r>
      <w:r>
        <w:rPr>
          <w:sz w:val="24"/>
        </w:rPr>
        <w:t>应充分、准确地了解</w:t>
      </w:r>
      <w:bookmarkStart w:id="917" w:name="_Hlk121495813"/>
      <w:r>
        <w:rPr>
          <w:rFonts w:hint="eastAsia"/>
          <w:b/>
          <w:bCs/>
          <w:sz w:val="24"/>
          <w:u w:val="double"/>
        </w:rPr>
        <w:t>所有标的</w:t>
      </w:r>
      <w:bookmarkEnd w:id="917"/>
      <w:r>
        <w:rPr>
          <w:rFonts w:hint="eastAsia"/>
          <w:sz w:val="24"/>
        </w:rPr>
        <w:t>的</w:t>
      </w:r>
      <w:r>
        <w:rPr>
          <w:sz w:val="24"/>
        </w:rPr>
        <w:t>产品制造企业信息。对相关情况了解不清楚的，不建议填报本声明函。</w:t>
      </w:r>
    </w:p>
    <w:p>
      <w:pPr>
        <w:tabs>
          <w:tab w:val="left" w:pos="5580"/>
        </w:tabs>
        <w:spacing w:line="360" w:lineRule="auto"/>
        <w:rPr>
          <w:sz w:val="24"/>
        </w:rPr>
      </w:pPr>
      <w:r>
        <w:rPr>
          <w:rFonts w:hint="eastAsia"/>
          <w:sz w:val="24"/>
        </w:rPr>
        <w:t>（6）温馨提示：</w:t>
      </w:r>
      <w:r>
        <w:rPr>
          <w:sz w:val="24"/>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b/>
          <w:bCs/>
          <w:sz w:val="24"/>
        </w:rPr>
        <w:t>本项目中小企业划分标准所属行业</w:t>
      </w:r>
      <w:r>
        <w:rPr>
          <w:rFonts w:hint="eastAsia"/>
          <w:b/>
          <w:bCs/>
          <w:sz w:val="24"/>
        </w:rPr>
        <w:t>为“</w:t>
      </w:r>
      <w:r>
        <w:rPr>
          <w:b/>
          <w:bCs/>
          <w:spacing w:val="6"/>
          <w:sz w:val="24"/>
          <w:u w:val="single"/>
        </w:rPr>
        <w:t>采购文件中明确的所属行业</w:t>
      </w:r>
      <w:r>
        <w:rPr>
          <w:rFonts w:hint="eastAsia"/>
          <w:b/>
          <w:bCs/>
          <w:spacing w:val="6"/>
          <w:sz w:val="24"/>
          <w:u w:val="single"/>
        </w:rPr>
        <w:t>”，具体</w:t>
      </w:r>
      <w:r>
        <w:rPr>
          <w:b/>
          <w:bCs/>
          <w:sz w:val="24"/>
        </w:rPr>
        <w:t>详见第二章《</w:t>
      </w:r>
      <w:r>
        <w:rPr>
          <w:rFonts w:hint="eastAsia"/>
          <w:b/>
          <w:bCs/>
          <w:sz w:val="24"/>
        </w:rPr>
        <w:t>投标人</w:t>
      </w:r>
      <w:r>
        <w:rPr>
          <w:b/>
          <w:bCs/>
          <w:sz w:val="24"/>
        </w:rPr>
        <w:t>须知资料表》，</w:t>
      </w:r>
      <w:r>
        <w:rPr>
          <w:sz w:val="24"/>
        </w:rPr>
        <w:t>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sz w:val="24"/>
        </w:rPr>
      </w:pPr>
      <w:r>
        <w:rPr>
          <w:sz w:val="24"/>
        </w:rPr>
        <w:br w:type="page"/>
      </w:r>
    </w:p>
    <w:p>
      <w:pPr>
        <w:spacing w:line="360" w:lineRule="auto"/>
        <w:outlineLvl w:val="4"/>
        <w:rPr>
          <w:sz w:val="24"/>
          <w:szCs w:val="20"/>
        </w:rPr>
      </w:pPr>
      <w:r>
        <w:rPr>
          <w:sz w:val="24"/>
          <w:szCs w:val="20"/>
        </w:rPr>
        <w:t>2-1-1中小企业声明函及残疾人福利性单位声明函格式</w:t>
      </w:r>
    </w:p>
    <w:p>
      <w:pPr>
        <w:spacing w:before="240" w:beforeLines="100" w:after="240" w:afterLines="100" w:line="360" w:lineRule="auto"/>
        <w:jc w:val="center"/>
        <w:rPr>
          <w:b/>
          <w:bCs/>
          <w:sz w:val="36"/>
          <w:szCs w:val="36"/>
        </w:rPr>
      </w:pPr>
      <w:r>
        <w:rPr>
          <w:rFonts w:hint="eastAsia"/>
          <w:b/>
          <w:bCs/>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企业名称（盖章）：________</w:t>
      </w:r>
    </w:p>
    <w:p>
      <w:pPr>
        <w:spacing w:line="360" w:lineRule="auto"/>
        <w:ind w:right="360" w:firstLine="480"/>
        <w:jc w:val="right"/>
        <w:rPr>
          <w:sz w:val="24"/>
        </w:rPr>
      </w:pPr>
      <w:r>
        <w:rPr>
          <w:sz w:val="24"/>
        </w:rPr>
        <w:t>日 期：________</w:t>
      </w:r>
    </w:p>
    <w:p>
      <w:pPr>
        <w:adjustRightInd w:val="0"/>
        <w:snapToGrid w:val="0"/>
        <w:jc w:val="left"/>
        <w:rPr>
          <w:sz w:val="24"/>
          <w:szCs w:val="21"/>
        </w:rPr>
      </w:pPr>
    </w:p>
    <w:p>
      <w:pPr>
        <w:adjustRightInd w:val="0"/>
        <w:snapToGrid w:val="0"/>
        <w:jc w:val="left"/>
        <w:rPr>
          <w:sz w:val="24"/>
          <w:szCs w:val="21"/>
        </w:rPr>
      </w:pPr>
    </w:p>
    <w:tbl>
      <w:tblPr>
        <w:tblStyle w:val="5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djustRightInd w:val="0"/>
        <w:snapToGrid w:val="0"/>
        <w:jc w:val="left"/>
        <w:rPr>
          <w:szCs w:val="21"/>
          <w:vertAlign w:val="superscript"/>
        </w:rPr>
      </w:pPr>
    </w:p>
    <w:p>
      <w:pPr>
        <w:spacing w:line="360" w:lineRule="auto"/>
        <w:rPr>
          <w:sz w:val="24"/>
        </w:rPr>
      </w:pPr>
    </w:p>
    <w:p>
      <w:pPr>
        <w:spacing w:line="360" w:lineRule="auto"/>
        <w:ind w:right="360" w:firstLine="480"/>
        <w:jc w:val="center"/>
        <w:rPr>
          <w:b/>
          <w:sz w:val="36"/>
          <w:szCs w:val="36"/>
        </w:rPr>
      </w:pPr>
      <w:r>
        <w:rPr>
          <w:sz w:val="24"/>
        </w:rPr>
        <w:br w:type="page"/>
      </w:r>
      <w:r>
        <w:rPr>
          <w:rFonts w:hint="eastAsia"/>
          <w:sz w:val="24"/>
          <w:szCs w:val="20"/>
        </w:rPr>
        <w:t xml:space="preserve">   </w:t>
      </w:r>
      <w:r>
        <w:rPr>
          <w:rFonts w:hint="eastAsia"/>
          <w:b/>
          <w:bCs/>
          <w:sz w:val="36"/>
          <w:szCs w:val="36"/>
        </w:rPr>
        <w:t>残疾人福利性单位声明函格式</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rFonts w:hint="eastAsia" w:ascii="宋体" w:hAnsi="宋体" w:cs="宋体"/>
          <w:sz w:val="24"/>
        </w:rPr>
        <w:t>□</w:t>
      </w:r>
      <w:r>
        <w:rPr>
          <w:b/>
          <w:spacing w:val="6"/>
          <w:sz w:val="24"/>
        </w:rPr>
        <w:t>不属于符合条件的残疾人福利性单位。</w:t>
      </w:r>
    </w:p>
    <w:p>
      <w:pPr>
        <w:spacing w:line="588" w:lineRule="exact"/>
        <w:ind w:firstLine="482"/>
        <w:rPr>
          <w:spacing w:val="6"/>
          <w:sz w:val="24"/>
        </w:rPr>
      </w:pPr>
      <w:r>
        <w:rPr>
          <w:rFonts w:hint="eastAsia" w:ascii="宋体" w:hAnsi="宋体" w:cs="宋体"/>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sz w:val="24"/>
          <w:szCs w:val="20"/>
        </w:rPr>
      </w:pPr>
      <w:r>
        <w:rPr>
          <w:sz w:val="24"/>
          <w:szCs w:val="20"/>
        </w:rPr>
        <w:br w:type="page"/>
      </w:r>
    </w:p>
    <w:p>
      <w:pPr>
        <w:spacing w:line="360" w:lineRule="auto"/>
        <w:outlineLvl w:val="4"/>
        <w:rPr>
          <w:sz w:val="24"/>
          <w:szCs w:val="20"/>
        </w:rPr>
      </w:pPr>
      <w:r>
        <w:rPr>
          <w:sz w:val="24"/>
          <w:szCs w:val="20"/>
        </w:rPr>
        <w:t>2-1-2拟分包情况说明及分包意向协议</w:t>
      </w:r>
    </w:p>
    <w:p>
      <w:pPr>
        <w:autoSpaceDE w:val="0"/>
        <w:autoSpaceDN w:val="0"/>
        <w:adjustRightInd w:val="0"/>
        <w:jc w:val="center"/>
        <w:rPr>
          <w:sz w:val="30"/>
          <w:szCs w:val="30"/>
        </w:rPr>
      </w:pPr>
    </w:p>
    <w:p>
      <w:pPr>
        <w:autoSpaceDE w:val="0"/>
        <w:autoSpaceDN w:val="0"/>
        <w:adjustRightInd w:val="0"/>
        <w:spacing w:line="360" w:lineRule="auto"/>
        <w:jc w:val="center"/>
        <w:rPr>
          <w:b/>
          <w:sz w:val="36"/>
          <w:szCs w:val="36"/>
        </w:rPr>
      </w:pPr>
      <w:r>
        <w:rPr>
          <w:rFonts w:hint="eastAsia"/>
          <w:b/>
          <w:sz w:val="36"/>
          <w:szCs w:val="36"/>
        </w:rPr>
        <w:t>拟分包情况说明</w:t>
      </w:r>
    </w:p>
    <w:p>
      <w:pPr>
        <w:tabs>
          <w:tab w:val="left" w:pos="5580"/>
        </w:tabs>
        <w:spacing w:line="360" w:lineRule="auto"/>
        <w:rPr>
          <w:sz w:val="24"/>
        </w:rPr>
      </w:pPr>
      <w:r>
        <w:rPr>
          <w:sz w:val="24"/>
        </w:rPr>
        <w:t>致：</w:t>
      </w:r>
      <w:r>
        <w:rPr>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56"/>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vAlign w:val="center"/>
          </w:tcPr>
          <w:p>
            <w:pPr>
              <w:pStyle w:val="216"/>
              <w:jc w:val="center"/>
              <w:rPr>
                <w:sz w:val="24"/>
              </w:rPr>
            </w:pPr>
            <w:r>
              <w:rPr>
                <w:sz w:val="24"/>
              </w:rPr>
              <w:t>序号</w:t>
            </w:r>
          </w:p>
        </w:tc>
        <w:tc>
          <w:tcPr>
            <w:tcW w:w="1287" w:type="dxa"/>
            <w:vAlign w:val="center"/>
          </w:tcPr>
          <w:p>
            <w:pPr>
              <w:pStyle w:val="216"/>
              <w:jc w:val="center"/>
              <w:rPr>
                <w:sz w:val="24"/>
              </w:rPr>
            </w:pPr>
            <w:r>
              <w:rPr>
                <w:sz w:val="24"/>
              </w:rPr>
              <w:t>分包承担</w:t>
            </w:r>
          </w:p>
          <w:p>
            <w:pPr>
              <w:pStyle w:val="216"/>
              <w:jc w:val="center"/>
              <w:rPr>
                <w:sz w:val="24"/>
              </w:rPr>
            </w:pPr>
            <w:r>
              <w:rPr>
                <w:sz w:val="24"/>
              </w:rPr>
              <w:t>主体名称</w:t>
            </w:r>
          </w:p>
        </w:tc>
        <w:tc>
          <w:tcPr>
            <w:tcW w:w="1513" w:type="dxa"/>
            <w:vAlign w:val="center"/>
          </w:tcPr>
          <w:p>
            <w:pPr>
              <w:pStyle w:val="216"/>
              <w:jc w:val="center"/>
              <w:rPr>
                <w:sz w:val="24"/>
                <w:lang w:eastAsia="zh-CN"/>
              </w:rPr>
            </w:pPr>
            <w:r>
              <w:rPr>
                <w:sz w:val="24"/>
                <w:lang w:eastAsia="zh-CN"/>
              </w:rPr>
              <w:t>分包承担</w:t>
            </w:r>
          </w:p>
          <w:p>
            <w:pPr>
              <w:pStyle w:val="216"/>
              <w:jc w:val="center"/>
              <w:rPr>
                <w:sz w:val="24"/>
                <w:lang w:eastAsia="zh-CN"/>
              </w:rPr>
            </w:pPr>
            <w:r>
              <w:rPr>
                <w:sz w:val="24"/>
                <w:lang w:eastAsia="zh-CN"/>
              </w:rPr>
              <w:t>主体类型</w:t>
            </w:r>
          </w:p>
          <w:p>
            <w:pPr>
              <w:pStyle w:val="216"/>
              <w:jc w:val="center"/>
              <w:rPr>
                <w:sz w:val="24"/>
                <w:lang w:eastAsia="zh-CN"/>
              </w:rPr>
            </w:pPr>
            <w:r>
              <w:rPr>
                <w:rFonts w:hint="eastAsia"/>
                <w:sz w:val="24"/>
                <w:lang w:eastAsia="zh-CN"/>
              </w:rPr>
              <w:t>（勾选）</w:t>
            </w:r>
          </w:p>
        </w:tc>
        <w:tc>
          <w:tcPr>
            <w:tcW w:w="1125" w:type="dxa"/>
            <w:vAlign w:val="center"/>
          </w:tcPr>
          <w:p>
            <w:pPr>
              <w:pStyle w:val="216"/>
              <w:jc w:val="center"/>
              <w:rPr>
                <w:sz w:val="24"/>
              </w:rPr>
            </w:pPr>
            <w:r>
              <w:rPr>
                <w:sz w:val="24"/>
              </w:rPr>
              <w:t>资质等级</w:t>
            </w:r>
          </w:p>
        </w:tc>
        <w:tc>
          <w:tcPr>
            <w:tcW w:w="1561" w:type="dxa"/>
            <w:vAlign w:val="center"/>
          </w:tcPr>
          <w:p>
            <w:pPr>
              <w:pStyle w:val="216"/>
              <w:jc w:val="center"/>
              <w:rPr>
                <w:sz w:val="24"/>
              </w:rPr>
            </w:pPr>
            <w:r>
              <w:rPr>
                <w:sz w:val="24"/>
              </w:rPr>
              <w:t>拟分包</w:t>
            </w:r>
          </w:p>
          <w:p>
            <w:pPr>
              <w:pStyle w:val="216"/>
              <w:jc w:val="center"/>
              <w:rPr>
                <w:sz w:val="24"/>
              </w:rPr>
            </w:pPr>
            <w:r>
              <w:rPr>
                <w:sz w:val="24"/>
              </w:rPr>
              <w:t>合同内容</w:t>
            </w:r>
          </w:p>
        </w:tc>
        <w:tc>
          <w:tcPr>
            <w:tcW w:w="1498" w:type="dxa"/>
            <w:vAlign w:val="center"/>
          </w:tcPr>
          <w:p>
            <w:pPr>
              <w:pStyle w:val="216"/>
              <w:jc w:val="center"/>
              <w:rPr>
                <w:sz w:val="24"/>
                <w:lang w:eastAsia="zh-CN"/>
              </w:rPr>
            </w:pPr>
            <w:r>
              <w:rPr>
                <w:sz w:val="24"/>
                <w:lang w:eastAsia="zh-CN"/>
              </w:rPr>
              <w:t>拟分包</w:t>
            </w:r>
          </w:p>
          <w:p>
            <w:pPr>
              <w:pStyle w:val="216"/>
              <w:jc w:val="center"/>
              <w:rPr>
                <w:sz w:val="24"/>
                <w:lang w:eastAsia="zh-CN"/>
              </w:rPr>
            </w:pPr>
            <w:r>
              <w:rPr>
                <w:sz w:val="24"/>
                <w:lang w:eastAsia="zh-CN"/>
              </w:rPr>
              <w:t>合同金额</w:t>
            </w:r>
          </w:p>
          <w:p>
            <w:pPr>
              <w:pStyle w:val="216"/>
              <w:jc w:val="center"/>
              <w:rPr>
                <w:sz w:val="24"/>
                <w:lang w:eastAsia="zh-CN"/>
              </w:rPr>
            </w:pPr>
            <w:r>
              <w:rPr>
                <w:sz w:val="24"/>
                <w:lang w:eastAsia="zh-CN"/>
              </w:rPr>
              <w:t>（人民币元）</w:t>
            </w:r>
          </w:p>
        </w:tc>
        <w:tc>
          <w:tcPr>
            <w:tcW w:w="1564" w:type="dxa"/>
            <w:vAlign w:val="center"/>
          </w:tcPr>
          <w:p>
            <w:pPr>
              <w:pStyle w:val="216"/>
              <w:jc w:val="center"/>
              <w:rPr>
                <w:sz w:val="24"/>
                <w:lang w:eastAsia="zh-CN"/>
              </w:rPr>
            </w:pPr>
            <w:r>
              <w:rPr>
                <w:sz w:val="24"/>
                <w:lang w:eastAsia="zh-CN"/>
              </w:rPr>
              <w:t>占该采购包</w:t>
            </w:r>
          </w:p>
          <w:p>
            <w:pPr>
              <w:pStyle w:val="216"/>
              <w:jc w:val="center"/>
              <w:rPr>
                <w:b/>
                <w:sz w:val="24"/>
                <w:lang w:eastAsia="zh-CN"/>
              </w:rPr>
            </w:pPr>
            <w:r>
              <w:rPr>
                <w:rFonts w:hint="eastAsia"/>
                <w:b/>
                <w:sz w:val="24"/>
                <w:lang w:eastAsia="zh-CN"/>
              </w:rPr>
              <w:t>预算</w:t>
            </w:r>
            <w:r>
              <w:rPr>
                <w:b/>
                <w:sz w:val="24"/>
                <w:lang w:eastAsia="zh-CN"/>
              </w:rPr>
              <w:t>金额的</w:t>
            </w:r>
          </w:p>
          <w:p>
            <w:pPr>
              <w:pStyle w:val="216"/>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16"/>
              <w:jc w:val="center"/>
              <w:rPr>
                <w:rFonts w:ascii="Times New Roman"/>
                <w:sz w:val="24"/>
              </w:rPr>
            </w:pPr>
            <w:r>
              <w:rPr>
                <w:rFonts w:ascii="Times New Roman"/>
                <w:sz w:val="24"/>
              </w:rPr>
              <w:t>1</w:t>
            </w:r>
          </w:p>
        </w:tc>
        <w:tc>
          <w:tcPr>
            <w:tcW w:w="1287" w:type="dxa"/>
            <w:vAlign w:val="center"/>
          </w:tcPr>
          <w:p>
            <w:pPr>
              <w:pStyle w:val="216"/>
              <w:jc w:val="center"/>
              <w:rPr>
                <w:rFonts w:ascii="Times New Roman" w:hAnsi="Times New Roman" w:cs="Times New Roman"/>
                <w:sz w:val="30"/>
              </w:rPr>
            </w:pPr>
          </w:p>
        </w:tc>
        <w:tc>
          <w:tcPr>
            <w:tcW w:w="1513" w:type="dxa"/>
            <w:vAlign w:val="center"/>
          </w:tcPr>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ascii="Times New Roman" w:hAnsi="Times New Roman" w:cs="Times New Roman"/>
                <w:sz w:val="24"/>
                <w:lang w:eastAsia="zh-CN"/>
              </w:rPr>
              <w:t>中型企业</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ascii="Times New Roman" w:hAnsi="Times New Roman" w:cs="Times New Roman"/>
                <w:sz w:val="24"/>
                <w:lang w:eastAsia="zh-CN"/>
              </w:rPr>
              <w:t>小微企业</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□其他</w:t>
            </w:r>
          </w:p>
        </w:tc>
        <w:tc>
          <w:tcPr>
            <w:tcW w:w="1125" w:type="dxa"/>
            <w:vAlign w:val="center"/>
          </w:tcPr>
          <w:p>
            <w:pPr>
              <w:pStyle w:val="216"/>
              <w:jc w:val="center"/>
              <w:rPr>
                <w:rFonts w:ascii="Times New Roman"/>
                <w:sz w:val="30"/>
                <w:lang w:eastAsia="zh-CN"/>
              </w:rPr>
            </w:pPr>
          </w:p>
        </w:tc>
        <w:tc>
          <w:tcPr>
            <w:tcW w:w="1561" w:type="dxa"/>
            <w:vAlign w:val="center"/>
          </w:tcPr>
          <w:p>
            <w:pPr>
              <w:pStyle w:val="216"/>
              <w:jc w:val="center"/>
              <w:rPr>
                <w:rFonts w:ascii="Times New Roman"/>
                <w:sz w:val="30"/>
                <w:lang w:eastAsia="zh-CN"/>
              </w:rPr>
            </w:pPr>
          </w:p>
        </w:tc>
        <w:tc>
          <w:tcPr>
            <w:tcW w:w="1498" w:type="dxa"/>
            <w:vAlign w:val="center"/>
          </w:tcPr>
          <w:p>
            <w:pPr>
              <w:pStyle w:val="216"/>
              <w:jc w:val="center"/>
              <w:rPr>
                <w:rFonts w:ascii="Times New Roman"/>
                <w:sz w:val="30"/>
                <w:lang w:eastAsia="zh-CN"/>
              </w:rPr>
            </w:pPr>
          </w:p>
        </w:tc>
        <w:tc>
          <w:tcPr>
            <w:tcW w:w="1564" w:type="dxa"/>
            <w:vAlign w:val="center"/>
          </w:tcPr>
          <w:p>
            <w:pPr>
              <w:pStyle w:val="21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16"/>
              <w:jc w:val="center"/>
              <w:rPr>
                <w:rFonts w:ascii="Times New Roman"/>
                <w:sz w:val="24"/>
                <w:lang w:eastAsia="zh-CN"/>
              </w:rPr>
            </w:pPr>
            <w:r>
              <w:rPr>
                <w:rFonts w:hint="eastAsia" w:ascii="Times New Roman"/>
                <w:sz w:val="24"/>
                <w:lang w:eastAsia="zh-CN"/>
              </w:rPr>
              <w:t>2</w:t>
            </w:r>
          </w:p>
        </w:tc>
        <w:tc>
          <w:tcPr>
            <w:tcW w:w="1287" w:type="dxa"/>
            <w:vAlign w:val="center"/>
          </w:tcPr>
          <w:p>
            <w:pPr>
              <w:pStyle w:val="216"/>
              <w:jc w:val="center"/>
              <w:rPr>
                <w:rFonts w:ascii="Times New Roman"/>
                <w:sz w:val="30"/>
              </w:rPr>
            </w:pPr>
          </w:p>
        </w:tc>
        <w:tc>
          <w:tcPr>
            <w:tcW w:w="1513" w:type="dxa"/>
            <w:vAlign w:val="center"/>
          </w:tcPr>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ascii="Times New Roman" w:hAnsi="Times New Roman" w:cs="Times New Roman"/>
                <w:sz w:val="24"/>
                <w:lang w:eastAsia="zh-CN"/>
              </w:rPr>
              <w:t>中型企业</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ascii="Times New Roman" w:hAnsi="Times New Roman" w:cs="Times New Roman"/>
                <w:sz w:val="24"/>
                <w:lang w:eastAsia="zh-CN"/>
              </w:rPr>
              <w:t>小微企业</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□其他</w:t>
            </w:r>
          </w:p>
        </w:tc>
        <w:tc>
          <w:tcPr>
            <w:tcW w:w="1125" w:type="dxa"/>
            <w:vAlign w:val="center"/>
          </w:tcPr>
          <w:p>
            <w:pPr>
              <w:pStyle w:val="216"/>
              <w:jc w:val="center"/>
              <w:rPr>
                <w:rFonts w:ascii="Times New Roman"/>
                <w:sz w:val="30"/>
                <w:lang w:eastAsia="zh-CN"/>
              </w:rPr>
            </w:pPr>
          </w:p>
        </w:tc>
        <w:tc>
          <w:tcPr>
            <w:tcW w:w="1561" w:type="dxa"/>
            <w:vAlign w:val="center"/>
          </w:tcPr>
          <w:p>
            <w:pPr>
              <w:pStyle w:val="216"/>
              <w:jc w:val="center"/>
              <w:rPr>
                <w:rFonts w:ascii="Times New Roman"/>
                <w:sz w:val="30"/>
                <w:lang w:eastAsia="zh-CN"/>
              </w:rPr>
            </w:pPr>
          </w:p>
        </w:tc>
        <w:tc>
          <w:tcPr>
            <w:tcW w:w="1498" w:type="dxa"/>
            <w:vAlign w:val="center"/>
          </w:tcPr>
          <w:p>
            <w:pPr>
              <w:pStyle w:val="216"/>
              <w:jc w:val="center"/>
              <w:rPr>
                <w:rFonts w:ascii="Times New Roman"/>
                <w:sz w:val="30"/>
                <w:lang w:eastAsia="zh-CN"/>
              </w:rPr>
            </w:pPr>
          </w:p>
        </w:tc>
        <w:tc>
          <w:tcPr>
            <w:tcW w:w="1564" w:type="dxa"/>
            <w:vAlign w:val="center"/>
          </w:tcPr>
          <w:p>
            <w:pPr>
              <w:pStyle w:val="21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16"/>
              <w:jc w:val="center"/>
              <w:rPr>
                <w:rFonts w:ascii="Times New Roman"/>
                <w:sz w:val="24"/>
                <w:lang w:eastAsia="zh-CN"/>
              </w:rPr>
            </w:pPr>
            <w:r>
              <w:rPr>
                <w:rFonts w:ascii="Times New Roman"/>
                <w:sz w:val="24"/>
                <w:lang w:eastAsia="zh-CN"/>
              </w:rPr>
              <w:t>…</w:t>
            </w:r>
          </w:p>
        </w:tc>
        <w:tc>
          <w:tcPr>
            <w:tcW w:w="1287" w:type="dxa"/>
            <w:vAlign w:val="center"/>
          </w:tcPr>
          <w:p>
            <w:pPr>
              <w:pStyle w:val="216"/>
              <w:jc w:val="center"/>
              <w:rPr>
                <w:rFonts w:ascii="Times New Roman"/>
                <w:sz w:val="30"/>
              </w:rPr>
            </w:pPr>
          </w:p>
        </w:tc>
        <w:tc>
          <w:tcPr>
            <w:tcW w:w="1513" w:type="dxa"/>
            <w:vAlign w:val="center"/>
          </w:tcPr>
          <w:p>
            <w:pPr>
              <w:pStyle w:val="216"/>
              <w:tabs>
                <w:tab w:val="left" w:pos="235"/>
              </w:tabs>
              <w:jc w:val="center"/>
              <w:rPr>
                <w:sz w:val="24"/>
              </w:rPr>
            </w:pPr>
          </w:p>
        </w:tc>
        <w:tc>
          <w:tcPr>
            <w:tcW w:w="1125" w:type="dxa"/>
            <w:vAlign w:val="center"/>
          </w:tcPr>
          <w:p>
            <w:pPr>
              <w:pStyle w:val="216"/>
              <w:jc w:val="center"/>
              <w:rPr>
                <w:rFonts w:ascii="Times New Roman"/>
                <w:sz w:val="30"/>
              </w:rPr>
            </w:pPr>
          </w:p>
        </w:tc>
        <w:tc>
          <w:tcPr>
            <w:tcW w:w="1561" w:type="dxa"/>
            <w:vAlign w:val="center"/>
          </w:tcPr>
          <w:p>
            <w:pPr>
              <w:pStyle w:val="216"/>
              <w:jc w:val="center"/>
              <w:rPr>
                <w:rFonts w:ascii="Times New Roman"/>
                <w:sz w:val="30"/>
              </w:rPr>
            </w:pPr>
          </w:p>
        </w:tc>
        <w:tc>
          <w:tcPr>
            <w:tcW w:w="1498" w:type="dxa"/>
            <w:vAlign w:val="center"/>
          </w:tcPr>
          <w:p>
            <w:pPr>
              <w:pStyle w:val="216"/>
              <w:jc w:val="center"/>
              <w:rPr>
                <w:rFonts w:ascii="Times New Roman"/>
                <w:sz w:val="30"/>
              </w:rPr>
            </w:pPr>
          </w:p>
        </w:tc>
        <w:tc>
          <w:tcPr>
            <w:tcW w:w="1564" w:type="dxa"/>
            <w:vAlign w:val="center"/>
          </w:tcPr>
          <w:p>
            <w:pPr>
              <w:pStyle w:val="216"/>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vAlign w:val="center"/>
          </w:tcPr>
          <w:p>
            <w:pPr>
              <w:pStyle w:val="216"/>
              <w:ind w:right="57" w:rightChars="27"/>
              <w:jc w:val="right"/>
              <w:rPr>
                <w:sz w:val="24"/>
                <w:lang w:eastAsia="zh-CN"/>
              </w:rPr>
            </w:pPr>
            <w:r>
              <w:rPr>
                <w:rFonts w:hint="eastAsia"/>
                <w:sz w:val="24"/>
                <w:lang w:eastAsia="zh-CN"/>
              </w:rPr>
              <w:t>合计：</w:t>
            </w:r>
          </w:p>
        </w:tc>
        <w:tc>
          <w:tcPr>
            <w:tcW w:w="1498" w:type="dxa"/>
            <w:vAlign w:val="center"/>
          </w:tcPr>
          <w:p>
            <w:pPr>
              <w:pStyle w:val="216"/>
              <w:jc w:val="center"/>
              <w:rPr>
                <w:rFonts w:ascii="Times New Roman"/>
                <w:sz w:val="30"/>
              </w:rPr>
            </w:pPr>
          </w:p>
        </w:tc>
        <w:tc>
          <w:tcPr>
            <w:tcW w:w="1564" w:type="dxa"/>
            <w:vAlign w:val="center"/>
          </w:tcPr>
          <w:p>
            <w:pPr>
              <w:pStyle w:val="216"/>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pPr>
        <w:spacing w:line="360" w:lineRule="auto"/>
        <w:ind w:right="-57" w:firstLine="480"/>
        <w:jc w:val="right"/>
        <w:rPr>
          <w:sz w:val="24"/>
        </w:rPr>
      </w:pPr>
      <w:r>
        <w:rPr>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rPr>
          <w:sz w:val="24"/>
        </w:rPr>
      </w:pPr>
      <w:r>
        <w:rPr>
          <w:rFonts w:cs="宋体"/>
          <w:spacing w:val="-1"/>
          <w:sz w:val="24"/>
        </w:rPr>
        <w:t>如本招标文件《投标人</w:t>
      </w:r>
      <w:r>
        <w:rPr>
          <w:rFonts w:cs="宋体"/>
          <w:sz w:val="24"/>
        </w:rPr>
        <w:t>须知资料表》载明本项目分包承担主体应具备的相应资质条件，</w:t>
      </w:r>
      <w:r>
        <w:rPr>
          <w:rFonts w:cs="宋体"/>
          <w:spacing w:val="-1"/>
          <w:sz w:val="24"/>
        </w:rPr>
        <w:t>则投标人须在本表中列明分包承担主体的资质等级，并后附资质证书</w:t>
      </w:r>
      <w:r>
        <w:rPr>
          <w:rFonts w:hint="eastAsia" w:cs="宋体"/>
          <w:spacing w:val="-1"/>
          <w:sz w:val="24"/>
        </w:rPr>
        <w:t>复印件</w:t>
      </w:r>
      <w:r>
        <w:rPr>
          <w:rFonts w:cs="宋体"/>
          <w:spacing w:val="-1"/>
          <w:sz w:val="24"/>
        </w:rPr>
        <w:t>，否则</w:t>
      </w:r>
      <w:r>
        <w:rPr>
          <w:rFonts w:cs="宋体"/>
          <w:b/>
          <w:spacing w:val="-11"/>
          <w:sz w:val="24"/>
        </w:rPr>
        <w:t>投标</w:t>
      </w:r>
      <w:r>
        <w:rPr>
          <w:rFonts w:cs="宋体"/>
          <w:b/>
          <w:spacing w:val="-1"/>
          <w:sz w:val="24"/>
        </w:rPr>
        <w:t>无效</w:t>
      </w:r>
      <w:r>
        <w:rPr>
          <w:rFonts w:cs="宋体"/>
          <w:spacing w:val="-2"/>
          <w:sz w:val="24"/>
        </w:rPr>
        <w:t>。</w:t>
      </w:r>
    </w:p>
    <w:p>
      <w:pPr>
        <w:autoSpaceDE w:val="0"/>
        <w:autoSpaceDN w:val="0"/>
        <w:adjustRightInd w:val="0"/>
        <w:spacing w:line="360" w:lineRule="auto"/>
        <w:jc w:val="center"/>
        <w:rPr>
          <w:b/>
          <w:sz w:val="36"/>
          <w:szCs w:val="36"/>
        </w:rPr>
      </w:pPr>
      <w:r>
        <w:rPr>
          <w:sz w:val="30"/>
          <w:szCs w:val="30"/>
        </w:rPr>
        <w:br w:type="page"/>
      </w:r>
      <w:r>
        <w:rPr>
          <w:rFonts w:hint="eastAsia"/>
          <w:b/>
          <w:sz w:val="36"/>
          <w:szCs w:val="36"/>
        </w:rPr>
        <w:t>附：分包意向协议（实质性格式）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sz w:val="24"/>
        </w:rPr>
      </w:pPr>
    </w:p>
    <w:p>
      <w:pPr>
        <w:spacing w:line="360" w:lineRule="auto"/>
        <w:ind w:firstLine="471"/>
        <w:rPr>
          <w:b/>
          <w:sz w:val="24"/>
        </w:rPr>
      </w:pPr>
      <w:r>
        <w:rPr>
          <w:sz w:val="24"/>
        </w:rPr>
        <w:t>甲方（盖章）：_________                 乙方（盖章）：_________</w:t>
      </w:r>
    </w:p>
    <w:p>
      <w:pPr>
        <w:spacing w:line="360" w:lineRule="auto"/>
        <w:ind w:left="480"/>
        <w:jc w:val="right"/>
        <w:rPr>
          <w:sz w:val="24"/>
        </w:rPr>
      </w:pPr>
    </w:p>
    <w:p>
      <w:pPr>
        <w:wordWrap w:val="0"/>
        <w:spacing w:line="360" w:lineRule="auto"/>
        <w:ind w:left="480"/>
        <w:jc w:val="right"/>
        <w:rPr>
          <w:b/>
          <w:sz w:val="24"/>
        </w:rPr>
      </w:pPr>
      <w:r>
        <w:rPr>
          <w:sz w:val="24"/>
          <w:szCs w:val="20"/>
        </w:rPr>
        <w:t xml:space="preserve">日期：_____年______月______日   </w:t>
      </w:r>
    </w:p>
    <w:p>
      <w:pPr>
        <w:tabs>
          <w:tab w:val="left" w:pos="8280"/>
        </w:tabs>
        <w:spacing w:line="360" w:lineRule="auto"/>
        <w:ind w:firstLine="480"/>
        <w:rPr>
          <w:sz w:val="24"/>
        </w:rPr>
      </w:pPr>
    </w:p>
    <w:p>
      <w:pPr>
        <w:tabs>
          <w:tab w:val="left" w:pos="8280"/>
        </w:tabs>
        <w:spacing w:line="360" w:lineRule="auto"/>
        <w:rPr>
          <w:sz w:val="24"/>
        </w:rPr>
      </w:pPr>
      <w:r>
        <w:rPr>
          <w:sz w:val="24"/>
        </w:rPr>
        <w:t>说明：</w:t>
      </w:r>
    </w:p>
    <w:p>
      <w:pPr>
        <w:autoSpaceDE w:val="0"/>
        <w:autoSpaceDN w:val="0"/>
        <w:adjustRightInd w:val="0"/>
        <w:spacing w:line="360" w:lineRule="auto"/>
        <w:rPr>
          <w:sz w:val="24"/>
        </w:rPr>
      </w:pPr>
      <w:r>
        <w:rPr>
          <w:rFonts w:cs="宋体"/>
          <w:spacing w:val="-1"/>
          <w:sz w:val="24"/>
        </w:rPr>
        <w:t>本协议仅在投标人</w:t>
      </w:r>
      <w:r>
        <w:rPr>
          <w:rFonts w:eastAsia="Times New Roman"/>
          <w:sz w:val="24"/>
        </w:rPr>
        <w:t>“</w:t>
      </w:r>
      <w:r>
        <w:rPr>
          <w:rFonts w:cs="宋体"/>
          <w:spacing w:val="-1"/>
          <w:sz w:val="24"/>
        </w:rPr>
        <w:t>为落实政府采购政策</w:t>
      </w:r>
      <w:r>
        <w:rPr>
          <w:rFonts w:eastAsia="Times New Roman"/>
          <w:spacing w:val="-1"/>
          <w:sz w:val="24"/>
        </w:rPr>
        <w:t>”</w:t>
      </w:r>
      <w:r>
        <w:rPr>
          <w:rFonts w:cs="宋体"/>
          <w:spacing w:val="-1"/>
          <w:sz w:val="24"/>
        </w:rPr>
        <w:t>而向中小企业分包时必须提供，否则</w:t>
      </w:r>
      <w:r>
        <w:rPr>
          <w:rFonts w:cs="宋体"/>
          <w:b/>
          <w:sz w:val="24"/>
        </w:rPr>
        <w:t>投标无效</w:t>
      </w:r>
      <w:r>
        <w:rPr>
          <w:rFonts w:cs="宋体"/>
          <w:spacing w:val="-1"/>
          <w:sz w:val="24"/>
        </w:rPr>
        <w:t>；</w:t>
      </w:r>
      <w:r>
        <w:rPr>
          <w:rFonts w:cs="宋体"/>
          <w:spacing w:val="-2"/>
          <w:sz w:val="24"/>
        </w:rPr>
        <w:t>且投标人须与所有拟分包单</w:t>
      </w:r>
      <w:r>
        <w:rPr>
          <w:rFonts w:cs="宋体"/>
          <w:spacing w:val="-1"/>
          <w:sz w:val="24"/>
        </w:rPr>
        <w:t>位分别签订《分包意向协议》，每单位签订一份，并在投标</w:t>
      </w:r>
      <w:r>
        <w:rPr>
          <w:rFonts w:cs="宋体"/>
          <w:sz w:val="24"/>
        </w:rPr>
        <w:t>文件中提交全部协议原件，否则</w:t>
      </w:r>
      <w:r>
        <w:rPr>
          <w:rFonts w:cs="宋体"/>
          <w:b/>
          <w:spacing w:val="-1"/>
          <w:sz w:val="24"/>
        </w:rPr>
        <w:t>投标无效</w:t>
      </w:r>
      <w:r>
        <w:rPr>
          <w:rFonts w:cs="宋体"/>
          <w:spacing w:val="-1"/>
          <w:sz w:val="24"/>
        </w:rPr>
        <w:t>。</w:t>
      </w:r>
    </w:p>
    <w:p>
      <w:pPr>
        <w:tabs>
          <w:tab w:val="left" w:pos="8280"/>
        </w:tabs>
        <w:spacing w:line="360" w:lineRule="auto"/>
        <w:rPr>
          <w:sz w:val="24"/>
        </w:rPr>
        <w:sectPr>
          <w:headerReference r:id="rId10" w:type="first"/>
          <w:footerReference r:id="rId12" w:type="first"/>
          <w:headerReference r:id="rId9" w:type="even"/>
          <w:footerReference r:id="rId11" w:type="even"/>
          <w:pgSz w:w="11907" w:h="16840"/>
          <w:pgMar w:top="1418" w:right="1134" w:bottom="1418" w:left="1701" w:header="851" w:footer="851" w:gutter="0"/>
          <w:pgNumType w:fmt="decimal"/>
          <w:cols w:space="720" w:num="1"/>
          <w:docGrid w:linePitch="462" w:charSpace="0"/>
        </w:sectPr>
      </w:pPr>
    </w:p>
    <w:p>
      <w:pPr>
        <w:spacing w:line="360" w:lineRule="auto"/>
        <w:outlineLvl w:val="3"/>
        <w:rPr>
          <w:sz w:val="24"/>
          <w:szCs w:val="20"/>
        </w:rPr>
      </w:pPr>
      <w:r>
        <w:rPr>
          <w:sz w:val="24"/>
          <w:szCs w:val="20"/>
        </w:rPr>
        <w:t xml:space="preserve">2-2 </w:t>
      </w:r>
      <w:r>
        <w:rPr>
          <w:sz w:val="24"/>
        </w:rPr>
        <w:t>其它落实政府采购政策的资格要求</w:t>
      </w:r>
      <w:r>
        <w:rPr>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sz w:val="24"/>
          <w:szCs w:val="20"/>
        </w:rPr>
        <w:t xml:space="preserve">3 </w:t>
      </w:r>
      <w:r>
        <w:rPr>
          <w:sz w:val="24"/>
        </w:rPr>
        <w:t>本项目的特定资格要求</w:t>
      </w:r>
      <w:r>
        <w:rPr>
          <w:sz w:val="24"/>
          <w:szCs w:val="20"/>
        </w:rPr>
        <w:t>（如有）</w:t>
      </w:r>
    </w:p>
    <w:p>
      <w:pPr>
        <w:spacing w:line="360" w:lineRule="auto"/>
        <w:outlineLvl w:val="3"/>
        <w:rPr>
          <w:sz w:val="24"/>
          <w:szCs w:val="20"/>
        </w:rPr>
      </w:pPr>
      <w:r>
        <w:rPr>
          <w:sz w:val="24"/>
          <w:szCs w:val="20"/>
        </w:rPr>
        <w:t>3-1联合协议（如有）（实质性格式）</w:t>
      </w:r>
    </w:p>
    <w:p>
      <w:pPr>
        <w:autoSpaceDE w:val="0"/>
        <w:autoSpaceDN w:val="0"/>
        <w:adjustRightInd w:val="0"/>
        <w:spacing w:line="360" w:lineRule="auto"/>
        <w:jc w:val="center"/>
        <w:rPr>
          <w:b/>
          <w:sz w:val="36"/>
          <w:szCs w:val="36"/>
        </w:rPr>
      </w:pPr>
      <w:r>
        <w:rPr>
          <w:rFonts w:hint="eastAsia"/>
          <w:b/>
          <w:sz w:val="36"/>
          <w:szCs w:val="36"/>
        </w:rPr>
        <w:t>联合协议</w:t>
      </w:r>
    </w:p>
    <w:p>
      <w:pPr>
        <w:spacing w:line="360" w:lineRule="auto"/>
        <w:ind w:firstLine="828" w:firstLineChars="345"/>
        <w:rPr>
          <w:bCs/>
        </w:rPr>
      </w:pPr>
      <w:r>
        <w:rPr>
          <w:bCs/>
          <w:sz w:val="24"/>
        </w:rPr>
        <w:t>______ 、 _____ 及 _____就“________（项目名称）</w:t>
      </w:r>
      <w:r>
        <w:rPr>
          <w:sz w:val="24"/>
        </w:rPr>
        <w:t>”____包</w:t>
      </w:r>
      <w:r>
        <w:rPr>
          <w:bCs/>
          <w:sz w:val="24"/>
        </w:rPr>
        <w:t>招标项目的投标事宜，经各方充分协商一致，达成如下协议：</w:t>
      </w:r>
    </w:p>
    <w:p>
      <w:pPr>
        <w:numPr>
          <w:ilvl w:val="0"/>
          <w:numId w:val="19"/>
        </w:numPr>
        <w:tabs>
          <w:tab w:val="left" w:pos="780"/>
        </w:tabs>
        <w:spacing w:line="360" w:lineRule="auto"/>
        <w:rPr>
          <w:bCs/>
          <w:sz w:val="24"/>
        </w:rPr>
      </w:pPr>
      <w:r>
        <w:rPr>
          <w:bCs/>
          <w:sz w:val="24"/>
        </w:rPr>
        <w:t>由_________牵头，_________、__________参加，组成联合体共同进行招标项目的投标工作。</w:t>
      </w:r>
    </w:p>
    <w:p>
      <w:pPr>
        <w:numPr>
          <w:ilvl w:val="0"/>
          <w:numId w:val="19"/>
        </w:numPr>
        <w:tabs>
          <w:tab w:val="left" w:pos="780"/>
        </w:tabs>
        <w:spacing w:line="360" w:lineRule="auto"/>
        <w:rPr>
          <w:bCs/>
          <w:sz w:val="24"/>
        </w:rPr>
      </w:pPr>
      <w:r>
        <w:rPr>
          <w:bCs/>
          <w:sz w:val="24"/>
        </w:rPr>
        <w:t>______为本次投标的牵头人，联合体以牵头人的名义参加投标，联合体中标后，联合体各方共同与采购人签订合同，就</w:t>
      </w:r>
      <w:r>
        <w:rPr>
          <w:rFonts w:hint="eastAsia"/>
          <w:bCs/>
          <w:sz w:val="24"/>
        </w:rPr>
        <w:t>采购合同约定的事项</w:t>
      </w:r>
      <w:r>
        <w:rPr>
          <w:bCs/>
          <w:sz w:val="24"/>
        </w:rPr>
        <w:t>对采购人承担连带责任。</w:t>
      </w:r>
    </w:p>
    <w:p>
      <w:pPr>
        <w:numPr>
          <w:ilvl w:val="0"/>
          <w:numId w:val="19"/>
        </w:numPr>
        <w:tabs>
          <w:tab w:val="left" w:pos="780"/>
        </w:tabs>
        <w:spacing w:line="360" w:lineRule="auto"/>
        <w:rPr>
          <w:bCs/>
          <w:sz w:val="24"/>
        </w:rPr>
      </w:pPr>
      <w:r>
        <w:rPr>
          <w:bCs/>
          <w:sz w:val="24"/>
        </w:rPr>
        <w:t>联合体各方均同意由牵头人代表其他联合体成员单位按招标文件要求出具《授权委托书》。</w:t>
      </w:r>
    </w:p>
    <w:p>
      <w:pPr>
        <w:numPr>
          <w:ilvl w:val="0"/>
          <w:numId w:val="19"/>
        </w:numPr>
        <w:tabs>
          <w:tab w:val="left" w:pos="780"/>
        </w:tabs>
        <w:spacing w:line="360" w:lineRule="auto"/>
        <w:rPr>
          <w:bCs/>
          <w:sz w:val="24"/>
        </w:rPr>
      </w:pPr>
      <w:r>
        <w:rPr>
          <w:bCs/>
          <w:sz w:val="24"/>
        </w:rPr>
        <w:t>牵头人为项目的总负责单位；组织各参加方进行项目实施工作。</w:t>
      </w:r>
    </w:p>
    <w:p>
      <w:pPr>
        <w:numPr>
          <w:ilvl w:val="0"/>
          <w:numId w:val="19"/>
        </w:numPr>
        <w:tabs>
          <w:tab w:val="left" w:pos="780"/>
        </w:tabs>
        <w:spacing w:line="360" w:lineRule="auto"/>
        <w:rPr>
          <w:bCs/>
          <w:sz w:val="24"/>
        </w:rPr>
      </w:pPr>
      <w:r>
        <w:rPr>
          <w:bCs/>
          <w:sz w:val="24"/>
        </w:rPr>
        <w:t>______负责_____，具体工作范围、内容以投标文件及合同为准。</w:t>
      </w:r>
    </w:p>
    <w:p>
      <w:pPr>
        <w:numPr>
          <w:ilvl w:val="0"/>
          <w:numId w:val="19"/>
        </w:numPr>
        <w:tabs>
          <w:tab w:val="left" w:pos="780"/>
        </w:tabs>
        <w:spacing w:line="360" w:lineRule="auto"/>
        <w:rPr>
          <w:bCs/>
          <w:sz w:val="24"/>
        </w:rPr>
      </w:pPr>
      <w:r>
        <w:rPr>
          <w:bCs/>
          <w:sz w:val="24"/>
        </w:rPr>
        <w:t>______负责_____，具体工作范围、内容以投标文件及合同为准。</w:t>
      </w:r>
    </w:p>
    <w:p>
      <w:pPr>
        <w:numPr>
          <w:ilvl w:val="0"/>
          <w:numId w:val="19"/>
        </w:numPr>
        <w:tabs>
          <w:tab w:val="left" w:pos="780"/>
        </w:tabs>
        <w:spacing w:line="360" w:lineRule="auto"/>
        <w:rPr>
          <w:bCs/>
          <w:sz w:val="24"/>
        </w:rPr>
      </w:pPr>
      <w:r>
        <w:rPr>
          <w:bCs/>
          <w:sz w:val="24"/>
        </w:rPr>
        <w:t>______负责_____（如有），具体工作范围、内容以投标文件及合同为准。</w:t>
      </w:r>
    </w:p>
    <w:p>
      <w:pPr>
        <w:numPr>
          <w:ilvl w:val="0"/>
          <w:numId w:val="19"/>
        </w:numPr>
        <w:tabs>
          <w:tab w:val="left" w:pos="780"/>
        </w:tabs>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sz w:val="24"/>
          <w:szCs w:val="20"/>
        </w:rPr>
      </w:pPr>
      <w:r>
        <w:rPr>
          <w:sz w:val="24"/>
          <w:szCs w:val="20"/>
        </w:rPr>
        <w:t>（1）</w:t>
      </w:r>
      <w:r>
        <w:rPr>
          <w:bCs/>
          <w:sz w:val="24"/>
          <w:szCs w:val="20"/>
        </w:rPr>
        <w:t>______</w:t>
      </w:r>
      <w:r>
        <w:rPr>
          <w:sz w:val="24"/>
          <w:szCs w:val="20"/>
        </w:rPr>
        <w:t>为</w:t>
      </w:r>
      <w:r>
        <w:rPr>
          <w:rFonts w:hint="eastAsia" w:ascii="宋体" w:hAnsi="宋体" w:cs="宋体"/>
          <w:sz w:val="24"/>
        </w:rPr>
        <w:t>□</w:t>
      </w:r>
      <w:r>
        <w:rPr>
          <w:sz w:val="24"/>
          <w:szCs w:val="20"/>
        </w:rPr>
        <w:t>大型企业</w:t>
      </w:r>
      <w:r>
        <w:rPr>
          <w:rFonts w:hint="eastAsia" w:ascii="宋体" w:hAnsi="宋体" w:cs="宋体"/>
          <w:sz w:val="24"/>
        </w:rPr>
        <w:t>□</w:t>
      </w:r>
      <w:r>
        <w:rPr>
          <w:sz w:val="24"/>
          <w:szCs w:val="20"/>
        </w:rPr>
        <w:t>中型企业、</w:t>
      </w:r>
      <w:r>
        <w:rPr>
          <w:rFonts w:hint="eastAsia" w:ascii="宋体" w:hAnsi="宋体" w:cs="宋体"/>
          <w:sz w:val="24"/>
        </w:rPr>
        <w:t>□</w:t>
      </w:r>
      <w:r>
        <w:rPr>
          <w:sz w:val="24"/>
          <w:szCs w:val="20"/>
        </w:rPr>
        <w:t>小微企业（包含监狱企业、残疾人福利性单位）、</w:t>
      </w:r>
      <w:r>
        <w:rPr>
          <w:rFonts w:hint="eastAsia" w:ascii="宋体" w:hAnsi="宋体" w:cs="宋体"/>
          <w:sz w:val="24"/>
        </w:rPr>
        <w:t>□</w:t>
      </w:r>
      <w:r>
        <w:rPr>
          <w:sz w:val="24"/>
          <w:szCs w:val="20"/>
        </w:rPr>
        <w:t>其他，合同金额为_____元；</w:t>
      </w:r>
    </w:p>
    <w:p>
      <w:pPr>
        <w:tabs>
          <w:tab w:val="left" w:pos="720"/>
          <w:tab w:val="left" w:pos="900"/>
        </w:tabs>
        <w:spacing w:line="360" w:lineRule="auto"/>
        <w:ind w:left="851"/>
        <w:rPr>
          <w:sz w:val="24"/>
          <w:szCs w:val="20"/>
        </w:rPr>
      </w:pPr>
      <w:r>
        <w:rPr>
          <w:sz w:val="24"/>
          <w:szCs w:val="20"/>
        </w:rPr>
        <w:t>（2）</w:t>
      </w:r>
      <w:r>
        <w:rPr>
          <w:bCs/>
          <w:sz w:val="24"/>
          <w:szCs w:val="20"/>
        </w:rPr>
        <w:t>______</w:t>
      </w:r>
      <w:r>
        <w:rPr>
          <w:sz w:val="24"/>
          <w:szCs w:val="20"/>
        </w:rPr>
        <w:t>为</w:t>
      </w:r>
      <w:r>
        <w:rPr>
          <w:rFonts w:hint="eastAsia" w:ascii="宋体" w:hAnsi="宋体" w:cs="宋体"/>
          <w:sz w:val="24"/>
        </w:rPr>
        <w:t>□</w:t>
      </w:r>
      <w:r>
        <w:rPr>
          <w:sz w:val="24"/>
          <w:szCs w:val="20"/>
        </w:rPr>
        <w:t>大型企业</w:t>
      </w:r>
      <w:r>
        <w:rPr>
          <w:rFonts w:hint="eastAsia" w:ascii="宋体" w:hAnsi="宋体" w:cs="宋体"/>
          <w:sz w:val="24"/>
        </w:rPr>
        <w:t>□</w:t>
      </w:r>
      <w:r>
        <w:rPr>
          <w:sz w:val="24"/>
          <w:szCs w:val="20"/>
        </w:rPr>
        <w:t>中型企业、</w:t>
      </w:r>
      <w:r>
        <w:rPr>
          <w:rFonts w:hint="eastAsia" w:ascii="宋体" w:hAnsi="宋体" w:cs="宋体"/>
          <w:sz w:val="24"/>
        </w:rPr>
        <w:t>□</w:t>
      </w:r>
      <w:r>
        <w:rPr>
          <w:sz w:val="24"/>
          <w:szCs w:val="20"/>
        </w:rPr>
        <w:t>小微企业（包含监狱企业、残疾人福利性单位）、</w:t>
      </w:r>
      <w:r>
        <w:rPr>
          <w:rFonts w:hint="eastAsia" w:ascii="宋体" w:hAnsi="宋体" w:cs="宋体"/>
          <w:sz w:val="24"/>
        </w:rPr>
        <w:t>□</w:t>
      </w:r>
      <w:r>
        <w:rPr>
          <w:sz w:val="24"/>
          <w:szCs w:val="20"/>
        </w:rPr>
        <w:t>其他，合同金额为_____元；</w:t>
      </w:r>
    </w:p>
    <w:p>
      <w:pPr>
        <w:tabs>
          <w:tab w:val="left" w:pos="720"/>
          <w:tab w:val="left" w:pos="900"/>
        </w:tabs>
        <w:spacing w:line="360" w:lineRule="auto"/>
        <w:ind w:left="851"/>
        <w:rPr>
          <w:sz w:val="24"/>
          <w:szCs w:val="20"/>
        </w:rPr>
      </w:pPr>
      <w:r>
        <w:rPr>
          <w:sz w:val="24"/>
          <w:szCs w:val="20"/>
        </w:rPr>
        <w:t>（…）</w:t>
      </w:r>
      <w:r>
        <w:rPr>
          <w:bCs/>
          <w:sz w:val="24"/>
          <w:szCs w:val="20"/>
        </w:rPr>
        <w:t>______</w:t>
      </w:r>
      <w:r>
        <w:rPr>
          <w:sz w:val="24"/>
          <w:szCs w:val="20"/>
        </w:rPr>
        <w:t>为</w:t>
      </w:r>
      <w:r>
        <w:rPr>
          <w:rFonts w:hint="eastAsia" w:ascii="宋体" w:hAnsi="宋体" w:cs="宋体"/>
          <w:sz w:val="24"/>
        </w:rPr>
        <w:t>□</w:t>
      </w:r>
      <w:r>
        <w:rPr>
          <w:sz w:val="24"/>
          <w:szCs w:val="20"/>
        </w:rPr>
        <w:t>大型企业</w:t>
      </w:r>
      <w:r>
        <w:rPr>
          <w:rFonts w:hint="eastAsia" w:ascii="宋体" w:hAnsi="宋体" w:cs="宋体"/>
          <w:sz w:val="24"/>
        </w:rPr>
        <w:t>□</w:t>
      </w:r>
      <w:r>
        <w:rPr>
          <w:sz w:val="24"/>
          <w:szCs w:val="20"/>
        </w:rPr>
        <w:t>中型企业、</w:t>
      </w:r>
      <w:r>
        <w:rPr>
          <w:rFonts w:hint="eastAsia" w:ascii="宋体" w:hAnsi="宋体" w:cs="宋体"/>
          <w:sz w:val="24"/>
        </w:rPr>
        <w:t>□</w:t>
      </w:r>
      <w:r>
        <w:rPr>
          <w:sz w:val="24"/>
          <w:szCs w:val="20"/>
        </w:rPr>
        <w:t>小微企业（包含监狱企业、残疾人福利性单位）、</w:t>
      </w:r>
      <w:r>
        <w:rPr>
          <w:rFonts w:hint="eastAsia" w:ascii="宋体" w:hAnsi="宋体" w:cs="宋体"/>
          <w:sz w:val="24"/>
        </w:rPr>
        <w:t>□</w:t>
      </w:r>
      <w:r>
        <w:rPr>
          <w:sz w:val="24"/>
          <w:szCs w:val="20"/>
        </w:rPr>
        <w:t>其他，合同金额为_____元。</w:t>
      </w:r>
    </w:p>
    <w:p>
      <w:pPr>
        <w:numPr>
          <w:ilvl w:val="0"/>
          <w:numId w:val="19"/>
        </w:numPr>
        <w:tabs>
          <w:tab w:val="left" w:pos="780"/>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pPr>
        <w:numPr>
          <w:ilvl w:val="0"/>
          <w:numId w:val="19"/>
        </w:numPr>
        <w:tabs>
          <w:tab w:val="left" w:pos="780"/>
        </w:tabs>
        <w:spacing w:line="360" w:lineRule="auto"/>
        <w:rPr>
          <w:bCs/>
          <w:sz w:val="24"/>
        </w:rPr>
      </w:pPr>
      <w:r>
        <w:rPr>
          <w:bCs/>
          <w:sz w:val="24"/>
        </w:rPr>
        <w:t>其他约定（如有）：_______</w:t>
      </w:r>
      <w:r>
        <w:rPr>
          <w:rFonts w:hint="eastAsia"/>
          <w:bCs/>
          <w:sz w:val="24"/>
        </w:rPr>
        <w:t>。</w:t>
      </w:r>
    </w:p>
    <w:p>
      <w:pPr>
        <w:tabs>
          <w:tab w:val="left" w:pos="780"/>
        </w:tabs>
        <w:spacing w:line="360" w:lineRule="auto"/>
        <w:ind w:firstLine="480" w:firstLineChars="20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pPr>
        <w:spacing w:line="360" w:lineRule="auto"/>
        <w:ind w:firstLine="471"/>
        <w:rPr>
          <w:sz w:val="24"/>
        </w:rPr>
      </w:pP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r>
      <w:r>
        <w:rPr>
          <w:sz w:val="24"/>
        </w:rPr>
        <w:t xml:space="preserve"> </w:t>
      </w:r>
      <w:r>
        <w:rPr>
          <w:rFonts w:hint="eastAsia"/>
          <w:sz w:val="24"/>
        </w:rPr>
        <w:t>联合体成员名称</w:t>
      </w:r>
      <w:r>
        <w:rPr>
          <w:sz w:val="24"/>
        </w:rPr>
        <w:t>：</w:t>
      </w:r>
      <w:r>
        <w:rPr>
          <w:sz w:val="24"/>
          <w:szCs w:val="20"/>
        </w:rPr>
        <w:t>______</w:t>
      </w:r>
    </w:p>
    <w:p>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pPr>
        <w:spacing w:line="360" w:lineRule="auto"/>
        <w:ind w:firstLine="471"/>
        <w:rPr>
          <w:sz w:val="24"/>
        </w:rPr>
      </w:pPr>
    </w:p>
    <w:p>
      <w:pPr>
        <w:spacing w:line="360" w:lineRule="auto"/>
        <w:ind w:firstLine="471"/>
        <w:rPr>
          <w:sz w:val="24"/>
        </w:rPr>
      </w:pPr>
    </w:p>
    <w:p>
      <w:pPr>
        <w:spacing w:line="360" w:lineRule="auto"/>
        <w:ind w:firstLine="471"/>
        <w:rPr>
          <w:sz w:val="24"/>
        </w:rPr>
      </w:pPr>
      <w:r>
        <w:rPr>
          <w:rFonts w:hint="eastAsia"/>
          <w:sz w:val="24"/>
        </w:rPr>
        <w:t>联合体成员名称</w:t>
      </w:r>
      <w:r>
        <w:rPr>
          <w:sz w:val="24"/>
        </w:rPr>
        <w:t>：</w:t>
      </w:r>
      <w:r>
        <w:rPr>
          <w:sz w:val="24"/>
          <w:szCs w:val="20"/>
        </w:rPr>
        <w:t>______</w:t>
      </w:r>
    </w:p>
    <w:p>
      <w:pPr>
        <w:spacing w:line="360" w:lineRule="auto"/>
        <w:ind w:firstLine="471"/>
        <w:rPr>
          <w:sz w:val="24"/>
        </w:rPr>
      </w:pPr>
      <w:r>
        <w:rPr>
          <w:sz w:val="24"/>
        </w:rPr>
        <w:t>盖章：</w:t>
      </w:r>
      <w:r>
        <w:rPr>
          <w:sz w:val="24"/>
          <w:szCs w:val="20"/>
        </w:rPr>
        <w:t>______</w:t>
      </w:r>
      <w:r>
        <w:rPr>
          <w:sz w:val="24"/>
        </w:rPr>
        <w:t xml:space="preserve">                                </w:t>
      </w:r>
    </w:p>
    <w:p>
      <w:pPr>
        <w:spacing w:line="360" w:lineRule="auto"/>
        <w:ind w:firstLine="471"/>
        <w:rPr>
          <w:sz w:val="24"/>
        </w:rPr>
      </w:pPr>
    </w:p>
    <w:p>
      <w:pPr>
        <w:spacing w:line="360" w:lineRule="auto"/>
        <w:ind w:firstLine="471"/>
        <w:rPr>
          <w:sz w:val="24"/>
        </w:rPr>
      </w:pPr>
    </w:p>
    <w:p>
      <w:pPr>
        <w:spacing w:line="360" w:lineRule="auto"/>
        <w:ind w:left="480"/>
        <w:jc w:val="right"/>
        <w:rPr>
          <w:sz w:val="24"/>
        </w:rPr>
      </w:pPr>
    </w:p>
    <w:p>
      <w:pPr>
        <w:spacing w:line="360" w:lineRule="auto"/>
        <w:ind w:left="480"/>
        <w:jc w:val="right"/>
        <w:rPr>
          <w:sz w:val="24"/>
        </w:rPr>
      </w:pPr>
      <w:r>
        <w:rPr>
          <w:sz w:val="24"/>
          <w:szCs w:val="20"/>
        </w:rPr>
        <w:t>日期：_____年______月______日</w:t>
      </w:r>
    </w:p>
    <w:p>
      <w:pPr>
        <w:spacing w:line="360" w:lineRule="auto"/>
        <w:ind w:left="480"/>
        <w:jc w:val="right"/>
        <w:rPr>
          <w:b/>
          <w:sz w:val="24"/>
        </w:rPr>
      </w:pPr>
    </w:p>
    <w:p>
      <w:pPr>
        <w:tabs>
          <w:tab w:val="left" w:pos="8280"/>
        </w:tabs>
        <w:spacing w:line="360" w:lineRule="auto"/>
        <w:ind w:firstLine="480"/>
        <w:rPr>
          <w:sz w:val="24"/>
        </w:rPr>
      </w:pPr>
    </w:p>
    <w:p>
      <w:pPr>
        <w:tabs>
          <w:tab w:val="left" w:pos="8280"/>
        </w:tabs>
        <w:spacing w:line="360" w:lineRule="auto"/>
        <w:ind w:firstLine="480"/>
        <w:rPr>
          <w:sz w:val="24"/>
        </w:rPr>
      </w:pPr>
    </w:p>
    <w:p>
      <w:pPr>
        <w:spacing w:line="360" w:lineRule="auto"/>
        <w:ind w:left="719" w:leftChars="228" w:hanging="240" w:hangingChars="100"/>
        <w:rPr>
          <w:sz w:val="24"/>
        </w:rPr>
      </w:pPr>
      <w:r>
        <w:rPr>
          <w:sz w:val="24"/>
        </w:rPr>
        <w:t>注：</w:t>
      </w:r>
    </w:p>
    <w:p>
      <w:pPr>
        <w:spacing w:line="360" w:lineRule="auto"/>
        <w:ind w:left="719" w:leftChars="228" w:hanging="240" w:hangingChars="100"/>
        <w:rPr>
          <w:sz w:val="24"/>
        </w:rPr>
      </w:pPr>
      <w:r>
        <w:rPr>
          <w:sz w:val="24"/>
        </w:rPr>
        <w:t>1. 如本项目（包）接受供应商以联合体形式参加采购活动，且供应商以联合体形式参与时，须提供《联合协议》，否则</w:t>
      </w:r>
      <w:r>
        <w:rPr>
          <w:b/>
          <w:sz w:val="24"/>
        </w:rPr>
        <w:t>投标无效。</w:t>
      </w:r>
    </w:p>
    <w:p>
      <w:pPr>
        <w:spacing w:line="360" w:lineRule="auto"/>
        <w:ind w:left="719" w:leftChars="228" w:hanging="240" w:hangingChars="100"/>
        <w:rPr>
          <w:sz w:val="24"/>
        </w:rPr>
      </w:pPr>
      <w:r>
        <w:rPr>
          <w:sz w:val="24"/>
        </w:rPr>
        <w:t>2. 联合体各方成员应在本协议上共同盖章，不得分别签署协议书。</w:t>
      </w:r>
    </w:p>
    <w:p>
      <w:pPr>
        <w:spacing w:line="360" w:lineRule="auto"/>
        <w:ind w:left="719" w:leftChars="228" w:hanging="240" w:hangingChars="100"/>
        <w:rPr>
          <w:sz w:val="24"/>
        </w:rPr>
      </w:pPr>
    </w:p>
    <w:p>
      <w:pPr>
        <w:spacing w:line="360" w:lineRule="auto"/>
        <w:outlineLvl w:val="3"/>
        <w:rPr>
          <w:sz w:val="24"/>
          <w:szCs w:val="20"/>
        </w:rPr>
      </w:pPr>
      <w:r>
        <w:rPr>
          <w:sz w:val="24"/>
        </w:rPr>
        <w:br w:type="page"/>
      </w:r>
      <w:r>
        <w:rPr>
          <w:sz w:val="24"/>
          <w:szCs w:val="20"/>
        </w:rPr>
        <w:t>3-2其他特定资格要求</w:t>
      </w:r>
      <w:r>
        <w:rPr>
          <w:rFonts w:hint="eastAsia"/>
          <w:sz w:val="24"/>
          <w:szCs w:val="20"/>
        </w:rPr>
        <w:t>（如有）</w:t>
      </w:r>
    </w:p>
    <w:p>
      <w:pPr>
        <w:widowControl/>
        <w:jc w:val="left"/>
        <w:rPr>
          <w:sz w:val="24"/>
          <w:szCs w:val="20"/>
        </w:rPr>
      </w:pPr>
      <w:r>
        <w:rPr>
          <w:sz w:val="24"/>
          <w:szCs w:val="20"/>
        </w:rPr>
        <w:br w:type="page"/>
      </w:r>
    </w:p>
    <w:p>
      <w:pPr>
        <w:spacing w:line="360" w:lineRule="auto"/>
        <w:outlineLvl w:val="2"/>
        <w:rPr>
          <w:sz w:val="24"/>
          <w:szCs w:val="20"/>
        </w:rPr>
      </w:pPr>
      <w:r>
        <w:rPr>
          <w:sz w:val="24"/>
          <w:szCs w:val="20"/>
        </w:rPr>
        <w:t>4 投标保证金</w:t>
      </w:r>
      <w:r>
        <w:rPr>
          <w:rFonts w:hint="eastAsia"/>
          <w:sz w:val="24"/>
          <w:szCs w:val="20"/>
        </w:rPr>
        <w:t>凭证/</w:t>
      </w:r>
      <w:r>
        <w:rPr>
          <w:sz w:val="24"/>
          <w:szCs w:val="20"/>
        </w:rPr>
        <w:t>交款单据</w:t>
      </w:r>
    </w:p>
    <w:p>
      <w:pPr>
        <w:spacing w:line="360" w:lineRule="auto"/>
        <w:rPr>
          <w:sz w:val="24"/>
          <w:szCs w:val="20"/>
        </w:rPr>
      </w:pPr>
      <w:r>
        <w:rPr>
          <w:sz w:val="24"/>
          <w:szCs w:val="20"/>
        </w:rPr>
        <w:t>说明：</w:t>
      </w:r>
    </w:p>
    <w:p>
      <w:pPr>
        <w:spacing w:line="360" w:lineRule="auto"/>
        <w:rPr>
          <w:sz w:val="24"/>
          <w:szCs w:val="20"/>
        </w:rPr>
      </w:pPr>
      <w:r>
        <w:rPr>
          <w:sz w:val="24"/>
          <w:szCs w:val="20"/>
        </w:rPr>
        <w:t>1.采用银行汇款形式提交投标保证金的</w:t>
      </w:r>
      <w:r>
        <w:rPr>
          <w:sz w:val="24"/>
        </w:rPr>
        <w:t>，应在投标截止时间前到账</w:t>
      </w:r>
      <w:r>
        <w:rPr>
          <w:sz w:val="24"/>
          <w:szCs w:val="20"/>
        </w:rPr>
        <w:t>，同时建议在本部分放置凭证/交款单据电子件，否则导致的不利后果有投标人自行承担。</w:t>
      </w:r>
    </w:p>
    <w:p>
      <w:pPr>
        <w:spacing w:line="360" w:lineRule="auto"/>
        <w:rPr>
          <w:sz w:val="24"/>
          <w:szCs w:val="20"/>
        </w:rPr>
      </w:pPr>
      <w:r>
        <w:rPr>
          <w:sz w:val="24"/>
          <w:szCs w:val="20"/>
        </w:rPr>
        <w:t>2.采用</w:t>
      </w:r>
      <w:r>
        <w:rPr>
          <w:sz w:val="24"/>
        </w:rPr>
        <w:t>支票、汇票、本票等形式提交投标保证金的，应在投标截止时间前到账，无需在本部分提供电子件。</w:t>
      </w:r>
    </w:p>
    <w:p>
      <w:pPr>
        <w:spacing w:line="360" w:lineRule="auto"/>
        <w:rPr>
          <w:sz w:val="24"/>
          <w:szCs w:val="20"/>
        </w:rPr>
      </w:pPr>
      <w:r>
        <w:rPr>
          <w:sz w:val="24"/>
          <w:szCs w:val="20"/>
        </w:rPr>
        <w:t>3.采用</w:t>
      </w:r>
      <w:r>
        <w:rPr>
          <w:sz w:val="24"/>
        </w:rPr>
        <w:t>金融机构、担保机构出具的保函形式提交投标</w:t>
      </w:r>
      <w:r>
        <w:rPr>
          <w:sz w:val="24"/>
          <w:szCs w:val="20"/>
        </w:rPr>
        <w:t>保证金的，应确保在投标截止时间前将原件</w:t>
      </w:r>
      <w:r>
        <w:rPr>
          <w:sz w:val="24"/>
        </w:rPr>
        <w:t>提交至采购代理机构即可，无需在本部分提供保函电子件。</w:t>
      </w:r>
    </w:p>
    <w:p>
      <w:pPr>
        <w:spacing w:line="360" w:lineRule="auto"/>
        <w:rPr>
          <w:sz w:val="24"/>
          <w:szCs w:val="20"/>
        </w:rPr>
      </w:pPr>
    </w:p>
    <w:p>
      <w:pPr>
        <w:spacing w:line="360" w:lineRule="auto"/>
        <w:rPr>
          <w:sz w:val="24"/>
          <w:szCs w:val="20"/>
        </w:rPr>
      </w:pPr>
    </w:p>
    <w:p>
      <w:pPr>
        <w:spacing w:line="360" w:lineRule="auto"/>
        <w:outlineLvl w:val="1"/>
        <w:rPr>
          <w:b/>
          <w:spacing w:val="20"/>
          <w:sz w:val="24"/>
        </w:rPr>
      </w:pPr>
      <w:r>
        <w:rPr>
          <w:sz w:val="24"/>
          <w:szCs w:val="20"/>
        </w:rPr>
        <w:br w:type="page"/>
      </w: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spacing w:line="360" w:lineRule="auto"/>
        <w:outlineLvl w:val="2"/>
        <w:rPr>
          <w:sz w:val="24"/>
          <w:szCs w:val="20"/>
        </w:rPr>
      </w:pPr>
      <w:r>
        <w:rPr>
          <w:b/>
          <w:sz w:val="24"/>
        </w:rPr>
        <w:br w:type="page"/>
      </w:r>
      <w:bookmarkStart w:id="918" w:name="_Hlt520274065"/>
      <w:bookmarkEnd w:id="918"/>
      <w:bookmarkStart w:id="919" w:name="_Hlt520343392"/>
      <w:bookmarkEnd w:id="919"/>
      <w:bookmarkStart w:id="920" w:name="_Hlt520274393"/>
      <w:bookmarkEnd w:id="920"/>
      <w:bookmarkStart w:id="921" w:name="_Hlt520274121"/>
      <w:bookmarkEnd w:id="921"/>
      <w:bookmarkStart w:id="922" w:name="_Hlt520274407"/>
      <w:bookmarkEnd w:id="922"/>
      <w:bookmarkStart w:id="923" w:name="_Hlt520350918"/>
      <w:bookmarkEnd w:id="923"/>
      <w:bookmarkStart w:id="924" w:name="_Hlt520271212"/>
      <w:bookmarkEnd w:id="924"/>
      <w:bookmarkStart w:id="925" w:name="_Hlt520273711"/>
      <w:bookmarkEnd w:id="925"/>
      <w:bookmarkStart w:id="926" w:name="_Hlt520343000"/>
      <w:bookmarkEnd w:id="926"/>
      <w:bookmarkStart w:id="927" w:name="_Hlt520355504"/>
      <w:bookmarkEnd w:id="927"/>
      <w:bookmarkStart w:id="928" w:name="_Ref467988698"/>
      <w:bookmarkStart w:id="929" w:name="_Toc480942349"/>
      <w:bookmarkStart w:id="930" w:name="_Toc150774761"/>
      <w:bookmarkStart w:id="931" w:name="_Toc195842921"/>
      <w:bookmarkStart w:id="932" w:name="_Toc150480794"/>
      <w:bookmarkStart w:id="933" w:name="_Toc142311058"/>
      <w:bookmarkStart w:id="934" w:name="_Toc226965746"/>
      <w:bookmarkStart w:id="935" w:name="_Toc127151556"/>
      <w:bookmarkStart w:id="936" w:name="_Toc520356217"/>
      <w:bookmarkStart w:id="937" w:name="_Toc226309800"/>
      <w:bookmarkStart w:id="938" w:name="_Toc226965829"/>
      <w:bookmarkStart w:id="939" w:name="_Toc226337252"/>
      <w:r>
        <w:rPr>
          <w:sz w:val="24"/>
          <w:szCs w:val="20"/>
        </w:rPr>
        <w:t>1  投标</w:t>
      </w:r>
      <w:bookmarkEnd w:id="928"/>
      <w:bookmarkEnd w:id="929"/>
      <w:r>
        <w:rPr>
          <w:sz w:val="24"/>
          <w:szCs w:val="20"/>
        </w:rPr>
        <w:t>书</w:t>
      </w:r>
      <w:bookmarkEnd w:id="930"/>
      <w:bookmarkEnd w:id="931"/>
      <w:bookmarkEnd w:id="932"/>
      <w:bookmarkEnd w:id="933"/>
      <w:bookmarkEnd w:id="934"/>
      <w:bookmarkEnd w:id="935"/>
      <w:bookmarkEnd w:id="936"/>
      <w:bookmarkEnd w:id="937"/>
      <w:bookmarkEnd w:id="938"/>
      <w:bookmarkEnd w:id="939"/>
      <w:r>
        <w:rPr>
          <w:sz w:val="24"/>
          <w:szCs w:val="20"/>
        </w:rPr>
        <w:t>（实质性格式）</w:t>
      </w:r>
    </w:p>
    <w:p>
      <w:pPr>
        <w:tabs>
          <w:tab w:val="left" w:pos="5580"/>
        </w:tabs>
        <w:spacing w:line="360" w:lineRule="auto"/>
        <w:rPr>
          <w:sz w:val="24"/>
        </w:rPr>
      </w:pPr>
    </w:p>
    <w:p>
      <w:pPr>
        <w:spacing w:line="360" w:lineRule="auto"/>
        <w:jc w:val="center"/>
        <w:rPr>
          <w:b/>
          <w:sz w:val="36"/>
          <w:szCs w:val="36"/>
        </w:rPr>
      </w:pPr>
      <w:r>
        <w:rPr>
          <w:rFonts w:hint="eastAsia"/>
          <w:b/>
          <w:sz w:val="36"/>
          <w:szCs w:val="36"/>
        </w:rPr>
        <w:t>投标书</w:t>
      </w:r>
    </w:p>
    <w:p>
      <w:pPr>
        <w:tabs>
          <w:tab w:val="left" w:pos="5580"/>
        </w:tabs>
        <w:spacing w:line="360" w:lineRule="auto"/>
        <w:rPr>
          <w:sz w:val="24"/>
        </w:rPr>
      </w:pPr>
      <w:r>
        <w:rPr>
          <w:sz w:val="24"/>
        </w:rPr>
        <w:t>致：</w:t>
      </w:r>
      <w:r>
        <w:rPr>
          <w:sz w:val="24"/>
          <w:u w:val="single"/>
        </w:rPr>
        <w:t>（采购人或采购代理机构）</w:t>
      </w:r>
    </w:p>
    <w:p>
      <w:pPr>
        <w:tabs>
          <w:tab w:val="left" w:pos="5580"/>
        </w:tabs>
        <w:spacing w:line="360" w:lineRule="auto"/>
        <w:rPr>
          <w:sz w:val="24"/>
          <w:szCs w:val="20"/>
        </w:rPr>
      </w:pPr>
    </w:p>
    <w:p>
      <w:pPr>
        <w:tabs>
          <w:tab w:val="left" w:pos="5580"/>
        </w:tabs>
        <w:spacing w:line="360" w:lineRule="auto"/>
        <w:ind w:firstLine="408"/>
        <w:rPr>
          <w:sz w:val="24"/>
          <w:szCs w:val="20"/>
        </w:rPr>
      </w:pPr>
      <w:r>
        <w:rPr>
          <w:sz w:val="24"/>
          <w:szCs w:val="20"/>
        </w:rPr>
        <w:t>我方参加你方就___________（项目名称，项目编号/包号）组织的招标活动，并对此项目进行投标。</w:t>
      </w:r>
    </w:p>
    <w:p>
      <w:pPr>
        <w:tabs>
          <w:tab w:val="left" w:pos="5580"/>
        </w:tabs>
        <w:spacing w:line="360" w:lineRule="auto"/>
        <w:ind w:firstLine="408"/>
        <w:rPr>
          <w:sz w:val="24"/>
          <w:szCs w:val="20"/>
        </w:rPr>
      </w:pPr>
      <w:r>
        <w:rPr>
          <w:sz w:val="24"/>
          <w:szCs w:val="20"/>
        </w:rPr>
        <w:t>1. 我方</w:t>
      </w:r>
      <w:r>
        <w:rPr>
          <w:sz w:val="24"/>
        </w:rPr>
        <w:t>已详细审查全部招标文件</w:t>
      </w:r>
      <w:r>
        <w:rPr>
          <w:sz w:val="24"/>
          <w:szCs w:val="20"/>
        </w:rPr>
        <w:t>，自愿参与投标并承诺如下：</w:t>
      </w:r>
    </w:p>
    <w:p>
      <w:pPr>
        <w:tabs>
          <w:tab w:val="left" w:pos="720"/>
          <w:tab w:val="left" w:pos="900"/>
        </w:tabs>
        <w:spacing w:line="360" w:lineRule="auto"/>
        <w:ind w:left="360" w:firstLine="72" w:firstLineChars="30"/>
        <w:rPr>
          <w:sz w:val="24"/>
          <w:szCs w:val="20"/>
        </w:rPr>
      </w:pPr>
      <w:r>
        <w:rPr>
          <w:sz w:val="24"/>
          <w:szCs w:val="20"/>
        </w:rPr>
        <w:t>（1）本投标有效期为自提交投标文件的截止之日起</w:t>
      </w:r>
      <w:r>
        <w:rPr>
          <w:sz w:val="24"/>
        </w:rPr>
        <w:t>_____</w:t>
      </w:r>
      <w:r>
        <w:rPr>
          <w:sz w:val="24"/>
          <w:szCs w:val="20"/>
        </w:rPr>
        <w:t>个日历日。</w:t>
      </w:r>
    </w:p>
    <w:p>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（2）除合同条款及采购需求偏离表列出的偏离外，我方响应招标文件的全部要求。</w:t>
      </w:r>
    </w:p>
    <w:p>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pPr>
        <w:tabs>
          <w:tab w:val="left" w:pos="5580"/>
        </w:tabs>
        <w:spacing w:line="360" w:lineRule="auto"/>
        <w:ind w:firstLine="420" w:firstLineChars="175"/>
        <w:rPr>
          <w:sz w:val="24"/>
          <w:szCs w:val="20"/>
        </w:rPr>
      </w:pPr>
      <w:r>
        <w:rPr>
          <w:sz w:val="24"/>
          <w:szCs w:val="20"/>
        </w:rPr>
        <w:t>（4）如我方中标，我方将在法律规定的期限内与你方签订合同，按照招标文件要求提交履约保证金，并在合同约定的期限内完成合同规定的全部义务。</w:t>
      </w:r>
    </w:p>
    <w:p>
      <w:pPr>
        <w:tabs>
          <w:tab w:val="left" w:pos="5580"/>
        </w:tabs>
        <w:spacing w:line="360" w:lineRule="auto"/>
        <w:ind w:firstLine="420" w:firstLineChars="175"/>
        <w:rPr>
          <w:sz w:val="24"/>
          <w:szCs w:val="20"/>
        </w:rPr>
      </w:pPr>
      <w:r>
        <w:rPr>
          <w:sz w:val="24"/>
        </w:rPr>
        <w:t>2. 其他补充条款（如有）：</w:t>
      </w:r>
      <w:r>
        <w:rPr>
          <w:sz w:val="24"/>
          <w:szCs w:val="20"/>
        </w:rPr>
        <w:t>___________</w:t>
      </w:r>
      <w:r>
        <w:rPr>
          <w:sz w:val="24"/>
        </w:rPr>
        <w:t>。</w:t>
      </w:r>
    </w:p>
    <w:p>
      <w:pPr>
        <w:spacing w:line="360" w:lineRule="auto"/>
        <w:ind w:firstLine="480" w:firstLineChars="200"/>
        <w:rPr>
          <w:sz w:val="24"/>
        </w:rPr>
      </w:pPr>
      <w:r>
        <w:rPr>
          <w:sz w:val="24"/>
        </w:rPr>
        <w:t>与本投标有关的一切正式往来信函请寄：</w:t>
      </w:r>
    </w:p>
    <w:p>
      <w:pPr>
        <w:tabs>
          <w:tab w:val="left" w:pos="5580"/>
        </w:tabs>
        <w:spacing w:line="360" w:lineRule="auto"/>
        <w:ind w:left="420"/>
        <w:rPr>
          <w:sz w:val="24"/>
          <w:szCs w:val="20"/>
        </w:rPr>
      </w:pPr>
    </w:p>
    <w:p>
      <w:pPr>
        <w:tabs>
          <w:tab w:val="left" w:pos="5580"/>
        </w:tabs>
        <w:spacing w:line="360" w:lineRule="auto"/>
        <w:ind w:left="420"/>
        <w:rPr>
          <w:sz w:val="24"/>
          <w:szCs w:val="20"/>
        </w:rPr>
      </w:pPr>
      <w:r>
        <w:rPr>
          <w:sz w:val="24"/>
          <w:szCs w:val="20"/>
        </w:rPr>
        <w:t>地址_________________________     传真____________________________</w:t>
      </w:r>
    </w:p>
    <w:p>
      <w:pPr>
        <w:tabs>
          <w:tab w:val="left" w:pos="5580"/>
        </w:tabs>
        <w:spacing w:line="360" w:lineRule="auto"/>
        <w:ind w:left="420"/>
        <w:rPr>
          <w:sz w:val="24"/>
          <w:szCs w:val="20"/>
        </w:rPr>
      </w:pPr>
      <w:r>
        <w:rPr>
          <w:sz w:val="24"/>
          <w:szCs w:val="20"/>
        </w:rPr>
        <w:t>电话_________________________     电子函件________________________</w:t>
      </w:r>
    </w:p>
    <w:p>
      <w:pPr>
        <w:tabs>
          <w:tab w:val="left" w:pos="5580"/>
        </w:tabs>
        <w:spacing w:line="360" w:lineRule="auto"/>
        <w:ind w:left="420"/>
        <w:rPr>
          <w:sz w:val="24"/>
          <w:szCs w:val="20"/>
        </w:rPr>
      </w:pPr>
    </w:p>
    <w:p>
      <w:pPr>
        <w:tabs>
          <w:tab w:val="left" w:pos="5580"/>
        </w:tabs>
        <w:spacing w:line="360" w:lineRule="auto"/>
        <w:ind w:left="420"/>
        <w:rPr>
          <w:sz w:val="24"/>
          <w:szCs w:val="20"/>
        </w:rPr>
      </w:pPr>
      <w:r>
        <w:rPr>
          <w:sz w:val="24"/>
          <w:szCs w:val="20"/>
        </w:rPr>
        <w:t>投标人名称（加盖公章） ___________</w:t>
      </w:r>
    </w:p>
    <w:p>
      <w:pPr>
        <w:tabs>
          <w:tab w:val="left" w:pos="5580"/>
        </w:tabs>
        <w:spacing w:line="360" w:lineRule="auto"/>
        <w:ind w:left="420"/>
        <w:rPr>
          <w:sz w:val="24"/>
          <w:szCs w:val="20"/>
        </w:rPr>
      </w:pPr>
      <w:r>
        <w:rPr>
          <w:sz w:val="24"/>
          <w:szCs w:val="20"/>
        </w:rPr>
        <w:t xml:space="preserve">日期：_____年______月______日    </w:t>
      </w:r>
    </w:p>
    <w:p>
      <w:pPr>
        <w:tabs>
          <w:tab w:val="left" w:pos="5580"/>
        </w:tabs>
        <w:spacing w:line="360" w:lineRule="auto"/>
        <w:ind w:left="420"/>
        <w:rPr>
          <w:sz w:val="24"/>
          <w:szCs w:val="20"/>
          <w:u w:val="single"/>
        </w:rPr>
      </w:pPr>
    </w:p>
    <w:p>
      <w:pPr>
        <w:spacing w:line="360" w:lineRule="auto"/>
        <w:outlineLvl w:val="2"/>
        <w:rPr>
          <w:sz w:val="24"/>
        </w:rPr>
      </w:pPr>
      <w:bookmarkStart w:id="940" w:name="_Hlt520356243"/>
      <w:bookmarkEnd w:id="940"/>
      <w:bookmarkStart w:id="941" w:name="_Hlt520355938"/>
      <w:bookmarkEnd w:id="941"/>
      <w:bookmarkStart w:id="942" w:name="_Toc150480795"/>
      <w:bookmarkStart w:id="943" w:name="_Toc226337253"/>
      <w:bookmarkStart w:id="944" w:name="_Toc226965830"/>
      <w:bookmarkStart w:id="945" w:name="_Toc226965747"/>
      <w:bookmarkStart w:id="946" w:name="_Toc265228395"/>
      <w:bookmarkStart w:id="947" w:name="_Toc195842922"/>
      <w:bookmarkStart w:id="948" w:name="_Toc142311059"/>
      <w:bookmarkStart w:id="949" w:name="_Toc150774762"/>
      <w:bookmarkStart w:id="950" w:name="_Ref467988705"/>
      <w:bookmarkStart w:id="951" w:name="_Toc305158899"/>
      <w:bookmarkStart w:id="952" w:name="_Toc305158825"/>
      <w:bookmarkStart w:id="953" w:name="_Toc127151557"/>
      <w:bookmarkStart w:id="954" w:name="_Toc264969247"/>
      <w:bookmarkStart w:id="955" w:name="_Toc226309801"/>
      <w:bookmarkStart w:id="956" w:name="_Toc520356218"/>
      <w:bookmarkStart w:id="957" w:name="_Toc480942350"/>
      <w:r>
        <w:rPr>
          <w:sz w:val="24"/>
        </w:rPr>
        <w:br w:type="page"/>
      </w:r>
      <w:r>
        <w:rPr>
          <w:sz w:val="24"/>
          <w:szCs w:val="20"/>
        </w:rPr>
        <w:t>2  授权委托书（实质性格式）</w:t>
      </w:r>
    </w:p>
    <w:p>
      <w:pPr>
        <w:spacing w:line="360" w:lineRule="exact"/>
        <w:jc w:val="center"/>
        <w:rPr>
          <w:rFonts w:ascii="宋体" w:hAnsi="宋体"/>
          <w:b/>
          <w:sz w:val="36"/>
          <w:szCs w:val="36"/>
        </w:rPr>
      </w:pPr>
      <w:r>
        <w:rPr>
          <w:rFonts w:hint="eastAsia" w:ascii="宋体" w:hAnsi="宋体"/>
          <w:b/>
          <w:sz w:val="36"/>
          <w:szCs w:val="36"/>
        </w:rPr>
        <w:t>授权委托书</w:t>
      </w:r>
    </w:p>
    <w:p>
      <w:pPr>
        <w:spacing w:line="360" w:lineRule="auto"/>
        <w:ind w:firstLine="420"/>
        <w:rPr>
          <w:rFonts w:ascii="宋体" w:hAnsi="宋体"/>
          <w:sz w:val="24"/>
          <w:szCs w:val="20"/>
        </w:rPr>
      </w:pPr>
    </w:p>
    <w:p>
      <w:pPr>
        <w:spacing w:line="360" w:lineRule="auto"/>
        <w:ind w:firstLine="420"/>
        <w:rPr>
          <w:rFonts w:ascii="宋体" w:hAnsi="宋体"/>
          <w:sz w:val="24"/>
          <w:szCs w:val="20"/>
        </w:rPr>
      </w:pPr>
      <w:r>
        <w:rPr>
          <w:rFonts w:hint="eastAsia" w:ascii="宋体" w:hAnsi="宋体"/>
          <w:sz w:val="24"/>
          <w:szCs w:val="20"/>
        </w:rPr>
        <w:t>本人</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系</w:t>
      </w:r>
      <w:r>
        <w:rPr>
          <w:rFonts w:ascii="宋体" w:hAnsi="宋体"/>
          <w:sz w:val="24"/>
          <w:lang w:val="zh-CN"/>
        </w:rPr>
        <w:t>________________</w:t>
      </w:r>
      <w:r>
        <w:rPr>
          <w:rFonts w:ascii="宋体" w:hAnsi="宋体"/>
          <w:sz w:val="24"/>
          <w:szCs w:val="20"/>
        </w:rPr>
        <w:t>（</w:t>
      </w:r>
      <w:r>
        <w:rPr>
          <w:rFonts w:hint="eastAsia" w:ascii="宋体" w:hAnsi="宋体"/>
          <w:sz w:val="24"/>
          <w:szCs w:val="20"/>
        </w:rPr>
        <w:t>投标人</w:t>
      </w:r>
      <w:r>
        <w:rPr>
          <w:rFonts w:ascii="宋体" w:hAnsi="宋体"/>
          <w:sz w:val="24"/>
          <w:szCs w:val="20"/>
        </w:rPr>
        <w:t>名称）</w:t>
      </w:r>
      <w:r>
        <w:rPr>
          <w:rFonts w:hint="eastAsia" w:ascii="宋体" w:hAnsi="宋体"/>
          <w:sz w:val="24"/>
          <w:szCs w:val="20"/>
        </w:rPr>
        <w:t>的</w:t>
      </w:r>
      <w:r>
        <w:rPr>
          <w:rFonts w:ascii="宋体" w:hAnsi="宋体"/>
          <w:sz w:val="24"/>
          <w:szCs w:val="20"/>
        </w:rPr>
        <w:t>法定代表人（</w:t>
      </w:r>
      <w:r>
        <w:rPr>
          <w:rFonts w:hint="eastAsia" w:ascii="宋体" w:hAnsi="宋体"/>
          <w:sz w:val="24"/>
          <w:szCs w:val="20"/>
        </w:rPr>
        <w:t>单位</w:t>
      </w:r>
      <w:r>
        <w:rPr>
          <w:rFonts w:ascii="宋体" w:hAnsi="宋体"/>
          <w:sz w:val="24"/>
          <w:szCs w:val="20"/>
        </w:rPr>
        <w:t>负责人）</w:t>
      </w:r>
      <w:r>
        <w:rPr>
          <w:rFonts w:hint="eastAsia" w:ascii="宋体" w:hAnsi="宋体"/>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为</w:t>
      </w:r>
      <w:r>
        <w:rPr>
          <w:rFonts w:ascii="宋体" w:hAnsi="宋体"/>
          <w:sz w:val="24"/>
          <w:szCs w:val="20"/>
        </w:rPr>
        <w:t>我方代理人。</w:t>
      </w:r>
      <w:r>
        <w:rPr>
          <w:rFonts w:hint="eastAsia" w:ascii="宋体" w:hAnsi="宋体"/>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hint="eastAsia" w:ascii="宋体" w:hAnsi="宋体"/>
          <w:sz w:val="24"/>
          <w:szCs w:val="20"/>
        </w:rPr>
        <w:t>项目</w:t>
      </w:r>
      <w:r>
        <w:rPr>
          <w:rFonts w:ascii="宋体" w:hAnsi="宋体"/>
          <w:sz w:val="24"/>
          <w:szCs w:val="20"/>
        </w:rPr>
        <w:t>名称）</w:t>
      </w:r>
      <w:r>
        <w:rPr>
          <w:rFonts w:hint="eastAsia" w:ascii="宋体" w:hAnsi="宋体"/>
          <w:sz w:val="24"/>
          <w:szCs w:val="20"/>
        </w:rPr>
        <w:t>响应</w:t>
      </w:r>
      <w:r>
        <w:rPr>
          <w:rFonts w:ascii="宋体" w:hAnsi="宋体"/>
          <w:sz w:val="24"/>
          <w:szCs w:val="20"/>
        </w:rPr>
        <w:t>文件</w:t>
      </w:r>
      <w:r>
        <w:rPr>
          <w:rFonts w:hint="eastAsia" w:ascii="宋体" w:hAnsi="宋体"/>
          <w:sz w:val="24"/>
          <w:szCs w:val="20"/>
        </w:rPr>
        <w:t>和</w:t>
      </w:r>
      <w:r>
        <w:rPr>
          <w:rFonts w:ascii="宋体" w:hAnsi="宋体"/>
          <w:sz w:val="24"/>
          <w:szCs w:val="20"/>
        </w:rPr>
        <w:t>处理有关事宜，其法律后果由我方承担。</w:t>
      </w:r>
    </w:p>
    <w:p>
      <w:pPr>
        <w:spacing w:line="360" w:lineRule="auto"/>
        <w:ind w:firstLine="420"/>
        <w:rPr>
          <w:rFonts w:ascii="宋体" w:hAnsi="宋体"/>
          <w:sz w:val="24"/>
          <w:szCs w:val="20"/>
        </w:rPr>
      </w:pPr>
      <w:r>
        <w:rPr>
          <w:rFonts w:hint="eastAsia" w:ascii="宋体" w:hAnsi="宋体"/>
          <w:sz w:val="24"/>
          <w:szCs w:val="20"/>
        </w:rPr>
        <w:t>委托</w:t>
      </w:r>
      <w:r>
        <w:rPr>
          <w:rFonts w:ascii="宋体" w:hAnsi="宋体"/>
          <w:sz w:val="24"/>
          <w:szCs w:val="20"/>
        </w:rPr>
        <w:t>期限：自本</w:t>
      </w:r>
      <w:r>
        <w:rPr>
          <w:rFonts w:hint="eastAsia" w:ascii="宋体" w:hAnsi="宋体"/>
          <w:sz w:val="24"/>
          <w:szCs w:val="20"/>
        </w:rPr>
        <w:t>授权</w:t>
      </w:r>
      <w:r>
        <w:rPr>
          <w:rFonts w:ascii="宋体" w:hAnsi="宋体"/>
          <w:sz w:val="24"/>
          <w:szCs w:val="20"/>
        </w:rPr>
        <w:t>委托书签署之日起至</w:t>
      </w:r>
      <w:r>
        <w:rPr>
          <w:rFonts w:hint="eastAsia" w:ascii="宋体" w:hAnsi="宋体"/>
          <w:sz w:val="24"/>
          <w:szCs w:val="20"/>
        </w:rPr>
        <w:t>响应</w:t>
      </w:r>
      <w:r>
        <w:rPr>
          <w:rFonts w:ascii="宋体" w:hAnsi="宋体"/>
          <w:sz w:val="24"/>
          <w:szCs w:val="20"/>
        </w:rPr>
        <w:t>有效期</w:t>
      </w:r>
      <w:r>
        <w:rPr>
          <w:rFonts w:hint="eastAsia" w:ascii="宋体" w:hAnsi="宋体"/>
          <w:sz w:val="24"/>
          <w:szCs w:val="20"/>
        </w:rPr>
        <w:t>届满</w:t>
      </w:r>
      <w:r>
        <w:rPr>
          <w:rFonts w:ascii="宋体" w:hAnsi="宋体"/>
          <w:sz w:val="24"/>
          <w:szCs w:val="20"/>
        </w:rPr>
        <w:t>之日止。</w:t>
      </w:r>
    </w:p>
    <w:p>
      <w:pPr>
        <w:spacing w:line="360" w:lineRule="auto"/>
        <w:ind w:firstLine="420"/>
        <w:rPr>
          <w:rFonts w:ascii="宋体" w:hAnsi="宋体"/>
          <w:sz w:val="24"/>
          <w:szCs w:val="20"/>
        </w:rPr>
      </w:pPr>
      <w:r>
        <w:rPr>
          <w:rFonts w:hint="eastAsia" w:ascii="宋体" w:hAnsi="宋体"/>
          <w:sz w:val="24"/>
          <w:szCs w:val="20"/>
        </w:rPr>
        <w:t>代理人</w:t>
      </w:r>
      <w:r>
        <w:rPr>
          <w:rFonts w:ascii="宋体" w:hAnsi="宋体"/>
          <w:sz w:val="24"/>
          <w:szCs w:val="20"/>
        </w:rPr>
        <w:t>无转委托权。</w:t>
      </w:r>
      <w:r>
        <w:rPr>
          <w:rFonts w:ascii="宋体" w:hAnsi="宋体"/>
          <w:sz w:val="24"/>
          <w:szCs w:val="20"/>
        </w:rPr>
        <w:cr/>
      </w:r>
    </w:p>
    <w:p>
      <w:pPr>
        <w:spacing w:line="360" w:lineRule="auto"/>
        <w:rPr>
          <w:rFonts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pPr>
        <w:spacing w:line="360" w:lineRule="auto"/>
        <w:rPr>
          <w:rFonts w:ascii="宋体" w:hAnsi="宋体"/>
          <w:sz w:val="24"/>
          <w:szCs w:val="20"/>
        </w:rPr>
      </w:pPr>
      <w:r>
        <w:rPr>
          <w:rFonts w:ascii="宋体" w:hAnsi="宋体"/>
          <w:sz w:val="24"/>
          <w:szCs w:val="20"/>
        </w:rPr>
        <w:t>法定代表人（单位负责人）（签字或</w:t>
      </w:r>
      <w:r>
        <w:rPr>
          <w:rFonts w:hint="eastAsia" w:ascii="宋体" w:hAnsi="宋体"/>
          <w:sz w:val="24"/>
          <w:szCs w:val="20"/>
        </w:rPr>
        <w:t>印鉴）</w:t>
      </w:r>
      <w:r>
        <w:rPr>
          <w:rFonts w:ascii="宋体" w:hAnsi="宋体"/>
          <w:sz w:val="24"/>
          <w:szCs w:val="20"/>
        </w:rPr>
        <w:t>：</w:t>
      </w:r>
      <w:r>
        <w:rPr>
          <w:rFonts w:ascii="宋体" w:hAnsi="宋体"/>
          <w:sz w:val="24"/>
          <w:lang w:val="zh-CN"/>
        </w:rPr>
        <w:t>________________</w:t>
      </w:r>
    </w:p>
    <w:p>
      <w:pPr>
        <w:autoSpaceDE w:val="0"/>
        <w:autoSpaceDN w:val="0"/>
        <w:adjustRightInd w:val="0"/>
        <w:snapToGrid w:val="0"/>
        <w:spacing w:line="360" w:lineRule="auto"/>
        <w:rPr>
          <w:rFonts w:ascii="宋体" w:hAnsi="宋体"/>
          <w:sz w:val="24"/>
          <w:lang w:val="zh-CN"/>
        </w:rPr>
      </w:pPr>
      <w:r>
        <w:rPr>
          <w:rFonts w:hint="eastAsia" w:ascii="宋体" w:hAnsi="宋体"/>
          <w:sz w:val="24"/>
        </w:rPr>
        <w:t>委托代理</w:t>
      </w:r>
      <w:r>
        <w:rPr>
          <w:rFonts w:ascii="宋体" w:hAnsi="宋体"/>
          <w:sz w:val="24"/>
        </w:rPr>
        <w:t>人（签字</w:t>
      </w:r>
      <w:r>
        <w:rPr>
          <w:rFonts w:hint="eastAsia" w:ascii="宋体" w:hAnsi="宋体"/>
          <w:sz w:val="24"/>
        </w:rPr>
        <w:t>或印鉴</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pPr>
        <w:tabs>
          <w:tab w:val="left" w:pos="5580"/>
        </w:tabs>
        <w:spacing w:line="360" w:lineRule="auto"/>
        <w:ind w:firstLine="480" w:firstLineChars="200"/>
        <w:rPr>
          <w:rFonts w:ascii="宋体" w:hAnsi="宋体"/>
          <w:sz w:val="24"/>
          <w:szCs w:val="20"/>
        </w:rPr>
      </w:pPr>
    </w:p>
    <w:p>
      <w:pPr>
        <w:tabs>
          <w:tab w:val="left" w:pos="5580"/>
        </w:tabs>
        <w:spacing w:line="360" w:lineRule="auto"/>
        <w:jc w:val="left"/>
        <w:rPr>
          <w:rFonts w:ascii="宋体" w:hAnsi="宋体"/>
          <w:sz w:val="24"/>
          <w:szCs w:val="20"/>
        </w:rPr>
      </w:pPr>
      <w:r>
        <w:rPr>
          <w:rFonts w:ascii="宋体" w:hAnsi="宋体"/>
          <w:sz w:val="24"/>
          <w:szCs w:val="20"/>
        </w:rPr>
        <w:t>法定代表人（单位负责人）</w:t>
      </w:r>
      <w:r>
        <w:rPr>
          <w:rFonts w:hint="eastAsia" w:ascii="宋体" w:hAnsi="宋体"/>
          <w:sz w:val="24"/>
          <w:szCs w:val="20"/>
        </w:rPr>
        <w:t>及委托代理人</w:t>
      </w:r>
      <w:r>
        <w:rPr>
          <w:rFonts w:ascii="宋体" w:hAnsi="宋体"/>
          <w:sz w:val="24"/>
          <w:szCs w:val="20"/>
        </w:rPr>
        <w:t>有效期内的身份</w:t>
      </w:r>
      <w:r>
        <w:rPr>
          <w:rFonts w:hint="eastAsia" w:ascii="宋体" w:hAnsi="宋体"/>
          <w:sz w:val="24"/>
          <w:szCs w:val="20"/>
        </w:rPr>
        <w:t>证明文件电子件</w:t>
      </w:r>
      <w:r>
        <w:rPr>
          <w:rFonts w:ascii="宋体" w:hAnsi="宋体"/>
          <w:sz w:val="24"/>
          <w:szCs w:val="20"/>
        </w:rPr>
        <w:t>：</w:t>
      </w:r>
    </w:p>
    <w:tbl>
      <w:tblPr>
        <w:tblStyle w:val="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r>
        <w:rPr>
          <w:rFonts w:hint="eastAsia" w:ascii="宋体" w:hAnsi="宋体"/>
          <w:sz w:val="24"/>
          <w:szCs w:val="20"/>
        </w:rPr>
        <w:t>说明</w:t>
      </w:r>
      <w:r>
        <w:rPr>
          <w:rFonts w:ascii="宋体" w:hAnsi="宋体"/>
          <w:sz w:val="24"/>
          <w:szCs w:val="20"/>
        </w:rPr>
        <w:t>：</w:t>
      </w:r>
    </w:p>
    <w:p>
      <w:pPr>
        <w:tabs>
          <w:tab w:val="left" w:pos="5580"/>
        </w:tabs>
        <w:spacing w:line="360" w:lineRule="auto"/>
        <w:rPr>
          <w:rFonts w:ascii="宋体" w:hAnsi="宋体"/>
          <w:sz w:val="24"/>
          <w:szCs w:val="20"/>
        </w:rPr>
      </w:pPr>
      <w:r>
        <w:rPr>
          <w:rFonts w:ascii="宋体" w:hAnsi="宋体"/>
          <w:sz w:val="24"/>
          <w:szCs w:val="20"/>
        </w:rPr>
        <w:t>1.</w:t>
      </w:r>
      <w:r>
        <w:rPr>
          <w:rFonts w:hint="eastAsia" w:ascii="宋体" w:hAnsi="宋体"/>
          <w:sz w:val="24"/>
          <w:szCs w:val="20"/>
        </w:rPr>
        <w:t>若供应商为事业单位或其他组织或分支机构，则法定代表人（单位负责人）处的签署人可为单位负责人。</w:t>
      </w:r>
    </w:p>
    <w:p>
      <w:pPr>
        <w:tabs>
          <w:tab w:val="left" w:pos="5580"/>
        </w:tabs>
        <w:spacing w:line="360" w:lineRule="auto"/>
        <w:rPr>
          <w:rFonts w:ascii="宋体" w:hAnsi="宋体"/>
          <w:sz w:val="24"/>
          <w:szCs w:val="20"/>
        </w:rPr>
      </w:pPr>
      <w:r>
        <w:rPr>
          <w:rFonts w:hint="eastAsia" w:ascii="宋体" w:hAnsi="宋体"/>
          <w:sz w:val="24"/>
          <w:szCs w:val="20"/>
        </w:rPr>
        <w:t>2.</w:t>
      </w:r>
      <w:r>
        <w:rPr>
          <w:rFonts w:ascii="宋体" w:hAnsi="宋体"/>
          <w:sz w:val="24"/>
          <w:szCs w:val="20"/>
        </w:rPr>
        <w:t>若</w:t>
      </w:r>
      <w:r>
        <w:rPr>
          <w:rFonts w:hint="eastAsia" w:ascii="宋体" w:hAnsi="宋体"/>
          <w:sz w:val="24"/>
          <w:szCs w:val="20"/>
        </w:rPr>
        <w:t>投标</w:t>
      </w:r>
      <w:r>
        <w:rPr>
          <w:rFonts w:ascii="宋体" w:hAnsi="宋体"/>
          <w:sz w:val="24"/>
          <w:szCs w:val="20"/>
        </w:rPr>
        <w:t>文件中签字之处均为法定代表人（单位负责人）本人签署，则可不提供本《</w:t>
      </w:r>
      <w:r>
        <w:rPr>
          <w:rFonts w:hint="eastAsia" w:ascii="宋体" w:hAnsi="宋体"/>
          <w:sz w:val="24"/>
          <w:szCs w:val="20"/>
        </w:rPr>
        <w:t>授权委托书</w:t>
      </w:r>
      <w:r>
        <w:rPr>
          <w:rFonts w:ascii="宋体" w:hAnsi="宋体"/>
          <w:sz w:val="24"/>
          <w:szCs w:val="20"/>
        </w:rPr>
        <w:t>》，但须提供</w:t>
      </w:r>
      <w:r>
        <w:rPr>
          <w:rFonts w:hint="eastAsia" w:ascii="宋体" w:hAnsi="宋体"/>
          <w:sz w:val="24"/>
          <w:szCs w:val="20"/>
        </w:rPr>
        <w:t>《</w:t>
      </w:r>
      <w:r>
        <w:rPr>
          <w:rFonts w:ascii="宋体" w:hAnsi="宋体"/>
          <w:sz w:val="24"/>
          <w:szCs w:val="20"/>
        </w:rPr>
        <w:t>法定代表人（单位负责人）身份证</w:t>
      </w:r>
      <w:r>
        <w:rPr>
          <w:rFonts w:hint="eastAsia" w:ascii="宋体" w:hAnsi="宋体"/>
          <w:sz w:val="24"/>
          <w:szCs w:val="20"/>
        </w:rPr>
        <w:t>明》；否则，不需要提供《法定代表人（单位负责人）身份证明》。</w:t>
      </w:r>
    </w:p>
    <w:p>
      <w:pPr>
        <w:tabs>
          <w:tab w:val="left" w:pos="5580"/>
        </w:tabs>
        <w:spacing w:line="360" w:lineRule="auto"/>
        <w:rPr>
          <w:rFonts w:ascii="宋体" w:hAnsi="宋体"/>
          <w:sz w:val="24"/>
          <w:szCs w:val="20"/>
        </w:rPr>
      </w:pPr>
      <w:r>
        <w:rPr>
          <w:rFonts w:ascii="宋体" w:hAnsi="宋体"/>
          <w:sz w:val="24"/>
          <w:szCs w:val="20"/>
        </w:rPr>
        <w:t>3.</w:t>
      </w:r>
      <w:r>
        <w:rPr>
          <w:rFonts w:hint="eastAsia" w:ascii="宋体" w:hAnsi="宋体"/>
          <w:sz w:val="24"/>
          <w:szCs w:val="20"/>
        </w:rPr>
        <w:t>供应商为自然人的情形，可不提供本</w:t>
      </w:r>
      <w:r>
        <w:rPr>
          <w:rFonts w:ascii="宋体" w:hAnsi="宋体"/>
          <w:sz w:val="24"/>
          <w:szCs w:val="20"/>
        </w:rPr>
        <w:t>《</w:t>
      </w:r>
      <w:r>
        <w:rPr>
          <w:rFonts w:hint="eastAsia" w:ascii="宋体" w:hAnsi="宋体"/>
          <w:sz w:val="24"/>
          <w:szCs w:val="20"/>
        </w:rPr>
        <w:t>授权委托书</w:t>
      </w:r>
      <w:r>
        <w:rPr>
          <w:rFonts w:ascii="宋体" w:hAnsi="宋体"/>
          <w:sz w:val="24"/>
          <w:szCs w:val="20"/>
        </w:rPr>
        <w:t>》</w:t>
      </w:r>
      <w:r>
        <w:rPr>
          <w:rFonts w:hint="eastAsia" w:ascii="宋体" w:hAnsi="宋体"/>
          <w:sz w:val="24"/>
          <w:szCs w:val="20"/>
        </w:rPr>
        <w:t>。</w:t>
      </w:r>
    </w:p>
    <w:p>
      <w:pPr>
        <w:tabs>
          <w:tab w:val="left" w:pos="5580"/>
        </w:tabs>
        <w:spacing w:line="360" w:lineRule="auto"/>
        <w:rPr>
          <w:rFonts w:ascii="宋体" w:hAnsi="宋体"/>
          <w:sz w:val="24"/>
          <w:szCs w:val="20"/>
        </w:rPr>
      </w:pPr>
      <w:r>
        <w:rPr>
          <w:rFonts w:hint="eastAsia" w:ascii="宋体" w:hAnsi="宋体"/>
          <w:sz w:val="24"/>
          <w:szCs w:val="20"/>
        </w:rPr>
        <w:t>4.供应商应随本《授权委托书》同时提供法定代表人（单位负责人）及委托代理人的有效的身份证、护照等身份证明文件电子件。提供身份证的，应同时提供身份证双面电子件。</w:t>
      </w:r>
    </w:p>
    <w:p>
      <w:pPr>
        <w:spacing w:line="360" w:lineRule="exact"/>
        <w:jc w:val="center"/>
        <w:rPr>
          <w:rFonts w:ascii="宋体" w:hAnsi="宋体"/>
          <w:b/>
          <w:sz w:val="36"/>
          <w:szCs w:val="36"/>
        </w:rPr>
      </w:pPr>
      <w:r>
        <w:rPr>
          <w:rFonts w:hint="eastAsia" w:ascii="宋体" w:hAnsi="宋体"/>
          <w:b/>
          <w:sz w:val="36"/>
          <w:szCs w:val="36"/>
        </w:rPr>
        <w:t>附：</w:t>
      </w:r>
      <w:r>
        <w:rPr>
          <w:rFonts w:ascii="宋体" w:hAnsi="宋体"/>
          <w:b/>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w:t>
      </w:r>
      <w:r>
        <w:rPr>
          <w:rFonts w:hint="eastAsia" w:ascii="宋体" w:hAnsi="宋体"/>
          <w:sz w:val="24"/>
          <w:u w:val="single"/>
        </w:rPr>
        <w:t>采购人或</w:t>
      </w:r>
      <w:r>
        <w:rPr>
          <w:rFonts w:ascii="宋体" w:hAnsi="宋体"/>
          <w:sz w:val="24"/>
          <w:u w:val="single"/>
        </w:rPr>
        <w:t>采购代理机构）</w:t>
      </w:r>
    </w:p>
    <w:p>
      <w:pPr>
        <w:pStyle w:val="2"/>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2"/>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2"/>
        <w:tabs>
          <w:tab w:val="left" w:pos="2412"/>
          <w:tab w:val="left" w:pos="3883"/>
          <w:tab w:val="left" w:pos="5352"/>
          <w:tab w:val="left" w:pos="6821"/>
        </w:tabs>
        <w:kinsoku w:val="0"/>
        <w:overflowPunct w:val="0"/>
        <w:spacing w:line="335" w:lineRule="exact"/>
      </w:pPr>
    </w:p>
    <w:p>
      <w:pPr>
        <w:pStyle w:val="2"/>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w:t>
      </w:r>
      <w:r>
        <w:rPr>
          <w:rFonts w:hint="eastAsia"/>
          <w:spacing w:val="-3"/>
        </w:rPr>
        <w:t>身份证、护照等</w:t>
      </w:r>
      <w:r>
        <w:rPr>
          <w:spacing w:val="-3"/>
        </w:rPr>
        <w:t>身</w:t>
      </w:r>
      <w:r>
        <w:rPr>
          <w:rFonts w:hint="eastAsia"/>
          <w:spacing w:val="-3"/>
        </w:rPr>
        <w:t>份证明文件电子件。</w:t>
      </w:r>
    </w:p>
    <w:tbl>
      <w:tblPr>
        <w:tblStyle w:val="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225"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pStyle w:val="2"/>
        <w:kinsoku w:val="0"/>
        <w:overflowPunct w:val="0"/>
        <w:spacing w:line="583" w:lineRule="auto"/>
        <w:ind w:right="4305"/>
        <w:rPr>
          <w:spacing w:val="-3"/>
        </w:rPr>
      </w:pPr>
    </w:p>
    <w:p>
      <w:pPr>
        <w:autoSpaceDE w:val="0"/>
        <w:autoSpaceDN w:val="0"/>
        <w:adjustRightInd w:val="0"/>
        <w:snapToGrid w:val="0"/>
        <w:spacing w:line="360" w:lineRule="auto"/>
        <w:rPr>
          <w:rFonts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pPr>
        <w:pStyle w:val="2"/>
        <w:kinsoku w:val="0"/>
        <w:overflowPunct w:val="0"/>
        <w:spacing w:line="583" w:lineRule="auto"/>
        <w:ind w:right="95"/>
        <w:rPr>
          <w:spacing w:val="-3"/>
        </w:rPr>
      </w:pPr>
      <w:r>
        <w:rPr>
          <w:rFonts w:hint="eastAsia"/>
          <w:spacing w:val="-3"/>
        </w:rPr>
        <w:t>法定代表人（</w:t>
      </w:r>
      <w:r>
        <w:t>单位负责人</w:t>
      </w:r>
      <w:r>
        <w:rPr>
          <w:rFonts w:hint="eastAsia"/>
          <w:spacing w:val="-3"/>
        </w:rPr>
        <w:t>）（签字或印鉴）：_</w:t>
      </w:r>
      <w:r>
        <w:rPr>
          <w:spacing w:val="-3"/>
        </w:rPr>
        <w:t>______</w:t>
      </w:r>
    </w:p>
    <w:p>
      <w:pPr>
        <w:autoSpaceDE w:val="0"/>
        <w:autoSpaceDN w:val="0"/>
        <w:adjustRightInd w:val="0"/>
        <w:snapToGrid w:val="0"/>
        <w:spacing w:line="360" w:lineRule="auto"/>
        <w:rPr>
          <w:rFonts w:ascii="宋体" w:hAnsi="宋体"/>
          <w:sz w:val="24"/>
        </w:rPr>
      </w:pPr>
    </w:p>
    <w:p>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pPr>
        <w:widowControl/>
        <w:jc w:val="left"/>
        <w:rPr>
          <w:rFonts w:ascii="宋体" w:hAnsi="宋体"/>
          <w:i/>
          <w:sz w:val="24"/>
          <w:szCs w:val="20"/>
          <w:u w:val="single"/>
        </w:rPr>
      </w:pPr>
    </w:p>
    <w:p>
      <w:pPr>
        <w:spacing w:line="360" w:lineRule="auto"/>
        <w:outlineLvl w:val="2"/>
        <w:rPr>
          <w:sz w:val="24"/>
          <w:szCs w:val="20"/>
        </w:rPr>
      </w:pPr>
      <w:r>
        <w:rPr>
          <w:sz w:val="24"/>
          <w:szCs w:val="20"/>
        </w:rPr>
        <w:br w:type="page"/>
      </w:r>
      <w:r>
        <w:rPr>
          <w:sz w:val="24"/>
          <w:szCs w:val="20"/>
        </w:rPr>
        <w:t>3  开标一览表</w:t>
      </w:r>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sz w:val="24"/>
          <w:szCs w:val="20"/>
        </w:rPr>
        <w:t>（实质性格式）</w:t>
      </w:r>
    </w:p>
    <w:p>
      <w:pPr>
        <w:spacing w:line="360" w:lineRule="exact"/>
        <w:jc w:val="center"/>
        <w:rPr>
          <w:b/>
          <w:sz w:val="36"/>
          <w:szCs w:val="36"/>
        </w:rPr>
      </w:pPr>
      <w:bookmarkStart w:id="958" w:name="_Toc226965748"/>
      <w:bookmarkStart w:id="959" w:name="_Toc264969248"/>
      <w:bookmarkStart w:id="960" w:name="_Toc226337254"/>
      <w:bookmarkStart w:id="961" w:name="_Toc305158826"/>
      <w:bookmarkStart w:id="962" w:name="_Toc195842923"/>
      <w:bookmarkStart w:id="963" w:name="_Toc226309802"/>
      <w:bookmarkStart w:id="964" w:name="_Toc164608672"/>
      <w:bookmarkStart w:id="965" w:name="_Toc164608827"/>
      <w:bookmarkStart w:id="966" w:name="_Toc226965831"/>
      <w:bookmarkStart w:id="967" w:name="_Toc265228396"/>
      <w:bookmarkStart w:id="968" w:name="_Toc305158900"/>
      <w:r>
        <w:rPr>
          <w:rFonts w:hint="eastAsia"/>
          <w:b/>
          <w:sz w:val="36"/>
          <w:szCs w:val="36"/>
        </w:rPr>
        <w:t>开标一览表</w:t>
      </w:r>
      <w:bookmarkEnd w:id="958"/>
      <w:bookmarkEnd w:id="959"/>
      <w:bookmarkEnd w:id="960"/>
      <w:bookmarkEnd w:id="961"/>
      <w:bookmarkEnd w:id="962"/>
      <w:bookmarkEnd w:id="963"/>
      <w:bookmarkEnd w:id="964"/>
      <w:bookmarkEnd w:id="965"/>
      <w:bookmarkEnd w:id="966"/>
      <w:bookmarkEnd w:id="967"/>
      <w:bookmarkEnd w:id="968"/>
    </w:p>
    <w:p>
      <w:pPr>
        <w:tabs>
          <w:tab w:val="left" w:pos="1800"/>
          <w:tab w:val="left" w:pos="5580"/>
        </w:tabs>
        <w:spacing w:line="360" w:lineRule="auto"/>
        <w:jc w:val="left"/>
        <w:rPr>
          <w:i/>
          <w:sz w:val="24"/>
        </w:rPr>
      </w:pPr>
    </w:p>
    <w:p>
      <w:pPr>
        <w:tabs>
          <w:tab w:val="left" w:pos="1800"/>
          <w:tab w:val="left" w:pos="5580"/>
        </w:tabs>
        <w:spacing w:line="360" w:lineRule="auto"/>
        <w:jc w:val="left"/>
        <w:rPr>
          <w:i/>
          <w:sz w:val="24"/>
        </w:rPr>
      </w:pPr>
    </w:p>
    <w:p>
      <w:pPr>
        <w:tabs>
          <w:tab w:val="left" w:pos="1800"/>
          <w:tab w:val="left" w:pos="5580"/>
        </w:tabs>
        <w:spacing w:line="360" w:lineRule="auto"/>
        <w:ind w:firstLine="240" w:firstLineChars="100"/>
        <w:jc w:val="left"/>
        <w:rPr>
          <w:sz w:val="24"/>
          <w:u w:val="single"/>
        </w:rPr>
      </w:pPr>
      <w:r>
        <w:rPr>
          <w:sz w:val="24"/>
        </w:rPr>
        <w:t>项目编号/包号：_____________________     项目名称：____________</w:t>
      </w:r>
    </w:p>
    <w:tbl>
      <w:tblPr>
        <w:tblStyle w:val="56"/>
        <w:tblW w:w="83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1" w:hRule="atLeast"/>
          <w:jc w:val="center"/>
        </w:trPr>
        <w:tc>
          <w:tcPr>
            <w:tcW w:w="690" w:type="dxa"/>
            <w:vMerge w:val="restart"/>
            <w:vAlign w:val="center"/>
          </w:tcPr>
          <w:p>
            <w:pPr>
              <w:tabs>
                <w:tab w:val="left" w:pos="5580"/>
              </w:tabs>
              <w:jc w:val="center"/>
              <w:rPr>
                <w:b/>
                <w:sz w:val="24"/>
              </w:rPr>
            </w:pPr>
            <w:r>
              <w:rPr>
                <w:b/>
                <w:sz w:val="24"/>
              </w:rPr>
              <w:t>序号</w:t>
            </w:r>
          </w:p>
        </w:tc>
        <w:tc>
          <w:tcPr>
            <w:tcW w:w="3709" w:type="dxa"/>
            <w:vMerge w:val="restart"/>
            <w:vAlign w:val="center"/>
          </w:tcPr>
          <w:p>
            <w:pPr>
              <w:tabs>
                <w:tab w:val="left" w:pos="5580"/>
              </w:tabs>
              <w:jc w:val="center"/>
              <w:rPr>
                <w:b/>
                <w:sz w:val="24"/>
              </w:rPr>
            </w:pPr>
            <w:r>
              <w:rPr>
                <w:b/>
                <w:sz w:val="24"/>
              </w:rPr>
              <w:t>投标人名称</w:t>
            </w:r>
          </w:p>
        </w:tc>
        <w:tc>
          <w:tcPr>
            <w:tcW w:w="3973" w:type="dxa"/>
            <w:gridSpan w:val="2"/>
            <w:vAlign w:val="center"/>
          </w:tcPr>
          <w:p>
            <w:pPr>
              <w:tabs>
                <w:tab w:val="left" w:pos="5580"/>
              </w:tabs>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4" w:hRule="atLeast"/>
          <w:jc w:val="center"/>
        </w:trPr>
        <w:tc>
          <w:tcPr>
            <w:tcW w:w="690" w:type="dxa"/>
            <w:vMerge w:val="continue"/>
            <w:vAlign w:val="center"/>
          </w:tcPr>
          <w:p>
            <w:pPr>
              <w:tabs>
                <w:tab w:val="left" w:pos="5580"/>
              </w:tabs>
              <w:jc w:val="center"/>
              <w:rPr>
                <w:sz w:val="24"/>
              </w:rPr>
            </w:pPr>
          </w:p>
        </w:tc>
        <w:tc>
          <w:tcPr>
            <w:tcW w:w="3709" w:type="dxa"/>
            <w:vMerge w:val="continue"/>
            <w:vAlign w:val="center"/>
          </w:tcPr>
          <w:p>
            <w:pPr>
              <w:tabs>
                <w:tab w:val="left" w:pos="5580"/>
              </w:tabs>
              <w:jc w:val="center"/>
              <w:rPr>
                <w:sz w:val="24"/>
              </w:rPr>
            </w:pPr>
          </w:p>
        </w:tc>
        <w:tc>
          <w:tcPr>
            <w:tcW w:w="1989" w:type="dxa"/>
            <w:vAlign w:val="center"/>
          </w:tcPr>
          <w:p>
            <w:pPr>
              <w:tabs>
                <w:tab w:val="left" w:pos="5580"/>
              </w:tabs>
              <w:jc w:val="center"/>
              <w:rPr>
                <w:b/>
                <w:sz w:val="24"/>
              </w:rPr>
            </w:pPr>
            <w:r>
              <w:rPr>
                <w:b/>
                <w:sz w:val="24"/>
              </w:rPr>
              <w:t>大写</w:t>
            </w:r>
          </w:p>
        </w:tc>
        <w:tc>
          <w:tcPr>
            <w:tcW w:w="1984" w:type="dxa"/>
            <w:vAlign w:val="center"/>
          </w:tcPr>
          <w:p>
            <w:pPr>
              <w:tabs>
                <w:tab w:val="left" w:pos="5580"/>
              </w:tabs>
              <w:jc w:val="center"/>
              <w:rPr>
                <w:b/>
                <w:sz w:val="24"/>
              </w:rPr>
            </w:pPr>
            <w:r>
              <w:rPr>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76" w:hRule="atLeast"/>
          <w:jc w:val="center"/>
        </w:trPr>
        <w:tc>
          <w:tcPr>
            <w:tcW w:w="690" w:type="dxa"/>
            <w:vAlign w:val="center"/>
          </w:tcPr>
          <w:p>
            <w:pPr>
              <w:tabs>
                <w:tab w:val="left" w:pos="5580"/>
              </w:tabs>
              <w:jc w:val="center"/>
              <w:rPr>
                <w:sz w:val="24"/>
              </w:rPr>
            </w:pPr>
          </w:p>
        </w:tc>
        <w:tc>
          <w:tcPr>
            <w:tcW w:w="3709" w:type="dxa"/>
            <w:vAlign w:val="center"/>
          </w:tcPr>
          <w:p>
            <w:pPr>
              <w:tabs>
                <w:tab w:val="left" w:pos="5580"/>
              </w:tabs>
              <w:jc w:val="center"/>
              <w:rPr>
                <w:sz w:val="24"/>
              </w:rPr>
            </w:pPr>
          </w:p>
        </w:tc>
        <w:tc>
          <w:tcPr>
            <w:tcW w:w="1989" w:type="dxa"/>
            <w:vAlign w:val="center"/>
          </w:tcPr>
          <w:p>
            <w:pPr>
              <w:tabs>
                <w:tab w:val="left" w:pos="5580"/>
              </w:tabs>
              <w:jc w:val="center"/>
              <w:rPr>
                <w:sz w:val="24"/>
              </w:rPr>
            </w:pPr>
          </w:p>
        </w:tc>
        <w:tc>
          <w:tcPr>
            <w:tcW w:w="1984" w:type="dxa"/>
            <w:vAlign w:val="center"/>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szCs w:val="20"/>
        </w:rPr>
      </w:pPr>
      <w:r>
        <w:rPr>
          <w:kern w:val="0"/>
          <w:sz w:val="24"/>
        </w:rPr>
        <w:t>注：1</w:t>
      </w:r>
      <w:r>
        <w:rPr>
          <w:sz w:val="24"/>
          <w:szCs w:val="20"/>
        </w:rPr>
        <w:t>.此表中，每包的投标报价应和《投标分项报价表》中的总价相一致。</w:t>
      </w:r>
    </w:p>
    <w:p>
      <w:pPr>
        <w:tabs>
          <w:tab w:val="left" w:pos="5580"/>
        </w:tabs>
        <w:ind w:firstLine="480" w:firstLineChars="200"/>
        <w:rPr>
          <w:sz w:val="24"/>
          <w:szCs w:val="20"/>
        </w:rPr>
      </w:pPr>
      <w:r>
        <w:rPr>
          <w:sz w:val="24"/>
          <w:szCs w:val="20"/>
        </w:rPr>
        <w:t>2.本表必须按包分别填写。</w:t>
      </w: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pPr>
        <w:autoSpaceDE w:val="0"/>
        <w:autoSpaceDN w:val="0"/>
        <w:adjustRightInd w:val="0"/>
        <w:snapToGrid w:val="0"/>
        <w:spacing w:before="25" w:after="25" w:line="360" w:lineRule="auto"/>
        <w:rPr>
          <w:sz w:val="24"/>
          <w:lang w:val="zh-CN"/>
        </w:rPr>
      </w:pPr>
      <w:r>
        <w:rPr>
          <w:sz w:val="24"/>
          <w:szCs w:val="20"/>
        </w:rPr>
        <w:t xml:space="preserve">日期：_____年______月______日   </w:t>
      </w:r>
    </w:p>
    <w:p>
      <w:pPr>
        <w:spacing w:line="360" w:lineRule="auto"/>
        <w:outlineLvl w:val="2"/>
        <w:rPr>
          <w:sz w:val="24"/>
          <w:szCs w:val="20"/>
        </w:rPr>
      </w:pPr>
      <w:bookmarkStart w:id="969" w:name="_Toc264969249"/>
      <w:bookmarkStart w:id="970" w:name="_Toc150774763"/>
      <w:bookmarkStart w:id="971" w:name="_Toc305158901"/>
      <w:bookmarkStart w:id="972" w:name="_Toc195842924"/>
      <w:bookmarkStart w:id="973" w:name="_Toc150480796"/>
      <w:bookmarkStart w:id="974" w:name="_Toc127151558"/>
      <w:bookmarkStart w:id="975" w:name="_Toc305158827"/>
      <w:bookmarkStart w:id="976" w:name="_Toc226309803"/>
      <w:bookmarkStart w:id="977" w:name="_Toc226965832"/>
      <w:bookmarkStart w:id="978" w:name="_Toc226965749"/>
      <w:bookmarkStart w:id="979" w:name="_Toc265228397"/>
      <w:bookmarkStart w:id="980" w:name="_Toc226337255"/>
      <w:bookmarkStart w:id="981" w:name="_Toc142311060"/>
      <w:r>
        <w:rPr>
          <w:sz w:val="24"/>
          <w:szCs w:val="20"/>
        </w:rPr>
        <w:br w:type="page"/>
      </w:r>
      <w:r>
        <w:rPr>
          <w:sz w:val="24"/>
          <w:szCs w:val="20"/>
        </w:rPr>
        <w:t>4  投标分项报价表</w:t>
      </w:r>
      <w:bookmarkEnd w:id="969"/>
      <w:bookmarkEnd w:id="970"/>
      <w:bookmarkEnd w:id="971"/>
      <w:bookmarkEnd w:id="972"/>
      <w:bookmarkEnd w:id="973"/>
      <w:bookmarkEnd w:id="974"/>
      <w:bookmarkEnd w:id="975"/>
      <w:bookmarkEnd w:id="976"/>
      <w:bookmarkEnd w:id="977"/>
      <w:bookmarkEnd w:id="978"/>
      <w:bookmarkEnd w:id="979"/>
      <w:bookmarkEnd w:id="980"/>
      <w:bookmarkEnd w:id="981"/>
      <w:r>
        <w:rPr>
          <w:sz w:val="24"/>
          <w:szCs w:val="20"/>
        </w:rPr>
        <w:t>（实质性格式）</w:t>
      </w:r>
    </w:p>
    <w:p>
      <w:pPr>
        <w:spacing w:line="360" w:lineRule="exact"/>
        <w:jc w:val="center"/>
        <w:rPr>
          <w:sz w:val="36"/>
          <w:szCs w:val="36"/>
        </w:rPr>
      </w:pPr>
    </w:p>
    <w:p>
      <w:pPr>
        <w:spacing w:line="360" w:lineRule="exact"/>
        <w:jc w:val="center"/>
        <w:rPr>
          <w:b/>
          <w:sz w:val="36"/>
          <w:szCs w:val="36"/>
        </w:rPr>
      </w:pPr>
      <w:r>
        <w:rPr>
          <w:rFonts w:hint="eastAsia"/>
          <w:b/>
          <w:sz w:val="36"/>
          <w:szCs w:val="36"/>
        </w:rPr>
        <w:t>投标分项报价表</w:t>
      </w:r>
    </w:p>
    <w:p>
      <w:pPr>
        <w:spacing w:line="260" w:lineRule="exact"/>
        <w:jc w:val="center"/>
        <w:rPr>
          <w:sz w:val="36"/>
          <w:szCs w:val="36"/>
        </w:rPr>
      </w:pPr>
    </w:p>
    <w:p>
      <w:pPr>
        <w:tabs>
          <w:tab w:val="left" w:pos="1800"/>
          <w:tab w:val="left" w:pos="5580"/>
        </w:tabs>
        <w:rPr>
          <w:sz w:val="24"/>
        </w:rPr>
      </w:pPr>
    </w:p>
    <w:p>
      <w:pPr>
        <w:tabs>
          <w:tab w:val="left" w:pos="1800"/>
          <w:tab w:val="left" w:pos="5580"/>
        </w:tabs>
        <w:rPr>
          <w:sz w:val="24"/>
        </w:rPr>
      </w:pPr>
      <w:r>
        <w:rPr>
          <w:sz w:val="24"/>
        </w:rPr>
        <w:t>项目编号/包号：___________ 项目名称：__________报价单位：人民币元</w:t>
      </w:r>
    </w:p>
    <w:tbl>
      <w:tblPr>
        <w:tblStyle w:val="56"/>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703" w:type="dxa"/>
            <w:vAlign w:val="center"/>
          </w:tcPr>
          <w:p>
            <w:pPr>
              <w:adjustRightInd w:val="0"/>
              <w:snapToGrid w:val="0"/>
              <w:jc w:val="left"/>
              <w:rPr>
                <w:b/>
                <w:sz w:val="24"/>
              </w:rPr>
            </w:pPr>
            <w:r>
              <w:rPr>
                <w:b/>
                <w:sz w:val="24"/>
              </w:rPr>
              <w:t>序号</w:t>
            </w:r>
          </w:p>
        </w:tc>
        <w:tc>
          <w:tcPr>
            <w:tcW w:w="3401" w:type="dxa"/>
            <w:vAlign w:val="center"/>
          </w:tcPr>
          <w:p>
            <w:pPr>
              <w:adjustRightInd w:val="0"/>
              <w:snapToGrid w:val="0"/>
              <w:jc w:val="left"/>
              <w:rPr>
                <w:b/>
                <w:sz w:val="24"/>
              </w:rPr>
            </w:pPr>
            <w:r>
              <w:rPr>
                <w:b/>
                <w:sz w:val="24"/>
              </w:rPr>
              <w:t>分项名称</w:t>
            </w:r>
          </w:p>
        </w:tc>
        <w:tc>
          <w:tcPr>
            <w:tcW w:w="1562" w:type="dxa"/>
            <w:vAlign w:val="center"/>
          </w:tcPr>
          <w:p>
            <w:pPr>
              <w:adjustRightInd w:val="0"/>
              <w:snapToGrid w:val="0"/>
              <w:jc w:val="left"/>
              <w:rPr>
                <w:b/>
                <w:sz w:val="24"/>
              </w:rPr>
            </w:pPr>
            <w:r>
              <w:rPr>
                <w:b/>
                <w:sz w:val="24"/>
              </w:rPr>
              <w:t>单价（元）</w:t>
            </w:r>
          </w:p>
        </w:tc>
        <w:tc>
          <w:tcPr>
            <w:tcW w:w="1560" w:type="dxa"/>
            <w:vAlign w:val="center"/>
          </w:tcPr>
          <w:p>
            <w:pPr>
              <w:adjustRightInd w:val="0"/>
              <w:snapToGrid w:val="0"/>
              <w:jc w:val="left"/>
              <w:rPr>
                <w:b/>
                <w:sz w:val="24"/>
              </w:rPr>
            </w:pPr>
            <w:r>
              <w:rPr>
                <w:b/>
                <w:sz w:val="24"/>
              </w:rPr>
              <w:t>合价（元）</w:t>
            </w:r>
          </w:p>
        </w:tc>
        <w:tc>
          <w:tcPr>
            <w:tcW w:w="1982" w:type="dxa"/>
            <w:vAlign w:val="center"/>
          </w:tcPr>
          <w:p>
            <w:pPr>
              <w:adjustRightInd w:val="0"/>
              <w:snapToGrid w:val="0"/>
              <w:jc w:val="left"/>
              <w:rPr>
                <w:b/>
                <w:sz w:val="24"/>
              </w:rPr>
            </w:pPr>
            <w:r>
              <w:rPr>
                <w:b/>
                <w:sz w:val="24"/>
              </w:rPr>
              <w:t>备注/说明</w:t>
            </w:r>
          </w:p>
        </w:tc>
      </w:tr>
      <w:tr>
        <w:tblPrEx>
          <w:tblLayout w:type="fixed"/>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sz w:val="24"/>
              </w:rPr>
            </w:pPr>
            <w:r>
              <w:rPr>
                <w:sz w:val="24"/>
              </w:rPr>
              <w:t>1</w:t>
            </w:r>
          </w:p>
        </w:tc>
        <w:tc>
          <w:tcPr>
            <w:tcW w:w="3401" w:type="dxa"/>
            <w:vAlign w:val="center"/>
          </w:tcPr>
          <w:p>
            <w:pPr>
              <w:adjustRightInd w:val="0"/>
              <w:snapToGrid w:val="0"/>
              <w:jc w:val="left"/>
              <w:rPr>
                <w:sz w:val="24"/>
              </w:rPr>
            </w:pPr>
          </w:p>
        </w:tc>
        <w:tc>
          <w:tcPr>
            <w:tcW w:w="1562" w:type="dxa"/>
            <w:vAlign w:val="center"/>
          </w:tcPr>
          <w:p>
            <w:pPr>
              <w:adjustRightInd w:val="0"/>
              <w:snapToGrid w:val="0"/>
              <w:jc w:val="left"/>
              <w:rPr>
                <w:sz w:val="24"/>
              </w:rPr>
            </w:pPr>
          </w:p>
        </w:tc>
        <w:tc>
          <w:tcPr>
            <w:tcW w:w="1560" w:type="dxa"/>
            <w:vAlign w:val="center"/>
          </w:tcPr>
          <w:p>
            <w:pPr>
              <w:adjustRightInd w:val="0"/>
              <w:snapToGrid w:val="0"/>
              <w:jc w:val="left"/>
              <w:rPr>
                <w:sz w:val="24"/>
              </w:rPr>
            </w:pPr>
          </w:p>
        </w:tc>
        <w:tc>
          <w:tcPr>
            <w:tcW w:w="1982" w:type="dxa"/>
            <w:vAlign w:val="center"/>
          </w:tcPr>
          <w:p>
            <w:pPr>
              <w:adjustRightInd w:val="0"/>
              <w:snapToGrid w:val="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sz w:val="24"/>
              </w:rPr>
            </w:pPr>
            <w:r>
              <w:rPr>
                <w:sz w:val="24"/>
              </w:rPr>
              <w:t>2</w:t>
            </w:r>
          </w:p>
        </w:tc>
        <w:tc>
          <w:tcPr>
            <w:tcW w:w="3401" w:type="dxa"/>
            <w:vAlign w:val="center"/>
          </w:tcPr>
          <w:p>
            <w:pPr>
              <w:adjustRightInd w:val="0"/>
              <w:snapToGrid w:val="0"/>
              <w:jc w:val="left"/>
              <w:rPr>
                <w:sz w:val="24"/>
              </w:rPr>
            </w:pPr>
          </w:p>
        </w:tc>
        <w:tc>
          <w:tcPr>
            <w:tcW w:w="1562" w:type="dxa"/>
            <w:vAlign w:val="center"/>
          </w:tcPr>
          <w:p>
            <w:pPr>
              <w:adjustRightInd w:val="0"/>
              <w:snapToGrid w:val="0"/>
              <w:jc w:val="left"/>
              <w:rPr>
                <w:sz w:val="24"/>
              </w:rPr>
            </w:pPr>
          </w:p>
        </w:tc>
        <w:tc>
          <w:tcPr>
            <w:tcW w:w="1560" w:type="dxa"/>
            <w:vAlign w:val="center"/>
          </w:tcPr>
          <w:p>
            <w:pPr>
              <w:adjustRightInd w:val="0"/>
              <w:snapToGrid w:val="0"/>
              <w:jc w:val="left"/>
              <w:rPr>
                <w:sz w:val="24"/>
              </w:rPr>
            </w:pPr>
          </w:p>
        </w:tc>
        <w:tc>
          <w:tcPr>
            <w:tcW w:w="1982" w:type="dxa"/>
            <w:vAlign w:val="center"/>
          </w:tcPr>
          <w:p>
            <w:pPr>
              <w:adjustRightInd w:val="0"/>
              <w:snapToGrid w:val="0"/>
              <w:jc w:val="left"/>
              <w:rPr>
                <w:sz w:val="24"/>
              </w:rPr>
            </w:pPr>
          </w:p>
        </w:tc>
      </w:tr>
      <w:tr>
        <w:tblPrEx>
          <w:tblLayout w:type="fixed"/>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sz w:val="24"/>
              </w:rPr>
            </w:pPr>
            <w:r>
              <w:rPr>
                <w:sz w:val="24"/>
              </w:rPr>
              <w:t>3</w:t>
            </w:r>
          </w:p>
        </w:tc>
        <w:tc>
          <w:tcPr>
            <w:tcW w:w="3401" w:type="dxa"/>
            <w:vAlign w:val="center"/>
          </w:tcPr>
          <w:p>
            <w:pPr>
              <w:adjustRightInd w:val="0"/>
              <w:snapToGrid w:val="0"/>
              <w:jc w:val="left"/>
              <w:rPr>
                <w:sz w:val="24"/>
              </w:rPr>
            </w:pPr>
            <w:r>
              <w:rPr>
                <w:sz w:val="24"/>
              </w:rPr>
              <w:t>…</w:t>
            </w:r>
          </w:p>
        </w:tc>
        <w:tc>
          <w:tcPr>
            <w:tcW w:w="1562" w:type="dxa"/>
            <w:vAlign w:val="center"/>
          </w:tcPr>
          <w:p>
            <w:pPr>
              <w:adjustRightInd w:val="0"/>
              <w:snapToGrid w:val="0"/>
              <w:jc w:val="left"/>
              <w:rPr>
                <w:sz w:val="24"/>
              </w:rPr>
            </w:pPr>
          </w:p>
        </w:tc>
        <w:tc>
          <w:tcPr>
            <w:tcW w:w="1560" w:type="dxa"/>
            <w:vAlign w:val="center"/>
          </w:tcPr>
          <w:p>
            <w:pPr>
              <w:adjustRightInd w:val="0"/>
              <w:snapToGrid w:val="0"/>
              <w:jc w:val="left"/>
              <w:rPr>
                <w:sz w:val="24"/>
              </w:rPr>
            </w:pPr>
          </w:p>
        </w:tc>
        <w:tc>
          <w:tcPr>
            <w:tcW w:w="1982" w:type="dxa"/>
            <w:vAlign w:val="center"/>
          </w:tcPr>
          <w:p>
            <w:pPr>
              <w:adjustRightInd w:val="0"/>
              <w:snapToGrid w:val="0"/>
              <w:jc w:val="left"/>
              <w:rPr>
                <w:sz w:val="24"/>
              </w:rPr>
            </w:pPr>
          </w:p>
        </w:tc>
      </w:tr>
      <w:tr>
        <w:tblPrEx>
          <w:tblLayout w:type="fixed"/>
          <w:tblCellMar>
            <w:top w:w="0" w:type="dxa"/>
            <w:left w:w="108" w:type="dxa"/>
            <w:bottom w:w="0" w:type="dxa"/>
            <w:right w:w="108" w:type="dxa"/>
          </w:tblCellMar>
        </w:tblPrEx>
        <w:trPr>
          <w:trHeight w:val="407" w:hRule="atLeast"/>
        </w:trPr>
        <w:tc>
          <w:tcPr>
            <w:tcW w:w="5666" w:type="dxa"/>
            <w:gridSpan w:val="3"/>
            <w:vAlign w:val="center"/>
          </w:tcPr>
          <w:p>
            <w:pPr>
              <w:adjustRightInd w:val="0"/>
              <w:snapToGrid w:val="0"/>
              <w:jc w:val="right"/>
              <w:rPr>
                <w:b/>
                <w:sz w:val="24"/>
              </w:rPr>
            </w:pPr>
            <w:r>
              <w:rPr>
                <w:b/>
                <w:sz w:val="24"/>
              </w:rPr>
              <w:t>总价（元）</w:t>
            </w:r>
          </w:p>
        </w:tc>
        <w:tc>
          <w:tcPr>
            <w:tcW w:w="1560" w:type="dxa"/>
            <w:vAlign w:val="center"/>
          </w:tcPr>
          <w:p>
            <w:pPr>
              <w:adjustRightInd w:val="0"/>
              <w:snapToGrid w:val="0"/>
              <w:jc w:val="left"/>
              <w:rPr>
                <w:sz w:val="24"/>
              </w:rPr>
            </w:pPr>
          </w:p>
        </w:tc>
        <w:tc>
          <w:tcPr>
            <w:tcW w:w="1982" w:type="dxa"/>
            <w:vAlign w:val="center"/>
          </w:tcPr>
          <w:p>
            <w:pPr>
              <w:adjustRightInd w:val="0"/>
              <w:snapToGrid w:val="0"/>
              <w:jc w:val="left"/>
              <w:rPr>
                <w:sz w:val="24"/>
              </w:rPr>
            </w:pPr>
          </w:p>
        </w:tc>
      </w:tr>
    </w:tbl>
    <w:p>
      <w:pPr/>
    </w:p>
    <w:p>
      <w:pPr>
        <w:rPr>
          <w:sz w:val="24"/>
        </w:rPr>
      </w:pPr>
      <w:r>
        <w:rPr>
          <w:sz w:val="24"/>
        </w:rPr>
        <w:t>注：1.本表应按包分别填写。</w:t>
      </w:r>
    </w:p>
    <w:p>
      <w:pPr>
        <w:ind w:firstLine="480" w:firstLineChars="200"/>
        <w:rPr>
          <w:sz w:val="24"/>
        </w:rPr>
      </w:pPr>
      <w:r>
        <w:rPr>
          <w:sz w:val="24"/>
        </w:rPr>
        <w:t>2.如果不提供分项报价将视为没有实质性响应招标文件。</w:t>
      </w:r>
    </w:p>
    <w:p>
      <w:pPr>
        <w:ind w:firstLine="480" w:firstLineChars="200"/>
        <w:rPr>
          <w:sz w:val="24"/>
        </w:rPr>
      </w:pPr>
      <w:r>
        <w:rPr>
          <w:sz w:val="24"/>
        </w:rPr>
        <w:t>3.上述各项的详细规格（如有），可另页描述。</w:t>
      </w:r>
    </w:p>
    <w:p>
      <w:pPr>
        <w:rPr>
          <w:sz w:val="24"/>
        </w:rPr>
      </w:pPr>
      <w:r>
        <w:rPr>
          <w:sz w:val="24"/>
        </w:rPr>
        <w:t xml:space="preserve">                  </w:t>
      </w:r>
    </w:p>
    <w:p>
      <w:pPr>
        <w:rPr>
          <w:sz w:val="24"/>
        </w:rPr>
      </w:pPr>
      <w:r>
        <w:rPr>
          <w:sz w:val="24"/>
        </w:rPr>
        <w:t>投标人名称（加盖公章）：____________</w:t>
      </w:r>
    </w:p>
    <w:p>
      <w:pPr>
        <w:rPr>
          <w:sz w:val="24"/>
        </w:rPr>
      </w:pPr>
      <w:r>
        <w:rPr>
          <w:sz w:val="24"/>
        </w:rPr>
        <w:t xml:space="preserve">日期：_____年______月______日   </w:t>
      </w:r>
    </w:p>
    <w:p>
      <w:pPr/>
    </w:p>
    <w:p>
      <w:pPr>
        <w:spacing w:line="360" w:lineRule="auto"/>
        <w:outlineLvl w:val="2"/>
        <w:rPr>
          <w:sz w:val="24"/>
          <w:szCs w:val="20"/>
        </w:rPr>
      </w:pPr>
      <w:r>
        <w:rPr>
          <w:sz w:val="24"/>
        </w:rPr>
        <w:br w:type="page"/>
      </w:r>
      <w:bookmarkStart w:id="982" w:name="_Toc195842927"/>
      <w:bookmarkStart w:id="983" w:name="_Toc226309806"/>
      <w:bookmarkStart w:id="984" w:name="_Toc226965752"/>
      <w:bookmarkStart w:id="985" w:name="_Toc305158904"/>
      <w:bookmarkStart w:id="986" w:name="_Toc226337258"/>
      <w:bookmarkStart w:id="987" w:name="_Toc150480798"/>
      <w:bookmarkStart w:id="988" w:name="_Toc127151562"/>
      <w:bookmarkStart w:id="989" w:name="_Toc150774765"/>
      <w:bookmarkStart w:id="990" w:name="_Toc142311062"/>
      <w:bookmarkStart w:id="991" w:name="_Toc265228400"/>
      <w:bookmarkStart w:id="992" w:name="_Toc264969252"/>
      <w:bookmarkStart w:id="993" w:name="_Toc305158830"/>
      <w:bookmarkStart w:id="994" w:name="_Toc226965835"/>
      <w:bookmarkStart w:id="995" w:name="_Toc195842926"/>
      <w:bookmarkStart w:id="996" w:name="_Toc226965834"/>
      <w:bookmarkStart w:id="997" w:name="_Toc142311061"/>
      <w:bookmarkStart w:id="998" w:name="_Toc127151561"/>
      <w:bookmarkStart w:id="999" w:name="_Toc265228399"/>
      <w:bookmarkStart w:id="1000" w:name="_Toc150774764"/>
      <w:bookmarkStart w:id="1001" w:name="_Toc226965751"/>
      <w:bookmarkStart w:id="1002" w:name="_Toc305158829"/>
      <w:bookmarkStart w:id="1003" w:name="_Toc264969251"/>
      <w:bookmarkStart w:id="1004" w:name="_Toc150480797"/>
      <w:bookmarkStart w:id="1005" w:name="_Toc305158903"/>
      <w:bookmarkStart w:id="1006" w:name="_Toc226337257"/>
      <w:bookmarkStart w:id="1007" w:name="_Toc226309805"/>
      <w:r>
        <w:rPr>
          <w:sz w:val="24"/>
          <w:szCs w:val="20"/>
        </w:rPr>
        <w:t>5  合同条款偏离表</w:t>
      </w:r>
      <w:bookmarkEnd w:id="982"/>
      <w:bookmarkEnd w:id="983"/>
      <w:bookmarkEnd w:id="984"/>
      <w:bookmarkEnd w:id="985"/>
      <w:bookmarkEnd w:id="986"/>
      <w:bookmarkEnd w:id="987"/>
      <w:bookmarkEnd w:id="988"/>
      <w:bookmarkEnd w:id="989"/>
      <w:bookmarkEnd w:id="990"/>
      <w:bookmarkEnd w:id="991"/>
      <w:bookmarkEnd w:id="992"/>
      <w:bookmarkEnd w:id="993"/>
      <w:bookmarkEnd w:id="994"/>
      <w:r>
        <w:rPr>
          <w:sz w:val="24"/>
          <w:szCs w:val="20"/>
        </w:rPr>
        <w:t>（实质性格式）</w:t>
      </w:r>
    </w:p>
    <w:p>
      <w:pPr>
        <w:spacing w:line="360" w:lineRule="auto"/>
        <w:rPr>
          <w:sz w:val="24"/>
          <w:szCs w:val="20"/>
        </w:rPr>
      </w:pPr>
    </w:p>
    <w:p>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pPr>
        <w:spacing w:line="360" w:lineRule="auto"/>
        <w:rPr>
          <w:sz w:val="24"/>
          <w:szCs w:val="20"/>
        </w:rPr>
      </w:pPr>
    </w:p>
    <w:p>
      <w:pPr>
        <w:tabs>
          <w:tab w:val="left" w:pos="1800"/>
          <w:tab w:val="left" w:pos="5580"/>
        </w:tabs>
        <w:spacing w:line="360" w:lineRule="auto"/>
        <w:ind w:firstLine="360" w:firstLineChars="150"/>
        <w:jc w:val="left"/>
        <w:rPr>
          <w:sz w:val="24"/>
        </w:rPr>
      </w:pPr>
      <w:r>
        <w:rPr>
          <w:sz w:val="24"/>
        </w:rPr>
        <w:t>项目编号/包号：_____________________     项目名称：_____________</w:t>
      </w:r>
    </w:p>
    <w:tbl>
      <w:tblPr>
        <w:tblStyle w:val="56"/>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sz w:val="24"/>
              </w:rPr>
            </w:pPr>
            <w:r>
              <w:rPr>
                <w:sz w:val="24"/>
              </w:rPr>
              <w:t>序号</w:t>
            </w:r>
          </w:p>
        </w:tc>
        <w:tc>
          <w:tcPr>
            <w:tcW w:w="1291" w:type="dxa"/>
            <w:vAlign w:val="center"/>
          </w:tcPr>
          <w:p>
            <w:pPr>
              <w:adjustRightInd w:val="0"/>
              <w:snapToGrid w:val="0"/>
              <w:jc w:val="center"/>
              <w:rPr>
                <w:sz w:val="24"/>
              </w:rPr>
            </w:pPr>
            <w:r>
              <w:rPr>
                <w:sz w:val="24"/>
                <w:szCs w:val="21"/>
              </w:rPr>
              <w:t>招标文件</w:t>
            </w:r>
            <w:r>
              <w:rPr>
                <w:sz w:val="24"/>
              </w:rPr>
              <w:t>条目号（页码）</w:t>
            </w:r>
          </w:p>
        </w:tc>
        <w:tc>
          <w:tcPr>
            <w:tcW w:w="1981" w:type="dxa"/>
            <w:vAlign w:val="center"/>
          </w:tcPr>
          <w:p>
            <w:pPr>
              <w:adjustRightInd w:val="0"/>
              <w:snapToGrid w:val="0"/>
              <w:jc w:val="center"/>
              <w:rPr>
                <w:sz w:val="24"/>
              </w:rPr>
            </w:pPr>
            <w:r>
              <w:rPr>
                <w:sz w:val="24"/>
                <w:szCs w:val="21"/>
              </w:rPr>
              <w:t>招标文件</w:t>
            </w:r>
            <w:r>
              <w:rPr>
                <w:sz w:val="24"/>
              </w:rPr>
              <w:t>要求</w:t>
            </w:r>
          </w:p>
        </w:tc>
        <w:tc>
          <w:tcPr>
            <w:tcW w:w="1982" w:type="dxa"/>
            <w:vAlign w:val="center"/>
          </w:tcPr>
          <w:p>
            <w:pPr>
              <w:adjustRightInd w:val="0"/>
              <w:snapToGrid w:val="0"/>
              <w:jc w:val="center"/>
              <w:rPr>
                <w:sz w:val="24"/>
              </w:rPr>
            </w:pPr>
            <w:r>
              <w:rPr>
                <w:sz w:val="24"/>
              </w:rPr>
              <w:t>投标文件内容</w:t>
            </w:r>
          </w:p>
        </w:tc>
        <w:tc>
          <w:tcPr>
            <w:tcW w:w="2424" w:type="dxa"/>
            <w:vAlign w:val="center"/>
          </w:tcPr>
          <w:p>
            <w:pPr>
              <w:adjustRightInd w:val="0"/>
              <w:snapToGrid w:val="0"/>
              <w:jc w:val="center"/>
              <w:rPr>
                <w:sz w:val="24"/>
              </w:rPr>
            </w:pPr>
            <w:r>
              <w:rPr>
                <w:sz w:val="24"/>
              </w:rPr>
              <w:t>偏离情况</w:t>
            </w:r>
          </w:p>
        </w:tc>
        <w:tc>
          <w:tcPr>
            <w:tcW w:w="782" w:type="dxa"/>
            <w:vAlign w:val="center"/>
          </w:tcPr>
          <w:p>
            <w:pPr>
              <w:adjustRightInd w:val="0"/>
              <w:snapToGrid w:val="0"/>
              <w:jc w:val="center"/>
              <w:rPr>
                <w:sz w:val="24"/>
              </w:rPr>
            </w:pPr>
            <w:r>
              <w:rPr>
                <w:sz w:val="24"/>
              </w:rPr>
              <w:t>说明</w:t>
            </w:r>
          </w:p>
        </w:tc>
      </w:tr>
      <w:tr>
        <w:tblPrEx>
          <w:tblLayout w:type="fixed"/>
          <w:tblCellMar>
            <w:top w:w="0" w:type="dxa"/>
            <w:left w:w="108" w:type="dxa"/>
            <w:bottom w:w="0" w:type="dxa"/>
            <w:right w:w="108" w:type="dxa"/>
          </w:tblCellMar>
        </w:tblPrEx>
        <w:trPr>
          <w:trHeight w:val="2163" w:hRule="atLeast"/>
          <w:jc w:val="center"/>
        </w:trPr>
        <w:tc>
          <w:tcPr>
            <w:tcW w:w="9288" w:type="dxa"/>
            <w:gridSpan w:val="6"/>
            <w:vAlign w:val="center"/>
          </w:tcPr>
          <w:p>
            <w:pPr>
              <w:adjustRightInd w:val="0"/>
              <w:snapToGrid w:val="0"/>
              <w:spacing w:line="360" w:lineRule="auto"/>
              <w:rPr>
                <w:b/>
                <w:sz w:val="24"/>
              </w:rPr>
            </w:pPr>
            <w:r>
              <w:rPr>
                <w:rFonts w:hint="eastAsia"/>
                <w:b/>
                <w:sz w:val="24"/>
              </w:rPr>
              <w:t>对本项目合同条款的偏离情况（应进行选择，未选择响应无效）：</w:t>
            </w:r>
          </w:p>
          <w:p>
            <w:pPr>
              <w:adjustRightInd w:val="0"/>
              <w:snapToGrid w:val="0"/>
              <w:spacing w:line="360" w:lineRule="auto"/>
              <w:rPr>
                <w:bCs/>
                <w:sz w:val="24"/>
              </w:rPr>
            </w:pPr>
            <w:r>
              <w:rPr>
                <w:rFonts w:hint="eastAsia"/>
                <w:b/>
                <w:sz w:val="24"/>
              </w:rPr>
              <w:t>□无偏离</w:t>
            </w:r>
            <w:r>
              <w:rPr>
                <w:rFonts w:hint="eastAsia"/>
                <w:bCs/>
                <w:sz w:val="24"/>
              </w:rPr>
              <w:t>（如无偏离，仅在此处勾选无偏离即可。无偏离即为对合同条款中的所有要求，均视作投标人已对之理解和响应。）</w:t>
            </w:r>
          </w:p>
          <w:p>
            <w:pPr>
              <w:adjustRightInd w:val="0"/>
              <w:snapToGrid w:val="0"/>
              <w:spacing w:line="360" w:lineRule="auto"/>
              <w:rPr>
                <w:bCs/>
                <w:sz w:val="10"/>
                <w:szCs w:val="10"/>
              </w:rPr>
            </w:pPr>
          </w:p>
          <w:p>
            <w:pPr>
              <w:adjustRightInd w:val="0"/>
              <w:snapToGrid w:val="0"/>
              <w:spacing w:line="360" w:lineRule="auto"/>
              <w:rPr>
                <w:sz w:val="24"/>
              </w:rPr>
            </w:pPr>
            <w:r>
              <w:rPr>
                <w:rFonts w:hint="eastAsia"/>
                <w:b/>
                <w:sz w:val="24"/>
              </w:rPr>
              <w:t>□有偏离</w:t>
            </w:r>
            <w:r>
              <w:rPr>
                <w:rFonts w:hint="eastAsia"/>
                <w:bCs/>
                <w:sz w:val="24"/>
              </w:rPr>
              <w:t>（如有偏离，则应在此处进行勾选，同时在下表中对偏离项逐一列明，</w:t>
            </w:r>
            <w:r>
              <w:rPr>
                <w:rFonts w:hint="eastAsia"/>
                <w:b/>
                <w:sz w:val="24"/>
              </w:rPr>
              <w:t>否则投标无效。</w:t>
            </w:r>
            <w:r>
              <w:rPr>
                <w:rFonts w:hint="eastAsia"/>
                <w:bCs/>
                <w:sz w:val="24"/>
              </w:rPr>
              <w:t>对合同条款中的所有要求，除本表列明的偏离外，均视作投标人已对之理解和响应。）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sz w:val="24"/>
              </w:rPr>
            </w:pPr>
          </w:p>
        </w:tc>
        <w:tc>
          <w:tcPr>
            <w:tcW w:w="1291"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982" w:type="dxa"/>
            <w:vAlign w:val="center"/>
          </w:tcPr>
          <w:p>
            <w:pPr>
              <w:adjustRightInd w:val="0"/>
              <w:snapToGrid w:val="0"/>
              <w:jc w:val="center"/>
              <w:rPr>
                <w:sz w:val="24"/>
              </w:rPr>
            </w:pPr>
          </w:p>
        </w:tc>
        <w:tc>
          <w:tcPr>
            <w:tcW w:w="2424" w:type="dxa"/>
            <w:vAlign w:val="center"/>
          </w:tcPr>
          <w:p>
            <w:pPr>
              <w:adjustRightInd w:val="0"/>
              <w:snapToGrid w:val="0"/>
              <w:jc w:val="center"/>
              <w:rPr>
                <w:sz w:val="24"/>
              </w:rPr>
            </w:pPr>
          </w:p>
        </w:tc>
        <w:tc>
          <w:tcPr>
            <w:tcW w:w="78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sz w:val="24"/>
              </w:rPr>
            </w:pPr>
          </w:p>
        </w:tc>
        <w:tc>
          <w:tcPr>
            <w:tcW w:w="1291"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982" w:type="dxa"/>
            <w:vAlign w:val="center"/>
          </w:tcPr>
          <w:p>
            <w:pPr>
              <w:adjustRightInd w:val="0"/>
              <w:snapToGrid w:val="0"/>
              <w:jc w:val="center"/>
              <w:rPr>
                <w:sz w:val="24"/>
              </w:rPr>
            </w:pPr>
          </w:p>
        </w:tc>
        <w:tc>
          <w:tcPr>
            <w:tcW w:w="2424" w:type="dxa"/>
            <w:vAlign w:val="center"/>
          </w:tcPr>
          <w:p>
            <w:pPr>
              <w:adjustRightInd w:val="0"/>
              <w:snapToGrid w:val="0"/>
              <w:jc w:val="center"/>
              <w:rPr>
                <w:sz w:val="24"/>
              </w:rPr>
            </w:pPr>
          </w:p>
        </w:tc>
        <w:tc>
          <w:tcPr>
            <w:tcW w:w="782" w:type="dxa"/>
            <w:vAlign w:val="center"/>
          </w:tcPr>
          <w:p>
            <w:pPr>
              <w:adjustRightInd w:val="0"/>
              <w:snapToGrid w:val="0"/>
              <w:jc w:val="center"/>
              <w:rPr>
                <w:sz w:val="24"/>
              </w:rPr>
            </w:pPr>
          </w:p>
        </w:tc>
      </w:tr>
      <w:tr>
        <w:tblPrEx>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sz w:val="24"/>
              </w:rPr>
            </w:pPr>
          </w:p>
        </w:tc>
        <w:tc>
          <w:tcPr>
            <w:tcW w:w="1291"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982" w:type="dxa"/>
            <w:vAlign w:val="center"/>
          </w:tcPr>
          <w:p>
            <w:pPr>
              <w:adjustRightInd w:val="0"/>
              <w:snapToGrid w:val="0"/>
              <w:jc w:val="center"/>
              <w:rPr>
                <w:sz w:val="24"/>
              </w:rPr>
            </w:pPr>
          </w:p>
        </w:tc>
        <w:tc>
          <w:tcPr>
            <w:tcW w:w="2424" w:type="dxa"/>
            <w:vAlign w:val="center"/>
          </w:tcPr>
          <w:p>
            <w:pPr>
              <w:adjustRightInd w:val="0"/>
              <w:snapToGrid w:val="0"/>
              <w:jc w:val="center"/>
              <w:rPr>
                <w:sz w:val="24"/>
              </w:rPr>
            </w:pPr>
          </w:p>
        </w:tc>
        <w:tc>
          <w:tcPr>
            <w:tcW w:w="782" w:type="dxa"/>
            <w:vAlign w:val="center"/>
          </w:tcPr>
          <w:p>
            <w:pPr>
              <w:adjustRightInd w:val="0"/>
              <w:snapToGrid w:val="0"/>
              <w:jc w:val="center"/>
              <w:rPr>
                <w:sz w:val="24"/>
              </w:rPr>
            </w:pPr>
          </w:p>
        </w:tc>
      </w:tr>
    </w:tbl>
    <w:p>
      <w:pPr>
        <w:tabs>
          <w:tab w:val="left" w:pos="1800"/>
          <w:tab w:val="left" w:pos="5580"/>
        </w:tabs>
        <w:jc w:val="left"/>
        <w:rPr>
          <w:sz w:val="24"/>
        </w:rPr>
      </w:pPr>
    </w:p>
    <w:p>
      <w:pPr>
        <w:spacing w:line="360" w:lineRule="auto"/>
        <w:rPr>
          <w:sz w:val="24"/>
          <w:szCs w:val="20"/>
        </w:rPr>
      </w:pPr>
      <w:r>
        <w:rPr>
          <w:sz w:val="24"/>
        </w:rPr>
        <w:t>注：</w:t>
      </w:r>
      <w:r>
        <w:rPr>
          <w:rFonts w:hint="eastAsia"/>
          <w:sz w:val="24"/>
        </w:rPr>
        <w:t>“偏离情况”列应</w:t>
      </w:r>
      <w:r>
        <w:rPr>
          <w:sz w:val="24"/>
        </w:rPr>
        <w:t>据实</w:t>
      </w:r>
      <w:r>
        <w:rPr>
          <w:rFonts w:hint="eastAsia"/>
          <w:sz w:val="24"/>
        </w:rPr>
        <w:t>填写“正偏离”或“负偏离”。</w:t>
      </w: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pPr>
        <w:autoSpaceDE w:val="0"/>
        <w:autoSpaceDN w:val="0"/>
        <w:adjustRightInd w:val="0"/>
        <w:snapToGrid w:val="0"/>
        <w:spacing w:before="25" w:after="25" w:line="360" w:lineRule="auto"/>
        <w:rPr>
          <w:sz w:val="24"/>
          <w:lang w:val="zh-CN"/>
        </w:rPr>
      </w:pPr>
      <w:r>
        <w:rPr>
          <w:sz w:val="24"/>
          <w:szCs w:val="20"/>
        </w:rPr>
        <w:t xml:space="preserve">日期：_____年______月______日   </w:t>
      </w:r>
    </w:p>
    <w:p>
      <w:pPr>
        <w:spacing w:line="360" w:lineRule="auto"/>
        <w:outlineLvl w:val="2"/>
        <w:rPr>
          <w:sz w:val="24"/>
          <w:szCs w:val="20"/>
        </w:rPr>
      </w:pPr>
      <w:r>
        <w:rPr>
          <w:sz w:val="24"/>
          <w:szCs w:val="20"/>
        </w:rPr>
        <w:br w:type="page"/>
      </w:r>
      <w:r>
        <w:rPr>
          <w:sz w:val="24"/>
          <w:szCs w:val="20"/>
        </w:rPr>
        <w:t xml:space="preserve">6  </w:t>
      </w:r>
      <w:bookmarkEnd w:id="995"/>
      <w:bookmarkEnd w:id="996"/>
      <w:bookmarkEnd w:id="997"/>
      <w:bookmarkEnd w:id="998"/>
      <w:bookmarkEnd w:id="999"/>
      <w:bookmarkEnd w:id="1000"/>
      <w:bookmarkEnd w:id="1001"/>
      <w:bookmarkEnd w:id="1002"/>
      <w:bookmarkEnd w:id="1003"/>
      <w:bookmarkEnd w:id="1004"/>
      <w:bookmarkEnd w:id="1005"/>
      <w:bookmarkEnd w:id="1006"/>
      <w:bookmarkEnd w:id="1007"/>
      <w:r>
        <w:rPr>
          <w:sz w:val="24"/>
          <w:szCs w:val="20"/>
        </w:rPr>
        <w:t>采购需求偏离表（实质性格式）</w:t>
      </w:r>
    </w:p>
    <w:p>
      <w:pPr>
        <w:autoSpaceDE w:val="0"/>
        <w:autoSpaceDN w:val="0"/>
        <w:adjustRightInd w:val="0"/>
        <w:spacing w:line="360" w:lineRule="auto"/>
        <w:jc w:val="center"/>
        <w:rPr>
          <w:b/>
          <w:sz w:val="36"/>
          <w:szCs w:val="36"/>
        </w:rPr>
      </w:pPr>
      <w:r>
        <w:rPr>
          <w:rFonts w:hint="eastAsia"/>
          <w:b/>
          <w:sz w:val="36"/>
          <w:szCs w:val="36"/>
        </w:rPr>
        <w:t>采购需求偏离表</w:t>
      </w:r>
    </w:p>
    <w:p>
      <w:pPr>
        <w:tabs>
          <w:tab w:val="left" w:pos="1800"/>
          <w:tab w:val="left" w:pos="5580"/>
        </w:tabs>
        <w:spacing w:line="360" w:lineRule="auto"/>
        <w:ind w:firstLine="360" w:firstLineChars="150"/>
        <w:jc w:val="left"/>
        <w:rPr>
          <w:sz w:val="24"/>
          <w:u w:val="single"/>
        </w:rPr>
      </w:pPr>
      <w:r>
        <w:rPr>
          <w:sz w:val="24"/>
        </w:rPr>
        <w:t>项目编号/包号：_____________________     项目名称：____________</w:t>
      </w:r>
    </w:p>
    <w:tbl>
      <w:tblPr>
        <w:tblStyle w:val="56"/>
        <w:tblW w:w="94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450"/>
        <w:gridCol w:w="2332"/>
        <w:gridCol w:w="2388"/>
        <w:gridCol w:w="1524"/>
        <w:gridCol w:w="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6" w:hRule="atLeast"/>
          <w:jc w:val="center"/>
        </w:trPr>
        <w:tc>
          <w:tcPr>
            <w:tcW w:w="758" w:type="dxa"/>
            <w:vAlign w:val="center"/>
          </w:tcPr>
          <w:p>
            <w:pPr>
              <w:adjustRightInd w:val="0"/>
              <w:snapToGrid w:val="0"/>
              <w:jc w:val="center"/>
              <w:rPr>
                <w:sz w:val="24"/>
              </w:rPr>
            </w:pPr>
            <w:r>
              <w:rPr>
                <w:sz w:val="24"/>
              </w:rPr>
              <w:t>序号</w:t>
            </w:r>
          </w:p>
        </w:tc>
        <w:tc>
          <w:tcPr>
            <w:tcW w:w="1450" w:type="dxa"/>
            <w:vAlign w:val="center"/>
          </w:tcPr>
          <w:p>
            <w:pPr>
              <w:adjustRightInd w:val="0"/>
              <w:snapToGrid w:val="0"/>
              <w:jc w:val="center"/>
              <w:rPr>
                <w:sz w:val="24"/>
              </w:rPr>
            </w:pPr>
            <w:r>
              <w:rPr>
                <w:sz w:val="24"/>
              </w:rPr>
              <w:t>招标文件条目号(页码)</w:t>
            </w:r>
          </w:p>
        </w:tc>
        <w:tc>
          <w:tcPr>
            <w:tcW w:w="2332" w:type="dxa"/>
            <w:vAlign w:val="center"/>
          </w:tcPr>
          <w:p>
            <w:pPr>
              <w:adjustRightInd w:val="0"/>
              <w:snapToGrid w:val="0"/>
              <w:jc w:val="center"/>
              <w:rPr>
                <w:sz w:val="24"/>
              </w:rPr>
            </w:pPr>
            <w:r>
              <w:rPr>
                <w:sz w:val="24"/>
              </w:rPr>
              <w:t>招标文件要求</w:t>
            </w:r>
          </w:p>
        </w:tc>
        <w:tc>
          <w:tcPr>
            <w:tcW w:w="2388" w:type="dxa"/>
            <w:vAlign w:val="center"/>
          </w:tcPr>
          <w:p>
            <w:pPr>
              <w:adjustRightInd w:val="0"/>
              <w:snapToGrid w:val="0"/>
              <w:jc w:val="center"/>
              <w:rPr>
                <w:sz w:val="24"/>
              </w:rPr>
            </w:pPr>
            <w:r>
              <w:rPr>
                <w:sz w:val="24"/>
              </w:rPr>
              <w:t>投标响应内容</w:t>
            </w:r>
          </w:p>
        </w:tc>
        <w:tc>
          <w:tcPr>
            <w:tcW w:w="1524" w:type="dxa"/>
            <w:vAlign w:val="center"/>
          </w:tcPr>
          <w:p>
            <w:pPr>
              <w:adjustRightInd w:val="0"/>
              <w:snapToGrid w:val="0"/>
              <w:jc w:val="center"/>
              <w:rPr>
                <w:sz w:val="24"/>
              </w:rPr>
            </w:pPr>
            <w:r>
              <w:rPr>
                <w:sz w:val="24"/>
              </w:rPr>
              <w:t>偏离情况</w:t>
            </w:r>
          </w:p>
        </w:tc>
        <w:tc>
          <w:tcPr>
            <w:tcW w:w="988" w:type="dxa"/>
            <w:vAlign w:val="center"/>
          </w:tcPr>
          <w:p>
            <w:pPr>
              <w:adjustRightInd w:val="0"/>
              <w:snapToGrid w:val="0"/>
              <w:jc w:val="center"/>
              <w:rPr>
                <w:sz w:val="24"/>
              </w:rPr>
            </w:pPr>
            <w:r>
              <w:rPr>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0" w:hRule="atLeast"/>
          <w:jc w:val="center"/>
        </w:trPr>
        <w:tc>
          <w:tcPr>
            <w:tcW w:w="9440" w:type="dxa"/>
            <w:gridSpan w:val="6"/>
            <w:vAlign w:val="center"/>
          </w:tcPr>
          <w:p>
            <w:pPr>
              <w:numPr>
                <w:ilvl w:val="0"/>
                <w:numId w:val="20"/>
              </w:numPr>
              <w:tabs>
                <w:tab w:val="left" w:pos="591"/>
              </w:tabs>
              <w:adjustRightInd w:val="0"/>
              <w:snapToGrid w:val="0"/>
              <w:ind w:left="480"/>
              <w:jc w:val="left"/>
              <w:textAlignment w:val="baseline"/>
              <w:rPr>
                <w:sz w:val="24"/>
              </w:rPr>
            </w:pPr>
            <w:r>
              <w:rPr>
                <w:sz w:val="24"/>
              </w:rPr>
              <w:t>针对本招标文件《采购需求》中标注为“</w:t>
            </w:r>
            <w:r>
              <w:rPr>
                <w:rFonts w:ascii="Segoe UI Symbol" w:hAnsi="Segoe UI Symbol" w:cs="Segoe UI Symbol"/>
                <w:sz w:val="24"/>
              </w:rPr>
              <w:t>★</w:t>
            </w:r>
            <w:r>
              <w:rPr>
                <w:sz w:val="24"/>
              </w:rPr>
              <w:t>”、“</w:t>
            </w:r>
            <w:r>
              <w:rPr>
                <w:sz w:val="22"/>
                <w:szCs w:val="22"/>
              </w:rPr>
              <w:t>#</w:t>
            </w:r>
            <w:r>
              <w:rPr>
                <w:sz w:val="24"/>
              </w:rPr>
              <w:t>”条款</w:t>
            </w:r>
            <w:r>
              <w:rPr>
                <w:rFonts w:hint="eastAsia"/>
                <w:sz w:val="24"/>
              </w:rPr>
              <w:t>（如有）的偏离情况</w:t>
            </w:r>
            <w:r>
              <w:rPr>
                <w:sz w:val="24"/>
              </w:rPr>
              <w:t>：</w:t>
            </w:r>
          </w:p>
          <w:p>
            <w:pPr>
              <w:adjustRightInd w:val="0"/>
              <w:snapToGrid w:val="0"/>
              <w:jc w:val="left"/>
              <w:rPr>
                <w:sz w:val="24"/>
              </w:rPr>
            </w:pPr>
            <w:r>
              <w:rPr>
                <w:sz w:val="24"/>
              </w:rPr>
              <w:t>投标人应</w:t>
            </w:r>
            <w:r>
              <w:rPr>
                <w:rFonts w:hint="eastAsia"/>
                <w:sz w:val="24"/>
              </w:rPr>
              <w:t>针</w:t>
            </w:r>
            <w:r>
              <w:rPr>
                <w:sz w:val="24"/>
              </w:rPr>
              <w:t>对“</w:t>
            </w:r>
            <w:r>
              <w:rPr>
                <w:rFonts w:ascii="Segoe UI Symbol" w:hAnsi="Segoe UI Symbol" w:cs="Segoe UI Symbol"/>
                <w:sz w:val="24"/>
              </w:rPr>
              <w:t>★</w:t>
            </w:r>
            <w:r>
              <w:rPr>
                <w:sz w:val="24"/>
              </w:rPr>
              <w:t>”、“</w:t>
            </w:r>
            <w:r>
              <w:rPr>
                <w:sz w:val="22"/>
                <w:szCs w:val="22"/>
              </w:rPr>
              <w:t>#</w:t>
            </w:r>
            <w:r>
              <w:rPr>
                <w:sz w:val="24"/>
              </w:rPr>
              <w:t>”条款</w:t>
            </w:r>
            <w:r>
              <w:rPr>
                <w:b/>
                <w:bCs/>
                <w:sz w:val="24"/>
              </w:rPr>
              <w:t>逐项</w:t>
            </w:r>
            <w:r>
              <w:rPr>
                <w:sz w:val="24"/>
              </w:rPr>
              <w:t>填写</w:t>
            </w:r>
            <w:r>
              <w:rPr>
                <w:rFonts w:hint="eastAsia"/>
                <w:sz w:val="24"/>
              </w:rPr>
              <w:t>偏离情况（“无偏离”、“正偏离”或“负偏离”）。若</w:t>
            </w:r>
            <w:r>
              <w:rPr>
                <w:sz w:val="24"/>
              </w:rPr>
              <w:t>招标文件《采购需求》中</w:t>
            </w:r>
            <w:r>
              <w:rPr>
                <w:rFonts w:hint="eastAsia"/>
                <w:sz w:val="24"/>
              </w:rPr>
              <w:t>有</w:t>
            </w:r>
            <w:r>
              <w:rPr>
                <w:sz w:val="24"/>
              </w:rPr>
              <w:t>标注为“</w:t>
            </w:r>
            <w:r>
              <w:rPr>
                <w:rFonts w:ascii="Segoe UI Symbol" w:hAnsi="Segoe UI Symbol" w:cs="Segoe UI Symbol"/>
                <w:sz w:val="24"/>
              </w:rPr>
              <w:t>★</w:t>
            </w:r>
            <w:r>
              <w:rPr>
                <w:sz w:val="24"/>
              </w:rPr>
              <w:t>”、“</w:t>
            </w:r>
            <w:r>
              <w:rPr>
                <w:sz w:val="22"/>
                <w:szCs w:val="22"/>
              </w:rPr>
              <w:t>#</w:t>
            </w:r>
            <w:r>
              <w:rPr>
                <w:sz w:val="24"/>
              </w:rPr>
              <w:t>”</w:t>
            </w:r>
            <w:r>
              <w:rPr>
                <w:rFonts w:hint="eastAsia"/>
                <w:sz w:val="24"/>
              </w:rPr>
              <w:t>的</w:t>
            </w:r>
            <w:r>
              <w:rPr>
                <w:sz w:val="24"/>
              </w:rPr>
              <w:t>条款</w:t>
            </w:r>
            <w:r>
              <w:rPr>
                <w:rFonts w:hint="eastAsia"/>
                <w:sz w:val="24"/>
              </w:rPr>
              <w:t>，但投标人未在此表中进行列明，</w:t>
            </w:r>
            <w:r>
              <w:rPr>
                <w:rFonts w:hint="eastAsia"/>
                <w:b/>
                <w:bCs/>
                <w:sz w:val="24"/>
              </w:rPr>
              <w:t>则</w:t>
            </w:r>
            <w:r>
              <w:rPr>
                <w:rFonts w:hint="eastAsia"/>
                <w:b/>
                <w:sz w:val="24"/>
              </w:rPr>
              <w:t>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jc w:val="center"/>
        </w:trPr>
        <w:tc>
          <w:tcPr>
            <w:tcW w:w="758" w:type="dxa"/>
            <w:vAlign w:val="center"/>
          </w:tcPr>
          <w:p>
            <w:pPr>
              <w:adjustRightInd w:val="0"/>
              <w:snapToGrid w:val="0"/>
              <w:jc w:val="center"/>
              <w:rPr>
                <w:sz w:val="24"/>
              </w:rPr>
            </w:pPr>
          </w:p>
        </w:tc>
        <w:tc>
          <w:tcPr>
            <w:tcW w:w="1450" w:type="dxa"/>
            <w:vAlign w:val="center"/>
          </w:tcPr>
          <w:p>
            <w:pPr>
              <w:adjustRightInd w:val="0"/>
              <w:snapToGrid w:val="0"/>
              <w:jc w:val="center"/>
              <w:rPr>
                <w:sz w:val="24"/>
              </w:rPr>
            </w:pPr>
          </w:p>
        </w:tc>
        <w:tc>
          <w:tcPr>
            <w:tcW w:w="2332" w:type="dxa"/>
            <w:vAlign w:val="center"/>
          </w:tcPr>
          <w:p>
            <w:pPr>
              <w:adjustRightInd w:val="0"/>
              <w:snapToGrid w:val="0"/>
              <w:jc w:val="center"/>
              <w:rPr>
                <w:sz w:val="24"/>
              </w:rPr>
            </w:pPr>
          </w:p>
        </w:tc>
        <w:tc>
          <w:tcPr>
            <w:tcW w:w="2388" w:type="dxa"/>
            <w:vAlign w:val="center"/>
          </w:tcPr>
          <w:p>
            <w:pPr>
              <w:adjustRightInd w:val="0"/>
              <w:snapToGrid w:val="0"/>
              <w:jc w:val="center"/>
              <w:rPr>
                <w:sz w:val="24"/>
              </w:rPr>
            </w:pPr>
          </w:p>
        </w:tc>
        <w:tc>
          <w:tcPr>
            <w:tcW w:w="1524" w:type="dxa"/>
            <w:vAlign w:val="center"/>
          </w:tcPr>
          <w:p>
            <w:pPr>
              <w:adjustRightInd w:val="0"/>
              <w:snapToGrid w:val="0"/>
              <w:jc w:val="center"/>
              <w:rPr>
                <w:sz w:val="24"/>
              </w:rPr>
            </w:pPr>
          </w:p>
        </w:tc>
        <w:tc>
          <w:tcPr>
            <w:tcW w:w="988"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jc w:val="center"/>
        </w:trPr>
        <w:tc>
          <w:tcPr>
            <w:tcW w:w="758" w:type="dxa"/>
            <w:vAlign w:val="center"/>
          </w:tcPr>
          <w:p>
            <w:pPr>
              <w:adjustRightInd w:val="0"/>
              <w:snapToGrid w:val="0"/>
              <w:jc w:val="center"/>
              <w:rPr>
                <w:sz w:val="24"/>
              </w:rPr>
            </w:pPr>
          </w:p>
        </w:tc>
        <w:tc>
          <w:tcPr>
            <w:tcW w:w="1450" w:type="dxa"/>
            <w:vAlign w:val="center"/>
          </w:tcPr>
          <w:p>
            <w:pPr>
              <w:adjustRightInd w:val="0"/>
              <w:snapToGrid w:val="0"/>
              <w:jc w:val="center"/>
              <w:rPr>
                <w:sz w:val="24"/>
              </w:rPr>
            </w:pPr>
          </w:p>
        </w:tc>
        <w:tc>
          <w:tcPr>
            <w:tcW w:w="2332" w:type="dxa"/>
            <w:vAlign w:val="center"/>
          </w:tcPr>
          <w:p>
            <w:pPr>
              <w:adjustRightInd w:val="0"/>
              <w:snapToGrid w:val="0"/>
              <w:jc w:val="center"/>
              <w:rPr>
                <w:sz w:val="24"/>
              </w:rPr>
            </w:pPr>
          </w:p>
        </w:tc>
        <w:tc>
          <w:tcPr>
            <w:tcW w:w="2388" w:type="dxa"/>
            <w:vAlign w:val="center"/>
          </w:tcPr>
          <w:p>
            <w:pPr>
              <w:adjustRightInd w:val="0"/>
              <w:snapToGrid w:val="0"/>
              <w:jc w:val="center"/>
              <w:rPr>
                <w:sz w:val="24"/>
              </w:rPr>
            </w:pPr>
          </w:p>
        </w:tc>
        <w:tc>
          <w:tcPr>
            <w:tcW w:w="1524" w:type="dxa"/>
            <w:vAlign w:val="center"/>
          </w:tcPr>
          <w:p>
            <w:pPr>
              <w:adjustRightInd w:val="0"/>
              <w:snapToGrid w:val="0"/>
              <w:jc w:val="center"/>
              <w:rPr>
                <w:sz w:val="24"/>
              </w:rPr>
            </w:pPr>
          </w:p>
        </w:tc>
        <w:tc>
          <w:tcPr>
            <w:tcW w:w="988"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jc w:val="center"/>
        </w:trPr>
        <w:tc>
          <w:tcPr>
            <w:tcW w:w="758" w:type="dxa"/>
            <w:vAlign w:val="center"/>
          </w:tcPr>
          <w:p>
            <w:pPr>
              <w:adjustRightInd w:val="0"/>
              <w:snapToGrid w:val="0"/>
              <w:jc w:val="center"/>
              <w:rPr>
                <w:sz w:val="24"/>
              </w:rPr>
            </w:pPr>
          </w:p>
        </w:tc>
        <w:tc>
          <w:tcPr>
            <w:tcW w:w="1450" w:type="dxa"/>
            <w:vAlign w:val="center"/>
          </w:tcPr>
          <w:p>
            <w:pPr>
              <w:adjustRightInd w:val="0"/>
              <w:snapToGrid w:val="0"/>
              <w:jc w:val="center"/>
              <w:rPr>
                <w:sz w:val="24"/>
              </w:rPr>
            </w:pPr>
          </w:p>
        </w:tc>
        <w:tc>
          <w:tcPr>
            <w:tcW w:w="2332" w:type="dxa"/>
            <w:vAlign w:val="center"/>
          </w:tcPr>
          <w:p>
            <w:pPr>
              <w:adjustRightInd w:val="0"/>
              <w:snapToGrid w:val="0"/>
              <w:jc w:val="center"/>
              <w:rPr>
                <w:sz w:val="24"/>
              </w:rPr>
            </w:pPr>
          </w:p>
        </w:tc>
        <w:tc>
          <w:tcPr>
            <w:tcW w:w="2388" w:type="dxa"/>
            <w:vAlign w:val="center"/>
          </w:tcPr>
          <w:p>
            <w:pPr>
              <w:adjustRightInd w:val="0"/>
              <w:snapToGrid w:val="0"/>
              <w:jc w:val="center"/>
              <w:rPr>
                <w:sz w:val="24"/>
              </w:rPr>
            </w:pPr>
          </w:p>
        </w:tc>
        <w:tc>
          <w:tcPr>
            <w:tcW w:w="1524" w:type="dxa"/>
            <w:vAlign w:val="center"/>
          </w:tcPr>
          <w:p>
            <w:pPr>
              <w:adjustRightInd w:val="0"/>
              <w:snapToGrid w:val="0"/>
              <w:jc w:val="center"/>
              <w:rPr>
                <w:sz w:val="24"/>
              </w:rPr>
            </w:pPr>
          </w:p>
        </w:tc>
        <w:tc>
          <w:tcPr>
            <w:tcW w:w="988"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4" w:hRule="atLeast"/>
          <w:jc w:val="center"/>
        </w:trPr>
        <w:tc>
          <w:tcPr>
            <w:tcW w:w="9440" w:type="dxa"/>
            <w:gridSpan w:val="6"/>
            <w:vAlign w:val="center"/>
          </w:tcPr>
          <w:p>
            <w:pPr>
              <w:numPr>
                <w:ilvl w:val="0"/>
                <w:numId w:val="20"/>
              </w:numPr>
              <w:tabs>
                <w:tab w:val="left" w:pos="591"/>
              </w:tabs>
              <w:adjustRightInd w:val="0"/>
              <w:snapToGrid w:val="0"/>
              <w:ind w:left="480"/>
              <w:jc w:val="left"/>
              <w:textAlignment w:val="baseline"/>
              <w:rPr>
                <w:sz w:val="24"/>
              </w:rPr>
            </w:pPr>
            <w:r>
              <w:rPr>
                <w:sz w:val="24"/>
              </w:rPr>
              <w:t>针对本招标文件《采购需求》中</w:t>
            </w:r>
            <w:r>
              <w:rPr>
                <w:b/>
                <w:sz w:val="24"/>
              </w:rPr>
              <w:t>未标注</w:t>
            </w:r>
            <w:r>
              <w:rPr>
                <w:sz w:val="24"/>
              </w:rPr>
              <w:t xml:space="preserve"> “</w:t>
            </w:r>
            <w:r>
              <w:rPr>
                <w:rFonts w:ascii="Segoe UI Symbol" w:hAnsi="Segoe UI Symbol" w:cs="Segoe UI Symbol"/>
                <w:sz w:val="24"/>
              </w:rPr>
              <w:t>★</w:t>
            </w:r>
            <w:r>
              <w:rPr>
                <w:sz w:val="24"/>
              </w:rPr>
              <w:t>”和“</w:t>
            </w:r>
            <w:r>
              <w:rPr>
                <w:sz w:val="22"/>
                <w:szCs w:val="22"/>
              </w:rPr>
              <w:t>#</w:t>
            </w:r>
            <w:r>
              <w:rPr>
                <w:sz w:val="24"/>
              </w:rPr>
              <w:t>”条款的偏离情况（请进行勾选）：</w:t>
            </w:r>
          </w:p>
          <w:p>
            <w:pPr>
              <w:adjustRightInd w:val="0"/>
              <w:snapToGrid w:val="0"/>
              <w:jc w:val="left"/>
              <w:rPr>
                <w:bCs/>
                <w:sz w:val="24"/>
              </w:rPr>
            </w:pPr>
            <w:r>
              <w:rPr>
                <w:rFonts w:hint="eastAsia"/>
                <w:b/>
                <w:sz w:val="24"/>
              </w:rPr>
              <w:t>□无偏离</w:t>
            </w:r>
            <w:r>
              <w:rPr>
                <w:rFonts w:hint="eastAsia"/>
                <w:bCs/>
                <w:sz w:val="24"/>
              </w:rPr>
              <w:t>（如无偏离，仅在此处勾选无偏离即可。无偏离即为对</w:t>
            </w:r>
            <w:r>
              <w:rPr>
                <w:rFonts w:hint="eastAsia" w:ascii="宋体" w:hAnsi="宋体" w:cs="宋体"/>
                <w:spacing w:val="1"/>
                <w:sz w:val="24"/>
              </w:rPr>
              <w:t>采购需求</w:t>
            </w:r>
            <w:r>
              <w:rPr>
                <w:rFonts w:ascii="宋体" w:hAnsi="宋体" w:cs="宋体"/>
                <w:spacing w:val="1"/>
                <w:sz w:val="24"/>
              </w:rPr>
              <w:t>条款</w:t>
            </w:r>
            <w:r>
              <w:rPr>
                <w:rFonts w:hint="eastAsia"/>
                <w:bCs/>
                <w:sz w:val="24"/>
              </w:rPr>
              <w:t>中的所有要求，均视作投标人已对之理解和响应。）</w:t>
            </w:r>
          </w:p>
          <w:p>
            <w:pPr>
              <w:adjustRightInd w:val="0"/>
              <w:snapToGrid w:val="0"/>
              <w:jc w:val="left"/>
              <w:rPr>
                <w:bCs/>
                <w:sz w:val="10"/>
                <w:szCs w:val="10"/>
              </w:rPr>
            </w:pPr>
          </w:p>
          <w:p>
            <w:pPr>
              <w:adjustRightInd w:val="0"/>
              <w:snapToGrid w:val="0"/>
              <w:jc w:val="left"/>
              <w:rPr>
                <w:sz w:val="24"/>
              </w:rPr>
            </w:pPr>
            <w:r>
              <w:rPr>
                <w:rFonts w:hint="eastAsia"/>
                <w:b/>
                <w:sz w:val="24"/>
              </w:rPr>
              <w:t>□有偏离</w:t>
            </w:r>
            <w:r>
              <w:rPr>
                <w:rFonts w:hint="eastAsia"/>
                <w:bCs/>
                <w:sz w:val="24"/>
              </w:rPr>
              <w:t>（如有偏离，则应在此处进行勾选，同时在下表中对偏离项逐一列明，</w:t>
            </w:r>
            <w:r>
              <w:rPr>
                <w:rFonts w:hint="eastAsia"/>
                <w:b/>
                <w:sz w:val="24"/>
              </w:rPr>
              <w:t>否则投标无效</w:t>
            </w:r>
            <w:r>
              <w:rPr>
                <w:rFonts w:hint="eastAsia"/>
                <w:bCs/>
                <w:sz w:val="24"/>
              </w:rPr>
              <w:t>。对</w:t>
            </w:r>
            <w:r>
              <w:rPr>
                <w:rFonts w:hint="eastAsia" w:ascii="宋体" w:hAnsi="宋体" w:cs="宋体"/>
                <w:spacing w:val="1"/>
                <w:sz w:val="24"/>
              </w:rPr>
              <w:t>采购需求</w:t>
            </w:r>
            <w:r>
              <w:rPr>
                <w:rFonts w:ascii="宋体" w:hAnsi="宋体" w:cs="宋体"/>
                <w:spacing w:val="1"/>
                <w:sz w:val="24"/>
              </w:rPr>
              <w:t>条款</w:t>
            </w:r>
            <w:r>
              <w:rPr>
                <w:rFonts w:hint="eastAsia"/>
                <w:bCs/>
                <w:sz w:val="24"/>
              </w:rPr>
              <w:t>中的所有要求，除本表列明的偏离外，均视作投标人已对之理解和响应。）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jc w:val="center"/>
        </w:trPr>
        <w:tc>
          <w:tcPr>
            <w:tcW w:w="758" w:type="dxa"/>
            <w:vAlign w:val="center"/>
          </w:tcPr>
          <w:p>
            <w:pPr>
              <w:adjustRightInd w:val="0"/>
              <w:snapToGrid w:val="0"/>
              <w:jc w:val="center"/>
              <w:rPr>
                <w:sz w:val="24"/>
              </w:rPr>
            </w:pPr>
          </w:p>
        </w:tc>
        <w:tc>
          <w:tcPr>
            <w:tcW w:w="1450" w:type="dxa"/>
            <w:vAlign w:val="center"/>
          </w:tcPr>
          <w:p>
            <w:pPr>
              <w:adjustRightInd w:val="0"/>
              <w:snapToGrid w:val="0"/>
              <w:jc w:val="center"/>
              <w:rPr>
                <w:sz w:val="24"/>
              </w:rPr>
            </w:pPr>
          </w:p>
        </w:tc>
        <w:tc>
          <w:tcPr>
            <w:tcW w:w="2332" w:type="dxa"/>
            <w:vAlign w:val="center"/>
          </w:tcPr>
          <w:p>
            <w:pPr>
              <w:adjustRightInd w:val="0"/>
              <w:snapToGrid w:val="0"/>
              <w:jc w:val="center"/>
              <w:rPr>
                <w:sz w:val="24"/>
              </w:rPr>
            </w:pPr>
          </w:p>
        </w:tc>
        <w:tc>
          <w:tcPr>
            <w:tcW w:w="2388" w:type="dxa"/>
            <w:vAlign w:val="center"/>
          </w:tcPr>
          <w:p>
            <w:pPr>
              <w:adjustRightInd w:val="0"/>
              <w:snapToGrid w:val="0"/>
              <w:jc w:val="center"/>
              <w:rPr>
                <w:sz w:val="24"/>
              </w:rPr>
            </w:pPr>
          </w:p>
        </w:tc>
        <w:tc>
          <w:tcPr>
            <w:tcW w:w="1524" w:type="dxa"/>
            <w:vAlign w:val="center"/>
          </w:tcPr>
          <w:p>
            <w:pPr>
              <w:adjustRightInd w:val="0"/>
              <w:snapToGrid w:val="0"/>
              <w:jc w:val="center"/>
              <w:rPr>
                <w:sz w:val="24"/>
              </w:rPr>
            </w:pPr>
          </w:p>
        </w:tc>
        <w:tc>
          <w:tcPr>
            <w:tcW w:w="988"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758" w:type="dxa"/>
            <w:vAlign w:val="center"/>
          </w:tcPr>
          <w:p>
            <w:pPr>
              <w:adjustRightInd w:val="0"/>
              <w:snapToGrid w:val="0"/>
              <w:jc w:val="center"/>
              <w:rPr>
                <w:sz w:val="24"/>
              </w:rPr>
            </w:pPr>
          </w:p>
        </w:tc>
        <w:tc>
          <w:tcPr>
            <w:tcW w:w="1450" w:type="dxa"/>
            <w:vAlign w:val="center"/>
          </w:tcPr>
          <w:p>
            <w:pPr>
              <w:adjustRightInd w:val="0"/>
              <w:snapToGrid w:val="0"/>
              <w:jc w:val="center"/>
              <w:rPr>
                <w:sz w:val="24"/>
              </w:rPr>
            </w:pPr>
          </w:p>
        </w:tc>
        <w:tc>
          <w:tcPr>
            <w:tcW w:w="2332" w:type="dxa"/>
            <w:vAlign w:val="center"/>
          </w:tcPr>
          <w:p>
            <w:pPr>
              <w:adjustRightInd w:val="0"/>
              <w:snapToGrid w:val="0"/>
              <w:jc w:val="center"/>
              <w:rPr>
                <w:sz w:val="24"/>
              </w:rPr>
            </w:pPr>
          </w:p>
        </w:tc>
        <w:tc>
          <w:tcPr>
            <w:tcW w:w="2388" w:type="dxa"/>
            <w:vAlign w:val="center"/>
          </w:tcPr>
          <w:p>
            <w:pPr>
              <w:adjustRightInd w:val="0"/>
              <w:snapToGrid w:val="0"/>
              <w:jc w:val="center"/>
              <w:rPr>
                <w:sz w:val="24"/>
              </w:rPr>
            </w:pPr>
          </w:p>
        </w:tc>
        <w:tc>
          <w:tcPr>
            <w:tcW w:w="1524" w:type="dxa"/>
            <w:vAlign w:val="center"/>
          </w:tcPr>
          <w:p>
            <w:pPr>
              <w:adjustRightInd w:val="0"/>
              <w:snapToGrid w:val="0"/>
              <w:jc w:val="center"/>
              <w:rPr>
                <w:sz w:val="24"/>
              </w:rPr>
            </w:pPr>
          </w:p>
        </w:tc>
        <w:tc>
          <w:tcPr>
            <w:tcW w:w="988" w:type="dxa"/>
            <w:vAlign w:val="center"/>
          </w:tcPr>
          <w:p>
            <w:pPr>
              <w:adjustRightInd w:val="0"/>
              <w:snapToGrid w:val="0"/>
              <w:jc w:val="center"/>
              <w:rPr>
                <w:sz w:val="24"/>
              </w:rPr>
            </w:pPr>
          </w:p>
        </w:tc>
      </w:tr>
    </w:tbl>
    <w:p>
      <w:pPr>
        <w:tabs>
          <w:tab w:val="left" w:pos="1800"/>
          <w:tab w:val="left" w:pos="5580"/>
        </w:tabs>
        <w:jc w:val="left"/>
        <w:rPr>
          <w:sz w:val="24"/>
        </w:rPr>
      </w:pPr>
      <w:r>
        <w:rPr>
          <w:sz w:val="24"/>
        </w:rPr>
        <w:t>注：</w:t>
      </w:r>
    </w:p>
    <w:p>
      <w:pPr>
        <w:tabs>
          <w:tab w:val="left" w:pos="1800"/>
          <w:tab w:val="left" w:pos="5580"/>
        </w:tabs>
        <w:spacing w:line="360" w:lineRule="auto"/>
        <w:jc w:val="left"/>
        <w:rPr>
          <w:sz w:val="24"/>
        </w:rPr>
      </w:pPr>
      <w:r>
        <w:rPr>
          <w:rFonts w:hint="eastAsia"/>
          <w:sz w:val="24"/>
        </w:rPr>
        <w:t>1.对招标文件中的所有商务、技术要求，除本表所列明的所有偏离外，均视作投标人已对之理解和响应。</w:t>
      </w:r>
    </w:p>
    <w:p>
      <w:pPr>
        <w:tabs>
          <w:tab w:val="left" w:pos="1800"/>
          <w:tab w:val="left" w:pos="5580"/>
        </w:tabs>
        <w:spacing w:line="360" w:lineRule="auto"/>
        <w:jc w:val="left"/>
        <w:rPr>
          <w:sz w:val="24"/>
        </w:rPr>
      </w:pPr>
      <w:r>
        <w:rPr>
          <w:rFonts w:hint="eastAsia"/>
          <w:sz w:val="24"/>
        </w:rPr>
        <w:t>2.投标人应在本表“页码”列中，填写技术方案中详细响应内容对应页码范围。</w:t>
      </w:r>
    </w:p>
    <w:p>
      <w:pPr>
        <w:tabs>
          <w:tab w:val="left" w:pos="1800"/>
          <w:tab w:val="left" w:pos="5580"/>
        </w:tabs>
        <w:spacing w:line="360" w:lineRule="auto"/>
        <w:jc w:val="left"/>
        <w:rPr>
          <w:sz w:val="24"/>
        </w:rPr>
      </w:pPr>
      <w:r>
        <w:rPr>
          <w:rFonts w:hint="eastAsia"/>
          <w:sz w:val="24"/>
        </w:rPr>
        <w:t>3.“偏离情况”列应据实填写“无偏离”、“正偏离”或“负偏离”。</w:t>
      </w:r>
    </w:p>
    <w:p>
      <w:pPr>
        <w:rPr>
          <w:sz w:val="24"/>
          <w:szCs w:val="20"/>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pPr>
        <w:autoSpaceDE w:val="0"/>
        <w:autoSpaceDN w:val="0"/>
        <w:adjustRightInd w:val="0"/>
        <w:snapToGrid w:val="0"/>
        <w:spacing w:before="25" w:after="25" w:line="360" w:lineRule="auto"/>
        <w:rPr>
          <w:sz w:val="24"/>
          <w:lang w:val="zh-CN"/>
        </w:rPr>
      </w:pPr>
      <w:r>
        <w:rPr>
          <w:sz w:val="24"/>
          <w:szCs w:val="20"/>
        </w:rPr>
        <w:t xml:space="preserve">日期：_____年______月______日   </w:t>
      </w:r>
    </w:p>
    <w:p>
      <w:pPr>
        <w:spacing w:line="360" w:lineRule="auto"/>
        <w:outlineLvl w:val="2"/>
        <w:rPr>
          <w:sz w:val="24"/>
          <w:szCs w:val="20"/>
        </w:rPr>
      </w:pPr>
      <w:r>
        <w:rPr>
          <w:sz w:val="24"/>
          <w:szCs w:val="20"/>
        </w:rPr>
        <w:t>7  中小企业声明函</w:t>
      </w:r>
    </w:p>
    <w:p>
      <w:pPr>
        <w:tabs>
          <w:tab w:val="left" w:pos="5580"/>
        </w:tabs>
        <w:spacing w:line="360" w:lineRule="auto"/>
        <w:rPr>
          <w:rFonts w:ascii="宋体" w:hAnsi="宋体"/>
          <w:sz w:val="24"/>
        </w:rPr>
      </w:pPr>
      <w:r>
        <w:rPr>
          <w:rFonts w:hint="eastAsia" w:ascii="宋体" w:hAnsi="宋体"/>
          <w:sz w:val="24"/>
        </w:rPr>
        <w:t>说明：</w:t>
      </w:r>
    </w:p>
    <w:p>
      <w:pPr>
        <w:tabs>
          <w:tab w:val="left" w:pos="5580"/>
        </w:tabs>
        <w:spacing w:line="360" w:lineRule="auto"/>
        <w:rPr>
          <w:sz w:val="24"/>
        </w:rPr>
      </w:pPr>
      <w:r>
        <w:rPr>
          <w:rFonts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pStyle w:val="2"/>
        <w:spacing w:line="360" w:lineRule="auto"/>
      </w:pPr>
      <w:r>
        <w:rPr>
          <w:rFonts w:hint="eastAsia"/>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rFonts w:hint="eastAsia"/>
          <w:u w:val="double"/>
        </w:rPr>
        <w:t>同时，在声明函中写明联合体中的中小企业、签订分包意向协议的中小企业的具体情况。</w:t>
      </w:r>
    </w:p>
    <w:p>
      <w:pPr>
        <w:tabs>
          <w:tab w:val="left" w:pos="5580"/>
        </w:tabs>
        <w:spacing w:line="360" w:lineRule="auto"/>
        <w:rPr>
          <w:sz w:val="24"/>
        </w:rPr>
      </w:pPr>
      <w:r>
        <w:rPr>
          <w:rFonts w:hint="eastAsia"/>
          <w:sz w:val="24"/>
        </w:rPr>
        <w:t>3）对于多标的的采购项目，投标人应充分、准确地了解所有标的的产品制造企业信息。对相关情况了解不清楚的，不建议填报本声明函</w:t>
      </w:r>
    </w:p>
    <w:p>
      <w:pPr>
        <w:tabs>
          <w:tab w:val="left" w:pos="5580"/>
        </w:tabs>
        <w:spacing w:line="360" w:lineRule="auto"/>
        <w:rPr>
          <w:sz w:val="24"/>
        </w:rPr>
      </w:pPr>
      <w:r>
        <w:rPr>
          <w:rFonts w:hint="eastAsia"/>
          <w:sz w:val="24"/>
        </w:rPr>
        <w:t>4）温馨提示：</w:t>
      </w:r>
      <w:r>
        <w:rPr>
          <w:sz w:val="24"/>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b/>
          <w:bCs/>
          <w:sz w:val="24"/>
        </w:rPr>
        <w:t>本项目中小企业划分标准所属行业</w:t>
      </w:r>
      <w:r>
        <w:rPr>
          <w:rFonts w:hint="eastAsia"/>
          <w:b/>
          <w:bCs/>
          <w:sz w:val="24"/>
        </w:rPr>
        <w:t>为“</w:t>
      </w:r>
      <w:r>
        <w:rPr>
          <w:b/>
          <w:bCs/>
          <w:spacing w:val="6"/>
          <w:sz w:val="24"/>
          <w:u w:val="single"/>
        </w:rPr>
        <w:t>采购文件中明确的所属行业</w:t>
      </w:r>
      <w:r>
        <w:rPr>
          <w:rFonts w:hint="eastAsia"/>
          <w:b/>
          <w:bCs/>
          <w:spacing w:val="6"/>
          <w:sz w:val="24"/>
          <w:u w:val="single"/>
        </w:rPr>
        <w:t>”</w:t>
      </w:r>
      <w:r>
        <w:rPr>
          <w:rFonts w:hint="eastAsia"/>
          <w:b/>
          <w:bCs/>
          <w:spacing w:val="6"/>
          <w:sz w:val="24"/>
        </w:rPr>
        <w:t>，具体</w:t>
      </w:r>
      <w:r>
        <w:rPr>
          <w:b/>
          <w:bCs/>
          <w:sz w:val="24"/>
        </w:rPr>
        <w:t>详见第二章《</w:t>
      </w:r>
      <w:r>
        <w:rPr>
          <w:rFonts w:hint="eastAsia"/>
          <w:b/>
          <w:bCs/>
          <w:sz w:val="24"/>
        </w:rPr>
        <w:t>投标人</w:t>
      </w:r>
      <w:r>
        <w:rPr>
          <w:b/>
          <w:bCs/>
          <w:sz w:val="24"/>
        </w:rPr>
        <w:t>须知资料表》，</w:t>
      </w:r>
      <w:r>
        <w:rPr>
          <w:sz w:val="24"/>
        </w:rPr>
        <w:t>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rPr>
      </w:pPr>
    </w:p>
    <w:p>
      <w:pPr>
        <w:widowControl/>
        <w:jc w:val="left"/>
        <w:rPr>
          <w:b/>
          <w:bCs/>
          <w:sz w:val="24"/>
        </w:rPr>
      </w:pPr>
      <w:r>
        <w:rPr>
          <w:b/>
          <w:bCs/>
          <w:sz w:val="24"/>
        </w:rPr>
        <w:br w:type="page"/>
      </w:r>
    </w:p>
    <w:p>
      <w:pPr>
        <w:spacing w:before="240" w:beforeLines="100" w:after="240" w:afterLines="100" w:line="360" w:lineRule="auto"/>
        <w:jc w:val="center"/>
        <w:rPr>
          <w:b/>
          <w:bCs/>
          <w:sz w:val="36"/>
          <w:szCs w:val="36"/>
        </w:rPr>
      </w:pPr>
      <w:r>
        <w:rPr>
          <w:b/>
          <w:bCs/>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sz w:val="24"/>
        </w:rPr>
      </w:pPr>
    </w:p>
    <w:p>
      <w:pPr>
        <w:spacing w:line="360" w:lineRule="auto"/>
        <w:ind w:right="360" w:firstLine="480"/>
        <w:jc w:val="right"/>
        <w:rPr>
          <w:sz w:val="24"/>
        </w:rPr>
      </w:pPr>
      <w:r>
        <w:rPr>
          <w:sz w:val="24"/>
        </w:rPr>
        <w:t>企业名称（盖章）：________</w:t>
      </w:r>
    </w:p>
    <w:p>
      <w:pPr>
        <w:spacing w:line="360" w:lineRule="auto"/>
        <w:ind w:right="360" w:firstLine="480"/>
        <w:jc w:val="right"/>
        <w:rPr>
          <w:sz w:val="24"/>
        </w:rPr>
      </w:pPr>
      <w:r>
        <w:rPr>
          <w:sz w:val="24"/>
        </w:rPr>
        <w:t>日 期：________</w:t>
      </w:r>
    </w:p>
    <w:p>
      <w:pPr>
        <w:spacing w:line="360" w:lineRule="auto"/>
        <w:ind w:right="360" w:firstLine="480"/>
        <w:jc w:val="right"/>
        <w:rPr>
          <w:sz w:val="24"/>
        </w:rPr>
      </w:pPr>
    </w:p>
    <w:p>
      <w:pPr>
        <w:adjustRightInd w:val="0"/>
        <w:snapToGrid w:val="0"/>
        <w:jc w:val="left"/>
        <w:rPr>
          <w:sz w:val="24"/>
          <w:szCs w:val="21"/>
        </w:rPr>
      </w:pPr>
    </w:p>
    <w:tbl>
      <w:tblPr>
        <w:tblStyle w:val="5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sz w:val="24"/>
        </w:rPr>
      </w:pPr>
    </w:p>
    <w:p>
      <w:pPr>
        <w:spacing w:line="360" w:lineRule="auto"/>
        <w:jc w:val="center"/>
        <w:rPr>
          <w:sz w:val="36"/>
          <w:szCs w:val="36"/>
        </w:rPr>
      </w:pPr>
      <w:r>
        <w:rPr>
          <w:sz w:val="24"/>
        </w:rPr>
        <w:br w:type="page"/>
      </w:r>
      <w:r>
        <w:rPr>
          <w:rFonts w:hint="eastAsia"/>
          <w:sz w:val="24"/>
          <w:szCs w:val="20"/>
        </w:rPr>
        <w:t xml:space="preserve">   </w:t>
      </w:r>
      <w:r>
        <w:rPr>
          <w:b/>
          <w:bCs/>
          <w:sz w:val="36"/>
          <w:szCs w:val="36"/>
        </w:rPr>
        <w:t>残疾人福利性单位声明函格式</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rFonts w:hint="eastAsia" w:ascii="宋体" w:hAnsi="宋体" w:cs="宋体"/>
          <w:sz w:val="24"/>
        </w:rPr>
        <w:t>□</w:t>
      </w:r>
      <w:r>
        <w:rPr>
          <w:b/>
          <w:spacing w:val="6"/>
          <w:sz w:val="24"/>
        </w:rPr>
        <w:t>不属于符合条件的残疾人福利性单位。</w:t>
      </w:r>
    </w:p>
    <w:p>
      <w:pPr>
        <w:spacing w:line="588" w:lineRule="exact"/>
        <w:ind w:firstLine="482"/>
        <w:rPr>
          <w:spacing w:val="6"/>
          <w:sz w:val="24"/>
        </w:rPr>
      </w:pPr>
      <w:r>
        <w:rPr>
          <w:rFonts w:hint="eastAsia" w:ascii="宋体" w:hAnsi="宋体" w:cs="宋体"/>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sz w:val="24"/>
          <w:szCs w:val="20"/>
        </w:rPr>
      </w:pPr>
      <w:r>
        <w:rPr>
          <w:szCs w:val="20"/>
        </w:rPr>
        <w:br w:type="page"/>
      </w:r>
      <w:r>
        <w:rPr>
          <w:sz w:val="24"/>
          <w:szCs w:val="20"/>
        </w:rPr>
        <w:t>8  拟分包情况说明</w:t>
      </w:r>
    </w:p>
    <w:p>
      <w:pPr>
        <w:autoSpaceDE w:val="0"/>
        <w:autoSpaceDN w:val="0"/>
        <w:adjustRightInd w:val="0"/>
        <w:jc w:val="center"/>
        <w:rPr>
          <w:sz w:val="30"/>
          <w:szCs w:val="30"/>
        </w:rPr>
      </w:pPr>
    </w:p>
    <w:p>
      <w:pPr>
        <w:autoSpaceDE w:val="0"/>
        <w:autoSpaceDN w:val="0"/>
        <w:adjustRightInd w:val="0"/>
        <w:spacing w:line="360" w:lineRule="auto"/>
        <w:jc w:val="center"/>
        <w:rPr>
          <w:b/>
          <w:sz w:val="36"/>
          <w:szCs w:val="36"/>
        </w:rPr>
      </w:pPr>
      <w:r>
        <w:rPr>
          <w:rFonts w:hint="eastAsia"/>
          <w:b/>
          <w:sz w:val="36"/>
          <w:szCs w:val="36"/>
        </w:rPr>
        <w:t>拟分包情况说明</w:t>
      </w:r>
    </w:p>
    <w:p>
      <w:pPr>
        <w:tabs>
          <w:tab w:val="left" w:pos="5580"/>
        </w:tabs>
        <w:spacing w:line="360" w:lineRule="auto"/>
        <w:rPr>
          <w:sz w:val="24"/>
        </w:rPr>
      </w:pPr>
      <w:r>
        <w:rPr>
          <w:sz w:val="24"/>
        </w:rPr>
        <w:t>致：</w:t>
      </w:r>
      <w:r>
        <w:rPr>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56"/>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vAlign w:val="center"/>
          </w:tcPr>
          <w:p>
            <w:pPr>
              <w:pStyle w:val="216"/>
              <w:jc w:val="center"/>
              <w:rPr>
                <w:sz w:val="24"/>
              </w:rPr>
            </w:pPr>
            <w:r>
              <w:rPr>
                <w:sz w:val="24"/>
              </w:rPr>
              <w:t>序号</w:t>
            </w:r>
          </w:p>
        </w:tc>
        <w:tc>
          <w:tcPr>
            <w:tcW w:w="1287" w:type="dxa"/>
            <w:vAlign w:val="center"/>
          </w:tcPr>
          <w:p>
            <w:pPr>
              <w:pStyle w:val="216"/>
              <w:jc w:val="center"/>
              <w:rPr>
                <w:sz w:val="24"/>
              </w:rPr>
            </w:pPr>
            <w:r>
              <w:rPr>
                <w:sz w:val="24"/>
              </w:rPr>
              <w:t>分包承担</w:t>
            </w:r>
          </w:p>
          <w:p>
            <w:pPr>
              <w:pStyle w:val="216"/>
              <w:jc w:val="center"/>
              <w:rPr>
                <w:sz w:val="24"/>
              </w:rPr>
            </w:pPr>
            <w:r>
              <w:rPr>
                <w:sz w:val="24"/>
              </w:rPr>
              <w:t>主体名称</w:t>
            </w:r>
          </w:p>
        </w:tc>
        <w:tc>
          <w:tcPr>
            <w:tcW w:w="1513" w:type="dxa"/>
            <w:vAlign w:val="center"/>
          </w:tcPr>
          <w:p>
            <w:pPr>
              <w:pStyle w:val="216"/>
              <w:jc w:val="center"/>
              <w:rPr>
                <w:sz w:val="24"/>
                <w:lang w:eastAsia="zh-CN"/>
              </w:rPr>
            </w:pPr>
            <w:r>
              <w:rPr>
                <w:sz w:val="24"/>
                <w:lang w:eastAsia="zh-CN"/>
              </w:rPr>
              <w:t>分包承担</w:t>
            </w:r>
          </w:p>
          <w:p>
            <w:pPr>
              <w:pStyle w:val="216"/>
              <w:jc w:val="center"/>
              <w:rPr>
                <w:sz w:val="24"/>
                <w:lang w:eastAsia="zh-CN"/>
              </w:rPr>
            </w:pPr>
            <w:r>
              <w:rPr>
                <w:sz w:val="24"/>
                <w:lang w:eastAsia="zh-CN"/>
              </w:rPr>
              <w:t>主体类型</w:t>
            </w:r>
          </w:p>
          <w:p>
            <w:pPr>
              <w:pStyle w:val="216"/>
              <w:jc w:val="center"/>
              <w:rPr>
                <w:sz w:val="24"/>
                <w:lang w:eastAsia="zh-CN"/>
              </w:rPr>
            </w:pPr>
            <w:r>
              <w:rPr>
                <w:rFonts w:hint="eastAsia"/>
                <w:sz w:val="24"/>
                <w:lang w:eastAsia="zh-CN"/>
              </w:rPr>
              <w:t>（勾选）</w:t>
            </w:r>
          </w:p>
        </w:tc>
        <w:tc>
          <w:tcPr>
            <w:tcW w:w="1125" w:type="dxa"/>
            <w:vAlign w:val="center"/>
          </w:tcPr>
          <w:p>
            <w:pPr>
              <w:pStyle w:val="216"/>
              <w:jc w:val="center"/>
              <w:rPr>
                <w:sz w:val="24"/>
              </w:rPr>
            </w:pPr>
            <w:r>
              <w:rPr>
                <w:sz w:val="24"/>
              </w:rPr>
              <w:t>资质等级</w:t>
            </w:r>
          </w:p>
        </w:tc>
        <w:tc>
          <w:tcPr>
            <w:tcW w:w="1561" w:type="dxa"/>
            <w:vAlign w:val="center"/>
          </w:tcPr>
          <w:p>
            <w:pPr>
              <w:pStyle w:val="216"/>
              <w:jc w:val="center"/>
              <w:rPr>
                <w:sz w:val="24"/>
              </w:rPr>
            </w:pPr>
            <w:r>
              <w:rPr>
                <w:sz w:val="24"/>
              </w:rPr>
              <w:t>拟分包</w:t>
            </w:r>
          </w:p>
          <w:p>
            <w:pPr>
              <w:pStyle w:val="216"/>
              <w:jc w:val="center"/>
              <w:rPr>
                <w:sz w:val="24"/>
              </w:rPr>
            </w:pPr>
            <w:r>
              <w:rPr>
                <w:sz w:val="24"/>
              </w:rPr>
              <w:t>合同内容</w:t>
            </w:r>
          </w:p>
        </w:tc>
        <w:tc>
          <w:tcPr>
            <w:tcW w:w="1498" w:type="dxa"/>
            <w:vAlign w:val="center"/>
          </w:tcPr>
          <w:p>
            <w:pPr>
              <w:pStyle w:val="216"/>
              <w:jc w:val="center"/>
              <w:rPr>
                <w:sz w:val="24"/>
                <w:lang w:eastAsia="zh-CN"/>
              </w:rPr>
            </w:pPr>
            <w:r>
              <w:rPr>
                <w:sz w:val="24"/>
                <w:lang w:eastAsia="zh-CN"/>
              </w:rPr>
              <w:t>拟分包</w:t>
            </w:r>
          </w:p>
          <w:p>
            <w:pPr>
              <w:pStyle w:val="216"/>
              <w:jc w:val="center"/>
              <w:rPr>
                <w:sz w:val="24"/>
                <w:lang w:eastAsia="zh-CN"/>
              </w:rPr>
            </w:pPr>
            <w:r>
              <w:rPr>
                <w:sz w:val="24"/>
                <w:lang w:eastAsia="zh-CN"/>
              </w:rPr>
              <w:t>合同金额</w:t>
            </w:r>
          </w:p>
          <w:p>
            <w:pPr>
              <w:pStyle w:val="216"/>
              <w:jc w:val="center"/>
              <w:rPr>
                <w:sz w:val="24"/>
                <w:lang w:eastAsia="zh-CN"/>
              </w:rPr>
            </w:pPr>
            <w:r>
              <w:rPr>
                <w:sz w:val="24"/>
                <w:lang w:eastAsia="zh-CN"/>
              </w:rPr>
              <w:t>（人民币元）</w:t>
            </w:r>
          </w:p>
        </w:tc>
        <w:tc>
          <w:tcPr>
            <w:tcW w:w="1564" w:type="dxa"/>
            <w:vAlign w:val="center"/>
          </w:tcPr>
          <w:p>
            <w:pPr>
              <w:pStyle w:val="216"/>
              <w:jc w:val="center"/>
              <w:rPr>
                <w:b/>
                <w:sz w:val="24"/>
                <w:lang w:eastAsia="zh-CN"/>
              </w:rPr>
            </w:pPr>
            <w:r>
              <w:rPr>
                <w:b/>
                <w:sz w:val="24"/>
                <w:lang w:eastAsia="zh-CN"/>
              </w:rPr>
              <w:t>占</w:t>
            </w:r>
            <w:r>
              <w:rPr>
                <w:rFonts w:hint="eastAsia"/>
                <w:b/>
                <w:sz w:val="24"/>
                <w:lang w:eastAsia="zh-CN"/>
              </w:rPr>
              <w:t>投标报价</w:t>
            </w:r>
          </w:p>
          <w:p>
            <w:pPr>
              <w:pStyle w:val="216"/>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16"/>
              <w:jc w:val="center"/>
              <w:rPr>
                <w:rFonts w:ascii="Times New Roman"/>
                <w:sz w:val="24"/>
              </w:rPr>
            </w:pPr>
            <w:r>
              <w:rPr>
                <w:rFonts w:ascii="Times New Roman"/>
                <w:sz w:val="24"/>
              </w:rPr>
              <w:t>1</w:t>
            </w:r>
          </w:p>
        </w:tc>
        <w:tc>
          <w:tcPr>
            <w:tcW w:w="1287" w:type="dxa"/>
            <w:vAlign w:val="center"/>
          </w:tcPr>
          <w:p>
            <w:pPr>
              <w:pStyle w:val="216"/>
              <w:jc w:val="center"/>
              <w:rPr>
                <w:rFonts w:ascii="Times New Roman" w:hAnsi="Times New Roman" w:cs="Times New Roman"/>
                <w:sz w:val="30"/>
              </w:rPr>
            </w:pPr>
          </w:p>
        </w:tc>
        <w:tc>
          <w:tcPr>
            <w:tcW w:w="1513" w:type="dxa"/>
            <w:vAlign w:val="center"/>
          </w:tcPr>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ascii="Times New Roman" w:hAnsi="Times New Roman" w:cs="Times New Roman"/>
                <w:sz w:val="24"/>
                <w:lang w:eastAsia="zh-CN"/>
              </w:rPr>
              <w:t>小微企业</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hint="eastAsia" w:ascii="Times New Roman" w:hAnsi="Times New Roman" w:cs="Times New Roman"/>
                <w:sz w:val="24"/>
                <w:lang w:eastAsia="zh-CN"/>
              </w:rPr>
              <w:t>其他类型</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□其他</w:t>
            </w:r>
          </w:p>
        </w:tc>
        <w:tc>
          <w:tcPr>
            <w:tcW w:w="1125" w:type="dxa"/>
            <w:vAlign w:val="center"/>
          </w:tcPr>
          <w:p>
            <w:pPr>
              <w:pStyle w:val="216"/>
              <w:jc w:val="center"/>
              <w:rPr>
                <w:rFonts w:ascii="Times New Roman"/>
                <w:sz w:val="30"/>
                <w:lang w:eastAsia="zh-CN"/>
              </w:rPr>
            </w:pPr>
          </w:p>
        </w:tc>
        <w:tc>
          <w:tcPr>
            <w:tcW w:w="1561" w:type="dxa"/>
            <w:vAlign w:val="center"/>
          </w:tcPr>
          <w:p>
            <w:pPr>
              <w:pStyle w:val="216"/>
              <w:jc w:val="center"/>
              <w:rPr>
                <w:rFonts w:ascii="Times New Roman"/>
                <w:sz w:val="30"/>
                <w:lang w:eastAsia="zh-CN"/>
              </w:rPr>
            </w:pPr>
          </w:p>
        </w:tc>
        <w:tc>
          <w:tcPr>
            <w:tcW w:w="1498" w:type="dxa"/>
            <w:vAlign w:val="center"/>
          </w:tcPr>
          <w:p>
            <w:pPr>
              <w:pStyle w:val="216"/>
              <w:jc w:val="center"/>
              <w:rPr>
                <w:rFonts w:ascii="Times New Roman"/>
                <w:sz w:val="30"/>
                <w:lang w:eastAsia="zh-CN"/>
              </w:rPr>
            </w:pPr>
          </w:p>
        </w:tc>
        <w:tc>
          <w:tcPr>
            <w:tcW w:w="1564" w:type="dxa"/>
            <w:vAlign w:val="center"/>
          </w:tcPr>
          <w:p>
            <w:pPr>
              <w:pStyle w:val="21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16"/>
              <w:jc w:val="center"/>
              <w:rPr>
                <w:rFonts w:ascii="Times New Roman"/>
                <w:sz w:val="24"/>
                <w:lang w:eastAsia="zh-CN"/>
              </w:rPr>
            </w:pPr>
            <w:r>
              <w:rPr>
                <w:rFonts w:hint="eastAsia" w:ascii="Times New Roman"/>
                <w:sz w:val="24"/>
                <w:lang w:eastAsia="zh-CN"/>
              </w:rPr>
              <w:t>2</w:t>
            </w:r>
          </w:p>
        </w:tc>
        <w:tc>
          <w:tcPr>
            <w:tcW w:w="1287" w:type="dxa"/>
            <w:vAlign w:val="center"/>
          </w:tcPr>
          <w:p>
            <w:pPr>
              <w:pStyle w:val="216"/>
              <w:jc w:val="center"/>
              <w:rPr>
                <w:rFonts w:ascii="Times New Roman"/>
                <w:sz w:val="30"/>
              </w:rPr>
            </w:pPr>
          </w:p>
        </w:tc>
        <w:tc>
          <w:tcPr>
            <w:tcW w:w="1513" w:type="dxa"/>
            <w:vAlign w:val="center"/>
          </w:tcPr>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ascii="Times New Roman" w:hAnsi="Times New Roman" w:cs="Times New Roman"/>
                <w:sz w:val="24"/>
                <w:lang w:eastAsia="zh-CN"/>
              </w:rPr>
              <w:t>小微企业</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w:t>
            </w:r>
            <w:r>
              <w:rPr>
                <w:rFonts w:hint="eastAsia" w:ascii="Times New Roman" w:hAnsi="Times New Roman" w:cs="Times New Roman"/>
                <w:sz w:val="24"/>
                <w:lang w:eastAsia="zh-CN"/>
              </w:rPr>
              <w:t>其他类型</w:t>
            </w:r>
          </w:p>
          <w:p>
            <w:pPr>
              <w:pStyle w:val="216"/>
              <w:tabs>
                <w:tab w:val="left" w:pos="235"/>
              </w:tabs>
              <w:ind w:left="1" w:leftChars="-43" w:hanging="91" w:hangingChars="38"/>
              <w:jc w:val="center"/>
              <w:rPr>
                <w:rFonts w:ascii="Times New Roman" w:hAnsi="Times New Roman" w:cs="Times New Roman"/>
                <w:sz w:val="24"/>
                <w:lang w:eastAsia="zh-CN"/>
              </w:rPr>
            </w:pPr>
            <w:r>
              <w:rPr>
                <w:rFonts w:hint="eastAsia"/>
                <w:sz w:val="24"/>
                <w:lang w:eastAsia="zh-CN"/>
              </w:rPr>
              <w:t>□其他</w:t>
            </w:r>
          </w:p>
        </w:tc>
        <w:tc>
          <w:tcPr>
            <w:tcW w:w="1125" w:type="dxa"/>
            <w:vAlign w:val="center"/>
          </w:tcPr>
          <w:p>
            <w:pPr>
              <w:pStyle w:val="216"/>
              <w:jc w:val="center"/>
              <w:rPr>
                <w:rFonts w:ascii="Times New Roman"/>
                <w:sz w:val="30"/>
                <w:lang w:eastAsia="zh-CN"/>
              </w:rPr>
            </w:pPr>
          </w:p>
        </w:tc>
        <w:tc>
          <w:tcPr>
            <w:tcW w:w="1561" w:type="dxa"/>
            <w:vAlign w:val="center"/>
          </w:tcPr>
          <w:p>
            <w:pPr>
              <w:pStyle w:val="216"/>
              <w:jc w:val="center"/>
              <w:rPr>
                <w:rFonts w:ascii="Times New Roman"/>
                <w:sz w:val="30"/>
                <w:lang w:eastAsia="zh-CN"/>
              </w:rPr>
            </w:pPr>
          </w:p>
        </w:tc>
        <w:tc>
          <w:tcPr>
            <w:tcW w:w="1498" w:type="dxa"/>
            <w:vAlign w:val="center"/>
          </w:tcPr>
          <w:p>
            <w:pPr>
              <w:pStyle w:val="216"/>
              <w:jc w:val="center"/>
              <w:rPr>
                <w:rFonts w:ascii="Times New Roman"/>
                <w:sz w:val="30"/>
                <w:lang w:eastAsia="zh-CN"/>
              </w:rPr>
            </w:pPr>
          </w:p>
        </w:tc>
        <w:tc>
          <w:tcPr>
            <w:tcW w:w="1564" w:type="dxa"/>
            <w:vAlign w:val="center"/>
          </w:tcPr>
          <w:p>
            <w:pPr>
              <w:pStyle w:val="21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16"/>
              <w:jc w:val="center"/>
              <w:rPr>
                <w:rFonts w:ascii="Times New Roman"/>
                <w:sz w:val="24"/>
                <w:lang w:eastAsia="zh-CN"/>
              </w:rPr>
            </w:pPr>
            <w:r>
              <w:rPr>
                <w:rFonts w:ascii="Times New Roman"/>
                <w:sz w:val="24"/>
                <w:lang w:eastAsia="zh-CN"/>
              </w:rPr>
              <w:t>…</w:t>
            </w:r>
          </w:p>
        </w:tc>
        <w:tc>
          <w:tcPr>
            <w:tcW w:w="1287" w:type="dxa"/>
            <w:vAlign w:val="center"/>
          </w:tcPr>
          <w:p>
            <w:pPr>
              <w:pStyle w:val="216"/>
              <w:jc w:val="center"/>
              <w:rPr>
                <w:rFonts w:ascii="Times New Roman"/>
                <w:sz w:val="30"/>
              </w:rPr>
            </w:pPr>
          </w:p>
        </w:tc>
        <w:tc>
          <w:tcPr>
            <w:tcW w:w="1513" w:type="dxa"/>
            <w:vAlign w:val="center"/>
          </w:tcPr>
          <w:p>
            <w:pPr>
              <w:pStyle w:val="216"/>
              <w:tabs>
                <w:tab w:val="left" w:pos="235"/>
              </w:tabs>
              <w:jc w:val="center"/>
              <w:rPr>
                <w:sz w:val="24"/>
              </w:rPr>
            </w:pPr>
          </w:p>
        </w:tc>
        <w:tc>
          <w:tcPr>
            <w:tcW w:w="1125" w:type="dxa"/>
            <w:vAlign w:val="center"/>
          </w:tcPr>
          <w:p>
            <w:pPr>
              <w:pStyle w:val="216"/>
              <w:jc w:val="center"/>
              <w:rPr>
                <w:rFonts w:ascii="Times New Roman"/>
                <w:sz w:val="30"/>
              </w:rPr>
            </w:pPr>
          </w:p>
        </w:tc>
        <w:tc>
          <w:tcPr>
            <w:tcW w:w="1561" w:type="dxa"/>
            <w:vAlign w:val="center"/>
          </w:tcPr>
          <w:p>
            <w:pPr>
              <w:pStyle w:val="216"/>
              <w:jc w:val="center"/>
              <w:rPr>
                <w:rFonts w:ascii="Times New Roman"/>
                <w:sz w:val="30"/>
              </w:rPr>
            </w:pPr>
          </w:p>
        </w:tc>
        <w:tc>
          <w:tcPr>
            <w:tcW w:w="1498" w:type="dxa"/>
            <w:vAlign w:val="center"/>
          </w:tcPr>
          <w:p>
            <w:pPr>
              <w:pStyle w:val="216"/>
              <w:jc w:val="center"/>
              <w:rPr>
                <w:rFonts w:ascii="Times New Roman"/>
                <w:sz w:val="30"/>
              </w:rPr>
            </w:pPr>
          </w:p>
        </w:tc>
        <w:tc>
          <w:tcPr>
            <w:tcW w:w="1564" w:type="dxa"/>
            <w:vAlign w:val="center"/>
          </w:tcPr>
          <w:p>
            <w:pPr>
              <w:pStyle w:val="216"/>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vAlign w:val="center"/>
          </w:tcPr>
          <w:p>
            <w:pPr>
              <w:pStyle w:val="216"/>
              <w:ind w:right="57" w:rightChars="27"/>
              <w:jc w:val="right"/>
              <w:rPr>
                <w:sz w:val="24"/>
                <w:lang w:eastAsia="zh-CN"/>
              </w:rPr>
            </w:pPr>
            <w:r>
              <w:rPr>
                <w:rFonts w:hint="eastAsia"/>
                <w:sz w:val="24"/>
                <w:lang w:eastAsia="zh-CN"/>
              </w:rPr>
              <w:t>合计：</w:t>
            </w:r>
          </w:p>
        </w:tc>
        <w:tc>
          <w:tcPr>
            <w:tcW w:w="1498" w:type="dxa"/>
            <w:vAlign w:val="center"/>
          </w:tcPr>
          <w:p>
            <w:pPr>
              <w:pStyle w:val="216"/>
              <w:jc w:val="center"/>
              <w:rPr>
                <w:rFonts w:ascii="Times New Roman"/>
                <w:sz w:val="30"/>
              </w:rPr>
            </w:pPr>
          </w:p>
        </w:tc>
        <w:tc>
          <w:tcPr>
            <w:tcW w:w="1564" w:type="dxa"/>
            <w:vAlign w:val="center"/>
          </w:tcPr>
          <w:p>
            <w:pPr>
              <w:pStyle w:val="216"/>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 xml:space="preserve">注： </w:t>
      </w:r>
    </w:p>
    <w:p>
      <w:pPr>
        <w:adjustRightInd w:val="0"/>
        <w:snapToGrid w:val="0"/>
        <w:spacing w:line="360" w:lineRule="auto"/>
        <w:rPr>
          <w:sz w:val="24"/>
        </w:rPr>
      </w:pPr>
      <w:r>
        <w:rPr>
          <w:rFonts w:hint="eastAsia"/>
          <w:sz w:val="24"/>
        </w:rPr>
        <w:t>1. 如本项目（包）允许分包，且投标人拟进行分包时，必须提供；如未提供，或提供了但未填写分包承担主体名称、拟分包合同内容、拟分包合同金额，</w:t>
      </w:r>
      <w:r>
        <w:rPr>
          <w:rFonts w:hint="eastAsia"/>
          <w:b/>
          <w:bCs/>
          <w:sz w:val="24"/>
        </w:rPr>
        <w:t>投标无效</w:t>
      </w:r>
      <w:r>
        <w:rPr>
          <w:rFonts w:hint="eastAsia"/>
          <w:sz w:val="24"/>
        </w:rPr>
        <w:t>。</w:t>
      </w:r>
    </w:p>
    <w:p>
      <w:pPr>
        <w:adjustRightInd w:val="0"/>
        <w:snapToGrid w:val="0"/>
        <w:spacing w:line="360" w:lineRule="auto"/>
        <w:rPr>
          <w:sz w:val="24"/>
        </w:rPr>
      </w:pPr>
      <w:r>
        <w:rPr>
          <w:rFonts w:hint="eastAsia"/>
          <w:sz w:val="24"/>
        </w:rPr>
        <w:t>2.如本招标文件《投标人须知资料表》载明本项目分包承担主体应具备的相应资质条件，则投标人须在本表中列明分包承担主体的资质等级，并后附资质证书复印件，否则</w:t>
      </w:r>
      <w:r>
        <w:rPr>
          <w:rFonts w:hint="eastAsia"/>
          <w:b/>
          <w:bCs/>
          <w:sz w:val="24"/>
        </w:rPr>
        <w:t>投标无效</w:t>
      </w:r>
      <w:r>
        <w:rPr>
          <w:rFonts w:hint="eastAsia"/>
          <w:sz w:val="24"/>
        </w:rPr>
        <w:t>。</w:t>
      </w:r>
    </w:p>
    <w:p>
      <w:pPr>
        <w:adjustRightInd w:val="0"/>
        <w:snapToGrid w:val="0"/>
        <w:spacing w:line="360" w:lineRule="auto"/>
        <w:jc w:val="left"/>
        <w:rPr>
          <w:sz w:val="24"/>
        </w:rPr>
      </w:pPr>
      <w:r>
        <w:rPr>
          <w:rFonts w:hint="eastAsia"/>
          <w:sz w:val="24"/>
        </w:rPr>
        <w:t>3.投标人“为落实政府采购政策”而向中小企业分包时请仔细阅读资格证明文件格式2-1 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sz w:val="24"/>
        </w:rPr>
        <w:t>日期：_____年______月______日</w:t>
      </w:r>
    </w:p>
    <w:p>
      <w:pPr>
        <w:spacing w:line="360" w:lineRule="auto"/>
        <w:outlineLvl w:val="2"/>
        <w:rPr>
          <w:rFonts w:ascii="宋体" w:hAnsi="宋体" w:cs="宋体"/>
          <w:sz w:val="24"/>
          <w:szCs w:val="22"/>
        </w:rPr>
      </w:pPr>
      <w:r>
        <w:rPr>
          <w:sz w:val="24"/>
          <w:szCs w:val="20"/>
        </w:rPr>
        <w:br w:type="page"/>
      </w:r>
      <w:r>
        <w:rPr>
          <w:rFonts w:hint="eastAsia" w:ascii="宋体" w:hAnsi="宋体" w:cs="宋体"/>
          <w:sz w:val="24"/>
          <w:szCs w:val="22"/>
        </w:rPr>
        <w:t>9  招标文件要求提供或投标人认为应附的其他材料（如业绩情况、实施方案、实施团队人员情况等）</w:t>
      </w:r>
    </w:p>
    <w:p>
      <w:pPr>
        <w:widowControl/>
        <w:jc w:val="left"/>
        <w:rPr>
          <w:b/>
          <w:sz w:val="36"/>
          <w:szCs w:val="36"/>
        </w:rPr>
      </w:pPr>
    </w:p>
    <w:p>
      <w:pPr>
        <w:widowControl/>
        <w:jc w:val="left"/>
        <w:rPr>
          <w:sz w:val="24"/>
          <w:szCs w:val="20"/>
        </w:rPr>
      </w:pPr>
    </w:p>
    <w:p>
      <w:pPr>
        <w:spacing w:line="360" w:lineRule="auto"/>
        <w:outlineLvl w:val="2"/>
        <w:rPr>
          <w:rFonts w:ascii="宋体" w:hAnsi="宋体" w:cs="宋体"/>
          <w:sz w:val="24"/>
        </w:rPr>
      </w:pPr>
      <w:r>
        <w:rPr>
          <w:szCs w:val="20"/>
        </w:rPr>
        <w:br w:type="page"/>
      </w:r>
      <w:r>
        <w:rPr>
          <w:rFonts w:hint="eastAsia" w:ascii="宋体" w:hAnsi="宋体" w:cs="宋体"/>
          <w:sz w:val="24"/>
        </w:rPr>
        <w:t>10 招标代理服务费承诺及开票信息（仅适用于由中标人缴纳招标代理服务费的情形）</w:t>
      </w:r>
    </w:p>
    <w:p>
      <w:pPr>
        <w:spacing w:line="360" w:lineRule="auto"/>
        <w:rPr>
          <w:rFonts w:ascii="宋体" w:hAnsi="宋体" w:cs="宋体"/>
          <w:sz w:val="24"/>
        </w:rPr>
      </w:pPr>
    </w:p>
    <w:p>
      <w:pPr>
        <w:pStyle w:val="7"/>
        <w:spacing w:line="360" w:lineRule="auto"/>
        <w:ind w:firstLine="0"/>
        <w:rPr>
          <w:rFonts w:ascii="Times New Roman"/>
          <w:u w:val="single"/>
        </w:rPr>
      </w:pPr>
      <w:r>
        <w:rPr>
          <w:rFonts w:ascii="Times New Roman"/>
        </w:rPr>
        <w:t xml:space="preserve">致： </w:t>
      </w:r>
      <w:r>
        <w:rPr>
          <w:rFonts w:hint="eastAsia" w:ascii="Times New Roman"/>
          <w:u w:val="single"/>
        </w:rPr>
        <w:t>北京国际贸易有限公司</w:t>
      </w:r>
    </w:p>
    <w:p>
      <w:pPr>
        <w:pStyle w:val="7"/>
        <w:spacing w:line="360" w:lineRule="auto"/>
        <w:ind w:firstLine="480" w:firstLineChars="200"/>
        <w:jc w:val="both"/>
        <w:rPr>
          <w:rFonts w:ascii="Times New Roman"/>
        </w:rPr>
      </w:pPr>
      <w:r>
        <w:rPr>
          <w:rFonts w:ascii="Times New Roman"/>
        </w:rPr>
        <w:t>我单位参与的</w:t>
      </w:r>
      <w:r>
        <w:rPr>
          <w:rFonts w:ascii="Times New Roman"/>
          <w:u w:val="single"/>
        </w:rPr>
        <w:t xml:space="preserve">                    </w:t>
      </w:r>
      <w:r>
        <w:rPr>
          <w:rFonts w:ascii="Times New Roman"/>
        </w:rPr>
        <w:t>（项目名称），项目编号</w:t>
      </w:r>
      <w:r>
        <w:rPr>
          <w:rFonts w:hint="eastAsia" w:ascii="Times New Roman"/>
        </w:rPr>
        <w:t>：</w:t>
      </w:r>
      <w:r>
        <w:rPr>
          <w:rFonts w:ascii="Times New Roman"/>
          <w:u w:val="single"/>
        </w:rPr>
        <w:t xml:space="preserve">         </w:t>
      </w:r>
      <w:r>
        <w:rPr>
          <w:rFonts w:hint="eastAsia" w:ascii="Times New Roman"/>
        </w:rPr>
        <w:t>中如获中标，则将保证按招标文件规定的金额和方式，在领取《中标通知书》的同时，向贵方一次性交纳招标代理服务费。如我方未按上述承诺支付招标代理服务费，由此产生的一切法律后果和责任由我司承担，我司声明放弃对此提出任何异议和追索的权利。</w:t>
      </w:r>
    </w:p>
    <w:p>
      <w:pPr>
        <w:pStyle w:val="7"/>
        <w:spacing w:line="360" w:lineRule="auto"/>
        <w:ind w:firstLine="480" w:firstLineChars="200"/>
        <w:rPr>
          <w:rFonts w:ascii="Times New Roman"/>
        </w:rPr>
      </w:pPr>
      <w:r>
        <w:rPr>
          <w:rFonts w:hint="eastAsia" w:ascii="Times New Roman"/>
        </w:rPr>
        <w:t>特此承诺。</w:t>
      </w:r>
    </w:p>
    <w:p>
      <w:pPr>
        <w:pStyle w:val="7"/>
        <w:spacing w:line="360" w:lineRule="auto"/>
        <w:ind w:firstLine="480" w:firstLineChars="200"/>
        <w:rPr>
          <w:rFonts w:ascii="Times New Roman"/>
        </w:rPr>
      </w:pPr>
    </w:p>
    <w:p>
      <w:pPr>
        <w:pStyle w:val="7"/>
        <w:spacing w:line="360" w:lineRule="auto"/>
        <w:ind w:firstLine="480" w:firstLineChars="200"/>
        <w:rPr>
          <w:rFonts w:ascii="Times New Roman"/>
          <w:u w:val="single"/>
        </w:rPr>
      </w:pPr>
      <w:r>
        <w:t>投标人名称（公章）：</w:t>
      </w:r>
      <w:r>
        <w:rPr>
          <w:rFonts w:hint="eastAsia" w:hAnsi="宋体" w:cs="宋体"/>
        </w:rPr>
        <w:t>___________________________</w:t>
      </w:r>
      <w:r>
        <w:rPr>
          <w:rFonts w:hint="eastAsia"/>
        </w:rPr>
        <w:t xml:space="preserve">            </w:t>
      </w:r>
    </w:p>
    <w:p>
      <w:pPr>
        <w:pStyle w:val="7"/>
        <w:spacing w:line="360" w:lineRule="auto"/>
        <w:ind w:firstLine="480" w:firstLineChars="200"/>
        <w:rPr>
          <w:rFonts w:ascii="Times New Roman"/>
          <w:u w:val="single"/>
        </w:rPr>
      </w:pPr>
    </w:p>
    <w:p>
      <w:pPr>
        <w:pStyle w:val="7"/>
        <w:spacing w:line="360" w:lineRule="auto"/>
        <w:ind w:firstLine="480" w:firstLineChars="200"/>
        <w:rPr>
          <w:rFonts w:ascii="Times New Roman"/>
          <w:u w:val="single"/>
        </w:rPr>
      </w:pPr>
    </w:p>
    <w:p>
      <w:pPr>
        <w:pStyle w:val="7"/>
        <w:spacing w:line="360" w:lineRule="auto"/>
        <w:ind w:firstLine="0"/>
        <w:rPr>
          <w:rFonts w:ascii="Times New Roman"/>
        </w:rPr>
      </w:pPr>
      <w:r>
        <w:rPr>
          <w:rFonts w:hint="eastAsia" w:ascii="Times New Roman"/>
        </w:rPr>
        <w:t>附：增值税发票开票信息：</w:t>
      </w:r>
    </w:p>
    <w:tbl>
      <w:tblPr>
        <w:tblStyle w:val="5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4"/>
        <w:gridCol w:w="5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44" w:type="dxa"/>
          </w:tcPr>
          <w:p>
            <w:pPr>
              <w:pStyle w:val="7"/>
              <w:spacing w:line="360" w:lineRule="auto"/>
              <w:ind w:firstLine="0"/>
              <w:rPr>
                <w:rFonts w:ascii="Times New Roman"/>
              </w:rPr>
            </w:pPr>
            <w:r>
              <w:rPr>
                <w:rFonts w:hint="eastAsia" w:ascii="Times New Roman"/>
              </w:rPr>
              <w:t>开具发票类型</w:t>
            </w:r>
          </w:p>
        </w:tc>
        <w:tc>
          <w:tcPr>
            <w:tcW w:w="5344" w:type="dxa"/>
          </w:tcPr>
          <w:p>
            <w:pPr>
              <w:pStyle w:val="7"/>
              <w:rPr>
                <w:rFonts w:ascii="Times New Roman"/>
              </w:rPr>
            </w:pPr>
            <w:r>
              <w:rPr>
                <w:rFonts w:hint="eastAsia" w:hAnsi="宋体" w:cs="宋体"/>
              </w:rPr>
              <w:t>□</w:t>
            </w:r>
            <w:r>
              <w:rPr>
                <w:rFonts w:hint="eastAsia" w:ascii="Times New Roman"/>
              </w:rPr>
              <w:t>增值税专用发票 （如适用请勾选）</w:t>
            </w:r>
          </w:p>
          <w:p>
            <w:pPr>
              <w:pStyle w:val="7"/>
              <w:rPr>
                <w:rFonts w:ascii="Times New Roman"/>
              </w:rPr>
            </w:pPr>
          </w:p>
          <w:p>
            <w:pPr>
              <w:pStyle w:val="7"/>
              <w:rPr>
                <w:rFonts w:ascii="Times New Roman"/>
              </w:rPr>
            </w:pPr>
            <w:r>
              <w:rPr>
                <w:rFonts w:hint="eastAsia" w:hAnsi="宋体" w:cs="宋体"/>
              </w:rPr>
              <w:t>□</w:t>
            </w:r>
            <w:r>
              <w:rPr>
                <w:rFonts w:hint="eastAsia" w:ascii="Times New Roman"/>
              </w:rPr>
              <w:t>增值税普通发票 （如适用请勾选）</w:t>
            </w:r>
          </w:p>
          <w:p>
            <w:pPr>
              <w:pStyle w:val="7"/>
              <w:rPr>
                <w:rFonts w:ascii="Times New Roman"/>
              </w:rPr>
            </w:pPr>
          </w:p>
          <w:p>
            <w:pPr>
              <w:pStyle w:val="7"/>
              <w:rPr>
                <w:rFonts w:ascii="Times New Roman"/>
              </w:rPr>
            </w:pPr>
            <w:r>
              <w:rPr>
                <w:rFonts w:hint="eastAsia" w:hAnsi="宋体" w:cs="宋体"/>
              </w:rPr>
              <w:t>□</w:t>
            </w:r>
            <w:r>
              <w:rPr>
                <w:rFonts w:hint="eastAsia" w:ascii="Times New Roman"/>
              </w:rPr>
              <w:t>其他           （如适用请勾选）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88" w:type="dxa"/>
            <w:gridSpan w:val="2"/>
          </w:tcPr>
          <w:p>
            <w:pPr>
              <w:pStyle w:val="7"/>
              <w:jc w:val="center"/>
              <w:rPr>
                <w:rFonts w:ascii="Times New Roman"/>
              </w:rPr>
            </w:pPr>
            <w:r>
              <w:rPr>
                <w:rFonts w:hint="eastAsia" w:ascii="Times New Roman"/>
                <w:b/>
                <w:bCs/>
              </w:rPr>
              <w:t>开 票 信 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44" w:type="dxa"/>
            <w:vAlign w:val="center"/>
          </w:tcPr>
          <w:p>
            <w:pPr>
              <w:pStyle w:val="7"/>
              <w:ind w:firstLine="0"/>
              <w:jc w:val="both"/>
              <w:rPr>
                <w:rFonts w:ascii="Times New Roman"/>
              </w:rPr>
            </w:pPr>
            <w:r>
              <w:rPr>
                <w:rFonts w:hint="eastAsia" w:ascii="Times New Roman"/>
              </w:rPr>
              <w:t>开票单位全称</w:t>
            </w:r>
          </w:p>
        </w:tc>
        <w:tc>
          <w:tcPr>
            <w:tcW w:w="5344" w:type="dxa"/>
          </w:tcPr>
          <w:p>
            <w:pPr>
              <w:pStyle w:val="7"/>
              <w:spacing w:line="360" w:lineRule="auto"/>
              <w:rPr>
                <w:rFonts w:asci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44" w:type="dxa"/>
            <w:vAlign w:val="center"/>
          </w:tcPr>
          <w:p>
            <w:pPr>
              <w:pStyle w:val="7"/>
              <w:ind w:firstLine="0"/>
              <w:jc w:val="both"/>
              <w:rPr>
                <w:rFonts w:ascii="Times New Roman"/>
              </w:rPr>
            </w:pPr>
            <w:r>
              <w:rPr>
                <w:rFonts w:hint="eastAsia" w:ascii="Times New Roman"/>
              </w:rPr>
              <w:t>纳税人识别号或统一社会信用代码</w:t>
            </w:r>
          </w:p>
        </w:tc>
        <w:tc>
          <w:tcPr>
            <w:tcW w:w="5344" w:type="dxa"/>
          </w:tcPr>
          <w:p>
            <w:pPr>
              <w:pStyle w:val="7"/>
              <w:spacing w:line="360" w:lineRule="auto"/>
              <w:rPr>
                <w:rFonts w:asci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44" w:type="dxa"/>
            <w:vAlign w:val="center"/>
          </w:tcPr>
          <w:p>
            <w:pPr>
              <w:pStyle w:val="7"/>
              <w:ind w:firstLine="0"/>
              <w:jc w:val="both"/>
              <w:rPr>
                <w:rFonts w:ascii="Times New Roman"/>
              </w:rPr>
            </w:pPr>
            <w:r>
              <w:rPr>
                <w:rFonts w:hint="eastAsia" w:ascii="Times New Roman"/>
              </w:rPr>
              <w:t>地址</w:t>
            </w:r>
          </w:p>
        </w:tc>
        <w:tc>
          <w:tcPr>
            <w:tcW w:w="5344" w:type="dxa"/>
          </w:tcPr>
          <w:p>
            <w:pPr>
              <w:pStyle w:val="7"/>
              <w:spacing w:line="360" w:lineRule="auto"/>
              <w:rPr>
                <w:rFonts w:asci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44" w:type="dxa"/>
            <w:vAlign w:val="center"/>
          </w:tcPr>
          <w:p>
            <w:pPr>
              <w:pStyle w:val="7"/>
              <w:ind w:firstLine="0"/>
              <w:jc w:val="both"/>
              <w:rPr>
                <w:rFonts w:ascii="Times New Roman"/>
              </w:rPr>
            </w:pPr>
            <w:r>
              <w:rPr>
                <w:rFonts w:hint="eastAsia" w:ascii="Times New Roman"/>
              </w:rPr>
              <w:t>电话</w:t>
            </w:r>
          </w:p>
        </w:tc>
        <w:tc>
          <w:tcPr>
            <w:tcW w:w="5344" w:type="dxa"/>
          </w:tcPr>
          <w:p>
            <w:pPr>
              <w:pStyle w:val="7"/>
              <w:spacing w:line="360" w:lineRule="auto"/>
              <w:rPr>
                <w:rFonts w:asci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44" w:type="dxa"/>
            <w:vAlign w:val="center"/>
          </w:tcPr>
          <w:p>
            <w:pPr>
              <w:pStyle w:val="7"/>
              <w:ind w:firstLine="0"/>
              <w:jc w:val="both"/>
              <w:rPr>
                <w:rFonts w:ascii="Times New Roman"/>
              </w:rPr>
            </w:pPr>
            <w:r>
              <w:rPr>
                <w:rFonts w:hint="eastAsia" w:ascii="Times New Roman"/>
              </w:rPr>
              <w:t>开户行全称</w:t>
            </w:r>
          </w:p>
        </w:tc>
        <w:tc>
          <w:tcPr>
            <w:tcW w:w="5344" w:type="dxa"/>
          </w:tcPr>
          <w:p>
            <w:pPr>
              <w:pStyle w:val="7"/>
              <w:spacing w:line="360" w:lineRule="auto"/>
              <w:rPr>
                <w:rFonts w:asci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44" w:type="dxa"/>
            <w:vAlign w:val="center"/>
          </w:tcPr>
          <w:p>
            <w:pPr>
              <w:pStyle w:val="7"/>
              <w:ind w:firstLine="0"/>
              <w:jc w:val="both"/>
              <w:rPr>
                <w:rFonts w:ascii="Times New Roman"/>
              </w:rPr>
            </w:pPr>
            <w:r>
              <w:rPr>
                <w:rFonts w:hint="eastAsia" w:ascii="Times New Roman"/>
              </w:rPr>
              <w:t>帐号</w:t>
            </w:r>
          </w:p>
        </w:tc>
        <w:tc>
          <w:tcPr>
            <w:tcW w:w="5344" w:type="dxa"/>
          </w:tcPr>
          <w:p>
            <w:pPr>
              <w:pStyle w:val="7"/>
              <w:rPr>
                <w:rFonts w:ascii="Times New Roman"/>
              </w:rPr>
            </w:pPr>
          </w:p>
        </w:tc>
      </w:tr>
    </w:tbl>
    <w:p>
      <w:pPr>
        <w:pStyle w:val="7"/>
        <w:spacing w:line="360" w:lineRule="auto"/>
        <w:ind w:firstLine="480" w:firstLineChars="200"/>
      </w:pPr>
      <w:r>
        <w:rPr>
          <w:rFonts w:hint="eastAsia" w:ascii="Times New Roman"/>
        </w:rPr>
        <w:t>注：</w:t>
      </w:r>
      <w:r>
        <w:rPr>
          <w:rFonts w:ascii="Times New Roman"/>
        </w:rPr>
        <w:t>以上信息已与我方财务人员核实，</w:t>
      </w:r>
      <w:r>
        <w:rPr>
          <w:rFonts w:hint="eastAsia" w:ascii="Times New Roman"/>
        </w:rPr>
        <w:t>信息</w:t>
      </w:r>
      <w:r>
        <w:rPr>
          <w:rFonts w:ascii="Times New Roman"/>
        </w:rPr>
        <w:t>真实有效、正确无误</w:t>
      </w:r>
      <w:r>
        <w:rPr>
          <w:rFonts w:hint="eastAsia" w:ascii="Times New Roman"/>
        </w:rPr>
        <w:t>。</w:t>
      </w:r>
      <w:r>
        <w:rPr>
          <w:rFonts w:ascii="Times New Roman"/>
        </w:rPr>
        <w:t>如我方相关信息在此期间内发生变更，我方负责及时通知贵公司。由于填写错误、不清晰、我方信息变更而未及时告知</w:t>
      </w:r>
      <w:r>
        <w:rPr>
          <w:rFonts w:hint="eastAsia" w:ascii="Times New Roman"/>
        </w:rPr>
        <w:t>贵</w:t>
      </w:r>
      <w:r>
        <w:rPr>
          <w:rFonts w:ascii="Times New Roman"/>
        </w:rPr>
        <w:t>公司等引起的退款、开票延误等后果由我方自行承担。</w:t>
      </w:r>
    </w:p>
    <w:p>
      <w:pPr>
        <w:pStyle w:val="7"/>
        <w:spacing w:line="360" w:lineRule="auto"/>
        <w:ind w:firstLine="482" w:firstLineChars="200"/>
        <w:rPr>
          <w:rFonts w:ascii="Times New Roman"/>
          <w:b/>
        </w:rPr>
      </w:pPr>
    </w:p>
    <w:p>
      <w:pPr>
        <w:pStyle w:val="7"/>
        <w:spacing w:line="360" w:lineRule="auto"/>
        <w:ind w:firstLine="0"/>
        <w:rPr>
          <w:rFonts w:ascii="Times New Roman"/>
          <w:u w:val="single"/>
        </w:rPr>
      </w:pPr>
    </w:p>
    <w:p>
      <w:pPr>
        <w:pStyle w:val="7"/>
        <w:spacing w:line="360" w:lineRule="auto"/>
        <w:ind w:firstLine="0"/>
        <w:rPr>
          <w:rFonts w:ascii="Times New Roman"/>
          <w:u w:val="single"/>
        </w:rPr>
      </w:pPr>
    </w:p>
    <w:p>
      <w:pPr>
        <w:pStyle w:val="7"/>
        <w:spacing w:line="360" w:lineRule="auto"/>
        <w:ind w:firstLine="0"/>
        <w:rPr>
          <w:rFonts w:ascii="Times New Roman"/>
          <w:u w:val="single"/>
        </w:rPr>
      </w:pPr>
    </w:p>
    <w:p>
      <w:pPr>
        <w:widowControl/>
        <w:jc w:val="left"/>
        <w:rPr>
          <w:b/>
          <w:sz w:val="36"/>
          <w:szCs w:val="36"/>
        </w:rPr>
      </w:pPr>
    </w:p>
    <w:sectPr>
      <w:headerReference r:id="rId14" w:type="first"/>
      <w:footerReference r:id="rId16" w:type="first"/>
      <w:headerReference r:id="rId13" w:type="even"/>
      <w:footerReference r:id="rId15"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Calibri">
    <w:panose1 w:val="020F0502020204030204"/>
    <w:charset w:val="00"/>
    <w:family w:val="decorative"/>
    <w:pitch w:val="default"/>
    <w:sig w:usb0="E4002EFF" w:usb1="C000247B" w:usb2="00000009" w:usb3="00000000" w:csb0="200001F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0"/>
    <w:family w:val="decorative"/>
    <w:pitch w:val="default"/>
    <w:sig w:usb0="E0002EFF" w:usb1="C000785B" w:usb2="00000009" w:usb3="00000000" w:csb0="400001FF" w:csb1="FFFF0000"/>
  </w:font>
  <w:font w:name="Courier New">
    <w:panose1 w:val="02070309020205020404"/>
    <w:charset w:val="00"/>
    <w:family w:val="swiss"/>
    <w:pitch w:val="default"/>
    <w:sig w:usb0="E0002EFF" w:usb1="C0007843" w:usb2="00000009" w:usb3="00000000" w:csb0="400001FF" w:csb1="FFFF0000"/>
  </w:font>
  <w:font w:name="Cambria">
    <w:panose1 w:val="02040503050406030204"/>
    <w:charset w:val="00"/>
    <w:family w:val="modern"/>
    <w:pitch w:val="default"/>
    <w:sig w:usb0="E00006FF" w:usb1="420024FF" w:usb2="02000000" w:usb3="00000000" w:csb0="2000019F" w:csb1="00000000"/>
  </w:font>
  <w:font w:name="黑体">
    <w:panose1 w:val="02010609060101010101"/>
    <w:charset w:val="86"/>
    <w:family w:val="swiss"/>
    <w:pitch w:val="default"/>
    <w:sig w:usb0="800002BF" w:usb1="38CF7CFA" w:usb2="00000016" w:usb3="00000000" w:csb0="00040001" w:csb1="00000000"/>
  </w:font>
  <w:font w:name="微软雅黑">
    <w:panose1 w:val="020B0503020204020204"/>
    <w:charset w:val="86"/>
    <w:family w:val="decorative"/>
    <w:pitch w:val="default"/>
    <w:sig w:usb0="80000287" w:usb1="2ACF3C50" w:usb2="00000016" w:usb3="00000000" w:csb0="0004001F" w:csb1="00000000"/>
  </w:font>
  <w:font w:name="仿宋">
    <w:panose1 w:val="02010609060101010101"/>
    <w:charset w:val="86"/>
    <w:family w:val="swiss"/>
    <w:pitch w:val="default"/>
    <w:sig w:usb0="800002BF" w:usb1="38CF7CFA" w:usb2="00000016" w:usb3="00000000" w:csb0="00040001" w:csb1="00000000"/>
  </w:font>
  <w:font w:name="仿宋_GB2312">
    <w:altName w:val="仿宋"/>
    <w:panose1 w:val="00000000000000000000"/>
    <w:charset w:val="86"/>
    <w:family w:val="swiss"/>
    <w:pitch w:val="default"/>
    <w:sig w:usb0="00000000" w:usb1="00000000" w:usb2="00000000" w:usb3="00000000" w:csb0="00040000" w:csb1="00000000"/>
  </w:font>
  <w:font w:name="Calibri">
    <w:panose1 w:val="020F0502020204030204"/>
    <w:charset w:val="00"/>
    <w:family w:val="modern"/>
    <w:pitch w:val="default"/>
    <w:sig w:usb0="E4002EFF" w:usb1="C000247B" w:usb2="00000009" w:usb3="00000000" w:csb0="200001FF" w:csb1="00000000"/>
  </w:font>
  <w:font w:name="仿宋_GB2312">
    <w:altName w:val="仿宋"/>
    <w:panose1 w:val="02010609030101010101"/>
    <w:charset w:val="86"/>
    <w:family w:val="decorative"/>
    <w:pitch w:val="default"/>
    <w:sig w:usb0="00000000" w:usb1="00000000" w:usb2="00000000" w:usb3="00000000" w:csb0="00040000" w:csb1="00000000"/>
  </w:font>
  <w:font w:name="MS Sans Serif">
    <w:altName w:val="Arial"/>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swiss"/>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decorative"/>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decorative"/>
    <w:pitch w:val="default"/>
    <w:sig w:usb0="800002BF" w:usb1="38CF7CFA" w:usb2="00000016" w:usb3="00000000" w:csb0="00040001" w:csb1="00000000"/>
  </w:font>
  <w:font w:name="Arial">
    <w:panose1 w:val="020B0604020202020204"/>
    <w:charset w:val="00"/>
    <w:family w:val="modern"/>
    <w:pitch w:val="default"/>
    <w:sig w:usb0="E0002EFF" w:usb1="C000785B" w:usb2="00000009" w:usb3="00000000" w:csb0="400001FF" w:csb1="FFFF0000"/>
  </w:font>
  <w:font w:name="Courier New">
    <w:panose1 w:val="02070309020205020404"/>
    <w:charset w:val="00"/>
    <w:family w:val="roman"/>
    <w:pitch w:val="default"/>
    <w:sig w:usb0="E0002EFF" w:usb1="C0007843" w:usb2="00000009" w:usb3="00000000" w:csb0="400001FF" w:csb1="FFFF0000"/>
  </w:font>
  <w:font w:name="Cambria">
    <w:panose1 w:val="02040503050406030204"/>
    <w:charset w:val="00"/>
    <w:family w:val="decorative"/>
    <w:pitch w:val="default"/>
    <w:sig w:usb0="E00006FF" w:usb1="420024FF" w:usb2="02000000" w:usb3="00000000" w:csb0="2000019F" w:csb1="00000000"/>
  </w:font>
  <w:font w:name="黑体">
    <w:panose1 w:val="02010609060101010101"/>
    <w:charset w:val="86"/>
    <w:family w:val="roman"/>
    <w:pitch w:val="default"/>
    <w:sig w:usb0="800002BF" w:usb1="38CF7CFA" w:usb2="00000016" w:usb3="00000000" w:csb0="00040001" w:csb1="00000000"/>
  </w:font>
  <w:font w:name="微软雅黑">
    <w:panose1 w:val="020B0503020204020204"/>
    <w:charset w:val="86"/>
    <w:family w:val="modern"/>
    <w:pitch w:val="default"/>
    <w:sig w:usb0="80000287" w:usb1="2ACF3C50" w:usb2="00000016" w:usb3="00000000" w:csb0="0004001F" w:csb1="00000000"/>
  </w:font>
  <w:font w:name="仿宋">
    <w:panose1 w:val="02010609060101010101"/>
    <w:charset w:val="86"/>
    <w:family w:val="roman"/>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00" w:usb3="00000000" w:csb0="00040000" w:csb1="00000000"/>
  </w:font>
  <w:font w:name="仿宋_GB2312">
    <w:altName w:val="仿宋"/>
    <w:panose1 w:val="02010609030101010101"/>
    <w:charset w:val="86"/>
    <w:family w:val="roman"/>
    <w:pitch w:val="default"/>
    <w:sig w:usb0="00000000" w:usb1="00000000" w:usb2="00000000" w:usb3="00000000" w:csb0="00040000" w:csb1="00000000"/>
  </w:font>
  <w:font w:name="MS Sans Serif">
    <w:altName w:val="Arial"/>
    <w:panose1 w:val="00000000000000000000"/>
    <w:charset w:val="00"/>
    <w:family w:val="modern"/>
    <w:pitch w:val="default"/>
    <w:sig w:usb0="00000000" w:usb1="00000000" w:usb2="00000000" w:usb3="00000000" w:csb0="00000001" w:csb1="00000000"/>
  </w:font>
  <w:font w:name="ˎ̥">
    <w:altName w:val="Times New Roman"/>
    <w:panose1 w:val="00000000000000000000"/>
    <w:charset w:val="00"/>
    <w:family w:val="decorative"/>
    <w:pitch w:val="default"/>
    <w:sig w:usb0="00000000" w:usb1="00000000" w:usb2="00000000" w:usb3="00000000" w:csb0="00040001" w:csb1="00000000"/>
  </w:font>
  <w:font w:name="楷体">
    <w:panose1 w:val="02010609060101010101"/>
    <w:charset w:val="86"/>
    <w:family w:val="roma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黑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S Sans Serif">
    <w:altName w:val="Arial"/>
    <w:panose1 w:val="00000000000000000000"/>
    <w:charset w:val="00"/>
    <w:family w:val="swiss"/>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roman"/>
    <w:pitch w:val="default"/>
    <w:sig w:usb0="E0002EFF" w:usb1="C000785B" w:usb2="00000009" w:usb3="00000000" w:csb0="400001FF" w:csb1="FFFF0000"/>
  </w:font>
  <w:font w:name="Courier New">
    <w:panose1 w:val="02070309020205020404"/>
    <w:charset w:val="00"/>
    <w:family w:val="decorative"/>
    <w:pitch w:val="default"/>
    <w:sig w:usb0="E0002EFF" w:usb1="C0007843" w:usb2="00000009" w:usb3="00000000" w:csb0="400001FF" w:csb1="FFFF0000"/>
  </w:font>
  <w:font w:name="Cambria">
    <w:panose1 w:val="02040503050406030204"/>
    <w:charset w:val="00"/>
    <w:family w:val="swiss"/>
    <w:pitch w:val="default"/>
    <w:sig w:usb0="E00006FF" w:usb1="420024FF" w:usb2="02000000" w:usb3="00000000" w:csb0="2000019F" w:csb1="00000000"/>
  </w:font>
  <w:font w:name="黑体">
    <w:panose1 w:val="02010609060101010101"/>
    <w:charset w:val="86"/>
    <w:family w:val="decorative"/>
    <w:pitch w:val="default"/>
    <w:sig w:usb0="800002BF" w:usb1="38CF7CFA" w:usb2="00000016" w:usb3="00000000" w:csb0="00040001" w:csb1="00000000"/>
  </w:font>
  <w:font w:name="微软雅黑">
    <w:panose1 w:val="020B0503020204020204"/>
    <w:charset w:val="86"/>
    <w:family w:val="roman"/>
    <w:pitch w:val="default"/>
    <w:sig w:usb0="80000287" w:usb1="2ACF3C50" w:usb2="00000016" w:usb3="00000000" w:csb0="0004001F" w:csb1="00000000"/>
  </w:font>
  <w:font w:name="仿宋_GB2312">
    <w:altName w:val="仿宋"/>
    <w:panose1 w:val="02010609030101010101"/>
    <w:charset w:val="86"/>
    <w:family w:val="swiss"/>
    <w:pitch w:val="default"/>
    <w:sig w:usb0="00000000" w:usb1="00000000" w:usb2="00000000" w:usb3="00000000" w:csb0="00040000" w:csb1="00000000"/>
  </w:font>
  <w:font w:name="MS Sans Serif">
    <w:altName w:val="Arial"/>
    <w:panose1 w:val="00000000000000000000"/>
    <w:charset w:val="00"/>
    <w:family w:val="decorative"/>
    <w:pitch w:val="default"/>
    <w:sig w:usb0="00000000" w:usb1="00000000" w:usb2="00000000" w:usb3="00000000" w:csb0="00000001" w:csb1="00000000"/>
  </w:font>
  <w:font w:name="ˎ̥">
    <w:altName w:val="Times New Roman"/>
    <w:panose1 w:val="00000000000000000000"/>
    <w:charset w:val="00"/>
    <w:family w:val="modern"/>
    <w:pitch w:val="default"/>
    <w:sig w:usb0="00000000" w:usb1="00000000" w:usb2="00000000" w:usb3="00000000" w:csb0="00040001" w:csb1="00000000"/>
  </w:font>
  <w:font w:name="楷体">
    <w:panose1 w:val="02010609060101010101"/>
    <w:charset w:val="86"/>
    <w:family w:val="swiss"/>
    <w:pitch w:val="default"/>
    <w:sig w:usb0="800002BF" w:usb1="38CF7CFA" w:usb2="00000016" w:usb3="00000000" w:csb0="00040001" w:csb1="00000000"/>
  </w:font>
  <w:font w:name="Calibri Light">
    <w:panose1 w:val="020F0302020204030204"/>
    <w:charset w:val="00"/>
    <w:family w:val="roman"/>
    <w:pitch w:val="default"/>
    <w:sig w:usb0="E4002EFF" w:usb1="C000247B" w:usb2="00000009" w:usb3="00000000" w:csb0="200001FF" w:csb1="00000000"/>
  </w:font>
  <w:font w:name="Calibri Light">
    <w:panose1 w:val="020F0302020204030204"/>
    <w:charset w:val="00"/>
    <w:family w:val="modern"/>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libri Light">
    <w:panose1 w:val="020F0302020204030204"/>
    <w:charset w:val="00"/>
    <w:family w:val="decorative"/>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Arial Narrow">
    <w:panose1 w:val="020B0606020202030204"/>
    <w:charset w:val="00"/>
    <w:family w:val="roman"/>
    <w:pitch w:val="default"/>
    <w:sig w:usb0="00000287" w:usb1="00000800" w:usb2="00000000" w:usb3="00000000" w:csb0="2000009F" w:csb1="DFD70000"/>
  </w:font>
  <w:font w:name="inherit">
    <w:altName w:val="Times New Roman"/>
    <w:panose1 w:val="00000000000000000000"/>
    <w:charset w:val="00"/>
    <w:family w:val="swiss"/>
    <w:pitch w:val="default"/>
    <w:sig w:usb0="00000000" w:usb1="00000000" w:usb2="00000000" w:usb3="00000000" w:csb0="00040001" w:csb1="00000000"/>
  </w:font>
  <w:font w:name="宋体-18030">
    <w:altName w:val="宋体"/>
    <w:panose1 w:val="00000000000000000000"/>
    <w:charset w:val="86"/>
    <w:family w:val="decorative"/>
    <w:pitch w:val="default"/>
    <w:sig w:usb0="00000000" w:usb1="00000000" w:usb2="000A005E" w:usb3="00000000" w:csb0="00040001" w:csb1="00000000"/>
  </w:font>
  <w:font w:name="Arial Narrow">
    <w:panose1 w:val="020B0606020202030204"/>
    <w:charset w:val="00"/>
    <w:family w:val="modern"/>
    <w:pitch w:val="default"/>
    <w:sig w:usb0="00000287" w:usb1="00000800" w:usb2="00000000" w:usb3="00000000" w:csb0="2000009F" w:csb1="DFD70000"/>
  </w:font>
  <w:font w:name="inherit">
    <w:altName w:val="Times New Roman"/>
    <w:panose1 w:val="00000000000000000000"/>
    <w:charset w:val="00"/>
    <w:family w:val="decorative"/>
    <w:pitch w:val="default"/>
    <w:sig w:usb0="00000000" w:usb1="00000000" w:usb2="00000000" w:usb3="00000000" w:csb0="00040001" w:csb1="00000000"/>
  </w:font>
  <w:font w:name="宋体-18030">
    <w:altName w:val="宋体"/>
    <w:panose1 w:val="00000000000000000000"/>
    <w:charset w:val="86"/>
    <w:family w:val="roman"/>
    <w:pitch w:val="default"/>
    <w:sig w:usb0="00000000" w:usb1="00000000" w:usb2="000A005E" w:usb3="00000000" w:csb0="00040001" w:csb1="00000000"/>
  </w:font>
  <w:font w:name="Arial Narrow">
    <w:panose1 w:val="020B0606020202030204"/>
    <w:charset w:val="00"/>
    <w:family w:val="swiss"/>
    <w:pitch w:val="default"/>
    <w:sig w:usb0="00000287" w:usb1="000008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 w:name="宋体-18030">
    <w:altName w:val="宋体"/>
    <w:panose1 w:val="00000000000000000000"/>
    <w:charset w:val="86"/>
    <w:family w:val="modern"/>
    <w:pitch w:val="default"/>
    <w:sig w:usb0="00000000" w:usb1="00000000" w:usb2="000A005E" w:usb3="00000000" w:csb0="00040001" w:csb1="00000000"/>
  </w:font>
  <w:font w:name="Arial Narrow">
    <w:panose1 w:val="020B0606020202030204"/>
    <w:charset w:val="00"/>
    <w:family w:val="decorative"/>
    <w:pitch w:val="default"/>
    <w:sig w:usb0="00000287" w:usb1="00000800" w:usb2="00000000" w:usb3="00000000" w:csb0="2000009F" w:csb1="DFD70000"/>
  </w:font>
  <w:font w:name="inherit">
    <w:altName w:val="Times New Roman"/>
    <w:panose1 w:val="00000000000000000000"/>
    <w:charset w:val="00"/>
    <w:family w:val="modern"/>
    <w:pitch w:val="default"/>
    <w:sig w:usb0="00000000" w:usb1="00000000" w:usb2="00000000" w:usb3="00000000" w:csb0="00040001" w:csb1="00000000"/>
  </w:font>
  <w:font w:name="宋体-18030">
    <w:altName w:val="宋体"/>
    <w:panose1 w:val="00000000000000000000"/>
    <w:charset w:val="86"/>
    <w:family w:val="swiss"/>
    <w:pitch w:val="default"/>
    <w:sig w:usb0="00000000" w:usb1="00000000" w:usb2="000A005E" w:usb3="00000000" w:csb0="00040001" w:csb1="00000000"/>
  </w:font>
  <w:font w:name="等线 Light">
    <w:panose1 w:val="02010600030101010101"/>
    <w:charset w:val="86"/>
    <w:family w:val="auto"/>
    <w:pitch w:val="default"/>
    <w:sig w:usb0="A00002BF" w:usb1="38CF7CFA" w:usb2="00000016" w:usb3="00000000" w:csb0="0004000F" w:csb1="00000000"/>
  </w:font>
  <w:font w:name="隶书">
    <w:panose1 w:val="02010509060101010101"/>
    <w:charset w:val="86"/>
    <w:family w:val="decorative"/>
    <w:pitch w:val="default"/>
    <w:sig w:usb0="00000001" w:usb1="080E0000" w:usb2="00000000" w:usb3="00000000" w:csb0="00040000" w:csb1="00000000"/>
  </w:font>
  <w:font w:name="微软雅黑 Light">
    <w:panose1 w:val="020B0502040204020203"/>
    <w:charset w:val="86"/>
    <w:family w:val="roman"/>
    <w:pitch w:val="default"/>
    <w:sig w:usb0="80000287" w:usb1="2ACF0010" w:usb2="00000016" w:usb3="00000000" w:csb0="0004001F" w:csb1="00000000"/>
  </w:font>
  <w:font w:name="隶书">
    <w:panose1 w:val="02010509060101010101"/>
    <w:charset w:val="86"/>
    <w:family w:val="modern"/>
    <w:pitch w:val="default"/>
    <w:sig w:usb0="00000001" w:usb1="080E0000" w:usb2="00000000" w:usb3="00000000" w:csb0="00040000" w:csb1="00000000"/>
  </w:font>
  <w:font w:name="微软雅黑 Light">
    <w:panose1 w:val="020B0502040204020203"/>
    <w:charset w:val="86"/>
    <w:family w:val="swiss"/>
    <w:pitch w:val="default"/>
    <w:sig w:usb0="80000287" w:usb1="2ACF0010" w:usb2="00000016" w:usb3="00000000" w:csb0="0004001F" w:csb1="00000000"/>
  </w:font>
  <w:font w:name="华文宋体">
    <w:panose1 w:val="02010600040101010101"/>
    <w:charset w:val="86"/>
    <w:family w:val="auto"/>
    <w:pitch w:val="default"/>
    <w:sig w:usb0="00000287" w:usb1="080F0000" w:usb2="00000000" w:usb3="00000000" w:csb0="0004009F" w:csb1="DFD70000"/>
  </w:font>
  <w:font w:name="隶书">
    <w:panose1 w:val="02010509060101010101"/>
    <w:charset w:val="86"/>
    <w:family w:val="swiss"/>
    <w:pitch w:val="default"/>
    <w:sig w:usb0="00000001" w:usb1="080E0000" w:usb2="00000000" w:usb3="00000000" w:csb0="00040000" w:csb1="00000000"/>
  </w:font>
  <w:font w:name="微软雅黑 Light">
    <w:panose1 w:val="020B0502040204020203"/>
    <w:charset w:val="86"/>
    <w:family w:val="decorative"/>
    <w:pitch w:val="default"/>
    <w:sig w:usb0="80000287" w:usb1="2ACF0010" w:usb2="00000016" w:usb3="00000000" w:csb0="0004001F" w:csb1="00000000"/>
  </w:font>
  <w:font w:name="Tahoma">
    <w:panose1 w:val="020B0604030504040204"/>
    <w:charset w:val="00"/>
    <w:family w:val="roman"/>
    <w:pitch w:val="default"/>
    <w:sig w:usb0="E1002EFF" w:usb1="C000605B" w:usb2="00000029" w:usb3="00000000" w:csb0="200101FF" w:csb1="20280000"/>
  </w:font>
  <w:font w:name="-apple-system-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Segoe Print"/>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auto"/>
    <w:pitch w:val="default"/>
    <w:sig w:usb0="00000000" w:usb1="00000000" w:usb2="00000000" w:usb3="00000000" w:csb0="00040000" w:csb1="00000000"/>
  </w:font>
  <w:font w:name="方正小标宋_GBK">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隶书">
    <w:panose1 w:val="02010509060101010101"/>
    <w:charset w:val="86"/>
    <w:family w:val="roma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modern"/>
    <w:pitch w:val="default"/>
    <w:sig w:usb0="E1002EFF" w:usb1="C000605B" w:usb2="00000029" w:usb3="00000000" w:csb0="200101FF" w:csb1="20280000"/>
  </w:font>
  <w:font w:name="Tahoma">
    <w:panose1 w:val="020B0604030504040204"/>
    <w:charset w:val="00"/>
    <w:family w:val="swiss"/>
    <w:pitch w:val="default"/>
    <w:sig w:usb0="E1002EFF" w:usb1="C000605B" w:usb2="00000029" w:usb3="00000000" w:csb0="200101FF" w:csb1="20280000"/>
  </w:font>
  <w:font w:name="Tahoma">
    <w:panose1 w:val="020B0604030504040204"/>
    <w:charset w:val="00"/>
    <w:family w:val="decorative"/>
    <w:pitch w:val="default"/>
    <w:sig w:usb0="E1002EFF" w:usb1="C000605B" w:usb2="00000029" w:usb3="00000000" w:csb0="200101FF" w:csb1="20280000"/>
  </w:font>
  <w:font w:name="Lucida Sans Unicode">
    <w:panose1 w:val="020B0602030504020204"/>
    <w:charset w:val="00"/>
    <w:family w:val="modern"/>
    <w:pitch w:val="default"/>
    <w:sig w:usb0="80001AFF" w:usb1="0000396B" w:usb2="00000000" w:usb3="00000000" w:csb0="200000BF" w:csb1="D7F70000"/>
  </w:font>
  <w:font w:name="Lucida Sans Unicode">
    <w:panose1 w:val="020B0602030504020204"/>
    <w:charset w:val="00"/>
    <w:family w:val="swiss"/>
    <w:pitch w:val="default"/>
    <w:sig w:usb0="80001AFF" w:usb1="0000396B" w:usb2="00000000" w:usb3="00000000" w:csb0="200000BF" w:csb1="D7F70000"/>
  </w:font>
  <w:font w:name="Lucida Sans Unicode">
    <w:panose1 w:val="020B0602030504020204"/>
    <w:charset w:val="00"/>
    <w:family w:val="decorative"/>
    <w:pitch w:val="default"/>
    <w:sig w:usb0="80001AFF" w:usb1="0000396B" w:usb2="00000000" w:usb3="00000000" w:csb0="200000BF" w:csb1="D7F70000"/>
  </w:font>
  <w:font w:name="Lucida Sans Unicode">
    <w:panose1 w:val="020B0602030504020204"/>
    <w:charset w:val="00"/>
    <w:family w:val="roman"/>
    <w:pitch w:val="default"/>
    <w:sig w:usb0="80001AFF" w:usb1="0000396B" w:usb2="00000000" w:usb3="00000000" w:csb0="200000BF" w:csb1="D7F70000"/>
  </w:font>
  <w:font w:name="PingFang SC">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Menlo">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Microsoft YaHei UI">
    <w:panose1 w:val="020B0503020204020204"/>
    <w:charset w:val="86"/>
    <w:family w:val="modern"/>
    <w:pitch w:val="default"/>
    <w:sig w:usb0="80000287" w:usb1="2ACF3C50" w:usb2="00000016" w:usb3="00000000" w:csb0="0004001F" w:csb1="00000000"/>
  </w:font>
  <w:font w:name="Verdana">
    <w:panose1 w:val="020B0604030504040204"/>
    <w:charset w:val="00"/>
    <w:family w:val="modern"/>
    <w:pitch w:val="default"/>
    <w:sig w:usb0="A00006FF" w:usb1="4000205B" w:usb2="00000010" w:usb3="00000000" w:csb0="2000019F" w:csb1="00000000"/>
  </w:font>
  <w:font w:name="Arial Unicode MS">
    <w:panose1 w:val="020B0604020202020204"/>
    <w:charset w:val="86"/>
    <w:family w:val="modern"/>
    <w:pitch w:val="default"/>
    <w:sig w:usb0="FFFFFFFF" w:usb1="E9FFFFFF" w:usb2="0000003F" w:usb3="00000000" w:csb0="603F01FF" w:csb1="FFFF0000"/>
  </w:font>
  <w:font w:name="Century Gothic">
    <w:panose1 w:val="020B0502020202020204"/>
    <w:charset w:val="00"/>
    <w:family w:val="modern"/>
    <w:pitch w:val="default"/>
    <w:sig w:usb0="00000287" w:usb1="00000000" w:usb2="00000000" w:usb3="00000000" w:csb0="2000009F" w:csb1="DFD70000"/>
  </w:font>
  <w:font w:name="Frutiger 55 Roman">
    <w:altName w:val="Courier New"/>
    <w:panose1 w:val="00000000000000000000"/>
    <w:charset w:val="00"/>
    <w:family w:val="auto"/>
    <w:pitch w:val="default"/>
    <w:sig w:usb0="00000000" w:usb1="00000000" w:usb2="00000000" w:usb3="00000000" w:csb0="00000001" w:csb1="00000000"/>
  </w:font>
  <w:font w:name="Helvetica-Black">
    <w:altName w:val="Arial"/>
    <w:panose1 w:val="00000000000000000000"/>
    <w:charset w:val="00"/>
    <w:family w:val="modern"/>
    <w:pitch w:val="default"/>
    <w:sig w:usb0="00000000" w:usb1="00000000" w:usb2="00000000" w:usb3="00000000" w:csb0="00000001" w:csb1="00000000"/>
  </w:font>
  <w:font w:name="新宋体">
    <w:panose1 w:val="02010609030101010101"/>
    <w:charset w:val="86"/>
    <w:family w:val="roman"/>
    <w:pitch w:val="default"/>
    <w:sig w:usb0="0000028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Century Gothic">
    <w:panose1 w:val="020B0502020202020204"/>
    <w:charset w:val="00"/>
    <w:family w:val="swiss"/>
    <w:pitch w:val="default"/>
    <w:sig w:usb0="00000287" w:usb1="00000000" w:usb2="00000000" w:usb3="00000000" w:csb0="2000009F" w:csb1="DFD70000"/>
  </w:font>
  <w:font w:name="Helvetica-Black">
    <w:altName w:val="Arial"/>
    <w:panose1 w:val="00000000000000000000"/>
    <w:charset w:val="00"/>
    <w:family w:val="swiss"/>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Microsoft YaHei UI">
    <w:panose1 w:val="020B0503020204020204"/>
    <w:charset w:val="86"/>
    <w:family w:val="decorative"/>
    <w:pitch w:val="default"/>
    <w:sig w:usb0="80000287" w:usb1="2ACF3C50" w:usb2="00000016" w:usb3="00000000" w:csb0="0004001F" w:csb1="00000000"/>
  </w:font>
  <w:font w:name="Verdana">
    <w:panose1 w:val="020B0604030504040204"/>
    <w:charset w:val="00"/>
    <w:family w:val="decorative"/>
    <w:pitch w:val="default"/>
    <w:sig w:usb0="A00006FF" w:usb1="4000205B" w:usb2="00000010" w:usb3="00000000" w:csb0="2000019F" w:csb1="00000000"/>
  </w:font>
  <w:font w:name="Arial Unicode MS">
    <w:panose1 w:val="020B0604020202020204"/>
    <w:charset w:val="86"/>
    <w:family w:val="decorative"/>
    <w:pitch w:val="default"/>
    <w:sig w:usb0="FFFFFFFF" w:usb1="E9FFFFFF" w:usb2="0000003F" w:usb3="00000000" w:csb0="603F01FF" w:csb1="FFFF0000"/>
  </w:font>
  <w:font w:name="Century Gothic">
    <w:panose1 w:val="020B0502020202020204"/>
    <w:charset w:val="00"/>
    <w:family w:val="decorative"/>
    <w:pitch w:val="default"/>
    <w:sig w:usb0="00000287" w:usb1="00000000" w:usb2="00000000" w:usb3="00000000" w:csb0="2000009F" w:csb1="DFD70000"/>
  </w:font>
  <w:font w:name="Helvetica-Black">
    <w:altName w:val="Arial"/>
    <w:panose1 w:val="00000000000000000000"/>
    <w:charset w:val="00"/>
    <w:family w:val="decorative"/>
    <w:pitch w:val="default"/>
    <w:sig w:usb0="00000000" w:usb1="00000000" w:usb2="00000000" w:usb3="00000000" w:csb0="00000001" w:csb1="00000000"/>
  </w:font>
  <w:font w:name="新宋体">
    <w:panose1 w:val="02010609030101010101"/>
    <w:charset w:val="86"/>
    <w:family w:val="swiss"/>
    <w:pitch w:val="default"/>
    <w:sig w:usb0="00000283" w:usb1="288F0000" w:usb2="00000006" w:usb3="00000000" w:csb0="00040001" w:csb1="00000000"/>
  </w:font>
  <w:font w:name="Microsoft YaHei UI">
    <w:panose1 w:val="020B0503020204020204"/>
    <w:charset w:val="86"/>
    <w:family w:val="roman"/>
    <w:pitch w:val="default"/>
    <w:sig w:usb0="80000287" w:usb1="2ACF3C50" w:usb2="00000016" w:usb3="00000000" w:csb0="0004001F" w:csb1="00000000"/>
  </w:font>
  <w:font w:name="Verdana">
    <w:panose1 w:val="020B0604030504040204"/>
    <w:charset w:val="00"/>
    <w:family w:val="roman"/>
    <w:pitch w:val="default"/>
    <w:sig w:usb0="A00006FF" w:usb1="4000205B" w:usb2="00000010" w:usb3="00000000" w:csb0="2000019F" w:csb1="00000000"/>
  </w:font>
  <w:font w:name="Arial Unicode MS">
    <w:panose1 w:val="020B0604020202020204"/>
    <w:charset w:val="86"/>
    <w:family w:val="roman"/>
    <w:pitch w:val="default"/>
    <w:sig w:usb0="FFFFFFFF" w:usb1="E9FFFFFF" w:usb2="0000003F" w:usb3="00000000" w:csb0="603F01FF" w:csb1="FFFF0000"/>
  </w:font>
  <w:font w:name="Century Gothic">
    <w:panose1 w:val="020B0502020202020204"/>
    <w:charset w:val="00"/>
    <w:family w:val="roman"/>
    <w:pitch w:val="default"/>
    <w:sig w:usb0="00000287" w:usb1="00000000" w:usb2="00000000" w:usb3="00000000" w:csb0="2000009F" w:csb1="DFD70000"/>
  </w:font>
  <w:font w:name="Helvetica-Black">
    <w:altName w:val="Arial"/>
    <w:panose1 w:val="00000000000000000000"/>
    <w:charset w:val="00"/>
    <w:family w:val="roman"/>
    <w:pitch w:val="default"/>
    <w:sig w:usb0="00000000" w:usb1="00000000" w:usb2="00000000" w:usb3="00000000" w:csb0="00000001" w:csb1="00000000"/>
  </w:font>
  <w:font w:name="新宋体">
    <w:panose1 w:val="02010609030101010101"/>
    <w:charset w:val="86"/>
    <w:family w:val="decorative"/>
    <w:pitch w:val="default"/>
    <w:sig w:usb0="0000028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Microsoft YaHei UI">
    <w:panose1 w:val="020B0503020204020204"/>
    <w:charset w:val="86"/>
    <w:family w:val="script"/>
    <w:pitch w:val="default"/>
    <w:sig w:usb0="80000287" w:usb1="2ACF3C50" w:usb2="00000016" w:usb3="00000000" w:csb0="0004001F" w:csb1="00000000"/>
  </w:font>
  <w:font w:name="楷体_GB2312">
    <w:altName w:val="楷体"/>
    <w:panose1 w:val="00000000000000000000"/>
    <w:charset w:val="86"/>
    <w:family w:val="swiss"/>
    <w:pitch w:val="default"/>
    <w:sig w:usb0="00000000" w:usb1="00000000" w:usb2="00000010" w:usb3="00000000" w:csb0="00040000" w:csb1="00000000"/>
  </w:font>
  <w:font w:name="楷体_GB2312">
    <w:altName w:val="楷体"/>
    <w:panose1 w:val="00000000000000000000"/>
    <w:charset w:val="86"/>
    <w:family w:val="decorative"/>
    <w:pitch w:val="default"/>
    <w:sig w:usb0="00000000" w:usb1="00000000" w:usb2="00000010" w:usb3="00000000" w:csb0="00040000" w:csb1="00000000"/>
  </w:font>
  <w:font w:name="楷体_GB2312">
    <w:altName w:val="楷体"/>
    <w:panose1 w:val="00000000000000000000"/>
    <w:charset w:val="86"/>
    <w:family w:val="roman"/>
    <w:pitch w:val="default"/>
    <w:sig w:usb0="00000000" w:usb1="00000000" w:usb2="00000010" w:usb3="00000000" w:csb0="00040000" w:csb1="00000000"/>
  </w:font>
  <w:font w:name="楷体_GB2312">
    <w:altName w:val="楷体"/>
    <w:panose1 w:val="02010609030101010101"/>
    <w:charset w:val="86"/>
    <w:family w:val="decorative"/>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roma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swiss"/>
    <w:pitch w:val="default"/>
    <w:sig w:usb0="00000000" w:usb1="00000000" w:usb2="00000010" w:usb3="00000000" w:csb0="00040000" w:csb1="0000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MS Gothic">
    <w:panose1 w:val="020B0609070205080204"/>
    <w:charset w:val="80"/>
    <w:family w:val="roman"/>
    <w:pitch w:val="default"/>
    <w:sig w:usb0="E00002FF" w:usb1="6AC7FDFB" w:usb2="08000012" w:usb3="00000000" w:csb0="4002009F" w:csb1="DFD70000"/>
  </w:font>
  <w:font w:name="Batang">
    <w:altName w:val="Malgun Gothic"/>
    <w:panose1 w:val="02030600000101010101"/>
    <w:charset w:val="81"/>
    <w:family w:val="decorative"/>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Malgun Gothic">
    <w:panose1 w:val="020B0503020000020004"/>
    <w:charset w:val="81"/>
    <w:family w:val="decorative"/>
    <w:pitch w:val="default"/>
    <w:sig w:usb0="9000002F" w:usb1="29D77CFB" w:usb2="00000012" w:usb3="00000000" w:csb0="00080001"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roman"/>
    <w:pitch w:val="default"/>
    <w:sig w:usb0="9000002F" w:usb1="29D77CFB" w:usb2="00000012" w:usb3="00000000" w:csb0="00080001" w:csb1="00000000"/>
  </w:font>
  <w:font w:name="DejaVu Sans">
    <w:altName w:val="Times New Roman"/>
    <w:panose1 w:val="02020603050405020304"/>
    <w:charset w:val="00"/>
    <w:family w:val="roman"/>
    <w:pitch w:val="default"/>
    <w:sig w:usb0="00000000" w:usb1="00000000" w:usb2="00000008" w:usb3="00000000" w:csb0="000001FF" w:csb1="00000000"/>
  </w:font>
  <w:font w:name="方正书宋_GBK">
    <w:altName w:val="Arial Unicode MS"/>
    <w:panose1 w:val="02000000000000000000"/>
    <w:charset w:val="86"/>
    <w:family w:val="auto"/>
    <w:pitch w:val="default"/>
    <w:sig w:usb0="00000000" w:usb1="00000000" w:usb2="00000000" w:usb3="00000000" w:csb0="00040000" w:csb1="00000000"/>
  </w:font>
  <w:font w:name="方正黑体_GBK">
    <w:altName w:val="Arial Unicode MS"/>
    <w:panose1 w:val="02000000000000000000"/>
    <w:charset w:val="00"/>
    <w:family w:val="auto"/>
    <w:pitch w:val="default"/>
    <w:sig w:usb0="00000000" w:usb1="00000000" w:usb2="00000000" w:usb3="00000000" w:csb0="00040000" w:csb1="00000000"/>
  </w:font>
  <w:font w:name="苹方-简">
    <w:altName w:val="宋体"/>
    <w:panose1 w:val="020B0400000000000000"/>
    <w:charset w:val="86"/>
    <w:family w:val="auto"/>
    <w:pitch w:val="default"/>
    <w:sig w:usb0="00000000" w:usb1="00000000" w:usb2="00000017" w:usb3="00000000" w:csb0="00040001" w:csb1="00000000"/>
  </w:font>
  <w:font w:name="汉仪书宋二KW">
    <w:altName w:val="宋体"/>
    <w:panose1 w:val="00020600040101010101"/>
    <w:charset w:val="86"/>
    <w:family w:val="auto"/>
    <w:pitch w:val="default"/>
    <w:sig w:usb0="00000000" w:usb1="00000000" w:usb2="00000016"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Helvetica Neue">
    <w:altName w:val="Corbel"/>
    <w:panose1 w:val="02000503000000020004"/>
    <w:charset w:val="00"/>
    <w:family w:val="auto"/>
    <w:pitch w:val="default"/>
    <w:sig w:usb0="00000000" w:usb1="00000000" w:usb2="00000010" w:usb3="00000000" w:csb0="00000000" w:csb1="00000000"/>
  </w:font>
  <w:font w:name="Corbel">
    <w:panose1 w:val="020B0503020204020204"/>
    <w:charset w:val="00"/>
    <w:family w:val="auto"/>
    <w:pitch w:val="default"/>
    <w:sig w:usb0="A00002EF" w:usb1="4000A44B" w:usb2="00000000" w:usb3="00000000" w:csb0="2000019F" w:csb1="00000000"/>
  </w:font>
  <w:font w:name="Batang">
    <w:altName w:val="Malgun Gothic"/>
    <w:panose1 w:val="02030600000101010101"/>
    <w:charset w:val="81"/>
    <w:family w:val="modern"/>
    <w:pitch w:val="default"/>
    <w:sig w:usb0="00000000" w:usb1="00000000" w:usb2="00000030" w:usb3="00000000" w:csb0="0008009F" w:csb1="00000000"/>
  </w:font>
  <w:font w:name="Malgun Gothic">
    <w:panose1 w:val="020B0503020000020004"/>
    <w:charset w:val="81"/>
    <w:family w:val="modern"/>
    <w:pitch w:val="default"/>
    <w:sig w:usb0="9000002F" w:usb1="29D77CFB" w:usb2="00000012" w:usb3="00000000" w:csb0="00080001" w:csb1="00000000"/>
  </w:font>
  <w:font w:name="DejaVu Sans">
    <w:altName w:val="Times New Roman"/>
    <w:panose1 w:val="02020603050405020304"/>
    <w:charset w:val="00"/>
    <w:family w:val="modern"/>
    <w:pitch w:val="default"/>
    <w:sig w:usb0="00000000" w:usb1="00000000" w:usb2="00000008" w:usb3="00000000" w:csb0="000001FF" w:csb1="00000000"/>
  </w:font>
  <w:font w:name="Batang">
    <w:altName w:val="Malgun Gothic"/>
    <w:panose1 w:val="02030600000101010101"/>
    <w:charset w:val="81"/>
    <w:family w:val="swiss"/>
    <w:pitch w:val="default"/>
    <w:sig w:usb0="00000000" w:usb1="00000000" w:usb2="00000030" w:usb3="00000000" w:csb0="0008009F" w:csb1="00000000"/>
  </w:font>
  <w:font w:name="Malgun Gothic">
    <w:panose1 w:val="020B0503020000020004"/>
    <w:charset w:val="81"/>
    <w:family w:val="swiss"/>
    <w:pitch w:val="default"/>
    <w:sig w:usb0="9000002F" w:usb1="29D77CFB" w:usb2="00000012" w:usb3="00000000" w:csb0="00080001" w:csb1="00000000"/>
  </w:font>
  <w:font w:name="DejaVu Sans">
    <w:altName w:val="Times New Roman"/>
    <w:panose1 w:val="02020603050405020304"/>
    <w:charset w:val="00"/>
    <w:family w:val="swiss"/>
    <w:pitch w:val="default"/>
    <w:sig w:usb0="00000000" w:usb1="00000000" w:usb2="00000008" w:usb3="00000000" w:csb0="000001FF" w:csb1="00000000"/>
  </w:font>
  <w:font w:name="DejaVu Sans">
    <w:altName w:val="Times New Roman"/>
    <w:panose1 w:val="02020603050405020304"/>
    <w:charset w:val="00"/>
    <w:family w:val="decorative"/>
    <w:pitch w:val="default"/>
    <w:sig w:usb0="00000000" w:usb1="00000000" w:usb2="00000008" w:usb3="00000000" w:csb0="000001FF" w:csb1="00000000"/>
  </w:font>
  <w:font w:name="MS Gothic">
    <w:panose1 w:val="020B0609070205080204"/>
    <w:charset w:val="80"/>
    <w:family w:val="modern"/>
    <w:pitch w:val="default"/>
    <w:sig w:usb0="E00002FF" w:usb1="6AC7FDFB" w:usb2="08000012" w:usb3="00000000" w:csb0="4002009F" w:csb1="DFD70000"/>
  </w:font>
  <w:font w:name="MS Gothic">
    <w:panose1 w:val="020B0609070205080204"/>
    <w:charset w:val="80"/>
    <w:family w:val="swiss"/>
    <w:pitch w:val="default"/>
    <w:sig w:usb0="E00002FF" w:usb1="6AC7FDFB" w:usb2="08000012" w:usb3="00000000" w:csb0="4002009F" w:csb1="DFD70000"/>
  </w:font>
  <w:font w:name="MS Gothic">
    <w:panose1 w:val="020B0609070205080204"/>
    <w:charset w:val="80"/>
    <w:family w:val="decorative"/>
    <w:pitch w:val="default"/>
    <w:sig w:usb0="E00002FF" w:usb1="6AC7FDFB" w:usb2="08000012" w:usb3="00000000" w:csb0="4002009F" w:csb1="DFD70000"/>
  </w:font>
  <w:font w:name="微软雅黑 Light">
    <w:panose1 w:val="020B0502040204020203"/>
    <w:charset w:val="86"/>
    <w:family w:val="modern"/>
    <w:pitch w:val="default"/>
    <w:sig w:usb0="80000287" w:usb1="2ACF0010" w:usb2="00000016" w:usb3="00000000" w:csb0="0004001F" w:csb1="00000000"/>
  </w:font>
  <w:font w:name="Garamond">
    <w:panose1 w:val="02020404030301010803"/>
    <w:charset w:val="00"/>
    <w:family w:val="swiss"/>
    <w:pitch w:val="default"/>
    <w:sig w:usb0="00000287" w:usb1="00000000" w:usb2="00000000" w:usb3="00000000" w:csb0="0000009F" w:csb1="DFD70000"/>
  </w:font>
  <w:font w:name="Helv">
    <w:altName w:val="Segoe Print"/>
    <w:panose1 w:val="020B0604020202030204"/>
    <w:charset w:val="00"/>
    <w:family w:val="roman"/>
    <w:pitch w:val="default"/>
    <w:sig w:usb0="00000000" w:usb1="00000000" w:usb2="00000000" w:usb3="00000000" w:csb0="00000001" w:csb1="00000000"/>
  </w:font>
  <w:font w:name="Century">
    <w:panose1 w:val="02040604050505020304"/>
    <w:charset w:val="00"/>
    <w:family w:val="swiss"/>
    <w:pitch w:val="default"/>
    <w:sig w:usb0="00000287" w:usb1="00000000" w:usb2="00000000" w:usb3="00000000" w:csb0="2000009F" w:csb1="DFD70000"/>
  </w:font>
  <w:font w:name="B Frutiger Bold">
    <w:altName w:val="Impact"/>
    <w:panose1 w:val="00000000000000000000"/>
    <w:charset w:val="00"/>
    <w:family w:val="auto"/>
    <w:pitch w:val="default"/>
    <w:sig w:usb0="00000000" w:usb1="0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Garamond">
    <w:panose1 w:val="02020404030301010803"/>
    <w:charset w:val="00"/>
    <w:family w:val="decorative"/>
    <w:pitch w:val="default"/>
    <w:sig w:usb0="00000287" w:usb1="00000000" w:usb2="00000000" w:usb3="00000000" w:csb0="0000009F" w:csb1="DFD70000"/>
  </w:font>
  <w:font w:name="Helv">
    <w:altName w:val="Segoe Print"/>
    <w:panose1 w:val="020B0604020202030204"/>
    <w:charset w:val="00"/>
    <w:family w:val="modern"/>
    <w:pitch w:val="default"/>
    <w:sig w:usb0="00000000" w:usb1="00000000" w:usb2="00000000" w:usb3="00000000" w:csb0="00000001" w:csb1="00000000"/>
  </w:font>
  <w:font w:name="Century">
    <w:panose1 w:val="02040604050505020304"/>
    <w:charset w:val="00"/>
    <w:family w:val="decorative"/>
    <w:pitch w:val="default"/>
    <w:sig w:usb0="00000287" w:usb1="00000000" w:usb2="00000000" w:usb3="00000000" w:csb0="2000009F" w:csb1="DFD70000"/>
  </w:font>
  <w:font w:name="Garamond">
    <w:panose1 w:val="02020404030301010803"/>
    <w:charset w:val="00"/>
    <w:family w:val="roman"/>
    <w:pitch w:val="default"/>
    <w:sig w:usb0="00000287" w:usb1="00000000" w:usb2="00000000" w:usb3="00000000" w:csb0="0000009F" w:csb1="DFD70000"/>
  </w:font>
  <w:font w:name="Helv">
    <w:altName w:val="Segoe Print"/>
    <w:panose1 w:val="020B0604020202030204"/>
    <w:charset w:val="00"/>
    <w:family w:val="swiss"/>
    <w:pitch w:val="default"/>
    <w:sig w:usb0="00000000" w:usb1="00000000" w:usb2="00000000" w:usb3="00000000" w:csb0="00000001" w:csb1="00000000"/>
  </w:font>
  <w:font w:name="Century">
    <w:panose1 w:val="02040604050505020304"/>
    <w:charset w:val="00"/>
    <w:family w:val="roman"/>
    <w:pitch w:val="default"/>
    <w:sig w:usb0="00000287" w:usb1="00000000" w:usb2="00000000" w:usb3="00000000" w:csb0="2000009F" w:csb1="DFD70000"/>
  </w:font>
  <w:font w:name="Garamond">
    <w:panose1 w:val="02020404030301010803"/>
    <w:charset w:val="00"/>
    <w:family w:val="modern"/>
    <w:pitch w:val="default"/>
    <w:sig w:usb0="00000287" w:usb1="00000000" w:usb2="00000000" w:usb3="00000000" w:csb0="0000009F" w:csb1="DFD70000"/>
  </w:font>
  <w:font w:name="Helv">
    <w:altName w:val="Segoe Print"/>
    <w:panose1 w:val="020B0604020202030204"/>
    <w:charset w:val="00"/>
    <w:family w:val="decorative"/>
    <w:pitch w:val="default"/>
    <w:sig w:usb0="00000000" w:usb1="00000000" w:usb2="00000000" w:usb3="00000000" w:csb0="00000001" w:csb1="00000000"/>
  </w:font>
  <w:font w:name="Century">
    <w:panose1 w:val="02040604050505020304"/>
    <w:charset w:val="00"/>
    <w:family w:val="modern"/>
    <w:pitch w:val="default"/>
    <w:sig w:usb0="00000287" w:usb1="00000000" w:usb2="00000000" w:usb3="00000000" w:csb0="2000009F" w:csb1="DFD70000"/>
  </w:font>
  <w:font w:name="昆仑楷体">
    <w:altName w:val="宋体"/>
    <w:panose1 w:val="00000000000000000000"/>
    <w:charset w:val="86"/>
    <w:family w:val="swiss"/>
    <w:pitch w:val="default"/>
    <w:sig w:usb0="00000000" w:usb1="00000000" w:usb2="00000010" w:usb3="00000000" w:csb0="00040000" w:csb1="00000000"/>
  </w:font>
  <w:font w:name="CESI黑体-GB2312">
    <w:altName w:val="黑体"/>
    <w:panose1 w:val="00000000000000000000"/>
    <w:charset w:val="86"/>
    <w:family w:val="auto"/>
    <w:pitch w:val="default"/>
    <w:sig w:usb0="00000000" w:usb1="00000000" w:usb2="00000012" w:usb3="00000000" w:csb0="0004000F" w:csb1="00000000"/>
  </w:font>
  <w:font w:name="Lucida Sans">
    <w:panose1 w:val="020B0602030504020204"/>
    <w:charset w:val="00"/>
    <w:family w:val="roman"/>
    <w:pitch w:val="default"/>
    <w:sig w:usb0="00000003" w:usb1="00000000" w:usb2="00000000" w:usb3="00000000" w:csb0="20000001" w:csb1="00000000"/>
  </w:font>
  <w:font w:name="Segoe UI Symbol">
    <w:panose1 w:val="020B0502040204020203"/>
    <w:charset w:val="00"/>
    <w:family w:val="swiss"/>
    <w:pitch w:val="default"/>
    <w:sig w:usb0="800001E3" w:usb1="1200FFEF" w:usb2="00040000" w:usb3="04000000" w:csb0="00000001" w:csb1="40000000"/>
  </w:font>
  <w:font w:name="昆仑楷体">
    <w:altName w:val="宋体"/>
    <w:panose1 w:val="00000000000000000000"/>
    <w:charset w:val="86"/>
    <w:family w:val="decorative"/>
    <w:pitch w:val="default"/>
    <w:sig w:usb0="00000000" w:usb1="00000000" w:usb2="00000010" w:usb3="00000000" w:csb0="00040000" w:csb1="00000000"/>
  </w:font>
  <w:font w:name="Lucida Sans">
    <w:panose1 w:val="020B0602030504020204"/>
    <w:charset w:val="00"/>
    <w:family w:val="modern"/>
    <w:pitch w:val="default"/>
    <w:sig w:usb0="00000003" w:usb1="00000000" w:usb2="00000000" w:usb3="00000000" w:csb0="20000001" w:csb1="00000000"/>
  </w:font>
  <w:font w:name="Segoe UI Symbol">
    <w:panose1 w:val="020B0502040204020203"/>
    <w:charset w:val="00"/>
    <w:family w:val="decorative"/>
    <w:pitch w:val="default"/>
    <w:sig w:usb0="800001E3" w:usb1="1200FFEF" w:usb2="00040000" w:usb3="04000000" w:csb0="00000001" w:csb1="40000000"/>
  </w:font>
  <w:font w:name="昆仑楷体">
    <w:altName w:val="宋体"/>
    <w:panose1 w:val="00000000000000000000"/>
    <w:charset w:val="86"/>
    <w:family w:val="roma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Segoe UI Symbol">
    <w:panose1 w:val="020B0502040204020203"/>
    <w:charset w:val="00"/>
    <w:family w:val="roman"/>
    <w:pitch w:val="default"/>
    <w:sig w:usb0="800001E3" w:usb1="1200FFEF" w:usb2="00040000" w:usb3="04000000" w:csb0="00000001" w:csb1="40000000"/>
  </w:font>
  <w:font w:name="昆仑楷体">
    <w:altName w:val="宋体"/>
    <w:panose1 w:val="00000000000000000000"/>
    <w:charset w:val="86"/>
    <w:family w:val="modern"/>
    <w:pitch w:val="default"/>
    <w:sig w:usb0="00000000" w:usb1="00000000" w:usb2="00000010" w:usb3="00000000" w:csb0="00040000" w:csb1="00000000"/>
  </w:font>
  <w:font w:name="Lucida Sans">
    <w:panose1 w:val="020B0602030504020204"/>
    <w:charset w:val="00"/>
    <w:family w:val="decorative"/>
    <w:pitch w:val="default"/>
    <w:sig w:usb0="00000003" w:usb1="00000000" w:usb2="00000000" w:usb3="00000000" w:csb0="20000001" w:csb1="00000000"/>
  </w:font>
  <w:font w:name="Segoe UI Symbol">
    <w:panose1 w:val="020B0502040204020203"/>
    <w:charset w:val="00"/>
    <w:family w:val="modern"/>
    <w:pitch w:val="default"/>
    <w:sig w:usb0="800001E3" w:usb1="1200FFEF" w:usb2="00040000" w:usb3="04000000" w:csb0="00000001" w:csb1="40000000"/>
  </w:font>
  <w:font w:name="Monospaced Number">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3"/>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13</w:t>
                          </w:r>
                          <w:r>
                            <w:rPr>
                              <w:rFonts w:hint="eastAsia"/>
                              <w:sz w:val="18"/>
                            </w:rP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DPi91E0AAAAAIBAAAPAAAA&#10;AAAAAAEAIAAAACIAAABkcnMvZG93bnJldi54bWxQSwECFAAUAAAACACHTuJAp2gSxKsBAAA8AwAA&#10;DgAAAAAAAAABACAAAAAfAQAAZHJzL2Uyb0RvYy54bWxQSwUGAAAAAAYABgBZAQAAPAU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13</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0.35pt;width:4.55pt;mso-position-horizontal:center;mso-position-horizontal-relative:margin;mso-wrap-style:none;z-index:251661312;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z4vdRNAAAAACAQAADwAA&#10;AAAAAAABACAAAAAiAAAAZHJzL2Rvd25yZXYueG1sUEsBAhQAFAAAAAgAh07iQJ8IWdasAQAAPAMA&#10;AA4AAAAAAAAAAQAgAAAAHwEAAGRycy9lMm9Eb2MueG1sUEsFBgAAAAAGAAYAWQEAAD0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2"/>
      <w:tabs>
        <w:tab w:val="clear" w:pos="567"/>
      </w:tabs>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3862070</wp:posOffset>
              </wp:positionH>
              <wp:positionV relativeFrom="page">
                <wp:posOffset>9987280</wp:posOffset>
              </wp:positionV>
              <wp:extent cx="195580" cy="15875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95580" cy="158750"/>
                      </a:xfrm>
                      <a:prstGeom prst="rect">
                        <a:avLst/>
                      </a:prstGeom>
                      <a:noFill/>
                      <a:ln w="9525">
                        <a:noFill/>
                        <a:miter/>
                      </a:ln>
                    </wps:spPr>
                    <wps:txbx>
                      <w:txbxContent>
                        <w:p>
                          <w:pPr>
                            <w:spacing w:before="13"/>
                            <w:ind w:left="40" w:right="0" w:firstLine="0"/>
                            <w:jc w:val="left"/>
                            <w:rPr>
                              <w:rFonts w:ascii="Lucida Sans"/>
                              <w:sz w:val="18"/>
                            </w:rPr>
                          </w:pPr>
                          <w:r>
                            <w:fldChar w:fldCharType="begin"/>
                          </w:r>
                          <w:r>
                            <w:rPr>
                              <w:rFonts w:ascii="Lucida Sans"/>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left:304.1pt;margin-top:786.4pt;height:12.5pt;width:15.4pt;mso-position-horizontal-relative:page;mso-position-vertical-relative:page;z-index:-251654144;mso-width-relative:page;mso-height-relative:page;" filled="f" stroked="f" coordsize="21600,21600" o:gfxdata="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dv7R92gAA&#10;AA0BAAAPAAAAAAAAAAEAIAAAACIAAABkcnMvZG93bnJldi54bWxQSwECFAAUAAAACACHTuJAnfGx&#10;LKoBAAA2AwAADgAAAAAAAAABACAAAAApAQAAZHJzL2Uyb0RvYy54bWxQSwUGAAAAAAYABgBZAQAA&#10;RQUAAAAA&#10;">
              <v:fill on="f" focussize="0,0"/>
              <v:stroke on="f" joinstyle="miter"/>
              <v:imagedata o:title=""/>
              <o:lock v:ext="edit" aspectratio="f"/>
              <v:textbox inset="0mm,0mm,0mm,0mm">
                <w:txbxContent>
                  <w:p>
                    <w:pPr>
                      <w:spacing w:before="13"/>
                      <w:ind w:left="40" w:right="0" w:firstLine="0"/>
                      <w:jc w:val="left"/>
                      <w:rPr>
                        <w:rFonts w:ascii="Lucida Sans"/>
                        <w:sz w:val="18"/>
                      </w:rPr>
                    </w:pPr>
                    <w:r>
                      <w:fldChar w:fldCharType="begin"/>
                    </w:r>
                    <w:r>
                      <w:rPr>
                        <w:rFonts w:ascii="Lucida Sans"/>
                        <w:sz w:val="18"/>
                      </w:rPr>
                      <w:instrText xml:space="preserve"> PAGE </w:instrText>
                    </w:r>
                    <w:r>
                      <w:fldChar w:fldCharType="separate"/>
                    </w:r>
                    <w:r>
                      <w:t>10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xAlign="right" w:y="1"/>
      <w:rPr>
        <w:rStyle w:val="46"/>
      </w:rPr>
    </w:pPr>
    <w:r>
      <w:fldChar w:fldCharType="begin"/>
    </w:r>
    <w:r>
      <w:rPr>
        <w:rStyle w:val="46"/>
      </w:rPr>
      <w:instrText xml:space="preserve">PAGE  </w:instrText>
    </w:r>
    <w:r>
      <w:fldChar w:fldCharType="separate"/>
    </w:r>
    <w:r>
      <w:rPr>
        <w:rStyle w:val="46"/>
      </w:rPr>
      <w:t>1</w:t>
    </w:r>
    <w:r>
      <w:fldChar w:fldCharType="end"/>
    </w:r>
  </w:p>
  <w:p>
    <w:pPr>
      <w:pStyle w:val="30"/>
      <w:ind w:right="360"/>
    </w:pPr>
  </w:p>
  <w: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xAlign="right" w:y="1"/>
      <w:rPr>
        <w:rStyle w:val="46"/>
      </w:rPr>
    </w:pPr>
    <w:r>
      <w:fldChar w:fldCharType="begin"/>
    </w:r>
    <w:r>
      <w:rPr>
        <w:rStyle w:val="46"/>
      </w:rPr>
      <w:instrText xml:space="preserve">PAGE  </w:instrText>
    </w:r>
    <w:r>
      <w:fldChar w:fldCharType="separate"/>
    </w:r>
    <w:r>
      <w:rPr>
        <w:rStyle w:val="46"/>
      </w:rPr>
      <w:t>1</w:t>
    </w:r>
    <w:r>
      <w:fldChar w:fldCharType="end"/>
    </w:r>
  </w:p>
  <w:p>
    <w:pPr>
      <w:pStyle w:val="30"/>
      <w:ind w:right="360"/>
    </w:pPr>
  </w:p>
  <w: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3"/>
      <w:pBdr>
        <w:bottom w:val="single" w:color="auto" w:sz="4" w:space="1"/>
      </w:pBdr>
      <w:jc w:val="right"/>
    </w:pPr>
    <w:r>
      <w:rPr>
        <w:rFonts w:hint="eastAsia"/>
      </w:rPr>
      <w:t>北京国际贸易有限公司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3"/>
      <w:pBdr>
        <w:bottom w:val="single" w:color="auto" w:sz="4" w:space="1"/>
      </w:pBdr>
      <w:jc w:val="right"/>
    </w:pPr>
    <w:r>
      <w:rPr>
        <w:rFonts w:hint="eastAsia"/>
      </w:rPr>
      <w:t>北京国际贸易有限公司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3"/>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3"/>
    </w:pPr>
  </w:p>
  <w:p>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3"/>
    </w:pPr>
  </w:p>
  <w:p>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3">
    <w:nsid w:val="0000000D"/>
    <w:multiLevelType w:val="multilevel"/>
    <w:tmpl w:val="0000000D"/>
    <w:lvl w:ilvl="0" w:tentative="1">
      <w:start w:val="1"/>
      <w:numFmt w:val="lowerLetter"/>
      <w:pStyle w:val="217"/>
      <w:lvlText w:val="%1)"/>
      <w:lvlJc w:val="left"/>
      <w:pPr>
        <w:ind w:left="902" w:hanging="420"/>
      </w:pPr>
      <w:rPr>
        <w:color w:val="auto"/>
      </w:rPr>
    </w:lvl>
    <w:lvl w:ilvl="1" w:tentative="1">
      <w:start w:val="1"/>
      <w:numFmt w:val="lowerLetter"/>
      <w:lvlText w:val="%2)"/>
      <w:lvlJc w:val="left"/>
      <w:pPr>
        <w:ind w:left="1322" w:hanging="420"/>
      </w:pPr>
    </w:lvl>
    <w:lvl w:ilvl="2" w:tentative="1">
      <w:start w:val="1"/>
      <w:numFmt w:val="lowerRoman"/>
      <w:lvlText w:val="%3."/>
      <w:lvlJc w:val="right"/>
      <w:pPr>
        <w:ind w:left="1742" w:hanging="420"/>
      </w:pPr>
    </w:lvl>
    <w:lvl w:ilvl="3" w:tentative="1">
      <w:start w:val="1"/>
      <w:numFmt w:val="decimal"/>
      <w:lvlText w:val="%4."/>
      <w:lvlJc w:val="left"/>
      <w:pPr>
        <w:ind w:left="2162" w:hanging="420"/>
      </w:pPr>
    </w:lvl>
    <w:lvl w:ilvl="4" w:tentative="1">
      <w:start w:val="1"/>
      <w:numFmt w:val="lowerLetter"/>
      <w:lvlText w:val="%5)"/>
      <w:lvlJc w:val="left"/>
      <w:pPr>
        <w:ind w:left="2582" w:hanging="420"/>
      </w:pPr>
    </w:lvl>
    <w:lvl w:ilvl="5" w:tentative="1">
      <w:start w:val="1"/>
      <w:numFmt w:val="lowerRoman"/>
      <w:lvlText w:val="%6."/>
      <w:lvlJc w:val="right"/>
      <w:pPr>
        <w:ind w:left="3002" w:hanging="420"/>
      </w:pPr>
    </w:lvl>
    <w:lvl w:ilvl="6" w:tentative="1">
      <w:start w:val="1"/>
      <w:numFmt w:val="decimal"/>
      <w:lvlText w:val="%7."/>
      <w:lvlJc w:val="left"/>
      <w:pPr>
        <w:ind w:left="3422" w:hanging="420"/>
      </w:pPr>
    </w:lvl>
    <w:lvl w:ilvl="7" w:tentative="1">
      <w:start w:val="1"/>
      <w:numFmt w:val="lowerLetter"/>
      <w:lvlText w:val="%8)"/>
      <w:lvlJc w:val="left"/>
      <w:pPr>
        <w:ind w:left="3842" w:hanging="420"/>
      </w:pPr>
    </w:lvl>
    <w:lvl w:ilvl="8" w:tentative="1">
      <w:start w:val="1"/>
      <w:numFmt w:val="lowerRoman"/>
      <w:lvlText w:val="%9."/>
      <w:lvlJc w:val="right"/>
      <w:pPr>
        <w:ind w:left="4262" w:hanging="420"/>
      </w:pPr>
    </w:lvl>
  </w:abstractNum>
  <w:abstractNum w:abstractNumId="237176905">
    <w:nsid w:val="0E230849"/>
    <w:multiLevelType w:val="multilevel"/>
    <w:tmpl w:val="0E230849"/>
    <w:lvl w:ilvl="0" w:tentative="1">
      <w:start w:val="1"/>
      <w:numFmt w:val="decimal"/>
      <w:pStyle w:val="152"/>
      <w:lvlText w:val="%1"/>
      <w:lvlJc w:val="left"/>
      <w:pPr>
        <w:ind w:left="680" w:hanging="680"/>
      </w:pPr>
      <w:rPr>
        <w:rFonts w:hint="eastAsia" w:ascii="宋体" w:hAnsi="宋体" w:eastAsia="宋体"/>
      </w:rPr>
    </w:lvl>
    <w:lvl w:ilvl="1" w:tentative="1">
      <w:start w:val="1"/>
      <w:numFmt w:val="decimal"/>
      <w:pStyle w:val="245"/>
      <w:lvlText w:val="%1.%2"/>
      <w:lvlJc w:val="left"/>
      <w:pPr>
        <w:ind w:left="851" w:hanging="851"/>
      </w:pPr>
      <w:rPr>
        <w:rFonts w:hint="eastAsia" w:ascii="宋体" w:hAnsi="宋体" w:eastAsia="宋体"/>
        <w:color w:val="auto"/>
      </w:rPr>
    </w:lvl>
    <w:lvl w:ilvl="2" w:tentative="1">
      <w:start w:val="1"/>
      <w:numFmt w:val="decimal"/>
      <w:pStyle w:val="166"/>
      <w:lvlText w:val="%1.%2.%3"/>
      <w:lvlJc w:val="left"/>
      <w:pPr>
        <w:ind w:left="851" w:hanging="851"/>
      </w:pPr>
      <w:rPr>
        <w:rFonts w:hint="eastAsia"/>
      </w:rPr>
    </w:lvl>
    <w:lvl w:ilvl="3" w:tentative="1">
      <w:start w:val="1"/>
      <w:numFmt w:val="decimal"/>
      <w:lvlText w:val="%1.%2.%3.%4"/>
      <w:lvlJc w:val="left"/>
      <w:pPr>
        <w:ind w:left="680" w:hanging="680"/>
      </w:pPr>
      <w:rPr>
        <w:rFonts w:hint="eastAsia"/>
      </w:rPr>
    </w:lvl>
    <w:lvl w:ilvl="4" w:tentative="1">
      <w:start w:val="1"/>
      <w:numFmt w:val="decimal"/>
      <w:lvlText w:val="%1.%2.%3.%4.%5"/>
      <w:lvlJc w:val="left"/>
      <w:pPr>
        <w:ind w:left="680" w:hanging="680"/>
      </w:pPr>
      <w:rPr>
        <w:rFonts w:hint="eastAsia"/>
      </w:rPr>
    </w:lvl>
    <w:lvl w:ilvl="5" w:tentative="1">
      <w:start w:val="1"/>
      <w:numFmt w:val="decimal"/>
      <w:lvlText w:val="%1.%2.%3.%4.%5.%6"/>
      <w:lvlJc w:val="left"/>
      <w:pPr>
        <w:ind w:left="680" w:hanging="680"/>
      </w:pPr>
      <w:rPr>
        <w:rFonts w:hint="eastAsia"/>
      </w:rPr>
    </w:lvl>
    <w:lvl w:ilvl="6" w:tentative="1">
      <w:start w:val="1"/>
      <w:numFmt w:val="decimal"/>
      <w:lvlText w:val="%1.%2.%3.%4.%5.%6.%7"/>
      <w:lvlJc w:val="left"/>
      <w:pPr>
        <w:ind w:left="680" w:hanging="680"/>
      </w:pPr>
      <w:rPr>
        <w:rFonts w:hint="eastAsia"/>
      </w:rPr>
    </w:lvl>
    <w:lvl w:ilvl="7" w:tentative="1">
      <w:start w:val="1"/>
      <w:numFmt w:val="decimal"/>
      <w:lvlText w:val="%1.%2.%3.%4.%5.%6.%7.%8"/>
      <w:lvlJc w:val="left"/>
      <w:pPr>
        <w:ind w:left="680" w:hanging="680"/>
      </w:pPr>
      <w:rPr>
        <w:rFonts w:hint="eastAsia"/>
      </w:rPr>
    </w:lvl>
    <w:lvl w:ilvl="8" w:tentative="1">
      <w:start w:val="1"/>
      <w:numFmt w:val="decimal"/>
      <w:lvlText w:val="%1.%2.%3.%4.%5.%6.%7.%8.%9"/>
      <w:lvlJc w:val="left"/>
      <w:pPr>
        <w:ind w:left="680" w:hanging="680"/>
      </w:pPr>
      <w:rPr>
        <w:rFonts w:hint="eastAsia"/>
      </w:rPr>
    </w:lvl>
  </w:abstractNum>
  <w:abstractNum w:abstractNumId="38">
    <w:nsid w:val="00000026"/>
    <w:multiLevelType w:val="multilevel"/>
    <w:tmpl w:val="00000026"/>
    <w:lvl w:ilvl="0" w:tentative="1">
      <w:start w:val="1"/>
      <w:numFmt w:val="decimal"/>
      <w:pStyle w:val="165"/>
      <w:isLgl/>
      <w:suff w:val="nothing"/>
      <w:lvlText w:val="%1　"/>
      <w:lvlJc w:val="left"/>
      <w:pPr>
        <w:ind w:left="-25" w:firstLine="0"/>
      </w:pPr>
      <w:rPr>
        <w:rFonts w:hint="default" w:ascii="Times New Roman" w:hAnsi="Times New Roman" w:eastAsia="宋体"/>
        <w:b/>
        <w:i w:val="0"/>
        <w:color w:val="auto"/>
        <w:sz w:val="28"/>
        <w:u w:val="none"/>
      </w:rPr>
    </w:lvl>
    <w:lvl w:ilvl="1" w:tentative="1">
      <w:start w:val="1"/>
      <w:numFmt w:val="decimal"/>
      <w:pStyle w:val="16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1">
      <w:start w:val="1"/>
      <w:numFmt w:val="decimal"/>
      <w:isLgl/>
      <w:suff w:val="nothing"/>
      <w:lvlText w:val="%1.%2.%3　"/>
      <w:lvlJc w:val="left"/>
      <w:pPr>
        <w:ind w:left="-25" w:firstLine="0"/>
      </w:pPr>
      <w:rPr>
        <w:rFonts w:hint="default" w:ascii="Times New Roman" w:hAnsi="Times New Roman" w:eastAsia="黑体"/>
        <w:b/>
        <w:i w:val="0"/>
        <w:sz w:val="28"/>
      </w:rPr>
    </w:lvl>
    <w:lvl w:ilvl="3" w:tentative="1">
      <w:start w:val="1"/>
      <w:numFmt w:val="decimal"/>
      <w:pStyle w:val="195"/>
      <w:isLgl/>
      <w:suff w:val="nothing"/>
      <w:lvlText w:val="%1.%2.%3.%4　"/>
      <w:lvlJc w:val="left"/>
      <w:pPr>
        <w:ind w:left="-25" w:firstLine="0"/>
      </w:pPr>
      <w:rPr>
        <w:rFonts w:hint="default" w:ascii="Times New Roman" w:hAnsi="Times New Roman" w:eastAsia="宋体"/>
        <w:b/>
        <w:i w:val="0"/>
        <w:color w:val="auto"/>
        <w:sz w:val="28"/>
        <w:u w:val="none"/>
      </w:rPr>
    </w:lvl>
    <w:lvl w:ilvl="4" w:tentative="1">
      <w:start w:val="1"/>
      <w:numFmt w:val="decimal"/>
      <w:pStyle w:val="194"/>
      <w:isLgl/>
      <w:suff w:val="nothing"/>
      <w:lvlText w:val="%1.%2.%3.%4.%5　"/>
      <w:lvlJc w:val="left"/>
      <w:pPr>
        <w:ind w:left="-25" w:firstLine="0"/>
      </w:pPr>
      <w:rPr>
        <w:rFonts w:hint="default" w:ascii="Times New Roman" w:hAnsi="Times New Roman" w:eastAsia="宋体"/>
        <w:b/>
        <w:i w:val="0"/>
        <w:color w:val="auto"/>
        <w:sz w:val="28"/>
        <w:u w:val="none"/>
      </w:rPr>
    </w:lvl>
    <w:lvl w:ilvl="5" w:tentative="1">
      <w:start w:val="1"/>
      <w:numFmt w:val="decimal"/>
      <w:pStyle w:val="193"/>
      <w:isLgl/>
      <w:suff w:val="nothing"/>
      <w:lvlText w:val="%1.%2.%3.%4.%5.%6　"/>
      <w:lvlJc w:val="left"/>
      <w:pPr>
        <w:ind w:left="-25" w:firstLine="0"/>
      </w:pPr>
      <w:rPr>
        <w:rFonts w:hint="default" w:ascii="Times New Roman" w:hAnsi="Times New Roman" w:eastAsia="宋体"/>
        <w:b/>
        <w:i w:val="0"/>
        <w:sz w:val="28"/>
      </w:rPr>
    </w:lvl>
    <w:lvl w:ilvl="6" w:tentative="1">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1">
      <w:start w:val="1"/>
      <w:numFmt w:val="decimal"/>
      <w:pStyle w:val="190"/>
      <w:lvlText w:val="%8) "/>
      <w:lvlJc w:val="left"/>
      <w:pPr>
        <w:tabs>
          <w:tab w:val="left" w:pos="860"/>
        </w:tabs>
        <w:ind w:left="500" w:firstLine="0"/>
      </w:pPr>
      <w:rPr>
        <w:rFonts w:hint="default" w:ascii="Times New Roman" w:hAnsi="Times New Roman" w:eastAsia="宋体"/>
        <w:b/>
        <w:i w:val="0"/>
        <w:color w:val="auto"/>
        <w:sz w:val="28"/>
        <w:u w:val="none"/>
      </w:rPr>
    </w:lvl>
    <w:lvl w:ilvl="8" w:tentative="1">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0">
    <w:nsid w:val="00000028"/>
    <w:multiLevelType w:val="multilevel"/>
    <w:tmpl w:val="00000028"/>
    <w:lvl w:ilvl="0" w:tentative="1">
      <w:start w:val="1"/>
      <w:numFmt w:val="decimal"/>
      <w:lvlText w:val="%1．"/>
      <w:lvlJc w:val="left"/>
      <w:pPr>
        <w:tabs>
          <w:tab w:val="left" w:pos="768"/>
        </w:tabs>
        <w:ind w:left="768" w:hanging="360"/>
      </w:pPr>
      <w:rPr>
        <w:rFonts w:hint="eastAsia"/>
      </w:rPr>
    </w:lvl>
    <w:lvl w:ilvl="1" w:tentative="1">
      <w:start w:val="1"/>
      <w:numFmt w:val="decimal"/>
      <w:pStyle w:val="168"/>
      <w:lvlText w:val="%2、"/>
      <w:lvlJc w:val="left"/>
      <w:pPr>
        <w:tabs>
          <w:tab w:val="left" w:pos="1188"/>
        </w:tabs>
        <w:ind w:left="1188" w:hanging="360"/>
      </w:pPr>
      <w:rPr>
        <w:rFonts w:hint="eastAsia"/>
      </w:rPr>
    </w:lvl>
    <w:lvl w:ilvl="2" w:tentative="1">
      <w:start w:val="1"/>
      <w:numFmt w:val="decimal"/>
      <w:lvlText w:val="（%3）"/>
      <w:lvlJc w:val="left"/>
      <w:pPr>
        <w:tabs>
          <w:tab w:val="left" w:pos="1968"/>
        </w:tabs>
        <w:ind w:left="1968" w:hanging="720"/>
      </w:pPr>
      <w:rPr>
        <w:rFonts w:hint="eastAsia"/>
        <w:u w:val="none"/>
      </w:rPr>
    </w:lvl>
    <w:lvl w:ilvl="3" w:tentative="1">
      <w:start w:val="1"/>
      <w:numFmt w:val="decimal"/>
      <w:lvlText w:val="%4."/>
      <w:lvlJc w:val="left"/>
      <w:pPr>
        <w:tabs>
          <w:tab w:val="left" w:pos="2088"/>
        </w:tabs>
        <w:ind w:left="2088" w:hanging="420"/>
      </w:pPr>
    </w:lvl>
    <w:lvl w:ilvl="4" w:tentative="1">
      <w:start w:val="1"/>
      <w:numFmt w:val="lowerLetter"/>
      <w:lvlText w:val="%5)"/>
      <w:lvlJc w:val="left"/>
      <w:pPr>
        <w:tabs>
          <w:tab w:val="left" w:pos="2508"/>
        </w:tabs>
        <w:ind w:left="2508" w:hanging="420"/>
      </w:pPr>
    </w:lvl>
    <w:lvl w:ilvl="5" w:tentative="1">
      <w:start w:val="1"/>
      <w:numFmt w:val="lowerRoman"/>
      <w:lvlText w:val="%6."/>
      <w:lvlJc w:val="right"/>
      <w:pPr>
        <w:tabs>
          <w:tab w:val="left" w:pos="2928"/>
        </w:tabs>
        <w:ind w:left="2928" w:hanging="420"/>
      </w:pPr>
    </w:lvl>
    <w:lvl w:ilvl="6" w:tentative="1">
      <w:start w:val="1"/>
      <w:numFmt w:val="decimal"/>
      <w:lvlText w:val="%7."/>
      <w:lvlJc w:val="left"/>
      <w:pPr>
        <w:tabs>
          <w:tab w:val="left" w:pos="3348"/>
        </w:tabs>
        <w:ind w:left="3348" w:hanging="420"/>
      </w:pPr>
    </w:lvl>
    <w:lvl w:ilvl="7" w:tentative="1">
      <w:start w:val="1"/>
      <w:numFmt w:val="lowerLetter"/>
      <w:lvlText w:val="%8)"/>
      <w:lvlJc w:val="left"/>
      <w:pPr>
        <w:tabs>
          <w:tab w:val="left" w:pos="3768"/>
        </w:tabs>
        <w:ind w:left="3768" w:hanging="420"/>
      </w:pPr>
    </w:lvl>
    <w:lvl w:ilvl="8" w:tentative="1">
      <w:start w:val="1"/>
      <w:numFmt w:val="lowerRoman"/>
      <w:lvlText w:val="%9."/>
      <w:lvlJc w:val="right"/>
      <w:pPr>
        <w:tabs>
          <w:tab w:val="left" w:pos="4188"/>
        </w:tabs>
        <w:ind w:left="4188" w:hanging="420"/>
      </w:pPr>
    </w:lvl>
  </w:abstractNum>
  <w:abstractNum w:abstractNumId="10">
    <w:nsid w:val="0000000A"/>
    <w:multiLevelType w:val="multilevel"/>
    <w:tmpl w:val="0000000A"/>
    <w:lvl w:ilvl="0" w:tentative="1">
      <w:start w:val="1"/>
      <w:numFmt w:val="decimal"/>
      <w:pStyle w:val="213"/>
      <w:lvlText w:val="%1."/>
      <w:lvlJc w:val="left"/>
      <w:pPr>
        <w:ind w:left="420" w:hanging="420"/>
      </w:pPr>
    </w:lvl>
    <w:lvl w:ilvl="1" w:tentative="1">
      <w:start w:val="1"/>
      <w:numFmt w:val="decimal"/>
      <w:lvlText w:val="（%2）"/>
      <w:lvlJc w:val="left"/>
      <w:pPr>
        <w:tabs>
          <w:tab w:val="left" w:pos="1140"/>
        </w:tabs>
        <w:ind w:left="1140" w:hanging="720"/>
      </w:pPr>
      <w:rPr>
        <w:rFonts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7937790">
    <w:nsid w:val="1D1556FE"/>
    <w:multiLevelType w:val="multilevel"/>
    <w:tmpl w:val="1D1556FE"/>
    <w:lvl w:ilvl="0" w:tentative="1">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00000004"/>
    <w:multiLevelType w:val="multilevel"/>
    <w:tmpl w:val="00000004"/>
    <w:lvl w:ilvl="0" w:tentative="1">
      <w:start w:val="1"/>
      <w:numFmt w:val="japaneseCounting"/>
      <w:lvlText w:val="第%1章"/>
      <w:lvlJc w:val="left"/>
      <w:pPr>
        <w:tabs>
          <w:tab w:val="left" w:pos="4941"/>
        </w:tabs>
        <w:ind w:left="4941" w:hanging="1140"/>
      </w:pPr>
      <w:rPr>
        <w:rFonts w:hint="eastAsia"/>
      </w:rPr>
    </w:lvl>
    <w:lvl w:ilvl="1" w:tentative="1">
      <w:start w:val="1"/>
      <w:numFmt w:val="lowerLetter"/>
      <w:lvlText w:val="%2)"/>
      <w:lvlJc w:val="left"/>
      <w:pPr>
        <w:tabs>
          <w:tab w:val="left" w:pos="4641"/>
        </w:tabs>
        <w:ind w:left="4641" w:hanging="420"/>
      </w:pPr>
    </w:lvl>
    <w:lvl w:ilvl="2" w:tentative="1">
      <w:start w:val="1"/>
      <w:numFmt w:val="lowerRoman"/>
      <w:lvlText w:val="%3."/>
      <w:lvlJc w:val="right"/>
      <w:pPr>
        <w:tabs>
          <w:tab w:val="left" w:pos="5061"/>
        </w:tabs>
        <w:ind w:left="5061" w:hanging="420"/>
      </w:pPr>
    </w:lvl>
    <w:lvl w:ilvl="3" w:tentative="1">
      <w:start w:val="1"/>
      <w:numFmt w:val="decimal"/>
      <w:lvlText w:val="%4."/>
      <w:lvlJc w:val="left"/>
      <w:pPr>
        <w:tabs>
          <w:tab w:val="left" w:pos="5481"/>
        </w:tabs>
        <w:ind w:left="5481" w:hanging="420"/>
      </w:pPr>
    </w:lvl>
    <w:lvl w:ilvl="4" w:tentative="1">
      <w:start w:val="1"/>
      <w:numFmt w:val="lowerLetter"/>
      <w:lvlText w:val="%5)"/>
      <w:lvlJc w:val="left"/>
      <w:pPr>
        <w:tabs>
          <w:tab w:val="left" w:pos="5901"/>
        </w:tabs>
        <w:ind w:left="5901" w:hanging="420"/>
      </w:pPr>
    </w:lvl>
    <w:lvl w:ilvl="5" w:tentative="1">
      <w:start w:val="1"/>
      <w:numFmt w:val="lowerRoman"/>
      <w:lvlText w:val="%6."/>
      <w:lvlJc w:val="right"/>
      <w:pPr>
        <w:tabs>
          <w:tab w:val="left" w:pos="6321"/>
        </w:tabs>
        <w:ind w:left="6321" w:hanging="420"/>
      </w:pPr>
    </w:lvl>
    <w:lvl w:ilvl="6" w:tentative="1">
      <w:start w:val="1"/>
      <w:numFmt w:val="decimal"/>
      <w:lvlText w:val="%7."/>
      <w:lvlJc w:val="left"/>
      <w:pPr>
        <w:tabs>
          <w:tab w:val="left" w:pos="6741"/>
        </w:tabs>
        <w:ind w:left="6741" w:hanging="420"/>
      </w:pPr>
    </w:lvl>
    <w:lvl w:ilvl="7" w:tentative="1">
      <w:start w:val="1"/>
      <w:numFmt w:val="lowerLetter"/>
      <w:lvlText w:val="%8)"/>
      <w:lvlJc w:val="left"/>
      <w:pPr>
        <w:tabs>
          <w:tab w:val="left" w:pos="7161"/>
        </w:tabs>
        <w:ind w:left="7161" w:hanging="420"/>
      </w:pPr>
    </w:lvl>
    <w:lvl w:ilvl="8" w:tentative="1">
      <w:start w:val="1"/>
      <w:numFmt w:val="lowerRoman"/>
      <w:lvlText w:val="%9."/>
      <w:lvlJc w:val="right"/>
      <w:pPr>
        <w:tabs>
          <w:tab w:val="left" w:pos="7581"/>
        </w:tabs>
        <w:ind w:left="7581" w:hanging="420"/>
      </w:pPr>
    </w:lvl>
  </w:abstractNum>
  <w:abstractNum w:abstractNumId="1694400868">
    <w:nsid w:val="64FE8164"/>
    <w:multiLevelType w:val="multilevel"/>
    <w:tmpl w:val="64FE8164"/>
    <w:lvl w:ilvl="0" w:tentative="1">
      <w:start w:val="1"/>
      <w:numFmt w:val="decimal"/>
      <w:lvlText w:val="%1"/>
      <w:lvlJc w:val="left"/>
      <w:pPr>
        <w:ind w:left="476" w:hanging="356"/>
        <w:jc w:val="left"/>
      </w:pPr>
      <w:rPr>
        <w:rFonts w:hint="default"/>
        <w:w w:val="114"/>
      </w:rPr>
    </w:lvl>
    <w:lvl w:ilvl="1" w:tentative="1">
      <w:start w:val="1"/>
      <w:numFmt w:val="decimal"/>
      <w:lvlText w:val="%1.%2"/>
      <w:lvlJc w:val="left"/>
      <w:pPr>
        <w:ind w:left="1196" w:hanging="720"/>
        <w:jc w:val="left"/>
      </w:pPr>
      <w:rPr>
        <w:rFonts w:hint="default"/>
        <w:spacing w:val="-2"/>
        <w:w w:val="100"/>
      </w:rPr>
    </w:lvl>
    <w:lvl w:ilvl="2" w:tentative="1">
      <w:start w:val="1"/>
      <w:numFmt w:val="decimal"/>
      <w:lvlText w:val="%1.%2.%3"/>
      <w:lvlJc w:val="left"/>
      <w:pPr>
        <w:ind w:left="2101" w:hanging="720"/>
        <w:jc w:val="left"/>
      </w:pPr>
      <w:rPr>
        <w:rFonts w:hint="default"/>
        <w:spacing w:val="-2"/>
        <w:w w:val="100"/>
      </w:rPr>
    </w:lvl>
    <w:lvl w:ilvl="3" w:tentative="1">
      <w:start w:val="1"/>
      <w:numFmt w:val="decimal"/>
      <w:lvlText w:val="%1.%2.%3.%4"/>
      <w:lvlJc w:val="left"/>
      <w:pPr>
        <w:ind w:left="3006" w:hanging="720"/>
        <w:jc w:val="left"/>
      </w:pPr>
      <w:rPr>
        <w:rFonts w:hint="default"/>
        <w:spacing w:val="-2"/>
        <w:w w:val="114"/>
      </w:rPr>
    </w:lvl>
    <w:lvl w:ilvl="4" w:tentative="1">
      <w:start w:val="0"/>
      <w:numFmt w:val="bullet"/>
      <w:lvlText w:val="•"/>
      <w:lvlJc w:val="left"/>
      <w:pPr>
        <w:ind w:left="3901" w:hanging="720"/>
      </w:pPr>
      <w:rPr>
        <w:rFonts w:hint="default"/>
      </w:rPr>
    </w:lvl>
    <w:lvl w:ilvl="5" w:tentative="1">
      <w:start w:val="0"/>
      <w:numFmt w:val="bullet"/>
      <w:lvlText w:val="•"/>
      <w:lvlJc w:val="left"/>
      <w:pPr>
        <w:ind w:left="4802" w:hanging="720"/>
      </w:pPr>
      <w:rPr>
        <w:rFonts w:hint="default"/>
      </w:rPr>
    </w:lvl>
    <w:lvl w:ilvl="6" w:tentative="1">
      <w:start w:val="0"/>
      <w:numFmt w:val="bullet"/>
      <w:lvlText w:val="•"/>
      <w:lvlJc w:val="left"/>
      <w:pPr>
        <w:ind w:left="5703" w:hanging="720"/>
      </w:pPr>
      <w:rPr>
        <w:rFonts w:hint="default"/>
      </w:rPr>
    </w:lvl>
    <w:lvl w:ilvl="7" w:tentative="1">
      <w:start w:val="0"/>
      <w:numFmt w:val="bullet"/>
      <w:lvlText w:val="•"/>
      <w:lvlJc w:val="left"/>
      <w:pPr>
        <w:ind w:left="6604" w:hanging="720"/>
      </w:pPr>
      <w:rPr>
        <w:rFonts w:hint="default"/>
      </w:rPr>
    </w:lvl>
    <w:lvl w:ilvl="8" w:tentative="1">
      <w:start w:val="0"/>
      <w:numFmt w:val="bullet"/>
      <w:lvlText w:val="•"/>
      <w:lvlJc w:val="left"/>
      <w:pPr>
        <w:ind w:left="7505" w:hanging="720"/>
      </w:pPr>
      <w:rPr>
        <w:rFonts w:hint="default"/>
      </w:rPr>
    </w:lvl>
  </w:abstractNum>
  <w:abstractNum w:abstractNumId="41">
    <w:nsid w:val="00000029"/>
    <w:multiLevelType w:val="multilevel"/>
    <w:tmpl w:val="00000029"/>
    <w:lvl w:ilvl="0" w:tentative="1">
      <w:start w:val="1"/>
      <w:numFmt w:val="decimal"/>
      <w:lvlText w:val="%1"/>
      <w:lvlJc w:val="left"/>
      <w:pPr>
        <w:tabs>
          <w:tab w:val="left" w:pos="900"/>
        </w:tabs>
        <w:ind w:left="900" w:hanging="900"/>
      </w:pPr>
      <w:rPr>
        <w:rFonts w:hint="eastAsia"/>
      </w:rPr>
    </w:lvl>
    <w:lvl w:ilvl="1" w:tentative="1">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1">
      <w:start w:val="1"/>
      <w:numFmt w:val="decimal"/>
      <w:lvlText w:val="%1.%2.%3"/>
      <w:lvlJc w:val="left"/>
      <w:pPr>
        <w:tabs>
          <w:tab w:val="left" w:pos="1980"/>
        </w:tabs>
        <w:ind w:left="1980" w:hanging="900"/>
      </w:pPr>
      <w:rPr>
        <w:rFonts w:hint="eastAsia"/>
      </w:rPr>
    </w:lvl>
    <w:lvl w:ilvl="3" w:tentative="1">
      <w:start w:val="1"/>
      <w:numFmt w:val="decimal"/>
      <w:lvlText w:val="%1.%2.%3.%4"/>
      <w:lvlJc w:val="left"/>
      <w:pPr>
        <w:tabs>
          <w:tab w:val="left" w:pos="900"/>
        </w:tabs>
        <w:ind w:left="900" w:hanging="900"/>
      </w:pPr>
      <w:rPr>
        <w:rFonts w:hint="eastAsia"/>
      </w:rPr>
    </w:lvl>
    <w:lvl w:ilvl="4" w:tentative="1">
      <w:start w:val="1"/>
      <w:numFmt w:val="decimal"/>
      <w:lvlText w:val="%1.%2.%3.%4.%5"/>
      <w:lvlJc w:val="left"/>
      <w:pPr>
        <w:tabs>
          <w:tab w:val="left" w:pos="900"/>
        </w:tabs>
        <w:ind w:left="900" w:hanging="900"/>
      </w:pPr>
      <w:rPr>
        <w:rFonts w:hint="eastAsia"/>
      </w:rPr>
    </w:lvl>
    <w:lvl w:ilvl="5" w:tentative="1">
      <w:start w:val="1"/>
      <w:numFmt w:val="decimal"/>
      <w:lvlText w:val="%1.%2.%3.%4.%5.%6"/>
      <w:lvlJc w:val="left"/>
      <w:pPr>
        <w:tabs>
          <w:tab w:val="left" w:pos="900"/>
        </w:tabs>
        <w:ind w:left="900" w:hanging="900"/>
      </w:pPr>
      <w:rPr>
        <w:rFonts w:hint="eastAsia"/>
      </w:rPr>
    </w:lvl>
    <w:lvl w:ilvl="6" w:tentative="1">
      <w:start w:val="1"/>
      <w:numFmt w:val="decimal"/>
      <w:lvlText w:val="%1.%2.%3.%4.%5.%6.%7"/>
      <w:lvlJc w:val="left"/>
      <w:pPr>
        <w:tabs>
          <w:tab w:val="left" w:pos="900"/>
        </w:tabs>
        <w:ind w:left="900" w:hanging="900"/>
      </w:pPr>
      <w:rPr>
        <w:rFonts w:hint="eastAsia"/>
      </w:rPr>
    </w:lvl>
    <w:lvl w:ilvl="7" w:tentative="1">
      <w:start w:val="1"/>
      <w:numFmt w:val="decimal"/>
      <w:lvlText w:val="%1.%2.%3.%4.%5.%6.%7.%8"/>
      <w:lvlJc w:val="left"/>
      <w:pPr>
        <w:tabs>
          <w:tab w:val="left" w:pos="900"/>
        </w:tabs>
        <w:ind w:left="900" w:hanging="900"/>
      </w:pPr>
      <w:rPr>
        <w:rFonts w:hint="eastAsia"/>
      </w:rPr>
    </w:lvl>
    <w:lvl w:ilvl="8" w:tentative="1">
      <w:start w:val="1"/>
      <w:numFmt w:val="decimal"/>
      <w:lvlText w:val="%1.%2.%3.%4.%5.%6.%7.%8.%9"/>
      <w:lvlJc w:val="left"/>
      <w:pPr>
        <w:tabs>
          <w:tab w:val="left" w:pos="900"/>
        </w:tabs>
        <w:ind w:left="900" w:hanging="900"/>
      </w:pPr>
      <w:rPr>
        <w:rFonts w:hint="eastAsia"/>
      </w:rPr>
    </w:lvl>
  </w:abstractNum>
  <w:abstractNum w:abstractNumId="1694400835">
    <w:nsid w:val="64FE8143"/>
    <w:multiLevelType w:val="multilevel"/>
    <w:tmpl w:val="64FE8143"/>
    <w:lvl w:ilvl="0" w:tentative="1">
      <w:start w:val="2"/>
      <w:numFmt w:val="decimal"/>
      <w:lvlText w:val="%1"/>
      <w:lvlJc w:val="left"/>
      <w:pPr>
        <w:ind w:left="1200" w:hanging="500"/>
        <w:jc w:val="left"/>
      </w:pPr>
      <w:rPr>
        <w:rFonts w:hint="default"/>
      </w:rPr>
    </w:lvl>
    <w:lvl w:ilvl="1" w:tentative="1">
      <w:start w:val="1"/>
      <w:numFmt w:val="decimal"/>
      <w:lvlText w:val="%1.%2"/>
      <w:lvlJc w:val="left"/>
      <w:pPr>
        <w:ind w:left="1200" w:hanging="500"/>
        <w:jc w:val="left"/>
      </w:pPr>
      <w:rPr>
        <w:rFonts w:hint="default" w:ascii="Arial" w:hAnsi="Arial" w:eastAsia="Arial" w:cs="Arial"/>
        <w:spacing w:val="-2"/>
        <w:w w:val="114"/>
        <w:sz w:val="24"/>
        <w:szCs w:val="24"/>
      </w:rPr>
    </w:lvl>
    <w:lvl w:ilvl="2" w:tentative="1">
      <w:start w:val="0"/>
      <w:numFmt w:val="bullet"/>
      <w:lvlText w:val="•"/>
      <w:lvlJc w:val="left"/>
      <w:pPr>
        <w:ind w:left="2853" w:hanging="500"/>
      </w:pPr>
      <w:rPr>
        <w:rFonts w:hint="default"/>
      </w:rPr>
    </w:lvl>
    <w:lvl w:ilvl="3" w:tentative="1">
      <w:start w:val="0"/>
      <w:numFmt w:val="bullet"/>
      <w:lvlText w:val="•"/>
      <w:lvlJc w:val="left"/>
      <w:pPr>
        <w:ind w:left="3680" w:hanging="500"/>
      </w:pPr>
      <w:rPr>
        <w:rFonts w:hint="default"/>
      </w:rPr>
    </w:lvl>
    <w:lvl w:ilvl="4" w:tentative="1">
      <w:start w:val="0"/>
      <w:numFmt w:val="bullet"/>
      <w:lvlText w:val="•"/>
      <w:lvlJc w:val="left"/>
      <w:pPr>
        <w:ind w:left="4506" w:hanging="500"/>
      </w:pPr>
      <w:rPr>
        <w:rFonts w:hint="default"/>
      </w:rPr>
    </w:lvl>
    <w:lvl w:ilvl="5" w:tentative="1">
      <w:start w:val="0"/>
      <w:numFmt w:val="bullet"/>
      <w:lvlText w:val="•"/>
      <w:lvlJc w:val="left"/>
      <w:pPr>
        <w:ind w:left="5333" w:hanging="500"/>
      </w:pPr>
      <w:rPr>
        <w:rFonts w:hint="default"/>
      </w:rPr>
    </w:lvl>
    <w:lvl w:ilvl="6" w:tentative="1">
      <w:start w:val="0"/>
      <w:numFmt w:val="bullet"/>
      <w:lvlText w:val="•"/>
      <w:lvlJc w:val="left"/>
      <w:pPr>
        <w:ind w:left="6160" w:hanging="500"/>
      </w:pPr>
      <w:rPr>
        <w:rFonts w:hint="default"/>
      </w:rPr>
    </w:lvl>
    <w:lvl w:ilvl="7" w:tentative="1">
      <w:start w:val="0"/>
      <w:numFmt w:val="bullet"/>
      <w:lvlText w:val="•"/>
      <w:lvlJc w:val="left"/>
      <w:pPr>
        <w:ind w:left="6986" w:hanging="500"/>
      </w:pPr>
      <w:rPr>
        <w:rFonts w:hint="default"/>
      </w:rPr>
    </w:lvl>
    <w:lvl w:ilvl="8" w:tentative="1">
      <w:start w:val="0"/>
      <w:numFmt w:val="bullet"/>
      <w:lvlText w:val="•"/>
      <w:lvlJc w:val="left"/>
      <w:pPr>
        <w:ind w:left="7813" w:hanging="500"/>
      </w:pPr>
      <w:rPr>
        <w:rFonts w:hint="default"/>
      </w:rPr>
    </w:lvl>
  </w:abstractNum>
  <w:abstractNum w:abstractNumId="19">
    <w:nsid w:val="00000013"/>
    <w:multiLevelType w:val="singleLevel"/>
    <w:tmpl w:val="00000013"/>
    <w:lvl w:ilvl="0" w:tentative="1">
      <w:start w:val="1"/>
      <w:numFmt w:val="decimal"/>
      <w:pStyle w:val="234"/>
      <w:lvlText w:val="%1."/>
      <w:lvlJc w:val="left"/>
      <w:pPr>
        <w:tabs>
          <w:tab w:val="left" w:pos="360"/>
        </w:tabs>
        <w:ind w:left="360" w:hanging="360"/>
      </w:pPr>
      <w:rPr>
        <w:rFonts w:hint="default"/>
      </w:rPr>
    </w:lvl>
  </w:abstractNum>
  <w:abstractNum w:abstractNumId="1704346076">
    <w:nsid w:val="659641DC"/>
    <w:multiLevelType w:val="singleLevel"/>
    <w:tmpl w:val="659641DC"/>
    <w:lvl w:ilvl="0" w:tentative="1">
      <w:start w:val="1"/>
      <w:numFmt w:val="decimal"/>
      <w:suff w:val="nothing"/>
      <w:lvlText w:val="%1、"/>
      <w:lvlJc w:val="left"/>
    </w:lvl>
  </w:abstractNum>
  <w:abstractNum w:abstractNumId="277294506">
    <w:nsid w:val="10872DAA"/>
    <w:multiLevelType w:val="multilevel"/>
    <w:tmpl w:val="10872DAA"/>
    <w:lvl w:ilvl="0" w:tentative="1">
      <w:start w:val="1"/>
      <w:numFmt w:val="decimal"/>
      <w:lvlText w:val="%1"/>
      <w:lvlJc w:val="left"/>
      <w:pPr>
        <w:tabs>
          <w:tab w:val="left" w:pos="900"/>
        </w:tabs>
        <w:ind w:left="900" w:hanging="900"/>
      </w:pPr>
      <w:rPr>
        <w:rFonts w:hint="eastAsia"/>
      </w:rPr>
    </w:lvl>
    <w:lvl w:ilvl="1" w:tentative="1">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1">
      <w:start w:val="1"/>
      <w:numFmt w:val="decimal"/>
      <w:lvlText w:val="%1.%2.%3"/>
      <w:lvlJc w:val="left"/>
      <w:pPr>
        <w:tabs>
          <w:tab w:val="left" w:pos="1980"/>
        </w:tabs>
        <w:ind w:left="1980" w:hanging="900"/>
      </w:pPr>
      <w:rPr>
        <w:rFonts w:hint="eastAsia"/>
      </w:rPr>
    </w:lvl>
    <w:lvl w:ilvl="3" w:tentative="1">
      <w:start w:val="1"/>
      <w:numFmt w:val="decimal"/>
      <w:lvlText w:val="%1.%2.%3.%4"/>
      <w:lvlJc w:val="left"/>
      <w:pPr>
        <w:tabs>
          <w:tab w:val="left" w:pos="900"/>
        </w:tabs>
        <w:ind w:left="900" w:hanging="900"/>
      </w:pPr>
      <w:rPr>
        <w:rFonts w:hint="eastAsia"/>
      </w:rPr>
    </w:lvl>
    <w:lvl w:ilvl="4" w:tentative="1">
      <w:start w:val="1"/>
      <w:numFmt w:val="decimal"/>
      <w:lvlText w:val="%1.%2.%3.%4.%5"/>
      <w:lvlJc w:val="left"/>
      <w:pPr>
        <w:tabs>
          <w:tab w:val="left" w:pos="900"/>
        </w:tabs>
        <w:ind w:left="900" w:hanging="900"/>
      </w:pPr>
      <w:rPr>
        <w:rFonts w:hint="eastAsia"/>
      </w:rPr>
    </w:lvl>
    <w:lvl w:ilvl="5" w:tentative="1">
      <w:start w:val="1"/>
      <w:numFmt w:val="decimal"/>
      <w:lvlText w:val="%1.%2.%3.%4.%5.%6"/>
      <w:lvlJc w:val="left"/>
      <w:pPr>
        <w:tabs>
          <w:tab w:val="left" w:pos="900"/>
        </w:tabs>
        <w:ind w:left="900" w:hanging="900"/>
      </w:pPr>
      <w:rPr>
        <w:rFonts w:hint="eastAsia"/>
      </w:rPr>
    </w:lvl>
    <w:lvl w:ilvl="6" w:tentative="1">
      <w:start w:val="1"/>
      <w:numFmt w:val="decimal"/>
      <w:lvlText w:val="%1.%2.%3.%4.%5.%6.%7"/>
      <w:lvlJc w:val="left"/>
      <w:pPr>
        <w:tabs>
          <w:tab w:val="left" w:pos="900"/>
        </w:tabs>
        <w:ind w:left="900" w:hanging="900"/>
      </w:pPr>
      <w:rPr>
        <w:rFonts w:hint="eastAsia"/>
      </w:rPr>
    </w:lvl>
    <w:lvl w:ilvl="7" w:tentative="1">
      <w:start w:val="1"/>
      <w:numFmt w:val="decimal"/>
      <w:lvlText w:val="%1.%2.%3.%4.%5.%6.%7.%8"/>
      <w:lvlJc w:val="left"/>
      <w:pPr>
        <w:tabs>
          <w:tab w:val="left" w:pos="900"/>
        </w:tabs>
        <w:ind w:left="900" w:hanging="900"/>
      </w:pPr>
      <w:rPr>
        <w:rFonts w:hint="eastAsia"/>
      </w:rPr>
    </w:lvl>
    <w:lvl w:ilvl="8" w:tentative="1">
      <w:start w:val="1"/>
      <w:numFmt w:val="decimal"/>
      <w:lvlText w:val="%1.%2.%3.%4.%5.%6.%7.%8.%9"/>
      <w:lvlJc w:val="left"/>
      <w:pPr>
        <w:tabs>
          <w:tab w:val="left" w:pos="900"/>
        </w:tabs>
        <w:ind w:left="900" w:hanging="900"/>
      </w:pPr>
      <w:rPr>
        <w:rFonts w:hint="eastAsia"/>
      </w:rPr>
    </w:lvl>
  </w:abstractNum>
  <w:abstractNum w:abstractNumId="1649493896">
    <w:nsid w:val="62514788"/>
    <w:multiLevelType w:val="singleLevel"/>
    <w:tmpl w:val="62514788"/>
    <w:lvl w:ilvl="0" w:tentative="1">
      <w:start w:val="2"/>
      <w:numFmt w:val="chineseCounting"/>
      <w:suff w:val="nothing"/>
      <w:lvlText w:val="%1、"/>
      <w:lvlJc w:val="left"/>
    </w:lvl>
  </w:abstractNum>
  <w:abstractNum w:abstractNumId="1846168304">
    <w:nsid w:val="6E0A4AF0"/>
    <w:multiLevelType w:val="multilevel"/>
    <w:tmpl w:val="6E0A4AF0"/>
    <w:lvl w:ilvl="0" w:tentative="1">
      <w:start w:val="1"/>
      <w:numFmt w:val="decimal"/>
      <w:lvlText w:val="%1"/>
      <w:lvlJc w:val="left"/>
      <w:pPr>
        <w:tabs>
          <w:tab w:val="left" w:pos="900"/>
        </w:tabs>
        <w:ind w:left="900" w:hanging="900"/>
      </w:pPr>
      <w:rPr>
        <w:rFonts w:hint="eastAsia"/>
      </w:rPr>
    </w:lvl>
    <w:lvl w:ilvl="1" w:tentative="1">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1">
      <w:start w:val="1"/>
      <w:numFmt w:val="decimal"/>
      <w:lvlText w:val="%1.%2.%3"/>
      <w:lvlJc w:val="left"/>
      <w:pPr>
        <w:tabs>
          <w:tab w:val="left" w:pos="1980"/>
        </w:tabs>
        <w:ind w:left="1980" w:hanging="900"/>
      </w:pPr>
      <w:rPr>
        <w:rFonts w:hint="eastAsia"/>
      </w:rPr>
    </w:lvl>
    <w:lvl w:ilvl="3" w:tentative="1">
      <w:start w:val="1"/>
      <w:numFmt w:val="decimal"/>
      <w:lvlText w:val="%1.%2.%3.%4"/>
      <w:lvlJc w:val="left"/>
      <w:pPr>
        <w:tabs>
          <w:tab w:val="left" w:pos="900"/>
        </w:tabs>
        <w:ind w:left="900" w:hanging="900"/>
      </w:pPr>
      <w:rPr>
        <w:rFonts w:hint="eastAsia"/>
      </w:rPr>
    </w:lvl>
    <w:lvl w:ilvl="4" w:tentative="1">
      <w:start w:val="1"/>
      <w:numFmt w:val="decimal"/>
      <w:lvlText w:val="%1.%2.%3.%4.%5"/>
      <w:lvlJc w:val="left"/>
      <w:pPr>
        <w:tabs>
          <w:tab w:val="left" w:pos="900"/>
        </w:tabs>
        <w:ind w:left="900" w:hanging="900"/>
      </w:pPr>
      <w:rPr>
        <w:rFonts w:hint="eastAsia"/>
      </w:rPr>
    </w:lvl>
    <w:lvl w:ilvl="5" w:tentative="1">
      <w:start w:val="1"/>
      <w:numFmt w:val="decimal"/>
      <w:lvlText w:val="%1.%2.%3.%4.%5.%6"/>
      <w:lvlJc w:val="left"/>
      <w:pPr>
        <w:tabs>
          <w:tab w:val="left" w:pos="900"/>
        </w:tabs>
        <w:ind w:left="900" w:hanging="900"/>
      </w:pPr>
      <w:rPr>
        <w:rFonts w:hint="eastAsia"/>
      </w:rPr>
    </w:lvl>
    <w:lvl w:ilvl="6" w:tentative="1">
      <w:start w:val="1"/>
      <w:numFmt w:val="decimal"/>
      <w:lvlText w:val="%1.%2.%3.%4.%5.%6.%7"/>
      <w:lvlJc w:val="left"/>
      <w:pPr>
        <w:tabs>
          <w:tab w:val="left" w:pos="900"/>
        </w:tabs>
        <w:ind w:left="900" w:hanging="900"/>
      </w:pPr>
      <w:rPr>
        <w:rFonts w:hint="eastAsia"/>
      </w:rPr>
    </w:lvl>
    <w:lvl w:ilvl="7" w:tentative="1">
      <w:start w:val="1"/>
      <w:numFmt w:val="decimal"/>
      <w:lvlText w:val="%1.%2.%3.%4.%5.%6.%7.%8"/>
      <w:lvlJc w:val="left"/>
      <w:pPr>
        <w:tabs>
          <w:tab w:val="left" w:pos="900"/>
        </w:tabs>
        <w:ind w:left="900" w:hanging="900"/>
      </w:pPr>
      <w:rPr>
        <w:rFonts w:hint="eastAsia"/>
      </w:rPr>
    </w:lvl>
    <w:lvl w:ilvl="8" w:tentative="1">
      <w:start w:val="1"/>
      <w:numFmt w:val="decimal"/>
      <w:lvlText w:val="%1.%2.%3.%4.%5.%6.%7.%8.%9"/>
      <w:lvlJc w:val="left"/>
      <w:pPr>
        <w:tabs>
          <w:tab w:val="left" w:pos="900"/>
        </w:tabs>
        <w:ind w:left="900" w:hanging="900"/>
      </w:pPr>
      <w:rPr>
        <w:rFonts w:hint="eastAsia"/>
      </w:rPr>
    </w:lvl>
  </w:abstractNum>
  <w:abstractNum w:abstractNumId="3207990246">
    <w:nsid w:val="BF360BE6"/>
    <w:multiLevelType w:val="singleLevel"/>
    <w:tmpl w:val="BF360BE6"/>
    <w:lvl w:ilvl="0" w:tentative="1">
      <w:start w:val="1"/>
      <w:numFmt w:val="decimal"/>
      <w:suff w:val="nothing"/>
      <w:lvlText w:val="%1、"/>
      <w:lvlJc w:val="left"/>
    </w:lvl>
  </w:abstractNum>
  <w:abstractNum w:abstractNumId="1044938295">
    <w:nsid w:val="3E487E37"/>
    <w:multiLevelType w:val="multilevel"/>
    <w:tmpl w:val="3E487E37"/>
    <w:lvl w:ilvl="0" w:tentative="1">
      <w:start w:val="1"/>
      <w:numFmt w:val="decimal"/>
      <w:lvlText w:val="%1"/>
      <w:lvlJc w:val="left"/>
      <w:pPr>
        <w:tabs>
          <w:tab w:val="left" w:pos="900"/>
        </w:tabs>
        <w:ind w:left="900" w:hanging="900"/>
      </w:pPr>
      <w:rPr>
        <w:rFonts w:hint="eastAsia"/>
      </w:rPr>
    </w:lvl>
    <w:lvl w:ilvl="1" w:tentative="1">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1">
      <w:start w:val="1"/>
      <w:numFmt w:val="decimal"/>
      <w:lvlText w:val="%1.%2.%3"/>
      <w:lvlJc w:val="left"/>
      <w:pPr>
        <w:tabs>
          <w:tab w:val="left" w:pos="1980"/>
        </w:tabs>
        <w:ind w:left="1980" w:hanging="900"/>
      </w:pPr>
      <w:rPr>
        <w:rFonts w:hint="eastAsia"/>
      </w:rPr>
    </w:lvl>
    <w:lvl w:ilvl="3" w:tentative="1">
      <w:start w:val="1"/>
      <w:numFmt w:val="decimal"/>
      <w:lvlText w:val="%1.%2.%3.%4"/>
      <w:lvlJc w:val="left"/>
      <w:pPr>
        <w:tabs>
          <w:tab w:val="left" w:pos="900"/>
        </w:tabs>
        <w:ind w:left="900" w:hanging="900"/>
      </w:pPr>
      <w:rPr>
        <w:rFonts w:hint="eastAsia"/>
      </w:rPr>
    </w:lvl>
    <w:lvl w:ilvl="4" w:tentative="1">
      <w:start w:val="1"/>
      <w:numFmt w:val="decimal"/>
      <w:lvlText w:val="%1.%2.%3.%4.%5"/>
      <w:lvlJc w:val="left"/>
      <w:pPr>
        <w:tabs>
          <w:tab w:val="left" w:pos="900"/>
        </w:tabs>
        <w:ind w:left="900" w:hanging="900"/>
      </w:pPr>
      <w:rPr>
        <w:rFonts w:hint="eastAsia"/>
      </w:rPr>
    </w:lvl>
    <w:lvl w:ilvl="5" w:tentative="1">
      <w:start w:val="1"/>
      <w:numFmt w:val="decimal"/>
      <w:lvlText w:val="%1.%2.%3.%4.%5.%6"/>
      <w:lvlJc w:val="left"/>
      <w:pPr>
        <w:tabs>
          <w:tab w:val="left" w:pos="900"/>
        </w:tabs>
        <w:ind w:left="900" w:hanging="900"/>
      </w:pPr>
      <w:rPr>
        <w:rFonts w:hint="eastAsia"/>
      </w:rPr>
    </w:lvl>
    <w:lvl w:ilvl="6" w:tentative="1">
      <w:start w:val="1"/>
      <w:numFmt w:val="decimal"/>
      <w:lvlText w:val="%1.%2.%3.%4.%5.%6.%7"/>
      <w:lvlJc w:val="left"/>
      <w:pPr>
        <w:tabs>
          <w:tab w:val="left" w:pos="900"/>
        </w:tabs>
        <w:ind w:left="900" w:hanging="900"/>
      </w:pPr>
      <w:rPr>
        <w:rFonts w:hint="eastAsia"/>
      </w:rPr>
    </w:lvl>
    <w:lvl w:ilvl="7" w:tentative="1">
      <w:start w:val="1"/>
      <w:numFmt w:val="decimal"/>
      <w:lvlText w:val="%1.%2.%3.%4.%5.%6.%7.%8"/>
      <w:lvlJc w:val="left"/>
      <w:pPr>
        <w:tabs>
          <w:tab w:val="left" w:pos="900"/>
        </w:tabs>
        <w:ind w:left="900" w:hanging="900"/>
      </w:pPr>
      <w:rPr>
        <w:rFonts w:hint="eastAsia"/>
      </w:rPr>
    </w:lvl>
    <w:lvl w:ilvl="8" w:tentative="1">
      <w:start w:val="1"/>
      <w:numFmt w:val="decimal"/>
      <w:lvlText w:val="%1.%2.%3.%4.%5.%6.%7.%8.%9"/>
      <w:lvlJc w:val="left"/>
      <w:pPr>
        <w:tabs>
          <w:tab w:val="left" w:pos="900"/>
        </w:tabs>
        <w:ind w:left="900" w:hanging="900"/>
      </w:pPr>
      <w:rPr>
        <w:rFonts w:hint="eastAsia"/>
      </w:rPr>
    </w:lvl>
  </w:abstractNum>
  <w:abstractNum w:abstractNumId="807429601">
    <w:nsid w:val="302065E1"/>
    <w:multiLevelType w:val="multilevel"/>
    <w:tmpl w:val="302065E1"/>
    <w:lvl w:ilvl="0" w:tentative="1">
      <w:start w:val="1"/>
      <w:numFmt w:val="japaneseCounting"/>
      <w:lvlText w:val="（%1）"/>
      <w:lvlJc w:val="left"/>
      <w:pPr>
        <w:ind w:left="1560" w:hanging="720"/>
      </w:pPr>
      <w:rPr>
        <w:rFonts w:hint="default"/>
      </w:r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1889947492">
    <w:nsid w:val="70A64F64"/>
    <w:multiLevelType w:val="multilevel"/>
    <w:tmpl w:val="70A64F64"/>
    <w:lvl w:ilvl="0" w:tentative="1">
      <w:start w:val="1"/>
      <w:numFmt w:val="japaneseCounting"/>
      <w:lvlText w:val="%1、"/>
      <w:lvlJc w:val="left"/>
      <w:pPr>
        <w:ind w:left="2464" w:hanging="480"/>
      </w:pPr>
      <w:rPr>
        <w:rFonts w:hint="default"/>
      </w:rPr>
    </w:lvl>
    <w:lvl w:ilvl="1" w:tentative="1">
      <w:start w:val="1"/>
      <w:numFmt w:val="lowerLetter"/>
      <w:lvlText w:val="%2)"/>
      <w:lvlJc w:val="left"/>
      <w:pPr>
        <w:ind w:left="2824" w:hanging="420"/>
      </w:pPr>
    </w:lvl>
    <w:lvl w:ilvl="2" w:tentative="1">
      <w:start w:val="1"/>
      <w:numFmt w:val="lowerRoman"/>
      <w:lvlText w:val="%3."/>
      <w:lvlJc w:val="right"/>
      <w:pPr>
        <w:ind w:left="3244" w:hanging="420"/>
      </w:pPr>
    </w:lvl>
    <w:lvl w:ilvl="3" w:tentative="1">
      <w:start w:val="1"/>
      <w:numFmt w:val="decimal"/>
      <w:lvlText w:val="%4."/>
      <w:lvlJc w:val="left"/>
      <w:pPr>
        <w:ind w:left="3664" w:hanging="420"/>
      </w:pPr>
    </w:lvl>
    <w:lvl w:ilvl="4" w:tentative="1">
      <w:start w:val="1"/>
      <w:numFmt w:val="lowerLetter"/>
      <w:lvlText w:val="%5)"/>
      <w:lvlJc w:val="left"/>
      <w:pPr>
        <w:ind w:left="4084" w:hanging="420"/>
      </w:pPr>
    </w:lvl>
    <w:lvl w:ilvl="5" w:tentative="1">
      <w:start w:val="1"/>
      <w:numFmt w:val="lowerRoman"/>
      <w:lvlText w:val="%6."/>
      <w:lvlJc w:val="right"/>
      <w:pPr>
        <w:ind w:left="4504" w:hanging="420"/>
      </w:pPr>
    </w:lvl>
    <w:lvl w:ilvl="6" w:tentative="1">
      <w:start w:val="1"/>
      <w:numFmt w:val="decimal"/>
      <w:lvlText w:val="%7."/>
      <w:lvlJc w:val="left"/>
      <w:pPr>
        <w:ind w:left="4924" w:hanging="420"/>
      </w:pPr>
    </w:lvl>
    <w:lvl w:ilvl="7" w:tentative="1">
      <w:start w:val="1"/>
      <w:numFmt w:val="lowerLetter"/>
      <w:lvlText w:val="%8)"/>
      <w:lvlJc w:val="left"/>
      <w:pPr>
        <w:ind w:left="5344" w:hanging="420"/>
      </w:pPr>
    </w:lvl>
    <w:lvl w:ilvl="8" w:tentative="1">
      <w:start w:val="1"/>
      <w:numFmt w:val="lowerRoman"/>
      <w:lvlText w:val="%9."/>
      <w:lvlJc w:val="right"/>
      <w:pPr>
        <w:ind w:left="5764" w:hanging="420"/>
      </w:pPr>
    </w:lvl>
  </w:abstractNum>
  <w:abstractNum w:abstractNumId="1232234317">
    <w:nsid w:val="4972674D"/>
    <w:multiLevelType w:val="singleLevel"/>
    <w:tmpl w:val="4972674D"/>
    <w:lvl w:ilvl="0" w:tentative="1">
      <w:start w:val="1"/>
      <w:numFmt w:val="japaneseCounting"/>
      <w:lvlText w:val="%1、"/>
      <w:lvlJc w:val="left"/>
      <w:pPr>
        <w:tabs>
          <w:tab w:val="left" w:pos="780"/>
        </w:tabs>
        <w:ind w:left="780" w:hanging="600"/>
      </w:pPr>
      <w:rPr>
        <w:rFonts w:hint="eastAsia"/>
        <w:b w:val="0"/>
      </w:rPr>
    </w:lvl>
  </w:abstractNum>
  <w:abstractNum w:abstractNumId="26763781">
    <w:nsid w:val="01986205"/>
    <w:multiLevelType w:val="multilevel"/>
    <w:tmpl w:val="01986205"/>
    <w:lvl w:ilvl="0" w:tentative="1">
      <w:start w:val="1"/>
      <w:numFmt w:val="decimal"/>
      <w:lvlText w:val="%1."/>
      <w:lvlJc w:val="left"/>
      <w:pPr>
        <w:ind w:left="1242" w:hanging="382"/>
      </w:pPr>
      <w:rPr>
        <w:rFonts w:hint="default" w:ascii="仿宋" w:hAnsi="仿宋" w:eastAsia="仿宋" w:cs="仿宋"/>
        <w:spacing w:val="0"/>
        <w:w w:val="99"/>
        <w:sz w:val="32"/>
        <w:szCs w:val="32"/>
      </w:rPr>
    </w:lvl>
    <w:lvl w:ilvl="1" w:tentative="1">
      <w:start w:val="0"/>
      <w:numFmt w:val="bullet"/>
      <w:lvlText w:val="•"/>
      <w:lvlJc w:val="left"/>
      <w:pPr>
        <w:ind w:left="2010" w:hanging="382"/>
      </w:pPr>
      <w:rPr>
        <w:rFonts w:hint="default"/>
      </w:rPr>
    </w:lvl>
    <w:lvl w:ilvl="2" w:tentative="1">
      <w:start w:val="0"/>
      <w:numFmt w:val="bullet"/>
      <w:lvlText w:val="•"/>
      <w:lvlJc w:val="left"/>
      <w:pPr>
        <w:ind w:left="2781" w:hanging="382"/>
      </w:pPr>
      <w:rPr>
        <w:rFonts w:hint="default"/>
      </w:rPr>
    </w:lvl>
    <w:lvl w:ilvl="3" w:tentative="1">
      <w:start w:val="0"/>
      <w:numFmt w:val="bullet"/>
      <w:lvlText w:val="•"/>
      <w:lvlJc w:val="left"/>
      <w:pPr>
        <w:ind w:left="3551" w:hanging="382"/>
      </w:pPr>
      <w:rPr>
        <w:rFonts w:hint="default"/>
      </w:rPr>
    </w:lvl>
    <w:lvl w:ilvl="4" w:tentative="1">
      <w:start w:val="0"/>
      <w:numFmt w:val="bullet"/>
      <w:lvlText w:val="•"/>
      <w:lvlJc w:val="left"/>
      <w:pPr>
        <w:ind w:left="4322" w:hanging="382"/>
      </w:pPr>
      <w:rPr>
        <w:rFonts w:hint="default"/>
      </w:rPr>
    </w:lvl>
    <w:lvl w:ilvl="5" w:tentative="1">
      <w:start w:val="0"/>
      <w:numFmt w:val="bullet"/>
      <w:lvlText w:val="•"/>
      <w:lvlJc w:val="left"/>
      <w:pPr>
        <w:ind w:left="5093" w:hanging="382"/>
      </w:pPr>
      <w:rPr>
        <w:rFonts w:hint="default"/>
      </w:rPr>
    </w:lvl>
    <w:lvl w:ilvl="6" w:tentative="1">
      <w:start w:val="0"/>
      <w:numFmt w:val="bullet"/>
      <w:lvlText w:val="•"/>
      <w:lvlJc w:val="left"/>
      <w:pPr>
        <w:ind w:left="5863" w:hanging="382"/>
      </w:pPr>
      <w:rPr>
        <w:rFonts w:hint="default"/>
      </w:rPr>
    </w:lvl>
    <w:lvl w:ilvl="7" w:tentative="1">
      <w:start w:val="0"/>
      <w:numFmt w:val="bullet"/>
      <w:lvlText w:val="•"/>
      <w:lvlJc w:val="left"/>
      <w:pPr>
        <w:ind w:left="6634" w:hanging="382"/>
      </w:pPr>
      <w:rPr>
        <w:rFonts w:hint="default"/>
      </w:rPr>
    </w:lvl>
    <w:lvl w:ilvl="8" w:tentative="1">
      <w:start w:val="0"/>
      <w:numFmt w:val="bullet"/>
      <w:lvlText w:val="•"/>
      <w:lvlJc w:val="left"/>
      <w:pPr>
        <w:ind w:left="7404" w:hanging="382"/>
      </w:pPr>
      <w:rPr>
        <w:rFonts w:hint="default"/>
      </w:rPr>
    </w:lvl>
  </w:abstractNum>
  <w:num w:numId="1">
    <w:abstractNumId w:val="237176905"/>
  </w:num>
  <w:num w:numId="2">
    <w:abstractNumId w:val="38"/>
  </w:num>
  <w:num w:numId="3">
    <w:abstractNumId w:val="40"/>
  </w:num>
  <w:num w:numId="4">
    <w:abstractNumId w:val="10"/>
  </w:num>
  <w:num w:numId="5">
    <w:abstractNumId w:val="13"/>
  </w:num>
  <w:num w:numId="6">
    <w:abstractNumId w:val="19"/>
  </w:num>
  <w:num w:numId="7">
    <w:abstractNumId w:val="1694400835"/>
  </w:num>
  <w:num w:numId="8">
    <w:abstractNumId w:val="487937790"/>
  </w:num>
  <w:num w:numId="9">
    <w:abstractNumId w:val="41"/>
  </w:num>
  <w:num w:numId="10">
    <w:abstractNumId w:val="1694400868"/>
  </w:num>
  <w:num w:numId="11">
    <w:abstractNumId w:val="4"/>
  </w:num>
  <w:num w:numId="12">
    <w:abstractNumId w:val="1044938295"/>
  </w:num>
  <w:num w:numId="13">
    <w:abstractNumId w:val="277294506"/>
  </w:num>
  <w:num w:numId="14">
    <w:abstractNumId w:val="1846168304"/>
  </w:num>
  <w:num w:numId="15">
    <w:abstractNumId w:val="1649493896"/>
  </w:num>
  <w:num w:numId="16">
    <w:abstractNumId w:val="1704346076"/>
  </w:num>
  <w:num w:numId="17">
    <w:abstractNumId w:val="3207990246"/>
  </w:num>
  <w:num w:numId="18">
    <w:abstractNumId w:val="807429601"/>
  </w:num>
  <w:num w:numId="19">
    <w:abstractNumId w:val="1232234317"/>
  </w:num>
  <w:num w:numId="20">
    <w:abstractNumId w:val="1889947492"/>
  </w:num>
  <w:num w:numId="21">
    <w:abstractNumId w:val="267637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jBkYWUzMDU5MGI3YzAzMmJlODU2ZTMyYjc5MjMwM2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941"/>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7"/>
    <w:rsid w:val="000109FC"/>
    <w:rsid w:val="00010E8F"/>
    <w:rsid w:val="0001121F"/>
    <w:rsid w:val="0001127B"/>
    <w:rsid w:val="000112A5"/>
    <w:rsid w:val="00011793"/>
    <w:rsid w:val="000118AD"/>
    <w:rsid w:val="00011AFF"/>
    <w:rsid w:val="00011BD5"/>
    <w:rsid w:val="00011DA9"/>
    <w:rsid w:val="00012048"/>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900"/>
    <w:rsid w:val="00022BE1"/>
    <w:rsid w:val="00022D53"/>
    <w:rsid w:val="00022F7D"/>
    <w:rsid w:val="0002328F"/>
    <w:rsid w:val="00023458"/>
    <w:rsid w:val="000234AD"/>
    <w:rsid w:val="00023CAF"/>
    <w:rsid w:val="00023D59"/>
    <w:rsid w:val="000241D9"/>
    <w:rsid w:val="00024343"/>
    <w:rsid w:val="00024427"/>
    <w:rsid w:val="00024446"/>
    <w:rsid w:val="0002455F"/>
    <w:rsid w:val="000247FD"/>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6BE"/>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5FAC"/>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01"/>
    <w:rsid w:val="000630BA"/>
    <w:rsid w:val="0006314D"/>
    <w:rsid w:val="0006336F"/>
    <w:rsid w:val="000633D6"/>
    <w:rsid w:val="000634A5"/>
    <w:rsid w:val="00063AB9"/>
    <w:rsid w:val="00063BFF"/>
    <w:rsid w:val="000640A5"/>
    <w:rsid w:val="00064564"/>
    <w:rsid w:val="000645FE"/>
    <w:rsid w:val="000649EC"/>
    <w:rsid w:val="00064E78"/>
    <w:rsid w:val="00064FF1"/>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E4E"/>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BBA"/>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E9"/>
    <w:rsid w:val="000902F4"/>
    <w:rsid w:val="000904B2"/>
    <w:rsid w:val="00090738"/>
    <w:rsid w:val="00090850"/>
    <w:rsid w:val="00090950"/>
    <w:rsid w:val="00090958"/>
    <w:rsid w:val="00090AAA"/>
    <w:rsid w:val="00090C22"/>
    <w:rsid w:val="00090CC8"/>
    <w:rsid w:val="00090F15"/>
    <w:rsid w:val="000911FC"/>
    <w:rsid w:val="000914C3"/>
    <w:rsid w:val="000914DC"/>
    <w:rsid w:val="0009151E"/>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C0"/>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AE"/>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56"/>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3"/>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FE4"/>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AD"/>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2C"/>
    <w:rsid w:val="000F72E1"/>
    <w:rsid w:val="000F736E"/>
    <w:rsid w:val="000F738E"/>
    <w:rsid w:val="000F74AB"/>
    <w:rsid w:val="000F74D5"/>
    <w:rsid w:val="000F7671"/>
    <w:rsid w:val="000F775A"/>
    <w:rsid w:val="000F7A9B"/>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010"/>
    <w:rsid w:val="0010421A"/>
    <w:rsid w:val="00104312"/>
    <w:rsid w:val="00104581"/>
    <w:rsid w:val="001045A2"/>
    <w:rsid w:val="00104823"/>
    <w:rsid w:val="001048BF"/>
    <w:rsid w:val="001049C9"/>
    <w:rsid w:val="00104AC6"/>
    <w:rsid w:val="00104C7F"/>
    <w:rsid w:val="00104E4C"/>
    <w:rsid w:val="001051DA"/>
    <w:rsid w:val="0010520C"/>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EEF"/>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1DE3"/>
    <w:rsid w:val="001226E3"/>
    <w:rsid w:val="0012282D"/>
    <w:rsid w:val="001229F8"/>
    <w:rsid w:val="00122A53"/>
    <w:rsid w:val="00122A5B"/>
    <w:rsid w:val="00122DB8"/>
    <w:rsid w:val="00122EC6"/>
    <w:rsid w:val="00122EF1"/>
    <w:rsid w:val="00122F50"/>
    <w:rsid w:val="0012309F"/>
    <w:rsid w:val="001233F3"/>
    <w:rsid w:val="0012341B"/>
    <w:rsid w:val="00123451"/>
    <w:rsid w:val="00123497"/>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4E8"/>
    <w:rsid w:val="0013052D"/>
    <w:rsid w:val="00130A6F"/>
    <w:rsid w:val="00130B75"/>
    <w:rsid w:val="00130C9F"/>
    <w:rsid w:val="00130D4E"/>
    <w:rsid w:val="00130DB2"/>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E9C"/>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6B3"/>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BB1"/>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78"/>
    <w:rsid w:val="001604C3"/>
    <w:rsid w:val="0016050D"/>
    <w:rsid w:val="0016079C"/>
    <w:rsid w:val="0016086E"/>
    <w:rsid w:val="001609D0"/>
    <w:rsid w:val="00160A0C"/>
    <w:rsid w:val="00160C89"/>
    <w:rsid w:val="0016104C"/>
    <w:rsid w:val="0016143E"/>
    <w:rsid w:val="00161555"/>
    <w:rsid w:val="00161574"/>
    <w:rsid w:val="001615D5"/>
    <w:rsid w:val="00161601"/>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D39"/>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1E13"/>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950"/>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7A8"/>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A0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08"/>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2A9"/>
    <w:rsid w:val="001E23FD"/>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4B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ECC"/>
    <w:rsid w:val="00222202"/>
    <w:rsid w:val="00222706"/>
    <w:rsid w:val="0022296E"/>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1CD"/>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913"/>
    <w:rsid w:val="00253AA7"/>
    <w:rsid w:val="00253CA5"/>
    <w:rsid w:val="00253F9B"/>
    <w:rsid w:val="002540B5"/>
    <w:rsid w:val="002543A7"/>
    <w:rsid w:val="00254481"/>
    <w:rsid w:val="00254534"/>
    <w:rsid w:val="00254AEF"/>
    <w:rsid w:val="00254DFD"/>
    <w:rsid w:val="00254E22"/>
    <w:rsid w:val="00254EFD"/>
    <w:rsid w:val="002553A1"/>
    <w:rsid w:val="00255507"/>
    <w:rsid w:val="002557F8"/>
    <w:rsid w:val="002558CE"/>
    <w:rsid w:val="00255909"/>
    <w:rsid w:val="00255AFF"/>
    <w:rsid w:val="00255C30"/>
    <w:rsid w:val="00255DB7"/>
    <w:rsid w:val="00255F4F"/>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92"/>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BC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78"/>
    <w:rsid w:val="0027143A"/>
    <w:rsid w:val="00271927"/>
    <w:rsid w:val="00271B76"/>
    <w:rsid w:val="00271CCF"/>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AC"/>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9C"/>
    <w:rsid w:val="00292ACA"/>
    <w:rsid w:val="00292D49"/>
    <w:rsid w:val="00292E74"/>
    <w:rsid w:val="00293497"/>
    <w:rsid w:val="00293919"/>
    <w:rsid w:val="002939AF"/>
    <w:rsid w:val="00293BA4"/>
    <w:rsid w:val="00293C6F"/>
    <w:rsid w:val="00293D57"/>
    <w:rsid w:val="00293F96"/>
    <w:rsid w:val="0029467E"/>
    <w:rsid w:val="00294B02"/>
    <w:rsid w:val="00294EEB"/>
    <w:rsid w:val="002952B1"/>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0"/>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215"/>
    <w:rsid w:val="002A6390"/>
    <w:rsid w:val="002A6767"/>
    <w:rsid w:val="002A6B4C"/>
    <w:rsid w:val="002A6C81"/>
    <w:rsid w:val="002A6CB1"/>
    <w:rsid w:val="002A6CBC"/>
    <w:rsid w:val="002A6CFE"/>
    <w:rsid w:val="002A71C9"/>
    <w:rsid w:val="002A7544"/>
    <w:rsid w:val="002A77D7"/>
    <w:rsid w:val="002A7A0F"/>
    <w:rsid w:val="002A7A18"/>
    <w:rsid w:val="002A7B62"/>
    <w:rsid w:val="002A7E6E"/>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404"/>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8F"/>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CD9"/>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25"/>
    <w:rsid w:val="002E2232"/>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6D"/>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0D"/>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769"/>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EB"/>
    <w:rsid w:val="00341CFB"/>
    <w:rsid w:val="00341E81"/>
    <w:rsid w:val="003421D1"/>
    <w:rsid w:val="0034225D"/>
    <w:rsid w:val="003426DD"/>
    <w:rsid w:val="00342785"/>
    <w:rsid w:val="003428E8"/>
    <w:rsid w:val="0034291A"/>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6FBD"/>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6C"/>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7D"/>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926"/>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584"/>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1B"/>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41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B16"/>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2FD"/>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592"/>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DC9"/>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C00"/>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C43"/>
    <w:rsid w:val="003F3DC8"/>
    <w:rsid w:val="003F3F77"/>
    <w:rsid w:val="003F4362"/>
    <w:rsid w:val="003F479B"/>
    <w:rsid w:val="003F4827"/>
    <w:rsid w:val="003F4839"/>
    <w:rsid w:val="003F4843"/>
    <w:rsid w:val="003F488E"/>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92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CA4"/>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43"/>
    <w:rsid w:val="00424063"/>
    <w:rsid w:val="00424126"/>
    <w:rsid w:val="004241FD"/>
    <w:rsid w:val="004244C4"/>
    <w:rsid w:val="00424855"/>
    <w:rsid w:val="00424975"/>
    <w:rsid w:val="00424A5B"/>
    <w:rsid w:val="00424E92"/>
    <w:rsid w:val="004250B7"/>
    <w:rsid w:val="0042512C"/>
    <w:rsid w:val="00425318"/>
    <w:rsid w:val="00425693"/>
    <w:rsid w:val="004257F4"/>
    <w:rsid w:val="004258FC"/>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A7F"/>
    <w:rsid w:val="00431EB8"/>
    <w:rsid w:val="00431FE3"/>
    <w:rsid w:val="00432295"/>
    <w:rsid w:val="004322D9"/>
    <w:rsid w:val="004323E2"/>
    <w:rsid w:val="0043266A"/>
    <w:rsid w:val="004326FF"/>
    <w:rsid w:val="004329E3"/>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37EDF"/>
    <w:rsid w:val="00440015"/>
    <w:rsid w:val="004406C1"/>
    <w:rsid w:val="004408D1"/>
    <w:rsid w:val="00440DD7"/>
    <w:rsid w:val="00440DED"/>
    <w:rsid w:val="00440EC0"/>
    <w:rsid w:val="00440F5D"/>
    <w:rsid w:val="00441030"/>
    <w:rsid w:val="00441405"/>
    <w:rsid w:val="00441490"/>
    <w:rsid w:val="00441AAC"/>
    <w:rsid w:val="00441B3D"/>
    <w:rsid w:val="00441BFB"/>
    <w:rsid w:val="00441F59"/>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978"/>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6A"/>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7CF"/>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CF6"/>
    <w:rsid w:val="00466FCB"/>
    <w:rsid w:val="004671AE"/>
    <w:rsid w:val="004672B1"/>
    <w:rsid w:val="004672EF"/>
    <w:rsid w:val="0046732E"/>
    <w:rsid w:val="00467B4A"/>
    <w:rsid w:val="00467B78"/>
    <w:rsid w:val="00467D61"/>
    <w:rsid w:val="00467F23"/>
    <w:rsid w:val="00467F80"/>
    <w:rsid w:val="004701E1"/>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580"/>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51E"/>
    <w:rsid w:val="004A56B5"/>
    <w:rsid w:val="004A5CDF"/>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4"/>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52"/>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1E"/>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1B"/>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7"/>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5F6A"/>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3E7"/>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5EC"/>
    <w:rsid w:val="004F1A6A"/>
    <w:rsid w:val="004F1DDB"/>
    <w:rsid w:val="004F1F4D"/>
    <w:rsid w:val="004F21BA"/>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AB"/>
    <w:rsid w:val="005139BE"/>
    <w:rsid w:val="00513B7A"/>
    <w:rsid w:val="00513CC8"/>
    <w:rsid w:val="00514436"/>
    <w:rsid w:val="005145E2"/>
    <w:rsid w:val="00514A01"/>
    <w:rsid w:val="00514B4F"/>
    <w:rsid w:val="00514D4C"/>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D2"/>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AE1"/>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96E"/>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28"/>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032"/>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482"/>
    <w:rsid w:val="00565577"/>
    <w:rsid w:val="0056585F"/>
    <w:rsid w:val="005658E6"/>
    <w:rsid w:val="00565904"/>
    <w:rsid w:val="005659B9"/>
    <w:rsid w:val="00565AB3"/>
    <w:rsid w:val="00566005"/>
    <w:rsid w:val="0056601C"/>
    <w:rsid w:val="00566244"/>
    <w:rsid w:val="00566418"/>
    <w:rsid w:val="00566532"/>
    <w:rsid w:val="0056663D"/>
    <w:rsid w:val="005668B5"/>
    <w:rsid w:val="00566A07"/>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CAF"/>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1D3"/>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EA8"/>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0CA"/>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912"/>
    <w:rsid w:val="00597B38"/>
    <w:rsid w:val="00597E54"/>
    <w:rsid w:val="00597F93"/>
    <w:rsid w:val="005A0053"/>
    <w:rsid w:val="005A013D"/>
    <w:rsid w:val="005A03CE"/>
    <w:rsid w:val="005A0659"/>
    <w:rsid w:val="005A088E"/>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2BC"/>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444"/>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3"/>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75"/>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493"/>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CA"/>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0EE"/>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6C4"/>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2FFF"/>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642"/>
    <w:rsid w:val="0064695D"/>
    <w:rsid w:val="00646A70"/>
    <w:rsid w:val="00646DFA"/>
    <w:rsid w:val="00646E0D"/>
    <w:rsid w:val="00646F0D"/>
    <w:rsid w:val="00646F40"/>
    <w:rsid w:val="006471F4"/>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AC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52E"/>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42"/>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1A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EED"/>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DB3"/>
    <w:rsid w:val="006A3E5A"/>
    <w:rsid w:val="006A401F"/>
    <w:rsid w:val="006A40CC"/>
    <w:rsid w:val="006A4128"/>
    <w:rsid w:val="006A4185"/>
    <w:rsid w:val="006A440E"/>
    <w:rsid w:val="006A4510"/>
    <w:rsid w:val="006A4732"/>
    <w:rsid w:val="006A492C"/>
    <w:rsid w:val="006A4E5E"/>
    <w:rsid w:val="006A4ECD"/>
    <w:rsid w:val="006A50D4"/>
    <w:rsid w:val="006A50FD"/>
    <w:rsid w:val="006A560E"/>
    <w:rsid w:val="006A56AF"/>
    <w:rsid w:val="006A572F"/>
    <w:rsid w:val="006A59DB"/>
    <w:rsid w:val="006A619C"/>
    <w:rsid w:val="006A62BD"/>
    <w:rsid w:val="006A638B"/>
    <w:rsid w:val="006A66D1"/>
    <w:rsid w:val="006A68FD"/>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3E"/>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F00"/>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50"/>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093"/>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65B"/>
    <w:rsid w:val="006F075E"/>
    <w:rsid w:val="006F087C"/>
    <w:rsid w:val="006F0AB6"/>
    <w:rsid w:val="006F0B68"/>
    <w:rsid w:val="006F0CF8"/>
    <w:rsid w:val="006F0D0B"/>
    <w:rsid w:val="006F0E75"/>
    <w:rsid w:val="006F1055"/>
    <w:rsid w:val="006F1345"/>
    <w:rsid w:val="006F17A2"/>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50"/>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A9"/>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13"/>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EE8"/>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2F"/>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4E"/>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0FF1"/>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4D6"/>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BF5"/>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CA"/>
    <w:rsid w:val="007648C5"/>
    <w:rsid w:val="00764BAB"/>
    <w:rsid w:val="00764BF4"/>
    <w:rsid w:val="00764CD3"/>
    <w:rsid w:val="00764D59"/>
    <w:rsid w:val="00764DA1"/>
    <w:rsid w:val="00764E09"/>
    <w:rsid w:val="007651ED"/>
    <w:rsid w:val="007651FA"/>
    <w:rsid w:val="0076543B"/>
    <w:rsid w:val="00765567"/>
    <w:rsid w:val="0076588C"/>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9A1"/>
    <w:rsid w:val="00770AC4"/>
    <w:rsid w:val="00770BC7"/>
    <w:rsid w:val="00770CBA"/>
    <w:rsid w:val="00770F07"/>
    <w:rsid w:val="00770FA9"/>
    <w:rsid w:val="007712FD"/>
    <w:rsid w:val="00771585"/>
    <w:rsid w:val="00771A53"/>
    <w:rsid w:val="00771AAB"/>
    <w:rsid w:val="00771CDE"/>
    <w:rsid w:val="00771FBF"/>
    <w:rsid w:val="00772046"/>
    <w:rsid w:val="007722E4"/>
    <w:rsid w:val="007723D6"/>
    <w:rsid w:val="00772462"/>
    <w:rsid w:val="0077248E"/>
    <w:rsid w:val="007728B1"/>
    <w:rsid w:val="007729F5"/>
    <w:rsid w:val="00772A24"/>
    <w:rsid w:val="00772A52"/>
    <w:rsid w:val="00772F8D"/>
    <w:rsid w:val="007730B5"/>
    <w:rsid w:val="007731ED"/>
    <w:rsid w:val="007733C7"/>
    <w:rsid w:val="007736AB"/>
    <w:rsid w:val="007738C3"/>
    <w:rsid w:val="00773A62"/>
    <w:rsid w:val="00773C34"/>
    <w:rsid w:val="00773E05"/>
    <w:rsid w:val="00773F38"/>
    <w:rsid w:val="0077426A"/>
    <w:rsid w:val="007742C6"/>
    <w:rsid w:val="0077433D"/>
    <w:rsid w:val="0077449C"/>
    <w:rsid w:val="007744B2"/>
    <w:rsid w:val="0077455A"/>
    <w:rsid w:val="0077459A"/>
    <w:rsid w:val="007745FD"/>
    <w:rsid w:val="007749EF"/>
    <w:rsid w:val="00775263"/>
    <w:rsid w:val="0077553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7"/>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548"/>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4E09"/>
    <w:rsid w:val="007B500A"/>
    <w:rsid w:val="007B5149"/>
    <w:rsid w:val="007B523E"/>
    <w:rsid w:val="007B53B6"/>
    <w:rsid w:val="007B590C"/>
    <w:rsid w:val="007B598C"/>
    <w:rsid w:val="007B5DBD"/>
    <w:rsid w:val="007B60DC"/>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D48"/>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1"/>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68B"/>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113"/>
    <w:rsid w:val="0080325D"/>
    <w:rsid w:val="0080334E"/>
    <w:rsid w:val="008038CC"/>
    <w:rsid w:val="008039CC"/>
    <w:rsid w:val="00803B2B"/>
    <w:rsid w:val="00803CC7"/>
    <w:rsid w:val="00803D9B"/>
    <w:rsid w:val="00803E48"/>
    <w:rsid w:val="00803EE0"/>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381"/>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4F0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AE9"/>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6D"/>
    <w:rsid w:val="008471E4"/>
    <w:rsid w:val="0084720A"/>
    <w:rsid w:val="008472A7"/>
    <w:rsid w:val="00847526"/>
    <w:rsid w:val="00847A58"/>
    <w:rsid w:val="00847A69"/>
    <w:rsid w:val="00847C9C"/>
    <w:rsid w:val="00847CB2"/>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5F0"/>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58"/>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E4E"/>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99"/>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024"/>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38"/>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E2"/>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86A"/>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5A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89"/>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71"/>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595"/>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B2F"/>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AE3"/>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249"/>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908"/>
    <w:rsid w:val="00965B06"/>
    <w:rsid w:val="00965F96"/>
    <w:rsid w:val="00966189"/>
    <w:rsid w:val="00966A2D"/>
    <w:rsid w:val="00966D41"/>
    <w:rsid w:val="00966DE0"/>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CD9"/>
    <w:rsid w:val="00980EC9"/>
    <w:rsid w:val="00981009"/>
    <w:rsid w:val="00981129"/>
    <w:rsid w:val="0098138D"/>
    <w:rsid w:val="00981731"/>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3F4C"/>
    <w:rsid w:val="009940E7"/>
    <w:rsid w:val="00994237"/>
    <w:rsid w:val="00994326"/>
    <w:rsid w:val="0099451B"/>
    <w:rsid w:val="00994875"/>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500"/>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65"/>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85"/>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537"/>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5"/>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B0E"/>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EC"/>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2ED6"/>
    <w:rsid w:val="00A23076"/>
    <w:rsid w:val="00A238DC"/>
    <w:rsid w:val="00A239B8"/>
    <w:rsid w:val="00A23CA3"/>
    <w:rsid w:val="00A23E58"/>
    <w:rsid w:val="00A23E66"/>
    <w:rsid w:val="00A2429F"/>
    <w:rsid w:val="00A2430C"/>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91A"/>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376"/>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2B1"/>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70A"/>
    <w:rsid w:val="00A74893"/>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C6A"/>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AD"/>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38"/>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7A5"/>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44"/>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49"/>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8C5"/>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7"/>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1C"/>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2F0"/>
    <w:rsid w:val="00B0177D"/>
    <w:rsid w:val="00B01830"/>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DFA"/>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3F49"/>
    <w:rsid w:val="00B14018"/>
    <w:rsid w:val="00B1410B"/>
    <w:rsid w:val="00B143D6"/>
    <w:rsid w:val="00B14457"/>
    <w:rsid w:val="00B14EA4"/>
    <w:rsid w:val="00B1504B"/>
    <w:rsid w:val="00B154E4"/>
    <w:rsid w:val="00B1571F"/>
    <w:rsid w:val="00B15897"/>
    <w:rsid w:val="00B159C1"/>
    <w:rsid w:val="00B15A26"/>
    <w:rsid w:val="00B15AE1"/>
    <w:rsid w:val="00B15B78"/>
    <w:rsid w:val="00B15D1D"/>
    <w:rsid w:val="00B162EC"/>
    <w:rsid w:val="00B164F7"/>
    <w:rsid w:val="00B1659A"/>
    <w:rsid w:val="00B16620"/>
    <w:rsid w:val="00B167B4"/>
    <w:rsid w:val="00B16888"/>
    <w:rsid w:val="00B169BE"/>
    <w:rsid w:val="00B16B67"/>
    <w:rsid w:val="00B16CC1"/>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4EB"/>
    <w:rsid w:val="00B51500"/>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A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3DA"/>
    <w:rsid w:val="00B644CF"/>
    <w:rsid w:val="00B645A6"/>
    <w:rsid w:val="00B64BC8"/>
    <w:rsid w:val="00B64D0E"/>
    <w:rsid w:val="00B654E9"/>
    <w:rsid w:val="00B656C5"/>
    <w:rsid w:val="00B656FE"/>
    <w:rsid w:val="00B66018"/>
    <w:rsid w:val="00B66127"/>
    <w:rsid w:val="00B6616E"/>
    <w:rsid w:val="00B6630F"/>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782"/>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720"/>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833"/>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013"/>
    <w:rsid w:val="00BA1112"/>
    <w:rsid w:val="00BA12C3"/>
    <w:rsid w:val="00BA1432"/>
    <w:rsid w:val="00BA15B9"/>
    <w:rsid w:val="00BA1913"/>
    <w:rsid w:val="00BA198C"/>
    <w:rsid w:val="00BA1C33"/>
    <w:rsid w:val="00BA1DA0"/>
    <w:rsid w:val="00BA1DF1"/>
    <w:rsid w:val="00BA1F19"/>
    <w:rsid w:val="00BA1FBE"/>
    <w:rsid w:val="00BA23F6"/>
    <w:rsid w:val="00BA242D"/>
    <w:rsid w:val="00BA2436"/>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A4"/>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39"/>
    <w:rsid w:val="00BB4CCF"/>
    <w:rsid w:val="00BB4E88"/>
    <w:rsid w:val="00BB4E8F"/>
    <w:rsid w:val="00BB4ECF"/>
    <w:rsid w:val="00BB4F1C"/>
    <w:rsid w:val="00BB4F35"/>
    <w:rsid w:val="00BB534B"/>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18"/>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E92"/>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77"/>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D3"/>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8B7"/>
    <w:rsid w:val="00C0792A"/>
    <w:rsid w:val="00C07B21"/>
    <w:rsid w:val="00C07C03"/>
    <w:rsid w:val="00C07C0E"/>
    <w:rsid w:val="00C07DD9"/>
    <w:rsid w:val="00C07F1C"/>
    <w:rsid w:val="00C10462"/>
    <w:rsid w:val="00C10480"/>
    <w:rsid w:val="00C106BA"/>
    <w:rsid w:val="00C10792"/>
    <w:rsid w:val="00C108D4"/>
    <w:rsid w:val="00C10B90"/>
    <w:rsid w:val="00C10DC1"/>
    <w:rsid w:val="00C112DF"/>
    <w:rsid w:val="00C1166D"/>
    <w:rsid w:val="00C119EF"/>
    <w:rsid w:val="00C11AAA"/>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1B2"/>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764"/>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79"/>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92"/>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2A"/>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74"/>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56"/>
    <w:rsid w:val="00C56779"/>
    <w:rsid w:val="00C5683B"/>
    <w:rsid w:val="00C56842"/>
    <w:rsid w:val="00C56861"/>
    <w:rsid w:val="00C568F7"/>
    <w:rsid w:val="00C56901"/>
    <w:rsid w:val="00C56E1F"/>
    <w:rsid w:val="00C57057"/>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430"/>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5B"/>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FF"/>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6"/>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507"/>
    <w:rsid w:val="00C978E0"/>
    <w:rsid w:val="00C97AF1"/>
    <w:rsid w:val="00C97C2A"/>
    <w:rsid w:val="00CA03BA"/>
    <w:rsid w:val="00CA043C"/>
    <w:rsid w:val="00CA057D"/>
    <w:rsid w:val="00CA0A26"/>
    <w:rsid w:val="00CA0A48"/>
    <w:rsid w:val="00CA0BEF"/>
    <w:rsid w:val="00CA0E21"/>
    <w:rsid w:val="00CA0EF4"/>
    <w:rsid w:val="00CA1101"/>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867"/>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1D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546"/>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CA2"/>
    <w:rsid w:val="00CE6D34"/>
    <w:rsid w:val="00CE6F8B"/>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B07"/>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EDC"/>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A3"/>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02D"/>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6FAB"/>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280"/>
    <w:rsid w:val="00D4342E"/>
    <w:rsid w:val="00D4355D"/>
    <w:rsid w:val="00D436D6"/>
    <w:rsid w:val="00D43839"/>
    <w:rsid w:val="00D43BF1"/>
    <w:rsid w:val="00D43E54"/>
    <w:rsid w:val="00D43F2E"/>
    <w:rsid w:val="00D44042"/>
    <w:rsid w:val="00D441F4"/>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6F0"/>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4"/>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F4A"/>
    <w:rsid w:val="00D832B9"/>
    <w:rsid w:val="00D832BE"/>
    <w:rsid w:val="00D83398"/>
    <w:rsid w:val="00D83410"/>
    <w:rsid w:val="00D8348E"/>
    <w:rsid w:val="00D83660"/>
    <w:rsid w:val="00D836EF"/>
    <w:rsid w:val="00D8389F"/>
    <w:rsid w:val="00D8398B"/>
    <w:rsid w:val="00D839EE"/>
    <w:rsid w:val="00D841A8"/>
    <w:rsid w:val="00D84252"/>
    <w:rsid w:val="00D8433E"/>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A4E"/>
    <w:rsid w:val="00D87CC8"/>
    <w:rsid w:val="00D87DEA"/>
    <w:rsid w:val="00D87F46"/>
    <w:rsid w:val="00D900B9"/>
    <w:rsid w:val="00D901A8"/>
    <w:rsid w:val="00D902C3"/>
    <w:rsid w:val="00D902D3"/>
    <w:rsid w:val="00D90655"/>
    <w:rsid w:val="00D909AE"/>
    <w:rsid w:val="00D909F9"/>
    <w:rsid w:val="00D90B84"/>
    <w:rsid w:val="00D91045"/>
    <w:rsid w:val="00D9152B"/>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94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063"/>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337"/>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9EC"/>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64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5F7B"/>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8B9"/>
    <w:rsid w:val="00DE4B9F"/>
    <w:rsid w:val="00DE4C0C"/>
    <w:rsid w:val="00DE4EA3"/>
    <w:rsid w:val="00DE502D"/>
    <w:rsid w:val="00DE5388"/>
    <w:rsid w:val="00DE55FC"/>
    <w:rsid w:val="00DE57C4"/>
    <w:rsid w:val="00DE5B92"/>
    <w:rsid w:val="00DE605B"/>
    <w:rsid w:val="00DE6392"/>
    <w:rsid w:val="00DE6674"/>
    <w:rsid w:val="00DE6796"/>
    <w:rsid w:val="00DE6844"/>
    <w:rsid w:val="00DE6D82"/>
    <w:rsid w:val="00DE6D9D"/>
    <w:rsid w:val="00DE6E69"/>
    <w:rsid w:val="00DE6EEB"/>
    <w:rsid w:val="00DE6EED"/>
    <w:rsid w:val="00DE6EF2"/>
    <w:rsid w:val="00DE76EF"/>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1B7"/>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9AC"/>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3EA"/>
    <w:rsid w:val="00E0240A"/>
    <w:rsid w:val="00E02457"/>
    <w:rsid w:val="00E024F8"/>
    <w:rsid w:val="00E0251E"/>
    <w:rsid w:val="00E025BE"/>
    <w:rsid w:val="00E0270E"/>
    <w:rsid w:val="00E027C8"/>
    <w:rsid w:val="00E02CFC"/>
    <w:rsid w:val="00E02F7C"/>
    <w:rsid w:val="00E02FDB"/>
    <w:rsid w:val="00E03026"/>
    <w:rsid w:val="00E03260"/>
    <w:rsid w:val="00E03537"/>
    <w:rsid w:val="00E035FD"/>
    <w:rsid w:val="00E038B9"/>
    <w:rsid w:val="00E03977"/>
    <w:rsid w:val="00E03E4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A1D"/>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187"/>
    <w:rsid w:val="00E2427C"/>
    <w:rsid w:val="00E24295"/>
    <w:rsid w:val="00E242D5"/>
    <w:rsid w:val="00E242EA"/>
    <w:rsid w:val="00E24406"/>
    <w:rsid w:val="00E24649"/>
    <w:rsid w:val="00E24836"/>
    <w:rsid w:val="00E24BDE"/>
    <w:rsid w:val="00E24D87"/>
    <w:rsid w:val="00E24D99"/>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2A5"/>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4D"/>
    <w:rsid w:val="00E312F5"/>
    <w:rsid w:val="00E31342"/>
    <w:rsid w:val="00E315F7"/>
    <w:rsid w:val="00E31665"/>
    <w:rsid w:val="00E318F4"/>
    <w:rsid w:val="00E318F9"/>
    <w:rsid w:val="00E3198C"/>
    <w:rsid w:val="00E31995"/>
    <w:rsid w:val="00E319AE"/>
    <w:rsid w:val="00E31DAA"/>
    <w:rsid w:val="00E31DD1"/>
    <w:rsid w:val="00E321AB"/>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55"/>
    <w:rsid w:val="00E4376E"/>
    <w:rsid w:val="00E437BD"/>
    <w:rsid w:val="00E43819"/>
    <w:rsid w:val="00E43A01"/>
    <w:rsid w:val="00E43BE1"/>
    <w:rsid w:val="00E43D20"/>
    <w:rsid w:val="00E44540"/>
    <w:rsid w:val="00E4476E"/>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DF"/>
    <w:rsid w:val="00E471F8"/>
    <w:rsid w:val="00E47207"/>
    <w:rsid w:val="00E47333"/>
    <w:rsid w:val="00E47428"/>
    <w:rsid w:val="00E474DF"/>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38"/>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AB8"/>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8B9"/>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99C"/>
    <w:rsid w:val="00E90CB1"/>
    <w:rsid w:val="00E90E8B"/>
    <w:rsid w:val="00E90ECC"/>
    <w:rsid w:val="00E90FA8"/>
    <w:rsid w:val="00E90FB4"/>
    <w:rsid w:val="00E9104C"/>
    <w:rsid w:val="00E910A5"/>
    <w:rsid w:val="00E9143D"/>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004"/>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D1C"/>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DEF"/>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5E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8AB"/>
    <w:rsid w:val="00F06919"/>
    <w:rsid w:val="00F06A73"/>
    <w:rsid w:val="00F06B95"/>
    <w:rsid w:val="00F06DA4"/>
    <w:rsid w:val="00F07406"/>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CB6"/>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1CE"/>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DE"/>
    <w:rsid w:val="00F2478B"/>
    <w:rsid w:val="00F249AD"/>
    <w:rsid w:val="00F24A05"/>
    <w:rsid w:val="00F24E55"/>
    <w:rsid w:val="00F24EF4"/>
    <w:rsid w:val="00F25063"/>
    <w:rsid w:val="00F250A4"/>
    <w:rsid w:val="00F25172"/>
    <w:rsid w:val="00F251F3"/>
    <w:rsid w:val="00F2536A"/>
    <w:rsid w:val="00F2537F"/>
    <w:rsid w:val="00F25A82"/>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0D"/>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CE1"/>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A6"/>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11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4C8"/>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5A2"/>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0B8"/>
    <w:rsid w:val="00FC332F"/>
    <w:rsid w:val="00FC33FF"/>
    <w:rsid w:val="00FC3488"/>
    <w:rsid w:val="00FC3617"/>
    <w:rsid w:val="00FC3661"/>
    <w:rsid w:val="00FC3A39"/>
    <w:rsid w:val="00FC3AEC"/>
    <w:rsid w:val="00FC3FBC"/>
    <w:rsid w:val="00FC4060"/>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39"/>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30C"/>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0A"/>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EF7EA8"/>
    <w:rsid w:val="07124E6C"/>
    <w:rsid w:val="08397320"/>
    <w:rsid w:val="09D5E7A1"/>
    <w:rsid w:val="09F22264"/>
    <w:rsid w:val="0B660C1A"/>
    <w:rsid w:val="0BBC084E"/>
    <w:rsid w:val="0C3B0C5F"/>
    <w:rsid w:val="0CA90B96"/>
    <w:rsid w:val="0DAE6A7F"/>
    <w:rsid w:val="0E2313B3"/>
    <w:rsid w:val="0EEE1F8F"/>
    <w:rsid w:val="10216504"/>
    <w:rsid w:val="103A0FFD"/>
    <w:rsid w:val="10AE3B69"/>
    <w:rsid w:val="10E96808"/>
    <w:rsid w:val="11251907"/>
    <w:rsid w:val="11630F21"/>
    <w:rsid w:val="116B5221"/>
    <w:rsid w:val="11C46718"/>
    <w:rsid w:val="127C22A6"/>
    <w:rsid w:val="134D31B8"/>
    <w:rsid w:val="14545F69"/>
    <w:rsid w:val="14EF9280"/>
    <w:rsid w:val="15BA4EC9"/>
    <w:rsid w:val="164F37A5"/>
    <w:rsid w:val="1696521E"/>
    <w:rsid w:val="17B105C9"/>
    <w:rsid w:val="17F93E0B"/>
    <w:rsid w:val="19D931C4"/>
    <w:rsid w:val="1A930F26"/>
    <w:rsid w:val="1B9F1B23"/>
    <w:rsid w:val="1C455CA5"/>
    <w:rsid w:val="1D2C69D2"/>
    <w:rsid w:val="1D3F7C0B"/>
    <w:rsid w:val="1D4E4861"/>
    <w:rsid w:val="1E092B57"/>
    <w:rsid w:val="1E9A0DC1"/>
    <w:rsid w:val="1ECE2518"/>
    <w:rsid w:val="207F3891"/>
    <w:rsid w:val="214A0300"/>
    <w:rsid w:val="22EC7470"/>
    <w:rsid w:val="232B7A18"/>
    <w:rsid w:val="239E00B4"/>
    <w:rsid w:val="23E612F3"/>
    <w:rsid w:val="24474810"/>
    <w:rsid w:val="251E74A4"/>
    <w:rsid w:val="25E863FB"/>
    <w:rsid w:val="266D329C"/>
    <w:rsid w:val="266F13E2"/>
    <w:rsid w:val="26720970"/>
    <w:rsid w:val="26937C58"/>
    <w:rsid w:val="26BC6284"/>
    <w:rsid w:val="276426EF"/>
    <w:rsid w:val="27843CE5"/>
    <w:rsid w:val="289176C4"/>
    <w:rsid w:val="28A42EBB"/>
    <w:rsid w:val="28EB3D63"/>
    <w:rsid w:val="2A055081"/>
    <w:rsid w:val="2AFA300F"/>
    <w:rsid w:val="2B764229"/>
    <w:rsid w:val="2BA72B2A"/>
    <w:rsid w:val="2BBF5C69"/>
    <w:rsid w:val="2C814110"/>
    <w:rsid w:val="2CE35C85"/>
    <w:rsid w:val="2F4148D6"/>
    <w:rsid w:val="2FC67770"/>
    <w:rsid w:val="32655621"/>
    <w:rsid w:val="32923106"/>
    <w:rsid w:val="32EB653A"/>
    <w:rsid w:val="33C33478"/>
    <w:rsid w:val="34A00FA7"/>
    <w:rsid w:val="36305189"/>
    <w:rsid w:val="37365969"/>
    <w:rsid w:val="377F1F9A"/>
    <w:rsid w:val="37D81198"/>
    <w:rsid w:val="38857B60"/>
    <w:rsid w:val="388C070A"/>
    <w:rsid w:val="38992C79"/>
    <w:rsid w:val="39681ABA"/>
    <w:rsid w:val="39CD2AE4"/>
    <w:rsid w:val="3BCB6780"/>
    <w:rsid w:val="3BD85419"/>
    <w:rsid w:val="3C472FAC"/>
    <w:rsid w:val="3CBD12F8"/>
    <w:rsid w:val="3D907D77"/>
    <w:rsid w:val="3D9A402F"/>
    <w:rsid w:val="3D9D02A6"/>
    <w:rsid w:val="3E5D2FA2"/>
    <w:rsid w:val="3F8F6D81"/>
    <w:rsid w:val="3FAE3509"/>
    <w:rsid w:val="41A07ACF"/>
    <w:rsid w:val="41EC7F97"/>
    <w:rsid w:val="42483274"/>
    <w:rsid w:val="42CD0A98"/>
    <w:rsid w:val="431A0C09"/>
    <w:rsid w:val="44D300FF"/>
    <w:rsid w:val="454A4496"/>
    <w:rsid w:val="45B375E6"/>
    <w:rsid w:val="47A45988"/>
    <w:rsid w:val="480E2158"/>
    <w:rsid w:val="48536C35"/>
    <w:rsid w:val="48DC109A"/>
    <w:rsid w:val="48E151B8"/>
    <w:rsid w:val="492225A8"/>
    <w:rsid w:val="4B49587D"/>
    <w:rsid w:val="4B65373A"/>
    <w:rsid w:val="4D00163A"/>
    <w:rsid w:val="4D8265A3"/>
    <w:rsid w:val="4DC22E84"/>
    <w:rsid w:val="4E47087A"/>
    <w:rsid w:val="4E87146A"/>
    <w:rsid w:val="4F0F5BE3"/>
    <w:rsid w:val="507C2AD0"/>
    <w:rsid w:val="50DD4F19"/>
    <w:rsid w:val="513C70A1"/>
    <w:rsid w:val="51671362"/>
    <w:rsid w:val="51E37CA1"/>
    <w:rsid w:val="522A07D0"/>
    <w:rsid w:val="52422029"/>
    <w:rsid w:val="52B8594E"/>
    <w:rsid w:val="55040901"/>
    <w:rsid w:val="55732AA2"/>
    <w:rsid w:val="55A879E0"/>
    <w:rsid w:val="56DF05DE"/>
    <w:rsid w:val="56F70118"/>
    <w:rsid w:val="577C5A27"/>
    <w:rsid w:val="57FC6189"/>
    <w:rsid w:val="5BBD1057"/>
    <w:rsid w:val="5BFD552E"/>
    <w:rsid w:val="5C4461F5"/>
    <w:rsid w:val="5C6B14AF"/>
    <w:rsid w:val="5CB14A88"/>
    <w:rsid w:val="5CE458F6"/>
    <w:rsid w:val="5D15225A"/>
    <w:rsid w:val="5EDE0F33"/>
    <w:rsid w:val="5F073306"/>
    <w:rsid w:val="5F5F73B9"/>
    <w:rsid w:val="60E40384"/>
    <w:rsid w:val="63287067"/>
    <w:rsid w:val="634D74F9"/>
    <w:rsid w:val="637B1D40"/>
    <w:rsid w:val="646E0C9C"/>
    <w:rsid w:val="64CC7EE5"/>
    <w:rsid w:val="64DD274E"/>
    <w:rsid w:val="64F64031"/>
    <w:rsid w:val="652512FD"/>
    <w:rsid w:val="6838144E"/>
    <w:rsid w:val="68AA7398"/>
    <w:rsid w:val="6A364ECE"/>
    <w:rsid w:val="6ACA7463"/>
    <w:rsid w:val="6ACC6222"/>
    <w:rsid w:val="6AE32DA7"/>
    <w:rsid w:val="6D7549B8"/>
    <w:rsid w:val="6DFD0D84"/>
    <w:rsid w:val="6E894928"/>
    <w:rsid w:val="6F97D24A"/>
    <w:rsid w:val="70B921DC"/>
    <w:rsid w:val="71D00147"/>
    <w:rsid w:val="71E909FE"/>
    <w:rsid w:val="72C70FF2"/>
    <w:rsid w:val="72CC4001"/>
    <w:rsid w:val="731F7EDF"/>
    <w:rsid w:val="742C597A"/>
    <w:rsid w:val="74FE287D"/>
    <w:rsid w:val="7508412E"/>
    <w:rsid w:val="75926B15"/>
    <w:rsid w:val="76190EDF"/>
    <w:rsid w:val="77FA105B"/>
    <w:rsid w:val="78671595"/>
    <w:rsid w:val="78AB5A94"/>
    <w:rsid w:val="78BD7B8E"/>
    <w:rsid w:val="79971AD2"/>
    <w:rsid w:val="7A1712DC"/>
    <w:rsid w:val="7B385969"/>
    <w:rsid w:val="7BB77CB5"/>
    <w:rsid w:val="7BC506FF"/>
    <w:rsid w:val="7C114721"/>
    <w:rsid w:val="7CFD75C9"/>
    <w:rsid w:val="7F97D7F2"/>
    <w:rsid w:val="7FE142DA"/>
    <w:rsid w:val="7FFF8C9B"/>
    <w:rsid w:val="A6FEB8E8"/>
    <w:rsid w:val="B7FFE794"/>
    <w:rsid w:val="B85FDB83"/>
    <w:rsid w:val="BDFFAB75"/>
    <w:rsid w:val="C1BF7C39"/>
    <w:rsid w:val="C4BD4666"/>
    <w:rsid w:val="CAFFE76D"/>
    <w:rsid w:val="CB9A31FF"/>
    <w:rsid w:val="D3F7BF08"/>
    <w:rsid w:val="D7BEF8A2"/>
    <w:rsid w:val="DAF67373"/>
    <w:rsid w:val="DC7C6527"/>
    <w:rsid w:val="DEE73C2B"/>
    <w:rsid w:val="EBA7250A"/>
    <w:rsid w:val="EBEB073F"/>
    <w:rsid w:val="EDFF1E69"/>
    <w:rsid w:val="EF7CB3D9"/>
    <w:rsid w:val="EFF5D167"/>
    <w:rsid w:val="F6E6BF62"/>
    <w:rsid w:val="F9F3A65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11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8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8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92"/>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9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87"/>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8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8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4">
    <w:name w:val="Default Paragraph Font"/>
    <w:unhideWhenUsed/>
    <w:qFormat/>
    <w:uiPriority w:val="1"/>
  </w:style>
  <w:style w:type="table" w:default="1" w:styleId="56">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3"/>
    <w:link w:val="91"/>
    <w:qFormat/>
    <w:uiPriority w:val="0"/>
    <w:pPr>
      <w:tabs>
        <w:tab w:val="left" w:pos="567"/>
      </w:tabs>
      <w:spacing w:before="120" w:line="22" w:lineRule="atLeast"/>
    </w:pPr>
    <w:rPr>
      <w:rFonts w:ascii="宋体" w:hAnsi="宋体"/>
      <w:sz w:val="24"/>
    </w:rPr>
  </w:style>
  <w:style w:type="paragraph" w:styleId="3">
    <w:name w:val="index 5"/>
    <w:basedOn w:val="1"/>
    <w:next w:val="1"/>
    <w:qFormat/>
    <w:uiPriority w:val="0"/>
    <w:pPr>
      <w:ind w:left="1680"/>
    </w:pPr>
  </w:style>
  <w:style w:type="paragraph" w:styleId="7">
    <w:name w:val="Normal Indent"/>
    <w:basedOn w:val="1"/>
    <w:link w:val="105"/>
    <w:qFormat/>
    <w:uiPriority w:val="0"/>
    <w:pPr>
      <w:autoSpaceDE w:val="0"/>
      <w:autoSpaceDN w:val="0"/>
      <w:adjustRightInd w:val="0"/>
      <w:ind w:firstLine="420"/>
      <w:jc w:val="left"/>
    </w:pPr>
    <w:rPr>
      <w:rFonts w:ascii="宋体"/>
      <w:sz w:val="24"/>
    </w:rPr>
  </w:style>
  <w:style w:type="paragraph" w:styleId="14">
    <w:name w:val="annotation subject"/>
    <w:basedOn w:val="15"/>
    <w:next w:val="15"/>
    <w:link w:val="111"/>
    <w:qFormat/>
    <w:uiPriority w:val="0"/>
    <w:rPr>
      <w:b/>
      <w:bCs/>
    </w:rPr>
  </w:style>
  <w:style w:type="paragraph" w:styleId="15">
    <w:name w:val="annotation text"/>
    <w:basedOn w:val="1"/>
    <w:link w:val="82"/>
    <w:qFormat/>
    <w:uiPriority w:val="0"/>
    <w:pPr>
      <w:jc w:val="left"/>
    </w:pPr>
  </w:style>
  <w:style w:type="paragraph" w:styleId="16">
    <w:name w:val="toc 7"/>
    <w:basedOn w:val="1"/>
    <w:next w:val="1"/>
    <w:qFormat/>
    <w:uiPriority w:val="0"/>
    <w:pPr>
      <w:ind w:left="2520" w:leftChars="1200"/>
    </w:pPr>
  </w:style>
  <w:style w:type="paragraph" w:styleId="17">
    <w:name w:val="caption"/>
    <w:basedOn w:val="1"/>
    <w:next w:val="1"/>
    <w:qFormat/>
    <w:uiPriority w:val="0"/>
    <w:pPr>
      <w:spacing w:line="480" w:lineRule="auto"/>
    </w:pPr>
    <w:rPr>
      <w:rFonts w:ascii="华文中宋" w:hAnsi="华文中宋" w:eastAsia="华文中宋"/>
      <w:sz w:val="36"/>
      <w:szCs w:val="20"/>
    </w:rPr>
  </w:style>
  <w:style w:type="paragraph" w:styleId="18">
    <w:name w:val="Document Map"/>
    <w:basedOn w:val="1"/>
    <w:link w:val="88"/>
    <w:qFormat/>
    <w:uiPriority w:val="0"/>
    <w:pPr>
      <w:shd w:val="clear" w:color="auto" w:fill="000080"/>
    </w:pPr>
  </w:style>
  <w:style w:type="paragraph" w:styleId="19">
    <w:name w:val="Body Text 3"/>
    <w:basedOn w:val="1"/>
    <w:link w:val="118"/>
    <w:qFormat/>
    <w:uiPriority w:val="0"/>
    <w:pPr>
      <w:spacing w:after="120"/>
    </w:pPr>
    <w:rPr>
      <w:sz w:val="16"/>
      <w:szCs w:val="16"/>
    </w:rPr>
  </w:style>
  <w:style w:type="paragraph" w:styleId="20">
    <w:name w:val="Body Text Indent"/>
    <w:basedOn w:val="1"/>
    <w:link w:val="108"/>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90"/>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81"/>
    <w:qFormat/>
    <w:uiPriority w:val="0"/>
    <w:pPr>
      <w:ind w:left="100" w:leftChars="2500"/>
    </w:pPr>
    <w:rPr>
      <w:rFonts w:ascii="仿宋_GB2312" w:hAnsi="宋体" w:eastAsia="仿宋_GB2312"/>
      <w:color w:val="000000"/>
      <w:sz w:val="24"/>
    </w:rPr>
  </w:style>
  <w:style w:type="paragraph" w:styleId="28">
    <w:name w:val="Body Text Indent 2"/>
    <w:basedOn w:val="1"/>
    <w:link w:val="126"/>
    <w:qFormat/>
    <w:uiPriority w:val="0"/>
    <w:pPr>
      <w:ind w:firstLine="480" w:firstLineChars="200"/>
    </w:pPr>
    <w:rPr>
      <w:rFonts w:ascii="仿宋_GB2312" w:eastAsia="仿宋_GB2312"/>
      <w:sz w:val="24"/>
    </w:rPr>
  </w:style>
  <w:style w:type="paragraph" w:styleId="29">
    <w:name w:val="Balloon Text"/>
    <w:basedOn w:val="1"/>
    <w:link w:val="93"/>
    <w:qFormat/>
    <w:uiPriority w:val="0"/>
    <w:rPr>
      <w:sz w:val="18"/>
      <w:szCs w:val="18"/>
    </w:rPr>
  </w:style>
  <w:style w:type="paragraph" w:styleId="30">
    <w:name w:val="footer"/>
    <w:basedOn w:val="1"/>
    <w:link w:val="11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basedOn w:val="1"/>
    <w:qFormat/>
    <w:uiPriority w:val="0"/>
    <w:pPr>
      <w:snapToGrid w:val="0"/>
    </w:pPr>
    <w:rPr>
      <w:rFonts w:ascii="Arial" w:hAnsi="Arial"/>
    </w:rPr>
  </w:style>
  <w:style w:type="paragraph" w:styleId="32">
    <w:name w:val="Body Text First Indent 2"/>
    <w:basedOn w:val="20"/>
    <w:link w:val="127"/>
    <w:qFormat/>
    <w:uiPriority w:val="0"/>
    <w:pPr>
      <w:spacing w:after="120" w:line="480" w:lineRule="exact"/>
      <w:ind w:left="420" w:leftChars="200" w:firstLine="420" w:firstLineChars="200"/>
    </w:pPr>
    <w:rPr>
      <w:szCs w:val="20"/>
    </w:rPr>
  </w:style>
  <w:style w:type="paragraph" w:styleId="33">
    <w:name w:val="header"/>
    <w:basedOn w:val="1"/>
    <w:link w:val="109"/>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5">
    <w:name w:val="toc 4"/>
    <w:basedOn w:val="1"/>
    <w:next w:val="1"/>
    <w:qFormat/>
    <w:uiPriority w:val="39"/>
    <w:pPr>
      <w:ind w:left="1260" w:leftChars="600"/>
    </w:pPr>
  </w:style>
  <w:style w:type="paragraph" w:styleId="36">
    <w:name w:val="toc 6"/>
    <w:basedOn w:val="1"/>
    <w:next w:val="1"/>
    <w:qFormat/>
    <w:uiPriority w:val="0"/>
    <w:pPr>
      <w:ind w:left="2100" w:leftChars="1000"/>
    </w:pPr>
  </w:style>
  <w:style w:type="paragraph" w:styleId="37">
    <w:name w:val="Body Text Indent 3"/>
    <w:basedOn w:val="1"/>
    <w:link w:val="8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next w:val="1"/>
    <w:link w:val="84"/>
    <w:qFormat/>
    <w:uiPriority w:val="0"/>
    <w:pPr>
      <w:jc w:val="center"/>
      <w:outlineLvl w:val="0"/>
    </w:pPr>
    <w:rPr>
      <w:b/>
      <w:sz w:val="32"/>
      <w:szCs w:val="20"/>
    </w:rPr>
  </w:style>
  <w:style w:type="character" w:styleId="45">
    <w:name w:val="Strong"/>
    <w:qFormat/>
    <w:uiPriority w:val="0"/>
    <w:rPr>
      <w:b/>
      <w:bCs/>
    </w:rPr>
  </w:style>
  <w:style w:type="character" w:styleId="46">
    <w:name w:val="page number"/>
    <w:qFormat/>
    <w:uiPriority w:val="0"/>
  </w:style>
  <w:style w:type="character" w:styleId="47">
    <w:name w:val="FollowedHyperlink"/>
    <w:qFormat/>
    <w:uiPriority w:val="0"/>
    <w:rPr>
      <w:color w:val="800080"/>
      <w:u w:val="single"/>
    </w:rPr>
  </w:style>
  <w:style w:type="character" w:styleId="48">
    <w:name w:val="Emphasis"/>
    <w:qFormat/>
    <w:uiPriority w:val="0"/>
    <w:rPr>
      <w:color w:val="CC0033"/>
    </w:rPr>
  </w:style>
  <w:style w:type="character" w:styleId="49">
    <w:name w:val="HTML Definition"/>
    <w:basedOn w:val="44"/>
    <w:qFormat/>
    <w:uiPriority w:val="0"/>
  </w:style>
  <w:style w:type="character" w:styleId="50">
    <w:name w:val="HTML Acronym"/>
    <w:basedOn w:val="44"/>
    <w:qFormat/>
    <w:uiPriority w:val="0"/>
  </w:style>
  <w:style w:type="character" w:styleId="51">
    <w:name w:val="HTML Variable"/>
    <w:basedOn w:val="44"/>
    <w:qFormat/>
    <w:uiPriority w:val="0"/>
  </w:style>
  <w:style w:type="character" w:styleId="52">
    <w:name w:val="Hyperlink"/>
    <w:qFormat/>
    <w:uiPriority w:val="0"/>
    <w:rPr>
      <w:color w:val="0000FF"/>
      <w:u w:val="single"/>
    </w:rPr>
  </w:style>
  <w:style w:type="character" w:styleId="53">
    <w:name w:val="HTML Code"/>
    <w:basedOn w:val="44"/>
    <w:qFormat/>
    <w:uiPriority w:val="0"/>
    <w:rPr>
      <w:rFonts w:ascii="Courier New" w:hAnsi="Courier New"/>
      <w:sz w:val="20"/>
    </w:rPr>
  </w:style>
  <w:style w:type="character" w:styleId="54">
    <w:name w:val="annotation reference"/>
    <w:qFormat/>
    <w:uiPriority w:val="0"/>
    <w:rPr>
      <w:sz w:val="21"/>
      <w:szCs w:val="21"/>
    </w:rPr>
  </w:style>
  <w:style w:type="character" w:styleId="55">
    <w:name w:val="HTML Cite"/>
    <w:qFormat/>
    <w:uiPriority w:val="0"/>
    <w:rPr>
      <w:i/>
      <w:iCs/>
    </w:rPr>
  </w:style>
  <w:style w:type="table" w:styleId="57">
    <w:name w:val="Table Grid"/>
    <w:basedOn w:val="5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58">
    <w:name w:val="Medium Grid 1 Accent 2"/>
    <w:basedOn w:val="5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59">
    <w:name w:val="标题 1 字符"/>
    <w:link w:val="4"/>
    <w:qFormat/>
    <w:uiPriority w:val="0"/>
    <w:rPr>
      <w:rFonts w:ascii="宋体"/>
      <w:b/>
      <w:kern w:val="44"/>
      <w:sz w:val="32"/>
    </w:rPr>
  </w:style>
  <w:style w:type="character" w:customStyle="1" w:styleId="60">
    <w:name w:val="正文大标题 Char"/>
    <w:link w:val="61"/>
    <w:qFormat/>
    <w:uiPriority w:val="0"/>
    <w:rPr>
      <w:rFonts w:ascii="宋体" w:hAnsi="宋体"/>
      <w:b/>
      <w:color w:val="000000"/>
      <w:kern w:val="2"/>
      <w:sz w:val="28"/>
      <w:szCs w:val="21"/>
    </w:rPr>
  </w:style>
  <w:style w:type="paragraph" w:customStyle="1" w:styleId="61">
    <w:name w:val="正文大标题"/>
    <w:basedOn w:val="62"/>
    <w:next w:val="7"/>
    <w:link w:val="60"/>
    <w:qFormat/>
    <w:uiPriority w:val="0"/>
    <w:pPr>
      <w:jc w:val="center"/>
    </w:pPr>
    <w:rPr>
      <w:i w:val="0"/>
      <w:color w:val="000000"/>
      <w:sz w:val="28"/>
      <w:szCs w:val="21"/>
    </w:rPr>
  </w:style>
  <w:style w:type="paragraph" w:customStyle="1" w:styleId="62">
    <w:name w:val="正文小标题"/>
    <w:basedOn w:val="1"/>
    <w:next w:val="7"/>
    <w:link w:val="9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63">
    <w:name w:val="中等深浅网格 1 - 强调文字颜色 2 Char"/>
    <w:link w:val="64"/>
    <w:qFormat/>
    <w:uiPriority w:val="0"/>
    <w:rPr>
      <w:kern w:val="2"/>
      <w:sz w:val="21"/>
      <w:szCs w:val="24"/>
      <w:lang w:val="zh-CN" w:eastAsia="zh-CN"/>
    </w:rPr>
  </w:style>
  <w:style w:type="paragraph" w:customStyle="1" w:styleId="64">
    <w:name w:val="1"/>
    <w:link w:val="63"/>
    <w:qFormat/>
    <w:uiPriority w:val="0"/>
    <w:rPr>
      <w:rFonts w:ascii="Times New Roman" w:hAnsi="Times New Roman" w:eastAsia="宋体" w:cs="Times New Roman"/>
      <w:kern w:val="2"/>
      <w:sz w:val="21"/>
      <w:szCs w:val="24"/>
      <w:lang w:val="zh-CN" w:eastAsia="zh-CN" w:bidi="ar-SA"/>
    </w:rPr>
  </w:style>
  <w:style w:type="character" w:customStyle="1" w:styleId="65">
    <w:name w:val="注释 Char"/>
    <w:link w:val="66"/>
    <w:qFormat/>
    <w:uiPriority w:val="0"/>
    <w:rPr>
      <w:rFonts w:ascii="宋体" w:hAnsi="宋体"/>
      <w:kern w:val="2"/>
      <w:sz w:val="21"/>
      <w:szCs w:val="21"/>
    </w:rPr>
  </w:style>
  <w:style w:type="paragraph" w:customStyle="1" w:styleId="66">
    <w:name w:val="注释"/>
    <w:basedOn w:val="1"/>
    <w:link w:val="65"/>
    <w:qFormat/>
    <w:uiPriority w:val="0"/>
    <w:pPr>
      <w:adjustRightInd w:val="0"/>
      <w:snapToGrid w:val="0"/>
      <w:ind w:left="420" w:hanging="420" w:hangingChars="200"/>
      <w:jc w:val="left"/>
    </w:pPr>
    <w:rPr>
      <w:rFonts w:ascii="宋体" w:hAnsi="宋体"/>
      <w:szCs w:val="21"/>
    </w:rPr>
  </w:style>
  <w:style w:type="character" w:customStyle="1" w:styleId="67">
    <w:name w:val="locality"/>
    <w:qFormat/>
    <w:uiPriority w:val="0"/>
  </w:style>
  <w:style w:type="character" w:customStyle="1" w:styleId="68">
    <w:name w:val="批注文字 Char"/>
    <w:qFormat/>
    <w:uiPriority w:val="99"/>
    <w:rPr>
      <w:kern w:val="2"/>
      <w:sz w:val="21"/>
      <w:szCs w:val="24"/>
    </w:rPr>
  </w:style>
  <w:style w:type="character" w:customStyle="1" w:styleId="69">
    <w:name w:val="title4"/>
    <w:qFormat/>
    <w:uiPriority w:val="0"/>
    <w:rPr>
      <w:b/>
      <w:bCs/>
      <w:color w:val="1D87B3"/>
      <w:sz w:val="15"/>
      <w:szCs w:val="15"/>
    </w:rPr>
  </w:style>
  <w:style w:type="character" w:customStyle="1" w:styleId="70">
    <w:name w:val="标题 Char"/>
    <w:qFormat/>
    <w:uiPriority w:val="0"/>
    <w:rPr>
      <w:b/>
      <w:kern w:val="2"/>
      <w:sz w:val="32"/>
    </w:rPr>
  </w:style>
  <w:style w:type="character" w:customStyle="1" w:styleId="71">
    <w:name w:val="chanpin拷贝"/>
    <w:qFormat/>
    <w:uiPriority w:val="0"/>
  </w:style>
  <w:style w:type="character" w:customStyle="1" w:styleId="72">
    <w:name w:val="正文缩进 Char"/>
    <w:qFormat/>
    <w:uiPriority w:val="0"/>
    <w:rPr>
      <w:rFonts w:ascii="宋体" w:eastAsia="宋体"/>
      <w:kern w:val="2"/>
      <w:sz w:val="24"/>
      <w:szCs w:val="24"/>
      <w:lang w:val="en-US" w:eastAsia="zh-CN" w:bidi="ar-SA"/>
    </w:rPr>
  </w:style>
  <w:style w:type="character" w:customStyle="1" w:styleId="73">
    <w:name w:val="black1"/>
    <w:qFormat/>
    <w:uiPriority w:val="0"/>
    <w:rPr>
      <w:color w:val="000000"/>
    </w:rPr>
  </w:style>
  <w:style w:type="character" w:customStyle="1" w:styleId="74">
    <w:name w:val="标题 2 Char Char"/>
    <w:qFormat/>
    <w:uiPriority w:val="0"/>
    <w:rPr>
      <w:rFonts w:ascii="Arial" w:hAnsi="Arial" w:eastAsia="黑体"/>
      <w:b/>
      <w:bCs/>
      <w:kern w:val="2"/>
      <w:sz w:val="32"/>
      <w:szCs w:val="32"/>
      <w:lang w:val="en-US" w:eastAsia="zh-CN" w:bidi="ar-SA"/>
    </w:rPr>
  </w:style>
  <w:style w:type="character" w:customStyle="1" w:styleId="75">
    <w:name w:val="正文文本缩进 Char"/>
    <w:qFormat/>
    <w:uiPriority w:val="0"/>
    <w:rPr>
      <w:rFonts w:eastAsia="宋体"/>
      <w:kern w:val="2"/>
      <w:sz w:val="24"/>
      <w:szCs w:val="24"/>
      <w:lang w:val="en-US" w:eastAsia="zh-CN" w:bidi="ar-SA"/>
    </w:rPr>
  </w:style>
  <w:style w:type="character" w:customStyle="1" w:styleId="76">
    <w:name w:val="普通文字1 Char1"/>
    <w:qFormat/>
    <w:uiPriority w:val="0"/>
    <w:rPr>
      <w:rFonts w:ascii="宋体" w:hAnsi="Courier New" w:eastAsia="宋体"/>
      <w:kern w:val="2"/>
      <w:sz w:val="21"/>
      <w:lang w:val="en-US" w:eastAsia="zh-CN" w:bidi="ar-SA"/>
    </w:rPr>
  </w:style>
  <w:style w:type="character" w:customStyle="1" w:styleId="77">
    <w:name w:val="apple-style-span"/>
    <w:qFormat/>
    <w:uiPriority w:val="0"/>
    <w:rPr>
      <w:rFonts w:cs="Times New Roman"/>
    </w:rPr>
  </w:style>
  <w:style w:type="character" w:customStyle="1" w:styleId="78">
    <w:name w:val="Char Char111"/>
    <w:qFormat/>
    <w:uiPriority w:val="0"/>
    <w:rPr>
      <w:rFonts w:ascii="宋体" w:eastAsia="宋体"/>
      <w:b/>
      <w:sz w:val="24"/>
      <w:u w:val="single"/>
      <w:lang w:val="en-US" w:eastAsia="zh-CN" w:bidi="ar-SA"/>
    </w:rPr>
  </w:style>
  <w:style w:type="character" w:customStyle="1" w:styleId="79">
    <w:name w:val="bjh-p"/>
    <w:qFormat/>
    <w:uiPriority w:val="0"/>
  </w:style>
  <w:style w:type="character" w:customStyle="1" w:styleId="80">
    <w:name w:val="标题 3 字符"/>
    <w:link w:val="6"/>
    <w:qFormat/>
    <w:uiPriority w:val="0"/>
    <w:rPr>
      <w:rFonts w:ascii="宋体" w:eastAsia="宋体"/>
      <w:b/>
      <w:sz w:val="24"/>
      <w:u w:val="single"/>
      <w:lang w:val="en-US" w:eastAsia="zh-CN" w:bidi="ar-SA"/>
    </w:rPr>
  </w:style>
  <w:style w:type="character" w:customStyle="1" w:styleId="81">
    <w:name w:val="日期 字符"/>
    <w:link w:val="27"/>
    <w:qFormat/>
    <w:uiPriority w:val="0"/>
    <w:rPr>
      <w:rFonts w:ascii="仿宋_GB2312" w:hAnsi="宋体" w:eastAsia="仿宋_GB2312"/>
      <w:color w:val="000000"/>
      <w:kern w:val="2"/>
      <w:sz w:val="24"/>
      <w:szCs w:val="24"/>
    </w:rPr>
  </w:style>
  <w:style w:type="character" w:customStyle="1" w:styleId="82">
    <w:name w:val="批注文字 字符1"/>
    <w:link w:val="15"/>
    <w:qFormat/>
    <w:uiPriority w:val="99"/>
    <w:rPr>
      <w:kern w:val="2"/>
      <w:sz w:val="21"/>
      <w:szCs w:val="24"/>
    </w:rPr>
  </w:style>
  <w:style w:type="character" w:customStyle="1" w:styleId="83">
    <w:name w:val="标题 4 字符"/>
    <w:link w:val="8"/>
    <w:qFormat/>
    <w:uiPriority w:val="0"/>
    <w:rPr>
      <w:rFonts w:ascii="Arial" w:hAnsi="Arial" w:eastAsia="黑体"/>
      <w:b/>
      <w:sz w:val="28"/>
    </w:rPr>
  </w:style>
  <w:style w:type="character" w:customStyle="1" w:styleId="84">
    <w:name w:val="标题 字符"/>
    <w:link w:val="43"/>
    <w:qFormat/>
    <w:uiPriority w:val="0"/>
    <w:rPr>
      <w:b/>
      <w:kern w:val="2"/>
      <w:sz w:val="32"/>
    </w:rPr>
  </w:style>
  <w:style w:type="character" w:customStyle="1" w:styleId="85">
    <w:name w:val="标题 9 字符"/>
    <w:link w:val="13"/>
    <w:qFormat/>
    <w:uiPriority w:val="0"/>
    <w:rPr>
      <w:rFonts w:ascii="Arial" w:hAnsi="Arial" w:eastAsia="黑体"/>
      <w:sz w:val="21"/>
    </w:rPr>
  </w:style>
  <w:style w:type="character" w:customStyle="1" w:styleId="86">
    <w:name w:val="正文文本缩进 3 字符"/>
    <w:link w:val="37"/>
    <w:qFormat/>
    <w:uiPriority w:val="0"/>
    <w:rPr>
      <w:rFonts w:ascii="宋体"/>
      <w:sz w:val="24"/>
    </w:rPr>
  </w:style>
  <w:style w:type="character" w:customStyle="1" w:styleId="87">
    <w:name w:val="标题 7 字符"/>
    <w:link w:val="11"/>
    <w:qFormat/>
    <w:uiPriority w:val="0"/>
    <w:rPr>
      <w:b/>
      <w:sz w:val="24"/>
    </w:rPr>
  </w:style>
  <w:style w:type="character" w:customStyle="1" w:styleId="88">
    <w:name w:val="文档结构图 字符"/>
    <w:link w:val="18"/>
    <w:qFormat/>
    <w:uiPriority w:val="0"/>
    <w:rPr>
      <w:kern w:val="2"/>
      <w:sz w:val="21"/>
      <w:szCs w:val="24"/>
      <w:shd w:val="clear" w:color="auto" w:fill="000080"/>
    </w:rPr>
  </w:style>
  <w:style w:type="character" w:customStyle="1" w:styleId="89">
    <w:name w:val="标题 8 字符"/>
    <w:link w:val="12"/>
    <w:qFormat/>
    <w:uiPriority w:val="0"/>
    <w:rPr>
      <w:rFonts w:ascii="Arial" w:hAnsi="Arial" w:eastAsia="黑体"/>
      <w:sz w:val="24"/>
    </w:rPr>
  </w:style>
  <w:style w:type="character" w:customStyle="1" w:styleId="90">
    <w:name w:val="纯文本 字符2"/>
    <w:link w:val="25"/>
    <w:qFormat/>
    <w:uiPriority w:val="0"/>
    <w:rPr>
      <w:rFonts w:hint="eastAsia" w:ascii="宋体" w:hAnsi="Courier New" w:eastAsia="宋体" w:cs="宋体"/>
      <w:kern w:val="2"/>
      <w:sz w:val="21"/>
    </w:rPr>
  </w:style>
  <w:style w:type="character" w:customStyle="1" w:styleId="91">
    <w:name w:val="正文文本 字符"/>
    <w:link w:val="2"/>
    <w:qFormat/>
    <w:uiPriority w:val="0"/>
    <w:rPr>
      <w:rFonts w:ascii="宋体" w:hAnsi="宋体"/>
      <w:kern w:val="2"/>
      <w:sz w:val="24"/>
      <w:szCs w:val="24"/>
    </w:rPr>
  </w:style>
  <w:style w:type="character" w:customStyle="1" w:styleId="92">
    <w:name w:val="标题 5 字符"/>
    <w:link w:val="9"/>
    <w:qFormat/>
    <w:uiPriority w:val="0"/>
    <w:rPr>
      <w:b/>
      <w:sz w:val="28"/>
    </w:rPr>
  </w:style>
  <w:style w:type="character" w:customStyle="1" w:styleId="93">
    <w:name w:val="批注框文本 字符"/>
    <w:link w:val="29"/>
    <w:qFormat/>
    <w:uiPriority w:val="0"/>
    <w:rPr>
      <w:kern w:val="2"/>
      <w:sz w:val="18"/>
      <w:szCs w:val="18"/>
    </w:rPr>
  </w:style>
  <w:style w:type="character" w:customStyle="1" w:styleId="94">
    <w:name w:val="HTML 预设格式 字符"/>
    <w:link w:val="40"/>
    <w:qFormat/>
    <w:uiPriority w:val="0"/>
    <w:rPr>
      <w:rFonts w:ascii="宋体" w:hAnsi="宋体" w:cs="宋体"/>
      <w:sz w:val="24"/>
      <w:szCs w:val="24"/>
    </w:rPr>
  </w:style>
  <w:style w:type="character" w:customStyle="1" w:styleId="95">
    <w:name w:val="标题 6 字符"/>
    <w:link w:val="10"/>
    <w:qFormat/>
    <w:uiPriority w:val="0"/>
    <w:rPr>
      <w:rFonts w:ascii="Arial" w:hAnsi="Arial" w:eastAsia="黑体"/>
      <w:b/>
      <w:sz w:val="24"/>
    </w:rPr>
  </w:style>
  <w:style w:type="character" w:customStyle="1" w:styleId="96">
    <w:name w:val="页眉 Char"/>
    <w:qFormat/>
    <w:uiPriority w:val="0"/>
    <w:rPr>
      <w:rFonts w:eastAsia="宋体"/>
      <w:kern w:val="2"/>
      <w:sz w:val="18"/>
      <w:szCs w:val="18"/>
      <w:lang w:val="en-US" w:eastAsia="zh-CN" w:bidi="ar-SA"/>
    </w:rPr>
  </w:style>
  <w:style w:type="character" w:customStyle="1" w:styleId="97">
    <w:name w:val="正文表格 Char"/>
    <w:link w:val="98"/>
    <w:qFormat/>
    <w:uiPriority w:val="0"/>
    <w:rPr>
      <w:rFonts w:ascii="宋体" w:hAnsi="宋体"/>
      <w:color w:val="000000"/>
      <w:kern w:val="2"/>
      <w:sz w:val="21"/>
      <w:szCs w:val="21"/>
    </w:rPr>
  </w:style>
  <w:style w:type="paragraph" w:customStyle="1" w:styleId="98">
    <w:name w:val="正文表格"/>
    <w:basedOn w:val="1"/>
    <w:link w:val="97"/>
    <w:qFormat/>
    <w:uiPriority w:val="0"/>
    <w:pPr>
      <w:adjustRightInd w:val="0"/>
      <w:snapToGrid w:val="0"/>
      <w:jc w:val="left"/>
    </w:pPr>
    <w:rPr>
      <w:rFonts w:ascii="宋体" w:hAnsi="宋体"/>
      <w:color w:val="000000"/>
      <w:szCs w:val="21"/>
    </w:rPr>
  </w:style>
  <w:style w:type="character" w:customStyle="1" w:styleId="99">
    <w:name w:val="正文小标题 Char"/>
    <w:link w:val="62"/>
    <w:qFormat/>
    <w:uiPriority w:val="0"/>
    <w:rPr>
      <w:rFonts w:ascii="宋体" w:hAnsi="宋体"/>
      <w:b/>
      <w:i/>
      <w:color w:val="FF0000"/>
      <w:kern w:val="2"/>
      <w:sz w:val="24"/>
    </w:rPr>
  </w:style>
  <w:style w:type="character" w:customStyle="1" w:styleId="100">
    <w:name w:val="street-address"/>
    <w:qFormat/>
    <w:uiPriority w:val="0"/>
  </w:style>
  <w:style w:type="character" w:customStyle="1" w:styleId="101">
    <w:name w:val="标题 2 Char"/>
    <w:qFormat/>
    <w:uiPriority w:val="0"/>
    <w:rPr>
      <w:rFonts w:ascii="Arial" w:hAnsi="Arial" w:eastAsia="黑体"/>
      <w:b/>
      <w:sz w:val="30"/>
      <w:lang w:val="en-US" w:eastAsia="zh-CN" w:bidi="ar-SA"/>
    </w:rPr>
  </w:style>
  <w:style w:type="character" w:customStyle="1" w:styleId="102">
    <w:name w:val="列出段落 字符"/>
    <w:link w:val="103"/>
    <w:qFormat/>
    <w:uiPriority w:val="34"/>
    <w:rPr>
      <w:rFonts w:ascii="Calibri" w:hAnsi="Calibri" w:eastAsia="宋体"/>
      <w:kern w:val="2"/>
      <w:sz w:val="21"/>
      <w:szCs w:val="22"/>
      <w:lang w:val="en-US" w:eastAsia="zh-CN" w:bidi="ar-SA"/>
    </w:rPr>
  </w:style>
  <w:style w:type="paragraph" w:customStyle="1" w:styleId="103">
    <w:name w:val="列出段落1"/>
    <w:basedOn w:val="1"/>
    <w:link w:val="102"/>
    <w:qFormat/>
    <w:uiPriority w:val="34"/>
    <w:pPr>
      <w:ind w:firstLine="420" w:firstLineChars="200"/>
    </w:pPr>
    <w:rPr>
      <w:rFonts w:ascii="Calibri" w:hAnsi="Calibri"/>
      <w:szCs w:val="22"/>
    </w:rPr>
  </w:style>
  <w:style w:type="character" w:customStyle="1" w:styleId="104">
    <w:name w:val="标题 3 Char"/>
    <w:qFormat/>
    <w:uiPriority w:val="0"/>
    <w:rPr>
      <w:rFonts w:ascii="宋体" w:eastAsia="宋体"/>
      <w:b/>
      <w:sz w:val="24"/>
      <w:u w:val="single"/>
      <w:lang w:val="en-US" w:eastAsia="zh-CN" w:bidi="ar-SA"/>
    </w:rPr>
  </w:style>
  <w:style w:type="character" w:customStyle="1" w:styleId="105">
    <w:name w:val="正文缩进 字符"/>
    <w:link w:val="7"/>
    <w:qFormat/>
    <w:uiPriority w:val="0"/>
    <w:rPr>
      <w:rFonts w:ascii="宋体" w:eastAsia="宋体"/>
      <w:kern w:val="2"/>
      <w:sz w:val="24"/>
      <w:szCs w:val="24"/>
      <w:lang w:val="en-US" w:eastAsia="zh-CN" w:bidi="ar-SA"/>
    </w:rPr>
  </w:style>
  <w:style w:type="character" w:customStyle="1" w:styleId="106">
    <w:name w:val="正文文本缩进 Char1"/>
    <w:link w:val="107"/>
    <w:qFormat/>
    <w:uiPriority w:val="0"/>
    <w:rPr>
      <w:rFonts w:ascii="宋体" w:hAnsi="宋体" w:eastAsia="宋体"/>
      <w:sz w:val="24"/>
      <w:szCs w:val="24"/>
      <w:lang w:bidi="ar-SA"/>
    </w:rPr>
  </w:style>
  <w:style w:type="paragraph" w:customStyle="1" w:styleId="107">
    <w:name w:val="正文文本缩进1"/>
    <w:basedOn w:val="1"/>
    <w:link w:val="106"/>
    <w:qFormat/>
    <w:uiPriority w:val="0"/>
    <w:pPr>
      <w:spacing w:line="480" w:lineRule="exact"/>
      <w:ind w:firstLine="480" w:firstLineChars="200"/>
    </w:pPr>
    <w:rPr>
      <w:rFonts w:ascii="宋体" w:hAnsi="宋体"/>
      <w:kern w:val="0"/>
      <w:sz w:val="24"/>
    </w:rPr>
  </w:style>
  <w:style w:type="character" w:customStyle="1" w:styleId="108">
    <w:name w:val="正文文本缩进 字符"/>
    <w:link w:val="20"/>
    <w:qFormat/>
    <w:uiPriority w:val="0"/>
    <w:rPr>
      <w:rFonts w:eastAsia="宋体"/>
      <w:kern w:val="2"/>
      <w:sz w:val="24"/>
      <w:szCs w:val="24"/>
      <w:lang w:val="en-US" w:eastAsia="zh-CN" w:bidi="ar-SA"/>
    </w:rPr>
  </w:style>
  <w:style w:type="character" w:customStyle="1" w:styleId="109">
    <w:name w:val="页眉 字符"/>
    <w:link w:val="33"/>
    <w:qFormat/>
    <w:uiPriority w:val="0"/>
    <w:rPr>
      <w:rFonts w:eastAsia="宋体"/>
      <w:kern w:val="2"/>
      <w:sz w:val="18"/>
      <w:szCs w:val="18"/>
      <w:lang w:val="en-US" w:eastAsia="zh-CN" w:bidi="ar-SA"/>
    </w:rPr>
  </w:style>
  <w:style w:type="character" w:customStyle="1" w:styleId="110">
    <w:name w:val="批注文字 字符"/>
    <w:qFormat/>
    <w:uiPriority w:val="0"/>
    <w:rPr>
      <w:rFonts w:ascii="Times New Roman" w:hAnsi="Times New Roman" w:eastAsia="宋体" w:cs="Times New Roman"/>
      <w:sz w:val="24"/>
      <w:lang w:val="en-US" w:eastAsia="zh-CN" w:bidi="ar-SA"/>
    </w:rPr>
  </w:style>
  <w:style w:type="character" w:customStyle="1" w:styleId="111">
    <w:name w:val="批注主题 字符"/>
    <w:link w:val="14"/>
    <w:qFormat/>
    <w:uiPriority w:val="0"/>
    <w:rPr>
      <w:rFonts w:ascii="Times New Roman" w:hAnsi="Times New Roman" w:eastAsia="宋体" w:cs="Times New Roman"/>
      <w:b/>
      <w:bCs/>
      <w:kern w:val="2"/>
      <w:sz w:val="21"/>
      <w:szCs w:val="24"/>
      <w:lang w:val="en-US" w:eastAsia="zh-CN" w:bidi="ar-SA"/>
    </w:rPr>
  </w:style>
  <w:style w:type="character" w:customStyle="1" w:styleId="112">
    <w:name w:val="页脚 Char"/>
    <w:qFormat/>
    <w:uiPriority w:val="0"/>
    <w:rPr>
      <w:rFonts w:ascii="宋体" w:eastAsia="宋体"/>
      <w:sz w:val="18"/>
      <w:lang w:val="en-US" w:eastAsia="zh-CN" w:bidi="ar-SA"/>
    </w:rPr>
  </w:style>
  <w:style w:type="character" w:customStyle="1" w:styleId="113">
    <w:name w:val="标题 2 字符"/>
    <w:link w:val="5"/>
    <w:qFormat/>
    <w:uiPriority w:val="0"/>
    <w:rPr>
      <w:rFonts w:ascii="Arial" w:hAnsi="Arial" w:eastAsia="黑体"/>
      <w:b/>
      <w:sz w:val="30"/>
      <w:lang w:val="en-US" w:eastAsia="zh-CN" w:bidi="ar-SA"/>
    </w:rPr>
  </w:style>
  <w:style w:type="character" w:customStyle="1" w:styleId="114">
    <w:name w:val="标题 3 Char Char"/>
    <w:qFormat/>
    <w:uiPriority w:val="0"/>
    <w:rPr>
      <w:rFonts w:eastAsia="宋体"/>
      <w:b/>
      <w:bCs/>
      <w:kern w:val="2"/>
      <w:sz w:val="32"/>
      <w:szCs w:val="32"/>
      <w:lang w:val="en-US" w:eastAsia="zh-CN" w:bidi="ar-SA"/>
    </w:rPr>
  </w:style>
  <w:style w:type="character" w:customStyle="1" w:styleId="115">
    <w:name w:val="Char Char11"/>
    <w:qFormat/>
    <w:uiPriority w:val="0"/>
    <w:rPr>
      <w:rFonts w:ascii="宋体" w:eastAsia="宋体"/>
      <w:b/>
      <w:sz w:val="24"/>
      <w:u w:val="single"/>
      <w:lang w:val="en-US" w:eastAsia="zh-CN" w:bidi="ar-SA"/>
    </w:rPr>
  </w:style>
  <w:style w:type="character" w:customStyle="1" w:styleId="116">
    <w:name w:val="段1 Char"/>
    <w:qFormat/>
    <w:uiPriority w:val="0"/>
    <w:rPr>
      <w:rFonts w:ascii="宋体" w:eastAsia="宋体"/>
      <w:sz w:val="24"/>
      <w:lang w:val="en-US" w:eastAsia="zh-CN" w:bidi="ar-SA"/>
    </w:rPr>
  </w:style>
  <w:style w:type="character" w:customStyle="1" w:styleId="117">
    <w:name w:val="页脚 字符"/>
    <w:link w:val="30"/>
    <w:qFormat/>
    <w:uiPriority w:val="99"/>
    <w:rPr>
      <w:rFonts w:ascii="宋体" w:eastAsia="宋体"/>
      <w:sz w:val="18"/>
      <w:lang w:val="en-US" w:eastAsia="zh-CN" w:bidi="ar-SA"/>
    </w:rPr>
  </w:style>
  <w:style w:type="character" w:customStyle="1" w:styleId="118">
    <w:name w:val="正文文本 3 字符"/>
    <w:link w:val="19"/>
    <w:qFormat/>
    <w:uiPriority w:val="0"/>
    <w:rPr>
      <w:kern w:val="2"/>
      <w:sz w:val="16"/>
      <w:szCs w:val="16"/>
    </w:rPr>
  </w:style>
  <w:style w:type="character" w:customStyle="1" w:styleId="119">
    <w:name w:val="正文格式 Char"/>
    <w:link w:val="120"/>
    <w:qFormat/>
    <w:locked/>
    <w:uiPriority w:val="0"/>
    <w:rPr>
      <w:rFonts w:ascii="宋体" w:hAnsi="宋体"/>
      <w:sz w:val="24"/>
      <w:szCs w:val="24"/>
      <w:lang w:val="en-GB"/>
    </w:rPr>
  </w:style>
  <w:style w:type="paragraph" w:customStyle="1" w:styleId="120">
    <w:name w:val="正文格式"/>
    <w:basedOn w:val="1"/>
    <w:link w:val="119"/>
    <w:qFormat/>
    <w:uiPriority w:val="0"/>
    <w:pPr>
      <w:spacing w:beforeLines="50" w:line="360" w:lineRule="auto"/>
      <w:ind w:firstLine="480" w:firstLineChars="200"/>
    </w:pPr>
    <w:rPr>
      <w:rFonts w:ascii="宋体" w:hAnsi="宋体"/>
      <w:kern w:val="0"/>
      <w:sz w:val="24"/>
      <w:lang w:val="en-GB"/>
    </w:rPr>
  </w:style>
  <w:style w:type="character" w:customStyle="1" w:styleId="121">
    <w:name w:val="列出段落 Char"/>
    <w:qFormat/>
    <w:uiPriority w:val="0"/>
    <w:rPr>
      <w:rFonts w:ascii="Calibri" w:hAnsi="Calibri" w:eastAsia="宋体"/>
      <w:kern w:val="2"/>
      <w:sz w:val="21"/>
      <w:szCs w:val="22"/>
      <w:lang w:val="en-US" w:eastAsia="zh-CN" w:bidi="ar-SA"/>
    </w:rPr>
  </w:style>
  <w:style w:type="character" w:customStyle="1" w:styleId="122">
    <w:name w:val="txt"/>
    <w:qFormat/>
    <w:uiPriority w:val="0"/>
  </w:style>
  <w:style w:type="character" w:customStyle="1" w:styleId="123">
    <w:name w:val="纯文本 Char1"/>
    <w:qFormat/>
    <w:uiPriority w:val="0"/>
    <w:rPr>
      <w:rFonts w:ascii="宋体" w:hAnsi="Courier New" w:eastAsia="宋体"/>
      <w:kern w:val="2"/>
      <w:sz w:val="21"/>
      <w:lang w:val="en-US" w:eastAsia="zh-CN" w:bidi="ar-SA"/>
    </w:rPr>
  </w:style>
  <w:style w:type="character" w:customStyle="1" w:styleId="124">
    <w:name w:val="纯文本 字符"/>
    <w:qFormat/>
    <w:uiPriority w:val="99"/>
    <w:rPr>
      <w:rFonts w:ascii="宋体" w:hAnsi="Courier New" w:eastAsia="宋体" w:cs="Times New Roman"/>
      <w:kern w:val="2"/>
      <w:sz w:val="21"/>
      <w:szCs w:val="21"/>
      <w:lang w:val="en-US" w:eastAsia="zh-CN" w:bidi="ar-SA"/>
    </w:rPr>
  </w:style>
  <w:style w:type="character" w:customStyle="1" w:styleId="125">
    <w:name w:val="c21"/>
    <w:qFormat/>
    <w:uiPriority w:val="0"/>
    <w:rPr>
      <w:rFonts w:hint="default" w:ascii="ˎ̥" w:hAnsi="ˎ̥"/>
      <w:color w:val="000000"/>
      <w:sz w:val="20"/>
      <w:szCs w:val="20"/>
      <w:u w:val="none"/>
    </w:rPr>
  </w:style>
  <w:style w:type="character" w:customStyle="1" w:styleId="126">
    <w:name w:val="正文文本缩进 2 字符"/>
    <w:link w:val="28"/>
    <w:qFormat/>
    <w:uiPriority w:val="0"/>
    <w:rPr>
      <w:rFonts w:ascii="仿宋_GB2312" w:eastAsia="仿宋_GB2312"/>
      <w:kern w:val="2"/>
      <w:sz w:val="24"/>
      <w:szCs w:val="24"/>
    </w:rPr>
  </w:style>
  <w:style w:type="character" w:customStyle="1" w:styleId="127">
    <w:name w:val="正文首行缩进 2 字符"/>
    <w:link w:val="32"/>
    <w:qFormat/>
    <w:uiPriority w:val="0"/>
    <w:rPr>
      <w:rFonts w:eastAsia="宋体"/>
      <w:kern w:val="2"/>
      <w:sz w:val="24"/>
      <w:szCs w:val="24"/>
      <w:lang w:val="en-US" w:eastAsia="zh-CN" w:bidi="ar-SA"/>
    </w:rPr>
  </w:style>
  <w:style w:type="character" w:customStyle="1" w:styleId="128">
    <w:name w:val="正文缩进 Char Char"/>
    <w:link w:val="129"/>
    <w:qFormat/>
    <w:uiPriority w:val="0"/>
    <w:rPr>
      <w:rFonts w:ascii="宋体" w:eastAsia="宋体"/>
      <w:snapToGrid w:val="0"/>
      <w:color w:val="000000"/>
      <w:kern w:val="28"/>
      <w:sz w:val="28"/>
      <w:lang w:bidi="ar-SA"/>
    </w:rPr>
  </w:style>
  <w:style w:type="paragraph" w:customStyle="1" w:styleId="129">
    <w:name w:val="正文缩进1"/>
    <w:basedOn w:val="1"/>
    <w:link w:val="12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30">
    <w:name w:val="正文重点 Char"/>
    <w:link w:val="131"/>
    <w:qFormat/>
    <w:uiPriority w:val="0"/>
    <w:rPr>
      <w:b/>
      <w:sz w:val="24"/>
    </w:rPr>
  </w:style>
  <w:style w:type="paragraph" w:customStyle="1" w:styleId="131">
    <w:name w:val="正文重点"/>
    <w:basedOn w:val="1"/>
    <w:link w:val="130"/>
    <w:qFormat/>
    <w:uiPriority w:val="0"/>
    <w:pPr>
      <w:adjustRightInd w:val="0"/>
      <w:spacing w:line="360" w:lineRule="auto"/>
      <w:ind w:firstLine="482" w:firstLineChars="200"/>
      <w:jc w:val="left"/>
      <w:textAlignment w:val="baseline"/>
    </w:pPr>
    <w:rPr>
      <w:b/>
      <w:kern w:val="0"/>
      <w:sz w:val="24"/>
      <w:szCs w:val="20"/>
    </w:rPr>
  </w:style>
  <w:style w:type="character" w:customStyle="1" w:styleId="132">
    <w:name w:val="纯文本 字符1"/>
    <w:qFormat/>
    <w:uiPriority w:val="0"/>
    <w:rPr>
      <w:rFonts w:ascii="宋体" w:hAnsi="Courier New"/>
    </w:rPr>
  </w:style>
  <w:style w:type="character" w:customStyle="1" w:styleId="133">
    <w:name w:val="chanpin1"/>
    <w:qFormat/>
    <w:uiPriority w:val="0"/>
    <w:rPr>
      <w:rFonts w:hint="default" w:ascii="ˎ̥" w:hAnsi="ˎ̥"/>
      <w:color w:val="000000"/>
      <w:sz w:val="20"/>
      <w:szCs w:val="20"/>
      <w:u w:val="none"/>
    </w:rPr>
  </w:style>
  <w:style w:type="paragraph" w:customStyle="1" w:styleId="134">
    <w:name w:val="Char Char1"/>
    <w:basedOn w:val="18"/>
    <w:qFormat/>
    <w:uiPriority w:val="0"/>
    <w:rPr>
      <w:rFonts w:ascii="Tahoma" w:hAnsi="Tahoma"/>
      <w:sz w:val="24"/>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7">
    <w:name w:val="样式2"/>
    <w:basedOn w:val="42"/>
    <w:qFormat/>
    <w:uiPriority w:val="0"/>
    <w:pPr>
      <w:spacing w:line="360" w:lineRule="auto"/>
      <w:jc w:val="center"/>
    </w:pPr>
    <w:rPr>
      <w:sz w:val="24"/>
    </w:rPr>
  </w:style>
  <w:style w:type="paragraph" w:customStyle="1" w:styleId="138">
    <w:name w:val="Char Char Char Char Char Char Char Char Char Char"/>
    <w:basedOn w:val="1"/>
    <w:qFormat/>
    <w:uiPriority w:val="0"/>
  </w:style>
  <w:style w:type="paragraph" w:customStyle="1" w:styleId="1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41">
    <w:name w:val="Char Char Char1 Char1"/>
    <w:basedOn w:val="1"/>
    <w:qFormat/>
    <w:uiPriority w:val="0"/>
    <w:rPr>
      <w:rFonts w:ascii="Tahoma" w:hAnsi="Tahoma"/>
      <w:sz w:val="24"/>
      <w:szCs w:val="20"/>
    </w:rPr>
  </w:style>
  <w:style w:type="paragraph" w:customStyle="1" w:styleId="142">
    <w:name w:val="Char Char Char1"/>
    <w:basedOn w:val="1"/>
    <w:qFormat/>
    <w:uiPriority w:val="0"/>
    <w:rPr>
      <w:rFonts w:ascii="Tahoma" w:hAnsi="Tahoma"/>
      <w:sz w:val="24"/>
      <w:szCs w:val="20"/>
    </w:rPr>
  </w:style>
  <w:style w:type="paragraph" w:customStyle="1" w:styleId="143">
    <w:name w:val="列出段落11"/>
    <w:basedOn w:val="1"/>
    <w:qFormat/>
    <w:uiPriority w:val="0"/>
    <w:pPr>
      <w:ind w:firstLine="420" w:firstLineChars="200"/>
    </w:pPr>
    <w:rPr>
      <w:rFonts w:ascii="Calibri" w:hAnsi="Calibri"/>
      <w:szCs w:val="22"/>
    </w:rPr>
  </w:style>
  <w:style w:type="paragraph" w:customStyle="1" w:styleId="14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6">
    <w:name w:val="表格正文"/>
    <w:basedOn w:val="1"/>
    <w:qFormat/>
    <w:uiPriority w:val="0"/>
    <w:pPr>
      <w:widowControl/>
      <w:spacing w:line="360" w:lineRule="auto"/>
      <w:jc w:val="left"/>
    </w:pPr>
    <w:rPr>
      <w:rFonts w:ascii="宋体" w:hAnsi="宋体" w:cs="宋体"/>
      <w:bCs/>
      <w:color w:val="000000"/>
      <w:kern w:val="0"/>
    </w:rPr>
  </w:style>
  <w:style w:type="paragraph" w:customStyle="1" w:styleId="147">
    <w:name w:val="图中文字"/>
    <w:basedOn w:val="1"/>
    <w:qFormat/>
    <w:uiPriority w:val="0"/>
    <w:pPr>
      <w:adjustRightInd w:val="0"/>
      <w:snapToGrid w:val="0"/>
      <w:spacing w:line="0" w:lineRule="atLeast"/>
      <w:jc w:val="center"/>
    </w:pPr>
    <w:rPr>
      <w:sz w:val="24"/>
      <w:szCs w:val="20"/>
    </w:rPr>
  </w:style>
  <w:style w:type="paragraph" w:customStyle="1" w:styleId="148">
    <w:name w:val="Char1"/>
    <w:basedOn w:val="1"/>
    <w:qFormat/>
    <w:uiPriority w:val="0"/>
    <w:pPr>
      <w:tabs>
        <w:tab w:val="left" w:pos="360"/>
      </w:tabs>
    </w:pPr>
    <w:rPr>
      <w:sz w:val="24"/>
    </w:rPr>
  </w:style>
  <w:style w:type="paragraph" w:customStyle="1" w:styleId="14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0">
    <w:name w:val="图文"/>
    <w:basedOn w:val="1"/>
    <w:qFormat/>
    <w:uiPriority w:val="0"/>
    <w:pPr>
      <w:adjustRightInd w:val="0"/>
      <w:snapToGrid w:val="0"/>
      <w:spacing w:after="50" w:line="360" w:lineRule="auto"/>
    </w:pPr>
    <w:rPr>
      <w:sz w:val="24"/>
    </w:rPr>
  </w:style>
  <w:style w:type="paragraph" w:customStyle="1" w:styleId="151">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52">
    <w:name w:val="正文须知-1级"/>
    <w:basedOn w:val="1"/>
    <w:next w:val="1"/>
    <w:qFormat/>
    <w:uiPriority w:val="0"/>
    <w:pPr>
      <w:numPr>
        <w:ilvl w:val="0"/>
        <w:numId w:val="1"/>
      </w:numPr>
      <w:adjustRightInd w:val="0"/>
      <w:snapToGrid w:val="0"/>
      <w:spacing w:line="300" w:lineRule="auto"/>
    </w:pPr>
    <w:rPr>
      <w:rFonts w:ascii="宋体" w:hAnsi="Calibri"/>
      <w:sz w:val="24"/>
      <w:szCs w:val="21"/>
    </w:rPr>
  </w:style>
  <w:style w:type="paragraph" w:customStyle="1" w:styleId="15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56">
    <w:name w:val="Char Char Char Char Char Char Char Char Char Char1"/>
    <w:basedOn w:val="1"/>
    <w:qFormat/>
    <w:uiPriority w:val="0"/>
    <w:rPr>
      <w:rFonts w:ascii="宋体" w:hAnsi="宋体" w:cs="Courier New"/>
      <w:sz w:val="32"/>
      <w:szCs w:val="32"/>
    </w:rPr>
  </w:style>
  <w:style w:type="paragraph" w:customStyle="1" w:styleId="15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59">
    <w:name w:val="正文文本样式"/>
    <w:basedOn w:val="1"/>
    <w:qFormat/>
    <w:uiPriority w:val="0"/>
    <w:pPr>
      <w:spacing w:line="360" w:lineRule="auto"/>
      <w:ind w:firstLine="482"/>
    </w:pPr>
    <w:rPr>
      <w:rFonts w:cs="宋体"/>
      <w:sz w:val="24"/>
      <w:szCs w:val="20"/>
    </w:rPr>
  </w:style>
  <w:style w:type="paragraph" w:customStyle="1" w:styleId="160">
    <w:name w:val="字元 字元"/>
    <w:basedOn w:val="1"/>
    <w:qFormat/>
    <w:uiPriority w:val="0"/>
    <w:rPr>
      <w:rFonts w:ascii="Tahoma" w:hAnsi="Tahoma"/>
      <w:sz w:val="24"/>
      <w:szCs w:val="20"/>
    </w:rPr>
  </w:style>
  <w:style w:type="paragraph" w:customStyle="1" w:styleId="161">
    <w:name w:val="Char21"/>
    <w:basedOn w:val="1"/>
    <w:qFormat/>
    <w:uiPriority w:val="0"/>
    <w:rPr>
      <w:rFonts w:ascii="Tahoma" w:hAnsi="Tahoma"/>
      <w:sz w:val="24"/>
      <w:szCs w:val="20"/>
    </w:rPr>
  </w:style>
  <w:style w:type="paragraph" w:customStyle="1" w:styleId="162">
    <w:name w:val="正文列项_字母"/>
    <w:basedOn w:val="1"/>
    <w:qFormat/>
    <w:uiPriority w:val="0"/>
    <w:pPr>
      <w:numPr>
        <w:ilvl w:val="6"/>
        <w:numId w:val="2"/>
      </w:numPr>
      <w:tabs>
        <w:tab w:val="left"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二级条标题"/>
    <w:basedOn w:val="16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64">
    <w:name w:val="一级条标题"/>
    <w:basedOn w:val="165"/>
    <w:next w:val="1"/>
    <w:qFormat/>
    <w:uiPriority w:val="0"/>
    <w:pPr>
      <w:numPr>
        <w:ilvl w:val="1"/>
      </w:numPr>
      <w:tabs>
        <w:tab w:val="left" w:pos="360"/>
        <w:tab w:val="left" w:pos="840"/>
      </w:tabs>
      <w:ind w:left="0" w:hanging="840"/>
      <w:outlineLvl w:val="1"/>
    </w:pPr>
  </w:style>
  <w:style w:type="paragraph" w:customStyle="1" w:styleId="165">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66">
    <w:name w:val="正文须知-3级"/>
    <w:basedOn w:val="1"/>
    <w:qFormat/>
    <w:uiPriority w:val="0"/>
    <w:pPr>
      <w:numPr>
        <w:ilvl w:val="2"/>
        <w:numId w:val="1"/>
      </w:numPr>
      <w:adjustRightInd w:val="0"/>
      <w:snapToGrid w:val="0"/>
      <w:spacing w:line="300" w:lineRule="auto"/>
      <w:ind w:hanging="355" w:hangingChars="355"/>
    </w:pPr>
    <w:rPr>
      <w:rFonts w:ascii="宋体" w:hAnsi="Calibri"/>
      <w:sz w:val="24"/>
      <w:szCs w:val="21"/>
    </w:rPr>
  </w:style>
  <w:style w:type="paragraph" w:customStyle="1" w:styleId="167">
    <w:name w:val="项目符号1"/>
    <w:basedOn w:val="159"/>
    <w:qFormat/>
    <w:uiPriority w:val="0"/>
    <w:pPr>
      <w:ind w:left="-25" w:firstLine="0"/>
    </w:pPr>
  </w:style>
  <w:style w:type="paragraph" w:customStyle="1" w:styleId="168">
    <w:name w:val="样式 标题 2 + 宋体 五号 行距: 单倍行距"/>
    <w:basedOn w:val="5"/>
    <w:qFormat/>
    <w:uiPriority w:val="0"/>
    <w:pPr>
      <w:numPr>
        <w:ilvl w:val="1"/>
        <w:numId w:val="3"/>
      </w:numPr>
      <w:tabs>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169">
    <w:name w:val="表格1"/>
    <w:basedOn w:val="1"/>
    <w:qFormat/>
    <w:uiPriority w:val="0"/>
    <w:pPr>
      <w:ind w:firstLine="480" w:firstLineChars="200"/>
      <w:jc w:val="center"/>
    </w:pPr>
    <w:rPr>
      <w:sz w:val="24"/>
      <w:szCs w:val="20"/>
    </w:rPr>
  </w:style>
  <w:style w:type="paragraph" w:customStyle="1" w:styleId="17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1">
    <w:name w:val="字元 字元2"/>
    <w:basedOn w:val="1"/>
    <w:qFormat/>
    <w:uiPriority w:val="0"/>
    <w:rPr>
      <w:rFonts w:ascii="Tahoma" w:hAnsi="Tahoma"/>
      <w:sz w:val="24"/>
      <w:szCs w:val="20"/>
    </w:rPr>
  </w:style>
  <w:style w:type="paragraph" w:customStyle="1" w:styleId="172">
    <w:name w:val="Char1 Char Char Char1"/>
    <w:basedOn w:val="1"/>
    <w:qFormat/>
    <w:uiPriority w:val="0"/>
    <w:rPr>
      <w:rFonts w:ascii="Tahoma" w:hAnsi="Tahoma" w:cs="仿宋_GB2312"/>
      <w:sz w:val="24"/>
      <w:szCs w:val="28"/>
    </w:rPr>
  </w:style>
  <w:style w:type="paragraph" w:customStyle="1" w:styleId="17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7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7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缺省文本"/>
    <w:basedOn w:val="1"/>
    <w:qFormat/>
    <w:uiPriority w:val="0"/>
    <w:pPr>
      <w:autoSpaceDE w:val="0"/>
      <w:autoSpaceDN w:val="0"/>
      <w:adjustRightInd w:val="0"/>
      <w:jc w:val="left"/>
    </w:pPr>
    <w:rPr>
      <w:kern w:val="0"/>
      <w:sz w:val="24"/>
    </w:rPr>
  </w:style>
  <w:style w:type="paragraph" w:customStyle="1" w:styleId="18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8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4">
    <w:name w:val="Char3 Char Char Char2"/>
    <w:basedOn w:val="1"/>
    <w:qFormat/>
    <w:uiPriority w:val="0"/>
    <w:rPr>
      <w:rFonts w:ascii="Tahoma" w:hAnsi="Tahoma"/>
      <w:sz w:val="24"/>
      <w:szCs w:val="20"/>
    </w:rPr>
  </w:style>
  <w:style w:type="paragraph" w:customStyle="1" w:styleId="18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6">
    <w:name w:val="标题1-附件"/>
    <w:basedOn w:val="4"/>
    <w:qFormat/>
    <w:uiPriority w:val="0"/>
    <w:pPr>
      <w:jc w:val="left"/>
    </w:pPr>
    <w:rPr>
      <w:sz w:val="24"/>
      <w:szCs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正文文本样式 加粗"/>
    <w:basedOn w:val="159"/>
    <w:qFormat/>
    <w:uiPriority w:val="0"/>
    <w:rPr>
      <w:b/>
    </w:rPr>
  </w:style>
  <w:style w:type="paragraph" w:customStyle="1" w:styleId="18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90">
    <w:name w:val="正文列项_数字"/>
    <w:basedOn w:val="1"/>
    <w:qFormat/>
    <w:uiPriority w:val="0"/>
    <w:pPr>
      <w:numPr>
        <w:ilvl w:val="7"/>
        <w:numId w:val="2"/>
      </w:numPr>
      <w:tabs>
        <w:tab w:val="left"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9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93">
    <w:name w:val="五级条标题"/>
    <w:basedOn w:val="194"/>
    <w:next w:val="1"/>
    <w:qFormat/>
    <w:uiPriority w:val="0"/>
    <w:pPr>
      <w:numPr>
        <w:ilvl w:val="5"/>
      </w:numPr>
      <w:tabs>
        <w:tab w:val="left" w:pos="360"/>
        <w:tab w:val="left" w:pos="840"/>
      </w:tabs>
      <w:ind w:left="0" w:hanging="840"/>
      <w:outlineLvl w:val="5"/>
    </w:pPr>
  </w:style>
  <w:style w:type="paragraph" w:customStyle="1" w:styleId="194">
    <w:name w:val="四级条标题"/>
    <w:basedOn w:val="195"/>
    <w:next w:val="1"/>
    <w:qFormat/>
    <w:uiPriority w:val="0"/>
    <w:pPr>
      <w:numPr>
        <w:ilvl w:val="4"/>
      </w:numPr>
      <w:tabs>
        <w:tab w:val="left" w:pos="360"/>
        <w:tab w:val="left" w:pos="840"/>
      </w:tabs>
      <w:ind w:left="0" w:hanging="840"/>
      <w:outlineLvl w:val="4"/>
    </w:pPr>
  </w:style>
  <w:style w:type="paragraph" w:customStyle="1" w:styleId="195">
    <w:name w:val="三级条标题"/>
    <w:basedOn w:val="163"/>
    <w:next w:val="1"/>
    <w:qFormat/>
    <w:uiPriority w:val="0"/>
    <w:pPr>
      <w:numPr>
        <w:ilvl w:val="3"/>
        <w:numId w:val="2"/>
      </w:numPr>
      <w:ind w:left="0" w:hanging="840"/>
      <w:outlineLvl w:val="3"/>
    </w:pPr>
  </w:style>
  <w:style w:type="paragraph" w:customStyle="1" w:styleId="1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97">
    <w:name w:val="Char Char Char1 Char"/>
    <w:basedOn w:val="1"/>
    <w:qFormat/>
    <w:uiPriority w:val="0"/>
    <w:rPr>
      <w:rFonts w:ascii="Tahoma" w:hAnsi="Tahoma"/>
      <w:sz w:val="24"/>
      <w:szCs w:val="20"/>
    </w:rPr>
  </w:style>
  <w:style w:type="paragraph" w:customStyle="1" w:styleId="19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00">
    <w:name w:val="Char Char41"/>
    <w:basedOn w:val="1"/>
    <w:qFormat/>
    <w:uiPriority w:val="0"/>
    <w:pPr>
      <w:widowControl/>
      <w:spacing w:line="400" w:lineRule="exact"/>
      <w:jc w:val="center"/>
    </w:pPr>
  </w:style>
  <w:style w:type="paragraph" w:customStyle="1" w:styleId="20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2">
    <w:name w:val="Char2 Char Char Char Char Char Char"/>
    <w:basedOn w:val="1"/>
    <w:qFormat/>
    <w:uiPriority w:val="0"/>
    <w:pPr>
      <w:widowControl/>
      <w:spacing w:line="400" w:lineRule="exact"/>
      <w:jc w:val="center"/>
    </w:pPr>
  </w:style>
  <w:style w:type="paragraph" w:customStyle="1" w:styleId="20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4">
    <w:name w:val="默认段落字体 Para Char Char Char Char"/>
    <w:basedOn w:val="1"/>
    <w:qFormat/>
    <w:uiPriority w:val="0"/>
    <w:rPr>
      <w:rFonts w:ascii="Arial" w:hAnsi="Arial" w:cs="Arial"/>
      <w:szCs w:val="21"/>
    </w:rPr>
  </w:style>
  <w:style w:type="paragraph" w:customStyle="1" w:styleId="205">
    <w:name w:val="Char Char Char2"/>
    <w:basedOn w:val="1"/>
    <w:qFormat/>
    <w:uiPriority w:val="0"/>
    <w:rPr>
      <w:rFonts w:ascii="Tahoma" w:hAnsi="Tahoma"/>
      <w:sz w:val="24"/>
      <w:szCs w:val="20"/>
    </w:rPr>
  </w:style>
  <w:style w:type="paragraph" w:customStyle="1" w:styleId="206">
    <w:name w:val="Char Char4"/>
    <w:basedOn w:val="1"/>
    <w:qFormat/>
    <w:uiPriority w:val="0"/>
    <w:pPr>
      <w:widowControl/>
      <w:spacing w:line="400" w:lineRule="exact"/>
      <w:jc w:val="center"/>
    </w:pPr>
  </w:style>
  <w:style w:type="paragraph" w:customStyle="1" w:styleId="207">
    <w:name w:val="font8"/>
    <w:basedOn w:val="1"/>
    <w:qFormat/>
    <w:uiPriority w:val="0"/>
    <w:pPr>
      <w:widowControl/>
      <w:spacing w:before="100" w:beforeAutospacing="1" w:after="100" w:afterAutospacing="1"/>
      <w:jc w:val="left"/>
    </w:pPr>
    <w:rPr>
      <w:kern w:val="0"/>
      <w:sz w:val="36"/>
      <w:szCs w:val="36"/>
    </w:rPr>
  </w:style>
  <w:style w:type="paragraph" w:customStyle="1" w:styleId="20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9">
    <w:name w:val="图例"/>
    <w:basedOn w:val="1"/>
    <w:qFormat/>
    <w:uiPriority w:val="0"/>
    <w:pPr>
      <w:spacing w:before="120" w:after="120" w:line="360" w:lineRule="auto"/>
      <w:jc w:val="center"/>
    </w:pPr>
    <w:rPr>
      <w:rFonts w:eastAsia="仿宋_GB2312"/>
      <w:b/>
      <w:sz w:val="24"/>
      <w:szCs w:val="20"/>
    </w:rPr>
  </w:style>
  <w:style w:type="paragraph" w:customStyle="1" w:styleId="21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12">
    <w:name w:val="_Style 160"/>
    <w:qFormat/>
    <w:uiPriority w:val="0"/>
    <w:rPr>
      <w:rFonts w:ascii="Times New Roman" w:hAnsi="Times New Roman" w:eastAsia="宋体" w:cs="Times New Roman"/>
      <w:kern w:val="2"/>
      <w:sz w:val="21"/>
      <w:szCs w:val="24"/>
      <w:lang w:val="en-US" w:eastAsia="zh-CN" w:bidi="ar-SA"/>
    </w:rPr>
  </w:style>
  <w:style w:type="paragraph" w:customStyle="1" w:styleId="21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214">
    <w:name w:val="字元 字元1"/>
    <w:basedOn w:val="1"/>
    <w:qFormat/>
    <w:uiPriority w:val="0"/>
    <w:rPr>
      <w:rFonts w:ascii="Tahoma" w:hAnsi="Tahoma"/>
      <w:sz w:val="24"/>
      <w:szCs w:val="20"/>
    </w:rPr>
  </w:style>
  <w:style w:type="paragraph" w:customStyle="1" w:styleId="21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16">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7">
    <w:name w:val="项目编号3"/>
    <w:basedOn w:val="159"/>
    <w:qFormat/>
    <w:uiPriority w:val="0"/>
    <w:pPr>
      <w:numPr>
        <w:ilvl w:val="0"/>
        <w:numId w:val="5"/>
      </w:numPr>
    </w:pPr>
  </w:style>
  <w:style w:type="paragraph" w:customStyle="1" w:styleId="218">
    <w:name w:val="_Style 211"/>
    <w:unhideWhenUsed/>
    <w:qFormat/>
    <w:uiPriority w:val="99"/>
    <w:rPr>
      <w:rFonts w:ascii="Times New Roman" w:hAnsi="Times New Roman" w:eastAsia="宋体" w:cs="Times New Roman"/>
      <w:kern w:val="2"/>
      <w:sz w:val="21"/>
      <w:szCs w:val="24"/>
      <w:lang w:val="en-US" w:eastAsia="zh-CN" w:bidi="ar-SA"/>
    </w:rPr>
  </w:style>
  <w:style w:type="paragraph" w:customStyle="1" w:styleId="21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1">
    <w:name w:val="Char Char Char Char Char Char Char Char Char Char2"/>
    <w:basedOn w:val="1"/>
    <w:qFormat/>
    <w:uiPriority w:val="0"/>
    <w:rPr>
      <w:rFonts w:ascii="宋体" w:hAnsi="宋体" w:cs="Courier New"/>
      <w:sz w:val="32"/>
      <w:szCs w:val="32"/>
    </w:rPr>
  </w:style>
  <w:style w:type="paragraph" w:customStyle="1" w:styleId="222">
    <w:name w:val="Char Char Char"/>
    <w:basedOn w:val="1"/>
    <w:qFormat/>
    <w:uiPriority w:val="0"/>
    <w:rPr>
      <w:rFonts w:ascii="Tahoma" w:hAnsi="Tahoma"/>
      <w:sz w:val="24"/>
      <w:szCs w:val="20"/>
    </w:rPr>
  </w:style>
  <w:style w:type="paragraph" w:customStyle="1" w:styleId="22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24">
    <w:name w:val="Char3 Char Char Char1"/>
    <w:basedOn w:val="1"/>
    <w:qFormat/>
    <w:uiPriority w:val="0"/>
    <w:rPr>
      <w:rFonts w:ascii="Tahoma" w:hAnsi="Tahoma"/>
      <w:sz w:val="24"/>
      <w:szCs w:val="20"/>
    </w:rPr>
  </w:style>
  <w:style w:type="paragraph" w:customStyle="1" w:styleId="225">
    <w:name w:val="标题2"/>
    <w:basedOn w:val="5"/>
    <w:qFormat/>
    <w:uiPriority w:val="0"/>
    <w:pPr>
      <w:tabs>
        <w:tab w:val="left" w:pos="851"/>
      </w:tabs>
    </w:pPr>
  </w:style>
  <w:style w:type="paragraph" w:customStyle="1" w:styleId="226">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8">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2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3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1">
    <w:name w:val="正文 + 楷体_GB2312"/>
    <w:basedOn w:val="1"/>
    <w:qFormat/>
    <w:uiPriority w:val="0"/>
    <w:pPr>
      <w:widowControl/>
      <w:jc w:val="left"/>
    </w:pPr>
    <w:rPr>
      <w:rFonts w:ascii="楷体_GB2312" w:eastAsia="楷体_GB2312" w:cs="Arial"/>
      <w:kern w:val="0"/>
      <w:sz w:val="24"/>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Char2 Char Char Char Char Char Char1"/>
    <w:basedOn w:val="1"/>
    <w:qFormat/>
    <w:uiPriority w:val="0"/>
    <w:pPr>
      <w:widowControl/>
      <w:spacing w:line="400" w:lineRule="exact"/>
      <w:jc w:val="center"/>
    </w:pPr>
  </w:style>
  <w:style w:type="paragraph" w:customStyle="1" w:styleId="234">
    <w:name w:val="1名"/>
    <w:basedOn w:val="1"/>
    <w:qFormat/>
    <w:uiPriority w:val="0"/>
    <w:pPr>
      <w:numPr>
        <w:ilvl w:val="0"/>
        <w:numId w:val="6"/>
      </w:numPr>
      <w:tabs>
        <w:tab w:val="left" w:pos="360"/>
      </w:tabs>
      <w:spacing w:before="120"/>
    </w:pPr>
    <w:rPr>
      <w:rFonts w:ascii="宋体"/>
      <w:sz w:val="28"/>
      <w:szCs w:val="20"/>
    </w:rPr>
  </w:style>
  <w:style w:type="paragraph" w:customStyle="1" w:styleId="235">
    <w:name w:val="Char"/>
    <w:basedOn w:val="1"/>
    <w:qFormat/>
    <w:uiPriority w:val="0"/>
    <w:pPr>
      <w:tabs>
        <w:tab w:val="left" w:pos="360"/>
      </w:tabs>
    </w:pPr>
    <w:rPr>
      <w:sz w:val="24"/>
    </w:rPr>
  </w:style>
  <w:style w:type="paragraph" w:customStyle="1" w:styleId="236">
    <w:name w:val="Char3"/>
    <w:basedOn w:val="1"/>
    <w:qFormat/>
    <w:uiPriority w:val="0"/>
    <w:pPr>
      <w:tabs>
        <w:tab w:val="left" w:pos="360"/>
      </w:tabs>
    </w:pPr>
    <w:rPr>
      <w:sz w:val="24"/>
    </w:rPr>
  </w:style>
  <w:style w:type="paragraph" w:customStyle="1" w:styleId="23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8">
    <w:name w:val="1 Char Char Char Char"/>
    <w:basedOn w:val="1"/>
    <w:qFormat/>
    <w:uiPriority w:val="0"/>
    <w:rPr>
      <w:rFonts w:ascii="Tahoma" w:hAnsi="Tahoma"/>
      <w:sz w:val="24"/>
      <w:szCs w:val="20"/>
    </w:rPr>
  </w:style>
  <w:style w:type="paragraph" w:customStyle="1" w:styleId="239">
    <w:name w:val="Char Char Char1 Char2"/>
    <w:basedOn w:val="1"/>
    <w:qFormat/>
    <w:uiPriority w:val="0"/>
    <w:rPr>
      <w:rFonts w:ascii="Tahoma" w:hAnsi="Tahoma"/>
      <w:sz w:val="24"/>
      <w:szCs w:val="20"/>
    </w:rPr>
  </w:style>
  <w:style w:type="paragraph" w:customStyle="1" w:styleId="240">
    <w:name w:val="Char22"/>
    <w:basedOn w:val="1"/>
    <w:qFormat/>
    <w:uiPriority w:val="0"/>
    <w:rPr>
      <w:rFonts w:ascii="Tahoma" w:hAnsi="Tahoma"/>
      <w:sz w:val="24"/>
      <w:szCs w:val="20"/>
    </w:rPr>
  </w:style>
  <w:style w:type="paragraph" w:customStyle="1" w:styleId="241">
    <w:name w:val="Char3 Char Char Char"/>
    <w:basedOn w:val="1"/>
    <w:qFormat/>
    <w:uiPriority w:val="0"/>
    <w:rPr>
      <w:rFonts w:ascii="Tahoma" w:hAnsi="Tahoma"/>
      <w:sz w:val="24"/>
      <w:szCs w:val="20"/>
    </w:rPr>
  </w:style>
  <w:style w:type="paragraph" w:customStyle="1" w:styleId="24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43">
    <w:name w:val="List Paragraph1"/>
    <w:basedOn w:val="1"/>
    <w:qFormat/>
    <w:uiPriority w:val="0"/>
    <w:pPr>
      <w:ind w:firstLine="420" w:firstLineChars="200"/>
    </w:pPr>
    <w:rPr>
      <w:rFonts w:ascii="Calibri" w:hAnsi="Calibri"/>
      <w:szCs w:val="22"/>
    </w:rPr>
  </w:style>
  <w:style w:type="paragraph" w:customStyle="1" w:styleId="2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45">
    <w:name w:val="正文须知-2级"/>
    <w:basedOn w:val="1"/>
    <w:qFormat/>
    <w:uiPriority w:val="0"/>
    <w:pPr>
      <w:numPr>
        <w:ilvl w:val="1"/>
        <w:numId w:val="1"/>
      </w:numPr>
      <w:adjustRightInd w:val="0"/>
      <w:snapToGrid w:val="0"/>
      <w:spacing w:line="300" w:lineRule="auto"/>
    </w:pPr>
    <w:rPr>
      <w:rFonts w:ascii="宋体" w:hAnsi="Calibri"/>
      <w:sz w:val="24"/>
      <w:szCs w:val="21"/>
    </w:rPr>
  </w:style>
  <w:style w:type="paragraph" w:customStyle="1" w:styleId="246">
    <w:name w:val="项目编号2"/>
    <w:basedOn w:val="213"/>
    <w:qFormat/>
    <w:uiPriority w:val="0"/>
    <w:pPr>
      <w:numPr>
        <w:numId w:val="0"/>
      </w:numPr>
    </w:pPr>
  </w:style>
  <w:style w:type="paragraph" w:customStyle="1" w:styleId="24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48">
    <w:name w:val="文档正文"/>
    <w:basedOn w:val="1"/>
    <w:qFormat/>
    <w:uiPriority w:val="0"/>
    <w:pPr>
      <w:snapToGrid w:val="0"/>
      <w:spacing w:before="120" w:after="120" w:line="180" w:lineRule="auto"/>
    </w:pPr>
    <w:rPr>
      <w:rFonts w:ascii="Arial" w:hAnsi="Arial"/>
      <w:szCs w:val="20"/>
    </w:rPr>
  </w:style>
  <w:style w:type="paragraph" w:customStyle="1" w:styleId="249">
    <w:name w:val="列出段落2"/>
    <w:basedOn w:val="1"/>
    <w:qFormat/>
    <w:uiPriority w:val="0"/>
    <w:pPr>
      <w:ind w:firstLine="420" w:firstLineChars="200"/>
    </w:pPr>
    <w:rPr>
      <w:rFonts w:ascii="Calibri" w:hAnsi="Calibri"/>
      <w:szCs w:val="22"/>
    </w:rPr>
  </w:style>
  <w:style w:type="paragraph" w:customStyle="1" w:styleId="250">
    <w:name w:val="修订1"/>
    <w:qFormat/>
    <w:uiPriority w:val="0"/>
    <w:rPr>
      <w:rFonts w:ascii="Times New Roman" w:hAnsi="Times New Roman" w:eastAsia="宋体" w:cs="Times New Roman"/>
      <w:kern w:val="2"/>
      <w:sz w:val="21"/>
      <w:szCs w:val="24"/>
      <w:lang w:val="en-US" w:eastAsia="zh-CN" w:bidi="ar-SA"/>
    </w:rPr>
  </w:style>
  <w:style w:type="paragraph" w:customStyle="1" w:styleId="251">
    <w:name w:val="Char2"/>
    <w:basedOn w:val="1"/>
    <w:qFormat/>
    <w:uiPriority w:val="0"/>
    <w:rPr>
      <w:rFonts w:ascii="Tahoma" w:hAnsi="Tahoma"/>
      <w:sz w:val="24"/>
      <w:szCs w:val="20"/>
    </w:rPr>
  </w:style>
  <w:style w:type="paragraph" w:customStyle="1" w:styleId="25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5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table" w:customStyle="1" w:styleId="256">
    <w:name w:val="Table Normal"/>
    <w:unhideWhenUsed/>
    <w:qFormat/>
    <w:uiPriority w:val="2"/>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7">
    <w:name w:val="Body text|2"/>
    <w:basedOn w:val="1"/>
    <w:qFormat/>
    <w:uiPriority w:val="0"/>
    <w:pPr>
      <w:suppressAutoHyphens/>
      <w:autoSpaceDN w:val="0"/>
      <w:spacing w:after="480"/>
      <w:ind w:left="2520"/>
    </w:pPr>
    <w:rPr>
      <w:rFonts w:ascii="宋体" w:hAnsi="宋体" w:cs="宋体"/>
      <w:kern w:val="3"/>
      <w:sz w:val="42"/>
      <w:szCs w:val="42"/>
      <w:lang w:val="zh-TW" w:eastAsia="zh-TW" w:bidi="zh-TW"/>
    </w:rPr>
  </w:style>
  <w:style w:type="paragraph" w:customStyle="1" w:styleId="258">
    <w:name w:val="Body text|1"/>
    <w:basedOn w:val="1"/>
    <w:qFormat/>
    <w:uiPriority w:val="0"/>
    <w:pPr>
      <w:suppressAutoHyphens/>
      <w:autoSpaceDN w:val="0"/>
      <w:spacing w:line="360" w:lineRule="auto"/>
      <w:ind w:firstLine="400"/>
    </w:pPr>
    <w:rPr>
      <w:rFonts w:ascii="宋体" w:hAnsi="宋体" w:cs="宋体"/>
      <w:kern w:val="3"/>
      <w:sz w:val="30"/>
      <w:szCs w:val="30"/>
      <w:lang w:val="zh-TW" w:eastAsia="zh-TW" w:bidi="zh-TW"/>
    </w:rPr>
  </w:style>
  <w:style w:type="paragraph" w:customStyle="1" w:styleId="259">
    <w:name w:val="样式1"/>
    <w:basedOn w:val="4"/>
    <w:qFormat/>
    <w:uiPriority w:val="0"/>
    <w:pPr>
      <w:suppressAutoHyphens/>
      <w:autoSpaceDE/>
      <w:spacing w:before="340" w:after="330" w:line="480" w:lineRule="auto"/>
      <w:textAlignment w:val="baseline"/>
      <w:outlineLvl w:val="9"/>
    </w:pPr>
    <w:rPr>
      <w:rFonts w:ascii="Times New Roman" w:eastAsia="昆仑楷体"/>
      <w:b w:val="0"/>
      <w:sz w:val="28"/>
    </w:rPr>
  </w:style>
  <w:style w:type="paragraph" w:customStyle="1" w:styleId="260">
    <w:name w:val="★正文"/>
    <w:basedOn w:val="1"/>
    <w:qFormat/>
    <w:uiPriority w:val="0"/>
    <w:pPr>
      <w:spacing w:before="20" w:beforeLines="20" w:line="360" w:lineRule="auto"/>
      <w:ind w:firstLine="480" w:firstLineChars="200"/>
    </w:pPr>
    <w:rPr>
      <w:rFonts w:asciiTheme="minorHAnsi" w:hAnsiTheme="minorHAnsi" w:eastAsiaTheme="minorEastAsia" w:cstheme="minorBidi"/>
      <w:sz w:val="24"/>
      <w:szCs w:val="20"/>
    </w:rPr>
  </w:style>
  <w:style w:type="paragraph" w:customStyle="1" w:styleId="261">
    <w:name w:val="_Style 8"/>
    <w:basedOn w:val="1"/>
    <w:qFormat/>
    <w:uiPriority w:val="34"/>
    <w:rPr>
      <w:sz w:val="24"/>
      <w:szCs w:val="20"/>
    </w:rPr>
  </w:style>
  <w:style w:type="paragraph" w:customStyle="1" w:styleId="262">
    <w:name w:val="正文-首缩2字符"/>
    <w:basedOn w:val="1"/>
    <w:qFormat/>
    <w:uiPriority w:val="99"/>
    <w:pPr>
      <w:ind w:firstLine="200" w:firstLineChars="200"/>
      <w:jc w:val="left"/>
    </w:pPr>
    <w:rPr>
      <w:rFonts w:hAnsi="宋体" w:cs="宋体"/>
    </w:rPr>
  </w:style>
  <w:style w:type="paragraph" w:customStyle="1" w:styleId="263">
    <w:name w:val="列出段落3"/>
    <w:basedOn w:val="1"/>
    <w:qFormat/>
    <w:uiPriority w:val="99"/>
    <w:pPr>
      <w:ind w:firstLine="420" w:firstLineChars="200"/>
    </w:pPr>
  </w:style>
  <w:style w:type="paragraph" w:customStyle="1" w:styleId="264">
    <w:name w:val="List Paragraph"/>
    <w:basedOn w:val="1"/>
    <w:qFormat/>
    <w:uiPriority w:val="1"/>
    <w:pPr>
      <w:spacing w:before="134"/>
      <w:ind w:left="1196" w:hanging="720"/>
    </w:pPr>
    <w:rPr>
      <w:rFonts w:ascii="宋体" w:hAnsi="宋体" w:eastAsia="宋体" w:cs="宋体"/>
    </w:rPr>
  </w:style>
  <w:style w:type="paragraph" w:customStyle="1" w:styleId="265">
    <w:name w:val="Heading #4|1"/>
    <w:basedOn w:val="1"/>
    <w:qFormat/>
    <w:uiPriority w:val="0"/>
    <w:pPr>
      <w:spacing w:line="410" w:lineRule="auto"/>
      <w:outlineLvl w:val="3"/>
    </w:pPr>
    <w:rPr>
      <w:rFonts w:ascii="宋体" w:hAnsi="宋体" w:cs="宋体"/>
      <w:b/>
      <w:bCs/>
      <w:lang w:val="zh-TW" w:eastAsia="zh-TW" w:bidi="zh-TW"/>
    </w:rPr>
  </w:style>
  <w:style w:type="paragraph" w:customStyle="1" w:styleId="266">
    <w:name w:val="op_mapdots_left"/>
    <w:basedOn w:val="1"/>
    <w:qFormat/>
    <w:uiPriority w:val="0"/>
    <w:pPr>
      <w:widowControl/>
      <w:jc w:val="left"/>
    </w:pPr>
    <w:rPr>
      <w:rFonts w:ascii="宋体" w:hAnsi="宋体" w:cs="宋体"/>
      <w:kern w:val="0"/>
      <w:sz w:val="24"/>
    </w:rPr>
  </w:style>
  <w:style w:type="character" w:customStyle="1" w:styleId="267">
    <w:name w:val="c-gap-right-small2"/>
    <w:basedOn w:val="44"/>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AC879A-641D-4CA7-81EB-E509C1542AF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68</Pages>
  <Words>27784</Words>
  <Characters>4013</Characters>
  <Lines>33</Lines>
  <Paragraphs>63</Paragraphs>
  <ScaleCrop>false</ScaleCrop>
  <LinksUpToDate>false</LinksUpToDate>
  <CharactersWithSpaces>31734</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2023-12-06T08:08:00Z</dcterms:created>
  <dc:creator>尹皓</dc:creator>
  <cp:lastModifiedBy>1234</cp:lastModifiedBy>
  <cp:lastPrinted>2020-04-02T11:13:00Z</cp:lastPrinted>
  <dcterms:modified xsi:type="dcterms:W3CDTF">2024-01-16T06:33:08Z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y fmtid="{D5CDD505-2E9C-101B-9397-08002B2CF9AE}" pid="3" name="ICV">
    <vt:lpwstr>A28665A572894A2281DF263D03FFE871_13</vt:lpwstr>
  </property>
</Properties>
</file>