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w:t>
      </w:r>
      <w:r>
        <w:rPr>
          <w:rFonts w:hint="eastAsia" w:ascii="宋体" w:hAnsi="宋体" w:eastAsia="宋体" w:cs="宋体"/>
          <w:b/>
          <w:bCs/>
          <w:i w:val="0"/>
          <w:caps w:val="0"/>
          <w:color w:val="auto"/>
          <w:spacing w:val="0"/>
          <w:sz w:val="36"/>
          <w:szCs w:val="36"/>
          <w:u w:val="none"/>
          <w:shd w:val="clear" w:color="auto" w:fill="FFFFFF"/>
        </w:rPr>
        <w:fldChar w:fldCharType="begin"/>
      </w:r>
      <w:r>
        <w:rPr>
          <w:rFonts w:hint="eastAsia" w:ascii="宋体" w:hAnsi="宋体" w:eastAsia="宋体" w:cs="宋体"/>
          <w:b/>
          <w:bCs/>
          <w:i w:val="0"/>
          <w:caps w:val="0"/>
          <w:color w:val="auto"/>
          <w:spacing w:val="0"/>
          <w:sz w:val="36"/>
          <w:szCs w:val="36"/>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bCs/>
          <w:i w:val="0"/>
          <w:caps w:val="0"/>
          <w:color w:val="auto"/>
          <w:spacing w:val="0"/>
          <w:sz w:val="36"/>
          <w:szCs w:val="36"/>
          <w:u w:val="none"/>
          <w:shd w:val="clear" w:color="auto" w:fill="FFFFFF"/>
        </w:rPr>
        <w:fldChar w:fldCharType="separate"/>
      </w:r>
      <w:r>
        <w:rPr>
          <w:rStyle w:val="30"/>
          <w:rFonts w:hint="eastAsia" w:ascii="宋体" w:hAnsi="宋体" w:eastAsia="宋体" w:cs="宋体"/>
          <w:b/>
          <w:bCs/>
          <w:i w:val="0"/>
          <w:caps w:val="0"/>
          <w:color w:val="auto"/>
          <w:spacing w:val="0"/>
          <w:sz w:val="36"/>
          <w:szCs w:val="36"/>
          <w:u w:val="none"/>
          <w:shd w:val="clear" w:color="auto" w:fill="FFFFFF"/>
        </w:rPr>
        <w:t>01072</w:t>
      </w:r>
      <w:r>
        <w:rPr>
          <w:rStyle w:val="30"/>
          <w:rFonts w:hint="eastAsia" w:ascii="宋体" w:hAnsi="宋体" w:eastAsia="宋体" w:cs="宋体"/>
          <w:b/>
          <w:bCs/>
          <w:i w:val="0"/>
          <w:caps w:val="0"/>
          <w:color w:val="auto"/>
          <w:spacing w:val="0"/>
          <w:sz w:val="36"/>
          <w:szCs w:val="36"/>
          <w:u w:val="none"/>
          <w:shd w:val="clear" w:color="auto" w:fill="FFFFFF"/>
          <w:lang w:val="en-US" w:eastAsia="zh-CN"/>
        </w:rPr>
        <w:t>3</w:t>
      </w:r>
      <w:r>
        <w:rPr>
          <w:rStyle w:val="30"/>
          <w:rFonts w:hint="eastAsia" w:ascii="宋体" w:hAnsi="宋体" w:eastAsia="宋体" w:cs="宋体"/>
          <w:b/>
          <w:bCs/>
          <w:i w:val="0"/>
          <w:caps w:val="0"/>
          <w:color w:val="auto"/>
          <w:spacing w:val="0"/>
          <w:sz w:val="36"/>
          <w:szCs w:val="36"/>
          <w:u w:val="none"/>
          <w:shd w:val="clear" w:color="auto" w:fill="FFFFFF"/>
        </w:rPr>
        <w:t>21020000</w:t>
      </w:r>
      <w:r>
        <w:rPr>
          <w:rStyle w:val="30"/>
          <w:rFonts w:hint="eastAsia" w:ascii="宋体" w:hAnsi="宋体" w:cs="宋体"/>
          <w:b/>
          <w:bCs/>
          <w:i w:val="0"/>
          <w:caps w:val="0"/>
          <w:color w:val="auto"/>
          <w:spacing w:val="0"/>
          <w:sz w:val="36"/>
          <w:szCs w:val="36"/>
          <w:u w:val="none"/>
          <w:shd w:val="clear" w:color="auto" w:fill="FFFFFF"/>
          <w:lang w:val="en-US" w:eastAsia="zh-CN"/>
        </w:rPr>
        <w:t>7982</w:t>
      </w:r>
      <w:r>
        <w:rPr>
          <w:rStyle w:val="30"/>
          <w:rFonts w:hint="eastAsia" w:ascii="宋体" w:hAnsi="宋体" w:eastAsia="宋体" w:cs="宋体"/>
          <w:b/>
          <w:bCs/>
          <w:i w:val="0"/>
          <w:caps w:val="0"/>
          <w:color w:val="auto"/>
          <w:spacing w:val="0"/>
          <w:sz w:val="36"/>
          <w:szCs w:val="36"/>
          <w:u w:val="none"/>
          <w:shd w:val="clear" w:color="auto" w:fill="FFFFFF"/>
        </w:rPr>
        <w:t>-XM001</w:t>
      </w:r>
      <w:r>
        <w:rPr>
          <w:rFonts w:hint="eastAsia" w:ascii="宋体" w:hAnsi="宋体" w:eastAsia="宋体" w:cs="宋体"/>
          <w:b/>
          <w:bCs/>
          <w:i w:val="0"/>
          <w:caps w:val="0"/>
          <w:color w:val="auto"/>
          <w:spacing w:val="0"/>
          <w:sz w:val="36"/>
          <w:szCs w:val="36"/>
          <w:u w:val="none"/>
          <w:shd w:val="clear" w:color="auto" w:fill="FFFFFF"/>
        </w:rPr>
        <w:fldChar w:fldCharType="end"/>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北京市石景山区图书馆2024年度公用经费物业管理服务采购项目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三</w:t>
      </w:r>
      <w:r>
        <w:rPr>
          <w:rFonts w:hint="eastAsia" w:ascii="宋体" w:hAnsi="宋体"/>
          <w:b/>
          <w:color w:val="auto"/>
          <w:sz w:val="36"/>
          <w:szCs w:val="36"/>
        </w:rPr>
        <w:t>年</w:t>
      </w:r>
      <w:r>
        <w:rPr>
          <w:rFonts w:hint="eastAsia" w:ascii="宋体" w:hAnsi="宋体"/>
          <w:b/>
          <w:color w:val="auto"/>
          <w:sz w:val="36"/>
          <w:szCs w:val="36"/>
          <w:lang w:eastAsia="zh-CN"/>
        </w:rPr>
        <w:t>十二</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19"/>
        <w:tabs>
          <w:tab w:val="right" w:leader="dot" w:pos="8721"/>
        </w:tabs>
        <w:spacing w:line="360" w:lineRule="auto"/>
        <w:rPr>
          <w:color w:val="auto"/>
          <w:kern w:val="2"/>
          <w:sz w:val="24"/>
          <w:szCs w:val="24"/>
          <w:highlight w:val="none"/>
        </w:rPr>
      </w:pPr>
      <w:r>
        <w:rPr>
          <w:rFonts w:hint="eastAsia" w:ascii="宋体" w:hAnsi="宋体" w:cs="微软雅黑"/>
          <w:color w:val="auto"/>
          <w:sz w:val="21"/>
          <w:szCs w:val="21"/>
          <w:highlight w:val="none"/>
        </w:rPr>
        <w:fldChar w:fldCharType="begin"/>
      </w:r>
      <w:r>
        <w:rPr>
          <w:rFonts w:hint="eastAsia" w:ascii="宋体" w:hAnsi="宋体" w:cs="微软雅黑"/>
          <w:color w:val="auto"/>
          <w:sz w:val="21"/>
          <w:szCs w:val="21"/>
          <w:highlight w:val="none"/>
        </w:rPr>
        <w:instrText xml:space="preserve">TOC \o "1-1" \h \u </w:instrText>
      </w:r>
      <w:r>
        <w:rPr>
          <w:rFonts w:hint="eastAsia" w:ascii="宋体" w:hAnsi="宋体" w:cs="微软雅黑"/>
          <w:color w:val="auto"/>
          <w:sz w:val="21"/>
          <w:szCs w:val="21"/>
          <w:highlight w:val="none"/>
        </w:rPr>
        <w:fldChar w:fldCharType="separate"/>
      </w:r>
      <w:r>
        <w:rPr>
          <w:color w:val="auto"/>
          <w:szCs w:val="24"/>
          <w:highlight w:val="none"/>
        </w:rPr>
        <w:fldChar w:fldCharType="begin"/>
      </w:r>
      <w:r>
        <w:rPr>
          <w:color w:val="auto"/>
          <w:szCs w:val="24"/>
          <w:highlight w:val="none"/>
        </w:rPr>
        <w:instrText xml:space="preserve"> HYPERLINK \l "_Toc466015310" </w:instrText>
      </w:r>
      <w:r>
        <w:rPr>
          <w:color w:val="auto"/>
          <w:szCs w:val="24"/>
          <w:highlight w:val="none"/>
        </w:rPr>
        <w:fldChar w:fldCharType="separate"/>
      </w:r>
      <w:r>
        <w:rPr>
          <w:rStyle w:val="30"/>
          <w:rFonts w:hint="eastAsia" w:ascii="宋体" w:hAnsi="宋体"/>
          <w:color w:val="auto"/>
          <w:sz w:val="24"/>
          <w:szCs w:val="24"/>
          <w:highlight w:val="none"/>
        </w:rPr>
        <w:t>第一部分 投标邀请</w:t>
      </w:r>
      <w:r>
        <w:rPr>
          <w:color w:val="auto"/>
          <w:sz w:val="24"/>
          <w:szCs w:val="24"/>
          <w:highlight w:val="none"/>
        </w:rPr>
        <w:tab/>
      </w:r>
      <w:r>
        <w:rPr>
          <w:color w:val="auto"/>
          <w:sz w:val="24"/>
          <w:szCs w:val="24"/>
          <w:highlight w:val="none"/>
        </w:rPr>
        <w:fldChar w:fldCharType="end"/>
      </w:r>
      <w:r>
        <w:rPr>
          <w:rFonts w:hint="eastAsia"/>
          <w:color w:val="auto"/>
          <w:sz w:val="24"/>
          <w:szCs w:val="24"/>
          <w:highlight w:val="none"/>
          <w:lang w:eastAsia="zh-CN"/>
        </w:rPr>
        <w:t>3</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"_Toc466015311"</w:instrText>
      </w:r>
      <w:r>
        <w:rPr>
          <w:color w:val="auto"/>
          <w:szCs w:val="24"/>
          <w:highlight w:val="none"/>
        </w:rPr>
        <w:fldChar w:fldCharType="separate"/>
      </w:r>
      <w:r>
        <w:rPr>
          <w:rStyle w:val="30"/>
          <w:rFonts w:hint="eastAsia" w:ascii="宋体" w:hAnsi="宋体"/>
          <w:color w:val="auto"/>
          <w:sz w:val="24"/>
          <w:szCs w:val="24"/>
          <w:highlight w:val="none"/>
        </w:rPr>
        <w:t>第二部分 投标人须知前附表</w:t>
      </w:r>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7</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"_Toc466015312"</w:instrText>
      </w:r>
      <w:r>
        <w:rPr>
          <w:color w:val="auto"/>
          <w:szCs w:val="24"/>
          <w:highlight w:val="none"/>
        </w:rPr>
        <w:fldChar w:fldCharType="separate"/>
      </w:r>
      <w:r>
        <w:rPr>
          <w:rStyle w:val="30"/>
          <w:rFonts w:hint="eastAsia" w:ascii="宋体" w:hAnsi="宋体"/>
          <w:color w:val="auto"/>
          <w:sz w:val="24"/>
          <w:szCs w:val="24"/>
          <w:highlight w:val="none"/>
        </w:rPr>
        <w:t>第三部分 投标人须知</w:t>
      </w:r>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9</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"_Toc466015313"</w:instrText>
      </w:r>
      <w:r>
        <w:rPr>
          <w:color w:val="auto"/>
          <w:szCs w:val="24"/>
          <w:highlight w:val="none"/>
        </w:rPr>
        <w:fldChar w:fldCharType="separate"/>
      </w:r>
      <w:r>
        <w:rPr>
          <w:rStyle w:val="30"/>
          <w:rFonts w:hint="eastAsia" w:ascii="宋体" w:hAnsi="宋体"/>
          <w:color w:val="auto"/>
          <w:sz w:val="24"/>
          <w:szCs w:val="24"/>
          <w:highlight w:val="none"/>
        </w:rPr>
        <w:t>第四部分 采</w:t>
      </w:r>
      <w:bookmarkStart w:id="0" w:name="_Hlt45033263"/>
      <w:bookmarkStart w:id="1" w:name="_Hlt42179902"/>
      <w:bookmarkStart w:id="2" w:name="_Hlt45033262"/>
      <w:r>
        <w:rPr>
          <w:rStyle w:val="30"/>
          <w:rFonts w:hint="eastAsia" w:ascii="宋体" w:hAnsi="宋体"/>
          <w:color w:val="auto"/>
          <w:sz w:val="24"/>
          <w:szCs w:val="24"/>
          <w:highlight w:val="none"/>
        </w:rPr>
        <w:t>购</w:t>
      </w:r>
      <w:bookmarkEnd w:id="0"/>
      <w:bookmarkEnd w:id="1"/>
      <w:bookmarkEnd w:id="2"/>
      <w:bookmarkStart w:id="3" w:name="_Hlt42177995"/>
      <w:bookmarkStart w:id="4" w:name="_Hlt42177996"/>
      <w:r>
        <w:rPr>
          <w:rStyle w:val="30"/>
          <w:rFonts w:hint="eastAsia" w:ascii="宋体" w:hAnsi="宋体"/>
          <w:color w:val="auto"/>
          <w:sz w:val="24"/>
          <w:szCs w:val="24"/>
          <w:highlight w:val="none"/>
        </w:rPr>
        <w:t>需</w:t>
      </w:r>
      <w:bookmarkEnd w:id="3"/>
      <w:bookmarkEnd w:id="4"/>
      <w:bookmarkStart w:id="5" w:name="_Hlt43459032"/>
      <w:r>
        <w:rPr>
          <w:rStyle w:val="30"/>
          <w:rFonts w:hint="eastAsia" w:ascii="宋体" w:hAnsi="宋体"/>
          <w:color w:val="auto"/>
          <w:sz w:val="24"/>
          <w:szCs w:val="24"/>
          <w:highlight w:val="none"/>
        </w:rPr>
        <w:t>求</w:t>
      </w:r>
      <w:bookmarkEnd w:id="5"/>
      <w:r>
        <w:rPr>
          <w:color w:val="auto"/>
          <w:sz w:val="24"/>
          <w:szCs w:val="24"/>
          <w:highlight w:val="none"/>
        </w:rPr>
        <w:tab/>
      </w:r>
      <w:r>
        <w:rPr>
          <w:color w:val="auto"/>
          <w:szCs w:val="24"/>
          <w:highlight w:val="none"/>
        </w:rPr>
        <w:fldChar w:fldCharType="end"/>
      </w:r>
      <w:r>
        <w:rPr>
          <w:rFonts w:hint="eastAsia"/>
          <w:color w:val="auto"/>
          <w:sz w:val="24"/>
          <w:szCs w:val="24"/>
          <w:highlight w:val="none"/>
          <w:lang w:eastAsia="zh-CN"/>
        </w:rPr>
        <w:t>1</w:t>
      </w:r>
      <w:r>
        <w:rPr>
          <w:rFonts w:hint="eastAsia"/>
          <w:color w:val="auto"/>
          <w:sz w:val="24"/>
          <w:szCs w:val="24"/>
          <w:highlight w:val="none"/>
          <w:lang w:val="en-US" w:eastAsia="zh-CN"/>
        </w:rPr>
        <w:t>9</w:t>
      </w:r>
    </w:p>
    <w:p>
      <w:pPr>
        <w:pStyle w:val="19"/>
        <w:tabs>
          <w:tab w:val="right" w:leader="dot" w:pos="8721"/>
        </w:tabs>
        <w:spacing w:line="360" w:lineRule="auto"/>
        <w:rPr>
          <w:color w:val="auto"/>
          <w:kern w:val="2"/>
          <w:sz w:val="21"/>
          <w:szCs w:val="21"/>
          <w:highlight w:val="none"/>
        </w:rPr>
      </w:pPr>
      <w:r>
        <w:rPr>
          <w:color w:val="auto"/>
          <w:szCs w:val="24"/>
          <w:highlight w:val="none"/>
        </w:rPr>
        <w:fldChar w:fldCharType="begin"/>
      </w:r>
      <w:r>
        <w:rPr>
          <w:color w:val="auto"/>
          <w:szCs w:val="24"/>
          <w:highlight w:val="none"/>
        </w:rPr>
        <w:instrText xml:space="preserve">HYPERLINK \l "_Toc466015314"</w:instrText>
      </w:r>
      <w:r>
        <w:rPr>
          <w:color w:val="auto"/>
          <w:szCs w:val="24"/>
          <w:highlight w:val="none"/>
        </w:rPr>
        <w:fldChar w:fldCharType="separate"/>
      </w:r>
      <w:r>
        <w:rPr>
          <w:rStyle w:val="30"/>
          <w:rFonts w:hint="eastAsia" w:ascii="宋体" w:hAnsi="宋体"/>
          <w:color w:val="auto"/>
          <w:sz w:val="24"/>
          <w:szCs w:val="24"/>
          <w:highlight w:val="none"/>
        </w:rPr>
        <w:t>第五部分 评标标准和</w:t>
      </w:r>
      <w:bookmarkStart w:id="6" w:name="_Hlt43452204"/>
      <w:bookmarkStart w:id="7" w:name="_Hlt43458266"/>
      <w:bookmarkStart w:id="8" w:name="_Hlt43458265"/>
      <w:r>
        <w:rPr>
          <w:rStyle w:val="30"/>
          <w:rFonts w:hint="eastAsia" w:ascii="宋体" w:hAnsi="宋体"/>
          <w:color w:val="auto"/>
          <w:sz w:val="24"/>
          <w:szCs w:val="24"/>
          <w:highlight w:val="none"/>
        </w:rPr>
        <w:t>评</w:t>
      </w:r>
      <w:bookmarkEnd w:id="6"/>
      <w:bookmarkEnd w:id="7"/>
      <w:bookmarkEnd w:id="8"/>
      <w:r>
        <w:rPr>
          <w:rStyle w:val="30"/>
          <w:rFonts w:hint="eastAsia" w:ascii="宋体" w:hAnsi="宋体"/>
          <w:color w:val="auto"/>
          <w:sz w:val="24"/>
          <w:szCs w:val="24"/>
          <w:highlight w:val="none"/>
        </w:rPr>
        <w:t>标方法</w:t>
      </w:r>
      <w:r>
        <w:rPr>
          <w:color w:val="auto"/>
          <w:sz w:val="24"/>
          <w:szCs w:val="24"/>
          <w:highlight w:val="none"/>
        </w:rPr>
        <w:tab/>
      </w:r>
      <w:r>
        <w:rPr>
          <w:rFonts w:hint="eastAsia"/>
          <w:color w:val="auto"/>
          <w:sz w:val="24"/>
          <w:szCs w:val="24"/>
          <w:highlight w:val="none"/>
          <w:lang w:val="en-US" w:eastAsia="zh-CN"/>
        </w:rPr>
        <w:t>3</w:t>
      </w:r>
      <w:r>
        <w:rPr>
          <w:color w:val="auto"/>
          <w:szCs w:val="24"/>
          <w:highlight w:val="none"/>
        </w:rPr>
        <w:fldChar w:fldCharType="end"/>
      </w:r>
      <w:r>
        <w:rPr>
          <w:rFonts w:hint="eastAsia"/>
          <w:color w:val="auto"/>
          <w:szCs w:val="24"/>
          <w:highlight w:val="none"/>
          <w:lang w:val="en-US" w:eastAsia="zh-CN"/>
        </w:rPr>
        <w:t>1</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"_Toc466015315"</w:instrText>
      </w:r>
      <w:r>
        <w:rPr>
          <w:color w:val="auto"/>
          <w:szCs w:val="24"/>
          <w:highlight w:val="none"/>
        </w:rPr>
        <w:fldChar w:fldCharType="separate"/>
      </w:r>
      <w:r>
        <w:rPr>
          <w:rStyle w:val="30"/>
          <w:rFonts w:hint="eastAsia" w:ascii="宋体" w:hAnsi="宋体"/>
          <w:color w:val="auto"/>
          <w:sz w:val="24"/>
          <w:szCs w:val="24"/>
          <w:highlight w:val="none"/>
        </w:rPr>
        <w:t>第六部分 政府采购合同</w:t>
      </w:r>
      <w:r>
        <w:rPr>
          <w:color w:val="auto"/>
          <w:sz w:val="24"/>
          <w:szCs w:val="24"/>
          <w:highlight w:val="none"/>
        </w:rPr>
        <w:tab/>
      </w:r>
      <w:r>
        <w:rPr>
          <w:rFonts w:hint="eastAsia"/>
          <w:color w:val="auto"/>
          <w:sz w:val="24"/>
          <w:szCs w:val="24"/>
          <w:highlight w:val="none"/>
          <w:lang w:val="en-US" w:eastAsia="zh-CN"/>
        </w:rPr>
        <w:t>3</w:t>
      </w:r>
      <w:r>
        <w:rPr>
          <w:color w:val="auto"/>
          <w:szCs w:val="24"/>
          <w:highlight w:val="none"/>
        </w:rPr>
        <w:fldChar w:fldCharType="end"/>
      </w:r>
      <w:r>
        <w:rPr>
          <w:rFonts w:hint="eastAsia"/>
          <w:color w:val="auto"/>
          <w:szCs w:val="24"/>
          <w:highlight w:val="none"/>
          <w:lang w:val="en-US" w:eastAsia="zh-CN"/>
        </w:rPr>
        <w:t>5</w:t>
      </w:r>
    </w:p>
    <w:p>
      <w:pPr>
        <w:pStyle w:val="19"/>
        <w:tabs>
          <w:tab w:val="right" w:leader="dot" w:pos="8721"/>
        </w:tabs>
        <w:spacing w:line="360" w:lineRule="auto"/>
        <w:rPr>
          <w:color w:val="auto"/>
          <w:kern w:val="2"/>
          <w:sz w:val="24"/>
          <w:szCs w:val="24"/>
          <w:highlight w:val="none"/>
        </w:rPr>
      </w:pPr>
      <w:r>
        <w:rPr>
          <w:color w:val="auto"/>
          <w:szCs w:val="24"/>
          <w:highlight w:val="none"/>
        </w:rPr>
        <w:fldChar w:fldCharType="begin"/>
      </w:r>
      <w:r>
        <w:rPr>
          <w:color w:val="auto"/>
          <w:szCs w:val="24"/>
          <w:highlight w:val="none"/>
        </w:rPr>
        <w:instrText xml:space="preserve">HYPERLINK \l "_Toc466015317"</w:instrText>
      </w:r>
      <w:r>
        <w:rPr>
          <w:color w:val="auto"/>
          <w:szCs w:val="24"/>
          <w:highlight w:val="none"/>
        </w:rPr>
        <w:fldChar w:fldCharType="separate"/>
      </w:r>
      <w:r>
        <w:rPr>
          <w:rStyle w:val="30"/>
          <w:rFonts w:hint="eastAsia"/>
          <w:color w:val="auto"/>
          <w:sz w:val="24"/>
          <w:szCs w:val="24"/>
          <w:highlight w:val="none"/>
        </w:rPr>
        <w:t>第七部分</w:t>
      </w:r>
      <w:r>
        <w:rPr>
          <w:rStyle w:val="30"/>
          <w:rFonts w:hint="eastAsia" w:ascii="宋体" w:hAnsi="宋体"/>
          <w:color w:val="auto"/>
          <w:sz w:val="24"/>
          <w:szCs w:val="24"/>
          <w:highlight w:val="none"/>
        </w:rPr>
        <w:t xml:space="preserve"> 电子投标文件格式</w:t>
      </w:r>
      <w:r>
        <w:rPr>
          <w:color w:val="auto"/>
          <w:sz w:val="24"/>
          <w:szCs w:val="24"/>
          <w:highlight w:val="none"/>
        </w:rPr>
        <w:tab/>
      </w:r>
      <w:r>
        <w:rPr>
          <w:color w:val="auto"/>
          <w:szCs w:val="24"/>
          <w:highlight w:val="none"/>
        </w:rPr>
        <w:fldChar w:fldCharType="end"/>
      </w:r>
      <w:r>
        <w:rPr>
          <w:rFonts w:hint="eastAsia"/>
          <w:color w:val="auto"/>
          <w:sz w:val="24"/>
          <w:szCs w:val="24"/>
          <w:highlight w:val="none"/>
          <w:lang w:val="en-US" w:eastAsia="zh-CN"/>
        </w:rPr>
        <w:t>48</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highlight w:val="none"/>
        </w:rPr>
        <w:fldChar w:fldCharType="end"/>
      </w:r>
    </w:p>
    <w:p>
      <w:pPr>
        <w:snapToGrid w:val="0"/>
        <w:spacing w:line="400" w:lineRule="exact"/>
        <w:jc w:val="both"/>
        <w:rPr>
          <w:rFonts w:ascii="宋体" w:hAnsi="宋体" w:cs="微软雅黑"/>
          <w:color w:val="auto"/>
          <w:sz w:val="21"/>
          <w:szCs w:val="21"/>
        </w:rPr>
        <w:sectPr>
          <w:headerReference r:id="rId4" w:type="first"/>
          <w:footerReference r:id="rId7" w:type="first"/>
          <w:headerReference r:id="rId3" w:type="default"/>
          <w:footerReference r:id="rId5" w:type="default"/>
          <w:footerReference r:id="rId6" w:type="even"/>
          <w:pgSz w:w="11907" w:h="16840"/>
          <w:pgMar w:top="1701" w:right="1588" w:bottom="1701" w:left="1588" w:header="851" w:footer="851" w:gutter="0"/>
          <w:pgNumType w:fmt="decimal"/>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466015310"/>
      <w:bookmarkStart w:id="10" w:name="_Toc27650"/>
      <w:bookmarkStart w:id="11" w:name="_Toc186274096"/>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北京市石景山区图书馆</w:t>
      </w:r>
      <w:r>
        <w:rPr>
          <w:rFonts w:hint="eastAsia" w:ascii="宋体" w:hAnsi="宋体"/>
          <w:color w:val="auto"/>
          <w:sz w:val="24"/>
          <w:lang w:val="zh-CN"/>
        </w:rPr>
        <w:t>的委托对</w:t>
      </w:r>
      <w:r>
        <w:rPr>
          <w:rFonts w:hint="eastAsia" w:ascii="宋体" w:hAnsi="宋体"/>
          <w:bCs/>
          <w:color w:val="auto"/>
          <w:sz w:val="24"/>
        </w:rPr>
        <w:t>北京市石景山区图书馆2024年度公用经费物业管理服务采购项目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bookmarkStart w:id="12" w:name="OLE_LINK2"/>
      <w:r>
        <w:rPr>
          <w:rStyle w:val="30"/>
          <w:rFonts w:hint="eastAsia" w:ascii="宋体" w:hAnsi="宋体" w:eastAsia="宋体" w:cs="宋体"/>
          <w:b w:val="0"/>
          <w:bCs w:val="0"/>
          <w:i w:val="0"/>
          <w:caps w:val="0"/>
          <w:color w:val="auto"/>
          <w:spacing w:val="0"/>
          <w:sz w:val="24"/>
          <w:szCs w:val="24"/>
          <w:u w:val="none"/>
          <w:shd w:val="clear" w:color="auto" w:fill="FFFFFF"/>
        </w:rPr>
        <w:t>11</w:t>
      </w:r>
      <w:r>
        <w:rPr>
          <w:rFonts w:hint="eastAsia" w:ascii="宋体" w:hAnsi="宋体" w:eastAsia="宋体" w:cs="宋体"/>
          <w:b w:val="0"/>
          <w:bCs w:val="0"/>
          <w:i w:val="0"/>
          <w:caps w:val="0"/>
          <w:color w:val="auto"/>
          <w:spacing w:val="0"/>
          <w:sz w:val="24"/>
          <w:szCs w:val="24"/>
          <w:u w:val="none"/>
          <w:shd w:val="clear" w:color="auto" w:fill="FFFFFF"/>
        </w:rPr>
        <w:fldChar w:fldCharType="begin"/>
      </w:r>
      <w:r>
        <w:rPr>
          <w:rFonts w:hint="eastAsia" w:ascii="宋体" w:hAnsi="宋体" w:eastAsia="宋体" w:cs="宋体"/>
          <w:b w:val="0"/>
          <w:bCs w:val="0"/>
          <w:i w:val="0"/>
          <w:caps w:val="0"/>
          <w:color w:val="auto"/>
          <w:spacing w:val="0"/>
          <w:sz w:val="24"/>
          <w:szCs w:val="24"/>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val="0"/>
          <w:bCs w:val="0"/>
          <w:i w:val="0"/>
          <w:caps w:val="0"/>
          <w:color w:val="auto"/>
          <w:spacing w:val="0"/>
          <w:sz w:val="24"/>
          <w:szCs w:val="24"/>
          <w:u w:val="none"/>
          <w:shd w:val="clear" w:color="auto" w:fill="FFFFFF"/>
        </w:rPr>
        <w:fldChar w:fldCharType="separate"/>
      </w:r>
      <w:r>
        <w:rPr>
          <w:rStyle w:val="30"/>
          <w:rFonts w:hint="eastAsia" w:ascii="宋体" w:hAnsi="宋体" w:eastAsia="宋体" w:cs="宋体"/>
          <w:b w:val="0"/>
          <w:bCs w:val="0"/>
          <w:i w:val="0"/>
          <w:caps w:val="0"/>
          <w:color w:val="auto"/>
          <w:spacing w:val="0"/>
          <w:sz w:val="24"/>
          <w:szCs w:val="24"/>
          <w:u w:val="none"/>
          <w:shd w:val="clear" w:color="auto" w:fill="FFFFFF"/>
        </w:rPr>
        <w:t>01072</w:t>
      </w:r>
      <w:r>
        <w:rPr>
          <w:rStyle w:val="30"/>
          <w:rFonts w:hint="eastAsia" w:ascii="宋体" w:hAnsi="宋体" w:eastAsia="宋体" w:cs="宋体"/>
          <w:b w:val="0"/>
          <w:bCs w:val="0"/>
          <w:i w:val="0"/>
          <w:caps w:val="0"/>
          <w:color w:val="auto"/>
          <w:spacing w:val="0"/>
          <w:sz w:val="24"/>
          <w:szCs w:val="24"/>
          <w:u w:val="none"/>
          <w:shd w:val="clear" w:color="auto" w:fill="FFFFFF"/>
          <w:lang w:val="en-US" w:eastAsia="zh-CN"/>
        </w:rPr>
        <w:t>3</w:t>
      </w:r>
      <w:r>
        <w:rPr>
          <w:rStyle w:val="30"/>
          <w:rFonts w:hint="eastAsia" w:ascii="宋体" w:hAnsi="宋体" w:eastAsia="宋体" w:cs="宋体"/>
          <w:b w:val="0"/>
          <w:bCs w:val="0"/>
          <w:i w:val="0"/>
          <w:caps w:val="0"/>
          <w:color w:val="auto"/>
          <w:spacing w:val="0"/>
          <w:sz w:val="24"/>
          <w:szCs w:val="24"/>
          <w:u w:val="none"/>
          <w:shd w:val="clear" w:color="auto" w:fill="FFFFFF"/>
        </w:rPr>
        <w:t>21020000</w:t>
      </w:r>
      <w:r>
        <w:rPr>
          <w:rStyle w:val="30"/>
          <w:rFonts w:hint="eastAsia" w:ascii="宋体" w:hAnsi="宋体" w:cs="宋体"/>
          <w:b w:val="0"/>
          <w:bCs w:val="0"/>
          <w:i w:val="0"/>
          <w:caps w:val="0"/>
          <w:color w:val="auto"/>
          <w:spacing w:val="0"/>
          <w:sz w:val="24"/>
          <w:szCs w:val="24"/>
          <w:u w:val="none"/>
          <w:shd w:val="clear" w:color="auto" w:fill="FFFFFF"/>
          <w:lang w:val="en-US" w:eastAsia="zh-CN"/>
        </w:rPr>
        <w:t>7982</w:t>
      </w:r>
      <w:r>
        <w:rPr>
          <w:rStyle w:val="30"/>
          <w:rFonts w:hint="eastAsia" w:ascii="宋体" w:hAnsi="宋体" w:eastAsia="宋体" w:cs="宋体"/>
          <w:b w:val="0"/>
          <w:bCs w:val="0"/>
          <w:i w:val="0"/>
          <w:caps w:val="0"/>
          <w:color w:val="auto"/>
          <w:spacing w:val="0"/>
          <w:sz w:val="24"/>
          <w:szCs w:val="24"/>
          <w:u w:val="none"/>
          <w:shd w:val="clear" w:color="auto" w:fill="FFFFFF"/>
        </w:rPr>
        <w:t>-XM001</w:t>
      </w:r>
      <w:r>
        <w:rPr>
          <w:rFonts w:hint="eastAsia" w:ascii="宋体" w:hAnsi="宋体" w:eastAsia="宋体" w:cs="宋体"/>
          <w:b w:val="0"/>
          <w:bCs w:val="0"/>
          <w:i w:val="0"/>
          <w:caps w:val="0"/>
          <w:color w:val="auto"/>
          <w:spacing w:val="0"/>
          <w:sz w:val="24"/>
          <w:szCs w:val="24"/>
          <w:u w:val="none"/>
          <w:shd w:val="clear" w:color="auto" w:fill="FFFFFF"/>
        </w:rPr>
        <w:fldChar w:fldCharType="end"/>
      </w:r>
      <w:bookmarkEnd w:id="12"/>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北京市石景山区图书馆2024年度公用经费物业管理服务采购项目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lang w:eastAsia="zh-CN"/>
        </w:rPr>
        <w:t>北京市石景山区图书馆</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石景山区八角南路2号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纪庆学</w:t>
      </w:r>
      <w:r>
        <w:rPr>
          <w:rFonts w:hint="eastAsia" w:ascii="宋体" w:hAnsi="宋体"/>
          <w:color w:val="auto"/>
          <w:sz w:val="24"/>
          <w:lang w:val="en-US" w:eastAsia="zh-CN"/>
        </w:rPr>
        <w:t>68874077</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bCs/>
          <w:color w:val="auto"/>
          <w:sz w:val="24"/>
        </w:rPr>
        <w:t>石景山区</w:t>
      </w:r>
      <w:r>
        <w:rPr>
          <w:rFonts w:hint="eastAsia" w:ascii="宋体" w:hAnsi="宋体"/>
          <w:bCs/>
          <w:color w:val="auto"/>
          <w:sz w:val="24"/>
          <w:lang w:eastAsia="zh-CN"/>
        </w:rPr>
        <w:t>图书馆</w:t>
      </w:r>
      <w:r>
        <w:rPr>
          <w:rFonts w:hint="eastAsia" w:ascii="宋体" w:hAnsi="宋体"/>
          <w:bCs/>
          <w:color w:val="auto"/>
          <w:sz w:val="24"/>
        </w:rPr>
        <w:t>2024年度</w:t>
      </w:r>
      <w:r>
        <w:rPr>
          <w:rFonts w:hint="eastAsia" w:ascii="宋体" w:hAnsi="宋体"/>
          <w:bCs/>
          <w:color w:val="auto"/>
          <w:sz w:val="24"/>
          <w:lang w:eastAsia="zh-CN"/>
        </w:rPr>
        <w:t>公用经费</w:t>
      </w:r>
      <w:r>
        <w:rPr>
          <w:rFonts w:hint="eastAsia" w:ascii="宋体" w:hAnsi="宋体"/>
          <w:bCs/>
          <w:color w:val="auto"/>
          <w:sz w:val="24"/>
        </w:rPr>
        <w:t>物业管理服务</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1，650，000</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（九）本项目为专门面向小</w:t>
      </w:r>
      <w:r>
        <w:rPr>
          <w:rFonts w:hint="eastAsia" w:ascii="宋体" w:hAnsi="宋体" w:cs="宋体"/>
          <w:color w:val="auto"/>
          <w:sz w:val="24"/>
          <w:lang w:eastAsia="zh-CN"/>
        </w:rPr>
        <w:t>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9</w:t>
      </w:r>
      <w:r>
        <w:rPr>
          <w:rFonts w:hint="eastAsia" w:ascii="宋体" w:hAnsi="宋体" w:cs="宋体"/>
          <w:color w:val="auto"/>
          <w:sz w:val="24"/>
        </w:rPr>
        <w:t>日至202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15</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3" w:name="_Toc186274097"/>
      <w:bookmarkStart w:id="14" w:name="_Toc174185144"/>
      <w:bookmarkStart w:id="15" w:name="_Toc180051008"/>
      <w:bookmarkStart w:id="16" w:name="_Toc184013601"/>
      <w:bookmarkStart w:id="17" w:name="_Toc184023100"/>
      <w:bookmarkStart w:id="18" w:name="_Toc184023106"/>
      <w:bookmarkStart w:id="19" w:name="_Toc186274103"/>
      <w:bookmarkStart w:id="20" w:name="_Toc174185151"/>
      <w:bookmarkStart w:id="21" w:name="_Toc184013607"/>
      <w:bookmarkStart w:id="22" w:name="_Toc180051014"/>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3</w:t>
      </w:r>
      <w:r>
        <w:rPr>
          <w:rFonts w:hint="eastAsia" w:ascii="宋体" w:hAnsi="宋体"/>
          <w:color w:val="auto"/>
          <w:sz w:val="24"/>
        </w:rPr>
        <w:t>年</w:t>
      </w:r>
      <w:r>
        <w:rPr>
          <w:rFonts w:hint="eastAsia" w:ascii="宋体" w:hAnsi="宋体"/>
          <w:color w:val="auto"/>
          <w:sz w:val="24"/>
          <w:lang w:val="en-US" w:eastAsia="zh-CN"/>
        </w:rPr>
        <w:t>12</w:t>
      </w:r>
      <w:r>
        <w:rPr>
          <w:rFonts w:hint="eastAsia" w:ascii="宋体" w:hAnsi="宋体"/>
          <w:color w:val="auto"/>
          <w:sz w:val="24"/>
        </w:rPr>
        <w:t>月</w:t>
      </w:r>
      <w:r>
        <w:rPr>
          <w:rFonts w:hint="eastAsia" w:ascii="宋体" w:hAnsi="宋体"/>
          <w:color w:val="auto"/>
          <w:sz w:val="24"/>
          <w:lang w:val="en-US" w:eastAsia="zh-CN"/>
        </w:rPr>
        <w:t>18</w:t>
      </w:r>
      <w:r>
        <w:rPr>
          <w:rFonts w:hint="eastAsia" w:ascii="宋体" w:hAnsi="宋体"/>
          <w:color w:val="auto"/>
          <w:sz w:val="24"/>
        </w:rPr>
        <w:t>日下午1</w:t>
      </w:r>
      <w:r>
        <w:rPr>
          <w:rFonts w:hint="eastAsia" w:ascii="宋体" w:hAnsi="宋体"/>
          <w:color w:val="auto"/>
          <w:sz w:val="24"/>
          <w:lang w:val="en-US" w:eastAsia="zh-CN"/>
        </w:rPr>
        <w:t>4</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3</w:t>
      </w:r>
      <w:r>
        <w:rPr>
          <w:rFonts w:hint="eastAsia" w:ascii="宋体" w:hAnsi="宋体"/>
          <w:b w:val="0"/>
          <w:bCs/>
          <w:color w:val="auto"/>
          <w:sz w:val="24"/>
        </w:rPr>
        <w:t>年</w:t>
      </w:r>
      <w:r>
        <w:rPr>
          <w:rFonts w:hint="eastAsia" w:ascii="宋体" w:hAnsi="宋体"/>
          <w:b w:val="0"/>
          <w:bCs/>
          <w:color w:val="auto"/>
          <w:sz w:val="24"/>
          <w:lang w:val="en-US" w:eastAsia="zh-CN"/>
        </w:rPr>
        <w:t>12</w:t>
      </w:r>
      <w:r>
        <w:rPr>
          <w:rFonts w:hint="eastAsia" w:ascii="宋体" w:hAnsi="宋体"/>
          <w:b w:val="0"/>
          <w:bCs/>
          <w:color w:val="auto"/>
          <w:sz w:val="24"/>
        </w:rPr>
        <w:t>月</w:t>
      </w:r>
      <w:r>
        <w:rPr>
          <w:rFonts w:hint="eastAsia" w:ascii="宋体" w:hAnsi="宋体"/>
          <w:b w:val="0"/>
          <w:bCs/>
          <w:color w:val="auto"/>
          <w:sz w:val="24"/>
          <w:lang w:val="en-US" w:eastAsia="zh-CN"/>
        </w:rPr>
        <w:t>29</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eastAsia="zh-CN"/>
        </w:rPr>
        <w:t>3</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12</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29</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3"/>
      <w:bookmarkEnd w:id="14"/>
      <w:bookmarkEnd w:id="15"/>
      <w:bookmarkEnd w:id="16"/>
      <w:bookmarkEnd w:id="17"/>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w:t>
      </w:r>
      <w:r>
        <w:rPr>
          <w:rFonts w:hint="eastAsia" w:ascii="宋体" w:hAnsi="宋体"/>
          <w:color w:val="auto"/>
          <w:sz w:val="24"/>
          <w:lang w:eastAsia="zh-CN"/>
        </w:rPr>
        <w:t>刘思彤</w:t>
      </w:r>
    </w:p>
    <w:p>
      <w:pPr>
        <w:tabs>
          <w:tab w:val="left" w:pos="856"/>
        </w:tabs>
        <w:snapToGrid w:val="0"/>
        <w:spacing w:line="400" w:lineRule="exact"/>
        <w:ind w:left="1200"/>
        <w:rPr>
          <w:rFonts w:ascii="宋体" w:hAnsi="宋体" w:cs="微软雅黑"/>
          <w:color w:val="auto"/>
          <w:sz w:val="21"/>
          <w:szCs w:val="21"/>
        </w:rPr>
      </w:pPr>
    </w:p>
    <w:bookmarkEnd w:id="18"/>
    <w:bookmarkEnd w:id="19"/>
    <w:bookmarkEnd w:id="20"/>
    <w:bookmarkEnd w:id="21"/>
    <w:bookmarkEnd w:id="22"/>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3" w:name="_Toc184013605"/>
      <w:bookmarkStart w:id="24" w:name="_Toc174185149"/>
      <w:bookmarkStart w:id="25" w:name="_Toc186274101"/>
      <w:bookmarkStart w:id="26" w:name="_Toc184023104"/>
      <w:bookmarkStart w:id="27" w:name="_Toc180051012"/>
      <w:r>
        <w:rPr>
          <w:rFonts w:hint="eastAsia" w:ascii="宋体" w:hAnsi="宋体" w:cs="微软雅黑"/>
          <w:b/>
          <w:color w:val="auto"/>
          <w:sz w:val="30"/>
          <w:szCs w:val="30"/>
        </w:rPr>
        <w:t>电子投标文件制作及上传说明</w:t>
      </w:r>
      <w:bookmarkEnd w:id="23"/>
      <w:bookmarkEnd w:id="24"/>
      <w:bookmarkEnd w:id="25"/>
      <w:bookmarkEnd w:id="26"/>
      <w:bookmarkEnd w:id="27"/>
    </w:p>
    <w:p>
      <w:pPr>
        <w:pStyle w:val="3"/>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8" w:name="_Toc22558"/>
      <w:bookmarkStart w:id="29" w:name="_Toc174185152"/>
      <w:bookmarkStart w:id="30" w:name="_Toc186274104"/>
      <w:bookmarkStart w:id="31" w:name="_Toc466015311"/>
      <w:r>
        <w:rPr>
          <w:rFonts w:hint="eastAsia" w:ascii="宋体" w:hAnsi="宋体"/>
          <w:color w:val="auto"/>
        </w:rPr>
        <w:t>投标人须知前附表</w:t>
      </w:r>
      <w:bookmarkEnd w:id="28"/>
      <w:bookmarkEnd w:id="29"/>
      <w:bookmarkEnd w:id="30"/>
      <w:bookmarkEnd w:id="31"/>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2"/>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3"/>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1-1★法人营业执照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服务方案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服务团队</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投标人</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3"/>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highlight w:val="none"/>
              </w:rPr>
            </w:pPr>
            <w:r>
              <w:rPr>
                <w:rFonts w:hint="eastAsia" w:cs="微软雅黑"/>
                <w:bCs/>
                <w:color w:val="auto"/>
                <w:sz w:val="24"/>
                <w:szCs w:val="24"/>
                <w:highlight w:val="none"/>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highlight w:val="none"/>
                <w:lang w:eastAsia="zh-CN"/>
              </w:rPr>
            </w:pPr>
            <w:r>
              <w:rPr>
                <w:rFonts w:hint="eastAsia" w:cs="微软雅黑"/>
                <w:bCs/>
                <w:color w:val="auto"/>
                <w:sz w:val="24"/>
                <w:szCs w:val="24"/>
                <w:highlight w:val="none"/>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highlight w:val="none"/>
              </w:rPr>
              <w:t>节约能源、保护环境、促进中小企业及监狱企业发展、促进残疾人就业、使用信用记录结果、</w:t>
            </w:r>
            <w:r>
              <w:rPr>
                <w:rFonts w:hint="eastAsia"/>
                <w:bCs/>
                <w:color w:val="auto"/>
                <w:sz w:val="24"/>
                <w:highlight w:val="none"/>
              </w:rPr>
              <w:t>支持乡村产业振兴</w:t>
            </w:r>
            <w:r>
              <w:rPr>
                <w:rFonts w:hint="eastAsia"/>
                <w:color w:val="auto"/>
                <w:sz w:val="24"/>
                <w:highlight w:val="none"/>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8" w:type="default"/>
          <w:footerReference r:id="rId9" w:type="default"/>
          <w:pgSz w:w="11907" w:h="16840"/>
          <w:pgMar w:top="1418" w:right="1418" w:bottom="1418" w:left="1418" w:header="851" w:footer="850" w:gutter="0"/>
          <w:pgNumType w:fmt="decimal"/>
          <w:cols w:space="720" w:num="1"/>
          <w:docGrid w:type="lines" w:linePitch="326" w:charSpace="0"/>
        </w:sectPr>
      </w:pPr>
    </w:p>
    <w:p>
      <w:pPr>
        <w:pStyle w:val="49"/>
        <w:snapToGrid w:val="0"/>
        <w:spacing w:before="0" w:after="0"/>
        <w:ind w:left="0"/>
        <w:rPr>
          <w:rFonts w:ascii="宋体" w:hAnsi="宋体"/>
          <w:color w:val="auto"/>
        </w:rPr>
      </w:pPr>
      <w:bookmarkStart w:id="32" w:name="_Toc20975"/>
      <w:bookmarkStart w:id="33" w:name="_Toc466015312"/>
      <w:bookmarkStart w:id="34" w:name="_Toc328815991"/>
      <w:bookmarkStart w:id="35" w:name="_Toc174185153"/>
      <w:bookmarkStart w:id="36" w:name="_Toc186274106"/>
      <w:bookmarkStart w:id="37" w:name="_Toc86202581"/>
      <w:r>
        <w:rPr>
          <w:rFonts w:hint="eastAsia" w:ascii="宋体" w:hAnsi="宋体"/>
          <w:color w:val="auto"/>
        </w:rPr>
        <w:t>投标人须知</w:t>
      </w:r>
      <w:bookmarkEnd w:id="32"/>
      <w:bookmarkEnd w:id="33"/>
      <w:bookmarkEnd w:id="34"/>
    </w:p>
    <w:bookmarkEnd w:id="35"/>
    <w:bookmarkEnd w:id="36"/>
    <w:p>
      <w:pPr>
        <w:pStyle w:val="54"/>
        <w:numPr>
          <w:ilvl w:val="0"/>
          <w:numId w:val="0"/>
        </w:numPr>
        <w:adjustRightInd/>
        <w:textAlignment w:val="auto"/>
        <w:rPr>
          <w:color w:val="auto"/>
        </w:rPr>
      </w:pPr>
    </w:p>
    <w:bookmarkEnd w:id="37"/>
    <w:p>
      <w:pPr>
        <w:pStyle w:val="5"/>
        <w:spacing w:before="0" w:after="120" w:line="400" w:lineRule="exact"/>
        <w:ind w:left="238"/>
        <w:rPr>
          <w:rFonts w:ascii="宋体" w:hAnsi="宋体" w:eastAsia="宋体" w:cs="微软雅黑"/>
          <w:bCs w:val="0"/>
          <w:color w:val="auto"/>
          <w:sz w:val="24"/>
          <w:szCs w:val="24"/>
        </w:rPr>
      </w:pPr>
      <w:bookmarkStart w:id="38" w:name="_Toc328815992"/>
      <w:r>
        <w:rPr>
          <w:rFonts w:hint="eastAsia" w:ascii="宋体" w:hAnsi="宋体" w:eastAsia="宋体" w:cs="微软雅黑"/>
          <w:bCs w:val="0"/>
          <w:color w:val="auto"/>
          <w:sz w:val="24"/>
          <w:szCs w:val="24"/>
        </w:rPr>
        <w:t>总则</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9" w:name="_Toc328815993"/>
      <w:r>
        <w:rPr>
          <w:rFonts w:hint="eastAsia" w:ascii="宋体" w:hAnsi="宋体" w:eastAsia="宋体" w:cs="微软雅黑"/>
          <w:bCs w:val="0"/>
          <w:color w:val="auto"/>
          <w:sz w:val="24"/>
          <w:szCs w:val="24"/>
        </w:rPr>
        <w:t>招标文件</w:t>
      </w:r>
      <w:bookmarkEnd w:id="39"/>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40" w:name="_Toc328815994"/>
      <w:r>
        <w:rPr>
          <w:rFonts w:hint="eastAsia" w:ascii="宋体" w:hAnsi="宋体" w:eastAsia="宋体" w:cs="微软雅黑"/>
          <w:bCs w:val="0"/>
          <w:color w:val="auto"/>
          <w:sz w:val="24"/>
          <w:szCs w:val="24"/>
        </w:rPr>
        <w:t>电子投标文件</w:t>
      </w:r>
      <w:bookmarkEnd w:id="40"/>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5"/>
        <w:spacing w:before="0" w:after="120" w:line="400" w:lineRule="exact"/>
        <w:ind w:left="238"/>
        <w:rPr>
          <w:rFonts w:ascii="宋体" w:hAnsi="宋体" w:eastAsia="宋体" w:cs="微软雅黑"/>
          <w:bCs w:val="0"/>
          <w:color w:val="auto"/>
          <w:sz w:val="24"/>
          <w:szCs w:val="24"/>
        </w:rPr>
      </w:pPr>
      <w:bookmarkStart w:id="41" w:name="_Toc328815995"/>
      <w:r>
        <w:rPr>
          <w:rFonts w:hint="eastAsia" w:ascii="宋体" w:hAnsi="宋体" w:eastAsia="宋体" w:cs="微软雅黑"/>
          <w:bCs w:val="0"/>
          <w:color w:val="auto"/>
          <w:sz w:val="24"/>
          <w:szCs w:val="24"/>
        </w:rPr>
        <w:t>电子投标文件的</w:t>
      </w:r>
      <w:bookmarkEnd w:id="41"/>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5"/>
        <w:spacing w:before="0" w:after="120" w:line="400" w:lineRule="exact"/>
        <w:ind w:left="238"/>
        <w:rPr>
          <w:rFonts w:ascii="宋体" w:hAnsi="宋体" w:eastAsia="宋体" w:cs="微软雅黑"/>
          <w:bCs w:val="0"/>
          <w:color w:val="auto"/>
          <w:sz w:val="21"/>
          <w:szCs w:val="21"/>
        </w:rPr>
      </w:pPr>
      <w:bookmarkStart w:id="42" w:name="_Toc328815996"/>
      <w:r>
        <w:rPr>
          <w:rFonts w:hint="eastAsia" w:ascii="宋体" w:hAnsi="宋体" w:eastAsia="宋体" w:cs="微软雅黑"/>
          <w:bCs w:val="0"/>
          <w:color w:val="auto"/>
          <w:sz w:val="24"/>
          <w:szCs w:val="24"/>
        </w:rPr>
        <w:t>开标</w:t>
      </w:r>
      <w:bookmarkEnd w:id="42"/>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ascii="宋体" w:hAnsi="宋体" w:eastAsia="宋体" w:cs="宋体"/>
          <w:spacing w:val="3"/>
          <w:sz w:val="24"/>
          <w:szCs w:val="24"/>
        </w:rPr>
        <w:t>出疑义或确认一览表的，视同认可开标结果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5"/>
        <w:spacing w:before="0" w:after="120" w:line="400" w:lineRule="exact"/>
        <w:ind w:left="238"/>
        <w:rPr>
          <w:rFonts w:ascii="宋体" w:hAnsi="宋体" w:eastAsia="宋体" w:cs="微软雅黑"/>
          <w:bCs w:val="0"/>
          <w:color w:val="auto"/>
          <w:sz w:val="24"/>
          <w:szCs w:val="24"/>
        </w:rPr>
      </w:pPr>
      <w:bookmarkStart w:id="43" w:name="_Toc328815997"/>
      <w:r>
        <w:rPr>
          <w:rFonts w:hint="eastAsia" w:ascii="宋体" w:hAnsi="宋体" w:eastAsia="宋体" w:cs="微软雅黑"/>
          <w:bCs w:val="0"/>
          <w:color w:val="auto"/>
          <w:sz w:val="24"/>
          <w:szCs w:val="24"/>
        </w:rPr>
        <w:t>评标步骤和要求</w:t>
      </w:r>
      <w:bookmarkEnd w:id="43"/>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5"/>
        <w:spacing w:before="0" w:after="120" w:line="400" w:lineRule="exact"/>
        <w:ind w:left="238"/>
        <w:rPr>
          <w:rFonts w:ascii="宋体" w:hAnsi="宋体" w:eastAsia="宋体" w:cs="微软雅黑"/>
          <w:bCs w:val="0"/>
          <w:color w:val="auto"/>
          <w:sz w:val="24"/>
          <w:szCs w:val="24"/>
        </w:rPr>
      </w:pPr>
      <w:bookmarkStart w:id="44" w:name="_Toc328815998"/>
      <w:r>
        <w:rPr>
          <w:rFonts w:hint="eastAsia" w:ascii="宋体" w:hAnsi="宋体" w:eastAsia="宋体" w:cs="微软雅黑"/>
          <w:bCs w:val="0"/>
          <w:color w:val="auto"/>
          <w:sz w:val="24"/>
          <w:szCs w:val="24"/>
        </w:rPr>
        <w:t>中标、未中标通知</w:t>
      </w:r>
      <w:bookmarkEnd w:id="44"/>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5"/>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5"/>
        <w:spacing w:before="0" w:after="120" w:line="400" w:lineRule="exact"/>
        <w:ind w:left="238"/>
        <w:rPr>
          <w:rFonts w:ascii="宋体" w:hAnsi="宋体" w:eastAsia="宋体" w:cs="微软雅黑"/>
          <w:bCs w:val="0"/>
          <w:color w:val="auto"/>
          <w:sz w:val="24"/>
          <w:szCs w:val="24"/>
        </w:rPr>
      </w:pPr>
      <w:bookmarkStart w:id="45" w:name="_Toc328816000"/>
      <w:r>
        <w:rPr>
          <w:rFonts w:hint="eastAsia" w:ascii="宋体" w:hAnsi="宋体" w:eastAsia="宋体" w:cs="微软雅黑"/>
          <w:bCs w:val="0"/>
          <w:color w:val="auto"/>
          <w:sz w:val="24"/>
          <w:szCs w:val="24"/>
        </w:rPr>
        <w:t>质疑</w:t>
      </w:r>
      <w:bookmarkEnd w:id="45"/>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6"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7" w:name="_Toc356478669"/>
      <w:bookmarkStart w:id="48" w:name="_Toc435830560"/>
      <w:bookmarkStart w:id="49" w:name="_Toc435828258"/>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7"/>
    <w:bookmarkEnd w:id="48"/>
    <w:bookmarkEnd w:id="49"/>
    <w:p>
      <w:pPr>
        <w:pStyle w:val="54"/>
        <w:numPr>
          <w:ilvl w:val="1"/>
          <w:numId w:val="3"/>
        </w:numPr>
        <w:spacing w:line="400" w:lineRule="exact"/>
        <w:rPr>
          <w:rFonts w:cs="微软雅黑"/>
          <w:color w:val="auto"/>
          <w:sz w:val="24"/>
          <w:szCs w:val="24"/>
        </w:rPr>
      </w:pPr>
      <w:bookmarkStart w:id="50" w:name="_Toc356478670"/>
      <w:bookmarkStart w:id="51" w:name="_Toc435830561"/>
      <w:bookmarkStart w:id="52" w:name="_Toc435828259"/>
      <w:r>
        <w:rPr>
          <w:rFonts w:hint="eastAsia" w:cs="微软雅黑"/>
          <w:color w:val="auto"/>
          <w:sz w:val="24"/>
          <w:szCs w:val="24"/>
        </w:rPr>
        <w:t>不符合上述26.2-26.9条规定的质疑函不予受理。</w:t>
      </w:r>
      <w:bookmarkEnd w:id="50"/>
      <w:bookmarkEnd w:id="51"/>
      <w:bookmarkEnd w:id="52"/>
    </w:p>
    <w:p>
      <w:pPr>
        <w:pStyle w:val="54"/>
        <w:numPr>
          <w:ilvl w:val="1"/>
          <w:numId w:val="3"/>
        </w:numPr>
        <w:spacing w:line="400" w:lineRule="exact"/>
        <w:rPr>
          <w:rFonts w:cs="微软雅黑"/>
          <w:color w:val="auto"/>
          <w:sz w:val="24"/>
          <w:szCs w:val="24"/>
        </w:rPr>
      </w:pPr>
      <w:bookmarkStart w:id="53" w:name="_Toc435828260"/>
      <w:bookmarkStart w:id="54" w:name="_Toc356478671"/>
      <w:bookmarkStart w:id="55"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3"/>
      <w:bookmarkEnd w:id="54"/>
      <w:bookmarkEnd w:id="55"/>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pgNumType w:fmt="decimal"/>
          <w:cols w:space="720" w:num="1"/>
          <w:docGrid w:type="lines" w:linePitch="312" w:charSpace="0"/>
        </w:sectPr>
      </w:pPr>
      <w:r>
        <w:rPr>
          <w:rFonts w:hint="eastAsia" w:ascii="宋体" w:hAnsi="宋体"/>
          <w:color w:val="auto"/>
          <w:sz w:val="24"/>
          <w:szCs w:val="24"/>
        </w:rPr>
        <w:t>提交日期：</w:t>
      </w:r>
      <w:bookmarkEnd w:id="46"/>
    </w:p>
    <w:p>
      <w:pPr>
        <w:pStyle w:val="49"/>
        <w:snapToGrid w:val="0"/>
        <w:spacing w:before="0" w:after="0"/>
        <w:ind w:left="0"/>
        <w:rPr>
          <w:rFonts w:ascii="宋体" w:hAnsi="宋体"/>
          <w:color w:val="auto"/>
        </w:rPr>
      </w:pPr>
      <w:bookmarkStart w:id="56" w:name="_Toc5503"/>
      <w:bookmarkEnd w:id="56"/>
      <w:bookmarkStart w:id="57" w:name="_Toc466015313"/>
      <w:r>
        <w:rPr>
          <w:rFonts w:hint="eastAsia" w:ascii="宋体" w:hAnsi="宋体"/>
          <w:color w:val="auto"/>
        </w:rPr>
        <w:t>采购需求</w:t>
      </w:r>
      <w:bookmarkEnd w:id="57"/>
    </w:p>
    <w:p>
      <w:pPr>
        <w:numPr>
          <w:ilvl w:val="0"/>
          <w:numId w:val="15"/>
        </w:numPr>
        <w:spacing w:line="360" w:lineRule="auto"/>
        <w:outlineLvl w:val="0"/>
        <w:rPr>
          <w:b/>
          <w:bCs/>
          <w:color w:val="auto"/>
          <w:sz w:val="24"/>
          <w:szCs w:val="24"/>
        </w:rPr>
      </w:pPr>
      <w:bookmarkStart w:id="58" w:name="_Toc174185168"/>
      <w:bookmarkStart w:id="59" w:name="_Toc184023125"/>
      <w:bookmarkStart w:id="60" w:name="_Toc13684"/>
      <w:r>
        <w:rPr>
          <w:rFonts w:hint="eastAsia" w:eastAsia="宋体"/>
          <w:b/>
          <w:bCs/>
          <w:color w:val="auto"/>
          <w:sz w:val="24"/>
          <w:szCs w:val="24"/>
        </w:rPr>
        <w:t>采购标的</w:t>
      </w:r>
    </w:p>
    <w:p>
      <w:pPr>
        <w:spacing w:line="360" w:lineRule="auto"/>
        <w:ind w:firstLine="480" w:firstLineChars="200"/>
        <w:outlineLvl w:val="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165</w:t>
      </w:r>
      <w:r>
        <w:rPr>
          <w:rFonts w:hint="eastAsia" w:ascii="宋体" w:hAnsi="宋体" w:eastAsia="宋体" w:cs="宋体"/>
          <w:color w:val="auto"/>
          <w:sz w:val="24"/>
          <w:szCs w:val="24"/>
          <w:lang w:eastAsia="zh-CN"/>
        </w:rPr>
        <w:t>万</w:t>
      </w:r>
      <w:r>
        <w:rPr>
          <w:rFonts w:hint="eastAsia" w:ascii="宋体" w:hAnsi="宋体" w:eastAsia="宋体" w:cs="宋体"/>
          <w:color w:val="auto"/>
          <w:sz w:val="24"/>
          <w:szCs w:val="24"/>
        </w:rPr>
        <w:t>元。服务期限自2024年1月1日至2024年12月31日。</w:t>
      </w:r>
    </w:p>
    <w:p>
      <w:pPr>
        <w:numPr>
          <w:ilvl w:val="0"/>
          <w:numId w:val="15"/>
        </w:numPr>
        <w:spacing w:before="156" w:beforeLines="50" w:line="360" w:lineRule="auto"/>
        <w:outlineLvl w:val="0"/>
        <w:rPr>
          <w:b/>
          <w:bCs/>
          <w:color w:val="auto"/>
          <w:sz w:val="24"/>
          <w:szCs w:val="24"/>
        </w:rPr>
      </w:pPr>
      <w:r>
        <w:rPr>
          <w:rFonts w:hint="eastAsia"/>
          <w:b/>
          <w:bCs/>
          <w:color w:val="auto"/>
          <w:sz w:val="24"/>
          <w:szCs w:val="24"/>
        </w:rPr>
        <w:t>项目概述</w:t>
      </w:r>
    </w:p>
    <w:p>
      <w:pPr>
        <w:numPr>
          <w:ilvl w:val="0"/>
          <w:numId w:val="16"/>
        </w:numPr>
        <w:spacing w:line="360" w:lineRule="auto"/>
        <w:outlineLvl w:val="1"/>
        <w:rPr>
          <w:rFonts w:hint="eastAsia" w:ascii="宋体" w:hAnsi="宋体" w:eastAsia="宋体" w:cs="宋体"/>
          <w:color w:val="auto"/>
        </w:rPr>
      </w:pPr>
      <w:r>
        <w:rPr>
          <w:rFonts w:hint="eastAsia" w:ascii="宋体" w:hAnsi="宋体" w:eastAsia="宋体" w:cs="宋体"/>
          <w:color w:val="auto"/>
        </w:rPr>
        <w:t>项目基本情况</w:t>
      </w:r>
    </w:p>
    <w:p>
      <w:pPr>
        <w:numPr>
          <w:ilvl w:val="0"/>
          <w:numId w:val="17"/>
        </w:numPr>
        <w:spacing w:line="360" w:lineRule="auto"/>
        <w:ind w:firstLine="729" w:firstLineChars="304"/>
        <w:rPr>
          <w:rFonts w:hint="eastAsia" w:ascii="宋体" w:hAnsi="宋体" w:eastAsia="宋体" w:cs="宋体"/>
          <w:color w:val="auto"/>
        </w:rPr>
      </w:pPr>
      <w:r>
        <w:rPr>
          <w:rFonts w:hint="eastAsia" w:ascii="宋体" w:hAnsi="宋体" w:eastAsia="宋体" w:cs="宋体"/>
          <w:color w:val="auto"/>
        </w:rPr>
        <w:t>区位及面积。石景山区</w:t>
      </w:r>
      <w:r>
        <w:rPr>
          <w:rFonts w:hint="eastAsia" w:ascii="宋体" w:hAnsi="宋体" w:eastAsia="宋体" w:cs="宋体"/>
          <w:color w:val="auto"/>
          <w:lang w:val="en-US" w:eastAsia="zh-CN"/>
        </w:rPr>
        <w:t>图书馆物业管理服务</w:t>
      </w:r>
      <w:r>
        <w:rPr>
          <w:rFonts w:hint="eastAsia" w:ascii="宋体" w:hAnsi="宋体" w:eastAsia="宋体" w:cs="宋体"/>
          <w:color w:val="auto"/>
        </w:rPr>
        <w:t>项目位于石景山区</w:t>
      </w:r>
      <w:r>
        <w:rPr>
          <w:rFonts w:hint="eastAsia" w:ascii="宋体" w:hAnsi="宋体" w:eastAsia="宋体" w:cs="宋体"/>
          <w:color w:val="auto"/>
          <w:lang w:val="en-US" w:eastAsia="zh-CN"/>
        </w:rPr>
        <w:t>八角南路2号（图书馆总馆）以及古城南路11号（少儿馆）</w:t>
      </w:r>
      <w:r>
        <w:rPr>
          <w:rFonts w:hint="eastAsia" w:ascii="宋体" w:hAnsi="宋体" w:eastAsia="宋体" w:cs="宋体"/>
          <w:color w:val="auto"/>
        </w:rPr>
        <w:t>，总建筑面积</w:t>
      </w:r>
      <w:r>
        <w:rPr>
          <w:rFonts w:hint="eastAsia" w:ascii="宋体" w:hAnsi="宋体" w:eastAsia="宋体" w:cs="宋体"/>
          <w:color w:val="auto"/>
          <w:lang w:val="en-US" w:eastAsia="zh-CN"/>
        </w:rPr>
        <w:t>12278</w:t>
      </w:r>
      <w:r>
        <w:rPr>
          <w:rFonts w:hint="eastAsia" w:ascii="宋体" w:hAnsi="宋体" w:eastAsia="宋体" w:cs="宋体"/>
          <w:color w:val="auto"/>
        </w:rPr>
        <w:t>平方米，</w:t>
      </w:r>
      <w:r>
        <w:rPr>
          <w:rFonts w:hint="eastAsia" w:ascii="宋体" w:hAnsi="宋体" w:eastAsia="宋体" w:cs="宋体"/>
          <w:color w:val="auto"/>
          <w:lang w:val="en-US" w:eastAsia="zh-CN"/>
        </w:rPr>
        <w:t>其中总馆</w:t>
      </w:r>
      <w:r>
        <w:rPr>
          <w:rFonts w:hint="eastAsia" w:ascii="宋体" w:hAnsi="宋体" w:eastAsia="宋体" w:cs="宋体"/>
          <w:color w:val="auto"/>
        </w:rPr>
        <w:t>地上</w:t>
      </w:r>
      <w:r>
        <w:rPr>
          <w:rFonts w:hint="eastAsia" w:ascii="宋体" w:hAnsi="宋体" w:eastAsia="宋体" w:cs="宋体"/>
          <w:color w:val="auto"/>
          <w:lang w:val="en-US" w:eastAsia="zh-CN"/>
        </w:rPr>
        <w:t>4</w:t>
      </w:r>
      <w:r>
        <w:rPr>
          <w:rFonts w:hint="eastAsia" w:ascii="宋体" w:hAnsi="宋体" w:eastAsia="宋体" w:cs="宋体"/>
          <w:color w:val="auto"/>
        </w:rPr>
        <w:t>层，地下</w:t>
      </w:r>
      <w:r>
        <w:rPr>
          <w:rFonts w:hint="eastAsia" w:ascii="宋体" w:hAnsi="宋体" w:eastAsia="宋体" w:cs="宋体"/>
          <w:color w:val="auto"/>
          <w:lang w:val="en-US" w:eastAsia="zh-CN"/>
        </w:rPr>
        <w:t>1</w:t>
      </w:r>
      <w:r>
        <w:rPr>
          <w:rFonts w:hint="eastAsia" w:ascii="宋体" w:hAnsi="宋体" w:eastAsia="宋体" w:cs="宋体"/>
          <w:color w:val="auto"/>
        </w:rPr>
        <w:t>层（包括</w:t>
      </w:r>
      <w:r>
        <w:rPr>
          <w:rFonts w:hint="eastAsia" w:ascii="宋体" w:hAnsi="宋体" w:eastAsia="宋体" w:cs="宋体"/>
          <w:color w:val="auto"/>
          <w:lang w:val="en-US" w:eastAsia="zh-CN"/>
        </w:rPr>
        <w:t>人防工程</w:t>
      </w:r>
      <w:r>
        <w:rPr>
          <w:rFonts w:hint="eastAsia" w:ascii="宋体" w:hAnsi="宋体" w:eastAsia="宋体" w:cs="宋体"/>
          <w:color w:val="auto"/>
        </w:rPr>
        <w:t xml:space="preserve">及设备用房） </w:t>
      </w:r>
      <w:r>
        <w:rPr>
          <w:rFonts w:hint="eastAsia" w:ascii="宋体" w:hAnsi="宋体" w:eastAsia="宋体" w:cs="宋体"/>
          <w:color w:val="auto"/>
          <w:lang w:val="en-US" w:eastAsia="zh-CN"/>
        </w:rPr>
        <w:t>共9042</w:t>
      </w:r>
      <w:r>
        <w:rPr>
          <w:rFonts w:hint="eastAsia" w:ascii="宋体" w:hAnsi="宋体" w:eastAsia="宋体" w:cs="宋体"/>
          <w:color w:val="auto"/>
        </w:rPr>
        <w:t>平方米</w:t>
      </w:r>
      <w:r>
        <w:rPr>
          <w:rFonts w:hint="eastAsia" w:ascii="宋体" w:hAnsi="宋体" w:eastAsia="宋体" w:cs="宋体"/>
          <w:color w:val="auto"/>
          <w:lang w:eastAsia="zh-CN"/>
        </w:rPr>
        <w:t>；</w:t>
      </w:r>
      <w:r>
        <w:rPr>
          <w:rFonts w:hint="eastAsia" w:ascii="宋体" w:hAnsi="宋体" w:eastAsia="宋体" w:cs="宋体"/>
          <w:color w:val="auto"/>
          <w:lang w:val="en-US" w:eastAsia="zh-CN"/>
        </w:rPr>
        <w:t>少儿馆地上四层，共3236平方米</w:t>
      </w:r>
      <w:r>
        <w:rPr>
          <w:rFonts w:hint="eastAsia" w:ascii="宋体" w:hAnsi="宋体" w:eastAsia="宋体" w:cs="宋体"/>
          <w:color w:val="auto"/>
        </w:rPr>
        <w:t>。</w:t>
      </w:r>
    </w:p>
    <w:p>
      <w:pPr>
        <w:numPr>
          <w:ilvl w:val="0"/>
          <w:numId w:val="17"/>
        </w:numPr>
        <w:spacing w:line="360" w:lineRule="auto"/>
        <w:ind w:firstLine="729" w:firstLineChars="304"/>
        <w:rPr>
          <w:rFonts w:hint="eastAsia" w:ascii="宋体" w:hAnsi="宋体" w:eastAsia="宋体" w:cs="宋体"/>
          <w:color w:val="auto"/>
        </w:rPr>
      </w:pPr>
      <w:r>
        <w:rPr>
          <w:rFonts w:hint="eastAsia" w:ascii="宋体" w:hAnsi="宋体" w:eastAsia="宋体" w:cs="宋体"/>
          <w:color w:val="auto"/>
        </w:rPr>
        <w:t>设备设施系统及规划情况。</w:t>
      </w:r>
      <w:r>
        <w:rPr>
          <w:rFonts w:hint="eastAsia" w:ascii="宋体" w:hAnsi="宋体" w:eastAsia="宋体" w:cs="宋体"/>
          <w:color w:val="auto"/>
          <w:lang w:val="en-US" w:eastAsia="zh-CN"/>
        </w:rPr>
        <w:t>图书馆</w:t>
      </w:r>
      <w:r>
        <w:rPr>
          <w:rFonts w:hint="eastAsia" w:ascii="宋体" w:hAnsi="宋体" w:eastAsia="宋体" w:cs="宋体"/>
          <w:color w:val="auto"/>
        </w:rPr>
        <w:t>防火等级为</w:t>
      </w:r>
      <w:r>
        <w:rPr>
          <w:rFonts w:hint="eastAsia" w:ascii="宋体" w:hAnsi="宋体" w:eastAsia="宋体" w:cs="宋体"/>
          <w:color w:val="auto"/>
          <w:lang w:val="en-US" w:eastAsia="zh-CN"/>
        </w:rPr>
        <w:t>二</w:t>
      </w:r>
      <w:r>
        <w:rPr>
          <w:rFonts w:hint="eastAsia" w:ascii="宋体" w:hAnsi="宋体" w:eastAsia="宋体" w:cs="宋体"/>
          <w:color w:val="auto"/>
        </w:rPr>
        <w:t>类</w:t>
      </w:r>
      <w:r>
        <w:rPr>
          <w:rFonts w:hint="eastAsia" w:ascii="宋体" w:hAnsi="宋体" w:eastAsia="宋体" w:cs="宋体"/>
          <w:color w:val="auto"/>
          <w:lang w:val="en-US" w:eastAsia="zh-CN"/>
        </w:rPr>
        <w:t>多</w:t>
      </w:r>
      <w:r>
        <w:rPr>
          <w:rFonts w:hint="eastAsia" w:ascii="宋体" w:hAnsi="宋体" w:eastAsia="宋体" w:cs="宋体"/>
          <w:color w:val="auto"/>
        </w:rPr>
        <w:t>层；</w:t>
      </w:r>
      <w:r>
        <w:rPr>
          <w:rFonts w:hint="eastAsia" w:ascii="宋体" w:hAnsi="宋体" w:eastAsia="宋体" w:cs="宋体"/>
          <w:color w:val="auto"/>
          <w:lang w:val="en-US" w:eastAsia="zh-CN"/>
        </w:rPr>
        <w:t>内部设有变配电室，</w:t>
      </w:r>
      <w:r>
        <w:rPr>
          <w:rFonts w:hint="eastAsia" w:ascii="宋体" w:hAnsi="宋体" w:eastAsia="宋体" w:cs="宋体"/>
          <w:color w:val="auto"/>
        </w:rPr>
        <w:t>中央空调系统，新风系统，消防监控系统，</w:t>
      </w:r>
      <w:r>
        <w:rPr>
          <w:rFonts w:hint="eastAsia" w:ascii="宋体" w:hAnsi="宋体" w:eastAsia="宋体" w:cs="宋体"/>
          <w:color w:val="auto"/>
          <w:lang w:val="en-US" w:eastAsia="zh-CN"/>
        </w:rPr>
        <w:t>供暖系统等</w:t>
      </w:r>
      <w:r>
        <w:rPr>
          <w:rFonts w:hint="eastAsia" w:ascii="宋体" w:hAnsi="宋体" w:eastAsia="宋体" w:cs="宋体"/>
          <w:color w:val="auto"/>
          <w:lang w:eastAsia="zh-CN"/>
        </w:rPr>
        <w:t>，</w:t>
      </w:r>
      <w:r>
        <w:rPr>
          <w:rFonts w:hint="eastAsia" w:ascii="宋体" w:hAnsi="宋体" w:eastAsia="宋体" w:cs="宋体"/>
          <w:color w:val="auto"/>
          <w:lang w:val="en-US" w:eastAsia="zh-CN"/>
        </w:rPr>
        <w:t>总馆</w:t>
      </w:r>
      <w:r>
        <w:rPr>
          <w:rFonts w:hint="eastAsia" w:ascii="宋体" w:hAnsi="宋体" w:eastAsia="宋体" w:cs="宋体"/>
          <w:color w:val="auto"/>
        </w:rPr>
        <w:t>楼内有电梯</w:t>
      </w:r>
      <w:r>
        <w:rPr>
          <w:rFonts w:hint="eastAsia" w:ascii="宋体" w:hAnsi="宋体" w:eastAsia="宋体" w:cs="宋体"/>
          <w:color w:val="auto"/>
          <w:lang w:val="en-US" w:eastAsia="zh-CN"/>
        </w:rPr>
        <w:t>1</w:t>
      </w:r>
      <w:r>
        <w:rPr>
          <w:rFonts w:hint="eastAsia" w:ascii="宋体" w:hAnsi="宋体" w:eastAsia="宋体" w:cs="宋体"/>
          <w:color w:val="auto"/>
        </w:rPr>
        <w:t>部。</w:t>
      </w:r>
    </w:p>
    <w:p>
      <w:pPr>
        <w:numPr>
          <w:ilvl w:val="0"/>
          <w:numId w:val="16"/>
        </w:numPr>
        <w:spacing w:line="360" w:lineRule="auto"/>
        <w:outlineLvl w:val="1"/>
        <w:rPr>
          <w:rFonts w:hint="eastAsia" w:ascii="宋体" w:hAnsi="宋体" w:eastAsia="宋体" w:cs="宋体"/>
          <w:color w:val="auto"/>
        </w:rPr>
      </w:pPr>
      <w:r>
        <w:rPr>
          <w:rFonts w:hint="eastAsia" w:ascii="宋体" w:hAnsi="宋体" w:eastAsia="宋体" w:cs="宋体"/>
          <w:color w:val="auto"/>
        </w:rPr>
        <w:t>采购范围及服务描述</w:t>
      </w:r>
    </w:p>
    <w:tbl>
      <w:tblPr>
        <w:tblStyle w:val="79"/>
        <w:tblW w:w="829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2"/>
        <w:gridCol w:w="6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17" w:hRule="atLeast"/>
          <w:jc w:val="center"/>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rPr>
            </w:pPr>
            <w:r>
              <w:rPr>
                <w:rFonts w:hint="eastAsia" w:ascii="宋体" w:hAnsi="宋体" w:eastAsia="宋体" w:cs="宋体"/>
                <w:color w:val="auto"/>
              </w:rPr>
              <w:t>采购范围</w:t>
            </w:r>
          </w:p>
        </w:tc>
        <w:tc>
          <w:tcPr>
            <w:tcW w:w="6209"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rPr>
            </w:pPr>
            <w:r>
              <w:rPr>
                <w:rFonts w:hint="eastAsia" w:ascii="宋体" w:hAnsi="宋体" w:eastAsia="宋体" w:cs="宋体"/>
                <w:color w:val="auto"/>
              </w:rPr>
              <w:t>服务描述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jc w:val="center"/>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rPr>
            </w:pPr>
            <w:r>
              <w:rPr>
                <w:rFonts w:hint="eastAsia" w:ascii="宋体" w:hAnsi="宋体" w:eastAsia="宋体" w:cs="宋体"/>
                <w:color w:val="auto"/>
              </w:rPr>
              <w:t>房屋安全管理</w:t>
            </w:r>
          </w:p>
        </w:tc>
        <w:tc>
          <w:tcPr>
            <w:tcW w:w="6209" w:type="dxa"/>
            <w:tcBorders>
              <w:top w:val="single" w:color="000000" w:sz="2" w:space="0"/>
              <w:bottom w:val="single" w:color="000000" w:sz="2" w:space="0"/>
            </w:tcBorders>
            <w:vAlign w:val="top"/>
          </w:tcPr>
          <w:p>
            <w:pPr>
              <w:spacing w:line="360" w:lineRule="auto"/>
              <w:rPr>
                <w:rFonts w:ascii="宋体" w:hAnsi="宋体" w:eastAsia="宋体" w:cs="宋体"/>
                <w:color w:val="auto"/>
              </w:rPr>
            </w:pPr>
            <w:r>
              <w:rPr>
                <w:rFonts w:hint="eastAsia" w:ascii="宋体" w:hAnsi="宋体" w:eastAsia="宋体" w:cs="宋体"/>
                <w:color w:val="auto"/>
              </w:rPr>
              <w:t>进行日常房屋完好性的检查及常规维护，使房屋建筑物完好。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jc w:val="center"/>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rPr>
            </w:pPr>
            <w:r>
              <w:rPr>
                <w:rFonts w:hint="eastAsia" w:ascii="宋体" w:hAnsi="宋体" w:eastAsia="宋体" w:cs="宋体"/>
                <w:color w:val="auto"/>
              </w:rPr>
              <w:t>设备设施管理</w:t>
            </w:r>
          </w:p>
        </w:tc>
        <w:tc>
          <w:tcPr>
            <w:tcW w:w="6209" w:type="dxa"/>
            <w:tcBorders>
              <w:top w:val="single" w:color="000000" w:sz="2" w:space="0"/>
              <w:bottom w:val="single" w:color="000000" w:sz="2" w:space="0"/>
            </w:tcBorders>
            <w:vAlign w:val="top"/>
          </w:tcPr>
          <w:p>
            <w:pPr>
              <w:spacing w:line="360" w:lineRule="auto"/>
              <w:rPr>
                <w:rFonts w:ascii="宋体" w:hAnsi="宋体" w:eastAsia="宋体" w:cs="宋体"/>
                <w:color w:val="auto"/>
              </w:rPr>
            </w:pPr>
            <w:r>
              <w:rPr>
                <w:rFonts w:hint="eastAsia" w:ascii="宋体" w:hAnsi="宋体" w:eastAsia="宋体" w:cs="宋体"/>
                <w:color w:val="auto"/>
              </w:rPr>
              <w:t>通过自行实施以及购买专业维保单位服务的方式，对物业设备设施提供专业管理服务，使设备设施正常稳定运行。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jc w:val="center"/>
        </w:trPr>
        <w:tc>
          <w:tcPr>
            <w:tcW w:w="2082" w:type="dxa"/>
            <w:tcBorders>
              <w:top w:val="single" w:color="000000" w:sz="2" w:space="0"/>
              <w:bottom w:val="single" w:color="000000" w:sz="2" w:space="0"/>
            </w:tcBorders>
            <w:vAlign w:val="center"/>
          </w:tcPr>
          <w:p>
            <w:pPr>
              <w:spacing w:line="360"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color w:val="auto"/>
              </w:rPr>
              <w:t>工程管理</w:t>
            </w:r>
          </w:p>
        </w:tc>
        <w:tc>
          <w:tcPr>
            <w:tcW w:w="6209" w:type="dxa"/>
            <w:tcBorders>
              <w:top w:val="single" w:color="000000" w:sz="2" w:space="0"/>
              <w:bottom w:val="single" w:color="000000" w:sz="2" w:space="0"/>
            </w:tcBorders>
            <w:vAlign w:val="top"/>
          </w:tcPr>
          <w:p>
            <w:pPr>
              <w:spacing w:line="360" w:lineRule="auto"/>
              <w:rPr>
                <w:rFonts w:hint="eastAsia" w:ascii="宋体" w:hAnsi="宋体" w:eastAsia="宋体" w:cs="宋体"/>
                <w:snapToGrid w:val="0"/>
                <w:color w:val="auto"/>
                <w:sz w:val="21"/>
                <w:szCs w:val="21"/>
                <w:lang w:val="en-US" w:eastAsia="zh-CN" w:bidi="ar-SA"/>
              </w:rPr>
            </w:pPr>
            <w:r>
              <w:rPr>
                <w:rFonts w:hint="eastAsia" w:ascii="宋体" w:hAnsi="宋体" w:eastAsia="宋体" w:cs="宋体"/>
                <w:color w:val="auto"/>
              </w:rPr>
              <w:t>配电室、空调机房运行值守，</w:t>
            </w:r>
            <w:r>
              <w:rPr>
                <w:rFonts w:hint="eastAsia" w:ascii="宋体" w:hAnsi="宋体" w:eastAsia="宋体" w:cs="宋体"/>
                <w:color w:val="auto"/>
                <w:lang w:val="en-US" w:eastAsia="zh-CN"/>
              </w:rPr>
              <w:t>电气设备、给排水、供暖等</w:t>
            </w:r>
            <w:r>
              <w:rPr>
                <w:rFonts w:hint="eastAsia" w:ascii="宋体" w:hAnsi="宋体" w:eastAsia="宋体" w:cs="宋体"/>
                <w:color w:val="auto"/>
              </w:rPr>
              <w:t>日常小修服务</w:t>
            </w:r>
            <w:r>
              <w:rPr>
                <w:rFonts w:hint="eastAsia" w:ascii="宋体" w:hAnsi="宋体" w:eastAsia="宋体" w:cs="宋体"/>
                <w:color w:val="auto"/>
                <w:lang w:val="en-US" w:eastAsia="zh-CN"/>
              </w:rPr>
              <w:t>等，以及突发故障应急处置</w:t>
            </w:r>
            <w:r>
              <w:rPr>
                <w:rFonts w:hint="eastAsia" w:ascii="宋体" w:hAnsi="宋体" w:eastAsia="宋体" w:cs="宋体"/>
                <w:color w:val="auto"/>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121" w:hRule="atLeast"/>
          <w:jc w:val="center"/>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rPr>
            </w:pPr>
          </w:p>
          <w:p>
            <w:pPr>
              <w:spacing w:line="360" w:lineRule="auto"/>
              <w:jc w:val="center"/>
              <w:rPr>
                <w:rFonts w:ascii="宋体" w:hAnsi="宋体" w:eastAsia="宋体" w:cs="宋体"/>
                <w:color w:val="auto"/>
              </w:rPr>
            </w:pPr>
            <w:r>
              <w:rPr>
                <w:rFonts w:hint="eastAsia" w:ascii="宋体" w:hAnsi="宋体" w:eastAsia="宋体" w:cs="宋体"/>
                <w:color w:val="auto"/>
              </w:rPr>
              <w:t>环境卫生管理</w:t>
            </w:r>
          </w:p>
        </w:tc>
        <w:tc>
          <w:tcPr>
            <w:tcW w:w="6209" w:type="dxa"/>
            <w:tcBorders>
              <w:top w:val="single" w:color="000000" w:sz="2" w:space="0"/>
              <w:bottom w:val="single" w:color="000000" w:sz="2" w:space="0"/>
            </w:tcBorders>
            <w:vAlign w:val="top"/>
          </w:tcPr>
          <w:p>
            <w:pPr>
              <w:spacing w:line="360" w:lineRule="auto"/>
              <w:rPr>
                <w:rFonts w:ascii="宋体" w:hAnsi="宋体" w:eastAsia="宋体" w:cs="宋体"/>
                <w:color w:val="auto"/>
              </w:rPr>
            </w:pPr>
            <w:r>
              <w:rPr>
                <w:rFonts w:hint="eastAsia" w:ascii="宋体" w:hAnsi="宋体" w:eastAsia="宋体" w:cs="宋体"/>
                <w:color w:val="auto"/>
              </w:rPr>
              <w:t>为楼内所有公共区域（不限于楼梯、大厅、天台、电梯间、卫生间、会议室、多功能厅、报告厅、停车场及门前三包等区域）等实施提供有效的日常保洁服务，垃圾等废弃物清理和化粪池清掏等，保证楼宇办公环境卫生干净整洁；负责楼内绿植的日常养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jc w:val="center"/>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snapToGrid w:val="0"/>
                <w:color w:val="auto"/>
                <w:sz w:val="21"/>
                <w:szCs w:val="21"/>
                <w:lang w:val="en-US" w:eastAsia="zh-CN" w:bidi="ar-SA"/>
              </w:rPr>
            </w:pPr>
            <w:r>
              <w:rPr>
                <w:rFonts w:hint="eastAsia" w:ascii="宋体" w:hAnsi="宋体" w:eastAsia="宋体" w:cs="宋体"/>
                <w:color w:val="auto"/>
              </w:rPr>
              <w:t>安保服务</w:t>
            </w:r>
          </w:p>
        </w:tc>
        <w:tc>
          <w:tcPr>
            <w:tcW w:w="6209" w:type="dxa"/>
            <w:tcBorders>
              <w:top w:val="single" w:color="000000" w:sz="2" w:space="0"/>
              <w:bottom w:val="single" w:color="000000" w:sz="2" w:space="0"/>
            </w:tcBorders>
            <w:vAlign w:val="top"/>
          </w:tcPr>
          <w:p>
            <w:pPr>
              <w:rPr>
                <w:rFonts w:hint="eastAsia" w:ascii="宋体" w:hAnsi="宋体" w:eastAsia="宋体" w:cs="宋体"/>
                <w:snapToGrid w:val="0"/>
                <w:color w:val="auto"/>
                <w:sz w:val="21"/>
                <w:szCs w:val="21"/>
                <w:lang w:val="en-US" w:eastAsia="zh-CN" w:bidi="ar-SA"/>
              </w:rPr>
            </w:pPr>
            <w:r>
              <w:rPr>
                <w:rFonts w:hint="eastAsia" w:ascii="宋体" w:eastAsia="宋体" w:cs="宋体"/>
                <w:color w:val="auto"/>
              </w:rPr>
              <w:t>负责</w:t>
            </w:r>
            <w:r>
              <w:rPr>
                <w:rFonts w:hint="eastAsia" w:ascii="宋体" w:eastAsia="宋体" w:cs="宋体"/>
                <w:color w:val="auto"/>
                <w:lang w:val="en-US" w:eastAsia="zh-CN"/>
              </w:rPr>
              <w:t>图书馆总馆和少儿馆</w:t>
            </w:r>
            <w:r>
              <w:rPr>
                <w:rFonts w:hint="eastAsia" w:ascii="宋体" w:eastAsia="宋体" w:cs="宋体"/>
                <w:color w:val="auto"/>
              </w:rPr>
              <w:t>安保服务，</w:t>
            </w:r>
            <w:r>
              <w:rPr>
                <w:rFonts w:hint="eastAsia" w:ascii="宋体" w:eastAsia="宋体" w:cs="宋体"/>
                <w:color w:val="auto"/>
                <w:lang w:val="en-US" w:eastAsia="zh-CN"/>
              </w:rPr>
              <w:t>负责图书馆安全生产法和安全生产要求，</w:t>
            </w:r>
            <w:r>
              <w:rPr>
                <w:rFonts w:hint="eastAsia" w:ascii="宋体" w:eastAsia="宋体" w:cs="宋体"/>
                <w:color w:val="auto"/>
              </w:rPr>
              <w:t>具体负责各出入口、微型消防站、公共区域日常安防、站岗巡逻、</w:t>
            </w:r>
            <w:r>
              <w:rPr>
                <w:rFonts w:hint="eastAsia" w:ascii="宋体" w:eastAsia="宋体" w:cs="宋体"/>
                <w:color w:val="auto"/>
                <w:lang w:val="en-US" w:eastAsia="zh-CN"/>
              </w:rPr>
              <w:t>防火巡查、</w:t>
            </w:r>
            <w:r>
              <w:rPr>
                <w:rFonts w:hint="eastAsia" w:ascii="宋体" w:eastAsia="宋体" w:cs="宋体"/>
                <w:color w:val="auto"/>
              </w:rPr>
              <w:t>综合服务</w:t>
            </w:r>
            <w:r>
              <w:rPr>
                <w:rFonts w:hint="eastAsia" w:ascii="宋体" w:eastAsia="宋体" w:cs="宋体"/>
                <w:color w:val="auto"/>
                <w:lang w:eastAsia="zh-CN"/>
              </w:rPr>
              <w:t>，</w:t>
            </w:r>
            <w:r>
              <w:rPr>
                <w:rFonts w:hint="eastAsia" w:ascii="宋体" w:eastAsia="宋体" w:cs="宋体"/>
                <w:color w:val="auto"/>
                <w:lang w:val="en-US" w:eastAsia="zh-CN"/>
              </w:rPr>
              <w:t>车场管理和车辆引导</w:t>
            </w:r>
            <w:r>
              <w:rPr>
                <w:rFonts w:hint="eastAsia" w:ascii="宋体" w:eastAsia="宋体" w:cs="宋体"/>
                <w:color w:val="auto"/>
              </w:rPr>
              <w:t>等职责</w:t>
            </w:r>
            <w:r>
              <w:rPr>
                <w:rFonts w:hint="eastAsia" w:ascii="宋体" w:eastAsia="宋体" w:cs="宋体"/>
                <w:color w:val="auto"/>
                <w:lang w:eastAsia="zh-CN"/>
              </w:rPr>
              <w:t>，</w:t>
            </w:r>
            <w:r>
              <w:rPr>
                <w:rFonts w:hint="eastAsia" w:ascii="宋体" w:eastAsia="宋体" w:cs="宋体"/>
                <w:color w:val="auto"/>
                <w:lang w:val="en-US" w:eastAsia="zh-CN"/>
              </w:rPr>
              <w:t>以及突发事件的应急处置</w:t>
            </w:r>
            <w:r>
              <w:rPr>
                <w:rFonts w:hint="eastAsia" w:ascii="宋体" w:eastAsia="宋体" w:cs="宋体"/>
                <w:color w:val="auto"/>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jc w:val="center"/>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snapToGrid w:val="0"/>
                <w:color w:val="auto"/>
                <w:sz w:val="21"/>
                <w:szCs w:val="21"/>
                <w:lang w:val="en-US" w:eastAsia="zh-CN" w:bidi="ar-SA"/>
              </w:rPr>
            </w:pPr>
            <w:r>
              <w:rPr>
                <w:rFonts w:hint="eastAsia" w:ascii="宋体" w:hAnsi="宋体" w:eastAsia="宋体" w:cs="宋体"/>
                <w:color w:val="auto"/>
              </w:rPr>
              <w:t>消防中控服务</w:t>
            </w:r>
          </w:p>
        </w:tc>
        <w:tc>
          <w:tcPr>
            <w:tcW w:w="6209" w:type="dxa"/>
            <w:tcBorders>
              <w:top w:val="single" w:color="000000" w:sz="2" w:space="0"/>
              <w:bottom w:val="single" w:color="000000" w:sz="2" w:space="0"/>
            </w:tcBorders>
            <w:vAlign w:val="top"/>
          </w:tcPr>
          <w:p>
            <w:pPr>
              <w:spacing w:line="360" w:lineRule="auto"/>
              <w:rPr>
                <w:rFonts w:hint="eastAsia" w:ascii="宋体" w:hAnsi="宋体" w:eastAsia="宋体" w:cs="宋体"/>
                <w:snapToGrid w:val="0"/>
                <w:color w:val="auto"/>
                <w:sz w:val="21"/>
                <w:szCs w:val="21"/>
                <w:lang w:val="en-US" w:eastAsia="zh-CN" w:bidi="ar-SA"/>
              </w:rPr>
            </w:pPr>
            <w:r>
              <w:rPr>
                <w:rFonts w:hint="eastAsia" w:ascii="宋体" w:hAnsi="宋体" w:eastAsia="宋体" w:cs="宋体"/>
                <w:color w:val="auto"/>
              </w:rPr>
              <w:t>一层消防中控室 、24小时值班，消防设备设施定期巡视检查</w:t>
            </w:r>
            <w:r>
              <w:rPr>
                <w:rFonts w:hint="eastAsia" w:ascii="宋体" w:hAnsi="宋体" w:eastAsia="宋体" w:cs="宋体"/>
                <w:color w:val="auto"/>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jc w:val="center"/>
        </w:trPr>
        <w:tc>
          <w:tcPr>
            <w:tcW w:w="2082" w:type="dxa"/>
            <w:tcBorders>
              <w:top w:val="single" w:color="000000" w:sz="2" w:space="0"/>
              <w:bottom w:val="single" w:color="000000" w:sz="2" w:space="0"/>
            </w:tcBorders>
            <w:vAlign w:val="center"/>
          </w:tcPr>
          <w:p>
            <w:pPr>
              <w:spacing w:line="360" w:lineRule="auto"/>
              <w:jc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color w:val="auto"/>
              </w:rPr>
              <w:t>前台问询服务</w:t>
            </w:r>
          </w:p>
        </w:tc>
        <w:tc>
          <w:tcPr>
            <w:tcW w:w="6209" w:type="dxa"/>
            <w:tcBorders>
              <w:top w:val="single" w:color="000000" w:sz="2" w:space="0"/>
              <w:bottom w:val="single" w:color="000000" w:sz="2" w:space="0"/>
            </w:tcBorders>
            <w:vAlign w:val="top"/>
          </w:tcPr>
          <w:p>
            <w:pPr>
              <w:spacing w:line="360" w:lineRule="auto"/>
              <w:rPr>
                <w:rFonts w:hint="eastAsia" w:ascii="宋体" w:hAnsi="宋体" w:eastAsia="宋体" w:cs="宋体"/>
                <w:snapToGrid w:val="0"/>
                <w:color w:val="auto"/>
                <w:sz w:val="21"/>
                <w:szCs w:val="21"/>
                <w:lang w:val="en-US" w:eastAsia="zh-CN" w:bidi="ar-SA"/>
              </w:rPr>
            </w:pPr>
            <w:r>
              <w:rPr>
                <w:rFonts w:hint="eastAsia" w:ascii="宋体" w:hAnsi="宋体" w:eastAsia="宋体" w:cs="宋体"/>
                <w:color w:val="auto"/>
              </w:rPr>
              <w:t>提供前台接待及问询服务、</w:t>
            </w:r>
            <w:r>
              <w:rPr>
                <w:rFonts w:hint="eastAsia" w:ascii="宋体" w:hAnsi="宋体" w:eastAsia="宋体" w:cs="宋体"/>
                <w:color w:val="auto"/>
                <w:lang w:val="en-US" w:eastAsia="zh-CN"/>
              </w:rPr>
              <w:t>文化活动</w:t>
            </w:r>
            <w:r>
              <w:rPr>
                <w:rFonts w:hint="eastAsia" w:ascii="宋体" w:hAnsi="宋体" w:eastAsia="宋体" w:cs="宋体"/>
                <w:color w:val="auto"/>
              </w:rPr>
              <w:t>服务</w:t>
            </w:r>
            <w:r>
              <w:rPr>
                <w:rFonts w:hint="eastAsia" w:ascii="宋体" w:hAnsi="宋体" w:eastAsia="宋体" w:cs="宋体"/>
                <w:color w:val="auto"/>
                <w:lang w:val="en-US" w:eastAsia="zh-CN"/>
              </w:rPr>
              <w:t>保障等</w:t>
            </w:r>
            <w:r>
              <w:rPr>
                <w:rFonts w:hint="eastAsia" w:ascii="宋体" w:hAnsi="宋体" w:eastAsia="宋体" w:cs="宋体"/>
                <w:color w:val="auto"/>
                <w:lang w:eastAsia="zh-CN"/>
              </w:rPr>
              <w:t>。</w:t>
            </w:r>
          </w:p>
        </w:tc>
      </w:tr>
    </w:tbl>
    <w:p>
      <w:pPr>
        <w:numPr>
          <w:ilvl w:val="0"/>
          <w:numId w:val="16"/>
        </w:numPr>
        <w:spacing w:before="156" w:beforeLines="50" w:line="360" w:lineRule="auto"/>
        <w:outlineLvl w:val="1"/>
        <w:rPr>
          <w:color w:val="auto"/>
        </w:rPr>
      </w:pPr>
      <w:r>
        <w:rPr>
          <w:rFonts w:hint="eastAsia"/>
          <w:color w:val="auto"/>
        </w:rPr>
        <w:t>物业服务</w:t>
      </w:r>
      <w:r>
        <w:rPr>
          <w:rFonts w:hint="eastAsia" w:eastAsia="宋体"/>
          <w:color w:val="auto"/>
        </w:rPr>
        <w:t>标准参照依据</w:t>
      </w:r>
    </w:p>
    <w:p>
      <w:pPr>
        <w:spacing w:line="360" w:lineRule="auto"/>
        <w:ind w:left="19" w:leftChars="8" w:firstLine="708" w:firstLineChars="295"/>
        <w:rPr>
          <w:rFonts w:eastAsia="宋体"/>
          <w:color w:val="auto"/>
        </w:rPr>
      </w:pPr>
      <w:r>
        <w:rPr>
          <w:rFonts w:hint="eastAsia"/>
          <w:color w:val="auto"/>
        </w:rPr>
        <w:t>参照京建发</w:t>
      </w:r>
      <w:r>
        <w:rPr>
          <w:rFonts w:hint="eastAsia" w:eastAsia="宋体"/>
          <w:color w:val="auto"/>
        </w:rPr>
        <w:t>〔</w:t>
      </w:r>
      <w:r>
        <w:rPr>
          <w:rFonts w:hint="eastAsia"/>
          <w:color w:val="auto"/>
        </w:rPr>
        <w:t>2010</w:t>
      </w:r>
      <w:r>
        <w:rPr>
          <w:rFonts w:hint="eastAsia" w:eastAsia="宋体"/>
          <w:color w:val="auto"/>
        </w:rPr>
        <w:t>〕</w:t>
      </w:r>
      <w:r>
        <w:rPr>
          <w:rFonts w:hint="eastAsia"/>
          <w:color w:val="auto"/>
        </w:rPr>
        <w:t>507号文件要求的《北京市物业管理示范项目—大厦服务标准》执行；</w:t>
      </w:r>
      <w:r>
        <w:rPr>
          <w:rFonts w:hint="eastAsia" w:eastAsia="宋体"/>
          <w:color w:val="auto"/>
        </w:rPr>
        <w:t>具体服务内容及标准见第</w:t>
      </w:r>
      <w:r>
        <w:rPr>
          <w:rFonts w:hint="eastAsia" w:eastAsia="宋体"/>
          <w:color w:val="auto"/>
          <w:lang w:val="en-US" w:eastAsia="zh-CN"/>
        </w:rPr>
        <w:t>三</w:t>
      </w:r>
      <w:r>
        <w:rPr>
          <w:rFonts w:hint="eastAsia" w:eastAsia="宋体"/>
          <w:color w:val="auto"/>
        </w:rPr>
        <w:t>部分《物业管理服务内容及标准》。</w:t>
      </w:r>
    </w:p>
    <w:p>
      <w:pPr>
        <w:numPr>
          <w:ilvl w:val="0"/>
          <w:numId w:val="16"/>
        </w:numPr>
        <w:spacing w:line="360" w:lineRule="auto"/>
        <w:outlineLvl w:val="1"/>
        <w:rPr>
          <w:color w:val="auto"/>
        </w:rPr>
      </w:pPr>
      <w:r>
        <w:rPr>
          <w:rFonts w:hint="eastAsia"/>
          <w:color w:val="auto"/>
        </w:rPr>
        <w:t>服务</w:t>
      </w:r>
      <w:r>
        <w:rPr>
          <w:rFonts w:hint="eastAsia" w:eastAsia="宋体"/>
          <w:color w:val="auto"/>
        </w:rPr>
        <w:t>提供</w:t>
      </w:r>
      <w:r>
        <w:rPr>
          <w:rFonts w:hint="eastAsia"/>
          <w:color w:val="auto"/>
        </w:rPr>
        <w:t>地点</w:t>
      </w:r>
    </w:p>
    <w:p>
      <w:pPr>
        <w:spacing w:line="360" w:lineRule="auto"/>
        <w:ind w:left="420"/>
        <w:rPr>
          <w:rFonts w:hint="eastAsia"/>
          <w:color w:val="auto"/>
        </w:rPr>
      </w:pPr>
      <w:r>
        <w:rPr>
          <w:rFonts w:hint="eastAsia"/>
          <w:color w:val="auto"/>
        </w:rPr>
        <w:t>石景山区</w:t>
      </w:r>
      <w:r>
        <w:rPr>
          <w:rFonts w:hint="eastAsia" w:eastAsia="宋体"/>
          <w:color w:val="auto"/>
          <w:lang w:val="en-US" w:eastAsia="zh-CN"/>
        </w:rPr>
        <w:t>八角南路2号（图书馆总馆）以及古城南路11号（少儿馆）</w:t>
      </w:r>
      <w:r>
        <w:rPr>
          <w:rFonts w:hint="eastAsia"/>
          <w:color w:val="auto"/>
        </w:rPr>
        <w:t>。</w:t>
      </w:r>
    </w:p>
    <w:p>
      <w:pPr>
        <w:numPr>
          <w:ilvl w:val="0"/>
          <w:numId w:val="15"/>
        </w:numPr>
        <w:spacing w:before="156" w:beforeLines="50" w:line="360" w:lineRule="auto"/>
        <w:outlineLvl w:val="0"/>
        <w:rPr>
          <w:b/>
          <w:bCs/>
          <w:color w:val="auto"/>
        </w:rPr>
      </w:pPr>
      <w:r>
        <w:rPr>
          <w:rFonts w:hint="eastAsia" w:eastAsia="宋体"/>
          <w:b/>
          <w:bCs/>
          <w:color w:val="auto"/>
          <w:lang w:val="en-US" w:eastAsia="zh-CN"/>
        </w:rPr>
        <w:t>物业管理服务内容及标准</w:t>
      </w:r>
    </w:p>
    <w:p>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服务区域：负责石景山区图书馆（地址为石景山区八角南路2号）及石景山区图书馆少儿馆（石景山区古城南路11号），合计馆舍面积12</w:t>
      </w:r>
      <w:r>
        <w:rPr>
          <w:rFonts w:hint="eastAsia" w:ascii="宋体" w:hAnsi="宋体" w:eastAsia="宋体" w:cs="宋体"/>
          <w:color w:val="auto"/>
          <w:lang w:val="en-US" w:eastAsia="zh-CN"/>
        </w:rPr>
        <w:t>278</w:t>
      </w:r>
      <w:r>
        <w:rPr>
          <w:rFonts w:hint="eastAsia" w:ascii="宋体" w:hAnsi="宋体" w:eastAsia="宋体" w:cs="宋体"/>
          <w:color w:val="auto"/>
        </w:rPr>
        <w:t>㎡。</w:t>
      </w:r>
    </w:p>
    <w:p>
      <w:pPr>
        <w:spacing w:line="360" w:lineRule="auto"/>
        <w:ind w:firstLine="480" w:firstLineChars="200"/>
        <w:rPr>
          <w:rFonts w:hint="eastAsia" w:ascii="宋体" w:hAnsi="宋体" w:eastAsia="宋体" w:cs="宋体"/>
          <w:color w:val="auto"/>
          <w:highlight w:val="yellow"/>
        </w:rPr>
      </w:pPr>
      <w:r>
        <w:rPr>
          <w:rFonts w:hint="eastAsia" w:ascii="宋体" w:hAnsi="宋体" w:eastAsia="宋体" w:cs="宋体"/>
          <w:color w:val="auto"/>
        </w:rPr>
        <w:t>服务范围包括：</w:t>
      </w:r>
      <w:r>
        <w:rPr>
          <w:rFonts w:hint="eastAsia" w:ascii="宋体" w:hAnsi="宋体" w:eastAsia="宋体" w:cs="宋体"/>
          <w:color w:val="auto"/>
          <w:highlight w:val="none"/>
        </w:rPr>
        <w:t>消防</w:t>
      </w:r>
      <w:r>
        <w:rPr>
          <w:rFonts w:hint="eastAsia" w:ascii="宋体" w:hAnsi="宋体" w:eastAsia="宋体" w:cs="宋体"/>
          <w:color w:val="auto"/>
          <w:highlight w:val="none"/>
          <w:lang w:val="en-US" w:eastAsia="zh-CN"/>
        </w:rPr>
        <w:t>安全管理（中控员需具备专业资格证），供电设备管理，给排水运行管理，</w:t>
      </w:r>
      <w:r>
        <w:rPr>
          <w:rFonts w:hint="eastAsia" w:ascii="宋体" w:hAnsi="宋体" w:eastAsia="宋体" w:cs="宋体"/>
          <w:color w:val="auto"/>
          <w:highlight w:val="none"/>
        </w:rPr>
        <w:t>综合维修</w:t>
      </w:r>
      <w:r>
        <w:rPr>
          <w:rFonts w:hint="eastAsia" w:ascii="宋体" w:hAnsi="宋体" w:eastAsia="宋体" w:cs="宋体"/>
          <w:color w:val="auto"/>
          <w:highlight w:val="none"/>
          <w:lang w:val="en-US" w:eastAsia="zh-CN"/>
        </w:rPr>
        <w:t>管理</w:t>
      </w:r>
      <w:r>
        <w:rPr>
          <w:rFonts w:hint="eastAsia" w:ascii="宋体" w:hAnsi="宋体" w:eastAsia="宋体" w:cs="宋体"/>
          <w:color w:val="auto"/>
          <w:highlight w:val="none"/>
        </w:rPr>
        <w:t>服务（电工</w:t>
      </w:r>
      <w:r>
        <w:rPr>
          <w:rFonts w:hint="eastAsia" w:ascii="宋体" w:hAnsi="宋体" w:eastAsia="宋体" w:cs="宋体"/>
          <w:color w:val="auto"/>
          <w:highlight w:val="none"/>
          <w:lang w:val="en-US" w:eastAsia="zh-CN"/>
        </w:rPr>
        <w:t>需</w:t>
      </w:r>
      <w:r>
        <w:rPr>
          <w:rFonts w:hint="eastAsia" w:ascii="宋体" w:hAnsi="宋体" w:eastAsia="宋体" w:cs="宋体"/>
          <w:color w:val="auto"/>
          <w:highlight w:val="none"/>
        </w:rPr>
        <w:t>具备专业资格证）</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环境保洁管理服务</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安保服务（包括安保、秩序维护等），应急处置管理</w:t>
      </w:r>
      <w:r>
        <w:rPr>
          <w:rFonts w:hint="eastAsia" w:ascii="宋体" w:hAnsi="宋体" w:eastAsia="宋体" w:cs="宋体"/>
          <w:color w:val="auto"/>
          <w:highlight w:val="none"/>
        </w:rPr>
        <w:t>。</w:t>
      </w:r>
    </w:p>
    <w:p>
      <w:pPr>
        <w:spacing w:line="360" w:lineRule="auto"/>
        <w:ind w:left="420" w:firstLine="482" w:firstLineChars="200"/>
        <w:rPr>
          <w:rFonts w:hint="eastAsia" w:eastAsia="宋体"/>
          <w:b/>
          <w:bCs/>
          <w:color w:val="auto"/>
          <w:lang w:val="en-US" w:eastAsia="zh-CN"/>
        </w:rPr>
      </w:pPr>
      <w:r>
        <w:rPr>
          <w:rFonts w:hint="eastAsia" w:eastAsia="宋体"/>
          <w:b/>
          <w:bCs/>
          <w:color w:val="auto"/>
          <w:lang w:val="en-US" w:eastAsia="zh-CN"/>
        </w:rPr>
        <w:t>物业管理服务人员岗位需求：</w:t>
      </w:r>
    </w:p>
    <w:tbl>
      <w:tblPr>
        <w:tblStyle w:val="32"/>
        <w:tblW w:w="6798" w:type="dxa"/>
        <w:jc w:val="center"/>
        <w:tblInd w:w="0" w:type="dxa"/>
        <w:tblLayout w:type="fixed"/>
        <w:tblCellMar>
          <w:top w:w="0" w:type="dxa"/>
          <w:left w:w="108" w:type="dxa"/>
          <w:bottom w:w="0" w:type="dxa"/>
          <w:right w:w="108" w:type="dxa"/>
        </w:tblCellMar>
      </w:tblPr>
      <w:tblGrid>
        <w:gridCol w:w="1868"/>
        <w:gridCol w:w="3096"/>
        <w:gridCol w:w="1834"/>
      </w:tblGrid>
      <w:tr>
        <w:tblPrEx>
          <w:tblLayout w:type="fixed"/>
          <w:tblCellMar>
            <w:top w:w="0" w:type="dxa"/>
            <w:left w:w="108" w:type="dxa"/>
            <w:bottom w:w="0" w:type="dxa"/>
            <w:right w:w="108" w:type="dxa"/>
          </w:tblCellMar>
        </w:tblPrEx>
        <w:trPr>
          <w:trHeight w:val="226" w:hRule="atLeast"/>
          <w:jc w:val="center"/>
        </w:trPr>
        <w:tc>
          <w:tcPr>
            <w:tcW w:w="186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eastAsia="宋体" w:cs="宋体"/>
                <w:color w:val="auto"/>
              </w:rPr>
            </w:pPr>
            <w:r>
              <w:rPr>
                <w:rFonts w:hint="eastAsia" w:ascii="宋体" w:hAnsi="宋体" w:eastAsia="宋体" w:cs="宋体"/>
                <w:color w:val="auto"/>
                <w:lang w:bidi="ar"/>
              </w:rPr>
              <w:t>部门</w:t>
            </w: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eastAsia="宋体" w:cs="宋体"/>
                <w:color w:val="auto"/>
              </w:rPr>
            </w:pPr>
            <w:r>
              <w:rPr>
                <w:rFonts w:hint="eastAsia" w:ascii="宋体" w:hAnsi="宋体" w:eastAsia="宋体" w:cs="宋体"/>
                <w:color w:val="auto"/>
                <w:lang w:bidi="ar"/>
              </w:rPr>
              <w:t>岗位</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eastAsia="宋体" w:cs="宋体"/>
                <w:color w:val="auto"/>
              </w:rPr>
            </w:pPr>
            <w:r>
              <w:rPr>
                <w:rFonts w:hint="eastAsia" w:ascii="宋体" w:hAnsi="宋体" w:eastAsia="宋体" w:cs="宋体"/>
                <w:color w:val="auto"/>
                <w:lang w:bidi="ar"/>
              </w:rPr>
              <w:t xml:space="preserve">人数 </w:t>
            </w:r>
          </w:p>
        </w:tc>
      </w:tr>
      <w:tr>
        <w:tblPrEx>
          <w:tblLayout w:type="fixed"/>
          <w:tblCellMar>
            <w:top w:w="0" w:type="dxa"/>
            <w:left w:w="108" w:type="dxa"/>
            <w:bottom w:w="0" w:type="dxa"/>
            <w:right w:w="108" w:type="dxa"/>
          </w:tblCellMar>
        </w:tblPrEx>
        <w:trPr>
          <w:trHeight w:val="226" w:hRule="atLeast"/>
          <w:jc w:val="center"/>
        </w:trPr>
        <w:tc>
          <w:tcPr>
            <w:tcW w:w="1868"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eastAsia="宋体" w:cs="宋体"/>
                <w:color w:val="auto"/>
              </w:rPr>
            </w:pPr>
            <w:r>
              <w:rPr>
                <w:rFonts w:hint="eastAsia" w:ascii="宋体" w:hAnsi="宋体" w:eastAsia="宋体" w:cs="宋体"/>
                <w:color w:val="auto"/>
                <w:lang w:bidi="ar"/>
              </w:rPr>
              <w:t>项目负责人</w:t>
            </w: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eastAsia="宋体" w:cs="宋体"/>
                <w:color w:val="auto"/>
              </w:rPr>
            </w:pPr>
            <w:r>
              <w:rPr>
                <w:rFonts w:hint="eastAsia" w:ascii="宋体" w:hAnsi="宋体" w:eastAsia="宋体" w:cs="宋体"/>
                <w:color w:val="auto"/>
                <w:lang w:bidi="ar"/>
              </w:rPr>
              <w:t>项目经理</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eastAsia="宋体" w:cs="宋体"/>
                <w:color w:val="auto"/>
              </w:rPr>
            </w:pPr>
            <w:r>
              <w:rPr>
                <w:rFonts w:hint="eastAsia" w:ascii="宋体" w:hAnsi="宋体" w:eastAsia="宋体" w:cs="宋体"/>
                <w:color w:val="auto"/>
                <w:lang w:bidi="ar"/>
              </w:rPr>
              <w:t>1</w:t>
            </w:r>
          </w:p>
        </w:tc>
      </w:tr>
      <w:tr>
        <w:tblPrEx>
          <w:tblLayout w:type="fixed"/>
          <w:tblCellMar>
            <w:top w:w="0" w:type="dxa"/>
            <w:left w:w="108" w:type="dxa"/>
            <w:bottom w:w="0" w:type="dxa"/>
            <w:right w:w="108" w:type="dxa"/>
          </w:tblCellMar>
        </w:tblPrEx>
        <w:trPr>
          <w:trHeight w:val="226" w:hRule="atLeast"/>
          <w:jc w:val="center"/>
        </w:trPr>
        <w:tc>
          <w:tcPr>
            <w:tcW w:w="1868"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lang w:eastAsia="zh-CN"/>
              </w:rPr>
            </w:pPr>
            <w:r>
              <w:rPr>
                <w:rFonts w:hint="eastAsia" w:ascii="宋体" w:hAnsi="宋体" w:eastAsia="宋体" w:cs="宋体"/>
                <w:color w:val="auto"/>
                <w:lang w:val="en-US" w:eastAsia="zh-CN" w:bidi="ar"/>
              </w:rPr>
              <w:t>工程部</w:t>
            </w: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default" w:ascii="宋体" w:hAnsi="宋体" w:eastAsia="宋体" w:cs="宋体"/>
                <w:color w:val="auto"/>
                <w:lang w:val="en-US" w:eastAsia="zh-CN"/>
              </w:rPr>
            </w:pPr>
            <w:r>
              <w:rPr>
                <w:rFonts w:hint="eastAsia" w:ascii="宋体" w:hAnsi="宋体" w:eastAsia="宋体" w:cs="宋体"/>
                <w:color w:val="auto"/>
                <w:lang w:val="en-US" w:eastAsia="zh-CN" w:bidi="ar"/>
              </w:rPr>
              <w:t>综合服务及协调（辅助管理）</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w:t>
            </w:r>
          </w:p>
        </w:tc>
      </w:tr>
      <w:tr>
        <w:tblPrEx>
          <w:tblLayout w:type="fixed"/>
          <w:tblCellMar>
            <w:top w:w="0" w:type="dxa"/>
            <w:left w:w="108" w:type="dxa"/>
            <w:bottom w:w="0" w:type="dxa"/>
            <w:right w:w="108" w:type="dxa"/>
          </w:tblCellMar>
        </w:tblPrEx>
        <w:trPr>
          <w:trHeight w:val="226" w:hRule="atLeast"/>
          <w:jc w:val="center"/>
        </w:trPr>
        <w:tc>
          <w:tcPr>
            <w:tcW w:w="1868" w:type="dxa"/>
            <w:vMerge w:val="continue"/>
            <w:tcBorders>
              <w:left w:val="single" w:color="000000" w:sz="4" w:space="0"/>
              <w:right w:val="single" w:color="000000" w:sz="4" w:space="0"/>
            </w:tcBorders>
            <w:vAlign w:val="center"/>
          </w:tcPr>
          <w:p>
            <w:pPr>
              <w:jc w:val="center"/>
              <w:textAlignment w:val="center"/>
              <w:rPr>
                <w:rFonts w:hint="eastAsia" w:ascii="宋体" w:hAnsi="宋体" w:eastAsia="宋体" w:cs="宋体"/>
                <w:color w:val="auto"/>
                <w:lang w:val="en-US" w:eastAsia="zh-CN" w:bidi="ar"/>
              </w:rPr>
            </w:pP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color w:val="auto"/>
                <w:lang w:val="en-US" w:eastAsia="zh-CN" w:bidi="ar"/>
              </w:rPr>
              <w:t>高、低压电工（各1人，持证）</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snapToGrid w:val="0"/>
                <w:color w:val="auto"/>
                <w:sz w:val="21"/>
                <w:szCs w:val="21"/>
                <w:lang w:val="en-US" w:eastAsia="zh-CN" w:bidi="ar-SA"/>
              </w:rPr>
            </w:pPr>
            <w:r>
              <w:rPr>
                <w:rFonts w:hint="eastAsia" w:ascii="宋体" w:hAnsi="宋体" w:eastAsia="宋体" w:cs="宋体"/>
                <w:color w:val="auto"/>
                <w:lang w:val="en-US" w:eastAsia="zh-CN" w:bidi="ar"/>
              </w:rPr>
              <w:t>2</w:t>
            </w:r>
          </w:p>
        </w:tc>
      </w:tr>
      <w:tr>
        <w:tblPrEx>
          <w:tblLayout w:type="fixed"/>
          <w:tblCellMar>
            <w:top w:w="0" w:type="dxa"/>
            <w:left w:w="108" w:type="dxa"/>
            <w:bottom w:w="0" w:type="dxa"/>
            <w:right w:w="108" w:type="dxa"/>
          </w:tblCellMar>
        </w:tblPrEx>
        <w:trPr>
          <w:trHeight w:val="226" w:hRule="atLeast"/>
          <w:jc w:val="center"/>
        </w:trPr>
        <w:tc>
          <w:tcPr>
            <w:tcW w:w="186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auto"/>
              </w:rPr>
            </w:pP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default" w:ascii="宋体" w:hAnsi="宋体" w:eastAsia="宋体" w:cs="宋体"/>
                <w:color w:val="auto"/>
                <w:lang w:val="en-US" w:eastAsia="zh-CN"/>
              </w:rPr>
            </w:pPr>
            <w:r>
              <w:rPr>
                <w:rFonts w:hint="eastAsia" w:ascii="宋体" w:hAnsi="宋体" w:eastAsia="宋体" w:cs="宋体"/>
                <w:color w:val="auto"/>
                <w:lang w:val="en-US" w:eastAsia="zh-CN"/>
              </w:rPr>
              <w:t>综合维修</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eastAsia="宋体" w:cs="宋体"/>
                <w:color w:val="auto"/>
              </w:rPr>
            </w:pPr>
            <w:r>
              <w:rPr>
                <w:rFonts w:hint="eastAsia" w:ascii="宋体" w:hAnsi="宋体" w:eastAsia="宋体" w:cs="宋体"/>
                <w:color w:val="auto"/>
                <w:lang w:bidi="ar"/>
              </w:rPr>
              <w:t>2</w:t>
            </w:r>
          </w:p>
        </w:tc>
      </w:tr>
      <w:tr>
        <w:tblPrEx>
          <w:tblLayout w:type="fixed"/>
          <w:tblCellMar>
            <w:top w:w="0" w:type="dxa"/>
            <w:left w:w="108" w:type="dxa"/>
            <w:bottom w:w="0" w:type="dxa"/>
            <w:right w:w="108" w:type="dxa"/>
          </w:tblCellMar>
        </w:tblPrEx>
        <w:trPr>
          <w:trHeight w:val="226" w:hRule="atLeast"/>
          <w:jc w:val="center"/>
        </w:trPr>
        <w:tc>
          <w:tcPr>
            <w:tcW w:w="1868" w:type="dxa"/>
            <w:vMerge w:val="restar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lang w:bidi="ar"/>
              </w:rPr>
            </w:pPr>
            <w:r>
              <w:rPr>
                <w:rFonts w:hint="eastAsia" w:ascii="宋体" w:hAnsi="宋体" w:eastAsia="宋体" w:cs="宋体"/>
                <w:color w:val="auto"/>
                <w:lang w:bidi="ar"/>
              </w:rPr>
              <w:t>环境管理部</w:t>
            </w:r>
          </w:p>
          <w:p>
            <w:pPr>
              <w:jc w:val="center"/>
              <w:textAlignment w:val="center"/>
              <w:rPr>
                <w:rFonts w:hint="eastAsia" w:ascii="宋体" w:hAnsi="宋体" w:eastAsia="宋体" w:cs="宋体"/>
                <w:color w:val="auto"/>
                <w:lang w:eastAsia="zh-CN"/>
              </w:rPr>
            </w:pPr>
            <w:r>
              <w:rPr>
                <w:rFonts w:hint="eastAsia" w:ascii="宋体" w:hAnsi="宋体" w:eastAsia="宋体" w:cs="宋体"/>
                <w:color w:val="auto"/>
                <w:lang w:eastAsia="zh-CN" w:bidi="ar"/>
              </w:rPr>
              <w:t>（</w:t>
            </w:r>
            <w:r>
              <w:rPr>
                <w:rFonts w:hint="eastAsia" w:ascii="宋体" w:hAnsi="宋体" w:eastAsia="宋体" w:cs="宋体"/>
                <w:color w:val="auto"/>
                <w:lang w:val="en-US" w:eastAsia="zh-CN" w:bidi="ar"/>
              </w:rPr>
              <w:t>保洁</w:t>
            </w:r>
            <w:r>
              <w:rPr>
                <w:rFonts w:hint="eastAsia" w:ascii="宋体" w:hAnsi="宋体" w:eastAsia="宋体" w:cs="宋体"/>
                <w:color w:val="auto"/>
                <w:lang w:eastAsia="zh-CN" w:bidi="ar"/>
              </w:rPr>
              <w:t>）</w:t>
            </w: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default" w:ascii="宋体" w:hAnsi="宋体" w:eastAsia="宋体" w:cs="宋体"/>
                <w:color w:val="auto"/>
                <w:lang w:val="en-US" w:eastAsia="zh-CN"/>
              </w:rPr>
            </w:pPr>
            <w:r>
              <w:rPr>
                <w:rFonts w:hint="eastAsia" w:ascii="宋体" w:hAnsi="宋体" w:eastAsia="宋体" w:cs="宋体"/>
                <w:color w:val="auto"/>
                <w:lang w:val="en-US" w:eastAsia="zh-CN" w:bidi="ar"/>
              </w:rPr>
              <w:t>保洁主管</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eastAsia="宋体" w:cs="宋体"/>
                <w:color w:val="auto"/>
              </w:rPr>
            </w:pPr>
            <w:r>
              <w:rPr>
                <w:rFonts w:hint="eastAsia" w:ascii="宋体" w:hAnsi="宋体" w:eastAsia="宋体" w:cs="宋体"/>
                <w:color w:val="auto"/>
                <w:lang w:bidi="ar"/>
              </w:rPr>
              <w:t>1</w:t>
            </w:r>
          </w:p>
        </w:tc>
      </w:tr>
      <w:tr>
        <w:tblPrEx>
          <w:tblLayout w:type="fixed"/>
          <w:tblCellMar>
            <w:top w:w="0" w:type="dxa"/>
            <w:left w:w="108" w:type="dxa"/>
            <w:bottom w:w="0" w:type="dxa"/>
            <w:right w:w="108" w:type="dxa"/>
          </w:tblCellMar>
        </w:tblPrEx>
        <w:trPr>
          <w:trHeight w:val="226" w:hRule="atLeast"/>
          <w:jc w:val="center"/>
        </w:trPr>
        <w:tc>
          <w:tcPr>
            <w:tcW w:w="186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auto"/>
              </w:rPr>
            </w:pP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lang w:eastAsia="zh-CN"/>
              </w:rPr>
            </w:pPr>
            <w:r>
              <w:rPr>
                <w:rFonts w:hint="eastAsia" w:ascii="宋体" w:hAnsi="宋体" w:eastAsia="宋体" w:cs="宋体"/>
                <w:color w:val="auto"/>
                <w:lang w:val="en-US" w:eastAsia="zh-CN" w:bidi="ar"/>
              </w:rPr>
              <w:t>领班</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宋体" w:hAnsi="宋体" w:eastAsia="宋体" w:cs="宋体"/>
                <w:color w:val="auto"/>
              </w:rPr>
            </w:pPr>
            <w:r>
              <w:rPr>
                <w:rFonts w:hint="eastAsia" w:ascii="宋体" w:hAnsi="宋体" w:eastAsia="宋体" w:cs="宋体"/>
                <w:color w:val="auto"/>
                <w:lang w:bidi="ar"/>
              </w:rPr>
              <w:t>2</w:t>
            </w:r>
          </w:p>
        </w:tc>
      </w:tr>
      <w:tr>
        <w:tblPrEx>
          <w:tblLayout w:type="fixed"/>
          <w:tblCellMar>
            <w:top w:w="0" w:type="dxa"/>
            <w:left w:w="108" w:type="dxa"/>
            <w:bottom w:w="0" w:type="dxa"/>
            <w:right w:w="108" w:type="dxa"/>
          </w:tblCellMar>
        </w:tblPrEx>
        <w:trPr>
          <w:trHeight w:val="226" w:hRule="atLeast"/>
          <w:jc w:val="center"/>
        </w:trPr>
        <w:tc>
          <w:tcPr>
            <w:tcW w:w="1868"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eastAsia="宋体" w:cs="宋体"/>
                <w:color w:val="auto"/>
              </w:rPr>
            </w:pP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default" w:ascii="宋体" w:hAnsi="宋体" w:eastAsia="宋体" w:cs="宋体"/>
                <w:color w:val="auto"/>
                <w:lang w:val="en-US" w:eastAsia="zh-CN"/>
              </w:rPr>
            </w:pPr>
            <w:r>
              <w:rPr>
                <w:rFonts w:hint="eastAsia" w:ascii="宋体" w:hAnsi="宋体" w:eastAsia="宋体" w:cs="宋体"/>
                <w:color w:val="auto"/>
                <w:lang w:val="en-US" w:eastAsia="zh-CN" w:bidi="ar"/>
              </w:rPr>
              <w:t>楼层保洁员</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lang w:eastAsia="zh-CN"/>
              </w:rPr>
            </w:pPr>
            <w:r>
              <w:rPr>
                <w:rFonts w:hint="eastAsia" w:ascii="宋体" w:hAnsi="宋体" w:eastAsia="宋体" w:cs="宋体"/>
                <w:color w:val="auto"/>
                <w:lang w:val="en-US" w:eastAsia="zh-CN" w:bidi="ar"/>
              </w:rPr>
              <w:t>5</w:t>
            </w:r>
          </w:p>
        </w:tc>
      </w:tr>
      <w:tr>
        <w:tblPrEx>
          <w:tblLayout w:type="fixed"/>
          <w:tblCellMar>
            <w:top w:w="0" w:type="dxa"/>
            <w:left w:w="108" w:type="dxa"/>
            <w:bottom w:w="0" w:type="dxa"/>
            <w:right w:w="108" w:type="dxa"/>
          </w:tblCellMar>
        </w:tblPrEx>
        <w:trPr>
          <w:trHeight w:val="277" w:hRule="atLeast"/>
          <w:jc w:val="center"/>
        </w:trPr>
        <w:tc>
          <w:tcPr>
            <w:tcW w:w="1868" w:type="dxa"/>
            <w:vMerge w:val="restart"/>
            <w:tcBorders>
              <w:top w:val="single" w:color="000000" w:sz="4" w:space="0"/>
              <w:left w:val="single" w:color="000000" w:sz="4" w:space="0"/>
              <w:right w:val="single" w:color="000000" w:sz="4" w:space="0"/>
            </w:tcBorders>
            <w:vAlign w:val="center"/>
          </w:tcPr>
          <w:p>
            <w:pPr>
              <w:jc w:val="center"/>
              <w:textAlignment w:val="center"/>
              <w:rPr>
                <w:rFonts w:hint="eastAsia" w:ascii="宋体" w:hAnsi="宋体" w:eastAsia="宋体" w:cs="宋体"/>
                <w:color w:val="auto"/>
                <w:lang w:bidi="ar"/>
              </w:rPr>
            </w:pPr>
            <w:r>
              <w:rPr>
                <w:rFonts w:hint="eastAsia" w:ascii="宋体" w:hAnsi="宋体" w:eastAsia="宋体" w:cs="宋体"/>
                <w:color w:val="auto"/>
                <w:lang w:val="en-US" w:eastAsia="zh-CN" w:bidi="ar"/>
              </w:rPr>
              <w:t>安保</w:t>
            </w:r>
            <w:r>
              <w:rPr>
                <w:rFonts w:hint="eastAsia" w:ascii="宋体" w:hAnsi="宋体" w:eastAsia="宋体" w:cs="宋体"/>
                <w:color w:val="auto"/>
                <w:lang w:bidi="ar"/>
              </w:rPr>
              <w:t>部</w:t>
            </w:r>
          </w:p>
          <w:p>
            <w:pPr>
              <w:jc w:val="center"/>
              <w:textAlignment w:val="center"/>
              <w:rPr>
                <w:rFonts w:hint="eastAsia" w:ascii="宋体" w:hAnsi="宋体" w:eastAsia="宋体" w:cs="宋体"/>
                <w:color w:val="auto"/>
                <w:lang w:eastAsia="zh-CN" w:bidi="ar"/>
              </w:rPr>
            </w:pPr>
            <w:r>
              <w:rPr>
                <w:rFonts w:hint="eastAsia" w:ascii="宋体" w:hAnsi="宋体" w:eastAsia="宋体" w:cs="宋体"/>
                <w:color w:val="auto"/>
                <w:lang w:eastAsia="zh-CN" w:bidi="ar"/>
              </w:rPr>
              <w:t>（</w:t>
            </w:r>
            <w:r>
              <w:rPr>
                <w:rFonts w:hint="eastAsia" w:ascii="宋体" w:hAnsi="宋体" w:eastAsia="宋体" w:cs="宋体"/>
                <w:color w:val="auto"/>
                <w:lang w:val="en-US" w:eastAsia="zh-CN" w:bidi="ar"/>
              </w:rPr>
              <w:t>包括秩序维护、综合咨询服务等</w:t>
            </w:r>
            <w:r>
              <w:rPr>
                <w:rFonts w:hint="eastAsia" w:ascii="宋体" w:hAnsi="宋体" w:eastAsia="宋体" w:cs="宋体"/>
                <w:color w:val="auto"/>
                <w:lang w:eastAsia="zh-CN" w:bidi="ar"/>
              </w:rPr>
              <w:t>）</w:t>
            </w: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default" w:ascii="宋体" w:hAnsi="宋体" w:eastAsia="宋体" w:cs="宋体"/>
                <w:color w:val="auto"/>
                <w:lang w:val="en-US" w:eastAsia="zh-CN"/>
              </w:rPr>
            </w:pPr>
            <w:r>
              <w:rPr>
                <w:rFonts w:hint="eastAsia" w:ascii="宋体" w:hAnsi="宋体" w:eastAsia="宋体" w:cs="宋体"/>
                <w:color w:val="auto"/>
                <w:lang w:val="en-US" w:eastAsia="zh-CN"/>
              </w:rPr>
              <w:t>安保主管</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lang w:eastAsia="zh-CN"/>
              </w:rPr>
            </w:pPr>
            <w:r>
              <w:rPr>
                <w:rFonts w:hint="eastAsia" w:ascii="宋体" w:hAnsi="宋体" w:eastAsia="宋体" w:cs="宋体"/>
                <w:color w:val="auto"/>
                <w:lang w:val="en-US" w:eastAsia="zh-CN" w:bidi="ar"/>
              </w:rPr>
              <w:t>1</w:t>
            </w:r>
          </w:p>
        </w:tc>
      </w:tr>
      <w:tr>
        <w:tblPrEx>
          <w:tblLayout w:type="fixed"/>
          <w:tblCellMar>
            <w:top w:w="0" w:type="dxa"/>
            <w:left w:w="108" w:type="dxa"/>
            <w:bottom w:w="0" w:type="dxa"/>
            <w:right w:w="108" w:type="dxa"/>
          </w:tblCellMar>
        </w:tblPrEx>
        <w:trPr>
          <w:trHeight w:val="277" w:hRule="atLeast"/>
          <w:jc w:val="center"/>
        </w:trPr>
        <w:tc>
          <w:tcPr>
            <w:tcW w:w="1868" w:type="dxa"/>
            <w:vMerge w:val="continue"/>
            <w:tcBorders>
              <w:left w:val="single" w:color="000000" w:sz="4" w:space="0"/>
              <w:right w:val="single" w:color="000000" w:sz="4" w:space="0"/>
            </w:tcBorders>
            <w:vAlign w:val="center"/>
          </w:tcPr>
          <w:p>
            <w:pPr>
              <w:jc w:val="center"/>
              <w:textAlignment w:val="center"/>
              <w:rPr>
                <w:rFonts w:hint="eastAsia" w:ascii="宋体" w:hAnsi="宋体" w:eastAsia="宋体" w:cs="宋体"/>
                <w:color w:val="auto"/>
                <w:lang w:val="en-US" w:eastAsia="zh-CN"/>
              </w:rPr>
            </w:pP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中控员及</w:t>
            </w:r>
            <w:r>
              <w:rPr>
                <w:rFonts w:hint="eastAsia" w:ascii="宋体" w:hAnsi="宋体" w:eastAsia="宋体" w:cs="宋体"/>
                <w:color w:val="auto"/>
                <w:lang w:val="en-US" w:eastAsia="zh-CN" w:bidi="ar"/>
              </w:rPr>
              <w:t>秩序维护（文明引导、巡逻）</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default" w:ascii="宋体" w:hAnsi="宋体" w:eastAsia="宋体" w:cs="宋体"/>
                <w:color w:val="auto"/>
                <w:lang w:val="en-US" w:eastAsia="zh-CN" w:bidi="ar"/>
              </w:rPr>
            </w:pPr>
            <w:r>
              <w:rPr>
                <w:rFonts w:hint="eastAsia" w:ascii="宋体" w:hAnsi="宋体" w:eastAsia="宋体" w:cs="宋体"/>
                <w:color w:val="auto"/>
                <w:lang w:val="en-US" w:eastAsia="zh-CN" w:bidi="ar"/>
              </w:rPr>
              <w:t>8</w:t>
            </w:r>
          </w:p>
        </w:tc>
      </w:tr>
      <w:tr>
        <w:tblPrEx>
          <w:tblLayout w:type="fixed"/>
          <w:tblCellMar>
            <w:top w:w="0" w:type="dxa"/>
            <w:left w:w="108" w:type="dxa"/>
            <w:bottom w:w="0" w:type="dxa"/>
            <w:right w:w="108" w:type="dxa"/>
          </w:tblCellMar>
        </w:tblPrEx>
        <w:trPr>
          <w:trHeight w:val="226" w:hRule="atLeast"/>
          <w:jc w:val="center"/>
        </w:trPr>
        <w:tc>
          <w:tcPr>
            <w:tcW w:w="1868" w:type="dxa"/>
            <w:vMerge w:val="continue"/>
            <w:tcBorders>
              <w:left w:val="single" w:color="000000" w:sz="4" w:space="0"/>
              <w:right w:val="single" w:color="000000" w:sz="4" w:space="0"/>
            </w:tcBorders>
            <w:vAlign w:val="center"/>
          </w:tcPr>
          <w:p>
            <w:pPr>
              <w:jc w:val="center"/>
              <w:textAlignment w:val="center"/>
              <w:rPr>
                <w:rFonts w:ascii="宋体" w:hAnsi="宋体" w:eastAsia="宋体" w:cs="宋体"/>
                <w:color w:val="auto"/>
              </w:rPr>
            </w:pPr>
          </w:p>
        </w:tc>
        <w:tc>
          <w:tcPr>
            <w:tcW w:w="3096"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default" w:ascii="宋体" w:hAnsi="宋体" w:eastAsia="宋体" w:cs="宋体"/>
                <w:color w:val="auto"/>
                <w:lang w:val="en-US" w:eastAsia="zh-CN"/>
              </w:rPr>
            </w:pPr>
            <w:r>
              <w:rPr>
                <w:rFonts w:hint="eastAsia" w:ascii="宋体" w:hAnsi="宋体" w:eastAsia="宋体" w:cs="宋体"/>
                <w:color w:val="auto"/>
                <w:lang w:val="en-US" w:eastAsia="zh-CN"/>
              </w:rPr>
              <w:t>保安员（持证）</w:t>
            </w:r>
          </w:p>
        </w:tc>
        <w:tc>
          <w:tcPr>
            <w:tcW w:w="1834" w:type="dxa"/>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hint="eastAsia" w:ascii="宋体" w:hAnsi="宋体" w:eastAsia="宋体" w:cs="宋体"/>
                <w:color w:val="auto"/>
                <w:lang w:eastAsia="zh-CN"/>
              </w:rPr>
            </w:pPr>
            <w:r>
              <w:rPr>
                <w:rFonts w:hint="eastAsia" w:ascii="宋体" w:hAnsi="宋体" w:eastAsia="宋体" w:cs="宋体"/>
                <w:color w:val="auto"/>
                <w:lang w:val="en-US" w:eastAsia="zh-CN" w:bidi="ar"/>
              </w:rPr>
              <w:t>3</w:t>
            </w:r>
          </w:p>
        </w:tc>
      </w:tr>
      <w:tr>
        <w:tblPrEx>
          <w:tblLayout w:type="fixed"/>
          <w:tblCellMar>
            <w:top w:w="0" w:type="dxa"/>
            <w:left w:w="108" w:type="dxa"/>
            <w:bottom w:w="0" w:type="dxa"/>
            <w:right w:w="108" w:type="dxa"/>
          </w:tblCellMar>
        </w:tblPrEx>
        <w:trPr>
          <w:trHeight w:val="226" w:hRule="atLeast"/>
          <w:jc w:val="center"/>
        </w:trPr>
        <w:tc>
          <w:tcPr>
            <w:tcW w:w="4964" w:type="dxa"/>
            <w:gridSpan w:val="2"/>
            <w:tcBorders>
              <w:top w:val="single" w:color="000000" w:sz="4" w:space="0"/>
              <w:left w:val="single" w:color="000000" w:sz="4" w:space="0"/>
              <w:bottom w:val="single" w:color="auto" w:sz="4" w:space="0"/>
              <w:right w:val="single" w:color="000000" w:sz="4" w:space="0"/>
            </w:tcBorders>
            <w:vAlign w:val="center"/>
          </w:tcPr>
          <w:p>
            <w:pPr>
              <w:jc w:val="center"/>
              <w:textAlignment w:val="center"/>
              <w:rPr>
                <w:rFonts w:ascii="宋体" w:hAnsi="宋体" w:eastAsia="宋体" w:cs="宋体"/>
                <w:color w:val="auto"/>
                <w:lang w:bidi="ar"/>
              </w:rPr>
            </w:pPr>
            <w:r>
              <w:rPr>
                <w:rFonts w:hint="eastAsia" w:ascii="宋体" w:hAnsi="宋体" w:eastAsia="宋体" w:cs="宋体"/>
                <w:color w:val="auto"/>
                <w:lang w:bidi="ar"/>
              </w:rPr>
              <w:t>合计</w:t>
            </w:r>
          </w:p>
        </w:tc>
        <w:tc>
          <w:tcPr>
            <w:tcW w:w="1834" w:type="dxa"/>
            <w:tcBorders>
              <w:top w:val="single" w:color="000000" w:sz="4" w:space="0"/>
              <w:left w:val="single" w:color="000000" w:sz="4" w:space="0"/>
              <w:bottom w:val="single" w:color="auto" w:sz="4" w:space="0"/>
              <w:right w:val="single" w:color="000000" w:sz="4" w:space="0"/>
            </w:tcBorders>
            <w:vAlign w:val="center"/>
          </w:tcPr>
          <w:p>
            <w:pPr>
              <w:jc w:val="center"/>
              <w:textAlignment w:val="center"/>
              <w:rPr>
                <w:rFonts w:hint="default" w:ascii="宋体" w:hAnsi="宋体" w:eastAsia="宋体" w:cs="宋体"/>
                <w:color w:val="auto"/>
                <w:lang w:val="en-US" w:eastAsia="zh-CN" w:bidi="ar"/>
              </w:rPr>
            </w:pPr>
            <w:r>
              <w:rPr>
                <w:rFonts w:hint="eastAsia" w:ascii="宋体" w:hAnsi="宋体" w:eastAsia="宋体" w:cs="宋体"/>
                <w:color w:val="auto"/>
                <w:lang w:val="en-US" w:eastAsia="zh-CN" w:bidi="ar"/>
              </w:rPr>
              <w:t>26</w:t>
            </w:r>
          </w:p>
        </w:tc>
      </w:tr>
    </w:tbl>
    <w:p>
      <w:pPr>
        <w:spacing w:line="360" w:lineRule="auto"/>
        <w:ind w:left="420" w:firstLine="482" w:firstLineChars="200"/>
        <w:rPr>
          <w:rFonts w:hint="default" w:eastAsia="宋体"/>
          <w:b/>
          <w:bCs/>
          <w:color w:val="auto"/>
          <w:lang w:val="en-US" w:eastAsia="zh-CN"/>
        </w:rPr>
      </w:pPr>
    </w:p>
    <w:p>
      <w:pPr>
        <w:spacing w:line="360" w:lineRule="auto"/>
        <w:ind w:left="420"/>
        <w:rPr>
          <w:rFonts w:hint="eastAsia"/>
          <w:color w:val="auto"/>
        </w:rPr>
      </w:pPr>
    </w:p>
    <w:p>
      <w:pPr>
        <w:spacing w:line="360" w:lineRule="auto"/>
        <w:ind w:left="420" w:firstLine="480" w:firstLineChars="200"/>
        <w:rPr>
          <w:rFonts w:hint="eastAsia" w:eastAsia="宋体"/>
          <w:color w:val="auto"/>
          <w:lang w:val="en-US" w:eastAsia="zh-CN"/>
        </w:rPr>
      </w:pPr>
      <w:r>
        <w:rPr>
          <w:rFonts w:hint="eastAsia" w:eastAsia="宋体"/>
          <w:color w:val="auto"/>
          <w:lang w:val="en-US" w:eastAsia="zh-CN"/>
        </w:rPr>
        <w:t>详细情况如下：</w:t>
      </w:r>
    </w:p>
    <w:p>
      <w:pPr>
        <w:numPr>
          <w:ilvl w:val="0"/>
          <w:numId w:val="0"/>
        </w:numPr>
        <w:spacing w:line="360" w:lineRule="auto"/>
        <w:ind w:firstLine="482" w:firstLineChars="200"/>
        <w:rPr>
          <w:rFonts w:hint="eastAsia" w:eastAsia="宋体"/>
          <w:b/>
          <w:bCs/>
          <w:color w:val="auto"/>
          <w:lang w:val="en-US" w:eastAsia="zh-CN"/>
        </w:rPr>
      </w:pPr>
      <w:r>
        <w:rPr>
          <w:rFonts w:hint="eastAsia" w:eastAsia="宋体"/>
          <w:b/>
          <w:bCs/>
          <w:color w:val="auto"/>
          <w:lang w:val="en-US" w:eastAsia="zh-CN"/>
        </w:rPr>
        <w:t>（一）项目经理</w:t>
      </w:r>
    </w:p>
    <w:p>
      <w:pPr>
        <w:numPr>
          <w:ilvl w:val="0"/>
          <w:numId w:val="18"/>
        </w:numPr>
        <w:spacing w:line="360" w:lineRule="auto"/>
        <w:ind w:firstLine="480" w:firstLineChars="200"/>
        <w:rPr>
          <w:rFonts w:hint="eastAsia" w:eastAsia="宋体"/>
          <w:color w:val="auto"/>
          <w:lang w:val="en-US" w:eastAsia="zh-CN"/>
        </w:rPr>
      </w:pPr>
      <w:r>
        <w:rPr>
          <w:rFonts w:hint="eastAsia" w:eastAsia="宋体"/>
          <w:color w:val="auto"/>
          <w:lang w:val="en-US" w:eastAsia="zh-CN"/>
        </w:rPr>
        <w:t>全面负责图书馆（总馆及少儿馆）范围内的物业服务综合管理，根据图书馆实际工作制定科学、合理的物业团队接管和进驻方案，依据图书馆整体工作计划制定物业服务年度、月度工作计划并组织实施，贯彻执行图书馆各类规章制度，定期进行总结和向图书馆汇报。</w:t>
      </w:r>
    </w:p>
    <w:p>
      <w:pPr>
        <w:numPr>
          <w:ilvl w:val="0"/>
          <w:numId w:val="18"/>
        </w:numPr>
        <w:spacing w:line="360" w:lineRule="auto"/>
        <w:ind w:firstLine="480" w:firstLineChars="200"/>
        <w:rPr>
          <w:rFonts w:hint="eastAsia" w:eastAsia="宋体"/>
          <w:color w:val="auto"/>
          <w:lang w:val="en-US" w:eastAsia="zh-CN"/>
        </w:rPr>
      </w:pPr>
      <w:r>
        <w:rPr>
          <w:rFonts w:hint="eastAsia" w:eastAsia="宋体"/>
          <w:color w:val="auto"/>
          <w:lang w:val="en-US" w:eastAsia="zh-CN"/>
        </w:rPr>
        <w:t>统筹图书馆（总馆及少儿馆）范围内物业团队从业人员管理工作，包括人员调度管理、人员培训，服务项目实施，合理调配人员并定期开展检查和考核。</w:t>
      </w:r>
    </w:p>
    <w:p>
      <w:pPr>
        <w:numPr>
          <w:ilvl w:val="0"/>
          <w:numId w:val="18"/>
        </w:numPr>
        <w:spacing w:line="360" w:lineRule="auto"/>
        <w:ind w:left="0" w:leftChars="0" w:firstLine="480" w:firstLineChars="200"/>
        <w:rPr>
          <w:rFonts w:hint="eastAsia" w:eastAsia="宋体"/>
          <w:color w:val="auto"/>
          <w:lang w:val="en-US" w:eastAsia="zh-CN"/>
        </w:rPr>
      </w:pPr>
      <w:r>
        <w:rPr>
          <w:rFonts w:hint="eastAsia" w:eastAsia="宋体"/>
          <w:color w:val="auto"/>
          <w:lang w:val="en-US" w:eastAsia="zh-CN"/>
        </w:rPr>
        <w:t>统筹图书馆（总馆及少儿馆）安全生产、消防安全、治安安全、房屋安全等各项安全管理工作具体实施，规范安全管理制度，完善安全管理台账及档案。</w:t>
      </w:r>
    </w:p>
    <w:p>
      <w:pPr>
        <w:numPr>
          <w:ilvl w:val="0"/>
          <w:numId w:val="18"/>
        </w:numPr>
        <w:spacing w:line="360" w:lineRule="auto"/>
        <w:ind w:left="0" w:leftChars="0" w:firstLine="480" w:firstLineChars="200"/>
        <w:rPr>
          <w:rFonts w:hint="default" w:eastAsia="宋体"/>
          <w:color w:val="auto"/>
          <w:lang w:val="en-US" w:eastAsia="zh-CN"/>
        </w:rPr>
      </w:pPr>
      <w:r>
        <w:rPr>
          <w:rFonts w:hint="eastAsia" w:eastAsia="宋体"/>
          <w:color w:val="auto"/>
          <w:lang w:val="en-US" w:eastAsia="zh-CN"/>
        </w:rPr>
        <w:t>统筹实施图书馆（总馆及少儿馆）日常开放各项基础设施保障工作，包括设备设施管理、小型维修及修缮项目过程管理，确保图书馆电气设备、消防设备、暖通设备、给排水设备等各项设备设施运转正常。</w:t>
      </w:r>
    </w:p>
    <w:p>
      <w:pPr>
        <w:numPr>
          <w:ilvl w:val="0"/>
          <w:numId w:val="18"/>
        </w:numPr>
        <w:spacing w:line="360" w:lineRule="auto"/>
        <w:ind w:left="0" w:leftChars="0" w:firstLine="480" w:firstLineChars="200"/>
        <w:rPr>
          <w:rFonts w:hint="eastAsia" w:eastAsia="宋体"/>
          <w:color w:val="auto"/>
          <w:lang w:val="en-US" w:eastAsia="zh-CN"/>
        </w:rPr>
      </w:pPr>
      <w:r>
        <w:rPr>
          <w:rFonts w:hint="eastAsia" w:eastAsia="宋体"/>
          <w:color w:val="auto"/>
          <w:lang w:val="en-US" w:eastAsia="zh-CN"/>
        </w:rPr>
        <w:t>统筹实施图书馆（总馆及少儿馆）对外开放的日常保障工作，包括环境卫生、文明引导、馆内开放区域的秩序维护、停车场秩序维护，前台咨询解答，以及协助图书馆开展各项文化活动、会议的会场服务保障工作。</w:t>
      </w:r>
    </w:p>
    <w:p>
      <w:pPr>
        <w:numPr>
          <w:ilvl w:val="0"/>
          <w:numId w:val="18"/>
        </w:numPr>
        <w:spacing w:line="360" w:lineRule="auto"/>
        <w:ind w:left="0" w:leftChars="0" w:firstLine="480" w:firstLineChars="200"/>
        <w:rPr>
          <w:rFonts w:hint="eastAsia" w:eastAsia="宋体"/>
          <w:color w:val="auto"/>
          <w:lang w:val="en-US" w:eastAsia="zh-CN"/>
        </w:rPr>
      </w:pPr>
      <w:r>
        <w:rPr>
          <w:rFonts w:hint="eastAsia" w:eastAsia="宋体"/>
          <w:color w:val="auto"/>
          <w:lang w:val="en-US" w:eastAsia="zh-CN"/>
        </w:rPr>
        <w:t>负责对接与物业管理服务有关的职能部门协调工作，包括属地街道、消防管理部门、卫生监督部门、城市管理部门、各执法部门，以及供水、供电、供气、供暖等相关单位。</w:t>
      </w:r>
    </w:p>
    <w:p>
      <w:pPr>
        <w:numPr>
          <w:ilvl w:val="0"/>
          <w:numId w:val="18"/>
        </w:numPr>
        <w:spacing w:line="360" w:lineRule="auto"/>
        <w:ind w:left="0" w:leftChars="0" w:firstLine="480" w:firstLineChars="200"/>
        <w:rPr>
          <w:rFonts w:hint="eastAsia" w:eastAsia="宋体"/>
          <w:color w:val="auto"/>
          <w:lang w:val="en-US" w:eastAsia="zh-CN"/>
        </w:rPr>
      </w:pPr>
      <w:r>
        <w:rPr>
          <w:rFonts w:hint="eastAsia" w:eastAsia="宋体"/>
          <w:color w:val="auto"/>
          <w:lang w:val="en-US" w:eastAsia="zh-CN"/>
        </w:rPr>
        <w:t>协助图书馆处置对外开放过程中发生的消防、治安、交通、工程施工，以及极端天气等各类突发事件应急处置工作。</w:t>
      </w:r>
    </w:p>
    <w:p>
      <w:pPr>
        <w:numPr>
          <w:ilvl w:val="0"/>
          <w:numId w:val="18"/>
        </w:numPr>
        <w:spacing w:line="360" w:lineRule="auto"/>
        <w:ind w:left="0" w:leftChars="0" w:firstLine="480" w:firstLineChars="200"/>
        <w:rPr>
          <w:rFonts w:hint="eastAsia" w:eastAsia="宋体"/>
          <w:color w:val="auto"/>
          <w:lang w:val="en-US" w:eastAsia="zh-CN"/>
        </w:rPr>
      </w:pPr>
      <w:r>
        <w:rPr>
          <w:rFonts w:hint="eastAsia" w:eastAsia="宋体"/>
          <w:color w:val="auto"/>
          <w:lang w:val="en-US" w:eastAsia="zh-CN"/>
        </w:rPr>
        <w:t>根据图书馆整体工作计划及文化活动开展情况，完成日常各项后勤服务保障工作，并协助完成图书馆及上级主管部门交办的临时性工作。</w:t>
      </w:r>
    </w:p>
    <w:p>
      <w:pPr>
        <w:pStyle w:val="2"/>
        <w:numPr>
          <w:ilvl w:val="0"/>
          <w:numId w:val="0"/>
        </w:numPr>
        <w:spacing w:before="156" w:beforeLines="50" w:after="156" w:afterLines="50"/>
        <w:ind w:firstLine="482" w:firstLineChars="200"/>
        <w:outlineLvl w:val="1"/>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消防</w:t>
      </w:r>
      <w:r>
        <w:rPr>
          <w:rFonts w:hint="eastAsia" w:ascii="宋体" w:hAnsi="宋体" w:eastAsia="宋体" w:cs="宋体"/>
          <w:b/>
          <w:color w:val="auto"/>
          <w:sz w:val="24"/>
          <w:szCs w:val="24"/>
          <w:lang w:val="en-US" w:eastAsia="zh-CN"/>
        </w:rPr>
        <w:t>安全</w:t>
      </w:r>
      <w:r>
        <w:rPr>
          <w:rFonts w:hint="eastAsia" w:ascii="宋体" w:hAnsi="宋体" w:eastAsia="宋体" w:cs="宋体"/>
          <w:b/>
          <w:color w:val="auto"/>
          <w:sz w:val="24"/>
          <w:szCs w:val="24"/>
        </w:rPr>
        <w:t>管理</w:t>
      </w:r>
    </w:p>
    <w:p>
      <w:pPr>
        <w:pStyle w:val="2"/>
        <w:numPr>
          <w:ilvl w:val="0"/>
          <w:numId w:val="0"/>
        </w:numPr>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服务内容</w:t>
      </w:r>
    </w:p>
    <w:p>
      <w:pPr>
        <w:pStyle w:val="2"/>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负责日常的消防系统值守，负责月度消防设备定期检查并做检查记录，对消防中控室、火灾自动报警系统、自动喷淋系统、室内消火栓、安全疏散、应急系统、防火门系统、二氧化碳等灭火</w:t>
      </w:r>
      <w:r>
        <w:rPr>
          <w:rFonts w:hint="eastAsia" w:ascii="宋体" w:hAnsi="宋体" w:eastAsia="宋体" w:cs="宋体"/>
          <w:color w:val="auto"/>
          <w:sz w:val="24"/>
          <w:szCs w:val="24"/>
          <w:lang w:val="en-US" w:eastAsia="zh-CN"/>
        </w:rPr>
        <w:t>设备</w:t>
      </w:r>
      <w:r>
        <w:rPr>
          <w:rFonts w:hint="eastAsia" w:ascii="宋体" w:hAnsi="宋体" w:eastAsia="宋体" w:cs="宋体"/>
          <w:color w:val="auto"/>
          <w:sz w:val="24"/>
          <w:szCs w:val="24"/>
        </w:rPr>
        <w:t>进行日常管理；监督、配合维保单位进行日常维修养护，发现问题时及时通知维保单位到场维修，紧急情况下的应急处理。</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ind w:firstLine="482" w:firstLineChars="200"/>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服务标准</w:t>
      </w:r>
    </w:p>
    <w:p>
      <w:pPr>
        <w:pStyle w:val="2"/>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2.1 严格执行消防法规，建立消防安全管理制度，搞好消防安全管理工作，确保整个系统处于良好的状态。</w:t>
      </w:r>
    </w:p>
    <w:p>
      <w:pPr>
        <w:pStyle w:val="2"/>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2.2 定期巡视检查消防设备，完成率100%。</w:t>
      </w:r>
    </w:p>
    <w:p>
      <w:pPr>
        <w:pStyle w:val="2"/>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2.3 及时发现安全隐患，及时报告、处理，完成率100%。发现问题及时通知维保单位，保质保量达到消防要求，保证系统正常运行。</w:t>
      </w:r>
    </w:p>
    <w:p>
      <w:pPr>
        <w:pStyle w:val="2"/>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2.4 每月对消防设备定期检查一次，重大节日增加检查次数，有故障时，通知维保单位维修人员及时维修。</w:t>
      </w:r>
    </w:p>
    <w:p>
      <w:pPr>
        <w:pStyle w:val="2"/>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2.5 定期组织义务消防员的培训和演习。</w:t>
      </w:r>
    </w:p>
    <w:p>
      <w:pPr>
        <w:pStyle w:val="2"/>
        <w:keepNext w:val="0"/>
        <w:keepLines w:val="0"/>
        <w:pageBreakBefore w:val="0"/>
        <w:widowControl/>
        <w:tabs>
          <w:tab w:val="left" w:pos="630"/>
        </w:tabs>
        <w:kinsoku w:val="0"/>
        <w:wordWrap/>
        <w:overflowPunct/>
        <w:topLinePunct w:val="0"/>
        <w:autoSpaceDE w:val="0"/>
        <w:autoSpaceDN w:val="0"/>
        <w:bidi w:val="0"/>
        <w:adjustRightInd w:val="0"/>
        <w:snapToGrid w:val="0"/>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2.6 配合</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完成消防、电气检测工作，取得消防电气检测报告。</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ind w:left="480" w:leftChars="200"/>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运行管理要求</w:t>
      </w:r>
    </w:p>
    <w:p>
      <w:pPr>
        <w:pStyle w:val="2"/>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 管理制度。依据消防泵房的功能及特点，建立相应的运行管理制度，并在机房显著位置上墙张贴。设备运行管理制度的制定应以保障消防设备机房的安全、正常运行为标准，内容应包括：操作规程、设备出现故障时的处理方法、值班人员的岗位责任、外来人员进入设备所在机房的授权、出入登记、设备所在机房内的物品存放以及消防安全的有关规定等事项；</w:t>
      </w:r>
    </w:p>
    <w:p>
      <w:pPr>
        <w:pStyle w:val="2"/>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 消防值班。值班应进行记录，记录内容包括：本班工作内容及完成情况，设备的当前状态 （运行、停止、待修等）及设备调整情况说明；交班接班人上岗时间、下岗时间。主管应每日检查值班工作记录并确认签字；</w:t>
      </w:r>
    </w:p>
    <w:p>
      <w:pPr>
        <w:pStyle w:val="2"/>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 设备运行。系统设备运行正常，每天进行一次各类信息检查，并做好记录，设备设施符合《安全技术防范管理规定》的相关规定，各种主要控制设备正常运行、开关灵活，各系统联动正常。</w:t>
      </w:r>
    </w:p>
    <w:p>
      <w:pPr>
        <w:pStyle w:val="2"/>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 现场管理。标识清晰、干净整洁、无尘土、 无杂物堆放，通风、照明、门窗、锁等设施良好；各种阀门开关灵活、性能可靠，主要阀门标识清晰、无锈蚀、 无跑冒滴漏现象；压力表、温度表显示正常；电梯轿厢、井道、机房环境整洁、卫生良好；设备运行平稳、无异常声响；保存所有相应的巡检报告。</w:t>
      </w:r>
    </w:p>
    <w:p>
      <w:pPr>
        <w:pStyle w:val="2"/>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 日常安全管理。依据国家及行业的有关规定，建立涉及系统操作及维护的《安全操作规程》；配合甲方约请国家指定的专业机构对楼宇进行必要的消检、电检，保存好所有的相关检查、检测报告以及各项整改记录等文件以备查；定期对所有服务人员进行安全意识、安全知识方面的培训，并留有相应的培训记录。</w:t>
      </w:r>
    </w:p>
    <w:p>
      <w:pPr>
        <w:pStyle w:val="2"/>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3.6 档案管理。按国家规定建立和管理消防档案，消防档案完整、准确，并妥善保存以备查询。</w:t>
      </w:r>
    </w:p>
    <w:p>
      <w:pPr>
        <w:pStyle w:val="2"/>
        <w:numPr>
          <w:ilvl w:val="0"/>
          <w:numId w:val="0"/>
        </w:numPr>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rPr>
        <w:t>维护维修要求</w:t>
      </w:r>
    </w:p>
    <w:p>
      <w:pPr>
        <w:pStyle w:val="2"/>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4.1 监督、配合甲方委托的专业单位的保养实施工作。对于专业单位保养计划的实施以及维修服务工作进行检查、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pStyle w:val="2"/>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 在意外故障出现时，维修人员能够按照规定时间到达现场，制定应急故障处理措施并严格按照执行；应建立上述设备运行情况的自查制度及检修制度，并做好相应的工作记录，以保证对委托服务的有效监管。</w:t>
      </w:r>
    </w:p>
    <w:p>
      <w:pPr>
        <w:pStyle w:val="2"/>
        <w:numPr>
          <w:ilvl w:val="0"/>
          <w:numId w:val="0"/>
        </w:numPr>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应急维修</w:t>
      </w:r>
    </w:p>
    <w:p>
      <w:pPr>
        <w:pStyle w:val="2"/>
        <w:tabs>
          <w:tab w:val="left" w:pos="630"/>
        </w:tabs>
        <w:ind w:left="0"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 当接到报修信息后，维修人员应在15分钟内到达现场，维修工作随即展开，一般故障的修复不应超过24小时；</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 当故障在规定时间内确实无法修复时，应及时通知维保单位人员并采取相应的跟进措施。</w:t>
      </w:r>
    </w:p>
    <w:p>
      <w:pPr>
        <w:pStyle w:val="2"/>
        <w:numPr>
          <w:ilvl w:val="0"/>
          <w:numId w:val="0"/>
        </w:numPr>
        <w:spacing w:before="156" w:beforeLines="50" w:after="156" w:afterLines="50"/>
        <w:ind w:firstLine="482" w:firstLineChars="200"/>
        <w:outlineLvl w:val="1"/>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供电设备管理</w:t>
      </w:r>
    </w:p>
    <w:p>
      <w:pPr>
        <w:pStyle w:val="2"/>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负责配电室的日常值守，监督、配合维护单位进行</w:t>
      </w:r>
      <w:r>
        <w:rPr>
          <w:rFonts w:hint="eastAsia" w:ascii="宋体" w:hAnsi="宋体" w:eastAsia="宋体" w:cs="宋体"/>
          <w:color w:val="auto"/>
          <w:sz w:val="24"/>
          <w:szCs w:val="24"/>
          <w:lang w:val="en-US" w:eastAsia="zh-CN"/>
        </w:rPr>
        <w:t>图书馆（总馆及少儿馆）</w:t>
      </w:r>
      <w:r>
        <w:rPr>
          <w:rFonts w:hint="eastAsia" w:ascii="宋体" w:hAnsi="宋体" w:eastAsia="宋体" w:cs="宋体"/>
          <w:color w:val="auto"/>
          <w:sz w:val="24"/>
          <w:szCs w:val="24"/>
        </w:rPr>
        <w:t>供电系统正常运行对供电设备的日常管理和养护维修。</w:t>
      </w:r>
    </w:p>
    <w:p>
      <w:pPr>
        <w:pStyle w:val="2"/>
        <w:numPr>
          <w:ilvl w:val="0"/>
          <w:numId w:val="0"/>
        </w:numPr>
        <w:ind w:left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服务内容</w:t>
      </w:r>
    </w:p>
    <w:p>
      <w:pPr>
        <w:pStyle w:val="2"/>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供电系统高、低压电器设备、电线电缆、电气照明装置等设备正常运行使用，并进行日常巡视管理。</w:t>
      </w:r>
    </w:p>
    <w:p>
      <w:pPr>
        <w:pStyle w:val="2"/>
        <w:numPr>
          <w:ilvl w:val="0"/>
          <w:numId w:val="0"/>
        </w:numPr>
        <w:ind w:left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服务标准</w:t>
      </w:r>
    </w:p>
    <w:p>
      <w:pPr>
        <w:pStyle w:val="2"/>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供电范围内的电气设备定期巡视维护和重点检测，建立各项设备档案，做到安全、合理、节约用电；建立严格的配送电运行制度、电气维修制度和配电房管理制度，供电运行和维修人员必须持证上岗；加强日常维护检修，公共使用的照明、指示灯具线路、开关要保证完好，确保用电完全；管理和维护好避雷设施。发现问题时及时通知维保单位人员到场及时排除故障，紧急情况下的应急处理。</w:t>
      </w:r>
    </w:p>
    <w:p>
      <w:pPr>
        <w:pStyle w:val="2"/>
        <w:numPr>
          <w:ilvl w:val="0"/>
          <w:numId w:val="0"/>
        </w:numPr>
        <w:ind w:left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rPr>
        <w:t>运行管理要求</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 管理制度。依据各设备及设备所在机房的功能及特点，建立相应的运行管理制度，并在设备所在机房显著位置上墙张贴。设备运行管理制度的制定应以保障设备及设备所在机房的安全、正常运行为标准，内容应包括：各专业设备的操作规程、设备出现故障时的处理方法、值班人员的岗位责任、外来人员进入设备所在机房的授权、出入登记、设备所在机房内的物品存放以及消防安全的有关规定等事项；</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 工程值班。值班应进行记录，记录内容包括：本班工作内容及完成情况，设备的当前状态 （运行、停止、待修等）及设备调整情况说明；交班接班人上岗时间、下岗时间，工程主管人员每日检查值班工作记录的确认签字等；所有无人值守的机房，都应当建立定时巡视制度，并有相应的《巡视签到表》。</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 现场管理。设备及所在机房、管道井内标识清晰、干净整洁、无尘土、无杂物堆放，通风、照明、门窗、锁等设施良好；各种阀门开关灵活、性能可靠，主要阀门标识清晰、无锈蚀、 无跑冒滴漏现象；压力表、温度表显示正常；电梯轿厢、井道、机房环境整洁、卫生良好；电梯专用工具悬挂或码放整齐有序、标识清晰；机电设备运行平稳、无异常声响；设备运行与维护工作人员对公共照明、空调系统、给排水系统、建筑装修设备设施进行日常巡视检查，并保存所有相应的巡检报告。</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 日常安全管理。依据国家及行业的有关规定，建立涉及系统操作及维护的《安全操作规程》；配合甲方按时约请国家指定的专业机构对楼宇进行必要的消检、电检，保存好所有的相关检查、检测报告以及各项整改记录等文件以备查；定期对所有服务人员进行安全意识、安全知识方面的培训，并留有相应的培训记录。</w:t>
      </w:r>
    </w:p>
    <w:p>
      <w:pPr>
        <w:pStyle w:val="2"/>
        <w:numPr>
          <w:ilvl w:val="0"/>
          <w:numId w:val="0"/>
        </w:numPr>
        <w:ind w:leftChars="200"/>
        <w:rPr>
          <w:rFonts w:hint="eastAsia" w:ascii="宋体" w:hAnsi="宋体" w:eastAsia="宋体" w:cs="宋体"/>
          <w:color w:val="auto"/>
          <w:sz w:val="24"/>
          <w:szCs w:val="24"/>
        </w:rPr>
      </w:pPr>
      <w:r>
        <w:rPr>
          <w:rFonts w:hint="eastAsia" w:ascii="宋体" w:hAnsi="宋体" w:eastAsia="宋体" w:cs="宋体"/>
          <w:color w:val="auto"/>
          <w:sz w:val="24"/>
          <w:szCs w:val="24"/>
        </w:rPr>
        <w:t>3.6 档案管理。按国家规定建立和管理工程档案，档案完整、准确，并妥善保存以备查</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textAlignment w:val="baseline"/>
        <w:rPr>
          <w:rFonts w:hint="eastAsia" w:ascii="宋体" w:hAnsi="宋体" w:eastAsia="宋体" w:cs="宋体"/>
          <w:b/>
          <w:color w:val="auto"/>
          <w:sz w:val="24"/>
          <w:szCs w:val="24"/>
          <w:lang w:eastAsia="zh-CN"/>
        </w:rPr>
      </w:pPr>
      <w:r>
        <w:rPr>
          <w:rFonts w:hint="eastAsia" w:ascii="宋体" w:hAnsi="宋体" w:eastAsia="宋体" w:cs="宋体"/>
          <w:color w:val="auto"/>
          <w:sz w:val="24"/>
          <w:szCs w:val="24"/>
        </w:rPr>
        <w:t>询。</w:t>
      </w:r>
    </w:p>
    <w:p>
      <w:pPr>
        <w:pStyle w:val="2"/>
        <w:numPr>
          <w:ilvl w:val="0"/>
          <w:numId w:val="0"/>
        </w:numPr>
        <w:spacing w:before="156" w:beforeLines="50" w:after="156" w:afterLines="50"/>
        <w:ind w:left="420" w:leftChars="0"/>
        <w:outlineLvl w:val="1"/>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排水设备运行管理</w:t>
      </w:r>
    </w:p>
    <w:p>
      <w:pPr>
        <w:pStyle w:val="2"/>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监督 、配合维保单位进行给排水设备运行维护，保证</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给排水设备、设施的正常运行使用所进行的日常养护维修。</w:t>
      </w:r>
    </w:p>
    <w:p>
      <w:pPr>
        <w:pStyle w:val="2"/>
        <w:numPr>
          <w:ilvl w:val="0"/>
          <w:numId w:val="19"/>
        </w:num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服务内容</w:t>
      </w:r>
    </w:p>
    <w:p>
      <w:pPr>
        <w:pStyle w:val="2"/>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对</w:t>
      </w:r>
      <w:r>
        <w:rPr>
          <w:rFonts w:hint="eastAsia" w:ascii="宋体" w:hAnsi="宋体" w:eastAsia="宋体" w:cs="宋体"/>
          <w:color w:val="auto"/>
          <w:sz w:val="24"/>
          <w:szCs w:val="24"/>
          <w:lang w:val="en-US" w:eastAsia="zh-CN"/>
        </w:rPr>
        <w:t>图书馆</w:t>
      </w:r>
      <w:r>
        <w:rPr>
          <w:rFonts w:hint="eastAsia" w:ascii="宋体" w:hAnsi="宋体" w:eastAsia="宋体" w:cs="宋体"/>
          <w:color w:val="auto"/>
          <w:sz w:val="24"/>
          <w:szCs w:val="24"/>
        </w:rPr>
        <w:t>室内外给排水系统的设备、设施，如水泵、水箱、气压给水装置、水处理设备、消火栓、管道、管件、阀门、水嘴、洁具、排水管、透气管及疏通、水封设备、室外排水管及其附属构筑物等正常运行使用进行日常巡查，发现问题及时通知维保单位进行维修养护。</w:t>
      </w:r>
    </w:p>
    <w:p>
      <w:pPr>
        <w:pStyle w:val="2"/>
        <w:numPr>
          <w:ilvl w:val="0"/>
          <w:numId w:val="19"/>
        </w:numPr>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服务标准</w:t>
      </w:r>
    </w:p>
    <w:p>
      <w:pPr>
        <w:pStyle w:val="2"/>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加强日常检查巡视，保证给排水系统正常运行使用。建立正常供水管理制度，保证水质符合国家标准，防止跑、冒、滴、漏，对供水系统管路、水泵、水箱、阀门等进行日常维护和定期检修，水箱保持清洁卫生并定期消毒，定期对水泵房及机电设备进行检查、保养、维修、清洁；定期对排水管进行清通、养护及清除污垢，保证室内外排水系统畅通；发现问题及时通知维保单位维修人员解决故障，零维修合格率100%，故障排除不过夜，做好节约用水工作。</w:t>
      </w:r>
    </w:p>
    <w:p>
      <w:pPr>
        <w:pStyle w:val="2"/>
        <w:numPr>
          <w:ilvl w:val="0"/>
          <w:numId w:val="19"/>
        </w:numPr>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运行管理要求</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 管理制度。运行管理制度的制定应以保障设备及设备所在机房的安全、正常运行为标准，内容应包括：操作规程、设备出现故障时的处理方法、值班人员的岗位责任、外来人员进入设备所在机房的授权、出入登记、机房内的物品存放以及消防安全的有关规定等事项；</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 工程值班。值班应进行记录，记录内容包括：本班工作内容及完成情况，设备的当前状态 （运行、停止、待修等）及设备调整情况说明；交班接班人 上岗时间、下岗时间，工程主管人员每日检查值班工作记录的确认签字等；所有无人值守的机房，都应当建立定时巡视制度，并有相应的《巡视签到表》。</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3.4 现场管理。设备及所在机房标识清晰、干净整洁、无尘土、 无杂物堆放，通风、照明、门窗、锁等设施良好；各种阀门开关灵活、性能可靠，主要阀门标识清晰、无锈蚀、 无跑冒滴漏现象；压力表、温度表显示正常；空调系统检修设备设施进行日常巡视检查，并保存所有相应的巡检报告。</w:t>
      </w:r>
    </w:p>
    <w:p>
      <w:pPr>
        <w:pStyle w:val="2"/>
        <w:tabs>
          <w:tab w:val="left" w:pos="630"/>
        </w:tabs>
        <w:ind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 日常安全管理。依据国家及行业的有关规定，建立涉及系统操作及维护的《安全操作规程》；保存好所有的相关检查、检测报告以及各项整改记录等文件以备查；定期对所有服务人员进行安全意识、安全知识方面的培训，并留有相应的培训记录。</w:t>
      </w:r>
    </w:p>
    <w:p>
      <w:pPr>
        <w:spacing w:line="360" w:lineRule="auto"/>
        <w:ind w:left="42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）综合维修管理</w:t>
      </w:r>
      <w:r>
        <w:rPr>
          <w:rFonts w:hint="eastAsia" w:ascii="宋体" w:hAnsi="宋体" w:eastAsia="宋体" w:cs="宋体"/>
          <w:b/>
          <w:bCs/>
          <w:color w:val="auto"/>
          <w:sz w:val="24"/>
          <w:szCs w:val="24"/>
          <w:lang w:val="en-US" w:eastAsia="zh-CN"/>
        </w:rPr>
        <w:t>服务</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负责馆内</w:t>
      </w:r>
      <w:r>
        <w:rPr>
          <w:rFonts w:hint="eastAsia" w:ascii="宋体" w:hAnsi="宋体" w:eastAsia="宋体" w:cs="宋体"/>
          <w:color w:val="auto"/>
          <w:sz w:val="24"/>
          <w:szCs w:val="24"/>
          <w:lang w:val="en-US" w:eastAsia="zh-CN"/>
        </w:rPr>
        <w:t>房屋及</w:t>
      </w:r>
      <w:r>
        <w:rPr>
          <w:rFonts w:hint="eastAsia" w:ascii="宋体" w:hAnsi="宋体" w:eastAsia="宋体" w:cs="宋体"/>
          <w:color w:val="auto"/>
          <w:sz w:val="24"/>
          <w:szCs w:val="24"/>
        </w:rPr>
        <w:t>设备、设施的</w:t>
      </w:r>
      <w:r>
        <w:rPr>
          <w:rFonts w:hint="eastAsia" w:ascii="宋体" w:hAnsi="宋体" w:eastAsia="宋体" w:cs="宋体"/>
          <w:color w:val="auto"/>
          <w:sz w:val="24"/>
          <w:szCs w:val="24"/>
          <w:lang w:val="en-US" w:eastAsia="zh-CN"/>
        </w:rPr>
        <w:t>安全检查，确保基础设施</w:t>
      </w:r>
      <w:r>
        <w:rPr>
          <w:rFonts w:hint="eastAsia" w:ascii="宋体" w:hAnsi="宋体" w:eastAsia="宋体" w:cs="宋体"/>
          <w:color w:val="auto"/>
          <w:sz w:val="24"/>
          <w:szCs w:val="24"/>
        </w:rPr>
        <w:t>正常运行，每天不定时巡视，及时发现安全隐患及损坏设备；第一时间上报图书馆相关领导，</w:t>
      </w:r>
      <w:r>
        <w:rPr>
          <w:rFonts w:hint="eastAsia" w:ascii="宋体" w:hAnsi="宋体" w:eastAsia="宋体" w:cs="宋体"/>
          <w:color w:val="auto"/>
          <w:sz w:val="24"/>
          <w:szCs w:val="24"/>
          <w:lang w:val="en-US" w:eastAsia="zh-CN"/>
        </w:rPr>
        <w:t>并</w:t>
      </w:r>
      <w:r>
        <w:rPr>
          <w:rFonts w:hint="eastAsia" w:ascii="宋体" w:hAnsi="宋体" w:eastAsia="宋体" w:cs="宋体"/>
          <w:color w:val="auto"/>
          <w:sz w:val="24"/>
          <w:szCs w:val="24"/>
        </w:rPr>
        <w:t>及时处理解决问题。</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物业小修具体包括：</w:t>
      </w:r>
    </w:p>
    <w:p>
      <w:pPr>
        <w:numPr>
          <w:ilvl w:val="0"/>
          <w:numId w:val="20"/>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卫生设备及配件；将残缺的配齐、有破损的及时维修。质量标准达到修缮后给排水畅通，各部位零件齐全、灵活有效、无跑、冒、漏、滴现象，确保正常使用。</w:t>
      </w:r>
    </w:p>
    <w:p>
      <w:pPr>
        <w:numPr>
          <w:ilvl w:val="0"/>
          <w:numId w:val="20"/>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配电设施包括：配电柜、配电箱、配电盘；质量标准达到元器件齐全，显示正常动作可靠，接地良好。</w:t>
      </w:r>
    </w:p>
    <w:p>
      <w:pPr>
        <w:numPr>
          <w:ilvl w:val="0"/>
          <w:numId w:val="20"/>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室内设备包括闸具、电源插座、开关、灯头；质量标准达到正常使用。</w:t>
      </w:r>
    </w:p>
    <w:p>
      <w:pPr>
        <w:numPr>
          <w:ilvl w:val="0"/>
          <w:numId w:val="20"/>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配电线路包括导线、支持物；质量标准达到良好完整可靠。</w:t>
      </w:r>
    </w:p>
    <w:p>
      <w:pPr>
        <w:numPr>
          <w:ilvl w:val="0"/>
          <w:numId w:val="20"/>
        </w:numPr>
        <w:spacing w:line="360" w:lineRule="auto"/>
        <w:ind w:firstLine="480" w:firstLineChars="200"/>
        <w:rPr>
          <w:rFonts w:hint="eastAsia" w:ascii="宋体" w:hAnsi="宋体" w:eastAsia="宋体" w:cs="宋体"/>
          <w:snapToGrid w:val="0"/>
          <w:color w:val="auto"/>
          <w:sz w:val="24"/>
          <w:szCs w:val="24"/>
          <w:lang w:val="en-US" w:eastAsia="zh-CN" w:bidi="ar-SA"/>
        </w:rPr>
      </w:pPr>
      <w:r>
        <w:rPr>
          <w:rFonts w:hint="eastAsia" w:ascii="宋体" w:hAnsi="宋体" w:eastAsia="宋体" w:cs="宋体"/>
          <w:snapToGrid w:val="0"/>
          <w:color w:val="auto"/>
          <w:sz w:val="24"/>
          <w:szCs w:val="24"/>
          <w:lang w:val="en-US" w:eastAsia="zh-CN" w:bidi="ar-SA"/>
        </w:rPr>
        <w:t>排水管道，检查井等包括楼房排污管道堵塞、排污不畅通；质量标准达到楼房排污管道经疏通后管道畅通，不滴水；井体、池体、井圈、井盖、池盖完好。</w:t>
      </w:r>
    </w:p>
    <w:p>
      <w:pPr>
        <w:numPr>
          <w:ilvl w:val="0"/>
          <w:numId w:val="20"/>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snapToGrid w:val="0"/>
          <w:color w:val="auto"/>
          <w:sz w:val="24"/>
          <w:szCs w:val="24"/>
          <w:lang w:val="en-US" w:eastAsia="zh-CN" w:bidi="ar-SA"/>
        </w:rPr>
        <w:t>检修门窗；钢木门窗松动、门窗扇开关不灵活、脱榫、槽朽、开焊、小五金缺损的及时修补；质量标准达到修缮后的钢木门窗开关灵活不松动，框与墙体结合牢固，五金齐全；玻璃装钉牢固，腻子饱满，窗纱紧绷，不露纱头。</w:t>
      </w:r>
    </w:p>
    <w:p>
      <w:pPr>
        <w:numPr>
          <w:ilvl w:val="0"/>
          <w:numId w:val="20"/>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空调设备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进行日常检查巡视，保证空调设备、设施处于良好状态，发现问题及时通知维保单位进行维修养护。</w:t>
      </w:r>
    </w:p>
    <w:p>
      <w:pPr>
        <w:numPr>
          <w:ilvl w:val="0"/>
          <w:numId w:val="20"/>
        </w:num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snapToGrid w:val="0"/>
          <w:color w:val="auto"/>
          <w:sz w:val="24"/>
          <w:szCs w:val="24"/>
          <w:lang w:val="en-US" w:eastAsia="zh-CN" w:bidi="ar-SA"/>
        </w:rPr>
        <w:t>供暖设备：供暖周期进度日常检查巡视，保证供暖设备处于良好状态，冒滴漏等情况简易应急处理。</w:t>
      </w:r>
    </w:p>
    <w:p>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）环境保洁服务</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负责</w:t>
      </w:r>
      <w:r>
        <w:rPr>
          <w:rFonts w:hint="eastAsia" w:ascii="宋体" w:hAnsi="宋体" w:eastAsia="宋体" w:cs="宋体"/>
          <w:color w:val="auto"/>
          <w:sz w:val="24"/>
          <w:szCs w:val="24"/>
        </w:rPr>
        <w:t>图书馆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总馆及少儿馆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大楼内的楼道、走廊、卫生间、会议室、多功能厅、外围（地）面、明沟、门、窗、灯具、等设施和器皿，所有公共部位设施，红线规划内的道路等所有公共场地及设施和门前三包"区域的日常保洁保养等红线规划范围内的所有环境卫生保洁。</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清洁服务时间：早上：7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val="en-US" w:eastAsia="zh-CN"/>
        </w:rPr>
        <w:t>11:30,13:30</w:t>
      </w:r>
      <w:r>
        <w:rPr>
          <w:rFonts w:hint="eastAsia" w:ascii="宋体" w:hAnsi="宋体" w:eastAsia="宋体" w:cs="宋体"/>
          <w:color w:val="auto"/>
          <w:sz w:val="24"/>
          <w:szCs w:val="24"/>
        </w:rPr>
        <w:t>--16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30</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服务标准：</w:t>
      </w:r>
    </w:p>
    <w:p>
      <w:pPr>
        <w:numPr>
          <w:ilvl w:val="0"/>
          <w:numId w:val="21"/>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常服务内容及标准达到地面、扶手、门窗玻璃、门及门窗框，附体、会议室座椅、各类宣传牌、橱窗及有关附体，消防楼梯区域等，及时清除各种垃圾等杂物，无积灰、印迹、污渍，雨天做好防滑工作和各种提示语。</w:t>
      </w:r>
    </w:p>
    <w:p>
      <w:pPr>
        <w:numPr>
          <w:ilvl w:val="0"/>
          <w:numId w:val="21"/>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各楼层等特定区域保洁服务内容及标准达到：地面、墙面、门窗玻璃、门及门窗框、墙壁附体，公用设施表面及卫生间。楼道地面严格按要求清洁、垃圾的收集及日常消杀工作，定点巡视，并随时保持清洁。</w:t>
      </w:r>
    </w:p>
    <w:p>
      <w:pPr>
        <w:numPr>
          <w:ilvl w:val="0"/>
          <w:numId w:val="21"/>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不锈钢保洁达到标准：包括所有不锈钢制品、设施、设备，除有明确规定的保洁要求外，至少每二个月用不锈钢油保养一次。不锈钢表面无污渍、无灰尘。</w:t>
      </w:r>
    </w:p>
    <w:p>
      <w:pPr>
        <w:numPr>
          <w:ilvl w:val="0"/>
          <w:numId w:val="21"/>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垃圾</w:t>
      </w:r>
      <w:r>
        <w:rPr>
          <w:rFonts w:hint="eastAsia" w:ascii="宋体" w:hAnsi="宋体" w:eastAsia="宋体" w:cs="宋体"/>
          <w:color w:val="auto"/>
          <w:sz w:val="24"/>
          <w:szCs w:val="24"/>
          <w:lang w:val="en-US" w:eastAsia="zh-CN"/>
        </w:rPr>
        <w:t>分类及清运</w:t>
      </w:r>
      <w:r>
        <w:rPr>
          <w:rFonts w:hint="eastAsia" w:ascii="宋体" w:hAnsi="宋体" w:eastAsia="宋体" w:cs="宋体"/>
          <w:color w:val="auto"/>
          <w:sz w:val="24"/>
          <w:szCs w:val="24"/>
        </w:rPr>
        <w:t>：垃圾箱、筒的垃圾存量不超过上缘，每日清理二次，垃圾不在筒箱内过夜。垃圾中转站工具摆放整齐，垃圾存量不超过三分之二且做到日产日清，定期清洗，每周消毒一次，无明显积水，无蚊蝇飞舞。垃圾清运工具应保持清洁无破损，清运过程中不得产生二次污染。各类垃圾运到规定的地方</w:t>
      </w:r>
      <w:r>
        <w:rPr>
          <w:rFonts w:hint="eastAsia" w:ascii="宋体" w:hAnsi="宋体" w:eastAsia="宋体" w:cs="宋体"/>
          <w:color w:val="auto"/>
          <w:sz w:val="24"/>
          <w:szCs w:val="24"/>
          <w:lang w:val="en-US" w:eastAsia="zh-CN"/>
        </w:rPr>
        <w:t>待清运单位集中处置</w:t>
      </w:r>
      <w:r>
        <w:rPr>
          <w:rFonts w:hint="eastAsia" w:ascii="宋体" w:hAnsi="宋体" w:eastAsia="宋体" w:cs="宋体"/>
          <w:color w:val="auto"/>
          <w:sz w:val="24"/>
          <w:szCs w:val="24"/>
        </w:rPr>
        <w:t>，其中公共区域、卫生间无堆积垃圾。</w:t>
      </w:r>
    </w:p>
    <w:p>
      <w:pPr>
        <w:numPr>
          <w:ilvl w:val="0"/>
          <w:numId w:val="21"/>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图书馆玻璃墙内侧每年2次清洁，无灰尘、表面无污渍、保持明亮。</w:t>
      </w:r>
    </w:p>
    <w:p>
      <w:pPr>
        <w:spacing w:line="360" w:lineRule="auto"/>
        <w:ind w:left="42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具体标准如下：</w:t>
      </w:r>
    </w:p>
    <w:tbl>
      <w:tblPr>
        <w:tblStyle w:val="32"/>
        <w:tblpPr w:leftFromText="180" w:rightFromText="180" w:vertAnchor="text" w:horzAnchor="page" w:tblpXSpec="center" w:tblpY="399"/>
        <w:tblOverlap w:val="never"/>
        <w:tblW w:w="851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0"/>
        <w:gridCol w:w="1460"/>
        <w:gridCol w:w="1825"/>
        <w:gridCol w:w="1825"/>
        <w:gridCol w:w="1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jc w:val="center"/>
        </w:trPr>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区域</w:t>
            </w: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项目</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工作内容</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标准</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保洁频率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楼层</w:t>
            </w: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楼梯及护栏</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除尘、清洁</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清洁无灰尘，不锈钢护栏光亮</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每日循环保洁、检查，发现污渍及时处理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标识牌（各类）</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无积灰</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每日清抹一次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消防栓</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无灰尘</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每周清抹一次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风口</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无积灰</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每季度冲洗一次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垃圾箱</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清除垃圾、外表抹净</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无垃圾满溢，无拖挂</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每日及时清洗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门框</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无灰尘、无手印、明亮</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循环保洁，每星期保洁一次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玻璃</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清洗</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无积灰、无划痕，明亮</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循环保洁，每年保洁两次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楼道装饰物</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无灰尘</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每日清抹一次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楼层地面</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除尘、清洁</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地面光洁、无污渍</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随时打扫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楼层墙面、墙裙</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清洗、除尘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无蜘蛛网、无悬挂、无积灰</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每月清洗一次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天花板、灯具</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清洗、除尘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无蜘蛛网、无悬挂、无积灰</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楼内绿植</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擦抹</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常规管理</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定期浇水、无积尘，每周一次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洗手间</w:t>
            </w: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尿斗、坐厕、面盆</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除污垢（用中性药剂）除锈斑、消毒</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无污垢、无积垢、清洁</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随时保持畅通，无漏水，无污垢，垃圾袋定时更换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水龙头</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抹净</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无水锈、无污渍</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循环保洁，每天清洁一次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镜面</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抹净</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无水迹、无污渍、明亮</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循环保洁，每天清洁二次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地面</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清洗、消毒</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无垃圾、无水迹、无污渍</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循环保洁，每天清洁一次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墙面</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无灰尘、无污渍</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循环保洁，每月整体清洁一次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门和门框</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无灰尘、无污渍</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循环保洁，每天清洁一次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台面</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抹净</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无水迹、无污渍</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循环保洁，每日清洗一次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废物箱</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清除垃圾、外表清洁</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无垃圾满溢、无污渍</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每日及时清洗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扶手、栏杆</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除尘、抹净</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无灰尘</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循环保洁，随时清抹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楼梯</w:t>
            </w: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外露管道</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无灰尘</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每星期清洁一次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地面</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清扫</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无垃圾、无杂物</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循环保洁，每天清洁一次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460" w:type="dxa"/>
            <w:vMerge w:val="restart"/>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外围</w:t>
            </w: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lang w:val="en-US" w:eastAsia="zh-CN"/>
              </w:rPr>
              <w:t>院内</w:t>
            </w:r>
            <w:r>
              <w:rPr>
                <w:rFonts w:hint="eastAsia" w:ascii="宋体" w:hAnsi="宋体" w:eastAsia="宋体" w:cs="宋体"/>
                <w:color w:val="auto"/>
              </w:rPr>
              <w:t>地面</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清扫</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整洁干净、无白色垃圾</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循环保洁，每天清洁2次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铺装路面</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清扫</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整洁干净、无白色垃圾</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循环巡视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jc w:val="center"/>
        </w:trPr>
        <w:tc>
          <w:tcPr>
            <w:tcW w:w="1460" w:type="dxa"/>
            <w:vMerge w:val="continue"/>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p>
        </w:tc>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lang w:val="en-US" w:eastAsia="zh-CN"/>
              </w:rPr>
              <w:t>车棚栏杆</w:t>
            </w:r>
            <w:r>
              <w:rPr>
                <w:rFonts w:hint="eastAsia" w:ascii="宋体" w:hAnsi="宋体" w:eastAsia="宋体" w:cs="宋体"/>
                <w:color w:val="auto"/>
              </w:rPr>
              <w:t>、旗杆、灯杆</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除尘、抹净</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无灰尘、无污渍</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循环保洁，每天一次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jc w:val="center"/>
        </w:trPr>
        <w:tc>
          <w:tcPr>
            <w:tcW w:w="1460"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其他</w:t>
            </w:r>
          </w:p>
        </w:tc>
        <w:tc>
          <w:tcPr>
            <w:tcW w:w="3285" w:type="dxa"/>
            <w:gridSpan w:val="2"/>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图书馆领导交办的临时性任务</w:t>
            </w:r>
          </w:p>
        </w:tc>
        <w:tc>
          <w:tcPr>
            <w:tcW w:w="1825"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随时</w:t>
            </w:r>
          </w:p>
        </w:tc>
        <w:tc>
          <w:tcPr>
            <w:tcW w:w="1947" w:type="dxa"/>
            <w:vAlign w:val="center"/>
          </w:tcPr>
          <w:p>
            <w:pPr>
              <w:keepNext w:val="0"/>
              <w:keepLines w:val="0"/>
              <w:pageBreakBefore w:val="0"/>
              <w:widowControl/>
              <w:kinsoku w:val="0"/>
              <w:wordWrap/>
              <w:overflowPunct/>
              <w:topLinePunct w:val="0"/>
              <w:autoSpaceDE w:val="0"/>
              <w:autoSpaceDN w:val="0"/>
              <w:bidi w:val="0"/>
              <w:adjustRightInd w:val="0"/>
              <w:snapToGrid w:val="0"/>
              <w:spacing w:line="300" w:lineRule="exact"/>
              <w:ind w:left="420"/>
              <w:textAlignment w:val="baseline"/>
              <w:rPr>
                <w:rFonts w:hint="eastAsia" w:ascii="宋体" w:hAnsi="宋体" w:eastAsia="宋体" w:cs="宋体"/>
                <w:color w:val="auto"/>
              </w:rPr>
            </w:pPr>
            <w:r>
              <w:rPr>
                <w:rFonts w:hint="eastAsia" w:ascii="宋体" w:hAnsi="宋体" w:eastAsia="宋体" w:cs="宋体"/>
                <w:color w:val="auto"/>
              </w:rPr>
              <w:t>按要求完成任务</w:t>
            </w:r>
          </w:p>
        </w:tc>
      </w:tr>
    </w:tbl>
    <w:p>
      <w:pPr>
        <w:pStyle w:val="2"/>
        <w:numPr>
          <w:ilvl w:val="0"/>
          <w:numId w:val="0"/>
        </w:numPr>
        <w:spacing w:before="156" w:beforeLines="50" w:after="156" w:afterLines="50"/>
        <w:ind w:firstLine="482" w:firstLineChars="200"/>
        <w:outlineLvl w:val="1"/>
        <w:rPr>
          <w:rFonts w:hint="default" w:ascii="宋体" w:eastAsia="宋体" w:cs="宋体"/>
          <w:b/>
          <w:color w:val="auto"/>
          <w:sz w:val="24"/>
          <w:szCs w:val="24"/>
          <w:lang w:val="en-US" w:eastAsia="zh-CN"/>
        </w:rPr>
      </w:pPr>
      <w:r>
        <w:rPr>
          <w:rFonts w:hint="eastAsia" w:ascii="宋体" w:eastAsia="宋体" w:cs="宋体"/>
          <w:b/>
          <w:color w:val="auto"/>
          <w:sz w:val="24"/>
          <w:szCs w:val="24"/>
          <w:lang w:eastAsia="zh-CN"/>
        </w:rPr>
        <w:t>（</w:t>
      </w:r>
      <w:r>
        <w:rPr>
          <w:rFonts w:hint="eastAsia" w:ascii="宋体" w:eastAsia="宋体" w:cs="宋体"/>
          <w:b/>
          <w:color w:val="auto"/>
          <w:sz w:val="24"/>
          <w:szCs w:val="24"/>
          <w:lang w:val="en-US" w:eastAsia="zh-CN"/>
        </w:rPr>
        <w:t>七</w:t>
      </w:r>
      <w:r>
        <w:rPr>
          <w:rFonts w:hint="eastAsia" w:ascii="宋体" w:eastAsia="宋体" w:cs="宋体"/>
          <w:b/>
          <w:color w:val="auto"/>
          <w:sz w:val="24"/>
          <w:szCs w:val="24"/>
          <w:lang w:eastAsia="zh-CN"/>
        </w:rPr>
        <w:t>）</w:t>
      </w:r>
      <w:r>
        <w:rPr>
          <w:rFonts w:hint="eastAsia" w:ascii="宋体" w:eastAsia="宋体" w:cs="宋体"/>
          <w:b/>
          <w:color w:val="auto"/>
          <w:sz w:val="24"/>
          <w:szCs w:val="24"/>
        </w:rPr>
        <w:t>安保服务</w:t>
      </w:r>
      <w:r>
        <w:rPr>
          <w:rFonts w:hint="eastAsia" w:ascii="宋体" w:eastAsia="宋体" w:cs="宋体"/>
          <w:b/>
          <w:color w:val="auto"/>
          <w:sz w:val="24"/>
          <w:szCs w:val="24"/>
          <w:lang w:val="en-US" w:eastAsia="zh-CN"/>
        </w:rPr>
        <w:t>及秩序维护</w:t>
      </w:r>
    </w:p>
    <w:p>
      <w:pPr>
        <w:pStyle w:val="2"/>
        <w:ind w:firstLineChars="200"/>
        <w:rPr>
          <w:rFonts w:ascii="宋体" w:eastAsia="宋体" w:cs="宋体"/>
          <w:color w:val="auto"/>
          <w:sz w:val="24"/>
          <w:szCs w:val="24"/>
        </w:rPr>
      </w:pPr>
      <w:r>
        <w:rPr>
          <w:rFonts w:hint="eastAsia" w:ascii="宋体" w:eastAsia="宋体" w:cs="宋体"/>
          <w:color w:val="auto"/>
          <w:sz w:val="24"/>
          <w:szCs w:val="24"/>
        </w:rPr>
        <w:t>乙方负责</w:t>
      </w:r>
      <w:r>
        <w:rPr>
          <w:rFonts w:hint="eastAsia" w:ascii="宋体" w:eastAsia="宋体" w:cs="宋体"/>
          <w:color w:val="auto"/>
          <w:sz w:val="24"/>
          <w:szCs w:val="24"/>
          <w:lang w:val="en-US" w:eastAsia="zh-CN"/>
        </w:rPr>
        <w:t>图书馆（总馆及少儿馆）</w:t>
      </w:r>
      <w:r>
        <w:rPr>
          <w:rFonts w:hint="eastAsia" w:ascii="宋体" w:eastAsia="宋体" w:cs="宋体"/>
          <w:color w:val="auto"/>
          <w:sz w:val="24"/>
          <w:szCs w:val="24"/>
        </w:rPr>
        <w:t>安保服务</w:t>
      </w:r>
      <w:r>
        <w:rPr>
          <w:rFonts w:hint="eastAsia" w:ascii="宋体" w:eastAsia="宋体" w:cs="宋体"/>
          <w:color w:val="auto"/>
          <w:sz w:val="24"/>
          <w:szCs w:val="24"/>
          <w:lang w:val="en-US" w:eastAsia="zh-CN"/>
        </w:rPr>
        <w:t>及文明秩序引导</w:t>
      </w:r>
      <w:r>
        <w:rPr>
          <w:rFonts w:hint="eastAsia" w:ascii="宋体" w:eastAsia="宋体" w:cs="宋体"/>
          <w:color w:val="auto"/>
          <w:sz w:val="24"/>
          <w:szCs w:val="24"/>
        </w:rPr>
        <w:t>，具体负责各出入口、微型消防站、公共区域日常安防、站岗巡逻、综合服务等职责。</w:t>
      </w:r>
    </w:p>
    <w:p>
      <w:pPr>
        <w:pStyle w:val="2"/>
        <w:numPr>
          <w:ilvl w:val="0"/>
          <w:numId w:val="0"/>
        </w:numPr>
        <w:ind w:leftChars="200"/>
        <w:rPr>
          <w:rFonts w:hint="default" w:ascii="宋体" w:eastAsia="宋体" w:cs="宋体"/>
          <w:b/>
          <w:bCs/>
          <w:color w:val="auto"/>
          <w:sz w:val="24"/>
          <w:szCs w:val="24"/>
          <w:lang w:val="en-US" w:eastAsia="zh-CN"/>
        </w:rPr>
      </w:pPr>
      <w:r>
        <w:rPr>
          <w:rFonts w:hint="eastAsia" w:ascii="宋体" w:eastAsia="宋体" w:cs="宋体"/>
          <w:b/>
          <w:bCs/>
          <w:color w:val="auto"/>
          <w:sz w:val="24"/>
          <w:szCs w:val="24"/>
          <w:lang w:val="en-US" w:eastAsia="zh-CN"/>
        </w:rPr>
        <w:t>1.保安人员</w:t>
      </w:r>
    </w:p>
    <w:p>
      <w:pPr>
        <w:pStyle w:val="2"/>
        <w:ind w:firstLineChars="200"/>
        <w:rPr>
          <w:rFonts w:ascii="宋体" w:eastAsia="宋体" w:cs="宋体"/>
          <w:color w:val="auto"/>
          <w:sz w:val="24"/>
          <w:szCs w:val="24"/>
        </w:rPr>
      </w:pPr>
      <w:r>
        <w:rPr>
          <w:rFonts w:hint="eastAsia" w:ascii="宋体" w:eastAsia="宋体" w:cs="宋体"/>
          <w:color w:val="auto"/>
          <w:sz w:val="24"/>
          <w:szCs w:val="24"/>
          <w:lang w:eastAsia="zh-CN"/>
        </w:rPr>
        <w:t>（</w:t>
      </w:r>
      <w:r>
        <w:rPr>
          <w:rFonts w:hint="eastAsia" w:ascii="宋体" w:eastAsia="宋体" w:cs="宋体"/>
          <w:color w:val="auto"/>
          <w:sz w:val="24"/>
          <w:szCs w:val="24"/>
          <w:lang w:val="en-US" w:eastAsia="zh-CN"/>
        </w:rPr>
        <w:t>1</w:t>
      </w:r>
      <w:r>
        <w:rPr>
          <w:rFonts w:hint="eastAsia" w:ascii="宋体" w:eastAsia="宋体" w:cs="宋体"/>
          <w:color w:val="auto"/>
          <w:sz w:val="24"/>
          <w:szCs w:val="24"/>
          <w:lang w:eastAsia="zh-CN"/>
        </w:rPr>
        <w:t>）</w:t>
      </w:r>
      <w:r>
        <w:rPr>
          <w:rFonts w:hint="eastAsia" w:ascii="宋体" w:eastAsia="宋体" w:cs="宋体"/>
          <w:color w:val="auto"/>
          <w:sz w:val="24"/>
          <w:szCs w:val="24"/>
          <w:lang w:val="en-US" w:eastAsia="zh-CN"/>
        </w:rPr>
        <w:t>工作职责：</w:t>
      </w:r>
      <w:r>
        <w:rPr>
          <w:rFonts w:hint="eastAsia" w:ascii="宋体" w:eastAsia="宋体" w:cs="宋体"/>
          <w:color w:val="auto"/>
          <w:sz w:val="24"/>
          <w:szCs w:val="24"/>
        </w:rPr>
        <w:t>负责具体安排及全面督导日常安全、综合服务工作，巡检现场安保服务情况，做好防电、防火、防盗、防破坏工作，防范和制止损害甲方安全的行为和事件发生，维护甲方的安全和秩序；及时处理甲方或服务方（客户）投诉，负责</w:t>
      </w:r>
      <w:r>
        <w:rPr>
          <w:rFonts w:hint="eastAsia" w:ascii="宋体" w:eastAsia="宋体" w:cs="宋体"/>
          <w:color w:val="auto"/>
          <w:sz w:val="24"/>
          <w:szCs w:val="24"/>
          <w:lang w:val="en-US" w:eastAsia="zh-CN"/>
        </w:rPr>
        <w:t>图书馆</w:t>
      </w:r>
      <w:r>
        <w:rPr>
          <w:rFonts w:hint="eastAsia" w:ascii="宋体" w:eastAsia="宋体" w:cs="宋体"/>
          <w:color w:val="auto"/>
          <w:sz w:val="24"/>
          <w:szCs w:val="24"/>
        </w:rPr>
        <w:t>的入馆流程；违禁检查；查验预约信息；政府各单位来访、各类检查的初步接待、大门内外的安全保障；突发应急事件的处置；门口安全检查；微型消防站；公共区域秩序维护；及时处理突发事件；极端天气应急处置、停车场出入管理、停车场秩序维护、停车场应急事件处置、及时处理车库车辆刮蹭事故等。并保持与甲方相关负责人的日常联系，以便于工作配合与协调。</w:t>
      </w:r>
    </w:p>
    <w:p>
      <w:pPr>
        <w:pStyle w:val="2"/>
        <w:numPr>
          <w:ilvl w:val="0"/>
          <w:numId w:val="0"/>
        </w:numPr>
        <w:ind w:firstLine="480" w:firstLineChars="200"/>
        <w:rPr>
          <w:rFonts w:hint="eastAsia" w:ascii="宋体" w:eastAsia="宋体" w:cs="宋体"/>
          <w:color w:val="auto"/>
          <w:sz w:val="24"/>
          <w:szCs w:val="24"/>
        </w:rPr>
      </w:pPr>
      <w:r>
        <w:rPr>
          <w:rFonts w:hint="eastAsia" w:ascii="宋体" w:eastAsia="宋体" w:cs="宋体"/>
          <w:b w:val="0"/>
          <w:bCs w:val="0"/>
          <w:color w:val="auto"/>
          <w:sz w:val="24"/>
          <w:szCs w:val="24"/>
          <w:lang w:val="en-US" w:eastAsia="zh-CN"/>
        </w:rPr>
        <w:t>（2）</w:t>
      </w:r>
      <w:r>
        <w:rPr>
          <w:rFonts w:hint="eastAsia" w:ascii="宋体" w:eastAsia="宋体" w:cs="宋体"/>
          <w:b w:val="0"/>
          <w:bCs w:val="0"/>
          <w:color w:val="auto"/>
          <w:sz w:val="24"/>
          <w:szCs w:val="24"/>
        </w:rPr>
        <w:t>服务标准</w:t>
      </w:r>
      <w:r>
        <w:rPr>
          <w:rFonts w:hint="eastAsia" w:ascii="宋体" w:eastAsia="宋体" w:cs="宋体"/>
          <w:b w:val="0"/>
          <w:bCs w:val="0"/>
          <w:color w:val="auto"/>
          <w:sz w:val="24"/>
          <w:szCs w:val="24"/>
          <w:lang w:eastAsia="zh-CN"/>
        </w:rPr>
        <w:t>：</w:t>
      </w:r>
      <w:r>
        <w:rPr>
          <w:rFonts w:hint="eastAsia" w:ascii="宋体" w:eastAsia="宋体" w:cs="宋体"/>
          <w:color w:val="auto"/>
          <w:sz w:val="24"/>
          <w:szCs w:val="24"/>
        </w:rPr>
        <w:t xml:space="preserve"> 派驻</w:t>
      </w:r>
      <w:r>
        <w:rPr>
          <w:rFonts w:hint="eastAsia" w:ascii="宋体" w:eastAsia="宋体" w:cs="宋体"/>
          <w:color w:val="auto"/>
          <w:sz w:val="24"/>
          <w:szCs w:val="24"/>
          <w:lang w:val="en-US" w:eastAsia="zh-CN"/>
        </w:rPr>
        <w:t>保安员</w:t>
      </w:r>
      <w:r>
        <w:rPr>
          <w:rFonts w:hint="eastAsia" w:ascii="宋体" w:eastAsia="宋体" w:cs="宋体"/>
          <w:color w:val="auto"/>
          <w:sz w:val="24"/>
          <w:szCs w:val="24"/>
        </w:rPr>
        <w:t>需为经过北京市公安机关认可的经统一培训、持有《保安人员资格证》的保安员，保安进场第一时间建立档案并提交《保安人员资格证》； 保安人员应礼貌服务，落实防火、防盗、防爆炸、防破坏等治安防范措施，发现执勤区域内的治安隐患，立即报告甲方单位和公安机关等主管部门，并协助予以处置</w:t>
      </w:r>
      <w:r>
        <w:rPr>
          <w:rFonts w:hint="eastAsia" w:ascii="宋体" w:eastAsia="宋体" w:cs="宋体"/>
          <w:color w:val="auto"/>
          <w:sz w:val="24"/>
          <w:szCs w:val="24"/>
          <w:lang w:eastAsia="zh-CN"/>
        </w:rPr>
        <w:t>；</w:t>
      </w:r>
      <w:r>
        <w:rPr>
          <w:rFonts w:hint="eastAsia" w:ascii="宋体" w:eastAsia="宋体" w:cs="宋体"/>
          <w:color w:val="auto"/>
          <w:sz w:val="24"/>
          <w:szCs w:val="24"/>
        </w:rPr>
        <w:t xml:space="preserve"> 按规定时间进行上岗及换岗，进行相关工作记录。</w:t>
      </w:r>
    </w:p>
    <w:p>
      <w:pPr>
        <w:pStyle w:val="2"/>
        <w:ind w:left="0" w:leftChars="0" w:firstLine="482" w:firstLineChars="200"/>
        <w:rPr>
          <w:rFonts w:hint="default" w:ascii="宋体" w:eastAsia="宋体" w:cs="宋体"/>
          <w:b/>
          <w:bCs/>
          <w:color w:val="auto"/>
          <w:sz w:val="24"/>
          <w:szCs w:val="24"/>
          <w:lang w:val="en-US" w:eastAsia="zh-CN"/>
        </w:rPr>
      </w:pPr>
      <w:r>
        <w:rPr>
          <w:rFonts w:hint="eastAsia" w:ascii="宋体" w:eastAsia="宋体" w:cs="宋体"/>
          <w:b/>
          <w:color w:val="auto"/>
          <w:sz w:val="24"/>
          <w:szCs w:val="24"/>
          <w:lang w:val="en-US" w:eastAsia="zh-CN"/>
        </w:rPr>
        <w:t>2.</w:t>
      </w:r>
      <w:r>
        <w:rPr>
          <w:rFonts w:hint="eastAsia" w:ascii="宋体" w:eastAsia="宋体" w:cs="宋体"/>
          <w:b/>
          <w:bCs/>
          <w:color w:val="auto"/>
          <w:sz w:val="24"/>
          <w:szCs w:val="24"/>
          <w:lang w:val="en-US" w:eastAsia="zh-CN"/>
        </w:rPr>
        <w:t>秩序维护及文明引导</w:t>
      </w:r>
    </w:p>
    <w:p>
      <w:pPr>
        <w:pStyle w:val="2"/>
        <w:ind w:left="0" w:leftChars="0" w:firstLine="480" w:firstLineChars="200"/>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t>（1）工作职责：图书馆（总馆及少儿馆）开放期间的文明秩序引导，制止读者在公共场所打闹、喧哗、饮食、吸烟、插队、（疫情流行期间）不正确佩戴口罩等不文明行为，以及非开放期间（夜间）安全巡查和值守。</w:t>
      </w:r>
    </w:p>
    <w:p>
      <w:pPr>
        <w:pStyle w:val="2"/>
        <w:ind w:left="0" w:leftChars="0" w:firstLine="480" w:firstLineChars="200"/>
        <w:rPr>
          <w:rFonts w:hint="eastAsia" w:ascii="宋体" w:eastAsia="宋体" w:cs="宋体"/>
          <w:color w:val="auto"/>
          <w:sz w:val="24"/>
          <w:szCs w:val="24"/>
          <w:lang w:val="en-US" w:eastAsia="zh-CN"/>
        </w:rPr>
      </w:pPr>
      <w:r>
        <w:rPr>
          <w:rFonts w:hint="eastAsia" w:ascii="宋体" w:eastAsia="宋体" w:cs="宋体"/>
          <w:color w:val="auto"/>
          <w:sz w:val="24"/>
          <w:szCs w:val="24"/>
          <w:lang w:val="en-US" w:eastAsia="zh-CN"/>
        </w:rPr>
        <w:t>（2）服务标准：具备较高的职业道德和职业素养，对不文明行为要有较高的敏感性和较好的策略性，服务热情主动、礼貌待人，文明执勤。</w:t>
      </w:r>
    </w:p>
    <w:p>
      <w:pPr>
        <w:pStyle w:val="2"/>
        <w:ind w:left="0" w:leftChars="0" w:firstLine="482" w:firstLineChars="200"/>
        <w:rPr>
          <w:rFonts w:hint="eastAsia" w:ascii="宋体" w:eastAsia="宋体" w:cs="宋体"/>
          <w:b/>
          <w:bCs/>
          <w:color w:val="auto"/>
          <w:sz w:val="24"/>
          <w:szCs w:val="24"/>
          <w:lang w:val="en-US" w:eastAsia="zh-CN"/>
        </w:rPr>
      </w:pPr>
    </w:p>
    <w:p>
      <w:pPr>
        <w:pStyle w:val="2"/>
        <w:ind w:left="0" w:leftChars="0" w:firstLine="482" w:firstLineChars="200"/>
        <w:rPr>
          <w:rFonts w:hint="default" w:ascii="宋体" w:eastAsia="宋体" w:cs="宋体"/>
          <w:b/>
          <w:bCs/>
          <w:color w:val="auto"/>
          <w:sz w:val="24"/>
          <w:szCs w:val="24"/>
          <w:lang w:val="en-US" w:eastAsia="zh-CN"/>
        </w:rPr>
      </w:pPr>
      <w:r>
        <w:rPr>
          <w:rFonts w:hint="eastAsia" w:ascii="宋体" w:eastAsia="宋体" w:cs="宋体"/>
          <w:b/>
          <w:bCs/>
          <w:color w:val="auto"/>
          <w:sz w:val="24"/>
          <w:szCs w:val="24"/>
          <w:lang w:val="en-US" w:eastAsia="zh-CN"/>
        </w:rPr>
        <w:t>（八）应急处置工作</w:t>
      </w:r>
    </w:p>
    <w:p>
      <w:pPr>
        <w:pStyle w:val="2"/>
        <w:tabs>
          <w:tab w:val="left" w:pos="630"/>
        </w:tabs>
        <w:ind w:left="0" w:leftChars="0" w:firstLine="480" w:firstLineChars="200"/>
        <w:rPr>
          <w:rFonts w:hint="eastAsia" w:ascii="宋体" w:eastAsia="宋体" w:cs="宋体"/>
          <w:color w:val="auto"/>
          <w:sz w:val="24"/>
          <w:szCs w:val="24"/>
          <w:lang w:eastAsia="zh-CN"/>
        </w:rPr>
      </w:pPr>
      <w:r>
        <w:rPr>
          <w:rFonts w:hint="eastAsia" w:ascii="宋体" w:eastAsia="宋体" w:cs="宋体"/>
          <w:color w:val="auto"/>
          <w:sz w:val="24"/>
          <w:szCs w:val="24"/>
          <w:lang w:val="en-US" w:eastAsia="zh-CN"/>
        </w:rPr>
        <w:t>1.</w:t>
      </w:r>
      <w:r>
        <w:rPr>
          <w:rFonts w:hint="eastAsia" w:ascii="宋体" w:eastAsia="宋体" w:cs="宋体"/>
          <w:color w:val="auto"/>
          <w:sz w:val="24"/>
          <w:szCs w:val="24"/>
        </w:rPr>
        <w:t>面对</w:t>
      </w:r>
      <w:r>
        <w:rPr>
          <w:rFonts w:hint="eastAsia" w:ascii="宋体" w:eastAsia="宋体" w:cs="宋体"/>
          <w:color w:val="auto"/>
          <w:sz w:val="24"/>
          <w:szCs w:val="24"/>
          <w:lang w:val="en-US" w:eastAsia="zh-CN"/>
        </w:rPr>
        <w:t>图书馆开放过程中及设备设施运行中</w:t>
      </w:r>
      <w:r>
        <w:rPr>
          <w:rFonts w:hint="eastAsia" w:ascii="宋体" w:eastAsia="宋体" w:cs="宋体"/>
          <w:color w:val="auto"/>
          <w:sz w:val="24"/>
          <w:szCs w:val="24"/>
        </w:rPr>
        <w:t>可能发生的各类</w:t>
      </w:r>
      <w:r>
        <w:rPr>
          <w:rFonts w:hint="eastAsia" w:ascii="宋体" w:eastAsia="宋体" w:cs="宋体"/>
          <w:color w:val="auto"/>
          <w:sz w:val="24"/>
          <w:szCs w:val="24"/>
          <w:lang w:val="en-US" w:eastAsia="zh-CN"/>
        </w:rPr>
        <w:t>突发紧急事件，</w:t>
      </w:r>
      <w:r>
        <w:rPr>
          <w:rFonts w:hint="eastAsia" w:ascii="宋体" w:eastAsia="宋体" w:cs="宋体"/>
          <w:color w:val="auto"/>
          <w:sz w:val="24"/>
          <w:szCs w:val="24"/>
        </w:rPr>
        <w:t>建立科学、完善、可行的《突发</w:t>
      </w:r>
      <w:r>
        <w:rPr>
          <w:rFonts w:hint="eastAsia" w:ascii="宋体" w:eastAsia="宋体" w:cs="宋体"/>
          <w:color w:val="auto"/>
          <w:sz w:val="24"/>
          <w:szCs w:val="24"/>
          <w:lang w:val="en-US" w:eastAsia="zh-CN"/>
        </w:rPr>
        <w:t>事件</w:t>
      </w:r>
      <w:r>
        <w:rPr>
          <w:rFonts w:hint="eastAsia" w:ascii="宋体" w:eastAsia="宋体" w:cs="宋体"/>
          <w:color w:val="auto"/>
          <w:sz w:val="24"/>
          <w:szCs w:val="24"/>
        </w:rPr>
        <w:t>应急处理预案》</w:t>
      </w:r>
      <w:r>
        <w:rPr>
          <w:rFonts w:hint="eastAsia" w:ascii="宋体" w:eastAsia="宋体" w:cs="宋体"/>
          <w:color w:val="auto"/>
          <w:sz w:val="24"/>
          <w:szCs w:val="24"/>
          <w:lang w:val="en-US" w:eastAsia="zh-CN"/>
        </w:rPr>
        <w:t>和应急处置流程图，关键环节责任到人</w:t>
      </w:r>
      <w:r>
        <w:rPr>
          <w:rFonts w:hint="eastAsia" w:ascii="宋体" w:eastAsia="宋体" w:cs="宋体"/>
          <w:color w:val="auto"/>
          <w:sz w:val="24"/>
          <w:szCs w:val="24"/>
          <w:lang w:eastAsia="zh-CN"/>
        </w:rPr>
        <w:t>。</w:t>
      </w:r>
    </w:p>
    <w:p>
      <w:pPr>
        <w:pStyle w:val="2"/>
        <w:tabs>
          <w:tab w:val="left" w:pos="630"/>
        </w:tabs>
        <w:ind w:left="0" w:leftChars="0" w:firstLine="480" w:firstLineChars="200"/>
        <w:rPr>
          <w:rFonts w:ascii="宋体" w:eastAsia="宋体" w:cs="宋体"/>
          <w:color w:val="auto"/>
          <w:sz w:val="24"/>
          <w:szCs w:val="24"/>
        </w:rPr>
      </w:pPr>
      <w:r>
        <w:rPr>
          <w:rFonts w:hint="eastAsia" w:ascii="宋体" w:eastAsia="宋体" w:cs="宋体"/>
          <w:color w:val="auto"/>
          <w:sz w:val="24"/>
          <w:szCs w:val="24"/>
          <w:lang w:val="en-US" w:eastAsia="zh-CN"/>
        </w:rPr>
        <w:t>2.</w:t>
      </w:r>
      <w:r>
        <w:rPr>
          <w:rFonts w:hint="eastAsia" w:ascii="宋体" w:eastAsia="宋体" w:cs="宋体"/>
          <w:color w:val="auto"/>
          <w:sz w:val="24"/>
          <w:szCs w:val="24"/>
        </w:rPr>
        <w:t xml:space="preserve"> 针对《突发</w:t>
      </w:r>
      <w:r>
        <w:rPr>
          <w:rFonts w:hint="eastAsia" w:ascii="宋体" w:eastAsia="宋体" w:cs="宋体"/>
          <w:color w:val="auto"/>
          <w:sz w:val="24"/>
          <w:szCs w:val="24"/>
          <w:lang w:val="en-US" w:eastAsia="zh-CN"/>
        </w:rPr>
        <w:t>事件</w:t>
      </w:r>
      <w:r>
        <w:rPr>
          <w:rFonts w:hint="eastAsia" w:ascii="宋体" w:eastAsia="宋体" w:cs="宋体"/>
          <w:color w:val="auto"/>
          <w:sz w:val="24"/>
          <w:szCs w:val="24"/>
        </w:rPr>
        <w:t>应急处理预案》制定相应的培训、演练计划，使所有的在岗员工都能够熟悉预案内容，培训后应留有相应的培训记录；</w:t>
      </w:r>
    </w:p>
    <w:p>
      <w:pPr>
        <w:pStyle w:val="2"/>
        <w:tabs>
          <w:tab w:val="left" w:pos="630"/>
        </w:tabs>
        <w:ind w:firstLineChars="200"/>
        <w:rPr>
          <w:rFonts w:hint="eastAsia" w:ascii="宋体" w:eastAsia="宋体" w:cs="宋体"/>
          <w:color w:val="auto"/>
          <w:sz w:val="24"/>
          <w:szCs w:val="24"/>
        </w:rPr>
      </w:pPr>
      <w:r>
        <w:rPr>
          <w:rFonts w:hint="eastAsia" w:ascii="宋体" w:eastAsia="宋体" w:cs="宋体"/>
          <w:color w:val="auto"/>
          <w:sz w:val="24"/>
          <w:szCs w:val="24"/>
          <w:lang w:val="en-US" w:eastAsia="zh-CN"/>
        </w:rPr>
        <w:t>3.</w:t>
      </w:r>
      <w:r>
        <w:rPr>
          <w:rFonts w:hint="eastAsia" w:ascii="宋体" w:eastAsia="宋体" w:cs="宋体"/>
          <w:color w:val="auto"/>
          <w:sz w:val="24"/>
          <w:szCs w:val="24"/>
        </w:rPr>
        <w:t>建立事故报告制度，对于已发生的事故应在24小时内提供书面的《事故报告》，报告内容应包括：</w:t>
      </w:r>
      <w:r>
        <w:rPr>
          <w:rFonts w:hint="eastAsia" w:ascii="宋体" w:eastAsia="宋体" w:cs="宋体"/>
          <w:color w:val="auto"/>
          <w:sz w:val="24"/>
          <w:szCs w:val="24"/>
          <w:lang w:val="en-US" w:eastAsia="zh-CN"/>
        </w:rPr>
        <w:t>事件</w:t>
      </w:r>
      <w:r>
        <w:rPr>
          <w:rFonts w:hint="eastAsia" w:ascii="宋体" w:eastAsia="宋体" w:cs="宋体"/>
          <w:color w:val="auto"/>
          <w:sz w:val="24"/>
          <w:szCs w:val="24"/>
        </w:rPr>
        <w:t>经过、采取措施、 原因分析、整改措施、整改完成日期等。</w:t>
      </w:r>
    </w:p>
    <w:p>
      <w:pPr>
        <w:pStyle w:val="2"/>
        <w:numPr>
          <w:ilvl w:val="0"/>
          <w:numId w:val="0"/>
        </w:numPr>
        <w:spacing w:before="156" w:beforeLines="50" w:after="156" w:afterLines="50"/>
        <w:ind w:firstLine="482" w:firstLineChars="200"/>
        <w:outlineLvl w:val="1"/>
        <w:rPr>
          <w:rFonts w:hint="eastAsia" w:ascii="宋体" w:eastAsia="宋体" w:cs="宋体"/>
          <w:b/>
          <w:color w:val="auto"/>
          <w:sz w:val="24"/>
          <w:szCs w:val="24"/>
          <w:lang w:val="en-US" w:eastAsia="zh-CN"/>
        </w:rPr>
      </w:pPr>
      <w:r>
        <w:rPr>
          <w:rFonts w:hint="eastAsia" w:ascii="宋体" w:eastAsia="宋体" w:cs="宋体"/>
          <w:b/>
          <w:color w:val="auto"/>
          <w:sz w:val="24"/>
          <w:szCs w:val="24"/>
          <w:lang w:val="en-US" w:eastAsia="zh-CN"/>
        </w:rPr>
        <w:t>四、付款方式</w:t>
      </w:r>
    </w:p>
    <w:p>
      <w:pPr>
        <w:keepNext w:val="0"/>
        <w:keepLines w:val="0"/>
        <w:pageBreakBefore w:val="0"/>
        <w:widowControl w:val="0"/>
        <w:numPr>
          <w:ilvl w:val="0"/>
          <w:numId w:val="0"/>
        </w:numPr>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lang w:val="en-US" w:eastAsia="zh-CN"/>
        </w:rPr>
      </w:pPr>
      <w:r>
        <w:rPr>
          <w:rFonts w:hint="eastAsia" w:ascii="宋体" w:hAnsi="宋体" w:eastAsia="宋体" w:cs="宋体"/>
          <w:sz w:val="24"/>
          <w:szCs w:val="24"/>
        </w:rPr>
        <w:t>甲乙双方约定合同签订后</w:t>
      </w:r>
      <w:r>
        <w:rPr>
          <w:rFonts w:hint="eastAsia" w:ascii="宋体" w:hAnsi="宋体" w:eastAsia="宋体" w:cs="宋体"/>
          <w:sz w:val="24"/>
          <w:szCs w:val="24"/>
          <w:lang w:val="en-US" w:eastAsia="zh-CN"/>
        </w:rPr>
        <w:t>七个工作日内</w:t>
      </w:r>
      <w:r>
        <w:rPr>
          <w:rFonts w:hint="eastAsia" w:ascii="宋体" w:hAnsi="宋体" w:eastAsia="宋体" w:cs="宋体"/>
          <w:sz w:val="24"/>
          <w:szCs w:val="24"/>
        </w:rPr>
        <w:t>，</w:t>
      </w:r>
      <w:r>
        <w:rPr>
          <w:rFonts w:hint="eastAsia" w:ascii="宋体" w:hAnsi="宋体" w:eastAsia="宋体" w:cs="宋体"/>
          <w:sz w:val="24"/>
          <w:szCs w:val="24"/>
          <w:lang w:val="en-US" w:eastAsia="zh-CN"/>
        </w:rPr>
        <w:t>甲方支付首笔物业管理服务费（约占合同总额60%），20</w:t>
      </w:r>
      <w:r>
        <w:rPr>
          <w:rFonts w:hint="eastAsia" w:ascii="宋体" w:hAnsi="宋体" w:cs="宋体"/>
          <w:sz w:val="24"/>
          <w:szCs w:val="24"/>
          <w:lang w:val="en-US" w:eastAsia="zh-CN"/>
        </w:rPr>
        <w:t>24</w:t>
      </w:r>
      <w:r>
        <w:rPr>
          <w:rFonts w:hint="eastAsia" w:ascii="宋体" w:hAnsi="宋体" w:eastAsia="宋体" w:cs="宋体"/>
          <w:sz w:val="24"/>
          <w:szCs w:val="24"/>
          <w:lang w:val="en-US" w:eastAsia="zh-CN"/>
        </w:rPr>
        <w:t>年7月1日前，乙方支付约定费用总额的5%作为履约保证金，甲方支付乙方第二笔物业服务费（约占合同总额40%），待服务期满后，乙方服务符合本项目约定及甲方要求的，甲方于2025年1月15日前无息返还履约保证金。</w:t>
      </w:r>
    </w:p>
    <w:p>
      <w:pPr>
        <w:pStyle w:val="2"/>
        <w:numPr>
          <w:ilvl w:val="0"/>
          <w:numId w:val="0"/>
        </w:numPr>
        <w:spacing w:before="156" w:beforeLines="50" w:after="156" w:afterLines="50"/>
        <w:ind w:firstLine="482" w:firstLineChars="200"/>
        <w:outlineLvl w:val="1"/>
        <w:rPr>
          <w:rFonts w:hint="eastAsia" w:ascii="宋体" w:eastAsia="宋体" w:cs="宋体"/>
          <w:b/>
          <w:color w:val="auto"/>
          <w:sz w:val="24"/>
          <w:szCs w:val="24"/>
          <w:lang w:val="en-US" w:eastAsia="zh-CN"/>
        </w:rPr>
      </w:pPr>
    </w:p>
    <w:p>
      <w:pPr>
        <w:pStyle w:val="2"/>
        <w:tabs>
          <w:tab w:val="left" w:pos="630"/>
        </w:tabs>
        <w:ind w:firstLineChars="200"/>
        <w:rPr>
          <w:rFonts w:hint="eastAsia" w:ascii="宋体" w:eastAsia="宋体" w:cs="宋体"/>
          <w:color w:val="auto"/>
          <w:sz w:val="24"/>
          <w:szCs w:val="24"/>
        </w:rPr>
      </w:pPr>
    </w:p>
    <w:p>
      <w:pPr>
        <w:pStyle w:val="34"/>
        <w:rPr>
          <w:rFonts w:hint="eastAsia"/>
          <w:b/>
          <w:bCs/>
          <w:color w:val="auto"/>
          <w:sz w:val="24"/>
          <w:szCs w:val="24"/>
        </w:rPr>
      </w:pPr>
    </w:p>
    <w:p>
      <w:pPr>
        <w:pStyle w:val="34"/>
        <w:rPr>
          <w:rFonts w:hint="eastAsia"/>
          <w:b/>
          <w:bCs/>
          <w:color w:val="auto"/>
          <w:sz w:val="24"/>
          <w:szCs w:val="24"/>
        </w:rPr>
      </w:pPr>
    </w:p>
    <w:p>
      <w:pPr>
        <w:pStyle w:val="34"/>
        <w:rPr>
          <w:rFonts w:hint="eastAsia"/>
          <w:b/>
          <w:bCs/>
          <w:color w:val="auto"/>
          <w:sz w:val="24"/>
          <w:szCs w:val="24"/>
        </w:rPr>
      </w:pPr>
    </w:p>
    <w:p>
      <w:pPr>
        <w:pStyle w:val="34"/>
        <w:rPr>
          <w:rFonts w:hint="eastAsia"/>
          <w:b/>
          <w:bCs/>
          <w:color w:val="auto"/>
          <w:sz w:val="24"/>
          <w:szCs w:val="24"/>
        </w:rPr>
      </w:pPr>
    </w:p>
    <w:p>
      <w:pPr>
        <w:pStyle w:val="34"/>
        <w:rPr>
          <w:rFonts w:hint="eastAsia"/>
          <w:b/>
          <w:bCs/>
          <w:color w:val="auto"/>
          <w:sz w:val="24"/>
          <w:szCs w:val="24"/>
        </w:rPr>
      </w:pPr>
    </w:p>
    <w:p>
      <w:pPr>
        <w:pStyle w:val="34"/>
        <w:rPr>
          <w:rFonts w:hint="eastAsia"/>
          <w:b/>
          <w:bCs/>
          <w:color w:val="auto"/>
          <w:sz w:val="24"/>
          <w:szCs w:val="24"/>
        </w:rPr>
      </w:pPr>
    </w:p>
    <w:bookmarkEnd w:id="58"/>
    <w:bookmarkEnd w:id="59"/>
    <w:bookmarkEnd w:id="60"/>
    <w:p>
      <w:pPr>
        <w:pStyle w:val="49"/>
        <w:snapToGrid w:val="0"/>
        <w:spacing w:before="0" w:after="0"/>
        <w:ind w:left="0"/>
        <w:rPr>
          <w:rFonts w:ascii="宋体" w:hAnsi="宋体"/>
          <w:color w:val="auto"/>
        </w:rPr>
      </w:pPr>
      <w:bookmarkStart w:id="61"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1"/>
    </w:p>
    <w:p>
      <w:pPr>
        <w:pStyle w:val="2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有效的营业执照副</w:t>
            </w:r>
            <w:r>
              <w:rPr>
                <w:rFonts w:hint="eastAsia" w:ascii="宋体" w:hAnsi="宋体" w:cs="宋体"/>
                <w:color w:val="auto"/>
                <w:kern w:val="0"/>
                <w:sz w:val="24"/>
                <w:szCs w:val="24"/>
                <w:lang w:eastAsia="zh-CN" w:bidi="ar"/>
              </w:rPr>
              <w:t>本扫描件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22"/>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2"/>
        <w:tblW w:w="93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1241"/>
        <w:gridCol w:w="1896"/>
        <w:gridCol w:w="845"/>
        <w:gridCol w:w="4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276" w:lineRule="auto"/>
              <w:jc w:val="center"/>
              <w:rPr>
                <w:rFonts w:ascii="宋体" w:hAnsi="宋体"/>
                <w:b/>
                <w:bCs/>
                <w:szCs w:val="21"/>
              </w:rPr>
            </w:pPr>
            <w:r>
              <w:rPr>
                <w:rFonts w:ascii="宋体" w:hAnsi="宋体"/>
                <w:b/>
                <w:bCs/>
                <w:szCs w:val="21"/>
              </w:rPr>
              <w:t>序号</w:t>
            </w:r>
          </w:p>
        </w:tc>
        <w:tc>
          <w:tcPr>
            <w:tcW w:w="1241" w:type="dxa"/>
            <w:vAlign w:val="center"/>
          </w:tcPr>
          <w:p>
            <w:pPr>
              <w:widowControl/>
              <w:spacing w:line="276" w:lineRule="auto"/>
              <w:jc w:val="center"/>
              <w:rPr>
                <w:rFonts w:ascii="宋体" w:hAnsi="宋体"/>
                <w:b/>
                <w:bCs/>
                <w:szCs w:val="21"/>
              </w:rPr>
            </w:pPr>
            <w:r>
              <w:rPr>
                <w:rFonts w:ascii="宋体" w:hAnsi="宋体"/>
                <w:b/>
                <w:bCs/>
                <w:szCs w:val="21"/>
              </w:rPr>
              <w:t>评分因素</w:t>
            </w:r>
          </w:p>
        </w:tc>
        <w:tc>
          <w:tcPr>
            <w:tcW w:w="7592" w:type="dxa"/>
            <w:gridSpan w:val="3"/>
            <w:vAlign w:val="center"/>
          </w:tcPr>
          <w:p>
            <w:pPr>
              <w:widowControl/>
              <w:spacing w:line="276" w:lineRule="auto"/>
              <w:jc w:val="center"/>
              <w:rPr>
                <w:rFonts w:ascii="宋体" w:hAnsi="宋体"/>
                <w:b/>
                <w:bCs/>
                <w:szCs w:val="21"/>
              </w:rPr>
            </w:pPr>
            <w:r>
              <w:rPr>
                <w:rFonts w:ascii="宋体" w:hAnsi="宋体"/>
                <w:b/>
                <w:bCs/>
                <w:szCs w:val="21"/>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276" w:lineRule="auto"/>
              <w:jc w:val="center"/>
              <w:rPr>
                <w:rFonts w:hint="eastAsia" w:ascii="宋体" w:hAnsi="宋体"/>
                <w:b/>
                <w:bCs/>
                <w:szCs w:val="21"/>
              </w:rPr>
            </w:pPr>
            <w:r>
              <w:rPr>
                <w:rFonts w:hint="eastAsia" w:ascii="宋体" w:hAnsi="宋体"/>
                <w:b/>
                <w:bCs/>
                <w:szCs w:val="21"/>
              </w:rPr>
              <w:t>1</w:t>
            </w:r>
          </w:p>
        </w:tc>
        <w:tc>
          <w:tcPr>
            <w:tcW w:w="1241" w:type="dxa"/>
            <w:vAlign w:val="center"/>
          </w:tcPr>
          <w:p>
            <w:pPr>
              <w:widowControl/>
              <w:spacing w:line="276" w:lineRule="auto"/>
              <w:jc w:val="center"/>
              <w:rPr>
                <w:rFonts w:ascii="宋体" w:hAnsi="宋体"/>
                <w:b/>
                <w:bCs/>
                <w:szCs w:val="21"/>
              </w:rPr>
            </w:pPr>
            <w:r>
              <w:rPr>
                <w:rFonts w:hint="eastAsia" w:ascii="宋体" w:hAnsi="宋体"/>
                <w:szCs w:val="21"/>
              </w:rPr>
              <w:t>投标报价</w:t>
            </w:r>
            <w:r>
              <w:rPr>
                <w:rFonts w:ascii="宋体" w:hAnsi="宋体"/>
                <w:szCs w:val="21"/>
              </w:rPr>
              <w:t>（10分）</w:t>
            </w:r>
          </w:p>
        </w:tc>
        <w:tc>
          <w:tcPr>
            <w:tcW w:w="7592" w:type="dxa"/>
            <w:gridSpan w:val="3"/>
            <w:vAlign w:val="center"/>
          </w:tcPr>
          <w:p>
            <w:pPr>
              <w:pStyle w:val="9"/>
              <w:rPr>
                <w:rFonts w:hint="eastAsia"/>
              </w:rPr>
            </w:pPr>
            <w:r>
              <w:rPr>
                <w:rFonts w:hint="eastAsia"/>
              </w:rPr>
              <w:t>各投标人的价格得分：（评标基准价/评标价）×价格权重（10%）×100</w:t>
            </w:r>
          </w:p>
          <w:p>
            <w:pPr>
              <w:pStyle w:val="9"/>
              <w:rPr>
                <w:rFonts w:hint="eastAsia"/>
              </w:rPr>
            </w:pPr>
            <w:r>
              <w:rPr>
                <w:rFonts w:hint="eastAsia"/>
              </w:rPr>
              <w:t>（注：1.实质性响应招标文件要求且最低评标价为评标基准价</w:t>
            </w:r>
          </w:p>
          <w:p>
            <w:pPr>
              <w:pStyle w:val="9"/>
              <w:rPr>
                <w:rFonts w:hint="eastAsia" w:ascii="宋体" w:hAnsi="宋体"/>
                <w:szCs w:val="21"/>
              </w:rPr>
            </w:pPr>
            <w:r>
              <w:rPr>
                <w:rFonts w:hint="eastAsia"/>
              </w:rPr>
              <w:t>2.投标人报价低于成本的除外。）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2" w:hRule="atLeast"/>
          <w:jc w:val="center"/>
        </w:trPr>
        <w:tc>
          <w:tcPr>
            <w:tcW w:w="553" w:type="dxa"/>
            <w:vMerge w:val="restart"/>
            <w:vAlign w:val="center"/>
          </w:tcPr>
          <w:p>
            <w:pPr>
              <w:widowControl/>
              <w:spacing w:line="340" w:lineRule="exact"/>
              <w:jc w:val="center"/>
              <w:rPr>
                <w:rFonts w:ascii="宋体" w:hAnsi="宋体"/>
                <w:szCs w:val="21"/>
              </w:rPr>
            </w:pPr>
            <w:r>
              <w:rPr>
                <w:rFonts w:ascii="宋体" w:hAnsi="宋体"/>
                <w:szCs w:val="21"/>
              </w:rPr>
              <w:t>2</w:t>
            </w:r>
          </w:p>
        </w:tc>
        <w:tc>
          <w:tcPr>
            <w:tcW w:w="1241" w:type="dxa"/>
            <w:vMerge w:val="restart"/>
            <w:vAlign w:val="center"/>
          </w:tcPr>
          <w:p>
            <w:pPr>
              <w:widowControl/>
              <w:spacing w:line="340" w:lineRule="exact"/>
              <w:jc w:val="center"/>
              <w:rPr>
                <w:rFonts w:ascii="宋体" w:hAnsi="宋体"/>
                <w:szCs w:val="21"/>
              </w:rPr>
            </w:pPr>
            <w:r>
              <w:rPr>
                <w:rFonts w:hint="eastAsia" w:ascii="宋体" w:hAnsi="宋体"/>
                <w:szCs w:val="21"/>
              </w:rPr>
              <w:t>服务方案</w:t>
            </w:r>
            <w:r>
              <w:rPr>
                <w:rFonts w:ascii="宋体" w:hAnsi="宋体"/>
                <w:szCs w:val="21"/>
              </w:rPr>
              <w:t>（</w:t>
            </w:r>
            <w:r>
              <w:rPr>
                <w:rFonts w:hint="eastAsia" w:ascii="宋体" w:hAnsi="宋体"/>
                <w:szCs w:val="21"/>
                <w:lang w:val="en-US" w:eastAsia="zh-CN"/>
              </w:rPr>
              <w:t>65</w:t>
            </w:r>
            <w:r>
              <w:rPr>
                <w:rFonts w:ascii="宋体" w:hAnsi="宋体"/>
                <w:szCs w:val="21"/>
              </w:rPr>
              <w:t>分）</w:t>
            </w:r>
          </w:p>
        </w:tc>
        <w:tc>
          <w:tcPr>
            <w:tcW w:w="1896" w:type="dxa"/>
            <w:vAlign w:val="center"/>
          </w:tcPr>
          <w:p>
            <w:pPr>
              <w:spacing w:line="340" w:lineRule="exact"/>
              <w:jc w:val="center"/>
              <w:rPr>
                <w:rFonts w:ascii="宋体" w:hAnsi="宋体"/>
                <w:szCs w:val="21"/>
              </w:rPr>
            </w:pPr>
            <w:r>
              <w:rPr>
                <w:rFonts w:hint="eastAsia" w:ascii="宋体" w:hAnsi="宋体"/>
                <w:position w:val="-1"/>
                <w:szCs w:val="21"/>
              </w:rPr>
              <w:t>项目服务特点、难点分析及相应措施</w:t>
            </w:r>
          </w:p>
        </w:tc>
        <w:tc>
          <w:tcPr>
            <w:tcW w:w="845" w:type="dxa"/>
            <w:vAlign w:val="center"/>
          </w:tcPr>
          <w:p>
            <w:pPr>
              <w:spacing w:line="340" w:lineRule="exact"/>
              <w:jc w:val="center"/>
              <w:rPr>
                <w:rFonts w:ascii="宋体" w:hAnsi="宋体"/>
                <w:szCs w:val="21"/>
              </w:rPr>
            </w:pPr>
            <w:r>
              <w:rPr>
                <w:rFonts w:hint="eastAsia" w:ascii="宋体" w:hAnsi="宋体"/>
                <w:szCs w:val="21"/>
                <w:lang w:val="en-US" w:eastAsia="zh-CN"/>
              </w:rPr>
              <w:t>10</w:t>
            </w:r>
            <w:r>
              <w:rPr>
                <w:rFonts w:hint="eastAsia" w:ascii="宋体" w:hAnsi="宋体"/>
                <w:szCs w:val="21"/>
              </w:rPr>
              <w:t>分</w:t>
            </w:r>
          </w:p>
        </w:tc>
        <w:tc>
          <w:tcPr>
            <w:tcW w:w="4851" w:type="dxa"/>
            <w:vAlign w:val="center"/>
          </w:tcPr>
          <w:p>
            <w:pPr>
              <w:spacing w:line="340" w:lineRule="exact"/>
              <w:rPr>
                <w:rFonts w:ascii="宋体" w:hAnsi="宋体"/>
                <w:szCs w:val="21"/>
              </w:rPr>
            </w:pPr>
            <w:r>
              <w:rPr>
                <w:rFonts w:hint="eastAsia" w:ascii="宋体" w:hAnsi="宋体"/>
                <w:color w:val="000000"/>
                <w:szCs w:val="21"/>
                <w:highlight w:val="none"/>
              </w:rPr>
              <w:t>针对本项目的服务特点、难点分析及相应措施。服务特点、难点定位准确、分析合理、全面得</w:t>
            </w:r>
            <w:r>
              <w:rPr>
                <w:rFonts w:hint="eastAsia" w:ascii="宋体" w:hAnsi="宋体"/>
                <w:color w:val="000000"/>
                <w:szCs w:val="21"/>
                <w:highlight w:val="none"/>
                <w:lang w:val="en-US" w:eastAsia="zh-CN"/>
              </w:rPr>
              <w:t>10</w:t>
            </w:r>
            <w:r>
              <w:rPr>
                <w:rFonts w:hint="eastAsia" w:ascii="宋体" w:hAnsi="宋体"/>
                <w:color w:val="000000"/>
                <w:szCs w:val="21"/>
                <w:highlight w:val="none"/>
              </w:rPr>
              <w:t>分，较好</w:t>
            </w:r>
            <w:r>
              <w:rPr>
                <w:rFonts w:hint="eastAsia" w:ascii="宋体" w:hAnsi="宋体"/>
                <w:color w:val="000000"/>
                <w:szCs w:val="21"/>
                <w:highlight w:val="none"/>
                <w:lang w:val="en-US" w:eastAsia="zh-CN"/>
              </w:rPr>
              <w:t>7</w:t>
            </w:r>
            <w:r>
              <w:rPr>
                <w:rFonts w:hint="eastAsia" w:ascii="宋体" w:hAnsi="宋体"/>
                <w:color w:val="000000"/>
                <w:szCs w:val="21"/>
                <w:highlight w:val="none"/>
              </w:rPr>
              <w:t>分，一般4分，较差或无得0分。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5"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position w:val="-1"/>
                <w:szCs w:val="21"/>
              </w:rPr>
            </w:pPr>
            <w:r>
              <w:rPr>
                <w:rFonts w:hint="eastAsia" w:ascii="宋体" w:hAnsi="宋体" w:cs="宋体"/>
                <w:szCs w:val="21"/>
              </w:rPr>
              <w:t>针对本项目的重点工作方案</w:t>
            </w:r>
          </w:p>
        </w:tc>
        <w:tc>
          <w:tcPr>
            <w:tcW w:w="845" w:type="dxa"/>
            <w:vMerge w:val="restart"/>
            <w:vAlign w:val="center"/>
          </w:tcPr>
          <w:p>
            <w:pPr>
              <w:widowControl/>
              <w:spacing w:line="340" w:lineRule="exact"/>
              <w:jc w:val="center"/>
              <w:rPr>
                <w:rFonts w:hint="eastAsia" w:ascii="宋体" w:hAnsi="宋体"/>
                <w:szCs w:val="21"/>
              </w:rPr>
            </w:pPr>
            <w:r>
              <w:rPr>
                <w:rFonts w:hint="eastAsia" w:ascii="宋体" w:hAnsi="宋体"/>
                <w:szCs w:val="21"/>
                <w:lang w:val="en-US" w:eastAsia="zh-CN"/>
              </w:rPr>
              <w:t>12</w:t>
            </w:r>
            <w:r>
              <w:rPr>
                <w:rFonts w:hint="eastAsia" w:ascii="宋体" w:hAnsi="宋体"/>
                <w:szCs w:val="21"/>
              </w:rPr>
              <w:t>分</w:t>
            </w:r>
          </w:p>
        </w:tc>
        <w:tc>
          <w:tcPr>
            <w:tcW w:w="4851" w:type="dxa"/>
            <w:vAlign w:val="top"/>
          </w:tcPr>
          <w:p>
            <w:pPr>
              <w:widowControl/>
              <w:spacing w:line="340" w:lineRule="exact"/>
              <w:rPr>
                <w:rFonts w:hint="eastAsia" w:ascii="宋体" w:hAnsi="宋体"/>
                <w:szCs w:val="21"/>
              </w:rPr>
            </w:pPr>
            <w:r>
              <w:rPr>
                <w:rFonts w:hint="eastAsia" w:ascii="宋体" w:hAnsi="宋体"/>
                <w:szCs w:val="21"/>
                <w:lang w:val="en-US" w:eastAsia="zh-CN"/>
              </w:rPr>
              <w:t>1.</w:t>
            </w:r>
            <w:r>
              <w:rPr>
                <w:rFonts w:hint="eastAsia" w:ascii="宋体" w:hAnsi="宋体"/>
                <w:szCs w:val="21"/>
              </w:rPr>
              <w:t>人员招收及稳定性措施：提交人员招收、招聘来源情况及人员稳定性保障措施得</w:t>
            </w:r>
            <w:r>
              <w:rPr>
                <w:rFonts w:hint="eastAsia" w:ascii="宋体" w:hAnsi="宋体"/>
                <w:szCs w:val="21"/>
                <w:lang w:val="en-US" w:eastAsia="zh-CN"/>
              </w:rPr>
              <w:t>3</w:t>
            </w:r>
            <w:r>
              <w:rPr>
                <w:rFonts w:hint="eastAsia" w:ascii="宋体" w:hAnsi="宋体"/>
                <w:szCs w:val="21"/>
              </w:rPr>
              <w:t>分，不提交不得分；提供有关协议或合作证明得1分。</w:t>
            </w:r>
          </w:p>
          <w:p>
            <w:pPr>
              <w:widowControl/>
              <w:spacing w:line="340" w:lineRule="exact"/>
              <w:rPr>
                <w:rFonts w:hint="eastAsia" w:ascii="宋体" w:hAnsi="宋体"/>
                <w:szCs w:val="21"/>
              </w:rPr>
            </w:pPr>
            <w:r>
              <w:rPr>
                <w:rFonts w:hint="eastAsia" w:ascii="宋体" w:hAnsi="宋体"/>
                <w:szCs w:val="21"/>
                <w:lang w:val="en-US" w:eastAsia="zh-CN"/>
              </w:rPr>
              <w:t>2.</w:t>
            </w:r>
            <w:r>
              <w:rPr>
                <w:rFonts w:hint="eastAsia" w:ascii="宋体" w:hAnsi="宋体"/>
                <w:szCs w:val="21"/>
              </w:rPr>
              <w:t>项目整体服务策划：项目的管理模式及运作方法科学、适用得</w:t>
            </w:r>
            <w:r>
              <w:rPr>
                <w:rFonts w:hint="eastAsia" w:ascii="宋体" w:hAnsi="宋体"/>
                <w:szCs w:val="21"/>
                <w:lang w:val="en-US" w:eastAsia="zh-CN"/>
              </w:rPr>
              <w:t>3</w:t>
            </w:r>
            <w:r>
              <w:rPr>
                <w:rFonts w:hint="eastAsia" w:ascii="宋体" w:hAnsi="宋体"/>
                <w:szCs w:val="21"/>
              </w:rPr>
              <w:t>分，一般得1分；较差或无得0分。</w:t>
            </w:r>
          </w:p>
          <w:p>
            <w:pPr>
              <w:widowControl/>
              <w:spacing w:line="340" w:lineRule="exact"/>
              <w:rPr>
                <w:rFonts w:hint="eastAsia" w:ascii="宋体" w:hAnsi="宋体"/>
                <w:szCs w:val="21"/>
              </w:rPr>
            </w:pPr>
            <w:r>
              <w:rPr>
                <w:rFonts w:hint="eastAsia" w:ascii="宋体" w:hAnsi="宋体"/>
                <w:szCs w:val="21"/>
                <w:lang w:val="en-US" w:eastAsia="zh-CN"/>
              </w:rPr>
              <w:t>3.</w:t>
            </w:r>
            <w:r>
              <w:rPr>
                <w:rFonts w:hint="eastAsia" w:ascii="宋体" w:hAnsi="宋体"/>
                <w:szCs w:val="21"/>
              </w:rPr>
              <w:t>对本项目的接管</w:t>
            </w:r>
            <w:r>
              <w:rPr>
                <w:rFonts w:hint="eastAsia" w:ascii="宋体" w:hAnsi="宋体"/>
                <w:szCs w:val="21"/>
                <w:lang w:eastAsia="zh-CN"/>
              </w:rPr>
              <w:t>、</w:t>
            </w:r>
            <w:r>
              <w:rPr>
                <w:rFonts w:hint="eastAsia" w:ascii="宋体" w:hAnsi="宋体"/>
                <w:szCs w:val="21"/>
                <w:lang w:val="en-US" w:eastAsia="zh-CN"/>
              </w:rPr>
              <w:t>进驻</w:t>
            </w:r>
            <w:r>
              <w:rPr>
                <w:rFonts w:hint="eastAsia" w:ascii="宋体" w:hAnsi="宋体"/>
                <w:szCs w:val="21"/>
              </w:rPr>
              <w:t>方案：针对本项目提出接管</w:t>
            </w:r>
            <w:r>
              <w:rPr>
                <w:rFonts w:hint="eastAsia" w:ascii="宋体" w:hAnsi="宋体"/>
                <w:szCs w:val="21"/>
                <w:lang w:eastAsia="zh-CN"/>
              </w:rPr>
              <w:t>、</w:t>
            </w:r>
            <w:r>
              <w:rPr>
                <w:rFonts w:hint="eastAsia" w:ascii="宋体" w:hAnsi="宋体"/>
                <w:szCs w:val="21"/>
                <w:lang w:val="en-US" w:eastAsia="zh-CN"/>
              </w:rPr>
              <w:t>进驻</w:t>
            </w:r>
            <w:r>
              <w:rPr>
                <w:rFonts w:hint="eastAsia" w:ascii="宋体" w:hAnsi="宋体"/>
                <w:szCs w:val="21"/>
              </w:rPr>
              <w:t>方案，科学、合理得</w:t>
            </w:r>
            <w:r>
              <w:rPr>
                <w:rFonts w:hint="eastAsia" w:ascii="宋体" w:hAnsi="宋体"/>
                <w:szCs w:val="21"/>
                <w:lang w:val="en-US" w:eastAsia="zh-CN"/>
              </w:rPr>
              <w:t>3</w:t>
            </w:r>
            <w:r>
              <w:rPr>
                <w:rFonts w:hint="eastAsia" w:ascii="宋体" w:hAnsi="宋体"/>
                <w:szCs w:val="21"/>
              </w:rPr>
              <w:t>分；一般得1分；较差或无得0分。</w:t>
            </w:r>
          </w:p>
          <w:p>
            <w:pPr>
              <w:widowControl/>
              <w:spacing w:line="340" w:lineRule="exact"/>
              <w:rPr>
                <w:rFonts w:hint="eastAsia" w:ascii="宋体" w:hAnsi="宋体"/>
                <w:szCs w:val="21"/>
              </w:rPr>
            </w:pPr>
            <w:r>
              <w:rPr>
                <w:rFonts w:hint="eastAsia" w:ascii="宋体" w:hAnsi="宋体"/>
                <w:szCs w:val="21"/>
                <w:lang w:val="en-US" w:eastAsia="zh-CN"/>
              </w:rPr>
              <w:t>4.投入本项目的物资装备：投入本项目的物资装备科学合理，符合要求3分，一般1分，较差0分。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szCs w:val="21"/>
              </w:rPr>
            </w:pPr>
            <w:r>
              <w:rPr>
                <w:rFonts w:hint="eastAsia" w:ascii="宋体" w:hAnsi="宋体"/>
                <w:position w:val="-1"/>
                <w:szCs w:val="21"/>
              </w:rPr>
              <w:t>日常</w:t>
            </w:r>
            <w:r>
              <w:rPr>
                <w:rFonts w:ascii="宋体" w:hAnsi="宋体"/>
                <w:position w:val="-1"/>
                <w:szCs w:val="21"/>
              </w:rPr>
              <w:t>服务方案</w:t>
            </w:r>
          </w:p>
        </w:tc>
        <w:tc>
          <w:tcPr>
            <w:tcW w:w="845" w:type="dxa"/>
            <w:vAlign w:val="center"/>
          </w:tcPr>
          <w:p>
            <w:pPr>
              <w:widowControl/>
              <w:spacing w:line="340" w:lineRule="exact"/>
              <w:jc w:val="center"/>
              <w:rPr>
                <w:rFonts w:ascii="宋体" w:hAnsi="宋体"/>
                <w:szCs w:val="21"/>
              </w:rPr>
            </w:pPr>
            <w:r>
              <w:rPr>
                <w:rFonts w:hint="eastAsia" w:ascii="宋体" w:hAnsi="宋体"/>
                <w:szCs w:val="21"/>
                <w:lang w:val="en-US" w:eastAsia="zh-CN"/>
              </w:rPr>
              <w:t>30</w:t>
            </w:r>
            <w:r>
              <w:rPr>
                <w:rFonts w:ascii="宋体" w:hAnsi="宋体"/>
                <w:szCs w:val="21"/>
              </w:rPr>
              <w:t>分</w:t>
            </w:r>
          </w:p>
        </w:tc>
        <w:tc>
          <w:tcPr>
            <w:tcW w:w="4851" w:type="dxa"/>
            <w:vAlign w:val="center"/>
          </w:tcPr>
          <w:p>
            <w:pPr>
              <w:widowControl/>
              <w:spacing w:line="340" w:lineRule="exact"/>
              <w:rPr>
                <w:rFonts w:hint="eastAsia" w:ascii="宋体" w:hAnsi="宋体"/>
                <w:szCs w:val="21"/>
                <w:lang w:val="en-US" w:eastAsia="zh-CN"/>
              </w:rPr>
            </w:pPr>
            <w:r>
              <w:rPr>
                <w:rFonts w:hint="eastAsia" w:ascii="宋体" w:hAnsi="宋体"/>
                <w:szCs w:val="21"/>
                <w:lang w:val="en-US" w:eastAsia="zh-CN"/>
              </w:rPr>
              <w:t>1.针对本项目的工作计划合理、可执行性强，完全满足或优于招标方需求得5分，基本满足招标方需求得3分，不满足招标方需求得0分；</w:t>
            </w:r>
          </w:p>
          <w:p>
            <w:pPr>
              <w:widowControl/>
              <w:spacing w:line="340" w:lineRule="exact"/>
              <w:rPr>
                <w:rFonts w:hint="eastAsia" w:ascii="宋体" w:hAnsi="宋体"/>
                <w:szCs w:val="21"/>
                <w:lang w:val="en-US" w:eastAsia="zh-CN"/>
              </w:rPr>
            </w:pPr>
            <w:r>
              <w:rPr>
                <w:rFonts w:hint="eastAsia" w:ascii="宋体" w:hAnsi="宋体"/>
                <w:szCs w:val="21"/>
                <w:lang w:val="en-US" w:eastAsia="zh-CN"/>
              </w:rPr>
              <w:t>2.消防安全管理方案合理，完全满足或优于招标方需求得5分，基本满足招标方需求得3分，不满足招标方需求得0分；</w:t>
            </w:r>
          </w:p>
          <w:p>
            <w:pPr>
              <w:widowControl/>
              <w:spacing w:line="340" w:lineRule="exact"/>
              <w:rPr>
                <w:rFonts w:hint="eastAsia" w:ascii="宋体" w:hAnsi="宋体"/>
                <w:szCs w:val="21"/>
                <w:lang w:val="en-US" w:eastAsia="zh-CN"/>
              </w:rPr>
            </w:pPr>
            <w:r>
              <w:rPr>
                <w:rFonts w:hint="eastAsia" w:ascii="宋体" w:hAnsi="宋体"/>
                <w:szCs w:val="21"/>
                <w:lang w:val="en-US" w:eastAsia="zh-CN"/>
              </w:rPr>
              <w:t>3.设备设施（包括但不限于供电、给排水、暖通等）管理方案合理，完全满足或优于招标方需求得5分，基本满足招标方需求得3分，不满足招标方需求得0分；</w:t>
            </w:r>
          </w:p>
          <w:p>
            <w:pPr>
              <w:widowControl/>
              <w:spacing w:line="340" w:lineRule="exact"/>
              <w:rPr>
                <w:rFonts w:hint="eastAsia" w:ascii="宋体" w:hAnsi="宋体"/>
                <w:szCs w:val="21"/>
                <w:lang w:val="en-US" w:eastAsia="zh-CN"/>
              </w:rPr>
            </w:pPr>
            <w:r>
              <w:rPr>
                <w:rFonts w:hint="eastAsia" w:ascii="宋体" w:hAnsi="宋体"/>
                <w:szCs w:val="21"/>
                <w:lang w:val="en-US" w:eastAsia="zh-CN"/>
              </w:rPr>
              <w:t>4.重点区域安保方案、服务方案科学合理，完全满足或优于招标方需求得5分，基本满足招标方需求得3分，不满足招标方需求得0分；</w:t>
            </w:r>
          </w:p>
          <w:p>
            <w:pPr>
              <w:widowControl/>
              <w:spacing w:line="340" w:lineRule="exact"/>
              <w:rPr>
                <w:rFonts w:hint="eastAsia" w:ascii="宋体" w:hAnsi="宋体"/>
                <w:szCs w:val="21"/>
                <w:lang w:val="en-US" w:eastAsia="zh-CN"/>
              </w:rPr>
            </w:pPr>
            <w:r>
              <w:rPr>
                <w:rFonts w:hint="eastAsia" w:ascii="宋体" w:hAnsi="宋体"/>
                <w:szCs w:val="21"/>
                <w:lang w:val="en-US" w:eastAsia="zh-CN"/>
              </w:rPr>
              <w:t>5.重点岗位人员保障方案科学合理，完全满足或优于招标方需求得5分，基本满足招标方需求得3分，不满足招标方需求得0分；</w:t>
            </w:r>
          </w:p>
          <w:p>
            <w:pPr>
              <w:widowControl/>
              <w:spacing w:line="340" w:lineRule="exact"/>
              <w:rPr>
                <w:rFonts w:ascii="宋体" w:hAnsi="宋体"/>
                <w:sz w:val="21"/>
                <w:szCs w:val="21"/>
              </w:rPr>
            </w:pPr>
            <w:r>
              <w:rPr>
                <w:rFonts w:hint="eastAsia" w:ascii="宋体" w:hAnsi="宋体"/>
                <w:szCs w:val="21"/>
                <w:lang w:val="en-US" w:eastAsia="zh-CN"/>
              </w:rPr>
              <w:t>6.环境卫生服务方案科学合理，完全满足或优于招标方需求得5分，基本满足招标方需求得3分，不满足招标方需求得0分。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0"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hint="eastAsia" w:ascii="宋体" w:hAnsi="宋体"/>
                <w:szCs w:val="21"/>
              </w:rPr>
            </w:pPr>
            <w:r>
              <w:rPr>
                <w:rFonts w:hint="eastAsia" w:ascii="宋体" w:hAnsi="宋体"/>
                <w:szCs w:val="21"/>
              </w:rPr>
              <w:t>日常管理制度</w:t>
            </w:r>
          </w:p>
        </w:tc>
        <w:tc>
          <w:tcPr>
            <w:tcW w:w="845" w:type="dxa"/>
            <w:vMerge w:val="restart"/>
            <w:vAlign w:val="center"/>
          </w:tcPr>
          <w:p>
            <w:pPr>
              <w:widowControl/>
              <w:spacing w:line="340" w:lineRule="exact"/>
              <w:jc w:val="center"/>
              <w:rPr>
                <w:rFonts w:ascii="宋体" w:hAnsi="宋体"/>
                <w:szCs w:val="21"/>
              </w:rPr>
            </w:pPr>
            <w:r>
              <w:rPr>
                <w:rFonts w:hint="eastAsia" w:ascii="宋体" w:hAnsi="宋体"/>
                <w:szCs w:val="21"/>
                <w:lang w:val="en-US" w:eastAsia="zh-CN"/>
              </w:rPr>
              <w:t>10</w:t>
            </w:r>
            <w:r>
              <w:rPr>
                <w:rFonts w:hint="eastAsia" w:ascii="宋体" w:hAnsi="宋体"/>
                <w:szCs w:val="21"/>
              </w:rPr>
              <w:t>分</w:t>
            </w:r>
          </w:p>
        </w:tc>
        <w:tc>
          <w:tcPr>
            <w:tcW w:w="4851" w:type="dxa"/>
            <w:vAlign w:val="center"/>
          </w:tcPr>
          <w:p>
            <w:pPr>
              <w:widowControl/>
              <w:spacing w:line="340" w:lineRule="exact"/>
              <w:rPr>
                <w:rFonts w:hint="default" w:ascii="宋体" w:hAnsi="宋体"/>
                <w:szCs w:val="21"/>
                <w:lang w:val="en-US" w:eastAsia="zh-CN"/>
              </w:rPr>
            </w:pPr>
            <w:r>
              <w:rPr>
                <w:rFonts w:hint="eastAsia" w:ascii="宋体" w:hAnsi="宋体"/>
                <w:szCs w:val="21"/>
                <w:lang w:val="en-US" w:eastAsia="zh-CN"/>
              </w:rPr>
              <w:t>1.日常人员考核、培训和管理制度：针对本项目的人员日常考核、培训和管理制度科学合理，完全满足或优于招标方需求得5分，基本满足招标方需求得3分，不满足招标方需求得0分。</w:t>
            </w:r>
          </w:p>
          <w:p>
            <w:pPr>
              <w:widowControl/>
              <w:spacing w:line="340" w:lineRule="exact"/>
              <w:rPr>
                <w:rFonts w:ascii="宋体" w:hAnsi="宋体"/>
                <w:sz w:val="21"/>
                <w:szCs w:val="21"/>
              </w:rPr>
            </w:pPr>
            <w:r>
              <w:rPr>
                <w:rFonts w:hint="eastAsia" w:ascii="宋体" w:hAnsi="宋体"/>
                <w:szCs w:val="21"/>
                <w:lang w:val="en-US" w:eastAsia="zh-CN"/>
              </w:rPr>
              <w:t>2.日常管理和服务保障制度：针对本项目的日常管理制度和服务保障制度科学合理，完全满足或优于招标方需求得5分，基本满足招标方需求得3分，不满足招标方需求得0分。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szCs w:val="21"/>
              </w:rPr>
            </w:pPr>
            <w:r>
              <w:rPr>
                <w:rFonts w:ascii="宋体" w:hAnsi="宋体"/>
                <w:szCs w:val="21"/>
              </w:rPr>
              <w:t>应急预案</w:t>
            </w:r>
          </w:p>
        </w:tc>
        <w:tc>
          <w:tcPr>
            <w:tcW w:w="845" w:type="dxa"/>
            <w:vAlign w:val="center"/>
          </w:tcPr>
          <w:p>
            <w:pPr>
              <w:widowControl/>
              <w:spacing w:line="340" w:lineRule="exact"/>
              <w:jc w:val="center"/>
              <w:rPr>
                <w:rFonts w:ascii="宋体" w:hAnsi="宋体"/>
                <w:szCs w:val="21"/>
              </w:rPr>
            </w:pPr>
            <w:r>
              <w:rPr>
                <w:rFonts w:ascii="宋体" w:hAnsi="宋体"/>
                <w:szCs w:val="21"/>
              </w:rPr>
              <w:t>3分</w:t>
            </w:r>
          </w:p>
        </w:tc>
        <w:tc>
          <w:tcPr>
            <w:tcW w:w="4851" w:type="dxa"/>
            <w:vAlign w:val="center"/>
          </w:tcPr>
          <w:p>
            <w:pPr>
              <w:widowControl/>
              <w:spacing w:line="340" w:lineRule="exact"/>
              <w:rPr>
                <w:rFonts w:ascii="宋体" w:hAnsi="宋体"/>
                <w:szCs w:val="21"/>
              </w:rPr>
            </w:pPr>
            <w:r>
              <w:rPr>
                <w:rFonts w:hint="eastAsia" w:ascii="宋体" w:hAnsi="宋体"/>
                <w:szCs w:val="21"/>
              </w:rPr>
              <w:t>应急预案科学合理、可执行性强得3分，一般得1分，较差0分。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3" w:hRule="atLeast"/>
          <w:jc w:val="center"/>
        </w:trPr>
        <w:tc>
          <w:tcPr>
            <w:tcW w:w="553" w:type="dxa"/>
            <w:vMerge w:val="restart"/>
            <w:vAlign w:val="center"/>
          </w:tcPr>
          <w:p>
            <w:pPr>
              <w:widowControl/>
              <w:spacing w:line="340" w:lineRule="exact"/>
              <w:rPr>
                <w:rFonts w:hint="eastAsia" w:ascii="宋体" w:hAnsi="宋体"/>
                <w:szCs w:val="21"/>
              </w:rPr>
            </w:pPr>
            <w:r>
              <w:rPr>
                <w:rFonts w:hint="eastAsia" w:ascii="宋体" w:hAnsi="宋体"/>
                <w:szCs w:val="21"/>
              </w:rPr>
              <w:t>3</w:t>
            </w:r>
          </w:p>
        </w:tc>
        <w:tc>
          <w:tcPr>
            <w:tcW w:w="1241" w:type="dxa"/>
            <w:vMerge w:val="restart"/>
            <w:vAlign w:val="center"/>
          </w:tcPr>
          <w:p>
            <w:pPr>
              <w:spacing w:line="340" w:lineRule="exact"/>
              <w:rPr>
                <w:rFonts w:hint="eastAsia" w:ascii="宋体" w:hAnsi="宋体"/>
                <w:szCs w:val="21"/>
              </w:rPr>
            </w:pPr>
            <w:r>
              <w:rPr>
                <w:rFonts w:hint="eastAsia" w:ascii="宋体" w:hAnsi="宋体"/>
                <w:szCs w:val="21"/>
              </w:rPr>
              <w:t>服务团队</w:t>
            </w:r>
          </w:p>
          <w:p>
            <w:pPr>
              <w:spacing w:line="340" w:lineRule="exact"/>
              <w:rPr>
                <w:rFonts w:hint="eastAsia" w:ascii="宋体" w:hAnsi="宋体"/>
                <w:szCs w:val="21"/>
              </w:rPr>
            </w:pPr>
            <w:r>
              <w:rPr>
                <w:rFonts w:hint="eastAsia" w:ascii="宋体" w:hAnsi="宋体"/>
                <w:szCs w:val="21"/>
              </w:rPr>
              <w:t>（</w:t>
            </w:r>
            <w:r>
              <w:rPr>
                <w:rFonts w:hint="eastAsia" w:ascii="宋体" w:hAnsi="宋体"/>
                <w:szCs w:val="21"/>
                <w:lang w:val="en-US" w:eastAsia="zh-CN"/>
              </w:rPr>
              <w:t>1</w:t>
            </w:r>
            <w:r>
              <w:rPr>
                <w:rFonts w:hint="eastAsia" w:ascii="宋体" w:hAnsi="宋体"/>
                <w:szCs w:val="21"/>
              </w:rPr>
              <w:t>0分）</w:t>
            </w:r>
          </w:p>
        </w:tc>
        <w:tc>
          <w:tcPr>
            <w:tcW w:w="1896" w:type="dxa"/>
            <w:vAlign w:val="center"/>
          </w:tcPr>
          <w:p>
            <w:pPr>
              <w:widowControl/>
              <w:spacing w:line="340" w:lineRule="exact"/>
              <w:jc w:val="center"/>
              <w:rPr>
                <w:rFonts w:ascii="宋体" w:hAnsi="宋体"/>
                <w:szCs w:val="21"/>
              </w:rPr>
            </w:pPr>
            <w:r>
              <w:rPr>
                <w:rFonts w:hint="eastAsia" w:ascii="宋体" w:hAnsi="宋体"/>
                <w:szCs w:val="21"/>
              </w:rPr>
              <w:t>组织机构及人员</w:t>
            </w:r>
            <w:r>
              <w:rPr>
                <w:rFonts w:hint="eastAsia" w:ascii="宋体" w:hAnsi="宋体"/>
                <w:szCs w:val="21"/>
                <w:lang w:eastAsia="zh-CN"/>
              </w:rPr>
              <w:t>配置</w:t>
            </w:r>
          </w:p>
        </w:tc>
        <w:tc>
          <w:tcPr>
            <w:tcW w:w="845" w:type="dxa"/>
            <w:vAlign w:val="center"/>
          </w:tcPr>
          <w:p>
            <w:pPr>
              <w:widowControl/>
              <w:spacing w:line="340" w:lineRule="exact"/>
              <w:jc w:val="center"/>
              <w:rPr>
                <w:rFonts w:ascii="宋体" w:hAnsi="宋体"/>
                <w:szCs w:val="21"/>
              </w:rPr>
            </w:pPr>
            <w:r>
              <w:rPr>
                <w:rFonts w:hint="eastAsia" w:ascii="宋体" w:hAnsi="宋体"/>
                <w:szCs w:val="21"/>
                <w:lang w:val="en-US" w:eastAsia="zh-CN"/>
              </w:rPr>
              <w:t>6</w:t>
            </w:r>
            <w:r>
              <w:rPr>
                <w:rFonts w:hint="eastAsia" w:ascii="宋体" w:hAnsi="宋体"/>
                <w:szCs w:val="21"/>
              </w:rPr>
              <w:t>分</w:t>
            </w:r>
          </w:p>
        </w:tc>
        <w:tc>
          <w:tcPr>
            <w:tcW w:w="4851" w:type="dxa"/>
            <w:vAlign w:val="center"/>
          </w:tcPr>
          <w:p>
            <w:pPr>
              <w:numPr>
                <w:ilvl w:val="0"/>
                <w:numId w:val="0"/>
              </w:numPr>
              <w:jc w:val="left"/>
              <w:rPr>
                <w:rFonts w:hint="eastAsia"/>
              </w:rPr>
            </w:pPr>
            <w:r>
              <w:rPr>
                <w:rFonts w:hint="eastAsia" w:ascii="宋体" w:hAnsi="宋体"/>
                <w:szCs w:val="21"/>
                <w:lang w:val="en-US" w:eastAsia="zh-CN"/>
              </w:rPr>
              <w:t>1.</w:t>
            </w:r>
            <w:r>
              <w:rPr>
                <w:rFonts w:hint="eastAsia" w:ascii="宋体" w:hAnsi="宋体"/>
                <w:szCs w:val="21"/>
              </w:rPr>
              <w:t>有健全的项目组织机构</w:t>
            </w:r>
            <w:r>
              <w:rPr>
                <w:rFonts w:hint="eastAsia" w:ascii="宋体" w:hAnsi="宋体"/>
                <w:szCs w:val="21"/>
                <w:lang w:eastAsia="zh-CN"/>
              </w:rPr>
              <w:t>：</w:t>
            </w:r>
            <w:r>
              <w:rPr>
                <w:rFonts w:hint="eastAsia" w:ascii="宋体" w:hAnsi="宋体"/>
                <w:szCs w:val="21"/>
              </w:rPr>
              <w:t>人员岗位安排能够完全满足管理服务需求，人员选派标准及管理措施符合需求得3分，一般得1分</w:t>
            </w:r>
            <w:r>
              <w:rPr>
                <w:rFonts w:hint="eastAsia" w:ascii="宋体" w:hAnsi="宋体"/>
                <w:szCs w:val="21"/>
                <w:lang w:eastAsia="zh-CN"/>
              </w:rPr>
              <w:t>，</w:t>
            </w:r>
            <w:r>
              <w:rPr>
                <w:rFonts w:hint="eastAsia" w:ascii="宋体" w:hAnsi="宋体"/>
                <w:szCs w:val="21"/>
                <w:lang w:val="en-US" w:eastAsia="zh-CN"/>
              </w:rPr>
              <w:t>较差得0分；</w:t>
            </w:r>
          </w:p>
          <w:p>
            <w:pPr>
              <w:widowControl/>
              <w:spacing w:line="340" w:lineRule="exact"/>
              <w:rPr>
                <w:rFonts w:ascii="宋体" w:hAnsi="宋体"/>
                <w:szCs w:val="21"/>
              </w:rPr>
            </w:pPr>
            <w:r>
              <w:rPr>
                <w:rFonts w:hint="eastAsia" w:ascii="宋体" w:hAnsi="宋体"/>
                <w:color w:val="000000"/>
                <w:szCs w:val="21"/>
                <w:highlight w:val="none"/>
                <w:lang w:val="en-US" w:eastAsia="zh-CN"/>
              </w:rPr>
              <w:t>2.人员配备：人员配备合理，分工明确，高、低压电工，中控员、保安员，需持有经过认可的资格证书，符合得3分，缺一项减1分，扣完为止。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1"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szCs w:val="21"/>
              </w:rPr>
            </w:pPr>
            <w:r>
              <w:rPr>
                <w:rFonts w:ascii="宋体" w:hAnsi="宋体"/>
                <w:szCs w:val="21"/>
              </w:rPr>
              <w:t>项目经理</w:t>
            </w:r>
          </w:p>
        </w:tc>
        <w:tc>
          <w:tcPr>
            <w:tcW w:w="845" w:type="dxa"/>
            <w:vAlign w:val="center"/>
          </w:tcPr>
          <w:p>
            <w:pPr>
              <w:widowControl/>
              <w:spacing w:line="340" w:lineRule="exact"/>
              <w:jc w:val="center"/>
              <w:rPr>
                <w:rFonts w:ascii="宋体" w:hAnsi="宋体"/>
                <w:szCs w:val="21"/>
              </w:rPr>
            </w:pPr>
            <w:r>
              <w:rPr>
                <w:rFonts w:hint="eastAsia" w:ascii="宋体" w:hAnsi="宋体"/>
                <w:szCs w:val="21"/>
                <w:lang w:val="en-US" w:eastAsia="zh-CN"/>
              </w:rPr>
              <w:t>4</w:t>
            </w:r>
            <w:r>
              <w:rPr>
                <w:rFonts w:hint="eastAsia" w:ascii="宋体" w:hAnsi="宋体"/>
                <w:szCs w:val="21"/>
              </w:rPr>
              <w:t>分</w:t>
            </w:r>
          </w:p>
        </w:tc>
        <w:tc>
          <w:tcPr>
            <w:tcW w:w="4851" w:type="dxa"/>
            <w:vAlign w:val="center"/>
          </w:tcPr>
          <w:p>
            <w:pPr>
              <w:widowControl/>
              <w:spacing w:line="340" w:lineRule="exact"/>
              <w:rPr>
                <w:rFonts w:hint="eastAsia" w:ascii="宋体" w:hAnsi="宋体"/>
                <w:bCs/>
                <w:szCs w:val="21"/>
              </w:rPr>
            </w:pPr>
            <w:r>
              <w:rPr>
                <w:rFonts w:hint="eastAsia" w:ascii="宋体" w:hAnsi="宋体"/>
                <w:bCs/>
                <w:szCs w:val="21"/>
              </w:rPr>
              <w:t>项目经理：</w:t>
            </w:r>
          </w:p>
          <w:p>
            <w:pPr>
              <w:widowControl/>
              <w:spacing w:line="340" w:lineRule="exact"/>
              <w:rPr>
                <w:rFonts w:hint="eastAsia" w:ascii="宋体" w:hAnsi="宋体"/>
                <w:bCs/>
                <w:szCs w:val="21"/>
              </w:rPr>
            </w:pPr>
            <w:r>
              <w:rPr>
                <w:rFonts w:hint="eastAsia" w:ascii="宋体" w:hAnsi="宋体"/>
                <w:bCs/>
                <w:szCs w:val="21"/>
              </w:rPr>
              <w:t>具有专科（含）以上学历的得2分；具有类似项目3年及以上管理经验的得2分，3年以上管理经验的得1分，须提供相应证明材料。</w:t>
            </w:r>
          </w:p>
          <w:p>
            <w:pPr>
              <w:widowControl/>
              <w:spacing w:line="340" w:lineRule="exact"/>
              <w:rPr>
                <w:rFonts w:ascii="宋体" w:hAnsi="宋体"/>
                <w:szCs w:val="21"/>
              </w:rPr>
            </w:pPr>
            <w:r>
              <w:rPr>
                <w:rFonts w:hint="eastAsia" w:ascii="宋体" w:hAnsi="宋体"/>
                <w:bCs/>
                <w:szCs w:val="21"/>
              </w:rPr>
              <w:t>注：需提供项目经理开标前连续12个月缴纳社保的证明材料，否则该项不得分。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restart"/>
            <w:vAlign w:val="center"/>
          </w:tcPr>
          <w:p>
            <w:pPr>
              <w:widowControl/>
              <w:spacing w:line="340" w:lineRule="exact"/>
              <w:jc w:val="center"/>
              <w:rPr>
                <w:rFonts w:ascii="宋体" w:hAnsi="宋体"/>
                <w:szCs w:val="21"/>
              </w:rPr>
            </w:pPr>
            <w:r>
              <w:rPr>
                <w:rFonts w:hint="eastAsia" w:ascii="宋体" w:hAnsi="宋体"/>
                <w:szCs w:val="21"/>
              </w:rPr>
              <w:t>4</w:t>
            </w:r>
          </w:p>
        </w:tc>
        <w:tc>
          <w:tcPr>
            <w:tcW w:w="1241" w:type="dxa"/>
            <w:vMerge w:val="restart"/>
            <w:vAlign w:val="center"/>
          </w:tcPr>
          <w:p>
            <w:pPr>
              <w:widowControl/>
              <w:spacing w:line="340" w:lineRule="exact"/>
              <w:jc w:val="center"/>
              <w:rPr>
                <w:rFonts w:hint="eastAsia" w:ascii="宋体" w:hAnsi="宋体"/>
                <w:szCs w:val="21"/>
              </w:rPr>
            </w:pPr>
            <w:r>
              <w:rPr>
                <w:rFonts w:hint="eastAsia" w:ascii="宋体" w:hAnsi="宋体"/>
                <w:szCs w:val="21"/>
              </w:rPr>
              <w:t>投标人</w:t>
            </w:r>
            <w:r>
              <w:rPr>
                <w:rFonts w:hint="eastAsia" w:ascii="宋体" w:hAnsi="宋体"/>
                <w:szCs w:val="21"/>
                <w:lang w:eastAsia="zh-CN"/>
              </w:rPr>
              <w:t>履约能力</w:t>
            </w:r>
          </w:p>
          <w:p>
            <w:pPr>
              <w:widowControl/>
              <w:spacing w:line="340" w:lineRule="exact"/>
              <w:jc w:val="center"/>
              <w:rPr>
                <w:rFonts w:ascii="宋体" w:hAnsi="宋体"/>
                <w:szCs w:val="21"/>
              </w:rPr>
            </w:pPr>
            <w:r>
              <w:rPr>
                <w:rFonts w:ascii="宋体" w:hAnsi="宋体"/>
                <w:szCs w:val="21"/>
              </w:rPr>
              <w:t>（</w:t>
            </w:r>
            <w:r>
              <w:rPr>
                <w:rFonts w:hint="eastAsia" w:ascii="宋体" w:hAnsi="宋体"/>
                <w:szCs w:val="21"/>
                <w:lang w:val="en-US" w:eastAsia="zh-CN"/>
              </w:rPr>
              <w:t>9</w:t>
            </w:r>
            <w:r>
              <w:rPr>
                <w:rFonts w:ascii="宋体" w:hAnsi="宋体"/>
                <w:szCs w:val="21"/>
              </w:rPr>
              <w:t>分）</w:t>
            </w:r>
          </w:p>
        </w:tc>
        <w:tc>
          <w:tcPr>
            <w:tcW w:w="1896" w:type="dxa"/>
            <w:vAlign w:val="center"/>
          </w:tcPr>
          <w:p>
            <w:pPr>
              <w:widowControl/>
              <w:spacing w:line="340" w:lineRule="exact"/>
              <w:jc w:val="center"/>
              <w:rPr>
                <w:rFonts w:ascii="宋体" w:hAnsi="宋体"/>
                <w:szCs w:val="21"/>
              </w:rPr>
            </w:pPr>
            <w:r>
              <w:rPr>
                <w:rFonts w:hint="eastAsia" w:ascii="宋体" w:hAnsi="宋体"/>
                <w:szCs w:val="21"/>
              </w:rPr>
              <w:t>投标人业绩</w:t>
            </w:r>
          </w:p>
        </w:tc>
        <w:tc>
          <w:tcPr>
            <w:tcW w:w="845" w:type="dxa"/>
            <w:vAlign w:val="center"/>
          </w:tcPr>
          <w:p>
            <w:pPr>
              <w:widowControl/>
              <w:spacing w:line="340" w:lineRule="exact"/>
              <w:jc w:val="center"/>
              <w:rPr>
                <w:rFonts w:hint="eastAsia" w:ascii="宋体" w:hAnsi="宋体"/>
                <w:szCs w:val="21"/>
              </w:rPr>
            </w:pPr>
            <w:r>
              <w:rPr>
                <w:rFonts w:hint="eastAsia" w:ascii="宋体" w:hAnsi="宋体"/>
                <w:szCs w:val="21"/>
              </w:rPr>
              <w:t>6</w:t>
            </w:r>
            <w:r>
              <w:rPr>
                <w:rFonts w:ascii="宋体" w:hAnsi="宋体"/>
                <w:szCs w:val="21"/>
              </w:rPr>
              <w:t>分</w:t>
            </w:r>
          </w:p>
        </w:tc>
        <w:tc>
          <w:tcPr>
            <w:tcW w:w="4851" w:type="dxa"/>
            <w:vAlign w:val="center"/>
          </w:tcPr>
          <w:p>
            <w:pPr>
              <w:widowControl/>
              <w:spacing w:line="340" w:lineRule="exact"/>
              <w:rPr>
                <w:rFonts w:hint="eastAsia" w:ascii="宋体" w:hAnsi="宋体"/>
                <w:szCs w:val="21"/>
              </w:rPr>
            </w:pPr>
            <w:r>
              <w:rPr>
                <w:rFonts w:hint="eastAsia" w:ascii="宋体" w:hAnsi="宋体"/>
                <w:szCs w:val="21"/>
              </w:rPr>
              <w:t>投标人近三年以来同类服务项目的业绩，每提供一个有效业绩得1分，最多得6分。（未按要求提供完整材料的，不得分。一个单位分年度多次签订的案例仅计入1个案例；同一个项目，分两期或以上建设完成的，计入1个案例；同一个业主，不同地址、不同名称的项目仅计入1个案例。材料中需有合同首页、甲方名称、服务内容、服务金额、合同签署页等关键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jc w:val="center"/>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hint="eastAsia" w:ascii="宋体" w:hAnsi="宋体"/>
                <w:szCs w:val="21"/>
              </w:rPr>
            </w:pPr>
            <w:r>
              <w:rPr>
                <w:rFonts w:hint="eastAsia" w:ascii="宋体" w:hAnsi="宋体"/>
                <w:szCs w:val="21"/>
              </w:rPr>
              <w:t>投标人</w:t>
            </w:r>
            <w:r>
              <w:rPr>
                <w:rFonts w:hint="eastAsia" w:ascii="宋体" w:hAnsi="宋体"/>
                <w:szCs w:val="21"/>
                <w:lang w:eastAsia="zh-CN"/>
              </w:rPr>
              <w:t>证书</w:t>
            </w:r>
          </w:p>
        </w:tc>
        <w:tc>
          <w:tcPr>
            <w:tcW w:w="845" w:type="dxa"/>
            <w:vAlign w:val="center"/>
          </w:tcPr>
          <w:p>
            <w:pPr>
              <w:widowControl/>
              <w:spacing w:line="340" w:lineRule="exact"/>
              <w:jc w:val="center"/>
              <w:rPr>
                <w:rFonts w:hint="eastAsia" w:ascii="宋体" w:hAnsi="宋体"/>
                <w:szCs w:val="21"/>
              </w:rPr>
            </w:pPr>
            <w:r>
              <w:rPr>
                <w:rFonts w:hint="eastAsia" w:ascii="宋体" w:hAnsi="宋体"/>
                <w:szCs w:val="21"/>
                <w:lang w:val="en-US" w:eastAsia="zh-CN"/>
              </w:rPr>
              <w:t>3</w:t>
            </w:r>
            <w:r>
              <w:rPr>
                <w:rFonts w:ascii="宋体" w:hAnsi="宋体"/>
                <w:szCs w:val="21"/>
              </w:rPr>
              <w:t>分</w:t>
            </w:r>
          </w:p>
        </w:tc>
        <w:tc>
          <w:tcPr>
            <w:tcW w:w="4851" w:type="dxa"/>
            <w:vAlign w:val="center"/>
          </w:tcPr>
          <w:p>
            <w:pPr>
              <w:pStyle w:val="9"/>
              <w:spacing w:line="340" w:lineRule="exact"/>
              <w:rPr>
                <w:rFonts w:hint="eastAsia" w:ascii="宋体" w:hAnsi="宋体"/>
                <w:szCs w:val="21"/>
              </w:rPr>
            </w:pPr>
            <w:r>
              <w:rPr>
                <w:rFonts w:hint="eastAsia"/>
              </w:rPr>
              <w:t>有效的质量管理体系认证证书、环境管理体系认证证书、职业健康安全管理体系认证证书，每有一项得1分，最高3分。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340" w:lineRule="exact"/>
              <w:jc w:val="center"/>
              <w:rPr>
                <w:rFonts w:hint="eastAsia" w:ascii="宋体" w:hAnsi="宋体"/>
                <w:szCs w:val="21"/>
              </w:rPr>
            </w:pPr>
            <w:r>
              <w:rPr>
                <w:rFonts w:hint="eastAsia" w:ascii="宋体" w:hAnsi="宋体"/>
                <w:szCs w:val="21"/>
              </w:rPr>
              <w:t>5</w:t>
            </w:r>
          </w:p>
        </w:tc>
        <w:tc>
          <w:tcPr>
            <w:tcW w:w="3137" w:type="dxa"/>
            <w:gridSpan w:val="2"/>
            <w:vAlign w:val="center"/>
          </w:tcPr>
          <w:p>
            <w:pPr>
              <w:widowControl/>
              <w:spacing w:line="340" w:lineRule="exact"/>
              <w:jc w:val="center"/>
              <w:rPr>
                <w:rFonts w:hint="eastAsia" w:ascii="宋体" w:hAnsi="宋体"/>
                <w:szCs w:val="21"/>
              </w:rPr>
            </w:pPr>
            <w:r>
              <w:rPr>
                <w:rFonts w:hint="eastAsia" w:ascii="宋体" w:hAnsi="宋体"/>
                <w:szCs w:val="21"/>
              </w:rPr>
              <w:t>现场考察（2分）</w:t>
            </w:r>
          </w:p>
        </w:tc>
        <w:tc>
          <w:tcPr>
            <w:tcW w:w="845" w:type="dxa"/>
            <w:vAlign w:val="center"/>
          </w:tcPr>
          <w:p>
            <w:pPr>
              <w:widowControl/>
              <w:spacing w:line="340" w:lineRule="exact"/>
              <w:jc w:val="center"/>
              <w:rPr>
                <w:rFonts w:hint="eastAsia" w:ascii="宋体" w:hAnsi="宋体"/>
                <w:szCs w:val="21"/>
              </w:rPr>
            </w:pPr>
            <w:r>
              <w:rPr>
                <w:rFonts w:hint="eastAsia" w:ascii="宋体" w:hAnsi="宋体"/>
                <w:szCs w:val="21"/>
              </w:rPr>
              <w:t>2分</w:t>
            </w:r>
          </w:p>
        </w:tc>
        <w:tc>
          <w:tcPr>
            <w:tcW w:w="4851" w:type="dxa"/>
            <w:vAlign w:val="center"/>
          </w:tcPr>
          <w:p>
            <w:pPr>
              <w:widowControl/>
              <w:spacing w:line="340" w:lineRule="exact"/>
              <w:rPr>
                <w:rFonts w:hint="eastAsia" w:ascii="宋体" w:hAnsi="宋体"/>
                <w:szCs w:val="21"/>
              </w:rPr>
            </w:pPr>
            <w:r>
              <w:rPr>
                <w:rFonts w:hint="eastAsia" w:ascii="宋体" w:hAnsi="宋体" w:cs="微软雅黑"/>
                <w:szCs w:val="21"/>
              </w:rPr>
              <w:t>参加采购人组织的现场考察得2分，未参加0分。依据采购人提供的统一组织的现场考察登记表。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340" w:lineRule="exact"/>
              <w:jc w:val="center"/>
              <w:rPr>
                <w:rFonts w:hint="eastAsia" w:ascii="宋体" w:hAnsi="宋体"/>
                <w:szCs w:val="21"/>
              </w:rPr>
            </w:pPr>
            <w:r>
              <w:rPr>
                <w:rFonts w:hint="eastAsia" w:ascii="宋体" w:hAnsi="宋体"/>
                <w:szCs w:val="21"/>
              </w:rPr>
              <w:t>6</w:t>
            </w:r>
          </w:p>
        </w:tc>
        <w:tc>
          <w:tcPr>
            <w:tcW w:w="3137" w:type="dxa"/>
            <w:gridSpan w:val="2"/>
            <w:vAlign w:val="center"/>
          </w:tcPr>
          <w:p>
            <w:pPr>
              <w:widowControl/>
              <w:spacing w:line="340" w:lineRule="exact"/>
              <w:jc w:val="center"/>
              <w:rPr>
                <w:rFonts w:hint="eastAsia" w:ascii="宋体" w:hAnsi="宋体"/>
                <w:szCs w:val="21"/>
              </w:rPr>
            </w:pPr>
            <w:r>
              <w:rPr>
                <w:rFonts w:hint="eastAsia" w:ascii="宋体" w:hAnsi="宋体"/>
                <w:szCs w:val="21"/>
              </w:rPr>
              <w:t>投标文件制作（</w:t>
            </w:r>
            <w:r>
              <w:rPr>
                <w:rFonts w:hint="eastAsia" w:ascii="宋体" w:hAnsi="宋体"/>
                <w:szCs w:val="21"/>
                <w:lang w:val="en-US" w:eastAsia="zh-CN"/>
              </w:rPr>
              <w:t>4</w:t>
            </w:r>
            <w:r>
              <w:rPr>
                <w:rFonts w:hint="eastAsia" w:ascii="宋体" w:hAnsi="宋体"/>
                <w:szCs w:val="21"/>
              </w:rPr>
              <w:t>分）</w:t>
            </w:r>
          </w:p>
        </w:tc>
        <w:tc>
          <w:tcPr>
            <w:tcW w:w="845" w:type="dxa"/>
            <w:vAlign w:val="center"/>
          </w:tcPr>
          <w:p>
            <w:pPr>
              <w:widowControl/>
              <w:spacing w:line="340" w:lineRule="exact"/>
              <w:jc w:val="center"/>
              <w:rPr>
                <w:rFonts w:hint="eastAsia" w:ascii="宋体" w:hAnsi="宋体"/>
                <w:szCs w:val="21"/>
              </w:rPr>
            </w:pPr>
            <w:r>
              <w:rPr>
                <w:rFonts w:hint="eastAsia" w:ascii="宋体" w:hAnsi="宋体"/>
                <w:szCs w:val="21"/>
                <w:lang w:val="en-US" w:eastAsia="zh-CN"/>
              </w:rPr>
              <w:t>4</w:t>
            </w:r>
            <w:r>
              <w:rPr>
                <w:rFonts w:ascii="宋体" w:hAnsi="宋体"/>
                <w:szCs w:val="21"/>
              </w:rPr>
              <w:t>分</w:t>
            </w:r>
          </w:p>
        </w:tc>
        <w:tc>
          <w:tcPr>
            <w:tcW w:w="4851" w:type="dxa"/>
            <w:vAlign w:val="center"/>
          </w:tcPr>
          <w:p>
            <w:pPr>
              <w:widowControl/>
              <w:spacing w:line="340" w:lineRule="exact"/>
              <w:rPr>
                <w:rFonts w:hint="eastAsia" w:ascii="宋体" w:hAnsi="宋体"/>
                <w:szCs w:val="21"/>
              </w:rPr>
            </w:pPr>
            <w:r>
              <w:rPr>
                <w:rFonts w:hint="eastAsia" w:ascii="宋体" w:hAnsi="宋体"/>
                <w:szCs w:val="21"/>
              </w:rPr>
              <w:t>投标文件需编制目录索引、页码无错乱、标题、编号、正文、表格等排版规范得4分，每出现一个错误扣0.5分，扣完为止。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9386" w:type="dxa"/>
            <w:gridSpan w:val="5"/>
            <w:vAlign w:val="center"/>
          </w:tcPr>
          <w:p>
            <w:pPr>
              <w:widowControl/>
              <w:spacing w:line="340" w:lineRule="exact"/>
              <w:jc w:val="left"/>
              <w:rPr>
                <w:rFonts w:ascii="宋体" w:hAnsi="宋体"/>
                <w:szCs w:val="21"/>
              </w:rPr>
            </w:pPr>
            <w:r>
              <w:rPr>
                <w:rFonts w:ascii="宋体" w:hAnsi="宋体"/>
                <w:szCs w:val="21"/>
              </w:rPr>
              <w:t>合计100分</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49"/>
        <w:snapToGrid w:val="0"/>
        <w:spacing w:before="0" w:after="0"/>
        <w:ind w:left="0"/>
        <w:rPr>
          <w:rFonts w:ascii="宋体" w:hAnsi="宋体"/>
          <w:color w:val="auto"/>
          <w:szCs w:val="28"/>
        </w:rPr>
      </w:pPr>
      <w:bookmarkStart w:id="62" w:name="_Toc23703"/>
      <w:bookmarkStart w:id="63" w:name="_Toc466015315"/>
      <w:bookmarkStart w:id="64" w:name="_Toc328816004"/>
      <w:bookmarkStart w:id="65" w:name="_Toc186274124"/>
      <w:bookmarkStart w:id="66" w:name="_Toc174185201"/>
      <w:r>
        <w:rPr>
          <w:rFonts w:hint="eastAsia" w:ascii="宋体" w:hAnsi="宋体"/>
          <w:color w:val="auto"/>
          <w:lang w:val="en-US" w:eastAsia="zh-CN"/>
        </w:rPr>
        <w:t xml:space="preserve"> </w:t>
      </w:r>
      <w:r>
        <w:rPr>
          <w:rFonts w:hint="eastAsia" w:ascii="宋体" w:hAnsi="宋体"/>
          <w:color w:val="auto"/>
        </w:rPr>
        <w:t>政府采购合同</w:t>
      </w:r>
      <w:bookmarkEnd w:id="62"/>
      <w:bookmarkEnd w:id="63"/>
      <w:bookmarkEnd w:id="64"/>
    </w:p>
    <w:p>
      <w:pPr>
        <w:pStyle w:val="6"/>
        <w:tabs>
          <w:tab w:val="left" w:pos="900"/>
          <w:tab w:val="clear" w:pos="1260"/>
        </w:tabs>
        <w:spacing w:before="0" w:after="0" w:line="480" w:lineRule="exact"/>
        <w:ind w:left="720" w:hanging="720"/>
        <w:jc w:val="center"/>
        <w:rPr>
          <w:rFonts w:hint="eastAsia" w:ascii="宋体" w:hAnsi="宋体" w:cs="宋体"/>
          <w:b/>
          <w:color w:val="auto"/>
          <w:sz w:val="21"/>
          <w:szCs w:val="21"/>
        </w:rPr>
      </w:pPr>
      <w:bookmarkStart w:id="67" w:name="_Toc86202632"/>
      <w:bookmarkStart w:id="68" w:name="_Toc15708"/>
    </w:p>
    <w:p>
      <w:pPr>
        <w:wordWrap w:val="0"/>
        <w:spacing w:line="700" w:lineRule="exact"/>
        <w:jc w:val="right"/>
        <w:rPr>
          <w:rFonts w:ascii="宋体" w:hAnsi="宋体"/>
          <w:b/>
          <w:sz w:val="21"/>
          <w:szCs w:val="21"/>
        </w:rPr>
      </w:pPr>
      <w:r>
        <w:rPr>
          <w:rFonts w:hint="eastAsia" w:ascii="宋体" w:hAnsi="宋体"/>
          <w:color w:val="auto"/>
          <w:kern w:val="44"/>
          <w:sz w:val="28"/>
          <w:szCs w:val="28"/>
        </w:rPr>
        <w:t xml:space="preserve">           </w:t>
      </w:r>
      <w:r>
        <w:rPr>
          <w:rFonts w:hint="eastAsia" w:ascii="华文细黑" w:hAnsi="华文细黑" w:eastAsia="华文细黑"/>
          <w:b/>
        </w:rPr>
        <w:t xml:space="preserve">合同编号：        </w:t>
      </w:r>
    </w:p>
    <w:p>
      <w:pPr>
        <w:spacing w:line="700" w:lineRule="exact"/>
        <w:jc w:val="right"/>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jc w:val="center"/>
        <w:rPr>
          <w:rFonts w:ascii="黑体" w:hAnsi="黑体" w:eastAsia="黑体"/>
          <w:b/>
          <w:sz w:val="44"/>
          <w:szCs w:val="44"/>
        </w:rPr>
      </w:pPr>
    </w:p>
    <w:p>
      <w:pPr>
        <w:jc w:val="center"/>
        <w:outlineLvl w:val="0"/>
        <w:rPr>
          <w:rFonts w:ascii="宋体" w:hAnsi="宋体"/>
          <w:b/>
          <w:sz w:val="52"/>
          <w:szCs w:val="52"/>
        </w:rPr>
      </w:pPr>
      <w:bookmarkStart w:id="69" w:name="_Toc24464"/>
      <w:r>
        <w:rPr>
          <w:rFonts w:hint="eastAsia" w:ascii="宋体" w:hAnsi="宋体"/>
          <w:b/>
          <w:sz w:val="52"/>
          <w:szCs w:val="52"/>
        </w:rPr>
        <w:t>北京市石景山区</w:t>
      </w:r>
      <w:bookmarkEnd w:id="69"/>
      <w:r>
        <w:rPr>
          <w:rFonts w:hint="eastAsia" w:ascii="宋体" w:hAnsi="宋体"/>
          <w:b/>
          <w:sz w:val="52"/>
          <w:szCs w:val="52"/>
          <w:lang w:eastAsia="zh-CN"/>
        </w:rPr>
        <w:t>图书馆</w:t>
      </w:r>
    </w:p>
    <w:p>
      <w:pPr>
        <w:jc w:val="center"/>
        <w:rPr>
          <w:rFonts w:ascii="宋体" w:hAnsi="宋体"/>
          <w:b/>
          <w:sz w:val="52"/>
          <w:szCs w:val="52"/>
        </w:rPr>
      </w:pPr>
      <w:r>
        <w:rPr>
          <w:rFonts w:hint="eastAsia" w:ascii="宋体" w:hAnsi="宋体"/>
          <w:b/>
          <w:sz w:val="52"/>
          <w:szCs w:val="52"/>
        </w:rPr>
        <w:t>物业</w:t>
      </w:r>
      <w:r>
        <w:rPr>
          <w:rFonts w:hint="eastAsia" w:ascii="宋体" w:hAnsi="宋体"/>
          <w:b/>
          <w:sz w:val="52"/>
          <w:szCs w:val="52"/>
          <w:lang w:eastAsia="zh-CN"/>
        </w:rPr>
        <w:t>管理</w:t>
      </w:r>
      <w:r>
        <w:rPr>
          <w:rFonts w:ascii="宋体" w:hAnsi="宋体"/>
          <w:b/>
          <w:sz w:val="52"/>
          <w:szCs w:val="52"/>
        </w:rPr>
        <w:t>服务</w:t>
      </w:r>
      <w:r>
        <w:rPr>
          <w:rFonts w:hint="eastAsia" w:ascii="宋体" w:hAnsi="宋体"/>
          <w:b/>
          <w:sz w:val="52"/>
          <w:szCs w:val="52"/>
        </w:rPr>
        <w:t>委托</w:t>
      </w:r>
      <w:r>
        <w:rPr>
          <w:rFonts w:ascii="宋体" w:hAnsi="宋体"/>
          <w:b/>
          <w:sz w:val="52"/>
          <w:szCs w:val="52"/>
        </w:rPr>
        <w:t>合同</w:t>
      </w:r>
    </w:p>
    <w:p>
      <w:pPr>
        <w:spacing w:line="700" w:lineRule="exact"/>
        <w:ind w:right="560"/>
        <w:rPr>
          <w:rFonts w:ascii="宋体" w:hAnsi="宋体"/>
          <w:sz w:val="52"/>
          <w:szCs w:val="52"/>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firstLine="984" w:firstLineChars="350"/>
        <w:rPr>
          <w:rFonts w:ascii="宋体" w:hAnsi="宋体"/>
          <w:b/>
          <w:sz w:val="28"/>
          <w:szCs w:val="28"/>
        </w:rPr>
      </w:pPr>
      <w:r>
        <w:rPr>
          <w:rFonts w:hint="eastAsia" w:ascii="宋体" w:hAnsi="宋体"/>
          <w:b/>
          <w:sz w:val="28"/>
          <w:szCs w:val="28"/>
        </w:rPr>
        <w:t>委托方（甲方）</w:t>
      </w:r>
      <w:r>
        <w:rPr>
          <w:rFonts w:hint="eastAsia" w:ascii="宋体" w:hAnsi="宋体"/>
          <w:b/>
          <w:sz w:val="28"/>
          <w:szCs w:val="28"/>
          <w:u w:val="single"/>
        </w:rPr>
        <w:t xml:space="preserve">  北京市石景山区</w:t>
      </w:r>
      <w:r>
        <w:rPr>
          <w:rFonts w:hint="eastAsia" w:ascii="宋体" w:hAnsi="宋体"/>
          <w:b/>
          <w:sz w:val="28"/>
          <w:szCs w:val="28"/>
          <w:u w:val="single"/>
          <w:lang w:eastAsia="zh-CN"/>
        </w:rPr>
        <w:t>图书馆</w:t>
      </w:r>
      <w:r>
        <w:rPr>
          <w:rFonts w:hint="eastAsia" w:ascii="宋体" w:hAnsi="宋体"/>
          <w:b/>
          <w:sz w:val="28"/>
          <w:szCs w:val="28"/>
          <w:u w:val="single"/>
          <w:lang w:val="en-US" w:eastAsia="zh-CN"/>
        </w:rPr>
        <w:t xml:space="preserve">  </w:t>
      </w:r>
      <w:r>
        <w:rPr>
          <w:rFonts w:hint="eastAsia" w:ascii="宋体" w:hAnsi="宋体"/>
          <w:b/>
          <w:sz w:val="28"/>
          <w:szCs w:val="28"/>
          <w:u w:val="single"/>
        </w:rPr>
        <w:t xml:space="preserve">           </w:t>
      </w:r>
    </w:p>
    <w:p>
      <w:pPr>
        <w:spacing w:line="700" w:lineRule="exact"/>
        <w:ind w:right="560" w:firstLine="984" w:firstLineChars="350"/>
        <w:rPr>
          <w:rFonts w:ascii="宋体" w:hAnsi="宋体"/>
          <w:b/>
          <w:sz w:val="28"/>
          <w:szCs w:val="28"/>
        </w:rPr>
      </w:pPr>
      <w:r>
        <w:rPr>
          <w:rFonts w:hint="eastAsia" w:ascii="宋体" w:hAnsi="宋体"/>
          <w:b/>
          <w:sz w:val="28"/>
          <w:szCs w:val="28"/>
        </w:rPr>
        <w:t>受托方（乙方）</w:t>
      </w:r>
      <w:r>
        <w:rPr>
          <w:rFonts w:hint="eastAsia" w:ascii="宋体" w:hAnsi="宋体"/>
          <w:b/>
          <w:sz w:val="28"/>
          <w:szCs w:val="28"/>
          <w:u w:val="single"/>
        </w:rPr>
        <w:t xml:space="preserve">                                   </w:t>
      </w:r>
    </w:p>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outlineLvl w:val="9"/>
        <w:rPr>
          <w:rFonts w:hint="eastAsia" w:ascii="宋体"/>
          <w:b/>
          <w:sz w:val="36"/>
          <w:szCs w:val="30"/>
        </w:rPr>
      </w:pPr>
      <w:bookmarkStart w:id="70" w:name="_Toc31257"/>
      <w:r>
        <w:rPr>
          <w:rFonts w:hint="eastAsia" w:ascii="宋体"/>
          <w:b/>
          <w:sz w:val="36"/>
          <w:szCs w:val="30"/>
        </w:rPr>
        <w:t>石景山区</w:t>
      </w:r>
      <w:r>
        <w:rPr>
          <w:rFonts w:hint="eastAsia" w:ascii="宋体"/>
          <w:b/>
          <w:sz w:val="36"/>
          <w:szCs w:val="30"/>
          <w:lang w:val="en-US" w:eastAsia="zh-CN"/>
        </w:rPr>
        <w:t>图书馆</w:t>
      </w:r>
      <w:r>
        <w:rPr>
          <w:rFonts w:hint="eastAsia" w:ascii="宋体"/>
          <w:b/>
          <w:sz w:val="36"/>
          <w:szCs w:val="30"/>
        </w:rPr>
        <w:t>物业管理服务委托合同</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仿宋_GB2312" w:eastAsia="仿宋_GB2312"/>
          <w:sz w:val="32"/>
          <w:szCs w:val="30"/>
        </w:rPr>
      </w:pPr>
    </w:p>
    <w:p>
      <w:pPr>
        <w:keepNext w:val="0"/>
        <w:keepLines w:val="0"/>
        <w:pageBreakBefore w:val="0"/>
        <w:widowControl w:val="0"/>
        <w:numPr>
          <w:ilvl w:val="0"/>
          <w:numId w:val="23"/>
        </w:numPr>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总  则</w:t>
      </w:r>
    </w:p>
    <w:p>
      <w:pPr>
        <w:keepNext w:val="0"/>
        <w:keepLines w:val="0"/>
        <w:pageBreakBefore w:val="0"/>
        <w:widowControl w:val="0"/>
        <w:numPr>
          <w:ilvl w:val="0"/>
          <w:numId w:val="24"/>
        </w:numPr>
        <w:kinsoku/>
        <w:wordWrap/>
        <w:overflowPunct/>
        <w:topLinePunct w:val="0"/>
        <w:autoSpaceDE/>
        <w:autoSpaceDN/>
        <w:bidi w:val="0"/>
        <w:adjustRightInd w:val="0"/>
        <w:snapToGrid/>
        <w:spacing w:line="520" w:lineRule="exact"/>
        <w:ind w:right="0" w:rightChars="0" w:hanging="660"/>
        <w:outlineLvl w:val="9"/>
        <w:rPr>
          <w:rFonts w:hint="eastAsia" w:ascii="宋体" w:hAnsi="宋体" w:eastAsia="宋体" w:cs="宋体"/>
          <w:sz w:val="24"/>
          <w:szCs w:val="24"/>
        </w:rPr>
      </w:pPr>
      <w:r>
        <w:rPr>
          <w:rFonts w:hint="eastAsia" w:ascii="宋体" w:hAnsi="宋体" w:eastAsia="宋体" w:cs="宋体"/>
          <w:sz w:val="24"/>
          <w:szCs w:val="24"/>
        </w:rPr>
        <w:t>本合同当事人</w:t>
      </w:r>
    </w:p>
    <w:p>
      <w:pPr>
        <w:keepNext w:val="0"/>
        <w:keepLines w:val="0"/>
        <w:pageBreakBefore w:val="0"/>
        <w:widowControl w:val="0"/>
        <w:kinsoku/>
        <w:wordWrap/>
        <w:overflowPunct/>
        <w:topLinePunct w:val="0"/>
        <w:autoSpaceDE/>
        <w:autoSpaceDN/>
        <w:bidi w:val="0"/>
        <w:adjustRightInd w:val="0"/>
        <w:snapToGrid/>
        <w:spacing w:line="520" w:lineRule="exact"/>
        <w:ind w:left="617" w:leftChars="257" w:right="0" w:rightChars="0"/>
        <w:outlineLvl w:val="9"/>
        <w:rPr>
          <w:rFonts w:hint="eastAsia" w:ascii="宋体" w:hAnsi="宋体" w:eastAsia="宋体" w:cs="宋体"/>
          <w:sz w:val="24"/>
          <w:szCs w:val="24"/>
        </w:rPr>
      </w:pPr>
      <w:r>
        <w:rPr>
          <w:rFonts w:hint="eastAsia" w:ascii="宋体" w:hAnsi="宋体" w:eastAsia="宋体" w:cs="宋体"/>
          <w:sz w:val="24"/>
          <w:szCs w:val="24"/>
        </w:rPr>
        <w:t>委托方（以下简称甲方）</w:t>
      </w:r>
    </w:p>
    <w:p>
      <w:pPr>
        <w:keepNext w:val="0"/>
        <w:keepLines w:val="0"/>
        <w:pageBreakBefore w:val="0"/>
        <w:widowControl w:val="0"/>
        <w:kinsoku/>
        <w:wordWrap/>
        <w:overflowPunct/>
        <w:topLinePunct w:val="0"/>
        <w:autoSpaceDE/>
        <w:autoSpaceDN/>
        <w:bidi w:val="0"/>
        <w:adjustRightInd w:val="0"/>
        <w:snapToGrid/>
        <w:spacing w:line="520" w:lineRule="exact"/>
        <w:ind w:left="617" w:leftChars="257" w:right="0" w:rightChars="0"/>
        <w:outlineLvl w:val="9"/>
        <w:rPr>
          <w:rFonts w:hint="eastAsia" w:ascii="宋体" w:hAnsi="宋体" w:eastAsia="宋体" w:cs="宋体"/>
          <w:sz w:val="24"/>
          <w:szCs w:val="24"/>
        </w:rPr>
      </w:pPr>
      <w:r>
        <w:rPr>
          <w:rFonts w:hint="eastAsia" w:ascii="宋体" w:hAnsi="宋体" w:eastAsia="宋体" w:cs="宋体"/>
          <w:sz w:val="24"/>
          <w:szCs w:val="24"/>
        </w:rPr>
        <w:t>名称：北京市石景山区图书馆</w:t>
      </w:r>
    </w:p>
    <w:p>
      <w:pPr>
        <w:keepNext w:val="0"/>
        <w:keepLines w:val="0"/>
        <w:pageBreakBefore w:val="0"/>
        <w:widowControl w:val="0"/>
        <w:kinsoku/>
        <w:wordWrap/>
        <w:overflowPunct/>
        <w:topLinePunct w:val="0"/>
        <w:autoSpaceDE/>
        <w:autoSpaceDN/>
        <w:bidi w:val="0"/>
        <w:adjustRightInd w:val="0"/>
        <w:snapToGrid/>
        <w:spacing w:line="520" w:lineRule="exact"/>
        <w:ind w:left="617" w:leftChars="257" w:right="0" w:rightChars="0"/>
        <w:outlineLvl w:val="9"/>
        <w:rPr>
          <w:rFonts w:hint="eastAsia" w:ascii="宋体" w:hAnsi="宋体" w:eastAsia="宋体" w:cs="宋体"/>
          <w:sz w:val="24"/>
          <w:szCs w:val="24"/>
        </w:rPr>
      </w:pPr>
      <w:r>
        <w:rPr>
          <w:rFonts w:hint="eastAsia" w:ascii="宋体" w:hAnsi="宋体" w:eastAsia="宋体" w:cs="宋体"/>
          <w:sz w:val="24"/>
          <w:szCs w:val="24"/>
        </w:rPr>
        <w:t>地址：石景山区八角南路2号</w:t>
      </w:r>
    </w:p>
    <w:p>
      <w:pPr>
        <w:keepNext w:val="0"/>
        <w:keepLines w:val="0"/>
        <w:pageBreakBefore w:val="0"/>
        <w:widowControl w:val="0"/>
        <w:kinsoku/>
        <w:wordWrap/>
        <w:overflowPunct/>
        <w:topLinePunct w:val="0"/>
        <w:autoSpaceDE/>
        <w:autoSpaceDN/>
        <w:bidi w:val="0"/>
        <w:adjustRightInd w:val="0"/>
        <w:snapToGrid/>
        <w:spacing w:line="520" w:lineRule="exact"/>
        <w:ind w:left="617" w:leftChars="257" w:right="0" w:rightChars="0"/>
        <w:outlineLvl w:val="9"/>
        <w:rPr>
          <w:rFonts w:hint="eastAsia" w:ascii="宋体" w:hAnsi="宋体" w:eastAsia="宋体" w:cs="宋体"/>
          <w:sz w:val="24"/>
          <w:szCs w:val="24"/>
        </w:rPr>
      </w:pPr>
      <w:r>
        <w:rPr>
          <w:rFonts w:hint="eastAsia" w:ascii="宋体" w:hAnsi="宋体" w:eastAsia="宋体" w:cs="宋体"/>
          <w:sz w:val="24"/>
          <w:szCs w:val="24"/>
        </w:rPr>
        <w:t>负责人：</w:t>
      </w:r>
    </w:p>
    <w:p>
      <w:pPr>
        <w:keepNext w:val="0"/>
        <w:keepLines w:val="0"/>
        <w:pageBreakBefore w:val="0"/>
        <w:widowControl w:val="0"/>
        <w:kinsoku/>
        <w:wordWrap/>
        <w:overflowPunct/>
        <w:topLinePunct w:val="0"/>
        <w:autoSpaceDE/>
        <w:autoSpaceDN/>
        <w:bidi w:val="0"/>
        <w:adjustRightInd w:val="0"/>
        <w:snapToGrid/>
        <w:spacing w:line="520" w:lineRule="exact"/>
        <w:ind w:left="3374" w:leftChars="256" w:right="0" w:rightChars="0" w:hanging="2760" w:hangingChars="1150"/>
        <w:outlineLvl w:val="9"/>
        <w:rPr>
          <w:rFonts w:hint="eastAsia" w:ascii="宋体" w:hAnsi="宋体" w:eastAsia="宋体" w:cs="宋体"/>
          <w:sz w:val="24"/>
          <w:szCs w:val="24"/>
        </w:rPr>
      </w:pPr>
      <w:r>
        <w:rPr>
          <w:rFonts w:hint="eastAsia" w:ascii="宋体" w:hAnsi="宋体" w:eastAsia="宋体" w:cs="宋体"/>
          <w:sz w:val="24"/>
          <w:szCs w:val="24"/>
        </w:rPr>
        <w:t>受托方（以下简称乙方）</w:t>
      </w:r>
    </w:p>
    <w:p>
      <w:pPr>
        <w:keepNext w:val="0"/>
        <w:keepLines w:val="0"/>
        <w:pageBreakBefore w:val="0"/>
        <w:widowControl w:val="0"/>
        <w:kinsoku/>
        <w:wordWrap/>
        <w:overflowPunct/>
        <w:topLinePunct w:val="0"/>
        <w:autoSpaceDE/>
        <w:autoSpaceDN/>
        <w:bidi w:val="0"/>
        <w:adjustRightInd w:val="0"/>
        <w:snapToGrid/>
        <w:spacing w:line="520" w:lineRule="exact"/>
        <w:ind w:left="3374" w:leftChars="256" w:right="0" w:rightChars="0" w:hanging="2760" w:hangingChars="1150"/>
        <w:outlineLvl w:val="9"/>
        <w:rPr>
          <w:rFonts w:hint="eastAsia" w:ascii="宋体" w:hAnsi="宋体" w:eastAsia="宋体" w:cs="宋体"/>
          <w:sz w:val="24"/>
          <w:szCs w:val="24"/>
        </w:rPr>
      </w:pPr>
      <w:r>
        <w:rPr>
          <w:rFonts w:hint="eastAsia" w:ascii="宋体" w:hAnsi="宋体" w:eastAsia="宋体" w:cs="宋体"/>
          <w:sz w:val="24"/>
          <w:szCs w:val="24"/>
        </w:rPr>
        <w:t>名称：</w:t>
      </w:r>
    </w:p>
    <w:p>
      <w:pPr>
        <w:keepNext w:val="0"/>
        <w:keepLines w:val="0"/>
        <w:pageBreakBefore w:val="0"/>
        <w:widowControl w:val="0"/>
        <w:kinsoku/>
        <w:wordWrap/>
        <w:overflowPunct/>
        <w:topLinePunct w:val="0"/>
        <w:autoSpaceDE/>
        <w:autoSpaceDN/>
        <w:bidi w:val="0"/>
        <w:adjustRightInd w:val="0"/>
        <w:snapToGrid/>
        <w:spacing w:line="520" w:lineRule="exact"/>
        <w:ind w:left="3374" w:leftChars="256" w:right="0" w:rightChars="0" w:hanging="2760" w:hangingChars="1150"/>
        <w:outlineLvl w:val="9"/>
        <w:rPr>
          <w:rFonts w:hint="eastAsia" w:ascii="宋体" w:hAnsi="宋体" w:eastAsia="宋体" w:cs="宋体"/>
          <w:sz w:val="24"/>
          <w:szCs w:val="24"/>
        </w:rPr>
      </w:pPr>
      <w:r>
        <w:rPr>
          <w:rFonts w:hint="eastAsia" w:ascii="宋体" w:hAnsi="宋体" w:eastAsia="宋体" w:cs="宋体"/>
          <w:sz w:val="24"/>
          <w:szCs w:val="24"/>
        </w:rPr>
        <w:t>地址：</w:t>
      </w:r>
    </w:p>
    <w:p>
      <w:pPr>
        <w:keepNext w:val="0"/>
        <w:keepLines w:val="0"/>
        <w:pageBreakBefore w:val="0"/>
        <w:widowControl w:val="0"/>
        <w:kinsoku/>
        <w:wordWrap/>
        <w:overflowPunct/>
        <w:topLinePunct w:val="0"/>
        <w:autoSpaceDE/>
        <w:autoSpaceDN/>
        <w:bidi w:val="0"/>
        <w:adjustRightInd w:val="0"/>
        <w:snapToGrid/>
        <w:spacing w:line="520" w:lineRule="exact"/>
        <w:ind w:left="3374" w:leftChars="256" w:right="0" w:rightChars="0" w:hanging="2760" w:hangingChars="1150"/>
        <w:outlineLvl w:val="9"/>
        <w:rPr>
          <w:rFonts w:hint="eastAsia" w:ascii="宋体" w:hAnsi="宋体" w:eastAsia="宋体" w:cs="宋体"/>
          <w:sz w:val="24"/>
          <w:szCs w:val="24"/>
        </w:rPr>
      </w:pPr>
      <w:r>
        <w:rPr>
          <w:rFonts w:hint="eastAsia" w:ascii="宋体" w:hAnsi="宋体" w:eastAsia="宋体" w:cs="宋体"/>
          <w:sz w:val="24"/>
          <w:szCs w:val="24"/>
        </w:rPr>
        <w:t>法定代表人：</w:t>
      </w:r>
    </w:p>
    <w:p>
      <w:pPr>
        <w:keepNext w:val="0"/>
        <w:keepLines w:val="0"/>
        <w:pageBreakBefore w:val="0"/>
        <w:widowControl w:val="0"/>
        <w:kinsoku/>
        <w:wordWrap/>
        <w:overflowPunct/>
        <w:topLinePunct w:val="0"/>
        <w:autoSpaceDE/>
        <w:autoSpaceDN/>
        <w:bidi w:val="0"/>
        <w:adjustRightInd w:val="0"/>
        <w:snapToGrid/>
        <w:spacing w:line="520" w:lineRule="exact"/>
        <w:ind w:left="550" w:leftChars="229" w:right="0" w:rightChars="0"/>
        <w:outlineLvl w:val="9"/>
        <w:rPr>
          <w:rFonts w:hint="eastAsia" w:ascii="宋体" w:hAnsi="宋体" w:eastAsia="宋体" w:cs="宋体"/>
          <w:sz w:val="24"/>
          <w:szCs w:val="24"/>
        </w:rPr>
      </w:pPr>
      <w:r>
        <w:rPr>
          <w:rFonts w:hint="eastAsia" w:ascii="宋体" w:hAnsi="宋体" w:eastAsia="宋体" w:cs="宋体"/>
          <w:sz w:val="24"/>
          <w:szCs w:val="24"/>
        </w:rPr>
        <w:t>物业管理资质等级证书编号：</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根据有关法律、法规，甲、乙双方在自愿、平等、协商一致的基础上，就甲方委托乙方为其提供物业管理服务事宜，订立本合同。</w:t>
      </w:r>
    </w:p>
    <w:p>
      <w:pPr>
        <w:keepNext w:val="0"/>
        <w:keepLines w:val="0"/>
        <w:pageBreakBefore w:val="0"/>
        <w:widowControl w:val="0"/>
        <w:numPr>
          <w:ilvl w:val="0"/>
          <w:numId w:val="24"/>
        </w:numPr>
        <w:kinsoku/>
        <w:wordWrap/>
        <w:overflowPunct/>
        <w:topLinePunct w:val="0"/>
        <w:autoSpaceDE/>
        <w:autoSpaceDN/>
        <w:bidi w:val="0"/>
        <w:adjustRightInd w:val="0"/>
        <w:snapToGrid/>
        <w:spacing w:line="520" w:lineRule="exact"/>
        <w:ind w:right="0" w:rightChars="0" w:hanging="660"/>
        <w:outlineLvl w:val="9"/>
        <w:rPr>
          <w:rFonts w:hint="eastAsia" w:ascii="宋体" w:hAnsi="宋体" w:eastAsia="宋体" w:cs="宋体"/>
          <w:sz w:val="24"/>
          <w:szCs w:val="24"/>
        </w:rPr>
      </w:pPr>
      <w:r>
        <w:rPr>
          <w:rFonts w:hint="eastAsia" w:ascii="宋体" w:hAnsi="宋体" w:eastAsia="宋体" w:cs="宋体"/>
          <w:sz w:val="24"/>
          <w:szCs w:val="24"/>
        </w:rPr>
        <w:t>物业管理区域基本情况</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物业基本类型：公用建筑及相关设施</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服务区域：石景山区图书馆（地址为石景山区八角南路2号）及石景山区图书馆少儿馆（石景山区古城南路11号），合计馆舍面积12</w:t>
      </w:r>
      <w:r>
        <w:rPr>
          <w:rFonts w:hint="eastAsia" w:ascii="宋体" w:hAnsi="宋体" w:eastAsia="宋体" w:cs="宋体"/>
          <w:sz w:val="24"/>
          <w:szCs w:val="24"/>
          <w:lang w:val="en-US" w:eastAsia="zh-CN"/>
        </w:rPr>
        <w:t>278</w:t>
      </w:r>
      <w:r>
        <w:rPr>
          <w:rFonts w:hint="eastAsia" w:ascii="宋体" w:hAnsi="宋体" w:eastAsia="宋体" w:cs="宋体"/>
          <w:sz w:val="24"/>
          <w:szCs w:val="24"/>
        </w:rPr>
        <w:t>㎡。</w:t>
      </w:r>
    </w:p>
    <w:p>
      <w:pPr>
        <w:pStyle w:val="2"/>
        <w:keepNext w:val="0"/>
        <w:keepLines w:val="0"/>
        <w:pageBreakBefore w:val="0"/>
        <w:widowControl w:val="0"/>
        <w:kinsoku/>
        <w:wordWrap/>
        <w:overflowPunct/>
        <w:topLinePunct w:val="0"/>
        <w:autoSpaceDE/>
        <w:autoSpaceDN/>
        <w:bidi w:val="0"/>
        <w:adjustRightInd w:val="0"/>
        <w:snapToGrid/>
        <w:spacing w:after="0" w:line="520" w:lineRule="exact"/>
        <w:ind w:right="0" w:rightChars="0"/>
        <w:outlineLvl w:val="9"/>
        <w:rPr>
          <w:rFonts w:hint="eastAsia"/>
        </w:rPr>
      </w:pPr>
    </w:p>
    <w:p>
      <w:pPr>
        <w:keepNext w:val="0"/>
        <w:keepLines w:val="0"/>
        <w:pageBreakBefore w:val="0"/>
        <w:widowControl w:val="0"/>
        <w:numPr>
          <w:ilvl w:val="0"/>
          <w:numId w:val="23"/>
        </w:numPr>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乙方物业管理服务内容和要求</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乙方向甲方派遣物业管理人员共2</w:t>
      </w:r>
      <w:r>
        <w:rPr>
          <w:rFonts w:hint="eastAsia" w:ascii="宋体" w:hAnsi="宋体" w:eastAsia="宋体" w:cs="宋体"/>
          <w:sz w:val="24"/>
          <w:szCs w:val="24"/>
          <w:lang w:val="en-US" w:eastAsia="zh-CN"/>
        </w:rPr>
        <w:t>6</w:t>
      </w:r>
      <w:r>
        <w:rPr>
          <w:rFonts w:hint="eastAsia" w:ascii="宋体" w:hAnsi="宋体" w:eastAsia="宋体" w:cs="宋体"/>
          <w:sz w:val="24"/>
          <w:szCs w:val="24"/>
        </w:rPr>
        <w:t>人组成项目团队，包括下列人员：项目经理1人；工程部</w:t>
      </w:r>
      <w:r>
        <w:rPr>
          <w:rFonts w:hint="eastAsia" w:ascii="宋体" w:hAnsi="宋体" w:eastAsia="宋体" w:cs="宋体"/>
          <w:sz w:val="24"/>
          <w:szCs w:val="24"/>
          <w:lang w:val="en-US" w:eastAsia="zh-CN"/>
        </w:rPr>
        <w:t>5</w:t>
      </w:r>
      <w:r>
        <w:rPr>
          <w:rFonts w:hint="eastAsia" w:ascii="宋体" w:hAnsi="宋体" w:eastAsia="宋体" w:cs="宋体"/>
          <w:sz w:val="24"/>
          <w:szCs w:val="24"/>
        </w:rPr>
        <w:t>人</w:t>
      </w:r>
      <w:r>
        <w:rPr>
          <w:rFonts w:hint="eastAsia" w:ascii="宋体" w:hAnsi="宋体" w:eastAsia="宋体" w:cs="宋体"/>
          <w:sz w:val="24"/>
          <w:szCs w:val="24"/>
          <w:lang w:eastAsia="zh-CN"/>
        </w:rPr>
        <w:t>（</w:t>
      </w:r>
      <w:r>
        <w:rPr>
          <w:rFonts w:hint="eastAsia" w:ascii="宋体" w:hAnsi="宋体" w:eastAsia="宋体" w:cs="宋体"/>
          <w:sz w:val="24"/>
          <w:szCs w:val="24"/>
        </w:rPr>
        <w:t>其中具有高、低压本特种作业操作证的电工2人，综修工2人</w:t>
      </w:r>
      <w:r>
        <w:rPr>
          <w:rFonts w:hint="eastAsia" w:ascii="宋体" w:hAnsi="宋体" w:eastAsia="宋体" w:cs="宋体"/>
          <w:sz w:val="24"/>
          <w:szCs w:val="24"/>
          <w:lang w:eastAsia="zh-CN"/>
        </w:rPr>
        <w:t>）</w:t>
      </w:r>
      <w:r>
        <w:rPr>
          <w:rFonts w:hint="eastAsia" w:ascii="宋体" w:hAnsi="宋体" w:eastAsia="宋体" w:cs="宋体"/>
          <w:sz w:val="24"/>
          <w:szCs w:val="24"/>
        </w:rPr>
        <w:t>；保洁部8人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，安</w:t>
      </w:r>
      <w:r>
        <w:rPr>
          <w:rFonts w:hint="eastAsia" w:ascii="宋体" w:hAnsi="宋体" w:eastAsia="宋体" w:cs="宋体"/>
          <w:sz w:val="24"/>
          <w:szCs w:val="24"/>
        </w:rPr>
        <w:t>保部</w:t>
      </w:r>
      <w:r>
        <w:rPr>
          <w:rFonts w:hint="eastAsia" w:ascii="宋体" w:hAnsi="宋体" w:eastAsia="宋体" w:cs="宋体"/>
          <w:sz w:val="24"/>
          <w:szCs w:val="24"/>
          <w:lang w:val="en-US" w:eastAsia="zh-CN"/>
        </w:rPr>
        <w:t>14</w:t>
      </w:r>
      <w:r>
        <w:rPr>
          <w:rFonts w:hint="eastAsia" w:ascii="宋体" w:hAnsi="宋体" w:eastAsia="宋体" w:cs="宋体"/>
          <w:sz w:val="24"/>
          <w:szCs w:val="24"/>
        </w:rPr>
        <w:t>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其中中控员及保安员需具备专业资格证</w:t>
      </w:r>
      <w:r>
        <w:rPr>
          <w:rFonts w:hint="eastAsia" w:ascii="宋体" w:hAnsi="宋体" w:eastAsia="宋体" w:cs="宋体"/>
          <w:sz w:val="24"/>
          <w:szCs w:val="24"/>
          <w:lang w:eastAsia="zh-CN"/>
        </w:rPr>
        <w:t>）</w:t>
      </w:r>
      <w:r>
        <w:rPr>
          <w:rFonts w:hint="eastAsia" w:ascii="宋体" w:hAnsi="宋体" w:eastAsia="宋体" w:cs="宋体"/>
          <w:sz w:val="24"/>
          <w:szCs w:val="24"/>
        </w:rPr>
        <w:t>。</w:t>
      </w:r>
    </w:p>
    <w:p>
      <w:pPr>
        <w:pStyle w:val="2"/>
        <w:keepNext w:val="0"/>
        <w:keepLines w:val="0"/>
        <w:pageBreakBefore w:val="0"/>
        <w:widowControl w:val="0"/>
        <w:kinsoku/>
        <w:wordWrap/>
        <w:overflowPunct/>
        <w:topLinePunct w:val="0"/>
        <w:autoSpaceDE/>
        <w:autoSpaceDN/>
        <w:bidi w:val="0"/>
        <w:adjustRightInd w:val="0"/>
        <w:snapToGrid/>
        <w:spacing w:after="0" w:line="520" w:lineRule="exact"/>
        <w:ind w:left="0" w:leftChars="0" w:right="0" w:rightChars="0" w:firstLine="482" w:firstLineChars="200"/>
        <w:outlineLvl w:val="9"/>
        <w:rPr>
          <w:rFonts w:hint="eastAsia" w:ascii="宋体" w:hAnsi="宋体" w:eastAsia="宋体" w:cs="宋体"/>
          <w:sz w:val="24"/>
          <w:szCs w:val="24"/>
        </w:rPr>
      </w:pPr>
      <w:r>
        <w:rPr>
          <w:rFonts w:hint="eastAsia" w:ascii="宋体" w:hAnsi="宋体" w:eastAsia="宋体" w:cs="宋体"/>
          <w:b/>
          <w:bCs/>
          <w:sz w:val="24"/>
          <w:szCs w:val="24"/>
          <w:lang w:val="en-US" w:eastAsia="zh-CN"/>
        </w:rPr>
        <w:t>具体岗位情况如下：</w:t>
      </w:r>
    </w:p>
    <w:tbl>
      <w:tblPr>
        <w:tblStyle w:val="32"/>
        <w:tblW w:w="8328" w:type="dxa"/>
        <w:jc w:val="center"/>
        <w:tblInd w:w="0" w:type="dxa"/>
        <w:tblLayout w:type="fixed"/>
        <w:tblCellMar>
          <w:top w:w="0" w:type="dxa"/>
          <w:left w:w="108" w:type="dxa"/>
          <w:bottom w:w="0" w:type="dxa"/>
          <w:right w:w="108" w:type="dxa"/>
        </w:tblCellMar>
      </w:tblPr>
      <w:tblGrid>
        <w:gridCol w:w="3224"/>
        <w:gridCol w:w="3847"/>
        <w:gridCol w:w="1257"/>
      </w:tblGrid>
      <w:tr>
        <w:tblPrEx>
          <w:tblLayout w:type="fixed"/>
          <w:tblCellMar>
            <w:top w:w="0" w:type="dxa"/>
            <w:left w:w="108" w:type="dxa"/>
            <w:bottom w:w="0" w:type="dxa"/>
            <w:right w:w="108" w:type="dxa"/>
          </w:tblCellMar>
        </w:tblPrEx>
        <w:trPr>
          <w:trHeight w:val="359" w:hRule="atLeast"/>
          <w:jc w:val="center"/>
        </w:trPr>
        <w:tc>
          <w:tcPr>
            <w:tcW w:w="322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部门</w:t>
            </w: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岗位</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人数 </w:t>
            </w:r>
          </w:p>
        </w:tc>
      </w:tr>
      <w:tr>
        <w:tblPrEx>
          <w:tblLayout w:type="fixed"/>
          <w:tblCellMar>
            <w:top w:w="0" w:type="dxa"/>
            <w:left w:w="108" w:type="dxa"/>
            <w:bottom w:w="0" w:type="dxa"/>
            <w:right w:w="108" w:type="dxa"/>
          </w:tblCellMar>
        </w:tblPrEx>
        <w:trPr>
          <w:trHeight w:val="359" w:hRule="atLeast"/>
          <w:jc w:val="center"/>
        </w:trPr>
        <w:tc>
          <w:tcPr>
            <w:tcW w:w="322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项目负责人</w:t>
            </w: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项目经理</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359" w:hRule="atLeast"/>
          <w:jc w:val="center"/>
        </w:trPr>
        <w:tc>
          <w:tcPr>
            <w:tcW w:w="322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工程部</w:t>
            </w: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综合服务协调（辅助管理）</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r>
      <w:tr>
        <w:tblPrEx>
          <w:tblLayout w:type="fixed"/>
          <w:tblCellMar>
            <w:top w:w="0" w:type="dxa"/>
            <w:left w:w="108" w:type="dxa"/>
            <w:bottom w:w="0" w:type="dxa"/>
            <w:right w:w="108" w:type="dxa"/>
          </w:tblCellMar>
        </w:tblPrEx>
        <w:trPr>
          <w:trHeight w:val="359" w:hRule="atLeast"/>
          <w:jc w:val="center"/>
        </w:trPr>
        <w:tc>
          <w:tcPr>
            <w:tcW w:w="3224" w:type="dxa"/>
            <w:vMerge w:val="continue"/>
            <w:tcBorders>
              <w:left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bidi="ar"/>
              </w:rPr>
            </w:pP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bidi="ar"/>
              </w:rPr>
              <w:t>高、低压电工（各1人，持证）</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bidi="ar"/>
              </w:rPr>
              <w:t>2</w:t>
            </w:r>
          </w:p>
        </w:tc>
      </w:tr>
      <w:tr>
        <w:tblPrEx>
          <w:tblLayout w:type="fixed"/>
          <w:tblCellMar>
            <w:top w:w="0" w:type="dxa"/>
            <w:left w:w="108" w:type="dxa"/>
            <w:bottom w:w="0" w:type="dxa"/>
            <w:right w:w="108" w:type="dxa"/>
          </w:tblCellMar>
        </w:tblPrEx>
        <w:trPr>
          <w:trHeight w:val="359" w:hRule="atLeast"/>
          <w:jc w:val="center"/>
        </w:trPr>
        <w:tc>
          <w:tcPr>
            <w:tcW w:w="322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color w:val="auto"/>
                <w:sz w:val="24"/>
                <w:szCs w:val="24"/>
              </w:rPr>
            </w:pP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综合维修</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359" w:hRule="atLeast"/>
          <w:jc w:val="center"/>
        </w:trPr>
        <w:tc>
          <w:tcPr>
            <w:tcW w:w="322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环境管理部</w:t>
            </w:r>
          </w:p>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val="en-US" w:eastAsia="zh-CN" w:bidi="ar"/>
              </w:rPr>
              <w:t>保洁</w:t>
            </w:r>
            <w:r>
              <w:rPr>
                <w:rFonts w:hint="eastAsia" w:ascii="宋体" w:hAnsi="宋体" w:eastAsia="宋体" w:cs="宋体"/>
                <w:color w:val="auto"/>
                <w:sz w:val="24"/>
                <w:szCs w:val="24"/>
                <w:lang w:eastAsia="zh-CN" w:bidi="ar"/>
              </w:rPr>
              <w:t>）</w:t>
            </w: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保洁主管</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359" w:hRule="atLeast"/>
          <w:jc w:val="center"/>
        </w:trPr>
        <w:tc>
          <w:tcPr>
            <w:tcW w:w="322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color w:val="auto"/>
                <w:sz w:val="24"/>
                <w:szCs w:val="24"/>
              </w:rPr>
            </w:pP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领班</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359" w:hRule="atLeast"/>
          <w:jc w:val="center"/>
        </w:trPr>
        <w:tc>
          <w:tcPr>
            <w:tcW w:w="322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color w:val="auto"/>
                <w:sz w:val="24"/>
                <w:szCs w:val="24"/>
              </w:rPr>
            </w:pP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
              </w:rPr>
              <w:t>楼层保洁员</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5</w:t>
            </w:r>
          </w:p>
        </w:tc>
      </w:tr>
      <w:tr>
        <w:tblPrEx>
          <w:tblLayout w:type="fixed"/>
          <w:tblCellMar>
            <w:top w:w="0" w:type="dxa"/>
            <w:left w:w="108" w:type="dxa"/>
            <w:bottom w:w="0" w:type="dxa"/>
            <w:right w:w="108" w:type="dxa"/>
          </w:tblCellMar>
        </w:tblPrEx>
        <w:trPr>
          <w:trHeight w:val="359" w:hRule="atLeast"/>
          <w:jc w:val="center"/>
        </w:trPr>
        <w:tc>
          <w:tcPr>
            <w:tcW w:w="3224" w:type="dxa"/>
            <w:vMerge w:val="restart"/>
            <w:tcBorders>
              <w:top w:val="single" w:color="000000" w:sz="4" w:space="0"/>
              <w:left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安保</w:t>
            </w:r>
            <w:r>
              <w:rPr>
                <w:rFonts w:hint="eastAsia" w:ascii="宋体" w:hAnsi="宋体" w:eastAsia="宋体" w:cs="宋体"/>
                <w:color w:val="auto"/>
                <w:sz w:val="24"/>
                <w:szCs w:val="24"/>
                <w:lang w:bidi="ar"/>
              </w:rPr>
              <w:t>部</w:t>
            </w:r>
          </w:p>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val="en-US" w:eastAsia="zh-CN" w:bidi="ar"/>
              </w:rPr>
              <w:t>包括秩序维护、综合咨询服务等</w:t>
            </w:r>
            <w:r>
              <w:rPr>
                <w:rFonts w:hint="eastAsia" w:ascii="宋体" w:hAnsi="宋体" w:eastAsia="宋体" w:cs="宋体"/>
                <w:color w:val="auto"/>
                <w:sz w:val="24"/>
                <w:szCs w:val="24"/>
                <w:lang w:eastAsia="zh-CN" w:bidi="ar"/>
              </w:rPr>
              <w:t>）</w:t>
            </w: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安保主管</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1</w:t>
            </w:r>
          </w:p>
        </w:tc>
      </w:tr>
      <w:tr>
        <w:tblPrEx>
          <w:tblLayout w:type="fixed"/>
          <w:tblCellMar>
            <w:top w:w="0" w:type="dxa"/>
            <w:left w:w="108" w:type="dxa"/>
            <w:bottom w:w="0" w:type="dxa"/>
            <w:right w:w="108" w:type="dxa"/>
          </w:tblCellMar>
        </w:tblPrEx>
        <w:trPr>
          <w:trHeight w:val="359" w:hRule="atLeast"/>
          <w:jc w:val="center"/>
        </w:trPr>
        <w:tc>
          <w:tcPr>
            <w:tcW w:w="3224" w:type="dxa"/>
            <w:vMerge w:val="continue"/>
            <w:tcBorders>
              <w:left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rPr>
            </w:pP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中控员（持证）及</w:t>
            </w:r>
            <w:r>
              <w:rPr>
                <w:rFonts w:hint="eastAsia" w:ascii="宋体" w:hAnsi="宋体" w:eastAsia="宋体" w:cs="宋体"/>
                <w:color w:val="auto"/>
                <w:sz w:val="24"/>
                <w:szCs w:val="24"/>
                <w:lang w:val="en-US" w:eastAsia="zh-CN" w:bidi="ar"/>
              </w:rPr>
              <w:t>秩序维护（文明引导、巡逻）</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8</w:t>
            </w:r>
          </w:p>
        </w:tc>
      </w:tr>
      <w:tr>
        <w:tblPrEx>
          <w:tblLayout w:type="fixed"/>
          <w:tblCellMar>
            <w:top w:w="0" w:type="dxa"/>
            <w:left w:w="108" w:type="dxa"/>
            <w:bottom w:w="0" w:type="dxa"/>
            <w:right w:w="108" w:type="dxa"/>
          </w:tblCellMar>
        </w:tblPrEx>
        <w:trPr>
          <w:trHeight w:val="359" w:hRule="atLeast"/>
          <w:jc w:val="center"/>
        </w:trPr>
        <w:tc>
          <w:tcPr>
            <w:tcW w:w="3224" w:type="dxa"/>
            <w:vMerge w:val="continue"/>
            <w:tcBorders>
              <w:left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rPr>
            </w:pPr>
          </w:p>
        </w:tc>
        <w:tc>
          <w:tcPr>
            <w:tcW w:w="384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保安员（持证）</w:t>
            </w:r>
          </w:p>
        </w:tc>
        <w:tc>
          <w:tcPr>
            <w:tcW w:w="1257"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3</w:t>
            </w:r>
          </w:p>
        </w:tc>
      </w:tr>
      <w:tr>
        <w:tblPrEx>
          <w:tblLayout w:type="fixed"/>
          <w:tblCellMar>
            <w:top w:w="0" w:type="dxa"/>
            <w:left w:w="108" w:type="dxa"/>
            <w:bottom w:w="0" w:type="dxa"/>
            <w:right w:w="108" w:type="dxa"/>
          </w:tblCellMar>
        </w:tblPrEx>
        <w:trPr>
          <w:trHeight w:val="380" w:hRule="atLeast"/>
          <w:jc w:val="center"/>
        </w:trPr>
        <w:tc>
          <w:tcPr>
            <w:tcW w:w="7071" w:type="dxa"/>
            <w:gridSpan w:val="2"/>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合计</w:t>
            </w:r>
          </w:p>
        </w:tc>
        <w:tc>
          <w:tcPr>
            <w:tcW w:w="1257" w:type="dxa"/>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textAlignment w:val="center"/>
              <w:outlineLvl w:val="9"/>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26</w:t>
            </w:r>
          </w:p>
        </w:tc>
      </w:tr>
    </w:tbl>
    <w:p>
      <w:pPr>
        <w:keepNext w:val="0"/>
        <w:keepLines w:val="0"/>
        <w:pageBreakBefore w:val="0"/>
        <w:widowControl w:val="0"/>
        <w:tabs>
          <w:tab w:val="left" w:pos="0"/>
        </w:tabs>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人员配备合理，管理总负责人：具有物业管理经理资格证书，从事物业管理</w:t>
      </w:r>
      <w:bookmarkStart w:id="91" w:name="_GoBack"/>
      <w:bookmarkEnd w:id="91"/>
      <w:r>
        <w:rPr>
          <w:rFonts w:hint="eastAsia" w:ascii="宋体" w:hAnsi="宋体" w:eastAsia="宋体" w:cs="宋体"/>
          <w:sz w:val="24"/>
          <w:szCs w:val="24"/>
        </w:rPr>
        <w:t>五年以上、曾担任物业管理负责人二年以上、担任类似项目负责人二年以上，具备丰富的物业管理经验。乙方应确保其派遣的物业管理人员身体健康</w:t>
      </w:r>
      <w:r>
        <w:rPr>
          <w:rFonts w:hint="eastAsia" w:ascii="宋体" w:hAnsi="宋体" w:eastAsia="宋体" w:cs="宋体"/>
          <w:sz w:val="24"/>
          <w:szCs w:val="24"/>
          <w:lang w:eastAsia="zh-CN"/>
        </w:rPr>
        <w:t>（</w:t>
      </w:r>
      <w:r>
        <w:rPr>
          <w:rFonts w:hint="eastAsia" w:ascii="宋体" w:hAnsi="宋体" w:eastAsia="宋体" w:cs="宋体"/>
          <w:sz w:val="24"/>
          <w:szCs w:val="24"/>
        </w:rPr>
        <w:t>提供相关健康证明</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且符合项目所要求的专业资质和履职能力</w:t>
      </w:r>
      <w:r>
        <w:rPr>
          <w:rFonts w:hint="eastAsia" w:ascii="宋体" w:hAnsi="宋体" w:eastAsia="宋体" w:cs="宋体"/>
          <w:sz w:val="24"/>
          <w:szCs w:val="24"/>
        </w:rPr>
        <w:t>。</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列入本次物业管理的范围为：甲方所有的设备设施的管理及维护，内容包括：环境卫生管理；传达、</w:t>
      </w:r>
      <w:r>
        <w:rPr>
          <w:rFonts w:hint="eastAsia" w:ascii="宋体" w:hAnsi="宋体" w:eastAsia="宋体" w:cs="宋体"/>
          <w:sz w:val="24"/>
          <w:szCs w:val="24"/>
          <w:lang w:val="en-US" w:eastAsia="zh-CN"/>
        </w:rPr>
        <w:t>安保</w:t>
      </w:r>
      <w:r>
        <w:rPr>
          <w:rFonts w:hint="eastAsia" w:ascii="宋体" w:hAnsi="宋体" w:eastAsia="宋体" w:cs="宋体"/>
          <w:sz w:val="24"/>
          <w:szCs w:val="24"/>
        </w:rPr>
        <w:t xml:space="preserve">、秩序管理和消防、监控设施日常管理维护；给排水设备日常运行维护；变电配电设备日常管理维护；照明系统日常运行维护；弱电系统日常维护；空调系统日常运行维护；特种设备日常管理；会议服务；家具日常清洁及养护维修；综合维修及巡查和甲方交办的其他工作（如会议、活动服务等等）。  </w:t>
      </w:r>
    </w:p>
    <w:p>
      <w:pPr>
        <w:keepNext w:val="0"/>
        <w:keepLines w:val="0"/>
        <w:pageBreakBefore w:val="0"/>
        <w:widowControl w:val="0"/>
        <w:tabs>
          <w:tab w:val="left" w:pos="0"/>
        </w:tabs>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highlight w:val="yellow"/>
        </w:rPr>
      </w:pPr>
      <w:r>
        <w:rPr>
          <w:rFonts w:hint="eastAsia" w:ascii="宋体" w:hAnsi="宋体" w:eastAsia="宋体" w:cs="宋体"/>
          <w:sz w:val="24"/>
          <w:szCs w:val="24"/>
        </w:rPr>
        <w:t xml:space="preserve">    其他设备设施部分构成明细见附件一。</w:t>
      </w:r>
    </w:p>
    <w:p>
      <w:pPr>
        <w:keepNext w:val="0"/>
        <w:keepLines w:val="0"/>
        <w:pageBreakBefore w:val="0"/>
        <w:widowControl w:val="0"/>
        <w:numPr>
          <w:ilvl w:val="0"/>
          <w:numId w:val="24"/>
        </w:numPr>
        <w:kinsoku/>
        <w:wordWrap/>
        <w:overflowPunct/>
        <w:topLinePunct w:val="0"/>
        <w:autoSpaceDE/>
        <w:autoSpaceDN/>
        <w:bidi w:val="0"/>
        <w:adjustRightInd w:val="0"/>
        <w:snapToGrid/>
        <w:spacing w:line="520" w:lineRule="exact"/>
        <w:ind w:left="0" w:right="0" w:rightChars="0" w:firstLine="504"/>
        <w:outlineLvl w:val="9"/>
        <w:rPr>
          <w:rFonts w:hint="eastAsia" w:ascii="宋体" w:hAnsi="宋体" w:eastAsia="宋体" w:cs="宋体"/>
          <w:sz w:val="24"/>
          <w:szCs w:val="24"/>
        </w:rPr>
      </w:pPr>
      <w:r>
        <w:rPr>
          <w:rFonts w:hint="eastAsia" w:ascii="宋体" w:hAnsi="宋体" w:eastAsia="宋体" w:cs="宋体"/>
          <w:sz w:val="24"/>
          <w:szCs w:val="24"/>
        </w:rPr>
        <w:t>根据图书馆物业的特点提出合理的物业管理服务理念，充分考虑用户的日常用途和需求，对本次物管服务的各项内容有较深入的理解和渗透。制定物业管理服务工作计划、物业管理规章制度、设备操作规程并组织实施，具体要求如下：</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 提出服务定位、目标，物业的管理模式能够切合实际，且安全可行；</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2.有比较完善的组织架构，清晰简练地列出主要管理流程，包括运作流程图、激励机制、监督机制、自我约束机制、信息反馈渠道及处理机制，管理指标承诺达到物业管理标准；</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570"/>
        <w:outlineLvl w:val="9"/>
        <w:rPr>
          <w:rFonts w:hint="eastAsia" w:ascii="宋体" w:hAnsi="宋体" w:eastAsia="宋体" w:cs="宋体"/>
          <w:sz w:val="24"/>
          <w:szCs w:val="24"/>
        </w:rPr>
      </w:pPr>
      <w:r>
        <w:rPr>
          <w:rFonts w:hint="eastAsia" w:ascii="宋体" w:hAnsi="宋体" w:eastAsia="宋体" w:cs="宋体"/>
          <w:sz w:val="24"/>
          <w:szCs w:val="24"/>
        </w:rPr>
        <w:t>3.完善的物业管理制度、作业流程、物业管理工作计划及实施时间、地点，做好台账。</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4.管理合同</w:t>
      </w:r>
      <w:r>
        <w:rPr>
          <w:rFonts w:hint="eastAsia" w:ascii="宋体" w:hAnsi="宋体" w:eastAsia="宋体" w:cs="宋体"/>
          <w:sz w:val="24"/>
          <w:szCs w:val="24"/>
          <w:lang w:val="en-US" w:eastAsia="zh-CN"/>
        </w:rPr>
        <w:t>期限</w:t>
      </w:r>
      <w:r>
        <w:rPr>
          <w:rFonts w:hint="eastAsia" w:ascii="宋体" w:hAnsi="宋体" w:eastAsia="宋体" w:cs="宋体"/>
          <w:sz w:val="24"/>
          <w:szCs w:val="24"/>
        </w:rPr>
        <w:t>内物业相关工作台账和保管设备运行记录，做好工作台账。</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环境卫生管理。包括大楼内的楼梯、大厅、走廊、屋顶天台、吊顶、平台、雨棚、电梯间、卫生间、茶水间、花盆、会议室、接待室、办公区域、公共活动场所的台（地）面、明沟、阅览桌椅、墙面、门、窗、灯具、果壳箱等设施和器皿，楼宇外墙等所有公共部位设施，红线规划内的道路、园林、停车场(库)、垃圾房等所有公共场地及设施和门前三包区域的日常保洁保养以及垃圾、废弃物清理和灭“四害”等图书馆红线规划范围内的所有环境卫生保洁</w:t>
      </w:r>
      <w:r>
        <w:rPr>
          <w:rFonts w:hint="eastAsia" w:ascii="宋体" w:hAnsi="宋体" w:eastAsia="宋体" w:cs="宋体"/>
          <w:sz w:val="24"/>
          <w:szCs w:val="24"/>
          <w:lang w:eastAsia="zh-CN"/>
        </w:rPr>
        <w:t>。</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传达、</w:t>
      </w:r>
      <w:r>
        <w:rPr>
          <w:rFonts w:hint="eastAsia" w:ascii="宋体" w:hAnsi="宋体" w:eastAsia="宋体" w:cs="宋体"/>
          <w:sz w:val="24"/>
          <w:szCs w:val="24"/>
          <w:lang w:eastAsia="zh-CN"/>
        </w:rPr>
        <w:t>安保</w:t>
      </w:r>
      <w:r>
        <w:rPr>
          <w:rFonts w:hint="eastAsia" w:ascii="宋体" w:hAnsi="宋体" w:eastAsia="宋体" w:cs="宋体"/>
          <w:sz w:val="24"/>
          <w:szCs w:val="24"/>
        </w:rPr>
        <w:t>、秩序管理和消防、监控管理。包括能熟悉周边的环境，能处理和应对公共秩序维护工作，能正确使用各类消防、物防、技防器械和设备，能够熟悉、掌握各类刑事、治安案件和各类灾害事故的应急预案；来人来访的通报、证件检验、登记、报刊信件收发等;门卫、守护和巡逻，维护公共秩序;处理治安及其他突发事件;负责道路交通管理、机动车和非机动车停放管理;负责防盗、防火报警监控设备运行管理。积极主动的配合、服从对口管理部门的临时应急调度</w:t>
      </w:r>
      <w:r>
        <w:rPr>
          <w:rFonts w:hint="eastAsia" w:ascii="宋体" w:hAnsi="宋体" w:eastAsia="宋体" w:cs="宋体"/>
          <w:sz w:val="24"/>
          <w:szCs w:val="24"/>
          <w:lang w:eastAsia="zh-CN"/>
        </w:rPr>
        <w:t>。</w:t>
      </w:r>
      <w:r>
        <w:rPr>
          <w:rFonts w:hint="eastAsia" w:ascii="宋体" w:hAnsi="宋体" w:eastAsia="宋体" w:cs="宋体"/>
          <w:sz w:val="24"/>
          <w:szCs w:val="24"/>
        </w:rPr>
        <w:t>按照图书馆消防制度建立完善图书馆责任区内的消防工作计划，物管人员应定期接受消防培训并掌握现有消防设施设备的使用方法，并能及时处理各种火灾事故。明确防火责任人，保证消防疏散示意图</w:t>
      </w:r>
      <w:r>
        <w:rPr>
          <w:rFonts w:hint="eastAsia" w:ascii="宋体" w:hAnsi="宋体" w:eastAsia="宋体" w:cs="宋体"/>
          <w:sz w:val="24"/>
          <w:szCs w:val="24"/>
          <w:lang w:eastAsia="zh-CN"/>
        </w:rPr>
        <w:t>、</w:t>
      </w:r>
      <w:r>
        <w:rPr>
          <w:rFonts w:hint="eastAsia" w:ascii="宋体" w:hAnsi="宋体" w:eastAsia="宋体" w:cs="宋体"/>
          <w:sz w:val="24"/>
          <w:szCs w:val="24"/>
        </w:rPr>
        <w:t>照明设施及引路标志完好，紧急疏散通道畅通。对</w:t>
      </w:r>
      <w:r>
        <w:rPr>
          <w:rFonts w:hint="eastAsia" w:ascii="宋体" w:hAnsi="宋体" w:eastAsia="宋体" w:cs="宋体"/>
          <w:sz w:val="24"/>
          <w:szCs w:val="24"/>
          <w:lang w:val="en-US" w:eastAsia="zh-CN"/>
        </w:rPr>
        <w:t>图书</w:t>
      </w:r>
      <w:r>
        <w:rPr>
          <w:rFonts w:hint="eastAsia" w:ascii="宋体" w:hAnsi="宋体" w:eastAsia="宋体" w:cs="宋体"/>
          <w:sz w:val="24"/>
          <w:szCs w:val="24"/>
        </w:rPr>
        <w:t>馆区域内的消防火灾报警系统、喷淋灭火系统、电器火灾报警系统、空气采样报警系统、防火卷帘、消防排烟机组等消防设备按本合同约定进行监管和操作使用</w:t>
      </w:r>
      <w:r>
        <w:rPr>
          <w:rFonts w:hint="eastAsia" w:ascii="宋体" w:hAnsi="宋体" w:eastAsia="宋体" w:cs="宋体"/>
          <w:sz w:val="24"/>
          <w:szCs w:val="24"/>
          <w:lang w:eastAsia="zh-CN"/>
        </w:rPr>
        <w:t>。</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物业管理区域内绿化日常管理，图书馆内绿地、草坪的巡视检查、养护和日常清理。</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给排水设备运行维护管理。包括对图书馆内外给排水系统的设备、设施，如水泵、水箱、气压给水装置、水处理设备、消火栓、管道、管件、阀门、水嘴、卫生洁具、排水管、透气管、室外排水管及附属构筑物等进行日常养护维修，保持正常运行。</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供电设备管理维护。保证变(配)电柜、低压配电柜全年24小时运行正常，设备完好率99%以上，满足现场工作要求，各类表计显示正常；负责各类照明系统、供用电设备设施（包括配电箱柜、桥架、井道、分电箱、开关、插座等）的日常管理和维护修理并作好相应的维修记录工作，亮灯率和插座完好率达到99.9%，保证每天不少于二次对楼层配电室进行巡视检查并要有相应的巡查记录表，保证整个大楼的供电安全。</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空调系统运行管理维护：包括中央空调系统、普通空调的运行管理和维护。具体内容有空调机组、送排风机组、新风机组、管道系统、各种阀类、采气装置、各类风口内外置滤网、自动控制系统等设备的日常养护、维修和清洁卫生。定期对空调系统主机、水泵、电机、管道检查保养,每月定期做好各空调机房和空调机组的清洁工作。</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家具及设施日常清洁及维修；包括办公楼(区)房屋地面、墙、台面及吊顶、门窗、楼梯、通风道等的日常巡查和养护维修；外墙及玻璃幕墙的养护。</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特种设备管理（电梯、升降机）。保证管辖区域内所有特种设备在办公时段有效运行，电梯按时开启和关闭。轿厢内、外按钮及灯具等配件保持完好，维持轿厢整洁。保证停车设备安全稳定运行，设备整洁干净并做好每天的巡查及保养记录工作。</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综合会议、活动管理：根据需要提供重大会议、庆典、节日、学术活动、布展等活动的服务，包括布置会场、绿化（盆景）摆设和保养、宣传标语悬挂、搬运器材、桌椅、空调、会后清场等工作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制定完备的会务服务工作流程、细则及服务工作计划</w:t>
      </w:r>
      <w:r>
        <w:rPr>
          <w:rFonts w:hint="eastAsia" w:ascii="宋体" w:hAnsi="宋体" w:eastAsia="宋体" w:cs="宋体"/>
          <w:sz w:val="24"/>
          <w:szCs w:val="24"/>
        </w:rPr>
        <w:t>并严格执行，保证各项会议的正常进行。</w:t>
      </w:r>
    </w:p>
    <w:p>
      <w:pPr>
        <w:keepNext w:val="0"/>
        <w:keepLines w:val="0"/>
        <w:pageBreakBefore w:val="0"/>
        <w:widowControl w:val="0"/>
        <w:numPr>
          <w:ilvl w:val="0"/>
          <w:numId w:val="24"/>
        </w:numPr>
        <w:tabs>
          <w:tab w:val="left" w:pos="0"/>
          <w:tab w:val="clear" w:pos="1200"/>
        </w:tabs>
        <w:kinsoku/>
        <w:wordWrap/>
        <w:overflowPunct/>
        <w:topLinePunct w:val="0"/>
        <w:autoSpaceDE/>
        <w:autoSpaceDN/>
        <w:bidi w:val="0"/>
        <w:adjustRightInd w:val="0"/>
        <w:snapToGrid/>
        <w:spacing w:line="520" w:lineRule="exact"/>
        <w:ind w:left="0"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zh-CN"/>
        </w:rPr>
        <w:t>综合维修及巡查</w:t>
      </w:r>
      <w:r>
        <w:rPr>
          <w:rFonts w:hint="eastAsia" w:ascii="宋体" w:hAnsi="宋体" w:eastAsia="宋体" w:cs="宋体"/>
          <w:sz w:val="24"/>
          <w:szCs w:val="24"/>
        </w:rPr>
        <w:t>：</w:t>
      </w:r>
      <w:r>
        <w:rPr>
          <w:rFonts w:hint="eastAsia" w:ascii="宋体" w:hAnsi="宋体" w:eastAsia="宋体" w:cs="宋体"/>
          <w:sz w:val="24"/>
          <w:szCs w:val="24"/>
          <w:lang w:val="zh-CN"/>
        </w:rPr>
        <w:t>工程综合维修人员日常工作除特定工作外，实行定期巡查维修制，包括配电设施、照明及供用电设施、空调设施、通风设施、给排水设施、房屋及装修设施、其他公用设施等，以及每天对所有区域和房间巡查到一次，并随时记录和处理等</w:t>
      </w:r>
      <w:r>
        <w:rPr>
          <w:rFonts w:hint="eastAsia" w:ascii="宋体" w:hAnsi="宋体" w:eastAsia="宋体" w:cs="宋体"/>
          <w:sz w:val="24"/>
          <w:szCs w:val="24"/>
        </w:rPr>
        <w:t>。</w:t>
      </w:r>
    </w:p>
    <w:p>
      <w:pPr>
        <w:keepNext w:val="0"/>
        <w:keepLines w:val="0"/>
        <w:pageBreakBefore w:val="0"/>
        <w:widowControl w:val="0"/>
        <w:numPr>
          <w:ilvl w:val="0"/>
          <w:numId w:val="24"/>
        </w:numPr>
        <w:tabs>
          <w:tab w:val="clear" w:pos="1200"/>
        </w:tabs>
        <w:kinsoku/>
        <w:wordWrap/>
        <w:overflowPunct/>
        <w:topLinePunct w:val="0"/>
        <w:autoSpaceDE/>
        <w:autoSpaceDN/>
        <w:bidi w:val="0"/>
        <w:adjustRightInd w:val="0"/>
        <w:snapToGrid/>
        <w:spacing w:line="520" w:lineRule="exact"/>
        <w:ind w:left="0" w:right="0" w:rightChars="0" w:firstLine="540"/>
        <w:outlineLvl w:val="9"/>
        <w:rPr>
          <w:rFonts w:hint="eastAsia" w:ascii="宋体" w:hAnsi="宋体" w:eastAsia="宋体" w:cs="宋体"/>
          <w:sz w:val="24"/>
          <w:szCs w:val="24"/>
        </w:rPr>
      </w:pPr>
      <w:r>
        <w:rPr>
          <w:rFonts w:hint="eastAsia" w:ascii="宋体" w:hAnsi="宋体" w:eastAsia="宋体" w:cs="宋体"/>
          <w:sz w:val="24"/>
          <w:szCs w:val="24"/>
        </w:rPr>
        <w:t xml:space="preserve">  协助配合甲方的建设项目和技术改造项目。</w:t>
      </w:r>
    </w:p>
    <w:p>
      <w:pPr>
        <w:keepNext w:val="0"/>
        <w:keepLines w:val="0"/>
        <w:pageBreakBefore w:val="0"/>
        <w:widowControl w:val="0"/>
        <w:kinsoku/>
        <w:wordWrap/>
        <w:overflowPunct/>
        <w:topLinePunct w:val="0"/>
        <w:autoSpaceDE/>
        <w:autoSpaceDN/>
        <w:bidi w:val="0"/>
        <w:adjustRightInd w:val="0"/>
        <w:snapToGrid/>
        <w:spacing w:line="520" w:lineRule="exact"/>
        <w:ind w:left="540" w:right="0" w:rightChars="0"/>
        <w:outlineLvl w:val="9"/>
        <w:rPr>
          <w:rFonts w:hint="eastAsia" w:ascii="宋体" w:hAnsi="宋体" w:eastAsia="宋体" w:cs="宋体"/>
          <w:sz w:val="24"/>
          <w:szCs w:val="24"/>
        </w:rPr>
      </w:pPr>
    </w:p>
    <w:p>
      <w:pPr>
        <w:keepNext w:val="0"/>
        <w:keepLines w:val="0"/>
        <w:pageBreakBefore w:val="0"/>
        <w:widowControl w:val="0"/>
        <w:numPr>
          <w:ilvl w:val="0"/>
          <w:numId w:val="23"/>
        </w:numPr>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委托管理期限</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第十七条  委托管理期限为自</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 起</w:t>
      </w:r>
      <w:r>
        <w:rPr>
          <w:rFonts w:hint="eastAsia" w:ascii="宋体" w:hAnsi="宋体" w:eastAsia="宋体" w:cs="宋体"/>
          <w:sz w:val="24"/>
          <w:szCs w:val="24"/>
          <w:lang w:val="en-US" w:eastAsia="zh-CN"/>
        </w:rPr>
        <w:t>至</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w:t>
      </w:r>
    </w:p>
    <w:p>
      <w:pPr>
        <w:keepNext w:val="0"/>
        <w:keepLines w:val="0"/>
        <w:pageBreakBefore w:val="0"/>
        <w:widowControl w:val="0"/>
        <w:kinsoku/>
        <w:wordWrap/>
        <w:overflowPunct/>
        <w:topLinePunct w:val="0"/>
        <w:autoSpaceDE/>
        <w:autoSpaceDN/>
        <w:bidi w:val="0"/>
        <w:adjustRightInd w:val="0"/>
        <w:snapToGrid/>
        <w:spacing w:line="520" w:lineRule="exact"/>
        <w:ind w:left="1" w:right="0" w:rightChars="0" w:hanging="1"/>
        <w:outlineLvl w:val="9"/>
        <w:rPr>
          <w:rFonts w:hint="eastAsia" w:ascii="宋体" w:hAnsi="宋体" w:eastAsia="宋体" w:cs="宋体"/>
          <w:sz w:val="24"/>
          <w:szCs w:val="24"/>
        </w:rPr>
      </w:pPr>
    </w:p>
    <w:p>
      <w:pPr>
        <w:keepNext w:val="0"/>
        <w:keepLines w:val="0"/>
        <w:pageBreakBefore w:val="0"/>
        <w:widowControl w:val="0"/>
        <w:numPr>
          <w:ilvl w:val="0"/>
          <w:numId w:val="23"/>
        </w:numPr>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双方权利义务</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32" w:firstLineChars="180"/>
        <w:outlineLvl w:val="9"/>
        <w:rPr>
          <w:rFonts w:hint="eastAsia" w:ascii="宋体" w:hAnsi="宋体" w:eastAsia="宋体" w:cs="宋体"/>
          <w:sz w:val="24"/>
          <w:szCs w:val="24"/>
        </w:rPr>
      </w:pPr>
      <w:r>
        <w:rPr>
          <w:rFonts w:hint="eastAsia" w:ascii="宋体" w:hAnsi="宋体" w:eastAsia="宋体" w:cs="宋体"/>
          <w:sz w:val="24"/>
          <w:szCs w:val="24"/>
        </w:rPr>
        <w:t>第十八条  甲方权利义务</w:t>
      </w:r>
    </w:p>
    <w:p>
      <w:pPr>
        <w:keepNext w:val="0"/>
        <w:keepLines w:val="0"/>
        <w:pageBreakBefore w:val="0"/>
        <w:widowControl w:val="0"/>
        <w:kinsoku/>
        <w:wordWrap/>
        <w:overflowPunct/>
        <w:topLinePunct w:val="0"/>
        <w:autoSpaceDE/>
        <w:autoSpaceDN/>
        <w:bidi w:val="0"/>
        <w:adjustRightInd w:val="0"/>
        <w:snapToGrid/>
        <w:spacing w:line="520" w:lineRule="exact"/>
        <w:ind w:left="170" w:leftChars="71" w:right="0" w:rightChars="0" w:firstLine="307" w:firstLineChars="128"/>
        <w:outlineLvl w:val="9"/>
        <w:rPr>
          <w:rFonts w:hint="eastAsia" w:ascii="宋体" w:hAnsi="宋体" w:eastAsia="宋体" w:cs="宋体"/>
          <w:sz w:val="24"/>
          <w:szCs w:val="24"/>
        </w:rPr>
      </w:pPr>
      <w:r>
        <w:rPr>
          <w:rFonts w:hint="eastAsia" w:ascii="宋体" w:hAnsi="宋体" w:eastAsia="宋体" w:cs="宋体"/>
          <w:sz w:val="24"/>
          <w:szCs w:val="24"/>
        </w:rPr>
        <w:t>1、审定乙方拟订的各项物业管理制度、工作计划、实施细则、设备检修计划和材料申购计划。</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2、管理、监督检查乙方管理工作的实施及制度、计划的执行情况、工作进度和工作质量。有权要求乙方更换不能胜任本协议项下工作的物业服务人员，乙方应当在收到更换通知后5天之内更换完毕。</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3、在合同生效之日起为乙方无偿提供管理用房和维修操作用房及内部工作电话、办公桌椅及档案管理用品。</w:t>
      </w:r>
    </w:p>
    <w:p>
      <w:pPr>
        <w:keepNext w:val="0"/>
        <w:keepLines w:val="0"/>
        <w:pageBreakBefore w:val="0"/>
        <w:widowControl w:val="0"/>
        <w:kinsoku/>
        <w:wordWrap/>
        <w:overflowPunct/>
        <w:topLinePunct w:val="0"/>
        <w:autoSpaceDE/>
        <w:autoSpaceDN/>
        <w:bidi w:val="0"/>
        <w:adjustRightInd w:val="0"/>
        <w:snapToGrid/>
        <w:spacing w:line="520" w:lineRule="exact"/>
        <w:ind w:left="720" w:leftChars="300" w:right="0" w:rightChars="0"/>
        <w:outlineLvl w:val="9"/>
        <w:rPr>
          <w:rFonts w:hint="eastAsia" w:ascii="宋体" w:hAnsi="宋体" w:eastAsia="宋体" w:cs="宋体"/>
          <w:sz w:val="24"/>
          <w:szCs w:val="24"/>
        </w:rPr>
      </w:pPr>
      <w:r>
        <w:rPr>
          <w:rFonts w:hint="eastAsia" w:ascii="宋体" w:hAnsi="宋体" w:eastAsia="宋体" w:cs="宋体"/>
          <w:sz w:val="24"/>
          <w:szCs w:val="24"/>
        </w:rPr>
        <w:t>4、负责向乙方提供物业管理所需图纸、档案、资料。</w:t>
      </w:r>
    </w:p>
    <w:p>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5、负责提供物业管理和设备运行、维修、养护必备的专用设备和工具。</w:t>
      </w:r>
    </w:p>
    <w:p>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6、负责乙方提出的并经甲方审定的设备维修养护计划中零配件、备件和材料等的采购和保管。</w:t>
      </w:r>
    </w:p>
    <w:p>
      <w:pPr>
        <w:keepNext w:val="0"/>
        <w:keepLines w:val="0"/>
        <w:pageBreakBefore w:val="0"/>
        <w:widowControl w:val="0"/>
        <w:kinsoku/>
        <w:wordWrap/>
        <w:overflowPunct/>
        <w:topLinePunct w:val="0"/>
        <w:autoSpaceDE/>
        <w:autoSpaceDN/>
        <w:bidi w:val="0"/>
        <w:adjustRightInd w:val="0"/>
        <w:snapToGrid/>
        <w:spacing w:line="520" w:lineRule="exact"/>
        <w:ind w:left="720" w:leftChars="300" w:right="0" w:rightChars="0"/>
        <w:outlineLvl w:val="9"/>
        <w:rPr>
          <w:rFonts w:hint="eastAsia" w:ascii="宋体" w:hAnsi="宋体" w:eastAsia="宋体" w:cs="宋体"/>
          <w:sz w:val="24"/>
          <w:szCs w:val="24"/>
        </w:rPr>
      </w:pPr>
      <w:r>
        <w:rPr>
          <w:rFonts w:hint="eastAsia" w:ascii="宋体" w:hAnsi="宋体" w:eastAsia="宋体" w:cs="宋体"/>
          <w:sz w:val="24"/>
          <w:szCs w:val="24"/>
        </w:rPr>
        <w:t>7、协调内部关系，协助乙方做好物业管理工作。</w:t>
      </w:r>
    </w:p>
    <w:p>
      <w:pPr>
        <w:keepNext w:val="0"/>
        <w:keepLines w:val="0"/>
        <w:pageBreakBefore w:val="0"/>
        <w:widowControl w:val="0"/>
        <w:kinsoku/>
        <w:wordWrap/>
        <w:overflowPunct/>
        <w:topLinePunct w:val="0"/>
        <w:autoSpaceDE/>
        <w:autoSpaceDN/>
        <w:bidi w:val="0"/>
        <w:adjustRightInd w:val="0"/>
        <w:snapToGrid/>
        <w:spacing w:line="520" w:lineRule="exact"/>
        <w:ind w:left="720" w:leftChars="300" w:right="0" w:rightChars="0"/>
        <w:outlineLvl w:val="9"/>
        <w:rPr>
          <w:rFonts w:hint="eastAsia" w:ascii="宋体" w:hAnsi="宋体" w:eastAsia="宋体" w:cs="宋体"/>
          <w:sz w:val="24"/>
          <w:szCs w:val="24"/>
        </w:rPr>
      </w:pPr>
      <w:r>
        <w:rPr>
          <w:rFonts w:hint="eastAsia" w:ascii="宋体" w:hAnsi="宋体" w:eastAsia="宋体" w:cs="宋体"/>
          <w:sz w:val="24"/>
          <w:szCs w:val="24"/>
        </w:rPr>
        <w:t>8、负责向乙方传达上级安全会议精神并组织落实。</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第十九条 乙方的权利义务</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1、根据有关法律法规，乙方应具备国家承认的物业管理资质，并按国家规定及本协议约定为甲方配备数量充足、技术合格和经过有关部门岗位资格认定的物业管理及安保人员。</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2、根据有关法律法规及本合同的约定，制订物业管理制度，包括：设备操作规程、岗位责任制和上岗人员执业资格证明，报甲方备案。</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3、服从甲方管理，接受甲方监督、检查，遵守甲方有关制度以及疫情防控的相关规定，乙方或乙方物业管理人员违反上述规定的，应自行承担相应责任，且不得因此降低物业管理标准，乙方应及时更换违反上述规定的物业管理人员。</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4、对甲方人员违反政策法规、物业管理制度及甲方的有关制度的行为有权提请甲方有关部门处理。</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5、负责编制设备年度维修养护计划和大中修方案，费用由甲方承担，经双方议定后由乙方组织实施。</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6、负责编制物业管理年度管理、设备维保、大中修预算计划。</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7、 负责准确记录、妥善保管设备运行、维修、养护档案资料，建立设备台帐。</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8、负责本物业范围内公用设施、设备（主设备及附属设备）的维护和保养。</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9、负责设备完好率的统计，每月向甲方提交物业管理工作计划，每年提交年度总结。</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10、负责对房屋、附属建筑物、构筑物、设施、设备等的设计缺陷、安全隐患提出改进方案，经双方议定后由乙方组织或监督实施。</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11、 配合甲方对通讯系统、卫星电视系统、舞台音响系统进行维护和管理。</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12、本物业的设备设施不得擅自改动，如需在本物业内改、扩建或完善配套项目，须与甲方协商后经甲方批准方可实施。</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13、对突发性事故、灾害和其它公共事件，有义务在甲方的统一领导下，组织抢险、救灾和突击抢修工作。</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14、本合同终止时，乙方必须向甲方移交全部档案资料、原始记录和图纸。</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color w:val="FF0000"/>
          <w:sz w:val="24"/>
          <w:szCs w:val="24"/>
        </w:rPr>
      </w:pPr>
      <w:r>
        <w:rPr>
          <w:rFonts w:hint="eastAsia" w:ascii="宋体" w:hAnsi="宋体" w:eastAsia="宋体" w:cs="宋体"/>
          <w:sz w:val="24"/>
          <w:szCs w:val="24"/>
        </w:rPr>
        <w:t xml:space="preserve">    15、乙方对所管辖甲方的设备、财产的安全负责。因乙方人员无章操作、违章操作或误操作、巡查不认真或不到位、给甲方设备、财产或者第三方的财产造成损失，由乙方承担由此产生的直接损失</w:t>
      </w:r>
      <w:r>
        <w:rPr>
          <w:rFonts w:hint="eastAsia" w:ascii="宋体" w:hAnsi="宋体" w:eastAsia="宋体" w:cs="宋体"/>
          <w:color w:val="000000"/>
          <w:sz w:val="24"/>
          <w:szCs w:val="24"/>
        </w:rPr>
        <w:t>。</w:t>
      </w:r>
      <w:r>
        <w:rPr>
          <w:rFonts w:hint="eastAsia" w:ascii="宋体" w:hAnsi="宋体" w:eastAsia="宋体" w:cs="宋体"/>
          <w:sz w:val="24"/>
          <w:szCs w:val="24"/>
        </w:rPr>
        <w:t>因乙方人员工作失职、失误，未按规程操作</w:t>
      </w:r>
      <w:r>
        <w:rPr>
          <w:rFonts w:hint="eastAsia" w:ascii="宋体" w:hAnsi="宋体" w:eastAsia="宋体" w:cs="宋体"/>
          <w:sz w:val="24"/>
          <w:szCs w:val="24"/>
          <w:lang w:val="en-US" w:eastAsia="zh-CN"/>
        </w:rPr>
        <w:t>等原因</w:t>
      </w:r>
      <w:r>
        <w:rPr>
          <w:rFonts w:hint="eastAsia" w:ascii="宋体" w:hAnsi="宋体" w:eastAsia="宋体" w:cs="宋体"/>
          <w:sz w:val="24"/>
          <w:szCs w:val="24"/>
        </w:rPr>
        <w:t>，发生事故、导致</w:t>
      </w:r>
      <w:r>
        <w:rPr>
          <w:rFonts w:hint="eastAsia" w:ascii="宋体" w:hAnsi="宋体" w:eastAsia="宋体" w:cs="宋体"/>
          <w:sz w:val="24"/>
          <w:szCs w:val="24"/>
          <w:lang w:val="en-US" w:eastAsia="zh-CN"/>
        </w:rPr>
        <w:t>人员</w:t>
      </w:r>
      <w:r>
        <w:rPr>
          <w:rFonts w:hint="eastAsia" w:ascii="宋体" w:hAnsi="宋体" w:eastAsia="宋体" w:cs="宋体"/>
          <w:sz w:val="24"/>
          <w:szCs w:val="24"/>
        </w:rPr>
        <w:t>伤亡，由乙方承担全部责任并赔偿甲方的全部经济损失。</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 xml:space="preserve">16、因乙方原因未达到约定的物业管理质量标准，影响了甲方正常工作的开展（如各种设备突然处于停滞状态、发生断电、气体泄露、漏水等情况）造成的损失将从所支付的管理费中扣除。    </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17、在乙方责任范围内，因工作不到位导致卫生不合格、人员安排不到位、空岗等情况，甲方发现后，第一次发《物业服务监督意见书》（见附件八）限期整改，不予纠正的可开具《物业服务过失告知单》（见附件九）交乙方负责人，并依据物业考核制度，视情况从所支付的物业管理费中扣除相应费用。</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18、在乙方责任范围内，因</w:t>
      </w:r>
      <w:r>
        <w:rPr>
          <w:rFonts w:hint="eastAsia" w:ascii="宋体" w:hAnsi="宋体" w:eastAsia="宋体" w:cs="宋体"/>
          <w:sz w:val="24"/>
          <w:szCs w:val="24"/>
          <w:lang w:eastAsia="zh-CN"/>
        </w:rPr>
        <w:t>安保</w:t>
      </w:r>
      <w:r>
        <w:rPr>
          <w:rFonts w:hint="eastAsia" w:ascii="宋体" w:hAnsi="宋体" w:eastAsia="宋体" w:cs="宋体"/>
          <w:sz w:val="24"/>
          <w:szCs w:val="24"/>
        </w:rPr>
        <w:t>值勤期间工作不负责、服务不到位、空岗等情况，甲方发现后，第一次发《物业服务监督意见书》（见附件八）限期整改，不予纠正的可开具《物业服务过失告知单》（见附件九）交乙方负责人，并依据物业考核制度，视情况从所支付的物业管理费中扣除相应费用。</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19、 在乙方责任范围内，因工作不到位导致甲方受到政府相关部门的处罚，由乙方承担全部处罚责任及赔偿经济损失。</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20、负责乙方人员和财物的安全管理并承担乙方人员伤亡和财物损失的全部责任。</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21、乙方人员的工资、福利、劳保、保险、医疗等及其它相关费用全部由乙方自行负责。甲方与乙方人员不因本协议的签订及履行而成立任何劳动或者劳务关系，若因此发生任何纠纷的，一切责任由乙方自行承担。</w:t>
      </w:r>
    </w:p>
    <w:p>
      <w:pPr>
        <w:keepNext w:val="0"/>
        <w:keepLines w:val="0"/>
        <w:pageBreakBefore w:val="0"/>
        <w:widowControl w:val="0"/>
        <w:kinsoku/>
        <w:wordWrap/>
        <w:overflowPunct/>
        <w:topLinePunct w:val="0"/>
        <w:autoSpaceDE/>
        <w:autoSpaceDN/>
        <w:bidi w:val="0"/>
        <w:adjustRightInd w:val="0"/>
        <w:snapToGrid/>
        <w:spacing w:line="520" w:lineRule="exact"/>
        <w:ind w:left="-2" w:leftChars="-1" w:right="0" w:rightChars="0" w:firstLine="307" w:firstLineChars="128"/>
        <w:outlineLvl w:val="9"/>
        <w:rPr>
          <w:rFonts w:hint="eastAsia" w:ascii="宋体" w:hAnsi="宋体" w:eastAsia="宋体" w:cs="宋体"/>
          <w:sz w:val="24"/>
          <w:szCs w:val="24"/>
        </w:rPr>
      </w:pPr>
      <w:r>
        <w:rPr>
          <w:rFonts w:hint="eastAsia" w:ascii="宋体" w:hAnsi="宋体" w:eastAsia="宋体" w:cs="宋体"/>
          <w:sz w:val="24"/>
          <w:szCs w:val="24"/>
        </w:rPr>
        <w:t xml:space="preserve"> 22、乙方的企业资质每年在政府审批部门年检结论下达后，要及时将年检情况书面报予甲方。</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307" w:firstLineChars="128"/>
        <w:outlineLvl w:val="9"/>
        <w:rPr>
          <w:rFonts w:hint="eastAsia" w:ascii="宋体" w:hAnsi="宋体" w:eastAsia="宋体" w:cs="宋体"/>
          <w:sz w:val="24"/>
          <w:szCs w:val="24"/>
        </w:rPr>
      </w:pPr>
      <w:r>
        <w:rPr>
          <w:rFonts w:hint="eastAsia" w:ascii="宋体" w:hAnsi="宋体" w:eastAsia="宋体" w:cs="宋体"/>
          <w:sz w:val="24"/>
          <w:szCs w:val="24"/>
        </w:rPr>
        <w:t xml:space="preserve"> 23、乙方物业管理人员上班期间不得做与工作无关的事情，甲方发现后，第一次发《物业服务监督意见书》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见附件八</w:t>
      </w:r>
      <w:r>
        <w:rPr>
          <w:rFonts w:hint="eastAsia" w:ascii="宋体" w:hAnsi="宋体" w:eastAsia="宋体" w:cs="宋体"/>
          <w:sz w:val="24"/>
          <w:szCs w:val="24"/>
          <w:lang w:eastAsia="zh-CN"/>
        </w:rPr>
        <w:t>）</w:t>
      </w:r>
      <w:r>
        <w:rPr>
          <w:rFonts w:hint="eastAsia" w:ascii="宋体" w:hAnsi="宋体" w:eastAsia="宋体" w:cs="宋体"/>
          <w:sz w:val="24"/>
          <w:szCs w:val="24"/>
        </w:rPr>
        <w:t>限期整改，不予纠正的可开具《物业服务过失告知单》</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见附件九</w:t>
      </w:r>
      <w:r>
        <w:rPr>
          <w:rFonts w:hint="eastAsia" w:ascii="宋体" w:hAnsi="宋体" w:eastAsia="宋体" w:cs="宋体"/>
          <w:sz w:val="24"/>
          <w:szCs w:val="24"/>
          <w:lang w:eastAsia="zh-CN"/>
        </w:rPr>
        <w:t>）</w:t>
      </w:r>
      <w:r>
        <w:rPr>
          <w:rFonts w:hint="eastAsia" w:ascii="宋体" w:hAnsi="宋体" w:eastAsia="宋体" w:cs="宋体"/>
          <w:sz w:val="24"/>
          <w:szCs w:val="24"/>
        </w:rPr>
        <w:t>交乙方负责人，并依据物业考核制度，视情况从所支付的物业管理费中扣除相应费用。</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24、物业员工不得与读者及其他第三方发生冲突，在处理问题时，不得损害甲方的利益和名声，如果有读者或第三方因与物业工作人员发生冲突而投诉甲方，依据物业考核制度，视情况从所支付的物业管理费中扣除相应费用。</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25、乙方应当加强对其员工的业务技能培训，并完成每年定期组织全馆职工、物业人员进行</w:t>
      </w:r>
      <w:r>
        <w:rPr>
          <w:rFonts w:hint="eastAsia" w:ascii="宋体" w:hAnsi="宋体" w:eastAsia="宋体" w:cs="宋体"/>
          <w:sz w:val="24"/>
          <w:szCs w:val="24"/>
          <w:lang w:val="en-US" w:eastAsia="zh-CN"/>
        </w:rPr>
        <w:t>的</w:t>
      </w:r>
      <w:r>
        <w:rPr>
          <w:rFonts w:hint="eastAsia" w:ascii="宋体" w:hAnsi="宋体" w:eastAsia="宋体" w:cs="宋体"/>
          <w:sz w:val="24"/>
          <w:szCs w:val="24"/>
        </w:rPr>
        <w:t>安全培训及演练活动。</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color w:val="FF00FF"/>
          <w:sz w:val="24"/>
          <w:szCs w:val="24"/>
        </w:rPr>
      </w:pPr>
      <w:r>
        <w:rPr>
          <w:rFonts w:hint="eastAsia" w:ascii="宋体" w:hAnsi="宋体" w:eastAsia="宋体" w:cs="宋体"/>
          <w:sz w:val="24"/>
          <w:szCs w:val="24"/>
        </w:rPr>
        <w:t xml:space="preserve"> </w:t>
      </w:r>
      <w:r>
        <w:rPr>
          <w:rFonts w:hint="eastAsia" w:ascii="宋体" w:hAnsi="宋体" w:eastAsia="宋体" w:cs="宋体"/>
          <w:color w:val="FF00FF"/>
          <w:sz w:val="24"/>
          <w:szCs w:val="24"/>
        </w:rPr>
        <w:t xml:space="preserve">            </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color w:val="FF00FF"/>
          <w:sz w:val="24"/>
          <w:szCs w:val="24"/>
        </w:rPr>
      </w:pPr>
    </w:p>
    <w:p>
      <w:pPr>
        <w:keepNext w:val="0"/>
        <w:keepLines w:val="0"/>
        <w:pageBreakBefore w:val="0"/>
        <w:widowControl w:val="0"/>
        <w:kinsoku/>
        <w:wordWrap/>
        <w:overflowPunct/>
        <w:topLinePunct w:val="0"/>
        <w:autoSpaceDE/>
        <w:autoSpaceDN/>
        <w:bidi w:val="0"/>
        <w:adjustRightInd w:val="0"/>
        <w:snapToGrid/>
        <w:spacing w:line="520" w:lineRule="exact"/>
        <w:ind w:left="420"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第五章 物业管理服务费用及支付方式</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第二十条  本协议项下委托物业管理服务费</w:t>
      </w:r>
      <w:r>
        <w:rPr>
          <w:rFonts w:hint="eastAsia" w:ascii="宋体" w:hAnsi="宋体" w:eastAsia="宋体" w:cs="宋体"/>
          <w:sz w:val="24"/>
          <w:szCs w:val="24"/>
          <w:lang w:val="en-US" w:eastAsia="zh-CN"/>
        </w:rPr>
        <w:t>为每月     元</w:t>
      </w:r>
      <w:r>
        <w:rPr>
          <w:rFonts w:hint="eastAsia" w:ascii="宋体" w:hAnsi="宋体" w:eastAsia="宋体" w:cs="宋体"/>
          <w:sz w:val="24"/>
          <w:szCs w:val="24"/>
        </w:rPr>
        <w:t>（大写：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上述费用包括物业管理所需人员（含工资、社会保险或商业保险、福利等）、物品、设备设施、管理费、税费、利润等全部费用在内，除本协议有特别约定外，乙方无权要求甲方再支付任何费用或者提供其他条件。</w:t>
      </w:r>
    </w:p>
    <w:p>
      <w:pPr>
        <w:keepNext w:val="0"/>
        <w:keepLines w:val="0"/>
        <w:pageBreakBefore w:val="0"/>
        <w:widowControl w:val="0"/>
        <w:kinsoku/>
        <w:wordWrap/>
        <w:overflowPunct/>
        <w:topLinePunct w:val="0"/>
        <w:autoSpaceDE/>
        <w:autoSpaceDN/>
        <w:bidi w:val="0"/>
        <w:adjustRightInd w:val="0"/>
        <w:snapToGrid/>
        <w:spacing w:line="520" w:lineRule="exact"/>
        <w:ind w:left="540" w:right="0" w:rightChars="0"/>
        <w:outlineLvl w:val="9"/>
        <w:rPr>
          <w:rFonts w:hint="eastAsia" w:ascii="宋体" w:hAnsi="宋体" w:eastAsia="宋体" w:cs="宋体"/>
          <w:sz w:val="24"/>
          <w:szCs w:val="24"/>
        </w:rPr>
      </w:pPr>
      <w:r>
        <w:rPr>
          <w:rFonts w:hint="eastAsia" w:ascii="宋体" w:hAnsi="宋体" w:eastAsia="宋体" w:cs="宋体"/>
          <w:sz w:val="24"/>
          <w:szCs w:val="24"/>
        </w:rPr>
        <w:t>第二十一条  物业管理服务费的支付方式</w:t>
      </w:r>
    </w:p>
    <w:p>
      <w:pPr>
        <w:keepNext w:val="0"/>
        <w:keepLines w:val="0"/>
        <w:pageBreakBefore w:val="0"/>
        <w:widowControl w:val="0"/>
        <w:numPr>
          <w:ilvl w:val="0"/>
          <w:numId w:val="25"/>
        </w:numPr>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lang w:val="en-US" w:eastAsia="zh-CN"/>
        </w:rPr>
      </w:pPr>
      <w:r>
        <w:rPr>
          <w:rFonts w:hint="eastAsia" w:ascii="宋体" w:hAnsi="宋体" w:eastAsia="宋体" w:cs="宋体"/>
          <w:sz w:val="24"/>
          <w:szCs w:val="24"/>
        </w:rPr>
        <w:t>甲乙双方约定合同签订后</w:t>
      </w:r>
      <w:r>
        <w:rPr>
          <w:rFonts w:hint="eastAsia" w:ascii="宋体" w:hAnsi="宋体" w:eastAsia="宋体" w:cs="宋体"/>
          <w:sz w:val="24"/>
          <w:szCs w:val="24"/>
          <w:lang w:val="en-US" w:eastAsia="zh-CN"/>
        </w:rPr>
        <w:t>七个工作日内</w:t>
      </w:r>
      <w:r>
        <w:rPr>
          <w:rFonts w:hint="eastAsia" w:ascii="宋体" w:hAnsi="宋体" w:eastAsia="宋体" w:cs="宋体"/>
          <w:sz w:val="24"/>
          <w:szCs w:val="24"/>
        </w:rPr>
        <w:t>，</w:t>
      </w:r>
      <w:r>
        <w:rPr>
          <w:rFonts w:hint="eastAsia" w:ascii="宋体" w:hAnsi="宋体" w:eastAsia="宋体" w:cs="宋体"/>
          <w:sz w:val="24"/>
          <w:szCs w:val="24"/>
          <w:lang w:val="en-US" w:eastAsia="zh-CN"/>
        </w:rPr>
        <w:t>甲方支付首笔物业管理服务费（约占合同总额60%），20</w:t>
      </w:r>
      <w:r>
        <w:rPr>
          <w:rFonts w:hint="eastAsia" w:ascii="宋体" w:hAnsi="宋体" w:cs="宋体"/>
          <w:sz w:val="24"/>
          <w:szCs w:val="24"/>
          <w:lang w:val="en-US" w:eastAsia="zh-CN"/>
        </w:rPr>
        <w:t>24</w:t>
      </w:r>
      <w:r>
        <w:rPr>
          <w:rFonts w:hint="eastAsia" w:ascii="宋体" w:hAnsi="宋体" w:eastAsia="宋体" w:cs="宋体"/>
          <w:sz w:val="24"/>
          <w:szCs w:val="24"/>
          <w:lang w:val="en-US" w:eastAsia="zh-CN"/>
        </w:rPr>
        <w:t>年7月1日前，乙方支付约定费用总额的5%作为履约保证金，甲方支付乙方第二笔物业服务费（约占合同总额40%），待服务期满后，乙方服务符合本项目约定及甲方要求的，甲方于2025年1月15日前无息返还履约保证金。</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2、物业管理过程中发生的能源费用，维修、改造、养护的材料费用，备件、配件、设备委托检测维保费用均由甲方承担；乙方负责支付工程部工具及维修小件耗材</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甲方不需另外支付此项费用</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3、在甲方支付相关费用之前，乙方应当向甲方开具同等金额的发票，否则甲方有权拒绝支付相应款项，并不承担任何违约责任；但乙方不得以此为由拒绝履行相关合同义务。若本协议项下物业管理服务费用涉及审批且甲方因此未按约定时间付款的，则付款时间相应顺延，甲方无需因此承担任何法律责任。</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4、双方在此确认，甲方可能因情势变更或不可抗力（包括自然灾害、疫情、政府管制或行政命令等）而部分或全部中止物业管理区域对外开放，因部分或全部中止物业管理区域对外开放而造成本协议无法履行、无需履行或履行已无实际意义的，不视为甲方违约，甲方将根据乙方已实际提供物业管理服务情况与乙方结算物业管理服务费用。</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p>
    <w:p>
      <w:pPr>
        <w:pStyle w:val="2"/>
        <w:rPr>
          <w:rFonts w:hint="eastAsia"/>
        </w:rPr>
      </w:pPr>
    </w:p>
    <w:p>
      <w:pPr>
        <w:keepNext w:val="0"/>
        <w:keepLines w:val="0"/>
        <w:pageBreakBefore w:val="0"/>
        <w:widowControl w:val="0"/>
        <w:numPr>
          <w:ilvl w:val="0"/>
          <w:numId w:val="26"/>
        </w:numPr>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b/>
          <w:bCs/>
          <w:sz w:val="24"/>
          <w:szCs w:val="24"/>
        </w:rPr>
      </w:pPr>
      <w:r>
        <w:rPr>
          <w:rFonts w:hint="eastAsia" w:ascii="宋体" w:hAnsi="宋体" w:eastAsia="宋体" w:cs="宋体"/>
          <w:b/>
          <w:bCs/>
          <w:sz w:val="24"/>
          <w:szCs w:val="24"/>
        </w:rPr>
        <w:t>合同解除和终止的约定</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第二十二条  本合同期满，甲方可根据乙方服务质量以及相关部门发布的政府采购、招标投标等相关规定确定是否与乙方续约。</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第二十三条  双方履约期间，如遇北京市及石景山区政府采购相关政策变化调整或政府采购定点名录更新等，导致双方不能继续履行协议的，以市、区政府采购相关政策规定及甲方上级主管部门批复意见为约束，未尽事宜双方协商处理，据实结算，不视为</w:t>
      </w:r>
      <w:r>
        <w:rPr>
          <w:rFonts w:hint="eastAsia" w:ascii="宋体" w:hAnsi="宋体" w:eastAsia="宋体" w:cs="宋体"/>
          <w:sz w:val="24"/>
          <w:szCs w:val="24"/>
          <w:lang w:val="en-US" w:eastAsia="zh-CN"/>
        </w:rPr>
        <w:t>甲方</w:t>
      </w:r>
      <w:r>
        <w:rPr>
          <w:rFonts w:hint="eastAsia" w:ascii="宋体" w:hAnsi="宋体" w:eastAsia="宋体" w:cs="宋体"/>
          <w:sz w:val="24"/>
          <w:szCs w:val="24"/>
        </w:rPr>
        <w:t>违约。　　</w:t>
      </w:r>
    </w:p>
    <w:p>
      <w:pPr>
        <w:keepNext w:val="0"/>
        <w:keepLines w:val="0"/>
        <w:pageBreakBefore w:val="0"/>
        <w:widowControl w:val="0"/>
        <w:kinsoku/>
        <w:wordWrap/>
        <w:overflowPunct/>
        <w:topLinePunct w:val="0"/>
        <w:autoSpaceDE/>
        <w:autoSpaceDN/>
        <w:bidi w:val="0"/>
        <w:adjustRightInd w:val="0"/>
        <w:snapToGrid/>
        <w:spacing w:line="520" w:lineRule="exact"/>
        <w:ind w:left="2" w:right="0" w:rightChars="0" w:firstLine="573" w:firstLineChars="239"/>
        <w:outlineLvl w:val="9"/>
        <w:rPr>
          <w:rFonts w:hint="eastAsia" w:ascii="宋体" w:hAnsi="宋体" w:eastAsia="宋体" w:cs="宋体"/>
          <w:sz w:val="24"/>
          <w:szCs w:val="24"/>
        </w:rPr>
      </w:pPr>
      <w:r>
        <w:rPr>
          <w:rFonts w:hint="eastAsia" w:ascii="宋体" w:hAnsi="宋体" w:eastAsia="宋体" w:cs="宋体"/>
          <w:sz w:val="24"/>
          <w:szCs w:val="24"/>
        </w:rPr>
        <w:t>第二十四条  本合同终止前，甲方应组织协调新老物业的交接。如有必要，甲乙双方协商可适当延长交接期限，但甲方需支付乙方相关费用。</w:t>
      </w:r>
    </w:p>
    <w:p>
      <w:pPr>
        <w:keepNext w:val="0"/>
        <w:keepLines w:val="0"/>
        <w:pageBreakBefore w:val="0"/>
        <w:widowControl w:val="0"/>
        <w:kinsoku/>
        <w:wordWrap/>
        <w:overflowPunct/>
        <w:topLinePunct w:val="0"/>
        <w:autoSpaceDE/>
        <w:autoSpaceDN/>
        <w:bidi w:val="0"/>
        <w:adjustRightInd w:val="0"/>
        <w:snapToGrid/>
        <w:spacing w:line="520" w:lineRule="exact"/>
        <w:ind w:left="2" w:right="0" w:rightChars="0" w:firstLine="573" w:firstLineChars="239"/>
        <w:outlineLvl w:val="9"/>
        <w:rPr>
          <w:rFonts w:hint="eastAsia"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lang w:eastAsia="zh-CN"/>
        </w:rPr>
        <w:t>第七章</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违约责任</w:t>
      </w:r>
    </w:p>
    <w:p>
      <w:pPr>
        <w:keepNext w:val="0"/>
        <w:keepLines w:val="0"/>
        <w:pageBreakBefore w:val="0"/>
        <w:widowControl w:val="0"/>
        <w:kinsoku/>
        <w:wordWrap/>
        <w:overflowPunct/>
        <w:topLinePunct w:val="0"/>
        <w:autoSpaceDE/>
        <w:autoSpaceDN/>
        <w:bidi w:val="0"/>
        <w:adjustRightInd w:val="0"/>
        <w:snapToGrid/>
        <w:spacing w:line="520" w:lineRule="exact"/>
        <w:ind w:left="2" w:right="0" w:rightChars="0"/>
        <w:outlineLvl w:val="9"/>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第二十五条  甲方违反本合同第四章第十八</w:t>
      </w:r>
      <w:r>
        <w:rPr>
          <w:rFonts w:hint="eastAsia" w:ascii="宋体" w:hAnsi="宋体" w:eastAsia="宋体" w:cs="宋体"/>
          <w:sz w:val="24"/>
          <w:szCs w:val="24"/>
          <w:lang w:val="en-US" w:eastAsia="zh-CN"/>
        </w:rPr>
        <w:t>条</w:t>
      </w:r>
      <w:r>
        <w:rPr>
          <w:rFonts w:hint="eastAsia" w:ascii="宋体" w:hAnsi="宋体" w:eastAsia="宋体" w:cs="宋体"/>
          <w:sz w:val="24"/>
          <w:szCs w:val="24"/>
        </w:rPr>
        <w:t>的约定，使乙方未完成规定管理目标，乙方有权要求甲方在一定期限内解决，甲方仍未能解决的，乙方不承担因此导致的相关责任。</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第二十六条  乙方有下列情形之一的，</w:t>
      </w:r>
      <w:r>
        <w:rPr>
          <w:rFonts w:hint="eastAsia" w:ascii="宋体" w:hAnsi="宋体" w:eastAsia="宋体" w:cs="宋体"/>
          <w:sz w:val="24"/>
          <w:szCs w:val="24"/>
          <w:lang w:val="en-US" w:eastAsia="zh-CN"/>
        </w:rPr>
        <w:t>需承担违约责任</w:t>
      </w:r>
      <w:r>
        <w:rPr>
          <w:rFonts w:hint="eastAsia" w:ascii="宋体" w:hAnsi="宋体" w:eastAsia="宋体" w:cs="宋体"/>
          <w:sz w:val="24"/>
          <w:szCs w:val="24"/>
        </w:rPr>
        <w:t>：</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672" w:firstLineChars="0"/>
        <w:outlineLvl w:val="9"/>
        <w:rPr>
          <w:rFonts w:hint="eastAsia" w:ascii="宋体" w:hAnsi="宋体" w:eastAsia="宋体" w:cs="宋体"/>
          <w:sz w:val="24"/>
          <w:szCs w:val="24"/>
        </w:rPr>
      </w:pPr>
      <w:r>
        <w:rPr>
          <w:rFonts w:hint="eastAsia" w:ascii="宋体" w:hAnsi="宋体" w:eastAsia="宋体" w:cs="宋体"/>
          <w:sz w:val="24"/>
          <w:szCs w:val="24"/>
        </w:rPr>
        <w:t>1、乙方未能达到约定的管理目标、要求且在甲方提出整改要求3日后仍未能达到整改效果的；</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672"/>
        <w:outlineLvl w:val="9"/>
        <w:rPr>
          <w:rFonts w:hint="eastAsia" w:ascii="宋体" w:hAnsi="宋体" w:eastAsia="宋体" w:cs="宋体"/>
          <w:sz w:val="24"/>
          <w:szCs w:val="24"/>
        </w:rPr>
      </w:pPr>
      <w:r>
        <w:rPr>
          <w:rFonts w:hint="eastAsia" w:ascii="宋体" w:hAnsi="宋体" w:eastAsia="宋体" w:cs="宋体"/>
          <w:sz w:val="24"/>
          <w:szCs w:val="24"/>
        </w:rPr>
        <w:t>2、因乙方原因造成任何人身、财产损失或其他安全事故（包括但不限于停电、停水、漏水、漏气等）的；</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672"/>
        <w:outlineLvl w:val="9"/>
        <w:rPr>
          <w:rFonts w:hint="eastAsia" w:ascii="宋体" w:hAnsi="宋体" w:eastAsia="宋体" w:cs="宋体"/>
          <w:sz w:val="24"/>
          <w:szCs w:val="24"/>
        </w:rPr>
      </w:pPr>
      <w:r>
        <w:rPr>
          <w:rFonts w:hint="eastAsia" w:ascii="宋体" w:hAnsi="宋体" w:eastAsia="宋体" w:cs="宋体"/>
          <w:sz w:val="24"/>
          <w:szCs w:val="24"/>
        </w:rPr>
        <w:t>3、乙方或乙方物业管理人员违反甲方或相关方管理制度或因乙方原因与第三方产生任何争议、纠纷的；</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672"/>
        <w:outlineLvl w:val="9"/>
        <w:rPr>
          <w:rFonts w:hint="eastAsia" w:ascii="宋体" w:hAnsi="宋体" w:eastAsia="宋体" w:cs="宋体"/>
          <w:sz w:val="24"/>
          <w:szCs w:val="24"/>
        </w:rPr>
      </w:pPr>
      <w:r>
        <w:rPr>
          <w:rFonts w:hint="eastAsia" w:ascii="宋体" w:hAnsi="宋体" w:eastAsia="宋体" w:cs="宋体"/>
          <w:sz w:val="24"/>
          <w:szCs w:val="24"/>
        </w:rPr>
        <w:t>4、乙方瞒报、谎报、缓报物业管理人员身体健康状况或行动轨迹、来源地区等基本情况的；</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672"/>
        <w:outlineLvl w:val="9"/>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、乙方有其他违反法律法规或本协议约定的情形的。</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672" w:firstLineChars="0"/>
        <w:outlineLvl w:val="9"/>
        <w:rPr>
          <w:rFonts w:hint="eastAsia" w:ascii="宋体" w:hAnsi="宋体" w:eastAsia="宋体" w:cs="宋体"/>
          <w:sz w:val="24"/>
          <w:szCs w:val="24"/>
        </w:rPr>
      </w:pPr>
      <w:r>
        <w:rPr>
          <w:rFonts w:hint="eastAsia" w:ascii="宋体" w:hAnsi="宋体" w:eastAsia="宋体" w:cs="宋体"/>
          <w:sz w:val="24"/>
          <w:szCs w:val="24"/>
        </w:rPr>
        <w:t>乙方有上述情形之一的，甲方有权解除本协议，无需支付未经甲方确认以及尚未履行部分物业管理服务费用，如相关费用已支付的，乙方应予以退还，除此之外，乙方还应向甲方支付相当于一个月物业管理服务费用总额的违约金，该违约金不视为甲方全部实际损失，甲方仍保留追究乙方法律责任的权利。</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第二十七条  因</w:t>
      </w:r>
      <w:r>
        <w:rPr>
          <w:rFonts w:hint="eastAsia" w:ascii="宋体" w:hAnsi="宋体" w:eastAsia="宋体" w:cs="宋体"/>
          <w:sz w:val="24"/>
          <w:szCs w:val="24"/>
          <w:lang w:val="en-US" w:eastAsia="zh-CN"/>
        </w:rPr>
        <w:t>本协议第</w:t>
      </w:r>
      <w:r>
        <w:rPr>
          <w:rFonts w:hint="eastAsia" w:ascii="宋体" w:hAnsi="宋体" w:eastAsia="宋体" w:cs="宋体"/>
          <w:sz w:val="24"/>
          <w:szCs w:val="24"/>
        </w:rPr>
        <w:t>四章十八条和十九条规定的原因导致守约方不得不提前终止合同的，或者任何一方无法律及合同上的依据单方面提前终止合同的，违约方应赔偿对方</w:t>
      </w:r>
      <w:r>
        <w:rPr>
          <w:rFonts w:hint="eastAsia" w:ascii="宋体" w:hAnsi="宋体" w:eastAsia="宋体" w:cs="宋体"/>
          <w:sz w:val="24"/>
          <w:szCs w:val="24"/>
          <w:lang w:val="en-US" w:eastAsia="zh-CN"/>
        </w:rPr>
        <w:t>三</w:t>
      </w:r>
      <w:r>
        <w:rPr>
          <w:rFonts w:hint="eastAsia" w:ascii="宋体" w:hAnsi="宋体" w:eastAsia="宋体" w:cs="宋体"/>
          <w:sz w:val="24"/>
          <w:szCs w:val="24"/>
        </w:rPr>
        <w:t>万元人民币的违约金，违约金不足以弥补对方损失的，还应赔偿该等损失；任何一方违反合同的其他规定造成对方经济损失的，应给予经济赔偿。</w:t>
      </w:r>
    </w:p>
    <w:p>
      <w:pPr>
        <w:keepNext w:val="0"/>
        <w:keepLines w:val="0"/>
        <w:pageBreakBefore w:val="0"/>
        <w:widowControl w:val="0"/>
        <w:kinsoku/>
        <w:wordWrap/>
        <w:overflowPunct/>
        <w:topLinePunct w:val="0"/>
        <w:autoSpaceDE/>
        <w:autoSpaceDN/>
        <w:bidi w:val="0"/>
        <w:adjustRightInd w:val="0"/>
        <w:snapToGrid/>
        <w:spacing w:line="520" w:lineRule="exact"/>
        <w:ind w:right="0" w:rightChars="0"/>
        <w:jc w:val="both"/>
        <w:outlineLvl w:val="9"/>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val="0"/>
        <w:snapToGrid/>
        <w:spacing w:line="520" w:lineRule="exact"/>
        <w:ind w:right="0" w:rightChars="0"/>
        <w:jc w:val="center"/>
        <w:outlineLvl w:val="9"/>
        <w:rPr>
          <w:rFonts w:hint="eastAsia" w:ascii="宋体" w:hAnsi="宋体" w:eastAsia="宋体" w:cs="宋体"/>
          <w:b/>
          <w:sz w:val="24"/>
          <w:szCs w:val="24"/>
        </w:rPr>
      </w:pPr>
      <w:r>
        <w:rPr>
          <w:rFonts w:hint="eastAsia" w:ascii="宋体" w:hAnsi="宋体" w:eastAsia="宋体" w:cs="宋体"/>
          <w:b/>
          <w:sz w:val="24"/>
          <w:szCs w:val="24"/>
        </w:rPr>
        <w:t>第八章 附  则</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第二十八条  甲乙双方可对本合同条款进行补充，以书面形式签订补充协议，补充协议与本合同具有同等效力。</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576" w:firstLineChars="240"/>
        <w:outlineLvl w:val="9"/>
        <w:rPr>
          <w:rFonts w:hint="eastAsia" w:ascii="宋体" w:hAnsi="宋体" w:eastAsia="宋体" w:cs="宋体"/>
          <w:sz w:val="24"/>
          <w:szCs w:val="24"/>
        </w:rPr>
      </w:pPr>
      <w:r>
        <w:rPr>
          <w:rFonts w:hint="eastAsia" w:ascii="宋体" w:hAnsi="宋体" w:eastAsia="宋体" w:cs="宋体"/>
          <w:sz w:val="24"/>
          <w:szCs w:val="24"/>
        </w:rPr>
        <w:t>第二十九条  本合同之附件均为合同有效组成部分，具有同等效力。本合同及其附件中未规定的事宜，均遵照国家有关法律、法规和政策执行。</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第三十条  本合同执行期间，如遇不可抗力</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包括自然灾害、政府管制或禁令等</w:t>
      </w:r>
      <w:r>
        <w:rPr>
          <w:rFonts w:hint="eastAsia" w:ascii="宋体" w:hAnsi="宋体" w:eastAsia="宋体" w:cs="宋体"/>
          <w:sz w:val="24"/>
          <w:szCs w:val="24"/>
          <w:lang w:eastAsia="zh-CN"/>
        </w:rPr>
        <w:t>）</w:t>
      </w:r>
      <w:r>
        <w:rPr>
          <w:rFonts w:hint="eastAsia" w:ascii="宋体" w:hAnsi="宋体" w:eastAsia="宋体" w:cs="宋体"/>
          <w:sz w:val="24"/>
          <w:szCs w:val="24"/>
        </w:rPr>
        <w:t>致使合同无法履行时，甲方有权终止合同。如遇上级部门、政策要求停止履行合同时，甲方有权终止合同，无需承担违约责任。如有争议，双方应按有关法律规定协商处理。</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第三十一条 乙方应当对其因本合同的签订及履行而获知的甲方相关信息进行保密，且未经甲方书面同意，不得超出本合同目的范围使用；若乙方违反上述义务给甲方造成损失的，应当承担赔偿责任。</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乙方应当保证其员工承担相同程度的保密义务，并为其员工违反义务的行为向甲方承担责任。</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本条约定的保密责任不因本合同的终止而终止履行。</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第三十二条 本合同在履行或终止时如发生争议，双方应协商解决，协商不成的，任何一方可以向甲方所在地北京市石景山区有管辖权的法院提起诉讼。</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第三十三条 本合同正本共</w:t>
      </w:r>
      <w:r>
        <w:rPr>
          <w:rFonts w:hint="eastAsia" w:ascii="宋体" w:hAnsi="宋体" w:eastAsia="宋体" w:cs="宋体"/>
          <w:sz w:val="24"/>
          <w:szCs w:val="24"/>
          <w:u w:val="single"/>
        </w:rPr>
        <w:t xml:space="preserve">  </w:t>
      </w:r>
      <w:r>
        <w:rPr>
          <w:rFonts w:hint="eastAsia" w:ascii="宋体" w:hAnsi="宋体" w:eastAsia="宋体" w:cs="宋体"/>
          <w:sz w:val="24"/>
          <w:szCs w:val="24"/>
        </w:rPr>
        <w:t>页，一式四份，</w:t>
      </w:r>
      <w:r>
        <w:rPr>
          <w:rFonts w:hint="eastAsia" w:ascii="宋体" w:hAnsi="宋体" w:eastAsia="宋体" w:cs="宋体"/>
          <w:color w:val="000000"/>
          <w:sz w:val="24"/>
          <w:szCs w:val="24"/>
        </w:rPr>
        <w:t>甲乙双方</w:t>
      </w:r>
      <w:r>
        <w:rPr>
          <w:rFonts w:hint="eastAsia" w:ascii="宋体" w:hAnsi="宋体" w:eastAsia="宋体" w:cs="宋体"/>
          <w:sz w:val="24"/>
          <w:szCs w:val="24"/>
        </w:rPr>
        <w:t>各执两份，具有同等的法律效力。</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第三十四条  本合同自双方签字盖章之日起生效。</w:t>
      </w:r>
    </w:p>
    <w:p>
      <w:pPr>
        <w:keepNext w:val="0"/>
        <w:keepLines w:val="0"/>
        <w:pageBreakBefore w:val="0"/>
        <w:widowControl w:val="0"/>
        <w:kinsoku/>
        <w:wordWrap/>
        <w:overflowPunct/>
        <w:topLinePunct w:val="0"/>
        <w:autoSpaceDE/>
        <w:autoSpaceDN/>
        <w:bidi w:val="0"/>
        <w:adjustRightInd w:val="0"/>
        <w:snapToGrid/>
        <w:spacing w:line="520" w:lineRule="exact"/>
        <w:ind w:left="420" w:right="0" w:rightChars="0"/>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val="0"/>
        <w:snapToGrid/>
        <w:spacing w:line="520" w:lineRule="exact"/>
        <w:ind w:left="420" w:right="0" w:rightChars="0"/>
        <w:outlineLvl w:val="9"/>
        <w:rPr>
          <w:rFonts w:hint="eastAsia" w:ascii="宋体" w:hAnsi="宋体" w:eastAsia="宋体" w:cs="宋体"/>
          <w:sz w:val="24"/>
          <w:szCs w:val="24"/>
        </w:rPr>
      </w:pPr>
      <w:r>
        <w:rPr>
          <w:rFonts w:hint="eastAsia" w:ascii="宋体" w:hAnsi="宋体" w:eastAsia="宋体" w:cs="宋体"/>
          <w:sz w:val="24"/>
          <w:szCs w:val="24"/>
        </w:rPr>
        <w:t>甲方签章                          乙方签章</w:t>
      </w: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spacing w:line="520" w:lineRule="exact"/>
        <w:ind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代表人：                          代表人：</w:t>
      </w: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val="0"/>
        <w:snapToGrid/>
        <w:spacing w:line="520" w:lineRule="exact"/>
        <w:ind w:right="0" w:rightChars="0"/>
        <w:outlineLvl w:val="9"/>
        <w:rPr>
          <w:rFonts w:hint="eastAsia" w:ascii="宋体" w:hAnsi="宋体" w:eastAsia="宋体" w:cs="宋体"/>
          <w:sz w:val="24"/>
          <w:szCs w:val="24"/>
        </w:rPr>
      </w:pPr>
      <w:r>
        <w:rPr>
          <w:rFonts w:hint="eastAsia" w:ascii="宋体" w:hAnsi="宋体" w:eastAsia="宋体" w:cs="宋体"/>
          <w:sz w:val="24"/>
          <w:szCs w:val="24"/>
        </w:rPr>
        <w:t xml:space="preserve">   年    月     日                   年    月     日</w:t>
      </w:r>
    </w:p>
    <w:p>
      <w:pPr>
        <w:adjustRightInd w:val="0"/>
        <w:snapToGrid w:val="0"/>
        <w:spacing w:before="312" w:beforeLines="100" w:after="312" w:afterLines="100"/>
        <w:jc w:val="center"/>
        <w:outlineLvl w:val="0"/>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p>
      <w:pPr>
        <w:pStyle w:val="34"/>
        <w:rPr>
          <w:rFonts w:hint="eastAsia" w:ascii="宋体" w:hAnsi="宋体" w:cs="宋体"/>
          <w:b/>
          <w:sz w:val="36"/>
          <w:szCs w:val="36"/>
        </w:rPr>
      </w:pPr>
    </w:p>
    <w:bookmarkEnd w:id="70"/>
    <w:p>
      <w:pPr>
        <w:pStyle w:val="49"/>
        <w:snapToGrid w:val="0"/>
        <w:spacing w:before="0" w:after="0"/>
        <w:ind w:left="0"/>
        <w:rPr>
          <w:color w:val="auto"/>
        </w:rPr>
      </w:pPr>
      <w:bookmarkStart w:id="71" w:name="_Toc466015317"/>
      <w:r>
        <w:rPr>
          <w:rFonts w:hint="eastAsia" w:ascii="宋体" w:hAnsi="宋体"/>
          <w:color w:val="auto"/>
          <w:lang w:val="en-US" w:eastAsia="zh-CN"/>
        </w:rPr>
        <w:t xml:space="preserve"> </w:t>
      </w:r>
      <w:r>
        <w:rPr>
          <w:rFonts w:hint="eastAsia" w:ascii="宋体" w:hAnsi="宋体"/>
          <w:color w:val="auto"/>
        </w:rPr>
        <w:t>投标文件格式</w:t>
      </w:r>
      <w:bookmarkEnd w:id="65"/>
      <w:bookmarkEnd w:id="66"/>
      <w:bookmarkEnd w:id="67"/>
      <w:bookmarkEnd w:id="68"/>
      <w:bookmarkEnd w:id="71"/>
    </w:p>
    <w:p>
      <w:pPr>
        <w:spacing w:before="312" w:beforeLines="100" w:after="156" w:afterLines="50"/>
        <w:ind w:firstLine="482" w:firstLineChars="200"/>
        <w:outlineLvl w:val="1"/>
        <w:rPr>
          <w:rFonts w:hint="eastAsia" w:ascii="宋体" w:hAnsi="宋体"/>
          <w:b/>
          <w:color w:val="auto"/>
          <w:sz w:val="24"/>
          <w:szCs w:val="24"/>
        </w:rPr>
      </w:pPr>
      <w:bookmarkStart w:id="72" w:name="_Toc146544227"/>
      <w:bookmarkStart w:id="73" w:name="_Toc341716002"/>
      <w:bookmarkStart w:id="74" w:name="_Toc129190753"/>
      <w:bookmarkStart w:id="75" w:name="_Toc134067010"/>
      <w:bookmarkStart w:id="76" w:name="_Toc192444818"/>
      <w:r>
        <w:rPr>
          <w:rFonts w:hint="eastAsia" w:ascii="宋体" w:hAnsi="宋体"/>
          <w:b/>
          <w:color w:val="auto"/>
          <w:sz w:val="24"/>
          <w:szCs w:val="24"/>
        </w:rPr>
        <w:t>一、投标人提交文件须知</w:t>
      </w:r>
      <w:bookmarkEnd w:id="72"/>
      <w:bookmarkEnd w:id="73"/>
      <w:bookmarkEnd w:id="74"/>
      <w:bookmarkEnd w:id="75"/>
      <w:bookmarkEnd w:id="76"/>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27"/>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28"/>
        </w:numPr>
        <w:spacing w:before="312" w:beforeLines="100" w:after="156" w:afterLines="50"/>
        <w:ind w:firstLine="482" w:firstLineChars="200"/>
        <w:outlineLvl w:val="1"/>
        <w:rPr>
          <w:rFonts w:hint="eastAsia" w:ascii="宋体" w:hAnsi="宋体"/>
          <w:b/>
          <w:color w:val="auto"/>
          <w:sz w:val="24"/>
          <w:szCs w:val="24"/>
        </w:rPr>
      </w:pPr>
      <w:bookmarkStart w:id="77" w:name="_投标文件组成_1"/>
      <w:bookmarkEnd w:id="77"/>
      <w:bookmarkStart w:id="78" w:name="_Toc341716003"/>
      <w:bookmarkStart w:id="79" w:name="_Toc192444819"/>
      <w:bookmarkStart w:id="80" w:name="_Toc146544228"/>
      <w:bookmarkStart w:id="81" w:name="_Toc129190754"/>
      <w:bookmarkStart w:id="82" w:name="_Toc134067011"/>
      <w:r>
        <w:rPr>
          <w:rFonts w:hint="eastAsia" w:ascii="宋体" w:hAnsi="宋体"/>
          <w:b/>
          <w:color w:val="auto"/>
          <w:sz w:val="24"/>
          <w:szCs w:val="24"/>
        </w:rPr>
        <w:t>投标文件</w:t>
      </w:r>
      <w:bookmarkEnd w:id="78"/>
      <w:bookmarkEnd w:id="79"/>
      <w:bookmarkEnd w:id="80"/>
      <w:bookmarkEnd w:id="81"/>
      <w:bookmarkEnd w:id="82"/>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251660288"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251660288;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jc w:val="center"/>
        <w:rPr>
          <w:rFonts w:hint="eastAsia"/>
          <w:b/>
          <w:color w:val="auto"/>
          <w:sz w:val="44"/>
          <w:szCs w:val="44"/>
        </w:rPr>
      </w:pPr>
    </w:p>
    <w:p>
      <w:pPr>
        <w:pStyle w:val="17"/>
        <w:rPr>
          <w:rFonts w:hint="eastAsia"/>
          <w:color w:val="auto"/>
        </w:rPr>
      </w:pPr>
    </w:p>
    <w:p>
      <w:pPr>
        <w:jc w:val="center"/>
        <w:rPr>
          <w:rFonts w:hint="eastAsia"/>
          <w:b/>
          <w:color w:val="auto"/>
          <w:sz w:val="44"/>
          <w:szCs w:val="44"/>
          <w:lang w:eastAsia="zh-CN"/>
        </w:rPr>
      </w:pPr>
      <w:r>
        <w:rPr>
          <w:rFonts w:hint="eastAsia"/>
          <w:b/>
          <w:color w:val="auto"/>
          <w:sz w:val="44"/>
          <w:szCs w:val="44"/>
        </w:rPr>
        <w:t>北京市石景山区</w:t>
      </w:r>
      <w:r>
        <w:rPr>
          <w:rFonts w:hint="eastAsia"/>
          <w:b/>
          <w:color w:val="auto"/>
          <w:sz w:val="44"/>
          <w:szCs w:val="44"/>
          <w:lang w:eastAsia="zh-CN"/>
        </w:rPr>
        <w:t>图书馆</w:t>
      </w:r>
      <w:r>
        <w:rPr>
          <w:rFonts w:hint="eastAsia"/>
          <w:b/>
          <w:color w:val="auto"/>
          <w:sz w:val="44"/>
          <w:szCs w:val="44"/>
        </w:rPr>
        <w:t>2024年度</w:t>
      </w:r>
      <w:r>
        <w:rPr>
          <w:rFonts w:hint="eastAsia"/>
          <w:b/>
          <w:color w:val="auto"/>
          <w:sz w:val="44"/>
          <w:szCs w:val="44"/>
          <w:lang w:eastAsia="zh-CN"/>
        </w:rPr>
        <w:t>公用经费</w:t>
      </w:r>
    </w:p>
    <w:p>
      <w:pPr>
        <w:jc w:val="center"/>
        <w:rPr>
          <w:b/>
          <w:color w:val="auto"/>
          <w:sz w:val="44"/>
          <w:szCs w:val="44"/>
        </w:rPr>
      </w:pPr>
      <w:r>
        <w:rPr>
          <w:rFonts w:hint="eastAsia"/>
          <w:b/>
          <w:color w:val="auto"/>
          <w:sz w:val="44"/>
          <w:szCs w:val="44"/>
        </w:rPr>
        <w:t>物业管理服务采购项目</w:t>
      </w:r>
    </w:p>
    <w:p>
      <w:pPr>
        <w:pStyle w:val="6"/>
        <w:rPr>
          <w:color w:val="auto"/>
        </w:rPr>
      </w:pPr>
    </w:p>
    <w:p>
      <w:pPr>
        <w:jc w:val="center"/>
        <w:rPr>
          <w:b/>
          <w:color w:val="auto"/>
          <w:sz w:val="72"/>
          <w:szCs w:val="72"/>
        </w:rPr>
      </w:pPr>
      <w:bookmarkStart w:id="83" w:name="_Toc26431"/>
      <w:r>
        <w:rPr>
          <w:rFonts w:hint="eastAsia"/>
          <w:b/>
          <w:color w:val="auto"/>
          <w:sz w:val="72"/>
          <w:szCs w:val="72"/>
        </w:rPr>
        <w:t>投标文件</w:t>
      </w:r>
      <w:bookmarkEnd w:id="83"/>
    </w:p>
    <w:p>
      <w:pPr>
        <w:rPr>
          <w:b/>
          <w:color w:val="auto"/>
          <w:sz w:val="44"/>
          <w:szCs w:val="44"/>
        </w:rPr>
      </w:pPr>
    </w:p>
    <w:p>
      <w:pPr>
        <w:rPr>
          <w:b/>
          <w:color w:val="auto"/>
        </w:rPr>
      </w:pPr>
    </w:p>
    <w:p>
      <w:pPr>
        <w:jc w:val="center"/>
        <w:rPr>
          <w:b/>
          <w:color w:val="auto"/>
          <w:sz w:val="32"/>
        </w:rPr>
      </w:pPr>
      <w:bookmarkStart w:id="84" w:name="_Toc23044"/>
      <w:r>
        <w:rPr>
          <w:rFonts w:hint="eastAsia"/>
          <w:b/>
          <w:color w:val="auto"/>
          <w:sz w:val="32"/>
          <w:lang w:eastAsia="zh-CN"/>
        </w:rPr>
        <w:t>项目</w:t>
      </w:r>
      <w:r>
        <w:rPr>
          <w:rFonts w:hint="eastAsia"/>
          <w:b/>
          <w:color w:val="auto"/>
          <w:sz w:val="32"/>
        </w:rPr>
        <w:t>编号</w:t>
      </w:r>
      <w:r>
        <w:rPr>
          <w:b/>
          <w:color w:val="auto"/>
          <w:sz w:val="32"/>
        </w:rPr>
        <w:t>:</w:t>
      </w:r>
      <w:bookmarkEnd w:id="84"/>
    </w:p>
    <w:p>
      <w:pPr>
        <w:jc w:val="center"/>
        <w:rPr>
          <w:color w:val="auto"/>
        </w:rPr>
      </w:pPr>
    </w:p>
    <w:p>
      <w:pPr>
        <w:pStyle w:val="10"/>
        <w:ind w:firstLine="0"/>
        <w:rPr>
          <w:color w:val="auto"/>
        </w:rPr>
      </w:pPr>
    </w:p>
    <w:p>
      <w:pPr>
        <w:pStyle w:val="10"/>
        <w:jc w:val="both"/>
        <w:rPr>
          <w:color w:val="auto"/>
        </w:rPr>
      </w:pPr>
    </w:p>
    <w:p>
      <w:pPr>
        <w:pStyle w:val="10"/>
        <w:ind w:firstLine="0"/>
        <w:rPr>
          <w:color w:val="auto"/>
        </w:rPr>
      </w:pPr>
    </w:p>
    <w:p>
      <w:pPr>
        <w:pStyle w:val="10"/>
        <w:rPr>
          <w:color w:val="auto"/>
        </w:rPr>
      </w:pPr>
    </w:p>
    <w:p>
      <w:pPr>
        <w:pStyle w:val="10"/>
        <w:rPr>
          <w:color w:val="auto"/>
        </w:rPr>
      </w:pPr>
    </w:p>
    <w:p>
      <w:pPr>
        <w:pStyle w:val="10"/>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85" w:name="_Toc12572"/>
      <w:r>
        <w:rPr>
          <w:rFonts w:hint="eastAsia"/>
          <w:b/>
          <w:color w:val="auto"/>
          <w:sz w:val="32"/>
          <w:szCs w:val="32"/>
        </w:rPr>
        <w:t>投标单位（电子签章）：</w:t>
      </w:r>
      <w:bookmarkEnd w:id="85"/>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86" w:name="_Toc32490"/>
      <w:bookmarkStart w:id="87" w:name="_Toc519087074"/>
      <w:bookmarkStart w:id="88" w:name="_Toc466014528"/>
      <w:bookmarkStart w:id="89" w:name="_Toc492299632"/>
      <w:bookmarkStart w:id="90" w:name="_Toc492299318"/>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86"/>
      <w:bookmarkEnd w:id="87"/>
      <w:bookmarkEnd w:id="88"/>
      <w:bookmarkEnd w:id="89"/>
      <w:bookmarkEnd w:id="90"/>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★法人营业执照或事业单位法人证书</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7"/>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7"/>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7"/>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7"/>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29"/>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29"/>
        </w:numPr>
        <w:spacing w:line="360" w:lineRule="auto"/>
        <w:ind w:left="1134"/>
        <w:rPr>
          <w:sz w:val="24"/>
          <w:szCs w:val="22"/>
        </w:rPr>
      </w:pPr>
      <w:r>
        <w:rPr>
          <w:sz w:val="24"/>
          <w:szCs w:val="22"/>
        </w:rPr>
        <w:t>具有良好的商业信誉和健全的财务会计制度；</w:t>
      </w:r>
    </w:p>
    <w:p>
      <w:pPr>
        <w:numPr>
          <w:ilvl w:val="0"/>
          <w:numId w:val="29"/>
        </w:numPr>
        <w:spacing w:line="360" w:lineRule="auto"/>
        <w:ind w:left="1134"/>
        <w:rPr>
          <w:sz w:val="24"/>
          <w:szCs w:val="22"/>
        </w:rPr>
      </w:pPr>
      <w:r>
        <w:rPr>
          <w:sz w:val="24"/>
          <w:szCs w:val="22"/>
        </w:rPr>
        <w:t>具有履行合同所必需的设备和专业技术能力；</w:t>
      </w:r>
    </w:p>
    <w:p>
      <w:pPr>
        <w:numPr>
          <w:ilvl w:val="0"/>
          <w:numId w:val="29"/>
        </w:numPr>
        <w:spacing w:line="360" w:lineRule="auto"/>
        <w:ind w:left="1134"/>
        <w:rPr>
          <w:sz w:val="24"/>
          <w:szCs w:val="22"/>
        </w:rPr>
      </w:pPr>
      <w:r>
        <w:rPr>
          <w:sz w:val="24"/>
          <w:szCs w:val="22"/>
        </w:rPr>
        <w:t>有依法缴纳税收和社会保障资金的良好记录；</w:t>
      </w:r>
    </w:p>
    <w:p>
      <w:pPr>
        <w:numPr>
          <w:ilvl w:val="0"/>
          <w:numId w:val="2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30"/>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30"/>
        </w:numPr>
        <w:spacing w:line="360" w:lineRule="auto"/>
        <w:rPr>
          <w:rFonts w:ascii="宋体" w:hAnsi="宋体"/>
          <w:color w:val="auto"/>
          <w:sz w:val="24"/>
          <w:szCs w:val="24"/>
        </w:rPr>
      </w:pPr>
      <w:r>
        <w:rPr>
          <w:rFonts w:hint="eastAsia" w:ascii="宋体" w:hAnsi="宋体"/>
          <w:color w:val="auto"/>
          <w:sz w:val="24"/>
          <w:szCs w:val="24"/>
        </w:rPr>
        <w:t>本投标函自本项目投标截止日起生效。</w:t>
      </w:r>
    </w:p>
    <w:p>
      <w:pPr>
        <w:pStyle w:val="13"/>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3"/>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3"/>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3"/>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3"/>
              <w:tabs>
                <w:tab w:val="left" w:pos="5580"/>
              </w:tabs>
              <w:spacing w:line="300" w:lineRule="auto"/>
              <w:rPr>
                <w:rFonts w:hAnsi="宋体"/>
                <w:color w:val="auto"/>
                <w:sz w:val="24"/>
                <w:szCs w:val="24"/>
              </w:rPr>
            </w:pPr>
          </w:p>
        </w:tc>
      </w:tr>
    </w:tbl>
    <w:p>
      <w:pPr>
        <w:pStyle w:val="13"/>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填表日期：202</w:t>
      </w:r>
      <w:r>
        <w:rPr>
          <w:rFonts w:hint="eastAsia" w:ascii="宋体" w:hAnsi="宋体"/>
          <w:color w:val="auto"/>
          <w:sz w:val="24"/>
          <w:szCs w:val="24"/>
          <w:lang w:val="en-US" w:eastAsia="zh-CN"/>
        </w:rPr>
        <w:t>3</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7"/>
              <w:rPr>
                <w:rFonts w:hint="eastAsia"/>
                <w:color w:val="auto"/>
              </w:rPr>
            </w:pPr>
          </w:p>
          <w:p>
            <w:pPr>
              <w:pStyle w:val="17"/>
              <w:rPr>
                <w:rFonts w:hint="eastAsia"/>
                <w:color w:val="auto"/>
              </w:rPr>
            </w:pPr>
          </w:p>
          <w:p>
            <w:pPr>
              <w:pStyle w:val="17"/>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3"/>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6"/>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3"/>
        <w:spacing w:line="360" w:lineRule="auto"/>
        <w:ind w:left="274" w:leftChars="114" w:firstLine="0" w:firstLineChars="0"/>
        <w:rPr>
          <w:rFonts w:hint="eastAsia" w:cs="微软雅黑"/>
          <w:color w:val="auto"/>
          <w:sz w:val="24"/>
          <w:szCs w:val="24"/>
        </w:rPr>
      </w:pPr>
    </w:p>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5"/>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3"/>
        <w:rPr>
          <w:rFonts w:hint="eastAsia" w:hAnsi="宋体"/>
          <w:color w:val="auto"/>
          <w:sz w:val="24"/>
        </w:rPr>
      </w:pPr>
      <w:r>
        <w:rPr>
          <w:rFonts w:hint="eastAsia" w:hAnsi="宋体"/>
          <w:color w:val="auto"/>
          <w:sz w:val="24"/>
          <w:szCs w:val="24"/>
        </w:rPr>
        <w:t>项目名称：</w:t>
      </w:r>
    </w:p>
    <w:tbl>
      <w:tblPr>
        <w:tblStyle w:val="3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spacing w:before="156"/>
              <w:rPr>
                <w:rFonts w:hint="eastAsia" w:hAnsi="宋体"/>
                <w:color w:val="auto"/>
                <w:sz w:val="24"/>
              </w:rPr>
            </w:pPr>
            <w:r>
              <w:rPr>
                <w:rFonts w:hint="eastAsia" w:hAnsi="宋体"/>
                <w:color w:val="auto"/>
                <w:sz w:val="24"/>
              </w:rPr>
              <w:t>序号</w:t>
            </w:r>
          </w:p>
        </w:tc>
        <w:tc>
          <w:tcPr>
            <w:tcW w:w="2040" w:type="dxa"/>
            <w:vAlign w:val="top"/>
          </w:tcPr>
          <w:p>
            <w:pPr>
              <w:pStyle w:val="13"/>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3"/>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3"/>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3"/>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jc w:val="center"/>
              <w:rPr>
                <w:rFonts w:hint="eastAsia" w:hAnsi="宋体"/>
                <w:color w:val="auto"/>
                <w:sz w:val="24"/>
              </w:rPr>
            </w:pPr>
          </w:p>
        </w:tc>
        <w:tc>
          <w:tcPr>
            <w:tcW w:w="2520" w:type="dxa"/>
            <w:vAlign w:val="top"/>
          </w:tcPr>
          <w:p>
            <w:pPr>
              <w:pStyle w:val="13"/>
              <w:jc w:val="center"/>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3"/>
              <w:rPr>
                <w:rFonts w:hint="eastAsia" w:hAnsi="宋体"/>
                <w:color w:val="auto"/>
                <w:sz w:val="24"/>
              </w:rPr>
            </w:pPr>
          </w:p>
        </w:tc>
        <w:tc>
          <w:tcPr>
            <w:tcW w:w="204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2520" w:type="dxa"/>
            <w:vAlign w:val="top"/>
          </w:tcPr>
          <w:p>
            <w:pPr>
              <w:pStyle w:val="13"/>
              <w:rPr>
                <w:rFonts w:hint="eastAsia" w:hAnsi="宋体"/>
                <w:color w:val="auto"/>
                <w:sz w:val="24"/>
              </w:rPr>
            </w:pPr>
          </w:p>
        </w:tc>
        <w:tc>
          <w:tcPr>
            <w:tcW w:w="900" w:type="dxa"/>
            <w:vAlign w:val="top"/>
          </w:tcPr>
          <w:p>
            <w:pPr>
              <w:pStyle w:val="13"/>
              <w:rPr>
                <w:rFonts w:hint="eastAsia" w:hAnsi="宋体"/>
                <w:color w:val="auto"/>
                <w:sz w:val="24"/>
              </w:rPr>
            </w:pPr>
          </w:p>
        </w:tc>
      </w:tr>
    </w:tbl>
    <w:p>
      <w:pPr>
        <w:pStyle w:val="13"/>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rPr>
        <w:t>项目服务特点、难点分析及相应措施</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sz w:val="24"/>
          <w:szCs w:val="24"/>
          <w:u w:val="none"/>
        </w:rPr>
        <w:t>针对本项目的重点工作方案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position w:val="-1"/>
          <w:sz w:val="24"/>
          <w:szCs w:val="24"/>
          <w:u w:val="none"/>
        </w:rPr>
        <w:t>日常</w:t>
      </w:r>
      <w:r>
        <w:rPr>
          <w:rFonts w:ascii="宋体" w:hAnsi="宋体"/>
          <w:position w:val="-1"/>
          <w:sz w:val="24"/>
          <w:szCs w:val="24"/>
          <w:u w:val="none"/>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rPr>
        <w:t>日常管理制度</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ascii="宋体" w:hAnsi="宋体"/>
          <w:sz w:val="24"/>
          <w:szCs w:val="24"/>
          <w:u w:val="none"/>
        </w:rPr>
        <w:t>应急预案</w:t>
      </w:r>
      <w:r>
        <w:rPr>
          <w:rFonts w:hint="eastAsia" w:ascii="宋体" w:hAnsi="宋体"/>
          <w:sz w:val="24"/>
          <w:szCs w:val="24"/>
          <w:u w:val="none"/>
          <w:lang w:eastAsia="zh-CN"/>
        </w:rPr>
        <w:t>。</w:t>
      </w:r>
    </w:p>
    <w:p>
      <w:pPr>
        <w:pStyle w:val="2"/>
        <w:rPr>
          <w:rFonts w:hint="eastAsia"/>
        </w:rPr>
      </w:pPr>
    </w:p>
    <w:p>
      <w:pPr>
        <w:pStyle w:val="17"/>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服务团队</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组织机构及人员</w:t>
      </w:r>
      <w:r>
        <w:rPr>
          <w:rFonts w:hint="eastAsia" w:ascii="宋体" w:hAnsi="宋体" w:cs="宋体"/>
          <w:b w:val="0"/>
          <w:bCs/>
          <w:color w:val="000000"/>
          <w:sz w:val="24"/>
          <w:szCs w:val="24"/>
          <w:lang w:eastAsia="zh-CN"/>
        </w:rPr>
        <w:t>配置</w:t>
      </w:r>
      <w:r>
        <w:rPr>
          <w:rFonts w:hint="eastAsia" w:ascii="宋体" w:hAnsi="宋体" w:eastAsia="宋体" w:cs="宋体"/>
          <w:b w:val="0"/>
          <w:bCs/>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b w:val="0"/>
          <w:bCs/>
          <w:color w:val="000000"/>
          <w:sz w:val="24"/>
          <w:szCs w:val="24"/>
          <w:lang w:eastAsia="zh-CN"/>
        </w:rPr>
        <w:t>项目经理</w:t>
      </w:r>
      <w:r>
        <w:rPr>
          <w:rFonts w:hint="eastAsia" w:ascii="宋体" w:hAnsi="宋体" w:cs="宋体"/>
          <w:b w:val="0"/>
          <w:bCs/>
          <w:color w:val="000000"/>
          <w:sz w:val="24"/>
          <w:szCs w:val="24"/>
          <w:lang w:eastAsia="zh-CN"/>
        </w:rPr>
        <w:t>。</w:t>
      </w:r>
    </w:p>
    <w:p>
      <w:pPr>
        <w:pStyle w:val="3"/>
        <w:numPr>
          <w:ilvl w:val="-1"/>
          <w:numId w:val="0"/>
        </w:numPr>
        <w:rPr>
          <w:rFonts w:hint="eastAsia" w:ascii="宋体" w:hAnsi="宋体" w:cs="宋体"/>
          <w:color w:val="auto"/>
          <w:lang w:val="en-US" w:eastAsia="zh-CN" w:bidi="ar-SA"/>
        </w:rPr>
      </w:pPr>
    </w:p>
    <w:p>
      <w:pPr>
        <w:pStyle w:val="13"/>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3"/>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投标人履约能力</w:t>
      </w:r>
      <w:r>
        <w:rPr>
          <w:rFonts w:hint="eastAsia" w:ascii="宋体" w:hAnsi="宋体"/>
          <w:b/>
          <w:color w:val="auto"/>
          <w:sz w:val="24"/>
          <w:szCs w:val="24"/>
          <w:lang w:eastAsia="zh-CN"/>
        </w:rPr>
        <w:t>（应答本招标文件第四部分“采购需求”中的具体要求，格式自拟）</w:t>
      </w:r>
    </w:p>
    <w:p>
      <w:pPr>
        <w:spacing w:line="360" w:lineRule="auto"/>
        <w:rPr>
          <w:rFonts w:hint="eastAsia" w:ascii="宋体" w:hAnsi="宋体" w:eastAsia="宋体" w:cs="宋体"/>
          <w:b w:val="0"/>
          <w:bCs/>
          <w:sz w:val="24"/>
          <w:szCs w:val="24"/>
          <w:lang w:val="en-US" w:eastAsia="zh-CN" w:bidi="ar-SA"/>
        </w:rPr>
      </w:pPr>
      <w:r>
        <w:rPr>
          <w:rFonts w:hint="eastAsia" w:ascii="宋体" w:hAnsi="宋体"/>
          <w:b w:val="0"/>
          <w:bCs/>
          <w:color w:val="auto"/>
          <w:sz w:val="24"/>
          <w:szCs w:val="24"/>
          <w:lang w:val="en-US" w:eastAsia="zh-CN"/>
        </w:rPr>
        <w:t>8.1</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w:t>
      </w:r>
      <w:r>
        <w:rPr>
          <w:rFonts w:hint="eastAsia" w:hAnsi="宋体"/>
          <w:b w:val="0"/>
          <w:bCs/>
          <w:color w:val="000000"/>
          <w:sz w:val="24"/>
          <w:szCs w:val="24"/>
          <w:lang w:eastAsia="zh-CN"/>
        </w:rPr>
        <w:t>提供</w:t>
      </w:r>
      <w:r>
        <w:rPr>
          <w:rFonts w:hint="eastAsia" w:hAnsi="宋体"/>
          <w:b w:val="0"/>
          <w:bCs/>
          <w:color w:val="000000"/>
          <w:sz w:val="24"/>
          <w:szCs w:val="24"/>
        </w:rPr>
        <w:t>合同首页、甲方名称、服务内容、服务金额、合同签署页等关键页）</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3"/>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3"/>
        <w:tabs>
          <w:tab w:val="left" w:pos="5220"/>
        </w:tabs>
        <w:spacing w:line="360" w:lineRule="auto"/>
        <w:rPr>
          <w:rFonts w:hint="eastAsia" w:hAnsi="宋体"/>
          <w:b/>
          <w:color w:val="auto"/>
          <w:sz w:val="24"/>
          <w:szCs w:val="24"/>
        </w:rPr>
      </w:pPr>
      <w:r>
        <w:rPr>
          <w:rFonts w:hint="eastAsia" w:hAnsi="宋体"/>
          <w:b w:val="0"/>
          <w:bCs/>
          <w:color w:val="auto"/>
          <w:sz w:val="24"/>
          <w:szCs w:val="24"/>
          <w:lang w:val="en-US" w:eastAsia="zh-CN"/>
        </w:rPr>
        <w:t xml:space="preserve">8.2 </w:t>
      </w:r>
      <w:r>
        <w:rPr>
          <w:rFonts w:hint="eastAsia" w:ascii="宋体" w:hAnsi="宋体"/>
          <w:b w:val="0"/>
          <w:bCs/>
          <w:color w:val="auto"/>
          <w:sz w:val="24"/>
          <w:szCs w:val="24"/>
          <w:lang w:val="en-US" w:eastAsia="zh-CN"/>
        </w:rPr>
        <w:t>投标人证书（按要求提供证书复印件并加盖投标人公章）</w:t>
      </w:r>
      <w:r>
        <w:rPr>
          <w:rFonts w:hint="eastAsia" w:hAnsi="宋体"/>
          <w:b w:val="0"/>
          <w:bCs/>
          <w:color w:val="auto"/>
          <w:sz w:val="24"/>
          <w:szCs w:val="24"/>
          <w:lang w:val="en-US" w:eastAsia="zh-CN"/>
        </w:rPr>
        <w:t>。</w:t>
      </w:r>
    </w:p>
    <w:p>
      <w:pPr>
        <w:pStyle w:val="13"/>
        <w:tabs>
          <w:tab w:val="left" w:pos="5220"/>
        </w:tabs>
        <w:spacing w:line="360" w:lineRule="auto"/>
        <w:rPr>
          <w:rFonts w:hint="eastAsia" w:hAnsi="宋体" w:cs="Times New Roman"/>
          <w:b/>
          <w:color w:val="auto"/>
          <w:sz w:val="24"/>
          <w:szCs w:val="24"/>
        </w:rPr>
      </w:pPr>
      <w:r>
        <w:rPr>
          <w:rFonts w:hint="eastAsia" w:hAnsi="宋体"/>
          <w:b/>
          <w:color w:val="auto"/>
          <w:sz w:val="24"/>
          <w:szCs w:val="24"/>
          <w:highlight w:val="none"/>
        </w:rPr>
        <w:t>附件</w:t>
      </w:r>
      <w:r>
        <w:rPr>
          <w:rFonts w:hint="eastAsia" w:hAnsi="宋体"/>
          <w:b/>
          <w:color w:val="auto"/>
          <w:sz w:val="24"/>
          <w:szCs w:val="24"/>
          <w:highlight w:val="none"/>
          <w:lang w:val="en-US" w:eastAsia="zh-CN"/>
        </w:rPr>
        <w:t xml:space="preserve">9 </w:t>
      </w:r>
      <w:r>
        <w:rPr>
          <w:rFonts w:hint="eastAsia" w:hAnsi="宋体"/>
          <w:b/>
          <w:color w:val="auto"/>
          <w:sz w:val="24"/>
          <w:szCs w:val="24"/>
          <w:highlight w:val="none"/>
        </w:rPr>
        <w:t xml:space="preserve"> </w:t>
      </w:r>
      <w:r>
        <w:rPr>
          <w:rFonts w:hint="eastAsia" w:hAnsi="宋体"/>
          <w:b/>
          <w:color w:val="auto"/>
          <w:sz w:val="24"/>
          <w:szCs w:val="24"/>
          <w:highlight w:val="none"/>
          <w:lang w:eastAsia="zh-CN"/>
        </w:rPr>
        <w:t>中小企业</w:t>
      </w:r>
      <w:r>
        <w:rPr>
          <w:rFonts w:hint="eastAsia" w:hAnsi="宋体" w:cs="Times New Roman"/>
          <w:b/>
          <w:color w:val="auto"/>
          <w:sz w:val="24"/>
          <w:szCs w:val="24"/>
          <w:highlight w:val="none"/>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3"/>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0"/>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10" w:type="default"/>
      <w:footerReference r:id="rId11" w:type="default"/>
      <w:pgSz w:w="11907" w:h="16840"/>
      <w:pgMar w:top="1701" w:right="1588" w:bottom="1701" w:left="1588"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Leelawadee UI">
    <w:altName w:val="Leelawadee"/>
    <w:panose1 w:val="020B0502040204020203"/>
    <w:charset w:val="00"/>
    <w:family w:val="auto"/>
    <w:pitch w:val="default"/>
    <w:sig w:usb0="00000000" w:usb1="00000000" w:usb2="00010000" w:usb3="00000001" w:csb0="00010101"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Leelawadee">
    <w:panose1 w:val="020B0502040204020203"/>
    <w:charset w:val="00"/>
    <w:family w:val="auto"/>
    <w:pitch w:val="default"/>
    <w:sig w:usb0="810000AF" w:usb1="4000204B" w:usb2="00000000" w:usb3="00000000" w:csb0="2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r>
                      <w:rPr>
                        <w:rFonts w:hint="eastAsia"/>
                        <w:sz w:val="18"/>
                        <w:lang w:eastAsia="zh-CN"/>
                      </w:rPr>
                      <w:t xml:space="preserve"> 页</w:t>
                    </w:r>
                  </w:p>
                </w:txbxContent>
              </v:textbox>
            </v:shape>
          </w:pict>
        </mc:Fallback>
      </mc:AlternateContent>
    </w:r>
  </w:p>
  <w:p>
    <w:pPr>
      <w:pStyle w:val="16"/>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19</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19</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59</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p>
    <w:pPr>
      <w:pStyle w:val="18"/>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6AA278"/>
    <w:multiLevelType w:val="singleLevel"/>
    <w:tmpl w:val="AC6AA278"/>
    <w:lvl w:ilvl="0" w:tentative="0">
      <w:start w:val="1"/>
      <w:numFmt w:val="decimal"/>
      <w:suff w:val="nothing"/>
      <w:lvlText w:val="%1．"/>
      <w:lvlJc w:val="left"/>
      <w:pPr>
        <w:ind w:left="0" w:firstLine="400"/>
      </w:pPr>
      <w:rPr>
        <w:rFonts w:hint="default"/>
      </w:rPr>
    </w:lvl>
  </w:abstractNum>
  <w:abstractNum w:abstractNumId="1">
    <w:nsid w:val="E3FE5EF5"/>
    <w:multiLevelType w:val="singleLevel"/>
    <w:tmpl w:val="E3FE5EF5"/>
    <w:lvl w:ilvl="0" w:tentative="0">
      <w:start w:val="1"/>
      <w:numFmt w:val="chineseCounting"/>
      <w:suff w:val="nothing"/>
      <w:lvlText w:val="%1、"/>
      <w:lvlJc w:val="left"/>
      <w:pPr>
        <w:ind w:left="0" w:firstLine="420"/>
      </w:pPr>
      <w:rPr>
        <w:rFonts w:hint="eastAsia"/>
      </w:rPr>
    </w:lvl>
  </w:abstractNum>
  <w:abstractNum w:abstractNumId="2">
    <w:nsid w:val="E6B49599"/>
    <w:multiLevelType w:val="singleLevel"/>
    <w:tmpl w:val="E6B49599"/>
    <w:lvl w:ilvl="0" w:tentative="0">
      <w:start w:val="1"/>
      <w:numFmt w:val="decimal"/>
      <w:lvlText w:val="%1."/>
      <w:lvlJc w:val="left"/>
      <w:pPr>
        <w:tabs>
          <w:tab w:val="left" w:pos="312"/>
        </w:tabs>
      </w:pPr>
    </w:lvl>
  </w:abstractNum>
  <w:abstractNum w:abstractNumId="3">
    <w:nsid w:val="F7F5FD63"/>
    <w:multiLevelType w:val="singleLevel"/>
    <w:tmpl w:val="F7F5FD63"/>
    <w:lvl w:ilvl="0" w:tentative="0">
      <w:start w:val="1"/>
      <w:numFmt w:val="chineseCounting"/>
      <w:suff w:val="nothing"/>
      <w:lvlText w:val="（%1）"/>
      <w:lvlJc w:val="left"/>
      <w:pPr>
        <w:ind w:left="0" w:firstLine="420"/>
      </w:pPr>
      <w:rPr>
        <w:rFonts w:hint="eastAsia"/>
      </w:rPr>
    </w:lvl>
  </w:abstractNum>
  <w:abstractNum w:abstractNumId="4">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5">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5"/>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7"/>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6">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7">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10">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
    <w:nsid w:val="0F2298E0"/>
    <w:multiLevelType w:val="singleLevel"/>
    <w:tmpl w:val="0F2298E0"/>
    <w:lvl w:ilvl="0" w:tentative="0">
      <w:start w:val="1"/>
      <w:numFmt w:val="decimal"/>
      <w:lvlText w:val="%1."/>
      <w:lvlJc w:val="left"/>
      <w:pPr>
        <w:tabs>
          <w:tab w:val="left" w:pos="312"/>
        </w:tabs>
      </w:pPr>
    </w:lvl>
  </w:abstractNum>
  <w:abstractNum w:abstractNumId="12">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555FB1"/>
    <w:multiLevelType w:val="multilevel"/>
    <w:tmpl w:val="1A555FB1"/>
    <w:lvl w:ilvl="0" w:tentative="0">
      <w:start w:val="6"/>
      <w:numFmt w:val="japaneseCounting"/>
      <w:lvlText w:val="第%1章"/>
      <w:lvlJc w:val="left"/>
      <w:pPr>
        <w:tabs>
          <w:tab w:val="left" w:pos="1620"/>
        </w:tabs>
        <w:ind w:left="1620" w:hanging="120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4">
    <w:nsid w:val="20E23ABF"/>
    <w:multiLevelType w:val="multilevel"/>
    <w:tmpl w:val="20E23ABF"/>
    <w:lvl w:ilvl="0" w:tentative="0">
      <w:start w:val="1"/>
      <w:numFmt w:val="japaneseCounting"/>
      <w:lvlText w:val="第%1章"/>
      <w:lvlJc w:val="left"/>
      <w:pPr>
        <w:tabs>
          <w:tab w:val="left" w:pos="1200"/>
        </w:tabs>
        <w:ind w:left="1200" w:hanging="1200"/>
      </w:pPr>
      <w:rPr>
        <w:rFonts w:hint="default"/>
      </w:rPr>
    </w:lvl>
    <w:lvl w:ilvl="1" w:tentative="0">
      <w:start w:val="1"/>
      <w:numFmt w:val="decimal"/>
      <w:lvlText w:val="%2、"/>
      <w:lvlJc w:val="left"/>
      <w:pPr>
        <w:tabs>
          <w:tab w:val="left" w:pos="1140"/>
        </w:tabs>
        <w:ind w:left="1140" w:hanging="720"/>
      </w:pPr>
      <w:rPr>
        <w:rFonts w:hint="default"/>
      </w:rPr>
    </w:lvl>
    <w:lvl w:ilvl="2" w:tentative="0">
      <w:start w:val="8"/>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211B3BDC"/>
    <w:multiLevelType w:val="multilevel"/>
    <w:tmpl w:val="211B3BDC"/>
    <w:lvl w:ilvl="0" w:tentative="0">
      <w:start w:val="1"/>
      <w:numFmt w:val="japaneseCounting"/>
      <w:lvlText w:val="第%1条"/>
      <w:lvlJc w:val="left"/>
      <w:pPr>
        <w:tabs>
          <w:tab w:val="left" w:pos="1200"/>
        </w:tabs>
        <w:ind w:left="1200" w:hanging="120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218FE282"/>
    <w:multiLevelType w:val="singleLevel"/>
    <w:tmpl w:val="218FE282"/>
    <w:lvl w:ilvl="0" w:tentative="0">
      <w:start w:val="1"/>
      <w:numFmt w:val="decimal"/>
      <w:suff w:val="nothing"/>
      <w:lvlText w:val="%1、"/>
      <w:lvlJc w:val="left"/>
    </w:lvl>
  </w:abstractNum>
  <w:abstractNum w:abstractNumId="17">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382CC3A1"/>
    <w:multiLevelType w:val="singleLevel"/>
    <w:tmpl w:val="382CC3A1"/>
    <w:lvl w:ilvl="0" w:tentative="0">
      <w:start w:val="1"/>
      <w:numFmt w:val="decimal"/>
      <w:suff w:val="nothing"/>
      <w:lvlText w:val="%1．"/>
      <w:lvlJc w:val="left"/>
      <w:pPr>
        <w:ind w:left="0" w:firstLine="400"/>
      </w:pPr>
      <w:rPr>
        <w:rFonts w:hint="default"/>
      </w:rPr>
    </w:lvl>
  </w:abstractNum>
  <w:abstractNum w:abstractNumId="21">
    <w:nsid w:val="4A1189D9"/>
    <w:multiLevelType w:val="singleLevel"/>
    <w:tmpl w:val="4A1189D9"/>
    <w:lvl w:ilvl="0" w:tentative="0">
      <w:start w:val="1"/>
      <w:numFmt w:val="decimal"/>
      <w:lvlText w:val="%1."/>
      <w:lvlJc w:val="left"/>
      <w:pPr>
        <w:tabs>
          <w:tab w:val="left" w:pos="312"/>
        </w:tabs>
      </w:pPr>
    </w:lvl>
  </w:abstractNum>
  <w:abstractNum w:abstractNumId="22">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3">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5">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6">
    <w:nsid w:val="5FD1DD5E"/>
    <w:multiLevelType w:val="singleLevel"/>
    <w:tmpl w:val="5FD1DD5E"/>
    <w:lvl w:ilvl="0" w:tentative="0">
      <w:start w:val="2"/>
      <w:numFmt w:val="chineseCounting"/>
      <w:suff w:val="nothing"/>
      <w:lvlText w:val="%1、"/>
      <w:lvlJc w:val="left"/>
    </w:lvl>
  </w:abstractNum>
  <w:abstractNum w:abstractNumId="27">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8">
    <w:nsid w:val="64DB4281"/>
    <w:multiLevelType w:val="singleLevel"/>
    <w:tmpl w:val="64DB4281"/>
    <w:lvl w:ilvl="0" w:tentative="0">
      <w:start w:val="2"/>
      <w:numFmt w:val="chineseCounting"/>
      <w:suff w:val="nothing"/>
      <w:lvlText w:val="%1、"/>
      <w:lvlJc w:val="left"/>
    </w:lvl>
  </w:abstractNum>
  <w:abstractNum w:abstractNumId="29">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5"/>
  </w:num>
  <w:num w:numId="2">
    <w:abstractNumId w:val="10"/>
  </w:num>
  <w:num w:numId="3">
    <w:abstractNumId w:val="8"/>
  </w:num>
  <w:num w:numId="4">
    <w:abstractNumId w:val="6"/>
  </w:num>
  <w:num w:numId="5">
    <w:abstractNumId w:val="18"/>
  </w:num>
  <w:num w:numId="6">
    <w:abstractNumId w:val="12"/>
  </w:num>
  <w:num w:numId="7">
    <w:abstractNumId w:val="9"/>
  </w:num>
  <w:num w:numId="8">
    <w:abstractNumId w:val="4"/>
  </w:num>
  <w:num w:numId="9">
    <w:abstractNumId w:val="24"/>
  </w:num>
  <w:num w:numId="10">
    <w:abstractNumId w:val="17"/>
  </w:num>
  <w:num w:numId="11">
    <w:abstractNumId w:val="25"/>
  </w:num>
  <w:num w:numId="12">
    <w:abstractNumId w:val="29"/>
  </w:num>
  <w:num w:numId="13">
    <w:abstractNumId w:val="22"/>
  </w:num>
  <w:num w:numId="14">
    <w:abstractNumId w:val="27"/>
  </w:num>
  <w:num w:numId="15">
    <w:abstractNumId w:val="1"/>
  </w:num>
  <w:num w:numId="16">
    <w:abstractNumId w:val="3"/>
  </w:num>
  <w:num w:numId="17">
    <w:abstractNumId w:val="0"/>
  </w:num>
  <w:num w:numId="18">
    <w:abstractNumId w:val="11"/>
  </w:num>
  <w:num w:numId="19">
    <w:abstractNumId w:val="20"/>
  </w:num>
  <w:num w:numId="20">
    <w:abstractNumId w:val="2"/>
  </w:num>
  <w:num w:numId="21">
    <w:abstractNumId w:val="21"/>
  </w:num>
  <w:num w:numId="22">
    <w:abstractNumId w:val="28"/>
  </w:num>
  <w:num w:numId="23">
    <w:abstractNumId w:val="14"/>
  </w:num>
  <w:num w:numId="24">
    <w:abstractNumId w:val="15"/>
  </w:num>
  <w:num w:numId="25">
    <w:abstractNumId w:val="16"/>
  </w:num>
  <w:num w:numId="26">
    <w:abstractNumId w:val="13"/>
  </w:num>
  <w:num w:numId="27">
    <w:abstractNumId w:val="7"/>
  </w:num>
  <w:num w:numId="28">
    <w:abstractNumId w:val="26"/>
  </w:num>
  <w:num w:numId="29">
    <w:abstractNumId w:val="19"/>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4NGI5NjhkN2ZhZjY1NjYwYzIxZTM5NzdjODMyNW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41242E"/>
    <w:rsid w:val="024A763D"/>
    <w:rsid w:val="02634F58"/>
    <w:rsid w:val="02713CE9"/>
    <w:rsid w:val="027A0FAC"/>
    <w:rsid w:val="027B0645"/>
    <w:rsid w:val="02937392"/>
    <w:rsid w:val="02986BAE"/>
    <w:rsid w:val="02B822EE"/>
    <w:rsid w:val="02BA1A1C"/>
    <w:rsid w:val="02BC151D"/>
    <w:rsid w:val="02DA25BA"/>
    <w:rsid w:val="02EB7951"/>
    <w:rsid w:val="03313C23"/>
    <w:rsid w:val="03517B13"/>
    <w:rsid w:val="037E4131"/>
    <w:rsid w:val="03C509B8"/>
    <w:rsid w:val="03F45FE3"/>
    <w:rsid w:val="03FA653E"/>
    <w:rsid w:val="040855F0"/>
    <w:rsid w:val="043B1FBA"/>
    <w:rsid w:val="044364E6"/>
    <w:rsid w:val="04A079A1"/>
    <w:rsid w:val="04B8684A"/>
    <w:rsid w:val="04BD3082"/>
    <w:rsid w:val="04C95821"/>
    <w:rsid w:val="04D9313E"/>
    <w:rsid w:val="04E20BB2"/>
    <w:rsid w:val="052517AC"/>
    <w:rsid w:val="052A2F37"/>
    <w:rsid w:val="05577082"/>
    <w:rsid w:val="05675B6F"/>
    <w:rsid w:val="05784ADB"/>
    <w:rsid w:val="059B7190"/>
    <w:rsid w:val="05A932FF"/>
    <w:rsid w:val="05DB66F5"/>
    <w:rsid w:val="05E30809"/>
    <w:rsid w:val="06015038"/>
    <w:rsid w:val="0617564E"/>
    <w:rsid w:val="06586BA0"/>
    <w:rsid w:val="06775908"/>
    <w:rsid w:val="06984252"/>
    <w:rsid w:val="06AC5BCC"/>
    <w:rsid w:val="06B21116"/>
    <w:rsid w:val="06B33245"/>
    <w:rsid w:val="06CD4011"/>
    <w:rsid w:val="06EE4233"/>
    <w:rsid w:val="06F37945"/>
    <w:rsid w:val="06F45CB8"/>
    <w:rsid w:val="06FC4D63"/>
    <w:rsid w:val="072247F2"/>
    <w:rsid w:val="07763533"/>
    <w:rsid w:val="07770811"/>
    <w:rsid w:val="077A51BB"/>
    <w:rsid w:val="07C908D5"/>
    <w:rsid w:val="07DF365D"/>
    <w:rsid w:val="08077D08"/>
    <w:rsid w:val="08237E68"/>
    <w:rsid w:val="08430A88"/>
    <w:rsid w:val="08496751"/>
    <w:rsid w:val="087B3586"/>
    <w:rsid w:val="08AF5928"/>
    <w:rsid w:val="093551A2"/>
    <w:rsid w:val="094B72FF"/>
    <w:rsid w:val="094B7FFD"/>
    <w:rsid w:val="09792C3C"/>
    <w:rsid w:val="09C20B11"/>
    <w:rsid w:val="09E162A4"/>
    <w:rsid w:val="0A0A0F37"/>
    <w:rsid w:val="0A5B6057"/>
    <w:rsid w:val="0AA66820"/>
    <w:rsid w:val="0AA94995"/>
    <w:rsid w:val="0AB013DD"/>
    <w:rsid w:val="0AD76E09"/>
    <w:rsid w:val="0ADB5D98"/>
    <w:rsid w:val="0AEB20CF"/>
    <w:rsid w:val="0B307A1F"/>
    <w:rsid w:val="0B3A40CE"/>
    <w:rsid w:val="0B3D750A"/>
    <w:rsid w:val="0B600003"/>
    <w:rsid w:val="0BDE5C2C"/>
    <w:rsid w:val="0BEF2A51"/>
    <w:rsid w:val="0BFE5057"/>
    <w:rsid w:val="0C0F7B53"/>
    <w:rsid w:val="0C177F3B"/>
    <w:rsid w:val="0C5431E9"/>
    <w:rsid w:val="0CA82A26"/>
    <w:rsid w:val="0CB51378"/>
    <w:rsid w:val="0CDC4917"/>
    <w:rsid w:val="0CEA36C2"/>
    <w:rsid w:val="0D156991"/>
    <w:rsid w:val="0D677F7A"/>
    <w:rsid w:val="0D7D1AB0"/>
    <w:rsid w:val="0DCA36B5"/>
    <w:rsid w:val="0DE41272"/>
    <w:rsid w:val="0E2249CA"/>
    <w:rsid w:val="0E2A5ED5"/>
    <w:rsid w:val="0E2B4ADB"/>
    <w:rsid w:val="0E2C1227"/>
    <w:rsid w:val="0E652AC5"/>
    <w:rsid w:val="0E680D42"/>
    <w:rsid w:val="0E6C0832"/>
    <w:rsid w:val="0E817AE0"/>
    <w:rsid w:val="0E870CBE"/>
    <w:rsid w:val="0F3E1D0C"/>
    <w:rsid w:val="0F3F3AC3"/>
    <w:rsid w:val="0F563291"/>
    <w:rsid w:val="0F886821"/>
    <w:rsid w:val="0F95677E"/>
    <w:rsid w:val="0FDA6761"/>
    <w:rsid w:val="0FE04855"/>
    <w:rsid w:val="0FF94533"/>
    <w:rsid w:val="101747CE"/>
    <w:rsid w:val="10185130"/>
    <w:rsid w:val="10580897"/>
    <w:rsid w:val="10613C9B"/>
    <w:rsid w:val="10990D12"/>
    <w:rsid w:val="10BA4CBF"/>
    <w:rsid w:val="10CB554B"/>
    <w:rsid w:val="10CC70B6"/>
    <w:rsid w:val="10EF74F9"/>
    <w:rsid w:val="11461138"/>
    <w:rsid w:val="1151259A"/>
    <w:rsid w:val="116A7FC2"/>
    <w:rsid w:val="11765355"/>
    <w:rsid w:val="118A1148"/>
    <w:rsid w:val="118F5C26"/>
    <w:rsid w:val="119E12CC"/>
    <w:rsid w:val="11C049F1"/>
    <w:rsid w:val="11F0089D"/>
    <w:rsid w:val="11FB7A83"/>
    <w:rsid w:val="120378A4"/>
    <w:rsid w:val="12094873"/>
    <w:rsid w:val="125536E3"/>
    <w:rsid w:val="12617F82"/>
    <w:rsid w:val="127101E3"/>
    <w:rsid w:val="12CD0BFB"/>
    <w:rsid w:val="12EF2557"/>
    <w:rsid w:val="12F41CDD"/>
    <w:rsid w:val="12FF1165"/>
    <w:rsid w:val="13006381"/>
    <w:rsid w:val="13097A34"/>
    <w:rsid w:val="13332CF5"/>
    <w:rsid w:val="13663A21"/>
    <w:rsid w:val="137D0D2E"/>
    <w:rsid w:val="13A1778B"/>
    <w:rsid w:val="13AA0B20"/>
    <w:rsid w:val="13B27EDA"/>
    <w:rsid w:val="13B71816"/>
    <w:rsid w:val="13BC5C96"/>
    <w:rsid w:val="13C61423"/>
    <w:rsid w:val="13FC4A12"/>
    <w:rsid w:val="14561C65"/>
    <w:rsid w:val="14C34F24"/>
    <w:rsid w:val="15316BDD"/>
    <w:rsid w:val="15466E04"/>
    <w:rsid w:val="155F756F"/>
    <w:rsid w:val="15A008CA"/>
    <w:rsid w:val="15A36D6C"/>
    <w:rsid w:val="15E41E5C"/>
    <w:rsid w:val="1626204C"/>
    <w:rsid w:val="162A3979"/>
    <w:rsid w:val="166C4E7A"/>
    <w:rsid w:val="167509E2"/>
    <w:rsid w:val="16944868"/>
    <w:rsid w:val="16D2320F"/>
    <w:rsid w:val="16D60F60"/>
    <w:rsid w:val="16DD1EB6"/>
    <w:rsid w:val="17356B9A"/>
    <w:rsid w:val="18491501"/>
    <w:rsid w:val="18605D1D"/>
    <w:rsid w:val="1874317C"/>
    <w:rsid w:val="188F709B"/>
    <w:rsid w:val="18C95438"/>
    <w:rsid w:val="18FF07D3"/>
    <w:rsid w:val="19061443"/>
    <w:rsid w:val="191F4712"/>
    <w:rsid w:val="1929529A"/>
    <w:rsid w:val="192A0D10"/>
    <w:rsid w:val="193E101D"/>
    <w:rsid w:val="195F32C8"/>
    <w:rsid w:val="196828FD"/>
    <w:rsid w:val="196C76F2"/>
    <w:rsid w:val="198B4825"/>
    <w:rsid w:val="199A5AB5"/>
    <w:rsid w:val="19EB12C9"/>
    <w:rsid w:val="19FE255B"/>
    <w:rsid w:val="1A383CBF"/>
    <w:rsid w:val="1A4A2927"/>
    <w:rsid w:val="1AD357F0"/>
    <w:rsid w:val="1AFF1EB8"/>
    <w:rsid w:val="1B0336FC"/>
    <w:rsid w:val="1B4B6EDB"/>
    <w:rsid w:val="1B5B0B3A"/>
    <w:rsid w:val="1B83304F"/>
    <w:rsid w:val="1B8F7888"/>
    <w:rsid w:val="1BDA2A75"/>
    <w:rsid w:val="1BDC2E40"/>
    <w:rsid w:val="1BF7712A"/>
    <w:rsid w:val="1BFF54A2"/>
    <w:rsid w:val="1C3E53C4"/>
    <w:rsid w:val="1C797B34"/>
    <w:rsid w:val="1C860CEA"/>
    <w:rsid w:val="1C9D1FFD"/>
    <w:rsid w:val="1CC260CF"/>
    <w:rsid w:val="1CF606CD"/>
    <w:rsid w:val="1D456CB0"/>
    <w:rsid w:val="1D473AE2"/>
    <w:rsid w:val="1D4B3AF6"/>
    <w:rsid w:val="1D570900"/>
    <w:rsid w:val="1D85546D"/>
    <w:rsid w:val="1E206BFF"/>
    <w:rsid w:val="1E3E04E2"/>
    <w:rsid w:val="1E3E386E"/>
    <w:rsid w:val="1E5921FA"/>
    <w:rsid w:val="1E7E3C6A"/>
    <w:rsid w:val="1E853A13"/>
    <w:rsid w:val="1EC743DC"/>
    <w:rsid w:val="1EF328AA"/>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A73C6F"/>
    <w:rsid w:val="20FD44F0"/>
    <w:rsid w:val="21030101"/>
    <w:rsid w:val="21204D3F"/>
    <w:rsid w:val="213E4D7F"/>
    <w:rsid w:val="2145260E"/>
    <w:rsid w:val="21602967"/>
    <w:rsid w:val="21C73079"/>
    <w:rsid w:val="21D5365F"/>
    <w:rsid w:val="21E4518E"/>
    <w:rsid w:val="21FD64A6"/>
    <w:rsid w:val="2203624D"/>
    <w:rsid w:val="220C3334"/>
    <w:rsid w:val="222D60EE"/>
    <w:rsid w:val="22301A93"/>
    <w:rsid w:val="231006CB"/>
    <w:rsid w:val="23273500"/>
    <w:rsid w:val="23274DB9"/>
    <w:rsid w:val="232E30DA"/>
    <w:rsid w:val="234B21CA"/>
    <w:rsid w:val="236B13B6"/>
    <w:rsid w:val="23894B60"/>
    <w:rsid w:val="23942388"/>
    <w:rsid w:val="23DF6A26"/>
    <w:rsid w:val="23FE086B"/>
    <w:rsid w:val="243B11DC"/>
    <w:rsid w:val="246F6B0B"/>
    <w:rsid w:val="24862234"/>
    <w:rsid w:val="2489188E"/>
    <w:rsid w:val="249B304D"/>
    <w:rsid w:val="24A47ECF"/>
    <w:rsid w:val="24E126D5"/>
    <w:rsid w:val="24E63ED3"/>
    <w:rsid w:val="2519615C"/>
    <w:rsid w:val="254379B8"/>
    <w:rsid w:val="254A22E7"/>
    <w:rsid w:val="256047D1"/>
    <w:rsid w:val="25847246"/>
    <w:rsid w:val="25871511"/>
    <w:rsid w:val="25CF3592"/>
    <w:rsid w:val="25DC5277"/>
    <w:rsid w:val="25E532A9"/>
    <w:rsid w:val="26130B48"/>
    <w:rsid w:val="26241156"/>
    <w:rsid w:val="26786155"/>
    <w:rsid w:val="26B17EFA"/>
    <w:rsid w:val="26BE6A18"/>
    <w:rsid w:val="26F57C1E"/>
    <w:rsid w:val="27012B4B"/>
    <w:rsid w:val="27091BE1"/>
    <w:rsid w:val="273719DF"/>
    <w:rsid w:val="2741654A"/>
    <w:rsid w:val="27823A2B"/>
    <w:rsid w:val="27AE73F2"/>
    <w:rsid w:val="27CD4D3B"/>
    <w:rsid w:val="27E66B3F"/>
    <w:rsid w:val="280A089B"/>
    <w:rsid w:val="281140CC"/>
    <w:rsid w:val="282D2BAB"/>
    <w:rsid w:val="2889743D"/>
    <w:rsid w:val="28B952DF"/>
    <w:rsid w:val="28FD00AC"/>
    <w:rsid w:val="29111B82"/>
    <w:rsid w:val="292B6ADD"/>
    <w:rsid w:val="29361D56"/>
    <w:rsid w:val="2998368C"/>
    <w:rsid w:val="29C9144C"/>
    <w:rsid w:val="29F17D42"/>
    <w:rsid w:val="29F5561A"/>
    <w:rsid w:val="29F6324E"/>
    <w:rsid w:val="29F83EBD"/>
    <w:rsid w:val="2A17701F"/>
    <w:rsid w:val="2A2E12EA"/>
    <w:rsid w:val="2A636507"/>
    <w:rsid w:val="2A913237"/>
    <w:rsid w:val="2AB43705"/>
    <w:rsid w:val="2B270C0B"/>
    <w:rsid w:val="2B355B0C"/>
    <w:rsid w:val="2B3B6428"/>
    <w:rsid w:val="2B423772"/>
    <w:rsid w:val="2B441109"/>
    <w:rsid w:val="2B6304FF"/>
    <w:rsid w:val="2B6921EB"/>
    <w:rsid w:val="2BC85B84"/>
    <w:rsid w:val="2BCE474A"/>
    <w:rsid w:val="2BFE4D84"/>
    <w:rsid w:val="2C0C457B"/>
    <w:rsid w:val="2C3E22B4"/>
    <w:rsid w:val="2C57234B"/>
    <w:rsid w:val="2CAB4E10"/>
    <w:rsid w:val="2CD01A89"/>
    <w:rsid w:val="2CD4301B"/>
    <w:rsid w:val="2CDE03EA"/>
    <w:rsid w:val="2D044258"/>
    <w:rsid w:val="2D3A5A79"/>
    <w:rsid w:val="2D807BE3"/>
    <w:rsid w:val="2D935498"/>
    <w:rsid w:val="2D960FD0"/>
    <w:rsid w:val="2DC7118A"/>
    <w:rsid w:val="2DC91A5F"/>
    <w:rsid w:val="2E0A163E"/>
    <w:rsid w:val="2E1A1DAE"/>
    <w:rsid w:val="2E4423BC"/>
    <w:rsid w:val="2E934D7B"/>
    <w:rsid w:val="2EA9088F"/>
    <w:rsid w:val="2EB21E3A"/>
    <w:rsid w:val="2EB47722"/>
    <w:rsid w:val="2EB575F2"/>
    <w:rsid w:val="2F9C209A"/>
    <w:rsid w:val="2FA76C88"/>
    <w:rsid w:val="2FB40DAA"/>
    <w:rsid w:val="2FB71626"/>
    <w:rsid w:val="2FC00586"/>
    <w:rsid w:val="2FC35981"/>
    <w:rsid w:val="2FFD6655"/>
    <w:rsid w:val="300B7014"/>
    <w:rsid w:val="302B275E"/>
    <w:rsid w:val="3037489E"/>
    <w:rsid w:val="30554E29"/>
    <w:rsid w:val="3062616A"/>
    <w:rsid w:val="3063327C"/>
    <w:rsid w:val="30671DB9"/>
    <w:rsid w:val="30684B84"/>
    <w:rsid w:val="30A65EE6"/>
    <w:rsid w:val="30BD6874"/>
    <w:rsid w:val="30EB3AD8"/>
    <w:rsid w:val="310B4D1C"/>
    <w:rsid w:val="310E7433"/>
    <w:rsid w:val="31235BFC"/>
    <w:rsid w:val="31311196"/>
    <w:rsid w:val="313D0E42"/>
    <w:rsid w:val="31484C88"/>
    <w:rsid w:val="315316A2"/>
    <w:rsid w:val="31777FE1"/>
    <w:rsid w:val="31927DDB"/>
    <w:rsid w:val="32246947"/>
    <w:rsid w:val="32276546"/>
    <w:rsid w:val="322F37A1"/>
    <w:rsid w:val="324C3ABF"/>
    <w:rsid w:val="328F1F00"/>
    <w:rsid w:val="32904F00"/>
    <w:rsid w:val="32A418C0"/>
    <w:rsid w:val="32DF7714"/>
    <w:rsid w:val="32FA6C75"/>
    <w:rsid w:val="330E35C3"/>
    <w:rsid w:val="330E59C5"/>
    <w:rsid w:val="332B21BB"/>
    <w:rsid w:val="3343134C"/>
    <w:rsid w:val="334B181A"/>
    <w:rsid w:val="334F550D"/>
    <w:rsid w:val="33616C08"/>
    <w:rsid w:val="33E81489"/>
    <w:rsid w:val="34414D13"/>
    <w:rsid w:val="34430EF3"/>
    <w:rsid w:val="34545604"/>
    <w:rsid w:val="345C0152"/>
    <w:rsid w:val="348646EF"/>
    <w:rsid w:val="34AF4725"/>
    <w:rsid w:val="34BD007C"/>
    <w:rsid w:val="34DD4776"/>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414B7D"/>
    <w:rsid w:val="36662A95"/>
    <w:rsid w:val="36774E08"/>
    <w:rsid w:val="3684230E"/>
    <w:rsid w:val="368F6A3C"/>
    <w:rsid w:val="36F131B8"/>
    <w:rsid w:val="370449D4"/>
    <w:rsid w:val="37140389"/>
    <w:rsid w:val="371B55C8"/>
    <w:rsid w:val="37326316"/>
    <w:rsid w:val="37456982"/>
    <w:rsid w:val="37494B97"/>
    <w:rsid w:val="374D596A"/>
    <w:rsid w:val="379428AD"/>
    <w:rsid w:val="380866F8"/>
    <w:rsid w:val="38384EC4"/>
    <w:rsid w:val="38741F0E"/>
    <w:rsid w:val="387939C8"/>
    <w:rsid w:val="38A04AB1"/>
    <w:rsid w:val="38AB7291"/>
    <w:rsid w:val="38AC120B"/>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A0E401B"/>
    <w:rsid w:val="3A5179F7"/>
    <w:rsid w:val="3A8024DE"/>
    <w:rsid w:val="3AAA00CF"/>
    <w:rsid w:val="3ABD59FD"/>
    <w:rsid w:val="3B021C51"/>
    <w:rsid w:val="3B172655"/>
    <w:rsid w:val="3B232C47"/>
    <w:rsid w:val="3B293484"/>
    <w:rsid w:val="3B2C2418"/>
    <w:rsid w:val="3B9F326E"/>
    <w:rsid w:val="3BFE7E54"/>
    <w:rsid w:val="3C020661"/>
    <w:rsid w:val="3C0352EF"/>
    <w:rsid w:val="3C096364"/>
    <w:rsid w:val="3C1D503F"/>
    <w:rsid w:val="3C447E49"/>
    <w:rsid w:val="3C4D4764"/>
    <w:rsid w:val="3C850B8E"/>
    <w:rsid w:val="3CB6189E"/>
    <w:rsid w:val="3CC25D1C"/>
    <w:rsid w:val="3CDD2778"/>
    <w:rsid w:val="3CF67BCC"/>
    <w:rsid w:val="3D0E0543"/>
    <w:rsid w:val="3D51799F"/>
    <w:rsid w:val="3D610C15"/>
    <w:rsid w:val="3D7C58E6"/>
    <w:rsid w:val="3D9C48AB"/>
    <w:rsid w:val="3DA13081"/>
    <w:rsid w:val="3DC919C4"/>
    <w:rsid w:val="3E0C2BE9"/>
    <w:rsid w:val="3E1A5B21"/>
    <w:rsid w:val="3E3A570E"/>
    <w:rsid w:val="3E646581"/>
    <w:rsid w:val="3E785D63"/>
    <w:rsid w:val="3E8B58E8"/>
    <w:rsid w:val="3EB733D7"/>
    <w:rsid w:val="3ECA6635"/>
    <w:rsid w:val="3ECE4CD1"/>
    <w:rsid w:val="3EDF7B84"/>
    <w:rsid w:val="3EEE5831"/>
    <w:rsid w:val="3EF36EC9"/>
    <w:rsid w:val="3F214E40"/>
    <w:rsid w:val="3F2A29BD"/>
    <w:rsid w:val="3F3B001F"/>
    <w:rsid w:val="3F6C11FF"/>
    <w:rsid w:val="3F7F4867"/>
    <w:rsid w:val="3F8F1D2B"/>
    <w:rsid w:val="3FA75447"/>
    <w:rsid w:val="3FAE3DA4"/>
    <w:rsid w:val="3FCD2881"/>
    <w:rsid w:val="3FDB6D34"/>
    <w:rsid w:val="3FE2480C"/>
    <w:rsid w:val="3FE377A4"/>
    <w:rsid w:val="3FFE0663"/>
    <w:rsid w:val="40267325"/>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C81F56"/>
    <w:rsid w:val="42270E8D"/>
    <w:rsid w:val="423431D2"/>
    <w:rsid w:val="423C09AD"/>
    <w:rsid w:val="424B1F31"/>
    <w:rsid w:val="42623B80"/>
    <w:rsid w:val="42902103"/>
    <w:rsid w:val="42D11320"/>
    <w:rsid w:val="42D24813"/>
    <w:rsid w:val="431547EF"/>
    <w:rsid w:val="43426B5C"/>
    <w:rsid w:val="434B74D4"/>
    <w:rsid w:val="4376760C"/>
    <w:rsid w:val="43802418"/>
    <w:rsid w:val="43814DF0"/>
    <w:rsid w:val="43B6698F"/>
    <w:rsid w:val="43BC37E0"/>
    <w:rsid w:val="43C70ADF"/>
    <w:rsid w:val="447076CD"/>
    <w:rsid w:val="44811BEB"/>
    <w:rsid w:val="449A2CFC"/>
    <w:rsid w:val="44DD0E93"/>
    <w:rsid w:val="44F10822"/>
    <w:rsid w:val="44F30BFC"/>
    <w:rsid w:val="44F42B6B"/>
    <w:rsid w:val="45207CC0"/>
    <w:rsid w:val="45251A95"/>
    <w:rsid w:val="454B4C1A"/>
    <w:rsid w:val="45611062"/>
    <w:rsid w:val="45924B79"/>
    <w:rsid w:val="45EA1272"/>
    <w:rsid w:val="45F37598"/>
    <w:rsid w:val="46436783"/>
    <w:rsid w:val="46564538"/>
    <w:rsid w:val="466277F0"/>
    <w:rsid w:val="469D73C6"/>
    <w:rsid w:val="46A7188F"/>
    <w:rsid w:val="46C13DE4"/>
    <w:rsid w:val="473E556C"/>
    <w:rsid w:val="474E7DCE"/>
    <w:rsid w:val="47537FBD"/>
    <w:rsid w:val="47664124"/>
    <w:rsid w:val="479E0D55"/>
    <w:rsid w:val="47AF714D"/>
    <w:rsid w:val="47E0351C"/>
    <w:rsid w:val="47F738C9"/>
    <w:rsid w:val="4828103B"/>
    <w:rsid w:val="48592A3D"/>
    <w:rsid w:val="48726BB5"/>
    <w:rsid w:val="488D4601"/>
    <w:rsid w:val="48D146CB"/>
    <w:rsid w:val="49035AF9"/>
    <w:rsid w:val="493064D3"/>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91EEB"/>
    <w:rsid w:val="4AAA7B9C"/>
    <w:rsid w:val="4AAF6DD6"/>
    <w:rsid w:val="4AB663E2"/>
    <w:rsid w:val="4AC650AB"/>
    <w:rsid w:val="4ADD266F"/>
    <w:rsid w:val="4ADF590D"/>
    <w:rsid w:val="4AEE3533"/>
    <w:rsid w:val="4B02302F"/>
    <w:rsid w:val="4B08214C"/>
    <w:rsid w:val="4B105006"/>
    <w:rsid w:val="4B1E7093"/>
    <w:rsid w:val="4B420D56"/>
    <w:rsid w:val="4B605F73"/>
    <w:rsid w:val="4B667DDC"/>
    <w:rsid w:val="4B781928"/>
    <w:rsid w:val="4B7A3386"/>
    <w:rsid w:val="4B99115F"/>
    <w:rsid w:val="4BB00ED0"/>
    <w:rsid w:val="4C203A05"/>
    <w:rsid w:val="4C261ED1"/>
    <w:rsid w:val="4C334DF4"/>
    <w:rsid w:val="4C3C4A99"/>
    <w:rsid w:val="4C420B2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E8370E"/>
    <w:rsid w:val="4E1711FD"/>
    <w:rsid w:val="4E207C43"/>
    <w:rsid w:val="4E294FBA"/>
    <w:rsid w:val="4E7A5105"/>
    <w:rsid w:val="4E863E1D"/>
    <w:rsid w:val="4EBE3118"/>
    <w:rsid w:val="4EE374B2"/>
    <w:rsid w:val="4EE40A96"/>
    <w:rsid w:val="4EE80B08"/>
    <w:rsid w:val="4EE96DA4"/>
    <w:rsid w:val="4F3C04B1"/>
    <w:rsid w:val="4F624D5E"/>
    <w:rsid w:val="4F936382"/>
    <w:rsid w:val="4F956DDB"/>
    <w:rsid w:val="4FAC0FFA"/>
    <w:rsid w:val="4FC20E0E"/>
    <w:rsid w:val="50157FE1"/>
    <w:rsid w:val="501F4F04"/>
    <w:rsid w:val="505375D6"/>
    <w:rsid w:val="5058507B"/>
    <w:rsid w:val="505A6720"/>
    <w:rsid w:val="507549F7"/>
    <w:rsid w:val="50D86394"/>
    <w:rsid w:val="50FA2116"/>
    <w:rsid w:val="511D4DBE"/>
    <w:rsid w:val="516E79EA"/>
    <w:rsid w:val="517E5064"/>
    <w:rsid w:val="5184095B"/>
    <w:rsid w:val="51CE05B8"/>
    <w:rsid w:val="51DC37C9"/>
    <w:rsid w:val="5268236B"/>
    <w:rsid w:val="526A04AF"/>
    <w:rsid w:val="52852D73"/>
    <w:rsid w:val="52A46327"/>
    <w:rsid w:val="52B21B59"/>
    <w:rsid w:val="52D14873"/>
    <w:rsid w:val="52D42B8C"/>
    <w:rsid w:val="52EF6AB7"/>
    <w:rsid w:val="52F85837"/>
    <w:rsid w:val="53292404"/>
    <w:rsid w:val="534521C1"/>
    <w:rsid w:val="5371574B"/>
    <w:rsid w:val="538B4884"/>
    <w:rsid w:val="5399127C"/>
    <w:rsid w:val="53A05D2E"/>
    <w:rsid w:val="53B24BD6"/>
    <w:rsid w:val="53C133D7"/>
    <w:rsid w:val="53FE7A79"/>
    <w:rsid w:val="540A18BE"/>
    <w:rsid w:val="541666E0"/>
    <w:rsid w:val="54225499"/>
    <w:rsid w:val="543B2438"/>
    <w:rsid w:val="543C792C"/>
    <w:rsid w:val="54420CBA"/>
    <w:rsid w:val="547E7D82"/>
    <w:rsid w:val="54925294"/>
    <w:rsid w:val="54BF5C62"/>
    <w:rsid w:val="554F40AA"/>
    <w:rsid w:val="555F2FD8"/>
    <w:rsid w:val="555F5CDC"/>
    <w:rsid w:val="558A6630"/>
    <w:rsid w:val="55A56760"/>
    <w:rsid w:val="55B81D1A"/>
    <w:rsid w:val="55C06E40"/>
    <w:rsid w:val="55C940D8"/>
    <w:rsid w:val="55D933B8"/>
    <w:rsid w:val="55DC7AB5"/>
    <w:rsid w:val="55DE4B1F"/>
    <w:rsid w:val="55E3217E"/>
    <w:rsid w:val="56161787"/>
    <w:rsid w:val="562653EC"/>
    <w:rsid w:val="56441FB7"/>
    <w:rsid w:val="5657557D"/>
    <w:rsid w:val="56777341"/>
    <w:rsid w:val="56855625"/>
    <w:rsid w:val="569D5512"/>
    <w:rsid w:val="56B0432C"/>
    <w:rsid w:val="56C510F7"/>
    <w:rsid w:val="56CF5706"/>
    <w:rsid w:val="56D82212"/>
    <w:rsid w:val="56E00119"/>
    <w:rsid w:val="56F0341F"/>
    <w:rsid w:val="56F050EB"/>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A40EA5"/>
    <w:rsid w:val="59A92211"/>
    <w:rsid w:val="59A937BB"/>
    <w:rsid w:val="59D439E0"/>
    <w:rsid w:val="59DA7D20"/>
    <w:rsid w:val="59E7033A"/>
    <w:rsid w:val="59E85E60"/>
    <w:rsid w:val="59F815E4"/>
    <w:rsid w:val="5A144EA7"/>
    <w:rsid w:val="5A330053"/>
    <w:rsid w:val="5A481E8F"/>
    <w:rsid w:val="5A572069"/>
    <w:rsid w:val="5A5F25C6"/>
    <w:rsid w:val="5AB93F01"/>
    <w:rsid w:val="5AB9529C"/>
    <w:rsid w:val="5ADC3C17"/>
    <w:rsid w:val="5B2101A2"/>
    <w:rsid w:val="5B286F6F"/>
    <w:rsid w:val="5B461718"/>
    <w:rsid w:val="5B4C7CDF"/>
    <w:rsid w:val="5B534B96"/>
    <w:rsid w:val="5B796E68"/>
    <w:rsid w:val="5B7D3A5E"/>
    <w:rsid w:val="5BFC56D7"/>
    <w:rsid w:val="5C0D7342"/>
    <w:rsid w:val="5C0F6259"/>
    <w:rsid w:val="5C3D34EF"/>
    <w:rsid w:val="5C585916"/>
    <w:rsid w:val="5C6253C3"/>
    <w:rsid w:val="5C625735"/>
    <w:rsid w:val="5C74581F"/>
    <w:rsid w:val="5CA9400C"/>
    <w:rsid w:val="5CD672FC"/>
    <w:rsid w:val="5D343036"/>
    <w:rsid w:val="5D3D7A1C"/>
    <w:rsid w:val="5D454EA7"/>
    <w:rsid w:val="5D4C4FBD"/>
    <w:rsid w:val="5D5E519F"/>
    <w:rsid w:val="5D5F4DAD"/>
    <w:rsid w:val="5D7A50D8"/>
    <w:rsid w:val="5D7D3450"/>
    <w:rsid w:val="5D8B03FA"/>
    <w:rsid w:val="5D9E1711"/>
    <w:rsid w:val="5DB35958"/>
    <w:rsid w:val="5DD201A0"/>
    <w:rsid w:val="5DDB6365"/>
    <w:rsid w:val="5DE60909"/>
    <w:rsid w:val="5DFF0876"/>
    <w:rsid w:val="5E22645A"/>
    <w:rsid w:val="5E557F89"/>
    <w:rsid w:val="5E7A25EA"/>
    <w:rsid w:val="5E7B5886"/>
    <w:rsid w:val="5E7E4934"/>
    <w:rsid w:val="5E860AE0"/>
    <w:rsid w:val="5E9345EC"/>
    <w:rsid w:val="5E9B1B0D"/>
    <w:rsid w:val="5EC92704"/>
    <w:rsid w:val="5EF70414"/>
    <w:rsid w:val="5F1F45C5"/>
    <w:rsid w:val="5F2F04DF"/>
    <w:rsid w:val="5F5E44FF"/>
    <w:rsid w:val="5F6006F4"/>
    <w:rsid w:val="5F84452E"/>
    <w:rsid w:val="5F88259C"/>
    <w:rsid w:val="5F941B29"/>
    <w:rsid w:val="5F9E32FE"/>
    <w:rsid w:val="5FB26D36"/>
    <w:rsid w:val="603C4566"/>
    <w:rsid w:val="60437999"/>
    <w:rsid w:val="60440571"/>
    <w:rsid w:val="60651FD2"/>
    <w:rsid w:val="606F6CFA"/>
    <w:rsid w:val="60815F18"/>
    <w:rsid w:val="60B106B5"/>
    <w:rsid w:val="60B44CEE"/>
    <w:rsid w:val="60F4434E"/>
    <w:rsid w:val="610220DC"/>
    <w:rsid w:val="614167FD"/>
    <w:rsid w:val="61560FED"/>
    <w:rsid w:val="616F0686"/>
    <w:rsid w:val="6183367F"/>
    <w:rsid w:val="61D5109C"/>
    <w:rsid w:val="61E77C15"/>
    <w:rsid w:val="61F23447"/>
    <w:rsid w:val="621039FB"/>
    <w:rsid w:val="62193202"/>
    <w:rsid w:val="62202D17"/>
    <w:rsid w:val="622D6B2A"/>
    <w:rsid w:val="62481B92"/>
    <w:rsid w:val="624E15D7"/>
    <w:rsid w:val="62501E0F"/>
    <w:rsid w:val="62551BDE"/>
    <w:rsid w:val="62B86EE1"/>
    <w:rsid w:val="62D12FFF"/>
    <w:rsid w:val="62DC0CDB"/>
    <w:rsid w:val="62F301FF"/>
    <w:rsid w:val="62F80320"/>
    <w:rsid w:val="632C670F"/>
    <w:rsid w:val="6349512F"/>
    <w:rsid w:val="637852A4"/>
    <w:rsid w:val="638A51F0"/>
    <w:rsid w:val="63940B27"/>
    <w:rsid w:val="63BB40B1"/>
    <w:rsid w:val="63C01882"/>
    <w:rsid w:val="63D40990"/>
    <w:rsid w:val="63D83E73"/>
    <w:rsid w:val="63DF3CDE"/>
    <w:rsid w:val="63FD3805"/>
    <w:rsid w:val="641A5C2E"/>
    <w:rsid w:val="641E629C"/>
    <w:rsid w:val="643D64BD"/>
    <w:rsid w:val="64485E45"/>
    <w:rsid w:val="647B5D32"/>
    <w:rsid w:val="647B774D"/>
    <w:rsid w:val="647C6908"/>
    <w:rsid w:val="64A66F17"/>
    <w:rsid w:val="64D60BC4"/>
    <w:rsid w:val="64DB73F4"/>
    <w:rsid w:val="64F62677"/>
    <w:rsid w:val="64FF247A"/>
    <w:rsid w:val="651D5FEE"/>
    <w:rsid w:val="65292F5B"/>
    <w:rsid w:val="653A3988"/>
    <w:rsid w:val="65485685"/>
    <w:rsid w:val="654D3BD4"/>
    <w:rsid w:val="6560642A"/>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F56090"/>
    <w:rsid w:val="673E6A98"/>
    <w:rsid w:val="678D1C87"/>
    <w:rsid w:val="67A333A9"/>
    <w:rsid w:val="67CD227C"/>
    <w:rsid w:val="683065F6"/>
    <w:rsid w:val="68603BF5"/>
    <w:rsid w:val="68814BFC"/>
    <w:rsid w:val="68C11E20"/>
    <w:rsid w:val="68CE2DD5"/>
    <w:rsid w:val="693D0CC2"/>
    <w:rsid w:val="694E2501"/>
    <w:rsid w:val="695E486A"/>
    <w:rsid w:val="698C4A5A"/>
    <w:rsid w:val="69981A40"/>
    <w:rsid w:val="699D210A"/>
    <w:rsid w:val="69C0056F"/>
    <w:rsid w:val="69E343CF"/>
    <w:rsid w:val="69E976DE"/>
    <w:rsid w:val="6A051875"/>
    <w:rsid w:val="6A0E1F92"/>
    <w:rsid w:val="6A3716E6"/>
    <w:rsid w:val="6A63128D"/>
    <w:rsid w:val="6A68020C"/>
    <w:rsid w:val="6A903094"/>
    <w:rsid w:val="6B085CCB"/>
    <w:rsid w:val="6B315A3D"/>
    <w:rsid w:val="6B354B1B"/>
    <w:rsid w:val="6B384843"/>
    <w:rsid w:val="6B402768"/>
    <w:rsid w:val="6B774DF2"/>
    <w:rsid w:val="6B90040C"/>
    <w:rsid w:val="6B9561D7"/>
    <w:rsid w:val="6B9D2DD2"/>
    <w:rsid w:val="6BFD644C"/>
    <w:rsid w:val="6C055EB0"/>
    <w:rsid w:val="6C101C5E"/>
    <w:rsid w:val="6C337DD6"/>
    <w:rsid w:val="6C45178D"/>
    <w:rsid w:val="6C860F9C"/>
    <w:rsid w:val="6C913029"/>
    <w:rsid w:val="6C9D77EE"/>
    <w:rsid w:val="6CAD79AB"/>
    <w:rsid w:val="6CFD61EB"/>
    <w:rsid w:val="6D2147B0"/>
    <w:rsid w:val="6D4A7767"/>
    <w:rsid w:val="6D56630E"/>
    <w:rsid w:val="6D81230A"/>
    <w:rsid w:val="6D9F2594"/>
    <w:rsid w:val="6DA53D56"/>
    <w:rsid w:val="6DAA4153"/>
    <w:rsid w:val="6DB649D1"/>
    <w:rsid w:val="6DC572F5"/>
    <w:rsid w:val="6DF37591"/>
    <w:rsid w:val="6DFA3DB4"/>
    <w:rsid w:val="6DFC6E63"/>
    <w:rsid w:val="6DFE0066"/>
    <w:rsid w:val="6E011A61"/>
    <w:rsid w:val="6E1C4318"/>
    <w:rsid w:val="6E20099F"/>
    <w:rsid w:val="6E5337E0"/>
    <w:rsid w:val="6E7674F5"/>
    <w:rsid w:val="6E865586"/>
    <w:rsid w:val="6EB72579"/>
    <w:rsid w:val="6F590C69"/>
    <w:rsid w:val="6F792010"/>
    <w:rsid w:val="6F8B2A39"/>
    <w:rsid w:val="6FF460AD"/>
    <w:rsid w:val="6FF46EB5"/>
    <w:rsid w:val="70402100"/>
    <w:rsid w:val="7057451A"/>
    <w:rsid w:val="705C303D"/>
    <w:rsid w:val="70616804"/>
    <w:rsid w:val="70694180"/>
    <w:rsid w:val="70984EB2"/>
    <w:rsid w:val="710D0F27"/>
    <w:rsid w:val="71514804"/>
    <w:rsid w:val="7179608C"/>
    <w:rsid w:val="718030F6"/>
    <w:rsid w:val="71A544BB"/>
    <w:rsid w:val="71E23A55"/>
    <w:rsid w:val="71E81C15"/>
    <w:rsid w:val="72173C7E"/>
    <w:rsid w:val="721A0E69"/>
    <w:rsid w:val="721B6C05"/>
    <w:rsid w:val="721F4CE3"/>
    <w:rsid w:val="728173B8"/>
    <w:rsid w:val="729A2A61"/>
    <w:rsid w:val="729A74B7"/>
    <w:rsid w:val="72F35EED"/>
    <w:rsid w:val="73363B4B"/>
    <w:rsid w:val="733817C1"/>
    <w:rsid w:val="736D1576"/>
    <w:rsid w:val="73937A59"/>
    <w:rsid w:val="73A72705"/>
    <w:rsid w:val="73BE04D1"/>
    <w:rsid w:val="73C44F3C"/>
    <w:rsid w:val="73DA135F"/>
    <w:rsid w:val="7408229C"/>
    <w:rsid w:val="741F1C9D"/>
    <w:rsid w:val="74545723"/>
    <w:rsid w:val="7456606E"/>
    <w:rsid w:val="74C04CBF"/>
    <w:rsid w:val="74C2573E"/>
    <w:rsid w:val="74DC560A"/>
    <w:rsid w:val="7508356B"/>
    <w:rsid w:val="75294D89"/>
    <w:rsid w:val="752D51CA"/>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75D2F89"/>
    <w:rsid w:val="778F750F"/>
    <w:rsid w:val="77C41078"/>
    <w:rsid w:val="77CD0717"/>
    <w:rsid w:val="77E459CD"/>
    <w:rsid w:val="77E968C6"/>
    <w:rsid w:val="77F02658"/>
    <w:rsid w:val="78602963"/>
    <w:rsid w:val="78B3424F"/>
    <w:rsid w:val="78C0051C"/>
    <w:rsid w:val="78CC26C0"/>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88399A"/>
    <w:rsid w:val="7A9F592F"/>
    <w:rsid w:val="7AB83F98"/>
    <w:rsid w:val="7AC02612"/>
    <w:rsid w:val="7AD2397E"/>
    <w:rsid w:val="7AEA6460"/>
    <w:rsid w:val="7AF67F85"/>
    <w:rsid w:val="7AF7076E"/>
    <w:rsid w:val="7B051D7F"/>
    <w:rsid w:val="7B170708"/>
    <w:rsid w:val="7B1B3593"/>
    <w:rsid w:val="7B2C1BF9"/>
    <w:rsid w:val="7B4A3665"/>
    <w:rsid w:val="7B502250"/>
    <w:rsid w:val="7B8A09CC"/>
    <w:rsid w:val="7BBA79C5"/>
    <w:rsid w:val="7BDB1595"/>
    <w:rsid w:val="7BE67B49"/>
    <w:rsid w:val="7BED6056"/>
    <w:rsid w:val="7BF85632"/>
    <w:rsid w:val="7C072E13"/>
    <w:rsid w:val="7C5623B0"/>
    <w:rsid w:val="7C6953F6"/>
    <w:rsid w:val="7C77262C"/>
    <w:rsid w:val="7C8974D7"/>
    <w:rsid w:val="7C9B3CC1"/>
    <w:rsid w:val="7CA929A8"/>
    <w:rsid w:val="7CC557C8"/>
    <w:rsid w:val="7CCB6E79"/>
    <w:rsid w:val="7CF17DE7"/>
    <w:rsid w:val="7D270886"/>
    <w:rsid w:val="7D384DC0"/>
    <w:rsid w:val="7D641B1E"/>
    <w:rsid w:val="7D7B1365"/>
    <w:rsid w:val="7DA261A2"/>
    <w:rsid w:val="7DD722F0"/>
    <w:rsid w:val="7DD81DCF"/>
    <w:rsid w:val="7DF452E9"/>
    <w:rsid w:val="7DFC65B3"/>
    <w:rsid w:val="7E3332A1"/>
    <w:rsid w:val="7EA9551E"/>
    <w:rsid w:val="7EBF4E05"/>
    <w:rsid w:val="7F083AD9"/>
    <w:rsid w:val="7F0E6ADE"/>
    <w:rsid w:val="7F221E49"/>
    <w:rsid w:val="7F2257ED"/>
    <w:rsid w:val="7F2C4ACE"/>
    <w:rsid w:val="7F3A472C"/>
    <w:rsid w:val="7F426B36"/>
    <w:rsid w:val="7F445629"/>
    <w:rsid w:val="7F5F001A"/>
    <w:rsid w:val="7F68109F"/>
    <w:rsid w:val="7F844E8C"/>
    <w:rsid w:val="7F8932DC"/>
    <w:rsid w:val="7FAE52D2"/>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4">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5">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6">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7">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link w:val="36"/>
    <w:qFormat/>
    <w:uiPriority w:val="0"/>
    <w:pPr>
      <w:spacing w:after="120"/>
    </w:pPr>
  </w:style>
  <w:style w:type="paragraph" w:styleId="8">
    <w:name w:val="annotation subject"/>
    <w:basedOn w:val="9"/>
    <w:next w:val="9"/>
    <w:link w:val="41"/>
    <w:qFormat/>
    <w:uiPriority w:val="0"/>
    <w:rPr>
      <w:b/>
      <w:bCs/>
    </w:rPr>
  </w:style>
  <w:style w:type="paragraph" w:styleId="9">
    <w:name w:val="annotation text"/>
    <w:basedOn w:val="1"/>
    <w:link w:val="35"/>
    <w:qFormat/>
    <w:uiPriority w:val="99"/>
  </w:style>
  <w:style w:type="paragraph" w:styleId="10">
    <w:name w:val="Normal Indent"/>
    <w:basedOn w:val="1"/>
    <w:qFormat/>
    <w:uiPriority w:val="0"/>
    <w:pPr>
      <w:autoSpaceDE w:val="0"/>
      <w:autoSpaceDN w:val="0"/>
      <w:ind w:firstLine="420"/>
    </w:pPr>
    <w:rPr>
      <w:rFonts w:ascii="宋体"/>
    </w:rPr>
  </w:style>
  <w:style w:type="paragraph" w:styleId="11">
    <w:name w:val="Body Text Indent"/>
    <w:basedOn w:val="1"/>
    <w:link w:val="37"/>
    <w:qFormat/>
    <w:uiPriority w:val="0"/>
    <w:pPr>
      <w:spacing w:after="120"/>
      <w:ind w:left="420" w:leftChars="200"/>
    </w:pPr>
  </w:style>
  <w:style w:type="paragraph" w:styleId="12">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3">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4">
    <w:name w:val="Body Text Indent 2"/>
    <w:basedOn w:val="1"/>
    <w:link w:val="39"/>
    <w:qFormat/>
    <w:uiPriority w:val="0"/>
    <w:pPr>
      <w:spacing w:after="120" w:line="480" w:lineRule="auto"/>
      <w:ind w:left="420" w:leftChars="200"/>
    </w:pPr>
  </w:style>
  <w:style w:type="paragraph" w:styleId="15">
    <w:name w:val="Balloon Text"/>
    <w:basedOn w:val="1"/>
    <w:semiHidden/>
    <w:qFormat/>
    <w:uiPriority w:val="0"/>
    <w:rPr>
      <w:sz w:val="18"/>
      <w:szCs w:val="18"/>
    </w:rPr>
  </w:style>
  <w:style w:type="paragraph" w:styleId="16">
    <w:name w:val="footer"/>
    <w:basedOn w:val="1"/>
    <w:qFormat/>
    <w:uiPriority w:val="0"/>
    <w:pPr>
      <w:tabs>
        <w:tab w:val="center" w:pos="4153"/>
        <w:tab w:val="right" w:pos="8306"/>
      </w:tabs>
      <w:spacing w:line="240" w:lineRule="atLeast"/>
    </w:pPr>
    <w:rPr>
      <w:sz w:val="18"/>
    </w:rPr>
  </w:style>
  <w:style w:type="paragraph" w:styleId="17">
    <w:name w:val="Body Text First Indent 2"/>
    <w:basedOn w:val="11"/>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9"/>
    <w:qFormat/>
    <w:uiPriority w:val="99"/>
    <w:rPr>
      <w:sz w:val="24"/>
      <w:szCs w:val="22"/>
    </w:rPr>
  </w:style>
  <w:style w:type="character" w:customStyle="1" w:styleId="36">
    <w:name w:val="正文文本 Char"/>
    <w:link w:val="3"/>
    <w:qFormat/>
    <w:uiPriority w:val="0"/>
    <w:rPr>
      <w:sz w:val="24"/>
      <w:szCs w:val="22"/>
    </w:rPr>
  </w:style>
  <w:style w:type="character" w:customStyle="1" w:styleId="37">
    <w:name w:val="正文文本缩进 Char"/>
    <w:link w:val="11"/>
    <w:qFormat/>
    <w:uiPriority w:val="0"/>
    <w:rPr>
      <w:sz w:val="24"/>
      <w:szCs w:val="22"/>
    </w:rPr>
  </w:style>
  <w:style w:type="character" w:customStyle="1" w:styleId="38">
    <w:name w:val="纯文本 Char"/>
    <w:link w:val="13"/>
    <w:qFormat/>
    <w:uiPriority w:val="0"/>
    <w:rPr>
      <w:rFonts w:ascii="宋体" w:hAnsi="Courier New" w:eastAsia="宋体"/>
      <w:kern w:val="2"/>
      <w:sz w:val="21"/>
      <w:szCs w:val="21"/>
      <w:lang w:val="en-US" w:eastAsia="zh-CN" w:bidi="ar-SA"/>
    </w:rPr>
  </w:style>
  <w:style w:type="character" w:customStyle="1" w:styleId="39">
    <w:name w:val="正文文本缩进 2 Char"/>
    <w:link w:val="14"/>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8"/>
    <w:qFormat/>
    <w:uiPriority w:val="0"/>
    <w:rPr>
      <w:b/>
      <w:bCs/>
      <w:sz w:val="24"/>
      <w:szCs w:val="22"/>
    </w:rPr>
  </w:style>
  <w:style w:type="character" w:customStyle="1" w:styleId="42">
    <w:name w:val="正文首行缩进 2 Char"/>
    <w:link w:val="17"/>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5"/>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6"/>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7"/>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4"/>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stone</cp:lastModifiedBy>
  <cp:lastPrinted>2023-12-28T08:05:12Z</cp:lastPrinted>
  <dcterms:modified xsi:type="dcterms:W3CDTF">2023-12-28T09:32:41Z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