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E8849">
      <w:pPr>
        <w:pStyle w:val="2"/>
        <w:tabs>
          <w:tab w:val="left" w:pos="0"/>
        </w:tabs>
        <w:autoSpaceDE w:val="0"/>
        <w:autoSpaceDN w:val="0"/>
        <w:adjustRightInd w:val="0"/>
        <w:spacing w:before="0" w:after="0" w:line="360" w:lineRule="auto"/>
        <w:jc w:val="center"/>
        <w:rPr>
          <w:rFonts w:ascii="华文中宋" w:hAnsi="华文中宋" w:eastAsia="华文中宋"/>
          <w:color w:val="auto"/>
          <w:sz w:val="36"/>
          <w:szCs w:val="36"/>
          <w:highlight w:val="none"/>
        </w:rPr>
      </w:pPr>
      <w:bookmarkStart w:id="0" w:name="_Toc35393809"/>
      <w:bookmarkStart w:id="1" w:name="_Toc28359022"/>
      <w:r>
        <w:rPr>
          <w:rFonts w:hint="eastAsia" w:ascii="华文中宋" w:hAnsi="华文中宋" w:eastAsia="华文中宋"/>
          <w:color w:val="auto"/>
          <w:sz w:val="36"/>
          <w:szCs w:val="36"/>
          <w:highlight w:val="none"/>
          <w:lang w:eastAsia="zh-CN"/>
        </w:rPr>
        <w:t>北京市政务服务和数据管理局2026年党政机关信息化能力提升项目(局机关)</w:t>
      </w:r>
      <w:r>
        <w:rPr>
          <w:rFonts w:hint="eastAsia" w:ascii="华文中宋" w:hAnsi="华文中宋" w:eastAsia="华文中宋"/>
          <w:color w:val="auto"/>
          <w:sz w:val="36"/>
          <w:szCs w:val="36"/>
          <w:highlight w:val="none"/>
        </w:rPr>
        <w:t>中标结果公告</w:t>
      </w:r>
      <w:bookmarkEnd w:id="0"/>
      <w:bookmarkEnd w:id="1"/>
    </w:p>
    <w:p w14:paraId="2670C809">
      <w:pPr>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一</w:t>
      </w:r>
      <w:r>
        <w:rPr>
          <w:rFonts w:ascii="黑体" w:hAnsi="黑体" w:eastAsia="黑体"/>
          <w:color w:val="auto"/>
          <w:sz w:val="28"/>
          <w:szCs w:val="28"/>
          <w:highlight w:val="none"/>
        </w:rPr>
        <w:t>、</w:t>
      </w:r>
      <w:r>
        <w:rPr>
          <w:rFonts w:hint="eastAsia" w:ascii="黑体" w:hAnsi="黑体" w:eastAsia="黑体"/>
          <w:color w:val="auto"/>
          <w:sz w:val="28"/>
          <w:szCs w:val="28"/>
          <w:highlight w:val="none"/>
        </w:rPr>
        <w:t>项目编号：</w:t>
      </w:r>
      <w:r>
        <w:rPr>
          <w:rFonts w:hint="eastAsia" w:ascii="黑体" w:hAnsi="黑体" w:eastAsia="黑体"/>
          <w:color w:val="auto"/>
          <w:sz w:val="28"/>
          <w:szCs w:val="28"/>
          <w:highlight w:val="none"/>
          <w:lang w:eastAsia="zh-CN"/>
        </w:rPr>
        <w:t>11000026210200181346-XM001</w:t>
      </w:r>
    </w:p>
    <w:p w14:paraId="49BC1329">
      <w:pPr>
        <w:rPr>
          <w:rFonts w:ascii="黑体" w:hAnsi="黑体" w:eastAsia="黑体"/>
          <w:color w:val="auto"/>
          <w:sz w:val="28"/>
          <w:szCs w:val="28"/>
          <w:highlight w:val="none"/>
          <w:u w:val="single"/>
        </w:rPr>
      </w:pPr>
      <w:r>
        <w:rPr>
          <w:rFonts w:hint="eastAsia" w:ascii="黑体" w:hAnsi="黑体" w:eastAsia="黑体"/>
          <w:color w:val="auto"/>
          <w:sz w:val="28"/>
          <w:szCs w:val="28"/>
          <w:highlight w:val="none"/>
        </w:rPr>
        <w:t>二</w:t>
      </w:r>
      <w:r>
        <w:rPr>
          <w:rFonts w:ascii="黑体" w:hAnsi="黑体" w:eastAsia="黑体"/>
          <w:color w:val="auto"/>
          <w:sz w:val="28"/>
          <w:szCs w:val="28"/>
          <w:highlight w:val="none"/>
        </w:rPr>
        <w:t>、</w:t>
      </w:r>
      <w:r>
        <w:rPr>
          <w:rFonts w:hint="eastAsia" w:ascii="黑体" w:hAnsi="黑体" w:eastAsia="黑体"/>
          <w:color w:val="auto"/>
          <w:sz w:val="28"/>
          <w:szCs w:val="28"/>
          <w:highlight w:val="none"/>
        </w:rPr>
        <w:t>项目名称：</w:t>
      </w:r>
      <w:r>
        <w:rPr>
          <w:rFonts w:hint="eastAsia" w:ascii="黑体" w:hAnsi="黑体" w:eastAsia="黑体"/>
          <w:color w:val="auto"/>
          <w:sz w:val="28"/>
          <w:szCs w:val="28"/>
          <w:highlight w:val="none"/>
          <w:lang w:eastAsia="zh-CN"/>
        </w:rPr>
        <w:t>北京市政务服务和数据管理局2026年党政机关信息化能力提升项目(局机关)</w:t>
      </w:r>
    </w:p>
    <w:p w14:paraId="2BEB35B3">
      <w:pPr>
        <w:rPr>
          <w:rFonts w:ascii="黑体" w:hAnsi="黑体" w:eastAsia="黑体"/>
          <w:color w:val="auto"/>
          <w:sz w:val="28"/>
          <w:szCs w:val="28"/>
          <w:highlight w:val="none"/>
        </w:rPr>
      </w:pPr>
      <w:r>
        <w:rPr>
          <w:rFonts w:hint="eastAsia" w:ascii="黑体" w:hAnsi="黑体" w:eastAsia="黑体"/>
          <w:color w:val="auto"/>
          <w:sz w:val="28"/>
          <w:szCs w:val="28"/>
          <w:highlight w:val="none"/>
        </w:rPr>
        <w:t>三、中标信息</w:t>
      </w:r>
    </w:p>
    <w:p w14:paraId="4CB15143">
      <w:pPr>
        <w:ind w:firstLine="560" w:firstLineChars="200"/>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第1包：</w:t>
      </w:r>
    </w:p>
    <w:p w14:paraId="0B0CB93B">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供应商名称：</w:t>
      </w:r>
      <w:r>
        <w:rPr>
          <w:rFonts w:hint="eastAsia" w:ascii="仿宋" w:hAnsi="仿宋" w:eastAsia="仿宋"/>
          <w:color w:val="auto"/>
          <w:sz w:val="28"/>
          <w:szCs w:val="28"/>
          <w:highlight w:val="none"/>
          <w:u w:val="none"/>
          <w:lang w:eastAsia="zh-CN"/>
        </w:rPr>
        <w:t>北京政务科技有限公司</w:t>
      </w:r>
    </w:p>
    <w:p w14:paraId="11D825B0">
      <w:pPr>
        <w:ind w:firstLine="560" w:firstLineChars="200"/>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供应商地址：北京市朝阳区世东国际A座9层</w:t>
      </w:r>
    </w:p>
    <w:p w14:paraId="46A070BA">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中标金额：</w:t>
      </w:r>
      <w:r>
        <w:rPr>
          <w:rFonts w:hint="eastAsia" w:ascii="仿宋" w:hAnsi="仿宋" w:eastAsia="仿宋"/>
          <w:color w:val="auto"/>
          <w:sz w:val="28"/>
          <w:szCs w:val="28"/>
          <w:highlight w:val="none"/>
        </w:rPr>
        <w:t>7,046,400.00</w:t>
      </w:r>
      <w:r>
        <w:rPr>
          <w:rFonts w:hint="eastAsia" w:ascii="仿宋" w:hAnsi="仿宋" w:eastAsia="仿宋"/>
          <w:color w:val="auto"/>
          <w:sz w:val="28"/>
          <w:szCs w:val="28"/>
          <w:highlight w:val="none"/>
          <w:u w:val="none"/>
          <w:lang w:eastAsia="zh-CN"/>
        </w:rPr>
        <w:t>元（人民币）</w:t>
      </w:r>
    </w:p>
    <w:p w14:paraId="7AA0ADC7">
      <w:pPr>
        <w:ind w:firstLine="560" w:firstLineChars="200"/>
        <w:rPr>
          <w:rFonts w:hint="eastAsia" w:ascii="仿宋" w:hAnsi="仿宋" w:eastAsia="仿宋"/>
          <w:color w:val="auto"/>
          <w:sz w:val="28"/>
          <w:szCs w:val="28"/>
          <w:highlight w:val="none"/>
          <w:u w:val="none"/>
          <w:lang w:val="en-US" w:eastAsia="zh-CN"/>
        </w:rPr>
      </w:pPr>
    </w:p>
    <w:p w14:paraId="31D7BA9E">
      <w:pPr>
        <w:ind w:firstLine="560" w:firstLineChars="200"/>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第2包：</w:t>
      </w:r>
    </w:p>
    <w:p w14:paraId="42728388">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供应商名称：有谦软联（北京）信息技术有限公司</w:t>
      </w:r>
    </w:p>
    <w:p w14:paraId="34A9B0CE">
      <w:pPr>
        <w:ind w:firstLine="560" w:firstLineChars="200"/>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供应商地址：北京市昌平区马池口镇昌平火车站西昌土路南昌土路148号院6号等45幢楼109号楼408室</w:t>
      </w:r>
    </w:p>
    <w:p w14:paraId="37A6A185">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中标金额：</w:t>
      </w:r>
      <w:r>
        <w:rPr>
          <w:rFonts w:hint="eastAsia" w:ascii="仿宋" w:hAnsi="仿宋" w:eastAsia="仿宋"/>
          <w:color w:val="auto"/>
          <w:sz w:val="28"/>
          <w:szCs w:val="28"/>
          <w:highlight w:val="none"/>
        </w:rPr>
        <w:t>1,348,000.00</w:t>
      </w:r>
      <w:r>
        <w:rPr>
          <w:rFonts w:hint="eastAsia" w:ascii="仿宋" w:hAnsi="仿宋" w:eastAsia="仿宋"/>
          <w:color w:val="auto"/>
          <w:sz w:val="28"/>
          <w:szCs w:val="28"/>
          <w:highlight w:val="none"/>
          <w:u w:val="none"/>
          <w:lang w:eastAsia="zh-CN"/>
        </w:rPr>
        <w:t>元（人民币）</w:t>
      </w:r>
    </w:p>
    <w:p w14:paraId="06AFEC54">
      <w:pPr>
        <w:ind w:firstLine="560" w:firstLineChars="200"/>
        <w:rPr>
          <w:rFonts w:hint="eastAsia" w:ascii="仿宋" w:hAnsi="仿宋" w:eastAsia="仿宋"/>
          <w:color w:val="auto"/>
          <w:sz w:val="28"/>
          <w:szCs w:val="28"/>
          <w:highlight w:val="none"/>
          <w:u w:val="none"/>
          <w:lang w:val="en-US" w:eastAsia="zh-CN"/>
        </w:rPr>
      </w:pPr>
    </w:p>
    <w:p w14:paraId="0F961664">
      <w:pPr>
        <w:ind w:firstLine="560" w:firstLineChars="200"/>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第3包：</w:t>
      </w:r>
    </w:p>
    <w:p w14:paraId="709F4299">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供应商名称：北京政务科技有限公司</w:t>
      </w:r>
    </w:p>
    <w:p w14:paraId="57B1CECC">
      <w:pPr>
        <w:ind w:firstLine="560" w:firstLineChars="200"/>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供应商地址：北京市北京经济技术开发区科谷一街10号院8号楼12层1201（北京自贸试验区高端产业片区亦庄组团）</w:t>
      </w:r>
    </w:p>
    <w:p w14:paraId="2A3EC403">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中标金额：</w:t>
      </w:r>
      <w:r>
        <w:rPr>
          <w:rFonts w:hint="eastAsia" w:ascii="仿宋" w:hAnsi="仿宋" w:eastAsia="仿宋"/>
          <w:color w:val="auto"/>
          <w:sz w:val="28"/>
          <w:szCs w:val="28"/>
          <w:highlight w:val="none"/>
        </w:rPr>
        <w:t>1,008,000.00</w:t>
      </w:r>
      <w:r>
        <w:rPr>
          <w:rFonts w:hint="eastAsia" w:ascii="仿宋" w:hAnsi="仿宋" w:eastAsia="仿宋"/>
          <w:color w:val="auto"/>
          <w:sz w:val="28"/>
          <w:szCs w:val="28"/>
          <w:highlight w:val="none"/>
          <w:u w:val="none"/>
          <w:lang w:eastAsia="zh-CN"/>
        </w:rPr>
        <w:t>元（人民币）</w:t>
      </w:r>
    </w:p>
    <w:p w14:paraId="267923DF">
      <w:pPr>
        <w:ind w:firstLine="560" w:firstLineChars="200"/>
        <w:rPr>
          <w:rFonts w:hint="eastAsia" w:ascii="仿宋" w:hAnsi="仿宋" w:eastAsia="仿宋"/>
          <w:color w:val="auto"/>
          <w:sz w:val="28"/>
          <w:szCs w:val="28"/>
          <w:highlight w:val="none"/>
          <w:u w:val="none"/>
          <w:lang w:val="en-US" w:eastAsia="zh-CN"/>
        </w:rPr>
      </w:pPr>
    </w:p>
    <w:p w14:paraId="438CA5A3">
      <w:pPr>
        <w:ind w:firstLine="560" w:firstLineChars="200"/>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第4包：</w:t>
      </w:r>
    </w:p>
    <w:p w14:paraId="577F4B0B">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供应商名称：中科信息安全共性技术国家工程研究中心有限公司</w:t>
      </w:r>
    </w:p>
    <w:p w14:paraId="25B42394">
      <w:pPr>
        <w:ind w:firstLine="560" w:firstLineChars="200"/>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供应商地址：北京市海淀区中关村大街19号新中关大厦B座北翼16层</w:t>
      </w:r>
    </w:p>
    <w:p w14:paraId="1909BD2F">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中标金额：</w:t>
      </w:r>
      <w:r>
        <w:rPr>
          <w:rFonts w:hint="eastAsia" w:ascii="仿宋" w:hAnsi="仿宋" w:eastAsia="仿宋"/>
          <w:color w:val="auto"/>
          <w:sz w:val="28"/>
          <w:szCs w:val="28"/>
          <w:highlight w:val="none"/>
        </w:rPr>
        <w:t>468,000.00</w:t>
      </w:r>
      <w:r>
        <w:rPr>
          <w:rFonts w:hint="eastAsia" w:ascii="仿宋" w:hAnsi="仿宋" w:eastAsia="仿宋"/>
          <w:color w:val="auto"/>
          <w:sz w:val="28"/>
          <w:szCs w:val="28"/>
          <w:highlight w:val="none"/>
          <w:u w:val="none"/>
          <w:lang w:eastAsia="zh-CN"/>
        </w:rPr>
        <w:t>元（人民币）</w:t>
      </w:r>
    </w:p>
    <w:p w14:paraId="09ADAD9D">
      <w:pPr>
        <w:ind w:firstLine="560" w:firstLineChars="200"/>
        <w:rPr>
          <w:rFonts w:hint="eastAsia" w:ascii="仿宋" w:hAnsi="仿宋" w:eastAsia="仿宋"/>
          <w:color w:val="auto"/>
          <w:sz w:val="28"/>
          <w:szCs w:val="28"/>
          <w:highlight w:val="none"/>
          <w:u w:val="none"/>
          <w:lang w:val="en-US" w:eastAsia="zh-CN"/>
        </w:rPr>
      </w:pPr>
    </w:p>
    <w:p w14:paraId="1076941E">
      <w:pPr>
        <w:ind w:firstLine="560" w:firstLineChars="200"/>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第5包：</w:t>
      </w:r>
    </w:p>
    <w:p w14:paraId="1637441B">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供应商名称：</w:t>
      </w:r>
      <w:r>
        <w:rPr>
          <w:rFonts w:hint="eastAsia" w:ascii="仿宋" w:hAnsi="仿宋" w:eastAsia="仿宋"/>
          <w:color w:val="auto"/>
          <w:sz w:val="28"/>
          <w:szCs w:val="28"/>
          <w:highlight w:val="none"/>
          <w:u w:val="none"/>
          <w:lang w:eastAsia="zh-CN"/>
        </w:rPr>
        <w:t>北京易柯森特科技有限公司</w:t>
      </w:r>
    </w:p>
    <w:p w14:paraId="2C2A9033">
      <w:pPr>
        <w:ind w:firstLine="560" w:firstLineChars="200"/>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供应商地址：北京市朝阳区北四环中路27号盘古大观C座9单元6层</w:t>
      </w:r>
    </w:p>
    <w:p w14:paraId="1EADA249">
      <w:pPr>
        <w:ind w:firstLine="560" w:firstLineChars="200"/>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中标金额：</w:t>
      </w:r>
      <w:r>
        <w:rPr>
          <w:rFonts w:hint="eastAsia" w:ascii="仿宋" w:hAnsi="仿宋" w:eastAsia="仿宋"/>
          <w:color w:val="auto"/>
          <w:sz w:val="28"/>
          <w:szCs w:val="28"/>
          <w:highlight w:val="none"/>
        </w:rPr>
        <w:t>208,000.00</w:t>
      </w:r>
      <w:r>
        <w:rPr>
          <w:rFonts w:hint="eastAsia" w:ascii="仿宋" w:hAnsi="仿宋" w:eastAsia="仿宋"/>
          <w:color w:val="auto"/>
          <w:sz w:val="28"/>
          <w:szCs w:val="28"/>
          <w:highlight w:val="none"/>
          <w:u w:val="none"/>
          <w:lang w:eastAsia="zh-CN"/>
        </w:rPr>
        <w:t>元（人民币）</w:t>
      </w:r>
    </w:p>
    <w:p w14:paraId="7E325155">
      <w:pPr>
        <w:numPr>
          <w:ilvl w:val="0"/>
          <w:numId w:val="1"/>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主要标的信息</w:t>
      </w:r>
    </w:p>
    <w:tbl>
      <w:tblPr>
        <w:tblStyle w:val="14"/>
        <w:tblW w:w="8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14:paraId="0946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460" w:type="dxa"/>
            <w:vAlign w:val="top"/>
          </w:tcPr>
          <w:p w14:paraId="64800938">
            <w:pPr>
              <w:jc w:val="center"/>
              <w:rPr>
                <w:rFonts w:hint="default" w:ascii="仿宋" w:hAnsi="仿宋" w:eastAsia="仿宋"/>
                <w:color w:val="auto"/>
                <w:kern w:val="0"/>
                <w:sz w:val="28"/>
                <w:szCs w:val="28"/>
                <w:highlight w:val="none"/>
                <w:lang w:val="en-US"/>
              </w:rPr>
            </w:pPr>
            <w:r>
              <w:rPr>
                <w:rFonts w:hint="eastAsia" w:ascii="仿宋" w:hAnsi="仿宋" w:eastAsia="仿宋"/>
                <w:color w:val="auto"/>
                <w:kern w:val="0"/>
                <w:sz w:val="28"/>
                <w:szCs w:val="28"/>
                <w:highlight w:val="none"/>
                <w:lang w:val="en-US" w:eastAsia="zh-CN"/>
              </w:rPr>
              <w:t>服务类</w:t>
            </w:r>
          </w:p>
        </w:tc>
      </w:tr>
      <w:tr w14:paraId="0D5C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460" w:type="dxa"/>
            <w:vAlign w:val="top"/>
          </w:tcPr>
          <w:p w14:paraId="377BD320">
            <w:pPr>
              <w:rPr>
                <w:rFonts w:hint="eastAsia"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lang w:val="en-US" w:eastAsia="zh-CN"/>
              </w:rPr>
              <w:t>第1包</w:t>
            </w:r>
          </w:p>
          <w:p w14:paraId="60070650">
            <w:pPr>
              <w:rPr>
                <w:rFonts w:hint="eastAsia" w:ascii="仿宋" w:hAnsi="仿宋" w:eastAsia="仿宋"/>
                <w:kern w:val="0"/>
                <w:sz w:val="28"/>
                <w:szCs w:val="28"/>
              </w:rPr>
            </w:pPr>
            <w:r>
              <w:rPr>
                <w:rFonts w:hint="eastAsia" w:ascii="仿宋" w:hAnsi="仿宋" w:eastAsia="仿宋"/>
                <w:kern w:val="0"/>
                <w:sz w:val="28"/>
                <w:szCs w:val="28"/>
              </w:rPr>
              <w:t>名称：数字服务平台能力提升</w:t>
            </w:r>
          </w:p>
          <w:p w14:paraId="28554067">
            <w:pPr>
              <w:rPr>
                <w:rFonts w:hint="eastAsia" w:ascii="仿宋" w:hAnsi="仿宋" w:eastAsia="仿宋"/>
                <w:kern w:val="0"/>
                <w:sz w:val="28"/>
                <w:szCs w:val="28"/>
              </w:rPr>
            </w:pPr>
            <w:r>
              <w:rPr>
                <w:rFonts w:hint="eastAsia" w:ascii="仿宋" w:hAnsi="仿宋" w:eastAsia="仿宋"/>
                <w:kern w:val="0"/>
                <w:sz w:val="28"/>
                <w:szCs w:val="28"/>
              </w:rPr>
              <w:t>服务范围：根据国家和本市有关信息技术应用创新相关工作要求，完成数字服务平台包含的9个系统适配升级</w:t>
            </w:r>
            <w:r>
              <w:rPr>
                <w:rFonts w:hint="eastAsia" w:ascii="仿宋" w:hAnsi="仿宋" w:eastAsia="仿宋"/>
                <w:kern w:val="0"/>
                <w:sz w:val="28"/>
                <w:szCs w:val="28"/>
                <w:lang w:eastAsia="zh-CN"/>
              </w:rPr>
              <w:t>。</w:t>
            </w:r>
          </w:p>
          <w:p w14:paraId="2379894B">
            <w:pPr>
              <w:rPr>
                <w:rFonts w:hint="eastAsia" w:ascii="仿宋" w:hAnsi="仿宋" w:eastAsia="仿宋"/>
                <w:kern w:val="0"/>
                <w:sz w:val="28"/>
                <w:szCs w:val="28"/>
                <w:lang w:eastAsia="zh-CN"/>
              </w:rPr>
            </w:pPr>
            <w:r>
              <w:rPr>
                <w:rFonts w:hint="eastAsia" w:ascii="仿宋" w:hAnsi="仿宋" w:eastAsia="仿宋"/>
                <w:kern w:val="0"/>
                <w:sz w:val="28"/>
                <w:szCs w:val="28"/>
              </w:rPr>
              <w:t>服务要求：本项目实施部署所依托的基础软硬件环境全部符合能力提升要求，其中，服务器由采购人向北京市政务云申请使用，操作系统、数据库由采购人进行统一采购并完成基础环境实施部署</w:t>
            </w:r>
            <w:r>
              <w:rPr>
                <w:rFonts w:hint="eastAsia" w:ascii="仿宋" w:hAnsi="仿宋" w:eastAsia="仿宋"/>
                <w:kern w:val="0"/>
                <w:sz w:val="28"/>
                <w:szCs w:val="28"/>
                <w:lang w:eastAsia="zh-CN"/>
              </w:rPr>
              <w:t>。</w:t>
            </w:r>
          </w:p>
          <w:p w14:paraId="1DD86DF8">
            <w:pPr>
              <w:rPr>
                <w:rFonts w:hint="eastAsia" w:ascii="仿宋" w:hAnsi="仿宋" w:eastAsia="仿宋"/>
                <w:kern w:val="0"/>
                <w:sz w:val="28"/>
                <w:szCs w:val="28"/>
                <w:lang w:eastAsia="zh-CN"/>
              </w:rPr>
            </w:pPr>
            <w:r>
              <w:rPr>
                <w:rFonts w:hint="eastAsia" w:ascii="仿宋" w:hAnsi="仿宋" w:eastAsia="仿宋"/>
                <w:kern w:val="0"/>
                <w:sz w:val="28"/>
                <w:szCs w:val="28"/>
              </w:rPr>
              <w:t>服务时间：合同生效后3个月内</w:t>
            </w:r>
            <w:r>
              <w:rPr>
                <w:rFonts w:hint="eastAsia" w:ascii="仿宋" w:hAnsi="仿宋" w:eastAsia="仿宋"/>
                <w:kern w:val="0"/>
                <w:sz w:val="28"/>
                <w:szCs w:val="28"/>
                <w:lang w:eastAsia="zh-CN"/>
              </w:rPr>
              <w:t>。</w:t>
            </w:r>
          </w:p>
          <w:p w14:paraId="7ACBA5C5">
            <w:pPr>
              <w:rPr>
                <w:rFonts w:hint="eastAsia" w:ascii="仿宋" w:hAnsi="仿宋" w:eastAsia="仿宋"/>
                <w:color w:val="auto"/>
                <w:kern w:val="0"/>
                <w:sz w:val="28"/>
                <w:szCs w:val="28"/>
                <w:highlight w:val="none"/>
                <w:lang w:eastAsia="zh-CN"/>
              </w:rPr>
            </w:pPr>
            <w:r>
              <w:rPr>
                <w:rFonts w:hint="eastAsia" w:ascii="仿宋" w:hAnsi="仿宋" w:eastAsia="仿宋"/>
                <w:kern w:val="0"/>
                <w:sz w:val="28"/>
                <w:szCs w:val="28"/>
              </w:rPr>
              <w:t>服务标准：按照合同及采购需求进行验收</w:t>
            </w:r>
            <w:r>
              <w:rPr>
                <w:rFonts w:hint="eastAsia" w:ascii="仿宋" w:hAnsi="仿宋" w:eastAsia="仿宋"/>
                <w:kern w:val="0"/>
                <w:sz w:val="28"/>
                <w:szCs w:val="28"/>
                <w:lang w:eastAsia="zh-CN"/>
              </w:rPr>
              <w:t>。</w:t>
            </w:r>
          </w:p>
        </w:tc>
      </w:tr>
      <w:tr w14:paraId="17FA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460" w:type="dxa"/>
            <w:shd w:val="clear" w:color="auto" w:fill="auto"/>
            <w:vAlign w:val="top"/>
          </w:tcPr>
          <w:p w14:paraId="42CD8657">
            <w:pPr>
              <w:rPr>
                <w:rFonts w:hint="eastAsia"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lang w:val="en-US" w:eastAsia="zh-CN"/>
              </w:rPr>
              <w:t>第2包</w:t>
            </w:r>
          </w:p>
          <w:p w14:paraId="0691E034">
            <w:pPr>
              <w:rPr>
                <w:rFonts w:hint="eastAsia" w:ascii="仿宋" w:hAnsi="仿宋" w:eastAsia="仿宋"/>
                <w:kern w:val="0"/>
                <w:sz w:val="28"/>
                <w:szCs w:val="28"/>
              </w:rPr>
            </w:pPr>
            <w:r>
              <w:rPr>
                <w:rFonts w:hint="eastAsia" w:ascii="仿宋" w:hAnsi="仿宋" w:eastAsia="仿宋"/>
                <w:kern w:val="0"/>
                <w:sz w:val="28"/>
                <w:szCs w:val="28"/>
              </w:rPr>
              <w:t>名称：政务服务事项管理系统能力提升</w:t>
            </w:r>
          </w:p>
          <w:p w14:paraId="5387284D">
            <w:pPr>
              <w:rPr>
                <w:rFonts w:hint="eastAsia" w:ascii="仿宋" w:hAnsi="仿宋" w:eastAsia="仿宋"/>
                <w:kern w:val="0"/>
                <w:sz w:val="28"/>
                <w:szCs w:val="28"/>
                <w:lang w:eastAsia="zh-CN"/>
              </w:rPr>
            </w:pPr>
            <w:r>
              <w:rPr>
                <w:rFonts w:hint="eastAsia" w:ascii="仿宋" w:hAnsi="仿宋" w:eastAsia="仿宋"/>
                <w:kern w:val="0"/>
                <w:sz w:val="28"/>
                <w:szCs w:val="28"/>
              </w:rPr>
              <w:t>服务范围：根据国家和本市相关要求，进一步提升北京市政务服务事项管理系统能力建设，建设内容包括系统相关适配改造、历史数据迁移，确保系统能够在新环境下正常、稳定运行等</w:t>
            </w:r>
            <w:r>
              <w:rPr>
                <w:rFonts w:hint="eastAsia" w:ascii="仿宋" w:hAnsi="仿宋" w:eastAsia="仿宋"/>
                <w:kern w:val="0"/>
                <w:sz w:val="28"/>
                <w:szCs w:val="28"/>
                <w:lang w:eastAsia="zh-CN"/>
              </w:rPr>
              <w:t>。</w:t>
            </w:r>
          </w:p>
          <w:p w14:paraId="4D30CFC4">
            <w:pPr>
              <w:rPr>
                <w:rFonts w:hint="eastAsia" w:ascii="仿宋" w:hAnsi="仿宋" w:eastAsia="仿宋"/>
                <w:kern w:val="0"/>
                <w:sz w:val="28"/>
                <w:szCs w:val="28"/>
                <w:lang w:eastAsia="zh-CN"/>
              </w:rPr>
            </w:pPr>
            <w:r>
              <w:rPr>
                <w:rFonts w:hint="eastAsia" w:ascii="仿宋" w:hAnsi="仿宋" w:eastAsia="仿宋"/>
                <w:kern w:val="0"/>
                <w:sz w:val="28"/>
                <w:szCs w:val="28"/>
              </w:rPr>
              <w:t>服务要求：操作系统适配改造</w:t>
            </w:r>
            <w:r>
              <w:rPr>
                <w:rFonts w:hint="eastAsia" w:ascii="仿宋" w:hAnsi="仿宋" w:eastAsia="仿宋"/>
                <w:kern w:val="0"/>
                <w:sz w:val="28"/>
                <w:szCs w:val="28"/>
                <w:lang w:eastAsia="zh-CN"/>
              </w:rPr>
              <w:t>；</w:t>
            </w:r>
            <w:r>
              <w:rPr>
                <w:rFonts w:hint="eastAsia" w:ascii="仿宋" w:hAnsi="仿宋" w:eastAsia="仿宋"/>
                <w:kern w:val="0"/>
                <w:sz w:val="28"/>
                <w:szCs w:val="28"/>
              </w:rPr>
              <w:t>数据库适配改造</w:t>
            </w:r>
            <w:r>
              <w:rPr>
                <w:rFonts w:hint="eastAsia" w:ascii="仿宋" w:hAnsi="仿宋" w:eastAsia="仿宋"/>
                <w:kern w:val="0"/>
                <w:sz w:val="28"/>
                <w:szCs w:val="28"/>
                <w:lang w:eastAsia="zh-CN"/>
              </w:rPr>
              <w:t>；</w:t>
            </w:r>
            <w:r>
              <w:rPr>
                <w:rFonts w:hint="eastAsia" w:ascii="仿宋" w:hAnsi="仿宋" w:eastAsia="仿宋"/>
                <w:kern w:val="0"/>
                <w:sz w:val="28"/>
                <w:szCs w:val="28"/>
              </w:rPr>
              <w:t>浏览器页面适配改造</w:t>
            </w:r>
            <w:r>
              <w:rPr>
                <w:rFonts w:hint="eastAsia" w:ascii="仿宋" w:hAnsi="仿宋" w:eastAsia="仿宋"/>
                <w:kern w:val="0"/>
                <w:sz w:val="28"/>
                <w:szCs w:val="28"/>
                <w:lang w:eastAsia="zh-CN"/>
              </w:rPr>
              <w:t>；</w:t>
            </w:r>
            <w:r>
              <w:rPr>
                <w:rFonts w:hint="eastAsia" w:ascii="仿宋" w:hAnsi="仿宋" w:eastAsia="仿宋"/>
                <w:kern w:val="0"/>
                <w:sz w:val="28"/>
                <w:szCs w:val="28"/>
              </w:rPr>
              <w:t>数据对接适配改造</w:t>
            </w:r>
            <w:r>
              <w:rPr>
                <w:rFonts w:hint="eastAsia" w:ascii="仿宋" w:hAnsi="仿宋" w:eastAsia="仿宋"/>
                <w:kern w:val="0"/>
                <w:sz w:val="28"/>
                <w:szCs w:val="28"/>
                <w:lang w:eastAsia="zh-CN"/>
              </w:rPr>
              <w:t>；</w:t>
            </w:r>
            <w:r>
              <w:rPr>
                <w:rFonts w:hint="eastAsia" w:ascii="仿宋" w:hAnsi="仿宋" w:eastAsia="仿宋"/>
                <w:kern w:val="0"/>
                <w:sz w:val="28"/>
                <w:szCs w:val="28"/>
              </w:rPr>
              <w:t>接口对接适配改造</w:t>
            </w:r>
            <w:r>
              <w:rPr>
                <w:rFonts w:hint="eastAsia" w:ascii="仿宋" w:hAnsi="仿宋" w:eastAsia="仿宋"/>
                <w:kern w:val="0"/>
                <w:sz w:val="28"/>
                <w:szCs w:val="28"/>
                <w:lang w:eastAsia="zh-CN"/>
              </w:rPr>
              <w:t>；</w:t>
            </w:r>
            <w:r>
              <w:rPr>
                <w:rFonts w:hint="eastAsia" w:ascii="仿宋" w:hAnsi="仿宋" w:eastAsia="仿宋"/>
                <w:kern w:val="0"/>
                <w:sz w:val="28"/>
                <w:szCs w:val="28"/>
              </w:rPr>
              <w:t>性能优化适配改造</w:t>
            </w:r>
            <w:r>
              <w:rPr>
                <w:rFonts w:hint="eastAsia" w:ascii="仿宋" w:hAnsi="仿宋" w:eastAsia="仿宋"/>
                <w:kern w:val="0"/>
                <w:sz w:val="28"/>
                <w:szCs w:val="28"/>
                <w:lang w:val="en-US" w:eastAsia="zh-CN"/>
              </w:rPr>
              <w:t>等</w:t>
            </w:r>
            <w:r>
              <w:rPr>
                <w:rFonts w:hint="eastAsia" w:ascii="仿宋" w:hAnsi="仿宋" w:eastAsia="仿宋"/>
                <w:kern w:val="0"/>
                <w:sz w:val="28"/>
                <w:szCs w:val="28"/>
                <w:lang w:eastAsia="zh-CN"/>
              </w:rPr>
              <w:t>。</w:t>
            </w:r>
          </w:p>
          <w:p w14:paraId="43E3F698">
            <w:pPr>
              <w:rPr>
                <w:rFonts w:hint="eastAsia" w:ascii="仿宋" w:hAnsi="仿宋" w:eastAsia="仿宋"/>
                <w:kern w:val="0"/>
                <w:sz w:val="28"/>
                <w:szCs w:val="28"/>
                <w:lang w:eastAsia="zh-CN"/>
              </w:rPr>
            </w:pPr>
            <w:r>
              <w:rPr>
                <w:rFonts w:hint="eastAsia" w:ascii="仿宋" w:hAnsi="仿宋" w:eastAsia="仿宋"/>
                <w:kern w:val="0"/>
                <w:sz w:val="28"/>
                <w:szCs w:val="28"/>
              </w:rPr>
              <w:t>服务时间：合同生效后3个月内</w:t>
            </w:r>
            <w:r>
              <w:rPr>
                <w:rFonts w:hint="eastAsia" w:ascii="仿宋" w:hAnsi="仿宋" w:eastAsia="仿宋"/>
                <w:kern w:val="0"/>
                <w:sz w:val="28"/>
                <w:szCs w:val="28"/>
                <w:lang w:eastAsia="zh-CN"/>
              </w:rPr>
              <w:t>。</w:t>
            </w:r>
          </w:p>
          <w:p w14:paraId="051B13DC">
            <w:pPr>
              <w:rPr>
                <w:rFonts w:hint="eastAsia" w:ascii="仿宋" w:hAnsi="仿宋" w:eastAsia="仿宋" w:cs="Times New Roman"/>
                <w:kern w:val="0"/>
                <w:sz w:val="28"/>
                <w:szCs w:val="28"/>
                <w:lang w:val="en-US" w:eastAsia="zh-CN" w:bidi="ar-SA"/>
              </w:rPr>
            </w:pPr>
            <w:r>
              <w:rPr>
                <w:rFonts w:hint="eastAsia" w:ascii="仿宋" w:hAnsi="仿宋" w:eastAsia="仿宋"/>
                <w:kern w:val="0"/>
                <w:sz w:val="28"/>
                <w:szCs w:val="28"/>
              </w:rPr>
              <w:t>服务标准：按照合同及采购需求进行验收</w:t>
            </w:r>
            <w:r>
              <w:rPr>
                <w:rFonts w:hint="eastAsia" w:ascii="仿宋" w:hAnsi="仿宋" w:eastAsia="仿宋"/>
                <w:kern w:val="0"/>
                <w:sz w:val="28"/>
                <w:szCs w:val="28"/>
                <w:lang w:eastAsia="zh-CN"/>
              </w:rPr>
              <w:t>。</w:t>
            </w:r>
          </w:p>
        </w:tc>
      </w:tr>
      <w:tr w14:paraId="1092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460" w:type="dxa"/>
            <w:shd w:val="clear" w:color="auto" w:fill="auto"/>
            <w:vAlign w:val="top"/>
          </w:tcPr>
          <w:p w14:paraId="77253A84">
            <w:pPr>
              <w:rPr>
                <w:rFonts w:hint="eastAsia"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lang w:val="en-US" w:eastAsia="zh-CN"/>
              </w:rPr>
              <w:t>第3包</w:t>
            </w:r>
          </w:p>
          <w:p w14:paraId="0703DE65">
            <w:pPr>
              <w:rPr>
                <w:rFonts w:hint="eastAsia" w:ascii="仿宋" w:hAnsi="仿宋" w:eastAsia="仿宋"/>
                <w:kern w:val="0"/>
                <w:sz w:val="28"/>
                <w:szCs w:val="28"/>
              </w:rPr>
            </w:pPr>
            <w:r>
              <w:rPr>
                <w:rFonts w:hint="eastAsia" w:ascii="仿宋" w:hAnsi="仿宋" w:eastAsia="仿宋"/>
                <w:kern w:val="0"/>
                <w:sz w:val="28"/>
                <w:szCs w:val="28"/>
              </w:rPr>
              <w:t>名称：中介服务网上交易平台能力提升</w:t>
            </w:r>
          </w:p>
          <w:p w14:paraId="1103FBCE">
            <w:pPr>
              <w:rPr>
                <w:rFonts w:hint="eastAsia" w:ascii="仿宋" w:hAnsi="仿宋" w:eastAsia="仿宋"/>
                <w:kern w:val="0"/>
                <w:sz w:val="28"/>
                <w:szCs w:val="28"/>
                <w:lang w:eastAsia="zh-CN"/>
              </w:rPr>
            </w:pPr>
            <w:r>
              <w:rPr>
                <w:rFonts w:hint="eastAsia" w:ascii="仿宋" w:hAnsi="仿宋" w:eastAsia="仿宋"/>
                <w:kern w:val="0"/>
                <w:sz w:val="28"/>
                <w:szCs w:val="28"/>
              </w:rPr>
              <w:t>服务范围：根据国家和本市相关要求，进一步提升中介服务平台能力建设，建设内容包括系统相关适配改造、历史数据迁移改造，确保系统能够在新环境下正常、稳定运行；进行交易引擎子系统重构，支撑直接选取方式、随机选取方式、网络竞价方式、比选等多种交易方式等</w:t>
            </w:r>
            <w:r>
              <w:rPr>
                <w:rFonts w:hint="eastAsia" w:ascii="仿宋" w:hAnsi="仿宋" w:eastAsia="仿宋"/>
                <w:kern w:val="0"/>
                <w:sz w:val="28"/>
                <w:szCs w:val="28"/>
                <w:lang w:eastAsia="zh-CN"/>
              </w:rPr>
              <w:t>。</w:t>
            </w:r>
          </w:p>
          <w:p w14:paraId="42528715">
            <w:pPr>
              <w:rPr>
                <w:rFonts w:hint="eastAsia" w:ascii="仿宋" w:hAnsi="仿宋" w:eastAsia="仿宋"/>
                <w:kern w:val="0"/>
                <w:sz w:val="28"/>
                <w:szCs w:val="28"/>
                <w:lang w:eastAsia="zh-CN"/>
              </w:rPr>
            </w:pPr>
            <w:r>
              <w:rPr>
                <w:rFonts w:hint="eastAsia" w:ascii="仿宋" w:hAnsi="仿宋" w:eastAsia="仿宋"/>
                <w:kern w:val="0"/>
                <w:sz w:val="28"/>
                <w:szCs w:val="28"/>
              </w:rPr>
              <w:t>服务要求：系统适配改造</w:t>
            </w:r>
            <w:r>
              <w:rPr>
                <w:rFonts w:hint="eastAsia" w:ascii="仿宋" w:hAnsi="仿宋" w:eastAsia="仿宋"/>
                <w:kern w:val="0"/>
                <w:sz w:val="28"/>
                <w:szCs w:val="28"/>
                <w:lang w:eastAsia="zh-CN"/>
              </w:rPr>
              <w:t>：</w:t>
            </w:r>
            <w:r>
              <w:rPr>
                <w:rFonts w:hint="eastAsia" w:ascii="仿宋" w:hAnsi="仿宋" w:eastAsia="仿宋"/>
                <w:kern w:val="0"/>
                <w:sz w:val="28"/>
                <w:szCs w:val="28"/>
              </w:rPr>
              <w:t>应用软件适配改造</w:t>
            </w:r>
            <w:r>
              <w:rPr>
                <w:rFonts w:hint="eastAsia" w:ascii="仿宋" w:hAnsi="仿宋" w:eastAsia="仿宋"/>
                <w:kern w:val="0"/>
                <w:sz w:val="28"/>
                <w:szCs w:val="28"/>
                <w:lang w:eastAsia="zh-CN"/>
              </w:rPr>
              <w:t>；</w:t>
            </w:r>
            <w:r>
              <w:rPr>
                <w:rFonts w:hint="eastAsia" w:ascii="仿宋" w:hAnsi="仿宋" w:eastAsia="仿宋"/>
                <w:kern w:val="0"/>
                <w:sz w:val="28"/>
                <w:szCs w:val="28"/>
              </w:rPr>
              <w:t>数据库适配改造</w:t>
            </w:r>
            <w:r>
              <w:rPr>
                <w:rFonts w:hint="eastAsia" w:ascii="仿宋" w:hAnsi="仿宋" w:eastAsia="仿宋"/>
                <w:kern w:val="0"/>
                <w:sz w:val="28"/>
                <w:szCs w:val="28"/>
                <w:lang w:eastAsia="zh-CN"/>
              </w:rPr>
              <w:t>；</w:t>
            </w:r>
            <w:r>
              <w:rPr>
                <w:rFonts w:hint="eastAsia" w:ascii="仿宋" w:hAnsi="仿宋" w:eastAsia="仿宋"/>
                <w:kern w:val="0"/>
                <w:sz w:val="28"/>
                <w:szCs w:val="28"/>
              </w:rPr>
              <w:t>浏览器页面适配改造</w:t>
            </w:r>
            <w:r>
              <w:rPr>
                <w:rFonts w:hint="eastAsia" w:ascii="仿宋" w:hAnsi="仿宋" w:eastAsia="仿宋"/>
                <w:kern w:val="0"/>
                <w:sz w:val="28"/>
                <w:szCs w:val="28"/>
                <w:lang w:eastAsia="zh-CN"/>
              </w:rPr>
              <w:t>；</w:t>
            </w:r>
            <w:r>
              <w:rPr>
                <w:rFonts w:hint="eastAsia" w:ascii="仿宋" w:hAnsi="仿宋" w:eastAsia="仿宋"/>
                <w:kern w:val="0"/>
                <w:sz w:val="28"/>
                <w:szCs w:val="28"/>
              </w:rPr>
              <w:t>接口对接适配改造</w:t>
            </w:r>
            <w:r>
              <w:rPr>
                <w:rFonts w:hint="eastAsia" w:ascii="仿宋" w:hAnsi="仿宋" w:eastAsia="仿宋"/>
                <w:kern w:val="0"/>
                <w:sz w:val="28"/>
                <w:szCs w:val="28"/>
                <w:lang w:eastAsia="zh-CN"/>
              </w:rPr>
              <w:t>。</w:t>
            </w:r>
            <w:r>
              <w:rPr>
                <w:rFonts w:hint="eastAsia" w:ascii="仿宋" w:hAnsi="仿宋" w:eastAsia="仿宋"/>
                <w:kern w:val="0"/>
                <w:sz w:val="28"/>
                <w:szCs w:val="28"/>
              </w:rPr>
              <w:t>交易引擎子系统重构</w:t>
            </w:r>
            <w:r>
              <w:rPr>
                <w:rFonts w:hint="eastAsia" w:ascii="仿宋" w:hAnsi="仿宋" w:eastAsia="仿宋"/>
                <w:kern w:val="0"/>
                <w:sz w:val="28"/>
                <w:szCs w:val="28"/>
                <w:lang w:eastAsia="zh-CN"/>
              </w:rPr>
              <w:t>；</w:t>
            </w:r>
            <w:r>
              <w:rPr>
                <w:rFonts w:hint="eastAsia" w:ascii="仿宋" w:hAnsi="仿宋" w:eastAsia="仿宋"/>
                <w:kern w:val="0"/>
                <w:sz w:val="28"/>
                <w:szCs w:val="28"/>
              </w:rPr>
              <w:t>数据迁移</w:t>
            </w:r>
            <w:r>
              <w:rPr>
                <w:rFonts w:hint="eastAsia" w:ascii="仿宋" w:hAnsi="仿宋" w:eastAsia="仿宋"/>
                <w:kern w:val="0"/>
                <w:sz w:val="28"/>
                <w:szCs w:val="28"/>
                <w:lang w:eastAsia="zh-CN"/>
              </w:rPr>
              <w:t>；</w:t>
            </w:r>
            <w:r>
              <w:rPr>
                <w:rFonts w:hint="eastAsia" w:ascii="仿宋" w:hAnsi="仿宋" w:eastAsia="仿宋"/>
                <w:kern w:val="0"/>
                <w:sz w:val="28"/>
                <w:szCs w:val="28"/>
              </w:rPr>
              <w:t>系统集成适配改造</w:t>
            </w:r>
            <w:r>
              <w:rPr>
                <w:rFonts w:hint="eastAsia" w:ascii="仿宋" w:hAnsi="仿宋" w:eastAsia="仿宋"/>
                <w:kern w:val="0"/>
                <w:sz w:val="28"/>
                <w:szCs w:val="28"/>
                <w:lang w:val="en-US" w:eastAsia="zh-CN"/>
              </w:rPr>
              <w:t>等</w:t>
            </w:r>
            <w:r>
              <w:rPr>
                <w:rFonts w:hint="eastAsia" w:ascii="仿宋" w:hAnsi="仿宋" w:eastAsia="仿宋"/>
                <w:kern w:val="0"/>
                <w:sz w:val="28"/>
                <w:szCs w:val="28"/>
                <w:lang w:eastAsia="zh-CN"/>
              </w:rPr>
              <w:t>。</w:t>
            </w:r>
          </w:p>
          <w:p w14:paraId="3FBB702D">
            <w:pPr>
              <w:rPr>
                <w:rFonts w:hint="eastAsia" w:ascii="仿宋" w:hAnsi="仿宋" w:eastAsia="仿宋"/>
                <w:kern w:val="0"/>
                <w:sz w:val="28"/>
                <w:szCs w:val="28"/>
                <w:lang w:eastAsia="zh-CN"/>
              </w:rPr>
            </w:pPr>
            <w:r>
              <w:rPr>
                <w:rFonts w:hint="eastAsia" w:ascii="仿宋" w:hAnsi="仿宋" w:eastAsia="仿宋"/>
                <w:kern w:val="0"/>
                <w:sz w:val="28"/>
                <w:szCs w:val="28"/>
              </w:rPr>
              <w:t>服务时间：合同生效后3个月内</w:t>
            </w:r>
            <w:r>
              <w:rPr>
                <w:rFonts w:hint="eastAsia" w:ascii="仿宋" w:hAnsi="仿宋" w:eastAsia="仿宋"/>
                <w:kern w:val="0"/>
                <w:sz w:val="28"/>
                <w:szCs w:val="28"/>
                <w:lang w:eastAsia="zh-CN"/>
              </w:rPr>
              <w:t>。</w:t>
            </w:r>
          </w:p>
          <w:p w14:paraId="4B9B5F2F">
            <w:pPr>
              <w:rPr>
                <w:rFonts w:hint="eastAsia" w:ascii="仿宋" w:hAnsi="仿宋" w:eastAsia="仿宋" w:cs="Times New Roman"/>
                <w:kern w:val="0"/>
                <w:sz w:val="28"/>
                <w:szCs w:val="28"/>
                <w:lang w:val="en-US" w:eastAsia="zh-CN" w:bidi="ar-SA"/>
              </w:rPr>
            </w:pPr>
            <w:r>
              <w:rPr>
                <w:rFonts w:hint="eastAsia" w:ascii="仿宋" w:hAnsi="仿宋" w:eastAsia="仿宋"/>
                <w:kern w:val="0"/>
                <w:sz w:val="28"/>
                <w:szCs w:val="28"/>
              </w:rPr>
              <w:t>服务标准：按照合同及采购需求进行验收</w:t>
            </w:r>
            <w:r>
              <w:rPr>
                <w:rFonts w:hint="eastAsia" w:ascii="仿宋" w:hAnsi="仿宋" w:eastAsia="仿宋"/>
                <w:kern w:val="0"/>
                <w:sz w:val="28"/>
                <w:szCs w:val="28"/>
                <w:lang w:eastAsia="zh-CN"/>
              </w:rPr>
              <w:t>。</w:t>
            </w:r>
          </w:p>
        </w:tc>
      </w:tr>
      <w:tr w14:paraId="4639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460" w:type="dxa"/>
            <w:shd w:val="clear" w:color="auto" w:fill="auto"/>
            <w:vAlign w:val="top"/>
          </w:tcPr>
          <w:p w14:paraId="1ACAE857">
            <w:pPr>
              <w:rPr>
                <w:rFonts w:hint="eastAsia"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lang w:val="en-US" w:eastAsia="zh-CN"/>
              </w:rPr>
              <w:t>第4包</w:t>
            </w:r>
          </w:p>
          <w:p w14:paraId="71931209">
            <w:pPr>
              <w:rPr>
                <w:rFonts w:hint="eastAsia" w:ascii="仿宋" w:hAnsi="仿宋" w:eastAsia="仿宋"/>
                <w:kern w:val="0"/>
                <w:sz w:val="28"/>
                <w:szCs w:val="28"/>
              </w:rPr>
            </w:pPr>
            <w:r>
              <w:rPr>
                <w:rFonts w:hint="eastAsia" w:ascii="仿宋" w:hAnsi="仿宋" w:eastAsia="仿宋"/>
                <w:kern w:val="0"/>
                <w:sz w:val="28"/>
                <w:szCs w:val="28"/>
              </w:rPr>
              <w:t>名称：测评</w:t>
            </w:r>
          </w:p>
          <w:p w14:paraId="2CD827C9">
            <w:pPr>
              <w:rPr>
                <w:rFonts w:hint="eastAsia" w:ascii="仿宋" w:hAnsi="仿宋" w:eastAsia="仿宋"/>
                <w:kern w:val="0"/>
                <w:sz w:val="28"/>
                <w:szCs w:val="28"/>
                <w:lang w:eastAsia="zh-CN"/>
              </w:rPr>
            </w:pPr>
            <w:r>
              <w:rPr>
                <w:rFonts w:hint="eastAsia" w:ascii="仿宋" w:hAnsi="仿宋" w:eastAsia="仿宋"/>
                <w:kern w:val="0"/>
                <w:sz w:val="28"/>
                <w:szCs w:val="28"/>
              </w:rPr>
              <w:t>服务范围：本项目实施部署所依托的基础软硬件环境全部符合能力提升要求，其中，服务器由采购人向北京市政务云申请使用，操作系统、数据库由采购人进行统一采购并完成基础环境实施部署等</w:t>
            </w:r>
            <w:r>
              <w:rPr>
                <w:rFonts w:hint="eastAsia" w:ascii="仿宋" w:hAnsi="仿宋" w:eastAsia="仿宋"/>
                <w:kern w:val="0"/>
                <w:sz w:val="28"/>
                <w:szCs w:val="28"/>
                <w:lang w:eastAsia="zh-CN"/>
              </w:rPr>
              <w:t>。</w:t>
            </w:r>
          </w:p>
          <w:p w14:paraId="2A8C331A">
            <w:pPr>
              <w:rPr>
                <w:rFonts w:hint="eastAsia" w:ascii="仿宋" w:hAnsi="仿宋" w:eastAsia="仿宋"/>
                <w:kern w:val="0"/>
                <w:sz w:val="28"/>
                <w:szCs w:val="28"/>
              </w:rPr>
            </w:pPr>
            <w:r>
              <w:rPr>
                <w:rFonts w:hint="eastAsia" w:ascii="仿宋" w:hAnsi="仿宋" w:eastAsia="仿宋"/>
                <w:kern w:val="0"/>
                <w:sz w:val="28"/>
                <w:szCs w:val="28"/>
              </w:rPr>
              <w:t>服务要求：本次测评服务针对北京市数字服务平台、中介服务网上交易平台和政务服务事项管理系统三套政务信息系统实行分系统、分类型差异化测评，涵盖网络安全等级保护测评、商用密码应用安全性评估、软件测试三大核心服务。</w:t>
            </w:r>
            <w:bookmarkStart w:id="2" w:name="_GoBack"/>
            <w:bookmarkEnd w:id="2"/>
          </w:p>
          <w:p w14:paraId="0F9929A2">
            <w:pPr>
              <w:rPr>
                <w:rFonts w:hint="eastAsia" w:ascii="仿宋" w:hAnsi="仿宋" w:eastAsia="仿宋"/>
                <w:kern w:val="0"/>
                <w:sz w:val="28"/>
                <w:szCs w:val="28"/>
                <w:lang w:eastAsia="zh-CN"/>
              </w:rPr>
            </w:pPr>
            <w:r>
              <w:rPr>
                <w:rFonts w:hint="eastAsia" w:ascii="仿宋" w:hAnsi="仿宋" w:eastAsia="仿宋"/>
                <w:kern w:val="0"/>
                <w:sz w:val="28"/>
                <w:szCs w:val="28"/>
              </w:rPr>
              <w:t>服务时间：自合同签订生效之日起至完成全部测试服务内容</w:t>
            </w:r>
            <w:r>
              <w:rPr>
                <w:rFonts w:hint="eastAsia" w:ascii="仿宋" w:hAnsi="仿宋" w:eastAsia="仿宋"/>
                <w:kern w:val="0"/>
                <w:sz w:val="28"/>
                <w:szCs w:val="28"/>
                <w:lang w:eastAsia="zh-CN"/>
              </w:rPr>
              <w:t>。</w:t>
            </w:r>
          </w:p>
          <w:p w14:paraId="232EEB32">
            <w:pPr>
              <w:rPr>
                <w:rFonts w:hint="eastAsia" w:ascii="仿宋" w:hAnsi="仿宋" w:eastAsia="仿宋" w:cs="Times New Roman"/>
                <w:kern w:val="0"/>
                <w:sz w:val="28"/>
                <w:szCs w:val="28"/>
                <w:lang w:val="en-US" w:eastAsia="zh-CN" w:bidi="ar-SA"/>
              </w:rPr>
            </w:pPr>
            <w:r>
              <w:rPr>
                <w:rFonts w:hint="eastAsia" w:ascii="仿宋" w:hAnsi="仿宋" w:eastAsia="仿宋"/>
                <w:kern w:val="0"/>
                <w:sz w:val="28"/>
                <w:szCs w:val="28"/>
              </w:rPr>
              <w:t>服务标准：按照合同及采购需求进行验收</w:t>
            </w:r>
            <w:r>
              <w:rPr>
                <w:rFonts w:hint="eastAsia" w:ascii="仿宋" w:hAnsi="仿宋" w:eastAsia="仿宋"/>
                <w:kern w:val="0"/>
                <w:sz w:val="28"/>
                <w:szCs w:val="28"/>
                <w:lang w:eastAsia="zh-CN"/>
              </w:rPr>
              <w:t>。</w:t>
            </w:r>
          </w:p>
        </w:tc>
      </w:tr>
      <w:tr w14:paraId="5879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460" w:type="dxa"/>
            <w:vAlign w:val="top"/>
          </w:tcPr>
          <w:p w14:paraId="5A8E9A5C">
            <w:pPr>
              <w:rPr>
                <w:rFonts w:hint="eastAsia"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lang w:val="en-US" w:eastAsia="zh-CN"/>
              </w:rPr>
              <w:t>第5包</w:t>
            </w:r>
          </w:p>
          <w:p w14:paraId="5A51589C">
            <w:pPr>
              <w:rPr>
                <w:rFonts w:hint="eastAsia" w:ascii="仿宋" w:hAnsi="仿宋" w:eastAsia="仿宋"/>
                <w:kern w:val="0"/>
                <w:sz w:val="28"/>
                <w:szCs w:val="28"/>
              </w:rPr>
            </w:pPr>
            <w:r>
              <w:rPr>
                <w:rFonts w:hint="eastAsia" w:ascii="仿宋" w:hAnsi="仿宋" w:eastAsia="仿宋"/>
                <w:kern w:val="0"/>
                <w:sz w:val="28"/>
                <w:szCs w:val="28"/>
              </w:rPr>
              <w:t>名称：监理</w:t>
            </w:r>
          </w:p>
          <w:p w14:paraId="4CE6F9A4">
            <w:pPr>
              <w:rPr>
                <w:rFonts w:hint="eastAsia" w:ascii="仿宋" w:hAnsi="仿宋" w:eastAsia="仿宋"/>
                <w:kern w:val="0"/>
                <w:sz w:val="28"/>
                <w:szCs w:val="28"/>
                <w:lang w:eastAsia="zh-CN"/>
              </w:rPr>
            </w:pPr>
            <w:r>
              <w:rPr>
                <w:rFonts w:hint="eastAsia" w:ascii="仿宋" w:hAnsi="仿宋" w:eastAsia="仿宋"/>
                <w:kern w:val="0"/>
                <w:sz w:val="28"/>
                <w:szCs w:val="28"/>
              </w:rPr>
              <w:t>服务范围：供应商要对项目实施全过程进行监理，全方位地开展监理工作，要提出重点难点问题分析及解决方案。按照相关国家标准，监理工作内容包括咨询、质量控制、进度控制、投资控制、合同管理、信息管理和组织协调等</w:t>
            </w:r>
            <w:r>
              <w:rPr>
                <w:rFonts w:hint="eastAsia" w:ascii="仿宋" w:hAnsi="仿宋" w:eastAsia="仿宋"/>
                <w:kern w:val="0"/>
                <w:sz w:val="28"/>
                <w:szCs w:val="28"/>
                <w:lang w:eastAsia="zh-CN"/>
              </w:rPr>
              <w:t>。</w:t>
            </w:r>
          </w:p>
          <w:p w14:paraId="3AB04044">
            <w:pPr>
              <w:rPr>
                <w:rFonts w:hint="eastAsia" w:ascii="仿宋" w:hAnsi="仿宋" w:eastAsia="仿宋"/>
                <w:kern w:val="0"/>
                <w:sz w:val="28"/>
                <w:szCs w:val="28"/>
                <w:lang w:eastAsia="zh-CN"/>
              </w:rPr>
            </w:pPr>
            <w:r>
              <w:rPr>
                <w:rFonts w:hint="eastAsia" w:ascii="仿宋" w:hAnsi="仿宋" w:eastAsia="仿宋"/>
                <w:kern w:val="0"/>
                <w:sz w:val="28"/>
                <w:szCs w:val="28"/>
              </w:rPr>
              <w:t>服务要求：项目实施要求监理单位按照建设目标和要求，遵循国家的标准和规范，依据项目实施合同和用户需求，采用先进、科学、合理的适合本项目特点的管理技巧和手段，最大限度地控制和化解项目实施中出现的问题和风险，对项目的各个层面进行全方位的管理、控制和协调。对业务系统实施的质量、进度、成本和信息安全等进行全面控制。对项目实施合同的执行、项目实施文件资料等进行管理，从而使本项目“按期、保质、高效、节约”地完成</w:t>
            </w:r>
            <w:r>
              <w:rPr>
                <w:rFonts w:hint="eastAsia" w:ascii="仿宋" w:hAnsi="仿宋" w:eastAsia="仿宋"/>
                <w:kern w:val="0"/>
                <w:sz w:val="28"/>
                <w:szCs w:val="28"/>
                <w:lang w:eastAsia="zh-CN"/>
              </w:rPr>
              <w:t>。</w:t>
            </w:r>
          </w:p>
          <w:p w14:paraId="13930CA8">
            <w:pPr>
              <w:rPr>
                <w:rFonts w:hint="eastAsia" w:ascii="仿宋" w:hAnsi="仿宋" w:eastAsia="仿宋"/>
                <w:kern w:val="0"/>
                <w:sz w:val="28"/>
                <w:szCs w:val="28"/>
                <w:lang w:eastAsia="zh-CN"/>
              </w:rPr>
            </w:pPr>
            <w:r>
              <w:rPr>
                <w:rFonts w:hint="eastAsia" w:ascii="仿宋" w:hAnsi="仿宋" w:eastAsia="仿宋"/>
                <w:kern w:val="0"/>
                <w:sz w:val="28"/>
                <w:szCs w:val="28"/>
              </w:rPr>
              <w:t>服务时间：自合同生效之日起至合同项下所有监理服务完成之日止</w:t>
            </w:r>
            <w:r>
              <w:rPr>
                <w:rFonts w:hint="eastAsia" w:ascii="仿宋" w:hAnsi="仿宋" w:eastAsia="仿宋"/>
                <w:kern w:val="0"/>
                <w:sz w:val="28"/>
                <w:szCs w:val="28"/>
                <w:lang w:eastAsia="zh-CN"/>
              </w:rPr>
              <w:t>。</w:t>
            </w:r>
          </w:p>
          <w:p w14:paraId="05ABA6CF">
            <w:pPr>
              <w:rPr>
                <w:rFonts w:hint="eastAsia" w:ascii="仿宋" w:hAnsi="仿宋" w:eastAsia="仿宋"/>
                <w:kern w:val="0"/>
                <w:sz w:val="28"/>
                <w:szCs w:val="28"/>
              </w:rPr>
            </w:pPr>
            <w:r>
              <w:rPr>
                <w:rFonts w:hint="eastAsia" w:ascii="仿宋" w:hAnsi="仿宋" w:eastAsia="仿宋"/>
                <w:kern w:val="0"/>
                <w:sz w:val="28"/>
                <w:szCs w:val="28"/>
              </w:rPr>
              <w:t>服务标准：按照合同及采购需求进行验收</w:t>
            </w:r>
            <w:r>
              <w:rPr>
                <w:rFonts w:hint="eastAsia" w:ascii="仿宋" w:hAnsi="仿宋" w:eastAsia="仿宋"/>
                <w:kern w:val="0"/>
                <w:sz w:val="28"/>
                <w:szCs w:val="28"/>
                <w:lang w:eastAsia="zh-CN"/>
              </w:rPr>
              <w:t>。</w:t>
            </w:r>
          </w:p>
        </w:tc>
      </w:tr>
    </w:tbl>
    <w:p w14:paraId="14E8DBC1">
      <w:pPr>
        <w:numPr>
          <w:ilvl w:val="0"/>
          <w:numId w:val="2"/>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评审专家名单：</w:t>
      </w:r>
    </w:p>
    <w:p w14:paraId="18E9BD9A">
      <w:pPr>
        <w:ind w:firstLine="560" w:firstLineChars="20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康宁、阳美兰、宋秀明、袁晓亮、都基宁、潘智勇、简宇豪</w:t>
      </w:r>
    </w:p>
    <w:p w14:paraId="67FB38F2">
      <w:pPr>
        <w:numPr>
          <w:ilvl w:val="0"/>
          <w:numId w:val="2"/>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代理服务收费标准及金额：</w:t>
      </w:r>
    </w:p>
    <w:p w14:paraId="2523D089">
      <w:pPr>
        <w:ind w:firstLine="560" w:firstLineChars="200"/>
        <w:rPr>
          <w:rFonts w:hint="default" w:ascii="仿宋" w:hAnsi="仿宋" w:eastAsia="仿宋" w:cs="Times New Roman"/>
          <w:color w:val="auto"/>
          <w:kern w:val="0"/>
          <w:sz w:val="28"/>
          <w:szCs w:val="28"/>
          <w:highlight w:val="none"/>
          <w:lang w:val="en-US" w:eastAsia="zh-CN"/>
        </w:rPr>
      </w:pPr>
      <w:r>
        <w:rPr>
          <w:rFonts w:hint="eastAsia" w:ascii="仿宋" w:hAnsi="仿宋" w:eastAsia="仿宋" w:cs="Times New Roman"/>
          <w:color w:val="auto"/>
          <w:kern w:val="0"/>
          <w:sz w:val="28"/>
          <w:szCs w:val="28"/>
          <w:highlight w:val="none"/>
          <w:lang w:val="en-US" w:eastAsia="zh-CN"/>
        </w:rPr>
        <w:t>采购代理机构采用差额累进方式计算服务费，具体收费标准详见其它补充事宜。本项目代理服务费总金额为：</w:t>
      </w:r>
      <w:r>
        <w:rPr>
          <w:rFonts w:hint="eastAsia" w:ascii="仿宋" w:hAnsi="仿宋" w:eastAsia="仿宋"/>
          <w:color w:val="auto"/>
          <w:kern w:val="0"/>
          <w:sz w:val="28"/>
          <w:szCs w:val="28"/>
          <w:highlight w:val="none"/>
          <w:lang w:val="en-US" w:eastAsia="zh-CN"/>
        </w:rPr>
        <w:t>9.91968</w:t>
      </w:r>
      <w:r>
        <w:rPr>
          <w:rFonts w:hint="eastAsia" w:ascii="仿宋" w:hAnsi="仿宋" w:eastAsia="仿宋" w:cs="Times New Roman"/>
          <w:color w:val="auto"/>
          <w:kern w:val="0"/>
          <w:sz w:val="28"/>
          <w:szCs w:val="28"/>
          <w:highlight w:val="none"/>
          <w:lang w:val="en-US" w:eastAsia="zh-CN"/>
        </w:rPr>
        <w:t>万元，其中第1包代理服务费金额为：5.62088万元、第2包代理服务费金额为：</w:t>
      </w:r>
      <w:r>
        <w:rPr>
          <w:rFonts w:hint="eastAsia" w:ascii="仿宋" w:hAnsi="仿宋" w:eastAsia="仿宋"/>
          <w:color w:val="auto"/>
          <w:kern w:val="0"/>
          <w:sz w:val="28"/>
          <w:szCs w:val="28"/>
          <w:highlight w:val="none"/>
          <w:lang w:val="en-US" w:eastAsia="zh-CN"/>
        </w:rPr>
        <w:t>1.7784</w:t>
      </w:r>
      <w:r>
        <w:rPr>
          <w:rFonts w:hint="eastAsia" w:ascii="仿宋" w:hAnsi="仿宋" w:eastAsia="仿宋" w:cs="Times New Roman"/>
          <w:color w:val="auto"/>
          <w:kern w:val="0"/>
          <w:sz w:val="28"/>
          <w:szCs w:val="28"/>
          <w:highlight w:val="none"/>
          <w:lang w:val="en-US" w:eastAsia="zh-CN"/>
        </w:rPr>
        <w:t>万元、第3包代理服务费金额为：</w:t>
      </w:r>
      <w:r>
        <w:rPr>
          <w:rFonts w:hint="eastAsia" w:ascii="仿宋" w:hAnsi="仿宋" w:eastAsia="仿宋"/>
          <w:color w:val="auto"/>
          <w:kern w:val="0"/>
          <w:sz w:val="28"/>
          <w:szCs w:val="28"/>
          <w:highlight w:val="none"/>
          <w:lang w:val="en-US" w:eastAsia="zh-CN"/>
        </w:rPr>
        <w:t>1.5064</w:t>
      </w:r>
      <w:r>
        <w:rPr>
          <w:rFonts w:hint="eastAsia" w:ascii="仿宋" w:hAnsi="仿宋" w:eastAsia="仿宋" w:cs="Times New Roman"/>
          <w:color w:val="auto"/>
          <w:kern w:val="0"/>
          <w:sz w:val="28"/>
          <w:szCs w:val="28"/>
          <w:highlight w:val="none"/>
          <w:lang w:val="en-US" w:eastAsia="zh-CN"/>
        </w:rPr>
        <w:t>万元、第4包代理服务费金额为：</w:t>
      </w:r>
      <w:r>
        <w:rPr>
          <w:rFonts w:hint="eastAsia" w:ascii="仿宋" w:hAnsi="仿宋" w:eastAsia="仿宋"/>
          <w:color w:val="auto"/>
          <w:kern w:val="0"/>
          <w:sz w:val="28"/>
          <w:szCs w:val="28"/>
          <w:highlight w:val="none"/>
          <w:lang w:val="en-US" w:eastAsia="zh-CN"/>
        </w:rPr>
        <w:t>0.702</w:t>
      </w:r>
      <w:r>
        <w:rPr>
          <w:rFonts w:hint="eastAsia" w:ascii="仿宋" w:hAnsi="仿宋" w:eastAsia="仿宋" w:cs="Times New Roman"/>
          <w:color w:val="auto"/>
          <w:kern w:val="0"/>
          <w:sz w:val="28"/>
          <w:szCs w:val="28"/>
          <w:highlight w:val="none"/>
          <w:lang w:val="en-US" w:eastAsia="zh-CN"/>
        </w:rPr>
        <w:t>万元、第5包代理服务费金额为：</w:t>
      </w:r>
      <w:r>
        <w:rPr>
          <w:rFonts w:hint="eastAsia" w:ascii="仿宋" w:hAnsi="仿宋" w:eastAsia="仿宋"/>
          <w:color w:val="auto"/>
          <w:kern w:val="0"/>
          <w:sz w:val="28"/>
          <w:szCs w:val="28"/>
          <w:highlight w:val="none"/>
          <w:lang w:val="en-US" w:eastAsia="zh-CN"/>
        </w:rPr>
        <w:t>0.312</w:t>
      </w:r>
      <w:r>
        <w:rPr>
          <w:rFonts w:hint="eastAsia" w:ascii="仿宋" w:hAnsi="仿宋" w:eastAsia="仿宋" w:cs="Times New Roman"/>
          <w:color w:val="auto"/>
          <w:kern w:val="0"/>
          <w:sz w:val="28"/>
          <w:szCs w:val="28"/>
          <w:highlight w:val="none"/>
          <w:lang w:val="en-US" w:eastAsia="zh-CN"/>
        </w:rPr>
        <w:t>万元。</w:t>
      </w:r>
    </w:p>
    <w:p w14:paraId="48111638">
      <w:pPr>
        <w:rPr>
          <w:rFonts w:ascii="黑体" w:hAnsi="黑体" w:eastAsia="黑体"/>
          <w:color w:val="auto"/>
          <w:sz w:val="28"/>
          <w:szCs w:val="28"/>
          <w:highlight w:val="none"/>
        </w:rPr>
      </w:pPr>
      <w:r>
        <w:rPr>
          <w:rFonts w:hint="eastAsia" w:ascii="黑体" w:hAnsi="黑体" w:eastAsia="黑体"/>
          <w:color w:val="auto"/>
          <w:sz w:val="28"/>
          <w:szCs w:val="28"/>
          <w:highlight w:val="none"/>
        </w:rPr>
        <w:t>七、公告期限</w:t>
      </w:r>
    </w:p>
    <w:p w14:paraId="1690D28B">
      <w:pPr>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w:t>
      </w:r>
      <w:r>
        <w:rPr>
          <w:rFonts w:ascii="仿宋" w:hAnsi="仿宋" w:eastAsia="仿宋" w:cs="宋体"/>
          <w:color w:val="auto"/>
          <w:kern w:val="0"/>
          <w:sz w:val="28"/>
          <w:szCs w:val="28"/>
          <w:highlight w:val="none"/>
        </w:rPr>
        <w:t>1</w:t>
      </w:r>
      <w:r>
        <w:rPr>
          <w:rFonts w:hint="eastAsia" w:ascii="仿宋" w:hAnsi="仿宋" w:eastAsia="仿宋" w:cs="宋体"/>
          <w:color w:val="auto"/>
          <w:kern w:val="0"/>
          <w:sz w:val="28"/>
          <w:szCs w:val="28"/>
          <w:highlight w:val="none"/>
        </w:rPr>
        <w:t>个工作日。</w:t>
      </w:r>
    </w:p>
    <w:p w14:paraId="20C19811">
      <w:pPr>
        <w:spacing w:line="240" w:lineRule="auto"/>
        <w:ind w:firstLine="0" w:firstLineChars="0"/>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八、其他补充事宜</w:t>
      </w:r>
    </w:p>
    <w:tbl>
      <w:tblPr>
        <w:tblStyle w:val="13"/>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2"/>
        <w:gridCol w:w="6045"/>
        <w:gridCol w:w="1575"/>
      </w:tblGrid>
      <w:tr w14:paraId="74903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150A">
            <w:pPr>
              <w:spacing w:line="240" w:lineRule="auto"/>
              <w:ind w:firstLine="0" w:firstLineChars="0"/>
              <w:jc w:val="center"/>
              <w:rPr>
                <w:rFonts w:hint="eastAsia"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包号</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A546">
            <w:pPr>
              <w:spacing w:line="240" w:lineRule="auto"/>
              <w:ind w:firstLine="0" w:firstLineChars="0"/>
              <w:jc w:val="center"/>
              <w:rPr>
                <w:rFonts w:hint="eastAsia"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中标人名称</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AE44">
            <w:pPr>
              <w:spacing w:line="240" w:lineRule="auto"/>
              <w:jc w:val="center"/>
              <w:rPr>
                <w:rFonts w:hint="eastAsia"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最终得分</w:t>
            </w:r>
          </w:p>
        </w:tc>
      </w:tr>
      <w:tr w14:paraId="175F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52E7">
            <w:pPr>
              <w:keepNext w:val="0"/>
              <w:keepLines w:val="0"/>
              <w:widowControl/>
              <w:suppressLineNumbers w:val="0"/>
              <w:jc w:val="center"/>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C8F30">
            <w:pPr>
              <w:keepNext w:val="0"/>
              <w:keepLines w:val="0"/>
              <w:widowControl/>
              <w:suppressLineNumbers w:val="0"/>
              <w:jc w:val="center"/>
              <w:textAlignment w:val="auto"/>
              <w:rPr>
                <w:rFonts w:hint="eastAsia"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北京政务科技有限公司</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3F96">
            <w:pPr>
              <w:spacing w:line="240" w:lineRule="auto"/>
              <w:jc w:val="center"/>
              <w:rPr>
                <w:rFonts w:hint="default"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94.66</w:t>
            </w:r>
          </w:p>
        </w:tc>
      </w:tr>
      <w:tr w14:paraId="6688C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714E">
            <w:pPr>
              <w:keepNext w:val="0"/>
              <w:keepLines w:val="0"/>
              <w:widowControl/>
              <w:suppressLineNumbers w:val="0"/>
              <w:jc w:val="center"/>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364C">
            <w:pPr>
              <w:keepNext w:val="0"/>
              <w:keepLines w:val="0"/>
              <w:widowControl/>
              <w:suppressLineNumbers w:val="0"/>
              <w:jc w:val="center"/>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有谦软联（北京）信息技术有限公司</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DB54">
            <w:pPr>
              <w:spacing w:line="240" w:lineRule="auto"/>
              <w:jc w:val="center"/>
              <w:rPr>
                <w:rFonts w:hint="default"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91.12</w:t>
            </w:r>
          </w:p>
        </w:tc>
      </w:tr>
      <w:tr w14:paraId="10CB8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47C5F">
            <w:pPr>
              <w:keepNext w:val="0"/>
              <w:keepLines w:val="0"/>
              <w:widowControl/>
              <w:suppressLineNumbers w:val="0"/>
              <w:jc w:val="center"/>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C97C">
            <w:pPr>
              <w:keepNext w:val="0"/>
              <w:keepLines w:val="0"/>
              <w:widowControl/>
              <w:suppressLineNumbers w:val="0"/>
              <w:jc w:val="center"/>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kern w:val="0"/>
                <w:sz w:val="24"/>
                <w:szCs w:val="24"/>
                <w:highlight w:val="none"/>
                <w:u w:val="none"/>
                <w:lang w:val="en-US" w:eastAsia="zh-CN"/>
              </w:rPr>
              <w:t>北京政务科技有限公司</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708A">
            <w:pPr>
              <w:spacing w:line="240" w:lineRule="auto"/>
              <w:jc w:val="center"/>
              <w:rPr>
                <w:rFonts w:hint="default"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90.00</w:t>
            </w:r>
          </w:p>
        </w:tc>
      </w:tr>
      <w:tr w14:paraId="26130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6EF5">
            <w:pPr>
              <w:keepNext w:val="0"/>
              <w:keepLines w:val="0"/>
              <w:widowControl/>
              <w:suppressLineNumbers w:val="0"/>
              <w:jc w:val="center"/>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4</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56BD5">
            <w:pPr>
              <w:keepNext w:val="0"/>
              <w:keepLines w:val="0"/>
              <w:widowControl/>
              <w:suppressLineNumbers w:val="0"/>
              <w:jc w:val="center"/>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中科信息安全共性技术国家工程研究中心有限公司</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9F70">
            <w:pPr>
              <w:spacing w:line="240" w:lineRule="auto"/>
              <w:jc w:val="center"/>
              <w:rPr>
                <w:rFonts w:hint="default"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95.26</w:t>
            </w:r>
          </w:p>
        </w:tc>
      </w:tr>
      <w:tr w14:paraId="0F0F9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D398">
            <w:pPr>
              <w:keepNext w:val="0"/>
              <w:keepLines w:val="0"/>
              <w:widowControl/>
              <w:suppressLineNumbers w:val="0"/>
              <w:jc w:val="center"/>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5</w:t>
            </w:r>
          </w:p>
        </w:tc>
        <w:tc>
          <w:tcPr>
            <w:tcW w:w="3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343C">
            <w:pPr>
              <w:keepNext w:val="0"/>
              <w:keepLines w:val="0"/>
              <w:widowControl/>
              <w:suppressLineNumbers w:val="0"/>
              <w:jc w:val="center"/>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北京易柯森特科技有限公司</w:t>
            </w:r>
          </w:p>
        </w:tc>
        <w:tc>
          <w:tcPr>
            <w:tcW w:w="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F227">
            <w:pPr>
              <w:spacing w:line="240" w:lineRule="auto"/>
              <w:jc w:val="center"/>
              <w:rPr>
                <w:rFonts w:hint="default" w:ascii="仿宋" w:hAnsi="仿宋" w:eastAsia="仿宋" w:cs="仿宋"/>
                <w:color w:val="auto"/>
                <w:kern w:val="0"/>
                <w:sz w:val="24"/>
                <w:szCs w:val="24"/>
                <w:highlight w:val="none"/>
                <w:u w:val="none"/>
                <w:lang w:val="en-US" w:eastAsia="zh-CN"/>
              </w:rPr>
            </w:pPr>
            <w:r>
              <w:rPr>
                <w:rFonts w:hint="eastAsia" w:ascii="仿宋" w:hAnsi="仿宋" w:eastAsia="仿宋" w:cs="仿宋"/>
                <w:color w:val="auto"/>
                <w:kern w:val="0"/>
                <w:sz w:val="24"/>
                <w:szCs w:val="24"/>
                <w:highlight w:val="none"/>
                <w:u w:val="none"/>
                <w:lang w:val="en-US" w:eastAsia="zh-CN"/>
              </w:rPr>
              <w:t>89.62</w:t>
            </w:r>
          </w:p>
        </w:tc>
      </w:tr>
    </w:tbl>
    <w:p w14:paraId="0C931180">
      <w:pPr>
        <w:keepNext w:val="0"/>
        <w:keepLines w:val="0"/>
        <w:suppressLineNumbers w:val="0"/>
        <w:spacing w:before="0" w:beforeAutospacing="0" w:after="0" w:afterAutospacing="0" w:line="360" w:lineRule="auto"/>
        <w:ind w:left="0" w:right="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收费标准：</w:t>
      </w:r>
    </w:p>
    <w:p w14:paraId="0B185C81">
      <w:pPr>
        <w:keepNext w:val="0"/>
        <w:keepLines w:val="0"/>
        <w:suppressLineNumbers w:val="0"/>
        <w:spacing w:before="0" w:beforeAutospacing="0" w:after="0" w:afterAutospacing="0" w:line="360" w:lineRule="auto"/>
        <w:ind w:left="0" w:right="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采购代理机构按照如下标准，采用差额累进方式计算服务费。</w:t>
      </w:r>
    </w:p>
    <w:p w14:paraId="0BABEF19">
      <w:pPr>
        <w:keepNext w:val="0"/>
        <w:keepLines w:val="0"/>
        <w:suppressLineNumbers w:val="0"/>
        <w:spacing w:before="0" w:beforeAutospacing="0" w:after="0" w:afterAutospacing="0" w:line="360" w:lineRule="auto"/>
        <w:ind w:left="0" w:right="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具体标准见下表：</w:t>
      </w:r>
    </w:p>
    <w:tbl>
      <w:tblPr>
        <w:tblStyle w:val="13"/>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986"/>
        <w:gridCol w:w="1901"/>
        <w:gridCol w:w="1816"/>
        <w:gridCol w:w="1816"/>
      </w:tblGrid>
      <w:tr w14:paraId="2802F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0" w:hRule="atLeast"/>
          <w:jc w:val="center"/>
        </w:trPr>
        <w:tc>
          <w:tcPr>
            <w:tcW w:w="1752" w:type="pct"/>
            <w:tcBorders>
              <w:top w:val="single" w:color="auto" w:sz="4" w:space="0"/>
              <w:left w:val="single" w:color="auto" w:sz="4" w:space="0"/>
              <w:bottom w:val="single" w:color="auto" w:sz="4" w:space="0"/>
              <w:right w:val="single" w:color="auto" w:sz="4" w:space="0"/>
            </w:tcBorders>
            <w:vAlign w:val="top"/>
          </w:tcPr>
          <w:p w14:paraId="7C1BC8B9">
            <w:pPr>
              <w:keepNext w:val="0"/>
              <w:keepLines w:val="0"/>
              <w:widowControl w:val="0"/>
              <w:suppressLineNumbers w:val="0"/>
              <w:spacing w:before="0" w:beforeAutospacing="0" w:after="0" w:afterAutospacing="0" w:line="240" w:lineRule="auto"/>
              <w:ind w:left="0" w:right="0" w:firstLine="1275"/>
              <w:jc w:val="both"/>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mc:AlternateContent>
                <mc:Choice Requires="wps">
                  <w:drawing>
                    <wp:anchor distT="0" distB="0" distL="114300" distR="114300" simplePos="0" relativeHeight="251660288" behindDoc="0" locked="0" layoutInCell="1" allowOverlap="1">
                      <wp:simplePos x="0" y="0"/>
                      <wp:positionH relativeFrom="column">
                        <wp:posOffset>287655</wp:posOffset>
                      </wp:positionH>
                      <wp:positionV relativeFrom="paragraph">
                        <wp:posOffset>19050</wp:posOffset>
                      </wp:positionV>
                      <wp:extent cx="1106170" cy="1056005"/>
                      <wp:effectExtent l="3175" t="3175" r="8255" b="7620"/>
                      <wp:wrapNone/>
                      <wp:docPr id="1" name="直接箭头连接符 1"/>
                      <wp:cNvGraphicFramePr/>
                      <a:graphic xmlns:a="http://schemas.openxmlformats.org/drawingml/2006/main">
                        <a:graphicData uri="http://schemas.microsoft.com/office/word/2010/wordprocessingShape">
                          <wps:wsp>
                            <wps:cNvCnPr/>
                            <wps:spPr>
                              <a:xfrm>
                                <a:off x="0" y="0"/>
                                <a:ext cx="1106170" cy="10560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2.65pt;margin-top:1.5pt;height:83.15pt;width:87.1pt;z-index:251660288;mso-width-relative:page;mso-height-relative:page;" filled="f" stroked="t" coordsize="21600,21600" o:gfxdata="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xrVBHXAAAACAEAAA8AAAAAAAAAAQAgAAAAIgAAAGRycy9kb3du&#10;cmV2LnhtbFBLAQIUABQAAAAIAIdO4kCNG8/3AAIAAPIDAAAOAAAAAAAAAAEAIAAAACYBAABkcnMv&#10;ZTJvRG9jLnhtbFBLBQYAAAAABgAGAFkBAACYBQAAAAA=&#10;">
                      <v:fill on="f" focussize="0,0"/>
                      <v:stroke color="#000000" joinstyle="round"/>
                      <v:imagedata o:title=""/>
                      <o:lock v:ext="edit" aspectratio="f"/>
                    </v:shape>
                  </w:pict>
                </mc:Fallback>
              </mc:AlternateContent>
            </w:r>
            <w:r>
              <w:rPr>
                <w:rFonts w:hint="eastAsia" w:ascii="仿宋" w:hAnsi="仿宋" w:eastAsia="仿宋" w:cs="仿宋"/>
                <w:color w:val="auto"/>
                <w:sz w:val="22"/>
                <w:szCs w:val="22"/>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17" name="直接连接符 17"/>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uR037VAAAACQEAAA8AAAAAAAAAAQAgAAAAIgAAAGRycy9kb3ducmV2LnhtbFBLAQIU&#10;ABQAAAAIAIdO4kAhiYgs9gEAAPADAAAOAAAAAAAAAAEAIAAAACQBAABkcnMvZTJvRG9jLnhtbFBL&#10;BQYAAAAABgAGAFkBAACMBQAAAAA=&#10;">
                      <v:fill on="f" focussize="0,0"/>
                      <v:stroke color="#000000" joinstyle="round"/>
                      <v:imagedata o:title=""/>
                      <o:lock v:ext="edit" aspectratio="f"/>
                    </v:line>
                  </w:pict>
                </mc:Fallback>
              </mc:AlternateConten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bCs/>
                <w:color w:val="auto"/>
                <w:sz w:val="22"/>
                <w:szCs w:val="22"/>
                <w:highlight w:val="none"/>
                <w:lang w:val="en-US" w:eastAsia="zh-CN"/>
              </w:rPr>
              <w:t xml:space="preserve">   </w:t>
            </w:r>
            <w:r>
              <w:rPr>
                <w:rFonts w:hint="eastAsia" w:ascii="仿宋" w:hAnsi="仿宋" w:eastAsia="仿宋" w:cs="仿宋"/>
                <w:bCs/>
                <w:color w:val="auto"/>
                <w:sz w:val="22"/>
                <w:szCs w:val="22"/>
                <w:highlight w:val="none"/>
              </w:rPr>
              <w:t>服</w:t>
            </w:r>
          </w:p>
          <w:p w14:paraId="21EBAFE7">
            <w:pPr>
              <w:keepNext w:val="0"/>
              <w:keepLines w:val="0"/>
              <w:widowControl w:val="0"/>
              <w:suppressLineNumbers w:val="0"/>
              <w:spacing w:before="0" w:beforeAutospacing="0" w:after="0" w:afterAutospacing="0" w:line="240" w:lineRule="auto"/>
              <w:ind w:left="0" w:right="0" w:firstLine="220" w:firstLineChars="100"/>
              <w:jc w:val="both"/>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费　　　　　</w:t>
            </w:r>
            <w:r>
              <w:rPr>
                <w:rFonts w:hint="eastAsia" w:ascii="仿宋" w:hAnsi="仿宋" w:eastAsia="仿宋" w:cs="仿宋"/>
                <w:bCs/>
                <w:color w:val="auto"/>
                <w:sz w:val="22"/>
                <w:szCs w:val="22"/>
                <w:highlight w:val="none"/>
                <w:lang w:val="en-US" w:eastAsia="zh-CN"/>
              </w:rPr>
              <w:t xml:space="preserve">  </w:t>
            </w:r>
            <w:r>
              <w:rPr>
                <w:rFonts w:hint="eastAsia" w:ascii="仿宋" w:hAnsi="仿宋" w:eastAsia="仿宋" w:cs="仿宋"/>
                <w:bCs/>
                <w:color w:val="auto"/>
                <w:sz w:val="22"/>
                <w:szCs w:val="22"/>
                <w:highlight w:val="none"/>
              </w:rPr>
              <w:t>务</w:t>
            </w:r>
          </w:p>
          <w:p w14:paraId="38C0CD20">
            <w:pPr>
              <w:keepNext w:val="0"/>
              <w:keepLines w:val="0"/>
              <w:widowControl w:val="0"/>
              <w:suppressLineNumbers w:val="0"/>
              <w:spacing w:before="0" w:beforeAutospacing="0" w:after="0" w:afterAutospacing="0" w:line="240" w:lineRule="auto"/>
              <w:ind w:left="0" w:right="0" w:firstLine="1100" w:firstLineChars="500"/>
              <w:jc w:val="both"/>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类</w:t>
            </w:r>
          </w:p>
          <w:p w14:paraId="71E3B0F2">
            <w:pPr>
              <w:keepNext w:val="0"/>
              <w:keepLines w:val="0"/>
              <w:widowControl w:val="0"/>
              <w:suppressLineNumbers w:val="0"/>
              <w:spacing w:before="0" w:beforeAutospacing="0" w:after="0" w:afterAutospacing="0" w:line="240" w:lineRule="auto"/>
              <w:ind w:left="0" w:right="0" w:firstLine="880" w:firstLineChars="400"/>
              <w:jc w:val="both"/>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mc:AlternateContent>
                <mc:Choice Requires="wps">
                  <w:drawing>
                    <wp:anchor distT="0" distB="0" distL="114300" distR="114300" simplePos="0" relativeHeight="251661312" behindDoc="0" locked="0" layoutInCell="1" allowOverlap="1">
                      <wp:simplePos x="0" y="0"/>
                      <wp:positionH relativeFrom="column">
                        <wp:posOffset>-88900</wp:posOffset>
                      </wp:positionH>
                      <wp:positionV relativeFrom="paragraph">
                        <wp:posOffset>60325</wp:posOffset>
                      </wp:positionV>
                      <wp:extent cx="1477645" cy="455930"/>
                      <wp:effectExtent l="1270" t="4445" r="6985" b="9525"/>
                      <wp:wrapNone/>
                      <wp:docPr id="16" name="直接连接符 16"/>
                      <wp:cNvGraphicFramePr/>
                      <a:graphic xmlns:a="http://schemas.openxmlformats.org/drawingml/2006/main">
                        <a:graphicData uri="http://schemas.microsoft.com/office/word/2010/wordprocessingShape">
                          <wps:wsp>
                            <wps:cNvCnPr/>
                            <wps:spPr>
                              <a:xfrm flipH="1" flipV="1">
                                <a:off x="0" y="0"/>
                                <a:ext cx="1477645" cy="45593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x y;margin-left:-7pt;margin-top:4.75pt;height:35.9pt;width:116.35pt;z-index:251661312;mso-width-relative:page;mso-height-relative:page;" filled="f" stroked="t" coordsize="21600,21600" o:gfxdata="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7IrIu1QAAAAgBAAAPAAAAAAAAAAEAIAAAACIA&#10;AABkcnMvZG93bnJldi54bWxQSwECFAAUAAAACACHTuJAYt1W/QwCAAANBAAADgAAAAAAAAABACAA&#10;AAAkAQAAZHJzL2Uyb0RvYy54bWxQSwUGAAAAAAYABgBZAQAAogUAAAAA&#10;">
                      <v:fill on="f" focussize="0,0"/>
                      <v:stroke color="#000000" joinstyle="round"/>
                      <v:imagedata o:title=""/>
                      <o:lock v:ext="edit" aspectratio="f"/>
                    </v:line>
                  </w:pict>
                </mc:Fallback>
              </mc:AlternateContent>
            </w:r>
            <w:r>
              <w:rPr>
                <w:rFonts w:hint="eastAsia" w:ascii="仿宋" w:hAnsi="仿宋" w:eastAsia="仿宋" w:cs="仿宋"/>
                <w:bCs/>
                <w:color w:val="auto"/>
                <w:sz w:val="22"/>
                <w:szCs w:val="22"/>
                <w:highlight w:val="none"/>
              </w:rPr>
              <w:t>率　　　型</w:t>
            </w:r>
          </w:p>
          <w:p w14:paraId="2ED48AB4">
            <w:pPr>
              <w:keepNext w:val="0"/>
              <w:keepLines w:val="0"/>
              <w:widowControl w:val="0"/>
              <w:suppressLineNumbers w:val="0"/>
              <w:spacing w:before="0" w:beforeAutospacing="0" w:after="0" w:afterAutospacing="0" w:line="240" w:lineRule="auto"/>
              <w:ind w:left="0" w:right="0" w:firstLine="1100" w:firstLineChars="500"/>
              <w:jc w:val="both"/>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w:t>
            </w:r>
          </w:p>
          <w:p w14:paraId="3CE75B20">
            <w:pPr>
              <w:keepNext w:val="0"/>
              <w:keepLines w:val="0"/>
              <w:widowControl w:val="0"/>
              <w:suppressLineNumbers w:val="0"/>
              <w:spacing w:before="0" w:beforeAutospacing="0" w:after="0" w:afterAutospacing="0" w:line="240" w:lineRule="auto"/>
              <w:ind w:left="0" w:right="0"/>
              <w:jc w:val="both"/>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计费基数（万元）</w:t>
            </w:r>
          </w:p>
        </w:tc>
        <w:tc>
          <w:tcPr>
            <w:tcW w:w="1115" w:type="pct"/>
            <w:tcBorders>
              <w:top w:val="single" w:color="auto" w:sz="4" w:space="0"/>
              <w:left w:val="single" w:color="auto" w:sz="4" w:space="0"/>
              <w:bottom w:val="single" w:color="auto" w:sz="4" w:space="0"/>
              <w:right w:val="single" w:color="auto" w:sz="4" w:space="0"/>
            </w:tcBorders>
            <w:vAlign w:val="center"/>
          </w:tcPr>
          <w:p w14:paraId="261B86AF">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货物</w:t>
            </w:r>
          </w:p>
        </w:tc>
        <w:tc>
          <w:tcPr>
            <w:tcW w:w="1065" w:type="pct"/>
            <w:tcBorders>
              <w:top w:val="single" w:color="auto" w:sz="4" w:space="0"/>
              <w:left w:val="single" w:color="auto" w:sz="4" w:space="0"/>
              <w:bottom w:val="single" w:color="auto" w:sz="4" w:space="0"/>
              <w:right w:val="single" w:color="auto" w:sz="4" w:space="0"/>
            </w:tcBorders>
            <w:vAlign w:val="center"/>
          </w:tcPr>
          <w:p w14:paraId="1AFB373C">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服务</w:t>
            </w:r>
          </w:p>
        </w:tc>
        <w:tc>
          <w:tcPr>
            <w:tcW w:w="1065" w:type="pct"/>
            <w:tcBorders>
              <w:top w:val="single" w:color="auto" w:sz="4" w:space="0"/>
              <w:left w:val="single" w:color="auto" w:sz="4" w:space="0"/>
              <w:bottom w:val="single" w:color="auto" w:sz="4" w:space="0"/>
              <w:right w:val="single" w:color="auto" w:sz="4" w:space="0"/>
            </w:tcBorders>
            <w:vAlign w:val="center"/>
          </w:tcPr>
          <w:p w14:paraId="5470643F">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工程</w:t>
            </w:r>
          </w:p>
        </w:tc>
      </w:tr>
      <w:tr w14:paraId="53381C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752" w:type="pct"/>
            <w:tcBorders>
              <w:top w:val="single" w:color="auto" w:sz="4" w:space="0"/>
              <w:left w:val="single" w:color="auto" w:sz="4" w:space="0"/>
              <w:bottom w:val="single" w:color="auto" w:sz="4" w:space="0"/>
              <w:right w:val="single" w:color="auto" w:sz="4" w:space="0"/>
            </w:tcBorders>
            <w:vAlign w:val="center"/>
          </w:tcPr>
          <w:p w14:paraId="72F69CE7">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100以下</w:t>
            </w:r>
          </w:p>
        </w:tc>
        <w:tc>
          <w:tcPr>
            <w:tcW w:w="1115" w:type="pct"/>
            <w:tcBorders>
              <w:top w:val="single" w:color="auto" w:sz="4" w:space="0"/>
              <w:left w:val="single" w:color="auto" w:sz="4" w:space="0"/>
              <w:bottom w:val="single" w:color="auto" w:sz="4" w:space="0"/>
              <w:right w:val="single" w:color="auto" w:sz="4" w:space="0"/>
            </w:tcBorders>
            <w:vAlign w:val="center"/>
          </w:tcPr>
          <w:p w14:paraId="78817178">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1.5%</w:t>
            </w:r>
          </w:p>
        </w:tc>
        <w:tc>
          <w:tcPr>
            <w:tcW w:w="1065" w:type="pct"/>
            <w:tcBorders>
              <w:top w:val="single" w:color="auto" w:sz="4" w:space="0"/>
              <w:left w:val="single" w:color="auto" w:sz="4" w:space="0"/>
              <w:bottom w:val="single" w:color="auto" w:sz="4" w:space="0"/>
              <w:right w:val="single" w:color="auto" w:sz="4" w:space="0"/>
            </w:tcBorders>
            <w:vAlign w:val="center"/>
          </w:tcPr>
          <w:p w14:paraId="7A2F717A">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1.5%</w:t>
            </w:r>
          </w:p>
        </w:tc>
        <w:tc>
          <w:tcPr>
            <w:tcW w:w="1065" w:type="pct"/>
            <w:tcBorders>
              <w:top w:val="single" w:color="auto" w:sz="4" w:space="0"/>
              <w:left w:val="single" w:color="auto" w:sz="4" w:space="0"/>
              <w:bottom w:val="single" w:color="auto" w:sz="4" w:space="0"/>
              <w:right w:val="single" w:color="auto" w:sz="4" w:space="0"/>
            </w:tcBorders>
            <w:vAlign w:val="center"/>
          </w:tcPr>
          <w:p w14:paraId="32F056A7">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w:t>
            </w:r>
          </w:p>
        </w:tc>
      </w:tr>
      <w:tr w14:paraId="2DAAFE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752" w:type="pct"/>
            <w:tcBorders>
              <w:top w:val="single" w:color="auto" w:sz="4" w:space="0"/>
              <w:left w:val="single" w:color="auto" w:sz="4" w:space="0"/>
              <w:bottom w:val="single" w:color="auto" w:sz="4" w:space="0"/>
              <w:right w:val="single" w:color="auto" w:sz="4" w:space="0"/>
            </w:tcBorders>
            <w:vAlign w:val="center"/>
          </w:tcPr>
          <w:p w14:paraId="5C56DB54">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100-500</w:t>
            </w:r>
          </w:p>
        </w:tc>
        <w:tc>
          <w:tcPr>
            <w:tcW w:w="1115" w:type="pct"/>
            <w:tcBorders>
              <w:top w:val="single" w:color="auto" w:sz="4" w:space="0"/>
              <w:left w:val="single" w:color="auto" w:sz="4" w:space="0"/>
              <w:bottom w:val="single" w:color="auto" w:sz="4" w:space="0"/>
              <w:right w:val="single" w:color="auto" w:sz="4" w:space="0"/>
            </w:tcBorders>
            <w:vAlign w:val="center"/>
          </w:tcPr>
          <w:p w14:paraId="3F31A0F2">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1.1%</w:t>
            </w:r>
          </w:p>
        </w:tc>
        <w:tc>
          <w:tcPr>
            <w:tcW w:w="1065" w:type="pct"/>
            <w:tcBorders>
              <w:top w:val="single" w:color="auto" w:sz="4" w:space="0"/>
              <w:left w:val="single" w:color="auto" w:sz="4" w:space="0"/>
              <w:bottom w:val="single" w:color="auto" w:sz="4" w:space="0"/>
              <w:right w:val="single" w:color="auto" w:sz="4" w:space="0"/>
            </w:tcBorders>
            <w:vAlign w:val="center"/>
          </w:tcPr>
          <w:p w14:paraId="379FFEA7">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0.8%</w:t>
            </w:r>
          </w:p>
        </w:tc>
        <w:tc>
          <w:tcPr>
            <w:tcW w:w="1065" w:type="pct"/>
            <w:tcBorders>
              <w:top w:val="single" w:color="auto" w:sz="4" w:space="0"/>
              <w:left w:val="single" w:color="auto" w:sz="4" w:space="0"/>
              <w:bottom w:val="single" w:color="auto" w:sz="4" w:space="0"/>
              <w:right w:val="single" w:color="auto" w:sz="4" w:space="0"/>
            </w:tcBorders>
            <w:vAlign w:val="center"/>
          </w:tcPr>
          <w:p w14:paraId="4CB9E643">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0.7%</w:t>
            </w:r>
          </w:p>
        </w:tc>
      </w:tr>
      <w:tr w14:paraId="4B4EF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752" w:type="pct"/>
            <w:tcBorders>
              <w:top w:val="single" w:color="auto" w:sz="4" w:space="0"/>
              <w:left w:val="single" w:color="auto" w:sz="4" w:space="0"/>
              <w:bottom w:val="single" w:color="auto" w:sz="4" w:space="0"/>
              <w:right w:val="single" w:color="auto" w:sz="4" w:space="0"/>
            </w:tcBorders>
            <w:vAlign w:val="center"/>
          </w:tcPr>
          <w:p w14:paraId="0104CD9E">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500-1000</w:t>
            </w:r>
          </w:p>
        </w:tc>
        <w:tc>
          <w:tcPr>
            <w:tcW w:w="1115" w:type="pct"/>
            <w:tcBorders>
              <w:top w:val="single" w:color="auto" w:sz="4" w:space="0"/>
              <w:left w:val="single" w:color="auto" w:sz="4" w:space="0"/>
              <w:bottom w:val="single" w:color="auto" w:sz="4" w:space="0"/>
              <w:right w:val="single" w:color="auto" w:sz="4" w:space="0"/>
            </w:tcBorders>
            <w:vAlign w:val="center"/>
          </w:tcPr>
          <w:p w14:paraId="59AFB35C">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0.8%</w:t>
            </w:r>
          </w:p>
        </w:tc>
        <w:tc>
          <w:tcPr>
            <w:tcW w:w="1065" w:type="pct"/>
            <w:tcBorders>
              <w:top w:val="single" w:color="auto" w:sz="4" w:space="0"/>
              <w:left w:val="single" w:color="auto" w:sz="4" w:space="0"/>
              <w:bottom w:val="single" w:color="auto" w:sz="4" w:space="0"/>
              <w:right w:val="single" w:color="auto" w:sz="4" w:space="0"/>
            </w:tcBorders>
            <w:vAlign w:val="center"/>
          </w:tcPr>
          <w:p w14:paraId="3DCC652A">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0.45%</w:t>
            </w:r>
          </w:p>
        </w:tc>
        <w:tc>
          <w:tcPr>
            <w:tcW w:w="1065" w:type="pct"/>
            <w:tcBorders>
              <w:top w:val="single" w:color="auto" w:sz="4" w:space="0"/>
              <w:left w:val="single" w:color="auto" w:sz="4" w:space="0"/>
              <w:bottom w:val="single" w:color="auto" w:sz="4" w:space="0"/>
              <w:right w:val="single" w:color="auto" w:sz="4" w:space="0"/>
            </w:tcBorders>
            <w:vAlign w:val="center"/>
          </w:tcPr>
          <w:p w14:paraId="2D1ED280">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0.55%</w:t>
            </w:r>
          </w:p>
        </w:tc>
      </w:tr>
      <w:tr w14:paraId="7138E3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752" w:type="pct"/>
            <w:tcBorders>
              <w:top w:val="single" w:color="auto" w:sz="4" w:space="0"/>
              <w:left w:val="single" w:color="auto" w:sz="4" w:space="0"/>
              <w:bottom w:val="single" w:color="auto" w:sz="4" w:space="0"/>
              <w:right w:val="single" w:color="auto" w:sz="4" w:space="0"/>
            </w:tcBorders>
            <w:vAlign w:val="center"/>
          </w:tcPr>
          <w:p w14:paraId="381840AE">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1000-5000</w:t>
            </w:r>
          </w:p>
        </w:tc>
        <w:tc>
          <w:tcPr>
            <w:tcW w:w="1115" w:type="pct"/>
            <w:tcBorders>
              <w:top w:val="single" w:color="auto" w:sz="4" w:space="0"/>
              <w:left w:val="single" w:color="auto" w:sz="4" w:space="0"/>
              <w:bottom w:val="single" w:color="auto" w:sz="4" w:space="0"/>
              <w:right w:val="single" w:color="auto" w:sz="4" w:space="0"/>
            </w:tcBorders>
            <w:vAlign w:val="center"/>
          </w:tcPr>
          <w:p w14:paraId="26B242E0">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0.5%</w:t>
            </w:r>
          </w:p>
        </w:tc>
        <w:tc>
          <w:tcPr>
            <w:tcW w:w="1065" w:type="pct"/>
            <w:tcBorders>
              <w:top w:val="single" w:color="auto" w:sz="4" w:space="0"/>
              <w:left w:val="single" w:color="auto" w:sz="4" w:space="0"/>
              <w:bottom w:val="single" w:color="auto" w:sz="4" w:space="0"/>
              <w:right w:val="single" w:color="auto" w:sz="4" w:space="0"/>
            </w:tcBorders>
            <w:vAlign w:val="center"/>
          </w:tcPr>
          <w:p w14:paraId="1893BEA5">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0.25%</w:t>
            </w:r>
          </w:p>
        </w:tc>
        <w:tc>
          <w:tcPr>
            <w:tcW w:w="1065" w:type="pct"/>
            <w:tcBorders>
              <w:top w:val="single" w:color="auto" w:sz="4" w:space="0"/>
              <w:left w:val="single" w:color="auto" w:sz="4" w:space="0"/>
              <w:bottom w:val="single" w:color="auto" w:sz="4" w:space="0"/>
              <w:right w:val="single" w:color="auto" w:sz="4" w:space="0"/>
            </w:tcBorders>
            <w:vAlign w:val="center"/>
          </w:tcPr>
          <w:p w14:paraId="640015F1">
            <w:pPr>
              <w:keepNext w:val="0"/>
              <w:keepLines w:val="0"/>
              <w:widowControl w:val="0"/>
              <w:suppressLineNumbers w:val="0"/>
              <w:spacing w:before="0" w:beforeAutospacing="0" w:after="0" w:afterAutospacing="0" w:line="24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0.35%</w:t>
            </w:r>
          </w:p>
        </w:tc>
      </w:tr>
    </w:tbl>
    <w:p w14:paraId="63774A6E">
      <w:pPr>
        <w:keepNext w:val="0"/>
        <w:keepLines w:val="0"/>
        <w:numPr>
          <w:ilvl w:val="0"/>
          <w:numId w:val="3"/>
        </w:numPr>
        <w:suppressLineNumbers w:val="0"/>
        <w:spacing w:before="0" w:beforeAutospacing="0" w:after="0" w:afterAutospacing="0"/>
        <w:ind w:right="0"/>
        <w:rPr>
          <w:rFonts w:hint="eastAsia" w:ascii="仿宋" w:hAnsi="仿宋" w:eastAsia="仿宋" w:cs="仿宋"/>
          <w:color w:val="auto"/>
          <w:highlight w:val="none"/>
        </w:rPr>
      </w:pPr>
      <w:r>
        <w:rPr>
          <w:rFonts w:hint="eastAsia" w:ascii="仿宋" w:hAnsi="仿宋" w:eastAsia="仿宋" w:cs="仿宋"/>
          <w:color w:val="auto"/>
          <w:highlight w:val="none"/>
        </w:rPr>
        <w:t>计费基数：计费基数为包中标金额。</w:t>
      </w:r>
    </w:p>
    <w:p w14:paraId="6C1FF30B">
      <w:pPr>
        <w:keepNext w:val="0"/>
        <w:keepLines w:val="0"/>
        <w:numPr>
          <w:ilvl w:val="0"/>
          <w:numId w:val="3"/>
        </w:numPr>
        <w:suppressLineNumbers w:val="0"/>
        <w:spacing w:before="0" w:beforeAutospacing="0" w:after="0" w:afterAutospacing="0"/>
        <w:ind w:right="0"/>
        <w:rPr>
          <w:rFonts w:hint="eastAsia" w:ascii="仿宋" w:hAnsi="仿宋" w:eastAsia="仿宋" w:cs="仿宋"/>
          <w:color w:val="auto"/>
          <w:highlight w:val="none"/>
        </w:rPr>
      </w:pPr>
      <w:r>
        <w:rPr>
          <w:rFonts w:hint="eastAsia" w:ascii="仿宋" w:hAnsi="仿宋" w:eastAsia="仿宋" w:cs="仿宋"/>
          <w:color w:val="auto"/>
          <w:highlight w:val="none"/>
        </w:rPr>
        <w:t>计算公式：按差额定率累进法计算。</w:t>
      </w:r>
    </w:p>
    <w:p w14:paraId="5D07C34D">
      <w:pPr>
        <w:keepNext w:val="0"/>
        <w:keepLines w:val="0"/>
        <w:numPr>
          <w:ilvl w:val="0"/>
          <w:numId w:val="3"/>
        </w:numPr>
        <w:suppressLineNumbers w:val="0"/>
        <w:spacing w:before="0" w:beforeAutospacing="0" w:after="0" w:afterAutospacing="0"/>
        <w:ind w:right="0"/>
        <w:rPr>
          <w:rFonts w:hint="eastAsia" w:ascii="仿宋" w:hAnsi="仿宋" w:eastAsia="仿宋" w:cs="仿宋"/>
          <w:color w:val="auto"/>
          <w:highlight w:val="none"/>
        </w:rPr>
      </w:pPr>
      <w:r>
        <w:rPr>
          <w:rFonts w:hint="eastAsia" w:ascii="仿宋" w:hAnsi="仿宋" w:eastAsia="仿宋" w:cs="仿宋"/>
          <w:color w:val="auto"/>
          <w:highlight w:val="none"/>
        </w:rPr>
        <w:t>例如：某货物招标代理业务计费基数为6000万元，计算招标代理服务收费额如下：</w:t>
      </w:r>
    </w:p>
    <w:p w14:paraId="71C530AB">
      <w:pPr>
        <w:keepNext w:val="0"/>
        <w:keepLines w:val="0"/>
        <w:numPr>
          <w:ilvl w:val="0"/>
          <w:numId w:val="0"/>
        </w:numPr>
        <w:suppressLineNumbers w:val="0"/>
        <w:spacing w:before="0" w:beforeAutospacing="0" w:after="0" w:afterAutospacing="0"/>
        <w:ind w:left="0" w:leftChars="0" w:right="0"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100万元×1.5%=1.5万元</w:t>
      </w:r>
    </w:p>
    <w:p w14:paraId="196F0ED3">
      <w:pPr>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highlight w:val="none"/>
        </w:rPr>
      </w:pPr>
      <w:r>
        <w:rPr>
          <w:rFonts w:hint="eastAsia" w:ascii="仿宋" w:hAnsi="仿宋" w:eastAsia="仿宋" w:cs="仿宋"/>
          <w:color w:val="auto"/>
          <w:highlight w:val="none"/>
        </w:rPr>
        <w:t>（500-100）万元×1.1%=4.4万元</w:t>
      </w:r>
    </w:p>
    <w:p w14:paraId="2A446C02">
      <w:pPr>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highlight w:val="none"/>
        </w:rPr>
      </w:pPr>
      <w:r>
        <w:rPr>
          <w:rFonts w:hint="eastAsia" w:ascii="仿宋" w:hAnsi="仿宋" w:eastAsia="仿宋" w:cs="仿宋"/>
          <w:color w:val="auto"/>
          <w:highlight w:val="none"/>
        </w:rPr>
        <w:t>（1000-500）×0.8%=4万元</w:t>
      </w:r>
    </w:p>
    <w:p w14:paraId="5870629E">
      <w:pPr>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highlight w:val="none"/>
        </w:rPr>
      </w:pPr>
      <w:r>
        <w:rPr>
          <w:rFonts w:hint="eastAsia" w:ascii="仿宋" w:hAnsi="仿宋" w:eastAsia="仿宋" w:cs="仿宋"/>
          <w:color w:val="auto"/>
          <w:highlight w:val="none"/>
        </w:rPr>
        <w:t>（5000-1000）×0.5%=20万元</w:t>
      </w:r>
    </w:p>
    <w:p w14:paraId="5A53CE1A">
      <w:pPr>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highlight w:val="none"/>
        </w:rPr>
      </w:pPr>
      <w:r>
        <w:rPr>
          <w:rFonts w:hint="eastAsia" w:ascii="仿宋" w:hAnsi="仿宋" w:eastAsia="仿宋" w:cs="仿宋"/>
          <w:color w:val="auto"/>
          <w:highlight w:val="none"/>
        </w:rPr>
        <w:t>（6000-5000）×0.25%=2.5万元</w:t>
      </w:r>
    </w:p>
    <w:p w14:paraId="5ADB23ED">
      <w:pPr>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合计收费=1.5+4.4+4+20+2.5=32.4（万元） </w:t>
      </w:r>
      <w:r>
        <w:rPr>
          <w:rFonts w:hint="eastAsia" w:ascii="仿宋" w:hAnsi="仿宋" w:eastAsia="仿宋" w:cs="仿宋"/>
          <w:color w:val="auto"/>
          <w:szCs w:val="21"/>
          <w:highlight w:val="none"/>
        </w:rPr>
        <w:t xml:space="preserve">   </w:t>
      </w:r>
    </w:p>
    <w:p w14:paraId="6B77148C">
      <w:pPr>
        <w:rPr>
          <w:rFonts w:ascii="黑体" w:hAnsi="黑体" w:eastAsia="黑体" w:cs="宋体"/>
          <w:color w:val="auto"/>
          <w:kern w:val="0"/>
          <w:sz w:val="28"/>
          <w:szCs w:val="28"/>
          <w:highlight w:val="none"/>
        </w:rPr>
      </w:pPr>
      <w:r>
        <w:rPr>
          <w:rFonts w:hint="eastAsia" w:ascii="仿宋" w:hAnsi="仿宋" w:eastAsia="仿宋" w:cs="仿宋"/>
          <w:color w:val="auto"/>
          <w:szCs w:val="21"/>
          <w:highlight w:val="none"/>
        </w:rPr>
        <w:t xml:space="preserve"> </w:t>
      </w:r>
      <w:r>
        <w:rPr>
          <w:rFonts w:hint="eastAsia" w:ascii="黑体" w:hAnsi="黑体" w:eastAsia="黑体" w:cs="宋体"/>
          <w:color w:val="auto"/>
          <w:kern w:val="0"/>
          <w:sz w:val="28"/>
          <w:szCs w:val="28"/>
          <w:highlight w:val="none"/>
        </w:rPr>
        <w:t>九、凡对本次公告内容提出询问，请按以下方式联系。</w:t>
      </w:r>
    </w:p>
    <w:p w14:paraId="1ECB9469">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1.采购人信息</w:t>
      </w:r>
    </w:p>
    <w:p w14:paraId="0C426AA0">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名    称：北京市政务服务和数据管理局</w:t>
      </w:r>
    </w:p>
    <w:p w14:paraId="2211D342">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址：北京市通州区留庄路5号院2号楼</w:t>
      </w:r>
    </w:p>
    <w:p w14:paraId="2ECF39C1">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联系方式：010-55529588</w:t>
      </w:r>
    </w:p>
    <w:p w14:paraId="6C8E2F59">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2.采购代理机构信息</w:t>
      </w:r>
    </w:p>
    <w:p w14:paraId="0121D80D">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名    称：中技国际招标有限公司</w:t>
      </w:r>
    </w:p>
    <w:p w14:paraId="1CC4D3AC">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址：北京市丰台区西营街1号院通用时代中心C座9层</w:t>
      </w:r>
    </w:p>
    <w:p w14:paraId="370C90A1">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联系方式：010-81168489</w:t>
      </w:r>
    </w:p>
    <w:p w14:paraId="7ED95E29">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3.项目联系方式</w:t>
      </w:r>
    </w:p>
    <w:p w14:paraId="5A6F2D7F">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项目联系人：张杰浩</w:t>
      </w:r>
    </w:p>
    <w:p w14:paraId="038CFD84">
      <w:pPr>
        <w:spacing w:line="360" w:lineRule="auto"/>
        <w:ind w:firstLine="840" w:firstLineChars="3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电      话：010-81168489</w:t>
      </w:r>
    </w:p>
    <w:p w14:paraId="4579AFE7">
      <w:pPr>
        <w:rPr>
          <w:rFonts w:hint="eastAsia" w:ascii="黑体" w:hAnsi="黑体" w:eastAsia="黑体" w:cs="宋体"/>
          <w:color w:val="auto"/>
          <w:kern w:val="0"/>
          <w:sz w:val="28"/>
          <w:szCs w:val="28"/>
          <w:highlight w:val="none"/>
        </w:rPr>
      </w:pPr>
    </w:p>
    <w:p w14:paraId="74DB996B">
      <w:pPr>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十、附件</w:t>
      </w:r>
    </w:p>
    <w:p w14:paraId="41840A28">
      <w:pPr>
        <w:ind w:firstLine="560" w:firstLineChars="200"/>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1.采购文件</w:t>
      </w:r>
    </w:p>
    <w:p w14:paraId="5A67402C">
      <w:pPr>
        <w:ind w:firstLine="560" w:firstLineChars="200"/>
        <w:rPr>
          <w:rFonts w:hint="eastAsia" w:ascii="仿宋" w:hAnsi="仿宋" w:eastAsia="仿宋" w:cs="宋体"/>
          <w:color w:val="auto"/>
          <w:kern w:val="0"/>
          <w:sz w:val="28"/>
          <w:szCs w:val="28"/>
          <w:highlight w:val="none"/>
          <w:lang w:eastAsia="zh-CN"/>
        </w:rPr>
      </w:pPr>
      <w:r>
        <w:rPr>
          <w:rFonts w:hint="eastAsia" w:ascii="仿宋" w:hAnsi="仿宋" w:eastAsia="仿宋" w:cs="宋体"/>
          <w:color w:val="auto"/>
          <w:kern w:val="0"/>
          <w:sz w:val="28"/>
          <w:szCs w:val="28"/>
          <w:highlight w:val="none"/>
          <w:lang w:val="en-US" w:eastAsia="zh-CN"/>
        </w:rPr>
        <w:t>2</w:t>
      </w:r>
      <w:r>
        <w:rPr>
          <w:rFonts w:hint="eastAsia" w:ascii="仿宋" w:hAnsi="仿宋" w:eastAsia="仿宋" w:cs="宋体"/>
          <w:color w:val="auto"/>
          <w:kern w:val="0"/>
          <w:sz w:val="28"/>
          <w:szCs w:val="28"/>
          <w:highlight w:val="none"/>
        </w:rPr>
        <w:t>.</w:t>
      </w:r>
      <w:r>
        <w:rPr>
          <w:rFonts w:hint="eastAsia" w:ascii="仿宋" w:hAnsi="仿宋" w:eastAsia="仿宋" w:cs="宋体"/>
          <w:color w:val="auto"/>
          <w:kern w:val="0"/>
          <w:sz w:val="28"/>
          <w:szCs w:val="28"/>
          <w:highlight w:val="none"/>
          <w:lang w:eastAsia="zh-CN"/>
        </w:rPr>
        <w:t>中标结果公告</w:t>
      </w:r>
    </w:p>
    <w:p w14:paraId="14D564FB">
      <w:pPr>
        <w:ind w:firstLine="560" w:firstLineChars="200"/>
        <w:rPr>
          <w:rFonts w:hint="default" w:ascii="仿宋" w:hAnsi="仿宋" w:eastAsia="仿宋" w:cs="宋体"/>
          <w:color w:val="auto"/>
          <w:kern w:val="0"/>
          <w:sz w:val="28"/>
          <w:szCs w:val="28"/>
          <w:highlight w:val="none"/>
          <w:lang w:val="en-US" w:eastAsia="zh-CN"/>
        </w:rPr>
      </w:pPr>
      <w:r>
        <w:rPr>
          <w:rFonts w:hint="eastAsia" w:ascii="仿宋" w:hAnsi="仿宋" w:eastAsia="仿宋" w:cs="宋体"/>
          <w:color w:val="auto"/>
          <w:kern w:val="0"/>
          <w:sz w:val="28"/>
          <w:szCs w:val="28"/>
          <w:highlight w:val="none"/>
          <w:lang w:val="en-US" w:eastAsia="zh-CN"/>
        </w:rPr>
        <w:t>3.中小企业声明函</w:t>
      </w:r>
    </w:p>
    <w:p w14:paraId="0DE6F6AC">
      <w:pPr>
        <w:pStyle w:val="4"/>
        <w:ind w:firstLine="0" w:firstLineChars="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6E3DE5"/>
    <w:multiLevelType w:val="singleLevel"/>
    <w:tmpl w:val="616E3DE5"/>
    <w:lvl w:ilvl="0" w:tentative="0">
      <w:start w:val="5"/>
      <w:numFmt w:val="chineseCounting"/>
      <w:suff w:val="nothing"/>
      <w:lvlText w:val="%1、"/>
      <w:lvlJc w:val="left"/>
    </w:lvl>
  </w:abstractNum>
  <w:abstractNum w:abstractNumId="1">
    <w:nsid w:val="61B074EA"/>
    <w:multiLevelType w:val="multilevel"/>
    <w:tmpl w:val="61B074E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C2BD22"/>
    <w:multiLevelType w:val="singleLevel"/>
    <w:tmpl w:val="61C2BD22"/>
    <w:lvl w:ilvl="0" w:tentative="0">
      <w:start w:val="4"/>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jZjQ0NDFkMGQ2ODA4MzYyNWU1MzRkN2VlMWNmZmYifQ=="/>
  </w:docVars>
  <w:rsids>
    <w:rsidRoot w:val="40357029"/>
    <w:rsid w:val="00F44F67"/>
    <w:rsid w:val="01225F13"/>
    <w:rsid w:val="021D30A7"/>
    <w:rsid w:val="024E73C1"/>
    <w:rsid w:val="03082D39"/>
    <w:rsid w:val="03717647"/>
    <w:rsid w:val="04AC2FBA"/>
    <w:rsid w:val="04D252DB"/>
    <w:rsid w:val="07832AA2"/>
    <w:rsid w:val="07EF6488"/>
    <w:rsid w:val="0AAE2EF8"/>
    <w:rsid w:val="0B192D0A"/>
    <w:rsid w:val="0C6340B5"/>
    <w:rsid w:val="0C6912A3"/>
    <w:rsid w:val="0F1A2BED"/>
    <w:rsid w:val="0F290022"/>
    <w:rsid w:val="10894C2E"/>
    <w:rsid w:val="118F7600"/>
    <w:rsid w:val="14775ACA"/>
    <w:rsid w:val="1584754C"/>
    <w:rsid w:val="171C6B6E"/>
    <w:rsid w:val="17D949FF"/>
    <w:rsid w:val="18434A38"/>
    <w:rsid w:val="185C1918"/>
    <w:rsid w:val="1A737CF5"/>
    <w:rsid w:val="1C5841A4"/>
    <w:rsid w:val="1C7D1E5D"/>
    <w:rsid w:val="1C855353"/>
    <w:rsid w:val="1CB302B9"/>
    <w:rsid w:val="1D297C66"/>
    <w:rsid w:val="1DB57971"/>
    <w:rsid w:val="2058178A"/>
    <w:rsid w:val="2080016D"/>
    <w:rsid w:val="20F326ED"/>
    <w:rsid w:val="218F47CC"/>
    <w:rsid w:val="21AA615B"/>
    <w:rsid w:val="21D975DE"/>
    <w:rsid w:val="243A6885"/>
    <w:rsid w:val="253908EB"/>
    <w:rsid w:val="25755DC7"/>
    <w:rsid w:val="262A4E03"/>
    <w:rsid w:val="287C4C49"/>
    <w:rsid w:val="28CA01D8"/>
    <w:rsid w:val="29031704"/>
    <w:rsid w:val="29094010"/>
    <w:rsid w:val="2B315D61"/>
    <w:rsid w:val="2B47568D"/>
    <w:rsid w:val="2C652E7D"/>
    <w:rsid w:val="2E6D5918"/>
    <w:rsid w:val="2FBB2402"/>
    <w:rsid w:val="301574EF"/>
    <w:rsid w:val="303E2ED3"/>
    <w:rsid w:val="304457F4"/>
    <w:rsid w:val="31B23EFF"/>
    <w:rsid w:val="330E1609"/>
    <w:rsid w:val="34853C29"/>
    <w:rsid w:val="37235C61"/>
    <w:rsid w:val="38520402"/>
    <w:rsid w:val="396003DF"/>
    <w:rsid w:val="3A0557A4"/>
    <w:rsid w:val="3A4F2C33"/>
    <w:rsid w:val="3A6B71C0"/>
    <w:rsid w:val="3A7A68BD"/>
    <w:rsid w:val="3B7A1023"/>
    <w:rsid w:val="40357029"/>
    <w:rsid w:val="41BD5CDC"/>
    <w:rsid w:val="42770F78"/>
    <w:rsid w:val="42DB611F"/>
    <w:rsid w:val="443662AD"/>
    <w:rsid w:val="445F61E4"/>
    <w:rsid w:val="44692B43"/>
    <w:rsid w:val="44C77996"/>
    <w:rsid w:val="44DE708D"/>
    <w:rsid w:val="46D641D1"/>
    <w:rsid w:val="480559C8"/>
    <w:rsid w:val="4B1F36F9"/>
    <w:rsid w:val="4D3C5EC9"/>
    <w:rsid w:val="4EDA1F14"/>
    <w:rsid w:val="4F480D81"/>
    <w:rsid w:val="50D1479B"/>
    <w:rsid w:val="50EB55A2"/>
    <w:rsid w:val="56FA587C"/>
    <w:rsid w:val="58D66FC6"/>
    <w:rsid w:val="5A2F03B0"/>
    <w:rsid w:val="5A687DD5"/>
    <w:rsid w:val="5D044814"/>
    <w:rsid w:val="5D110C47"/>
    <w:rsid w:val="5FF670B6"/>
    <w:rsid w:val="625C73EB"/>
    <w:rsid w:val="626601DA"/>
    <w:rsid w:val="6497724C"/>
    <w:rsid w:val="657E636F"/>
    <w:rsid w:val="66175DAA"/>
    <w:rsid w:val="66EA5766"/>
    <w:rsid w:val="678D730F"/>
    <w:rsid w:val="68993A55"/>
    <w:rsid w:val="69207E48"/>
    <w:rsid w:val="6AB82017"/>
    <w:rsid w:val="6AF04D6A"/>
    <w:rsid w:val="6E881C94"/>
    <w:rsid w:val="7085515D"/>
    <w:rsid w:val="70A65541"/>
    <w:rsid w:val="7177299A"/>
    <w:rsid w:val="71FF4B98"/>
    <w:rsid w:val="729C1975"/>
    <w:rsid w:val="730B69EF"/>
    <w:rsid w:val="731B41FE"/>
    <w:rsid w:val="741E09A4"/>
    <w:rsid w:val="77356731"/>
    <w:rsid w:val="77C27899"/>
    <w:rsid w:val="77F0120C"/>
    <w:rsid w:val="781539A7"/>
    <w:rsid w:val="782319AE"/>
    <w:rsid w:val="7A484AFD"/>
    <w:rsid w:val="7AF83C31"/>
    <w:rsid w:val="7CF90FE1"/>
    <w:rsid w:val="7DAA6640"/>
    <w:rsid w:val="7FA53D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unhideWhenUsed/>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5">
    <w:name w:val="Default Paragraph Font"/>
    <w:autoRedefine/>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6">
    <w:name w:val="Body Text"/>
    <w:basedOn w:val="1"/>
    <w:qFormat/>
    <w:uiPriority w:val="0"/>
    <w:pPr>
      <w:tabs>
        <w:tab w:val="left" w:pos="567"/>
      </w:tabs>
      <w:spacing w:before="120" w:line="22" w:lineRule="atLeast"/>
    </w:pPr>
    <w:rPr>
      <w:rFonts w:ascii="宋体" w:hAnsi="宋体"/>
      <w:sz w:val="24"/>
    </w:rPr>
  </w:style>
  <w:style w:type="paragraph" w:styleId="7">
    <w:name w:val="Body Text Indent"/>
    <w:basedOn w:val="1"/>
    <w:next w:val="1"/>
    <w:qFormat/>
    <w:uiPriority w:val="0"/>
    <w:pPr>
      <w:spacing w:after="120"/>
      <w:ind w:left="420" w:leftChars="200"/>
    </w:pPr>
  </w:style>
  <w:style w:type="paragraph" w:styleId="8">
    <w:name w:val="Plain Text"/>
    <w:basedOn w:val="1"/>
    <w:next w:val="1"/>
    <w:qFormat/>
    <w:uiPriority w:val="0"/>
    <w:rPr>
      <w:rFonts w:ascii="宋体" w:hAnsi="Courier New" w:eastAsiaTheme="minorEastAsia" w:cstheme="minorBidi"/>
      <w:szCs w:val="22"/>
    </w:rPr>
  </w:style>
  <w:style w:type="paragraph" w:styleId="9">
    <w:name w:val="toc 2"/>
    <w:basedOn w:val="1"/>
    <w:next w:val="1"/>
    <w:qFormat/>
    <w:uiPriority w:val="39"/>
    <w:pPr>
      <w:tabs>
        <w:tab w:val="right" w:leader="dot" w:pos="8937"/>
      </w:tabs>
      <w:spacing w:line="312" w:lineRule="auto"/>
      <w:ind w:left="420" w:leftChars="200"/>
    </w:pPr>
  </w:style>
  <w:style w:type="paragraph" w:styleId="10">
    <w:name w:val="Title"/>
    <w:basedOn w:val="1"/>
    <w:next w:val="1"/>
    <w:qFormat/>
    <w:uiPriority w:val="0"/>
    <w:pPr>
      <w:jc w:val="center"/>
      <w:outlineLvl w:val="0"/>
    </w:pPr>
    <w:rPr>
      <w:b/>
      <w:sz w:val="32"/>
      <w:szCs w:val="20"/>
    </w:rPr>
  </w:style>
  <w:style w:type="paragraph" w:styleId="11">
    <w:name w:val="Body Text First Indent"/>
    <w:basedOn w:val="6"/>
    <w:unhideWhenUsed/>
    <w:qFormat/>
    <w:uiPriority w:val="99"/>
    <w:pPr>
      <w:spacing w:before="0" w:after="120" w:line="240" w:lineRule="auto"/>
      <w:ind w:firstLine="420" w:firstLineChars="100"/>
    </w:pPr>
    <w:rPr>
      <w:rFonts w:ascii="Times New Roman" w:hAnsi="Times New Roman" w:eastAsia="宋体" w:cs="Times New Roman"/>
      <w:sz w:val="21"/>
    </w:rPr>
  </w:style>
  <w:style w:type="paragraph" w:styleId="12">
    <w:name w:val="Body Text First Indent 2"/>
    <w:basedOn w:val="7"/>
    <w:qFormat/>
    <w:uiPriority w:val="0"/>
    <w:pPr>
      <w:ind w:firstLine="420" w:firstLineChars="200"/>
    </w:p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
    <w:name w:val="font11"/>
    <w:basedOn w:val="15"/>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9dfd5dbc-8a72-4f4c-a97d-3013b7d80737</errorID>
      <errorWord>(</errorWord>
      <group>L1_Format</group>
      <groupName>格式问题</groupName>
      <ability>L2_HalfPunc</ability>
      <abilityName>全半角检查</abilityName>
      <candidateList>
        <item>（</item>
      </candidateList>
      <explain>文本全半角错误。</explain>
      <paraID> B0CB93B</paraID>
      <start>12</start>
      <end>13</end>
      <status>unmodified</status>
      <modifiedWord/>
      <trackRevisions>false</trackRevisions>
    </reviewItem>
    <reviewItem>
      <errorID>5047738e-b4a8-4d6c-82cd-c43ac94f40f5</errorID>
      <errorWord>)</errorWord>
      <group>L1_Format</group>
      <groupName>格式问题</groupName>
      <ability>L2_HalfPunc</ability>
      <abilityName>全半角检查</abilityName>
      <candidateList>
        <item>）</item>
      </candidateList>
      <explain>文本全半角错误。</explain>
      <paraID> B0CB93B</paraID>
      <start>16</start>
      <end>17</end>
      <status>unmodified</status>
      <modifiedWord/>
      <trackRevisions>false</trackRevisions>
    </reviewItem>
    <reviewItem>
      <errorID>3ea1272f-a49b-41f2-81be-b2d0de4dea2e</errorID>
      <errorWord>等</errorWord>
      <group>L1_Grammar</group>
      <groupName>语法问题</groupName>
      <ability>L2_Order</ability>
      <abilityName>语序不当</abilityName>
      <candidateList>
        <item>楼等</item>
      </candidateList>
      <explain>句子可能没有遵循时空、逻辑顺序，或者介词、关联词等位置不当。</explain>
      <paraID>11D825B0</paraID>
      <start>53</start>
      <end>54</end>
      <status>unmodified</status>
      <modifiedWord/>
      <trackRevisions>false</trackRevisions>
    </reviewItem>
    <reviewItem>
      <errorID>5edec499-5cfc-4c7f-9487-5f60b2dc6fa7</errorID>
      <errorWord>(</errorWord>
      <group>L1_Format</group>
      <groupName>格式问题</groupName>
      <ability>L2_HalfPunc</ability>
      <abilityName>全半角检查</abilityName>
      <candidateList>
        <item>（</item>
      </candidateList>
      <explain>文本全半角错误。</explain>
      <paraID>251E5722</paraID>
      <start>8</start>
      <end>9</end>
      <status>unmodified</status>
      <modifiedWord/>
      <trackRevisions>false</trackRevisions>
    </reviewItem>
    <reviewItem>
      <errorID>90885b04-1f39-41c1-bf33-e531cee122dc</errorID>
      <errorWord>)</errorWord>
      <group>L1_Format</group>
      <groupName>格式问题</groupName>
      <ability>L2_HalfPunc</ability>
      <abilityName>全半角检查</abilityName>
      <candidateList>
        <item>）</item>
      </candidateList>
      <explain>文本全半角错误。</explain>
      <paraID>251E5722</paraID>
      <start>11</start>
      <end>12</end>
      <status>unmodified</status>
      <modifiedWord/>
      <trackRevisions>false</trackRevisions>
    </reviewItem>
    <reviewItem>
      <errorID>abbaccb4-4b86-4fcf-99e9-412838cd6d95</errorID>
      <errorWord>其它</errorWord>
      <group>L1_Word</group>
      <groupName>字词问题</groupName>
      <ability>L2_Alias</ability>
      <abilityName>也作/曾用词</abilityName>
      <candidateList>
        <item>其他</item>
      </candidateList>
      <explain>词汇[其它]为不规范表述或旧称，其规范书面表述为[其他]。</explain>
      <paraID>2523D089</paraID>
      <start>28</start>
      <end>30</end>
      <status>unmodified</status>
      <modifiedWord/>
      <trackRevisions>false</trackRevisions>
    </reviewItem>
    <reviewItem>
      <errorID>88f55c2a-f2e1-4bab-a26d-b349eadf3823</errorID>
      <errorWord>(</errorWord>
      <group>L1_Format</group>
      <groupName>格式问题</groupName>
      <ability>L2_HalfPunc</ability>
      <abilityName>全半角检查</abilityName>
      <candidateList>
        <item>（</item>
      </candidateList>
      <explain>文本全半角错误。</explain>
      <paraID>2E9C8F30</paraID>
      <start>6</start>
      <end>7</end>
      <status>unmodified</status>
      <modifiedWord/>
      <trackRevisions>false</trackRevisions>
    </reviewItem>
    <reviewItem>
      <errorID>1d76ea37-e4ac-4a71-bd77-2418597b7a28</errorID>
      <errorWord>)</errorWord>
      <group>L1_Format</group>
      <groupName>格式问题</groupName>
      <ability>L2_HalfPunc</ability>
      <abilityName>全半角检查</abilityName>
      <candidateList>
        <item>）</item>
      </candidateList>
      <explain>文本全半角错误。</explain>
      <paraID>2E9C8F30</paraID>
      <start>10</start>
      <end>11</end>
      <status>unmodified</status>
      <modifiedWord/>
      <trackRevisions>false</trackRevisions>
    </reviewItem>
    <reviewItem>
      <errorID>8b514e22-ca71-4a9b-a92f-386abf9723d3</errorID>
      <errorWord>(</errorWord>
      <group>L1_Format</group>
      <groupName>格式问题</groupName>
      <ability>L2_HalfPunc</ability>
      <abilityName>全半角检查</abilityName>
      <candidateList>
        <item>（</item>
      </candidateList>
      <explain>文本全半角错误。</explain>
      <paraID> 971C407</paraID>
      <start>2</start>
      <end>3</end>
      <status>unmodified</status>
      <modifiedWord/>
      <trackRevisions>false</trackRevisions>
    </reviewItem>
    <reviewItem>
      <errorID>010b7a84-e9e9-4911-ba45-67695ea7939a</errorID>
      <errorWord>)</errorWord>
      <group>L1_Format</group>
      <groupName>格式问题</groupName>
      <ability>L2_HalfPunc</ability>
      <abilityName>全半角检查</abilityName>
      <candidateList>
        <item>）</item>
      </candidateList>
      <explain>文本全半角错误。</explain>
      <paraID> 971C407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4b6baa-78c7-4e43-8eb6-4fdfd107016e}">
  <ds:schemaRefs/>
</ds:datastoreItem>
</file>

<file path=docProps/app.xml><?xml version="1.0" encoding="utf-8"?>
<Properties xmlns="http://schemas.openxmlformats.org/officeDocument/2006/extended-properties" xmlns:vt="http://schemas.openxmlformats.org/officeDocument/2006/docPropsVTypes">
  <Template>Normal.dotm</Template>
  <Pages>7</Pages>
  <Words>2862</Words>
  <Characters>3221</Characters>
  <Lines>0</Lines>
  <Paragraphs>0</Paragraphs>
  <TotalTime>12</TotalTime>
  <ScaleCrop>false</ScaleCrop>
  <LinksUpToDate>false</LinksUpToDate>
  <CharactersWithSpaces>3272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2021-10-19T02:53:00Z</dcterms:created>
  <dc:creator>Administrator</dc:creator>
  <cp:lastModifiedBy>吴家豪</cp:lastModifiedBy>
  <dcterms:modified xsi:type="dcterms:W3CDTF">2026-09-28T06:05:47Z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4B6C396700D34E7CAC541751A7D19C96_13</vt:lpwstr>
  </property>
  <property fmtid="{D5CDD505-2E9C-101B-9397-08002B2CF9AE}" pid="4" name="KSOTemplateDocerSaveRecord">
    <vt:lpwstr>eyJoZGlkIjoiZGZlOTljNDE3Y2FmYThhMjgxY2Y3ODVlZmZjODA3NzkiLCJ1c2VySWQiOiI1MjIyMjE0NTMifQ==</vt:lpwstr>
  </property>
</Properties>
</file>