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spacing w:val="0"/>
          <w:w w:val="100"/>
          <w:position w:val="0"/>
          <w:sz w:val="31"/>
          <w:szCs w:val="31"/>
        </w:rPr>
      </w:pPr>
    </w:p>
    <w:p>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before="195" w:line="219" w:lineRule="auto"/>
        <w:textAlignment w:val="baseline"/>
        <w:outlineLvl w:val="0"/>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pPr>
      <w:bookmarkStart w:id="0" w:name="_Toc30593"/>
    </w:p>
    <w:p>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spacing w:val="0"/>
          <w:w w:val="100"/>
          <w:position w:val="0"/>
          <w:sz w:val="60"/>
          <w:szCs w:val="60"/>
        </w:rPr>
      </w:pP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北京市政府采购项目</w:t>
      </w:r>
      <w:bookmarkEnd w:id="0"/>
    </w:p>
    <w:p>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spacing w:val="0"/>
          <w:w w:val="100"/>
          <w:position w:val="0"/>
          <w:sz w:val="60"/>
          <w:szCs w:val="60"/>
        </w:rPr>
      </w:pPr>
      <w:bookmarkStart w:id="1" w:name="_Toc3435"/>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公开招标文件示范文本</w:t>
      </w:r>
      <w:bookmarkEnd w:id="1"/>
    </w:p>
    <w:p>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highlight w:val="none"/>
        </w:rPr>
      </w:pP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highlight w:val="none"/>
          <w:lang w:eastAsia="zh-CN"/>
        </w:rPr>
      </w:pPr>
      <w:r>
        <w:rPr>
          <w:rFonts w:hint="eastAsia" w:ascii="宋体" w:hAnsi="宋体" w:eastAsia="宋体" w:cs="宋体"/>
          <w:spacing w:val="0"/>
          <w:w w:val="100"/>
          <w:position w:val="0"/>
          <w:sz w:val="36"/>
          <w:szCs w:val="36"/>
          <w:highlight w:val="none"/>
        </w:rPr>
        <w:t>项目名称：</w:t>
      </w:r>
      <w:r>
        <w:rPr>
          <w:rFonts w:hint="eastAsia" w:ascii="宋体" w:hAnsi="宋体" w:eastAsia="宋体" w:cs="宋体"/>
          <w:spacing w:val="0"/>
          <w:w w:val="100"/>
          <w:position w:val="0"/>
          <w:sz w:val="36"/>
          <w:szCs w:val="36"/>
          <w:highlight w:val="none"/>
          <w:lang w:eastAsia="zh-CN"/>
        </w:rPr>
        <w:t>2024怀柔国潮文化节采购项目</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highlight w:val="none"/>
          <w:lang w:eastAsia="zh-CN"/>
        </w:rPr>
      </w:pPr>
      <w:r>
        <w:rPr>
          <w:rFonts w:hint="eastAsia" w:ascii="宋体" w:hAnsi="宋体" w:eastAsia="宋体" w:cs="宋体"/>
          <w:spacing w:val="0"/>
          <w:w w:val="100"/>
          <w:position w:val="0"/>
          <w:sz w:val="36"/>
          <w:szCs w:val="36"/>
          <w:highlight w:val="none"/>
        </w:rPr>
        <w:t>项目编号：</w:t>
      </w:r>
      <w:r>
        <w:rPr>
          <w:rFonts w:hint="eastAsia" w:ascii="宋体" w:hAnsi="宋体" w:eastAsia="宋体" w:cs="宋体"/>
          <w:spacing w:val="0"/>
          <w:w w:val="100"/>
          <w:position w:val="0"/>
          <w:sz w:val="36"/>
          <w:szCs w:val="36"/>
          <w:highlight w:val="none"/>
          <w:lang w:eastAsia="zh-CN"/>
        </w:rPr>
        <w:t>11011624210200009036-XM001</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采购人：</w:t>
      </w:r>
      <w:r>
        <w:rPr>
          <w:rFonts w:hint="eastAsia" w:ascii="宋体" w:hAnsi="宋体" w:eastAsia="宋体" w:cs="宋体"/>
          <w:spacing w:val="0"/>
          <w:w w:val="100"/>
          <w:position w:val="0"/>
          <w:sz w:val="36"/>
          <w:szCs w:val="36"/>
          <w:lang w:val="en-US" w:eastAsia="zh-CN"/>
        </w:rPr>
        <w:t>北京市怀柔区文化和旅游局</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sectPr>
          <w:pgSz w:w="11907" w:h="16841"/>
          <w:pgMar w:top="1117" w:right="1066" w:bottom="1060" w:left="1701" w:header="0" w:footer="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pacing w:val="0"/>
          <w:w w:val="100"/>
          <w:position w:val="0"/>
          <w:sz w:val="36"/>
          <w:szCs w:val="36"/>
        </w:rPr>
        <w:t>采购代理机构：</w:t>
      </w:r>
      <w:r>
        <w:rPr>
          <w:rFonts w:hint="eastAsia" w:ascii="宋体" w:hAnsi="宋体" w:eastAsia="宋体" w:cs="宋体"/>
          <w:spacing w:val="0"/>
          <w:w w:val="100"/>
          <w:position w:val="0"/>
          <w:sz w:val="36"/>
          <w:szCs w:val="36"/>
          <w:lang w:val="en-US" w:eastAsia="zh-CN"/>
        </w:rPr>
        <w:t>中归咨询管理（北京）有限公司</w:t>
      </w:r>
    </w:p>
    <w:p>
      <w:pPr>
        <w:pStyle w:val="6"/>
        <w:keepNext w:val="0"/>
        <w:keepLines w:val="0"/>
        <w:pageBreakBefore w:val="0"/>
        <w:widowControl/>
        <w:kinsoku/>
        <w:wordWrap/>
        <w:overflowPunct/>
        <w:topLinePunct w:val="0"/>
        <w:autoSpaceDE/>
        <w:autoSpaceDN/>
        <w:bidi w:val="0"/>
        <w:adjustRightInd w:val="0"/>
        <w:snapToGrid w:val="0"/>
        <w:spacing w:before="353" w:line="222" w:lineRule="auto"/>
        <w:jc w:val="center"/>
        <w:textAlignment w:val="baseline"/>
        <w:outlineLvl w:val="0"/>
        <w:rPr>
          <w:rFonts w:hint="eastAsia" w:ascii="宋体" w:hAnsi="宋体" w:eastAsia="宋体" w:cs="宋体"/>
          <w:spacing w:val="0"/>
          <w:w w:val="100"/>
          <w:position w:val="0"/>
          <w:sz w:val="36"/>
          <w:szCs w:val="36"/>
        </w:rPr>
      </w:pPr>
      <w:bookmarkStart w:id="2" w:name="_Toc2449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目</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录</w:t>
      </w:r>
      <w:bookmarkEnd w:id="2"/>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sdt>
      <w:sdtPr>
        <w:rPr>
          <w:rFonts w:ascii="宋体" w:hAnsi="宋体" w:eastAsia="宋体" w:cs="Arial"/>
          <w:snapToGrid w:val="0"/>
          <w:color w:val="000000"/>
          <w:kern w:val="0"/>
          <w:sz w:val="21"/>
          <w:szCs w:val="21"/>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000000"/>
          <w:spacing w:val="0"/>
          <w:w w:val="100"/>
          <w:kern w:val="0"/>
          <w:position w:val="0"/>
          <w:sz w:val="21"/>
          <w:szCs w:val="24"/>
          <w:lang w:val="en-US" w:eastAsia="en-US" w:bidi="ar-SA"/>
        </w:rPr>
      </w:sdtEndPr>
      <w:sdtContent>
        <w:p>
          <w:pPr>
            <w:spacing w:before="0" w:beforeLines="0" w:after="0" w:afterLines="0" w:line="240" w:lineRule="auto"/>
            <w:ind w:left="0" w:leftChars="0" w:right="0" w:rightChars="0" w:firstLine="0" w:firstLineChars="0"/>
            <w:jc w:val="center"/>
          </w:pPr>
        </w:p>
        <w:p>
          <w:pPr>
            <w:pStyle w:val="26"/>
            <w:tabs>
              <w:tab w:val="right" w:leader="dot" w:pos="9074"/>
            </w:tabs>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TOC \o "1-3" \h \u </w:instrText>
          </w:r>
          <w:r>
            <w:rPr>
              <w:rFonts w:hint="eastAsia" w:ascii="宋体" w:hAnsi="宋体" w:eastAsia="宋体" w:cs="宋体"/>
              <w:spacing w:val="0"/>
              <w:w w:val="100"/>
              <w:position w:val="0"/>
              <w:sz w:val="24"/>
              <w:szCs w:val="24"/>
            </w:rPr>
            <w:fldChar w:fldCharType="separate"/>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_Toc17495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_Toc17495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_Toc15254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_Toc15254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_Toc2680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_Toc2680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_Toc7739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_Toc7739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_Toc23597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_Toc23597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_Toc17899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拟签订的合同文本</w:t>
          </w:r>
          <w:r>
            <w:rPr>
              <w:rFonts w:hint="eastAsia" w:ascii="宋体" w:hAnsi="宋体" w:eastAsia="宋体" w:cs="宋体"/>
              <w:sz w:val="28"/>
              <w:szCs w:val="28"/>
            </w:rPr>
            <w:tab/>
          </w:r>
          <w:r>
            <w:rPr>
              <w:rFonts w:hint="eastAsia" w:ascii="宋体" w:hAnsi="宋体" w:cs="宋体"/>
              <w:sz w:val="28"/>
              <w:szCs w:val="28"/>
              <w:lang w:val="en-US" w:eastAsia="zh-CN"/>
            </w:rPr>
            <w:t>4</w:t>
          </w:r>
          <w:r>
            <w:rPr>
              <w:rFonts w:hint="eastAsia" w:ascii="宋体" w:hAnsi="宋体" w:eastAsia="宋体" w:cs="宋体"/>
              <w:spacing w:val="0"/>
              <w:w w:val="100"/>
              <w:position w:val="0"/>
              <w:sz w:val="28"/>
              <w:szCs w:val="28"/>
            </w:rPr>
            <w:fldChar w:fldCharType="end"/>
          </w:r>
          <w:r>
            <w:rPr>
              <w:rFonts w:hint="eastAsia" w:ascii="宋体" w:hAnsi="宋体" w:cs="宋体"/>
              <w:spacing w:val="0"/>
              <w:w w:val="100"/>
              <w:position w:val="0"/>
              <w:sz w:val="28"/>
              <w:szCs w:val="28"/>
              <w:lang w:val="en-US" w:eastAsia="zh-CN"/>
            </w:rPr>
            <w:t>5</w:t>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_Toc24165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_Toc24165 \h </w:instrText>
          </w:r>
          <w:r>
            <w:rPr>
              <w:rFonts w:hint="eastAsia" w:ascii="宋体" w:hAnsi="宋体" w:eastAsia="宋体" w:cs="宋体"/>
              <w:sz w:val="28"/>
              <w:szCs w:val="28"/>
            </w:rPr>
            <w:fldChar w:fldCharType="separate"/>
          </w:r>
          <w:r>
            <w:rPr>
              <w:rFonts w:hint="eastAsia" w:ascii="宋体" w:hAnsi="宋体" w:eastAsia="宋体" w:cs="宋体"/>
              <w:sz w:val="28"/>
              <w:szCs w:val="28"/>
            </w:rPr>
            <w:t>56</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spacing w:val="0"/>
              <w:w w:val="100"/>
              <w:position w:val="0"/>
              <w:sz w:val="24"/>
              <w:szCs w:val="24"/>
            </w:rPr>
            <w:sectPr>
              <w:headerReference r:id="rId5" w:type="default"/>
              <w:footerReference r:id="rId6" w:type="default"/>
              <w:pgSz w:w="11907" w:h="16841"/>
              <w:pgMar w:top="1117" w:right="1133" w:bottom="0" w:left="1134" w:header="878" w:footer="0"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spacing w:val="0"/>
              <w:w w:val="100"/>
              <w:position w:val="0"/>
              <w:szCs w:val="24"/>
            </w:rPr>
            <w:fldChar w:fldCharType="end"/>
          </w:r>
        </w:p>
      </w:sdtContent>
    </w:sdt>
    <w:p>
      <w:pPr>
        <w:pStyle w:val="6"/>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spacing w:val="0"/>
          <w:w w:val="100"/>
          <w:position w:val="0"/>
          <w:sz w:val="36"/>
          <w:szCs w:val="36"/>
        </w:rPr>
      </w:pPr>
      <w:bookmarkStart w:id="3" w:name="_Toc174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投标邀请</w:t>
      </w:r>
      <w:bookmarkEnd w:id="3"/>
    </w:p>
    <w:p>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4" w:name="_Toc3217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一、项目基本情况</w:t>
      </w:r>
      <w:bookmarkEnd w:id="4"/>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highlight w:val="none"/>
          <w:lang w:eastAsia="zh-CN"/>
        </w:rPr>
      </w:pPr>
      <w:r>
        <w:rPr>
          <w:rFonts w:hint="eastAsia" w:ascii="宋体" w:hAnsi="宋体" w:eastAsia="宋体" w:cs="宋体"/>
          <w:spacing w:val="0"/>
          <w:w w:val="100"/>
          <w:position w:val="0"/>
          <w:sz w:val="24"/>
          <w:szCs w:val="24"/>
          <w:highlight w:val="none"/>
        </w:rPr>
        <w:t>1.项目编号：</w:t>
      </w:r>
      <w:r>
        <w:rPr>
          <w:rFonts w:hint="eastAsia" w:cs="宋体"/>
          <w:spacing w:val="0"/>
          <w:w w:val="100"/>
          <w:position w:val="0"/>
          <w:sz w:val="24"/>
          <w:szCs w:val="24"/>
          <w:highlight w:val="none"/>
          <w:u w:val="single" w:color="auto"/>
          <w:lang w:eastAsia="zh-CN"/>
        </w:rPr>
        <w:fldChar w:fldCharType="begin"/>
      </w:r>
      <w:r>
        <w:rPr>
          <w:rFonts w:hint="eastAsia" w:cs="宋体"/>
          <w:spacing w:val="0"/>
          <w:w w:val="100"/>
          <w:position w:val="0"/>
          <w:sz w:val="24"/>
          <w:szCs w:val="24"/>
          <w:highlight w:val="none"/>
          <w:u w:val="single" w:color="auto"/>
          <w:lang w:eastAsia="zh-CN"/>
        </w:rPr>
        <w:instrText xml:space="preserve"> HYPERLINK "http://219.232.204.193:8080/frontend/plan/project_detail.html?projectUuid=d3cd7267-2c82-4bec-955f-0e6942089242&amp;viewMode=accept" </w:instrText>
      </w:r>
      <w:r>
        <w:rPr>
          <w:rFonts w:hint="eastAsia" w:cs="宋体"/>
          <w:spacing w:val="0"/>
          <w:w w:val="100"/>
          <w:position w:val="0"/>
          <w:sz w:val="24"/>
          <w:szCs w:val="24"/>
          <w:highlight w:val="none"/>
          <w:u w:val="single" w:color="auto"/>
          <w:lang w:eastAsia="zh-CN"/>
        </w:rPr>
        <w:fldChar w:fldCharType="separate"/>
      </w:r>
      <w:r>
        <w:rPr>
          <w:rFonts w:hint="eastAsia" w:cs="宋体"/>
          <w:spacing w:val="0"/>
          <w:w w:val="100"/>
          <w:position w:val="0"/>
          <w:sz w:val="24"/>
          <w:szCs w:val="24"/>
          <w:highlight w:val="none"/>
          <w:u w:val="single" w:color="auto"/>
          <w:lang w:eastAsia="zh-CN"/>
        </w:rPr>
        <w:t>11011624210200009036-XM001</w:t>
      </w:r>
      <w:r>
        <w:rPr>
          <w:rFonts w:hint="eastAsia" w:cs="宋体"/>
          <w:spacing w:val="0"/>
          <w:w w:val="100"/>
          <w:position w:val="0"/>
          <w:sz w:val="24"/>
          <w:szCs w:val="24"/>
          <w:highlight w:val="none"/>
          <w:u w:val="single" w:color="auto"/>
          <w:lang w:eastAsia="zh-CN"/>
        </w:rPr>
        <w:fldChar w:fldCharType="end"/>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2.项目名称：</w:t>
      </w:r>
      <w:r>
        <w:rPr>
          <w:rFonts w:hint="eastAsia" w:cs="宋体"/>
          <w:spacing w:val="0"/>
          <w:w w:val="100"/>
          <w:position w:val="0"/>
          <w:sz w:val="24"/>
          <w:szCs w:val="24"/>
          <w:u w:val="single" w:color="auto"/>
          <w:lang w:val="en-US" w:eastAsia="zh-CN"/>
        </w:rPr>
        <w:t>2024怀柔国潮文化节采购项目</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3.项目预算金额：</w:t>
      </w:r>
      <w:r>
        <w:rPr>
          <w:rFonts w:hint="eastAsia" w:cs="宋体"/>
          <w:spacing w:val="0"/>
          <w:w w:val="100"/>
          <w:position w:val="0"/>
          <w:sz w:val="24"/>
          <w:szCs w:val="24"/>
          <w:u w:val="single" w:color="auto"/>
          <w:lang w:val="en-US" w:eastAsia="zh-CN"/>
        </w:rPr>
        <w:t>400</w:t>
      </w:r>
      <w:r>
        <w:rPr>
          <w:rFonts w:hint="eastAsia" w:ascii="宋体" w:hAnsi="宋体" w:eastAsia="宋体" w:cs="宋体"/>
          <w:spacing w:val="0"/>
          <w:w w:val="100"/>
          <w:position w:val="0"/>
          <w:sz w:val="24"/>
          <w:szCs w:val="24"/>
        </w:rPr>
        <w:t>万元、项目最高限价（如有）：</w:t>
      </w:r>
      <w:r>
        <w:rPr>
          <w:rFonts w:hint="eastAsia" w:cs="宋体"/>
          <w:spacing w:val="0"/>
          <w:w w:val="100"/>
          <w:position w:val="0"/>
          <w:sz w:val="24"/>
          <w:szCs w:val="24"/>
          <w:u w:val="single" w:color="auto"/>
          <w:lang w:val="en-US" w:eastAsia="zh-CN"/>
        </w:rPr>
        <w:t>400</w:t>
      </w:r>
      <w:r>
        <w:rPr>
          <w:rFonts w:hint="eastAsia" w:ascii="宋体" w:hAnsi="宋体" w:eastAsia="宋体" w:cs="宋体"/>
          <w:spacing w:val="0"/>
          <w:w w:val="100"/>
          <w:position w:val="0"/>
          <w:sz w:val="24"/>
          <w:szCs w:val="24"/>
        </w:rPr>
        <w:t>万元</w:t>
      </w:r>
    </w:p>
    <w:p>
      <w:pPr>
        <w:pStyle w:val="6"/>
        <w:keepNext w:val="0"/>
        <w:keepLines w:val="0"/>
        <w:pageBreakBefore w:val="0"/>
        <w:widowControl/>
        <w:kinsoku/>
        <w:wordWrap/>
        <w:overflowPunct/>
        <w:topLinePunct w:val="0"/>
        <w:autoSpaceDE/>
        <w:autoSpaceDN/>
        <w:bidi w:val="0"/>
        <w:adjustRightInd w:val="0"/>
        <w:snapToGrid w:val="0"/>
        <w:spacing w:line="360" w:lineRule="auto"/>
        <w:ind w:left="3" w:leftChars="0" w:firstLine="475" w:firstLineChars="198"/>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4.采购需求：为丰富首都市民文化生活，让消费者深度体验“有一种生活叫怀柔”，以“慢生活 微旅游”的文化新消费助推怀柔文旅产业高质量发展，通过打造以“怀柔国潮文化节”为品牌的系列活动，让游客来怀柔过七夕、度中秋、迎国庆，全方位、多角度感受传统节日与国潮氛围融合的独特魅力。怀柔区文化和旅游局计划开展“</w:t>
      </w:r>
      <w:r>
        <w:rPr>
          <w:rFonts w:hint="eastAsia" w:cs="宋体"/>
          <w:spacing w:val="0"/>
          <w:w w:val="100"/>
          <w:position w:val="0"/>
          <w:sz w:val="24"/>
          <w:szCs w:val="24"/>
          <w:highlight w:val="none"/>
          <w:lang w:eastAsia="zh-CN"/>
        </w:rPr>
        <w:t>2024怀柔国潮文化节采购项目</w:t>
      </w:r>
      <w:r>
        <w:rPr>
          <w:rFonts w:hint="eastAsia" w:ascii="宋体" w:hAnsi="宋体" w:eastAsia="宋体" w:cs="宋体"/>
          <w:spacing w:val="0"/>
          <w:w w:val="100"/>
          <w:position w:val="0"/>
          <w:sz w:val="24"/>
          <w:szCs w:val="24"/>
          <w:highlight w:val="none"/>
        </w:rPr>
        <w:t>”品牌系列活动。</w:t>
      </w:r>
    </w:p>
    <w:p>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5.合</w:t>
      </w:r>
      <w:r>
        <w:rPr>
          <w:rFonts w:hint="eastAsia" w:ascii="宋体" w:hAnsi="宋体" w:eastAsia="宋体" w:cs="宋体"/>
          <w:spacing w:val="0"/>
          <w:w w:val="100"/>
          <w:position w:val="0"/>
          <w:sz w:val="24"/>
          <w:szCs w:val="24"/>
          <w:highlight w:val="none"/>
        </w:rPr>
        <w:t>同履行期限：</w:t>
      </w:r>
      <w:r>
        <w:rPr>
          <w:rFonts w:hint="eastAsia" w:cs="宋体"/>
          <w:spacing w:val="0"/>
          <w:w w:val="100"/>
          <w:position w:val="0"/>
          <w:sz w:val="24"/>
          <w:szCs w:val="24"/>
          <w:highlight w:val="none"/>
          <w:u w:val="single" w:color="auto"/>
          <w:lang w:val="en-US" w:eastAsia="zh-CN"/>
        </w:rPr>
        <w:t>自合同签订起至活动结束。</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6.本项目是否接受联合体投标： 口是  ■否。</w:t>
      </w:r>
    </w:p>
    <w:p>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5" w:name="_Toc282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二、申请人的资格要求（须同时满足）</w:t>
      </w:r>
      <w:bookmarkEnd w:id="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1.满足《中华人民共和国政府采购法》第二十二条规定；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2.落实政府采购政策需满足的资格要求：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6" w:name="_Toc3197"/>
      <w:r>
        <w:rPr>
          <w:rFonts w:hint="eastAsia" w:ascii="宋体" w:hAnsi="宋体" w:eastAsia="宋体" w:cs="宋体"/>
          <w:spacing w:val="0"/>
          <w:w w:val="100"/>
          <w:position w:val="0"/>
          <w:sz w:val="24"/>
          <w:szCs w:val="24"/>
        </w:rPr>
        <w:t>2.1  中小企业政策</w:t>
      </w:r>
      <w:bookmarkEnd w:id="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口本项目不专门面向中小企业预留采购份额。</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t>■本</w:t>
      </w:r>
      <w:r>
        <w:rPr>
          <w:rFonts w:hint="eastAsia" w:ascii="宋体" w:hAnsi="宋体" w:eastAsia="宋体" w:cs="宋体"/>
          <w:spacing w:val="0"/>
          <w:w w:val="100"/>
          <w:position w:val="0"/>
          <w:sz w:val="24"/>
          <w:szCs w:val="24"/>
          <w:highlight w:val="none"/>
          <w:lang w:val="en-US" w:eastAsia="zh-CN"/>
        </w:rPr>
        <w:t>项目</w:t>
      </w:r>
      <w:r>
        <w:rPr>
          <w:rFonts w:hint="eastAsia" w:ascii="宋体" w:hAnsi="宋体" w:eastAsia="宋体" w:cs="宋体"/>
          <w:spacing w:val="0"/>
          <w:w w:val="100"/>
          <w:position w:val="0"/>
          <w:sz w:val="24"/>
          <w:szCs w:val="24"/>
          <w:highlight w:val="none"/>
        </w:rPr>
        <w:t>专门面向  ■中小 口小微企业</w:t>
      </w:r>
      <w:r>
        <w:rPr>
          <w:rFonts w:hint="eastAsia" w:ascii="宋体" w:hAnsi="宋体" w:eastAsia="宋体" w:cs="宋体"/>
          <w:spacing w:val="0"/>
          <w:w w:val="100"/>
          <w:position w:val="0"/>
          <w:sz w:val="24"/>
          <w:szCs w:val="24"/>
          <w:highlight w:val="none"/>
        </w:rPr>
        <w:t xml:space="preserve">  采购。即：</w:t>
      </w:r>
      <w:r>
        <w:rPr>
          <w:rFonts w:hint="eastAsia" w:cs="宋体"/>
          <w:spacing w:val="0"/>
          <w:w w:val="100"/>
          <w:position w:val="0"/>
          <w:sz w:val="24"/>
          <w:szCs w:val="24"/>
          <w:highlight w:val="none"/>
          <w:lang w:eastAsia="zh-CN"/>
        </w:rPr>
        <w:t>提</w:t>
      </w:r>
      <w:r>
        <w:rPr>
          <w:rFonts w:hint="eastAsia" w:ascii="宋体" w:hAnsi="宋体" w:eastAsia="宋体" w:cs="宋体"/>
          <w:spacing w:val="0"/>
          <w:w w:val="100"/>
          <w:position w:val="0"/>
          <w:sz w:val="24"/>
          <w:szCs w:val="24"/>
        </w:rPr>
        <w:t>供的货物全部由符合政策要求的中小/小微企业制造、服务全部由符合政策要求的中小/小微企业承接。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口本项目预留部分采购项目预算专门面向中小企业采购。对于预留份额，</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bookmarkStart w:id="131" w:name="_GoBack"/>
      <w:bookmarkEnd w:id="13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其它落实政府采购政策的资格要求（如有）：</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3.本项目的特定资格要求：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7" w:name="_Toc19369"/>
      <w:r>
        <w:rPr>
          <w:rFonts w:hint="eastAsia" w:ascii="宋体" w:hAnsi="宋体" w:eastAsia="宋体" w:cs="宋体"/>
          <w:spacing w:val="0"/>
          <w:w w:val="100"/>
          <w:position w:val="0"/>
          <w:sz w:val="24"/>
          <w:szCs w:val="24"/>
        </w:rPr>
        <w:t>3.1 本项目是否属于政府购买服务：</w:t>
      </w:r>
      <w:bookmarkEnd w:id="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■否</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口是，公益一类事业单位、使用事业编制且由财政拨款保障的群团组织，不得作为承接主体；</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8" w:name="_Toc17338"/>
      <w:r>
        <w:rPr>
          <w:rFonts w:hint="eastAsia" w:ascii="宋体" w:hAnsi="宋体" w:eastAsia="宋体" w:cs="宋体"/>
          <w:spacing w:val="0"/>
          <w:w w:val="100"/>
          <w:position w:val="0"/>
          <w:sz w:val="24"/>
          <w:szCs w:val="24"/>
          <w:highlight w:val="none"/>
        </w:rPr>
        <w:t>3.2</w:t>
      </w:r>
      <w:r>
        <w:rPr>
          <w:rFonts w:hint="eastAsia" w:cs="宋体"/>
          <w:spacing w:val="0"/>
          <w:w w:val="100"/>
          <w:position w:val="0"/>
          <w:sz w:val="24"/>
          <w:szCs w:val="24"/>
          <w:highlight w:val="none"/>
          <w:lang w:val="en-US" w:eastAsia="zh-CN"/>
        </w:rPr>
        <w:t xml:space="preserve"> </w:t>
      </w:r>
      <w:r>
        <w:rPr>
          <w:rFonts w:hint="eastAsia" w:ascii="宋体" w:hAnsi="宋体" w:eastAsia="宋体" w:cs="宋体"/>
          <w:spacing w:val="0"/>
          <w:w w:val="100"/>
          <w:position w:val="0"/>
          <w:sz w:val="24"/>
          <w:szCs w:val="24"/>
          <w:highlight w:val="none"/>
        </w:rPr>
        <w:t>其他特定资格要求：</w:t>
      </w:r>
      <w:bookmarkEnd w:id="8"/>
      <w:r>
        <w:rPr>
          <w:rFonts w:hint="eastAsia" w:cs="宋体"/>
          <w:kern w:val="2"/>
          <w:sz w:val="24"/>
          <w:szCs w:val="24"/>
          <w:highlight w:val="none"/>
          <w:u w:val="single"/>
          <w:lang w:val="en-US" w:eastAsia="zh-CN" w:bidi="ar-SA"/>
        </w:rPr>
        <w:t>无。</w:t>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9" w:name="_Toc3090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三、获取招标文件</w:t>
      </w:r>
      <w:bookmarkEnd w:id="9"/>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宋体" w:hAnsi="宋体" w:eastAsia="宋体" w:cs="宋体"/>
          <w:spacing w:val="0"/>
          <w:w w:val="100"/>
          <w:position w:val="0"/>
          <w:sz w:val="24"/>
          <w:szCs w:val="24"/>
          <w:highlight w:val="none"/>
        </w:rPr>
        <w:t>1.</w:t>
      </w:r>
      <w:r>
        <w:rPr>
          <w:rFonts w:hint="eastAsia" w:asciiTheme="minorEastAsia" w:hAnsiTheme="minorEastAsia" w:eastAsiaTheme="minorEastAsia" w:cstheme="minorEastAsia"/>
          <w:spacing w:val="0"/>
          <w:w w:val="100"/>
          <w:position w:val="0"/>
          <w:sz w:val="24"/>
          <w:szCs w:val="24"/>
          <w:highlight w:val="none"/>
        </w:rPr>
        <w:t>时间：</w:t>
      </w:r>
      <w:r>
        <w:rPr>
          <w:rFonts w:hint="eastAsia" w:asciiTheme="minorEastAsia" w:hAnsiTheme="minorEastAsia" w:eastAsiaTheme="minorEastAsia" w:cstheme="minorEastAsia"/>
          <w:spacing w:val="0"/>
          <w:w w:val="100"/>
          <w:position w:val="0"/>
          <w:sz w:val="24"/>
          <w:szCs w:val="24"/>
          <w:highlight w:val="none"/>
          <w:u w:val="single" w:color="auto"/>
          <w:lang w:val="en-US" w:eastAsia="zh-CN"/>
        </w:rPr>
        <w:t>2024</w:t>
      </w:r>
      <w:r>
        <w:rPr>
          <w:rFonts w:hint="eastAsia" w:asciiTheme="minorEastAsia" w:hAnsiTheme="minorEastAsia" w:eastAsiaTheme="minorEastAsia" w:cstheme="minorEastAsia"/>
          <w:spacing w:val="0"/>
          <w:w w:val="100"/>
          <w:position w:val="0"/>
          <w:sz w:val="24"/>
          <w:szCs w:val="24"/>
          <w:highlight w:val="none"/>
        </w:rPr>
        <w:t>年</w:t>
      </w:r>
      <w:r>
        <w:rPr>
          <w:rFonts w:hint="eastAsia" w:asciiTheme="minorEastAsia" w:hAnsiTheme="minorEastAsia" w:eastAsiaTheme="minorEastAsia" w:cstheme="minorEastAsia"/>
          <w:spacing w:val="0"/>
          <w:w w:val="100"/>
          <w:position w:val="0"/>
          <w:sz w:val="24"/>
          <w:szCs w:val="24"/>
          <w:highlight w:val="none"/>
          <w:u w:val="single" w:color="auto"/>
          <w:lang w:val="en-US" w:eastAsia="zh-CN"/>
        </w:rPr>
        <w:t>7</w:t>
      </w:r>
      <w:r>
        <w:rPr>
          <w:rFonts w:hint="eastAsia" w:asciiTheme="minorEastAsia" w:hAnsiTheme="minorEastAsia" w:eastAsiaTheme="minorEastAsia" w:cstheme="minorEastAsia"/>
          <w:spacing w:val="0"/>
          <w:w w:val="100"/>
          <w:position w:val="0"/>
          <w:sz w:val="24"/>
          <w:szCs w:val="24"/>
          <w:highlight w:val="none"/>
        </w:rPr>
        <w:t>月</w:t>
      </w:r>
      <w:r>
        <w:rPr>
          <w:rFonts w:hint="eastAsia" w:asciiTheme="minorEastAsia" w:hAnsiTheme="minorEastAsia" w:eastAsiaTheme="minorEastAsia" w:cstheme="minorEastAsia"/>
          <w:spacing w:val="0"/>
          <w:w w:val="100"/>
          <w:position w:val="0"/>
          <w:sz w:val="24"/>
          <w:szCs w:val="24"/>
          <w:highlight w:val="none"/>
          <w:u w:val="single"/>
          <w:lang w:val="en-US" w:eastAsia="zh-CN"/>
        </w:rPr>
        <w:t>16</w:t>
      </w:r>
      <w:r>
        <w:rPr>
          <w:rFonts w:hint="eastAsia" w:asciiTheme="minorEastAsia" w:hAnsiTheme="minorEastAsia" w:eastAsiaTheme="minorEastAsia" w:cstheme="minorEastAsia"/>
          <w:spacing w:val="0"/>
          <w:w w:val="100"/>
          <w:position w:val="0"/>
          <w:sz w:val="24"/>
          <w:szCs w:val="24"/>
          <w:highlight w:val="none"/>
        </w:rPr>
        <w:t>日至</w:t>
      </w:r>
      <w:r>
        <w:rPr>
          <w:rFonts w:hint="eastAsia" w:asciiTheme="minorEastAsia" w:hAnsiTheme="minorEastAsia" w:eastAsiaTheme="minorEastAsia" w:cstheme="minorEastAsia"/>
          <w:sz w:val="24"/>
          <w:szCs w:val="24"/>
          <w:highlight w:val="none"/>
          <w:u w:val="single"/>
          <w:lang w:val="en-US" w:eastAsia="zh-CN"/>
        </w:rPr>
        <w:t>2024</w:t>
      </w:r>
      <w:r>
        <w:rPr>
          <w:rFonts w:hint="eastAsia" w:asciiTheme="minorEastAsia" w:hAnsiTheme="minorEastAsia" w:eastAsiaTheme="minorEastAsia" w:cstheme="minorEastAsia"/>
          <w:spacing w:val="0"/>
          <w:w w:val="100"/>
          <w:position w:val="0"/>
          <w:sz w:val="24"/>
          <w:szCs w:val="24"/>
          <w:highlight w:val="none"/>
        </w:rPr>
        <w:t>年</w:t>
      </w:r>
      <w:r>
        <w:rPr>
          <w:rFonts w:hint="eastAsia" w:asciiTheme="minorEastAsia" w:hAnsiTheme="minorEastAsia" w:eastAsiaTheme="minorEastAsia" w:cstheme="minorEastAsia"/>
          <w:sz w:val="24"/>
          <w:szCs w:val="24"/>
          <w:highlight w:val="none"/>
          <w:u w:val="single"/>
          <w:lang w:val="en-US" w:eastAsia="zh-CN"/>
        </w:rPr>
        <w:t>7</w:t>
      </w:r>
      <w:r>
        <w:rPr>
          <w:rFonts w:hint="eastAsia" w:asciiTheme="minorEastAsia" w:hAnsiTheme="minorEastAsia" w:eastAsiaTheme="minorEastAsia" w:cstheme="minorEastAsia"/>
          <w:spacing w:val="0"/>
          <w:w w:val="100"/>
          <w:position w:val="0"/>
          <w:sz w:val="24"/>
          <w:szCs w:val="24"/>
          <w:highlight w:val="none"/>
        </w:rPr>
        <w:t>月</w:t>
      </w:r>
      <w:r>
        <w:rPr>
          <w:rFonts w:hint="eastAsia" w:asciiTheme="minorEastAsia" w:hAnsiTheme="minorEastAsia" w:eastAsiaTheme="minorEastAsia" w:cstheme="minorEastAsia"/>
          <w:spacing w:val="0"/>
          <w:w w:val="100"/>
          <w:position w:val="0"/>
          <w:sz w:val="24"/>
          <w:szCs w:val="24"/>
          <w:highlight w:val="none"/>
          <w:u w:val="single"/>
          <w:lang w:val="en-US" w:eastAsia="zh-CN"/>
        </w:rPr>
        <w:t>22</w:t>
      </w:r>
      <w:r>
        <w:rPr>
          <w:rFonts w:hint="eastAsia" w:asciiTheme="minorEastAsia" w:hAnsiTheme="minorEastAsia" w:eastAsiaTheme="minorEastAsia" w:cstheme="minorEastAsia"/>
          <w:spacing w:val="0"/>
          <w:w w:val="100"/>
          <w:position w:val="0"/>
          <w:sz w:val="24"/>
          <w:szCs w:val="24"/>
          <w:highlight w:val="none"/>
        </w:rPr>
        <w:t>日， 每天上午</w:t>
      </w:r>
      <w:r>
        <w:rPr>
          <w:rFonts w:hint="eastAsia" w:asciiTheme="minorEastAsia" w:hAnsiTheme="minorEastAsia" w:eastAsiaTheme="minorEastAsia" w:cstheme="minorEastAsia"/>
          <w:spacing w:val="0"/>
          <w:w w:val="100"/>
          <w:position w:val="0"/>
          <w:sz w:val="24"/>
          <w:szCs w:val="24"/>
          <w:highlight w:val="none"/>
          <w:u w:val="single"/>
        </w:rPr>
        <w:t>09:30</w:t>
      </w:r>
      <w:r>
        <w:rPr>
          <w:rFonts w:hint="eastAsia" w:asciiTheme="minorEastAsia" w:hAnsiTheme="minorEastAsia" w:eastAsiaTheme="minorEastAsia" w:cstheme="minorEastAsia"/>
          <w:spacing w:val="0"/>
          <w:w w:val="100"/>
          <w:position w:val="0"/>
          <w:sz w:val="24"/>
          <w:szCs w:val="24"/>
          <w:highlight w:val="none"/>
        </w:rPr>
        <w:t>至</w:t>
      </w:r>
      <w:r>
        <w:rPr>
          <w:rFonts w:hint="eastAsia" w:asciiTheme="minorEastAsia" w:hAnsiTheme="minorEastAsia" w:eastAsiaTheme="minorEastAsia" w:cstheme="minorEastAsia"/>
          <w:sz w:val="24"/>
          <w:szCs w:val="24"/>
          <w:highlight w:val="none"/>
          <w:u w:val="single"/>
          <w:lang w:val="en-US" w:eastAsia="zh-CN"/>
        </w:rPr>
        <w:t>11:30</w:t>
      </w:r>
      <w:r>
        <w:rPr>
          <w:rFonts w:hint="eastAsia" w:asciiTheme="minorEastAsia" w:hAnsiTheme="minorEastAsia" w:eastAsiaTheme="minorEastAsia" w:cstheme="minorEastAsia"/>
          <w:spacing w:val="0"/>
          <w:w w:val="100"/>
          <w:position w:val="0"/>
          <w:sz w:val="24"/>
          <w:szCs w:val="24"/>
          <w:highlight w:val="none"/>
        </w:rPr>
        <w:t>，下午</w:t>
      </w:r>
      <w:r>
        <w:rPr>
          <w:rFonts w:hint="eastAsia" w:asciiTheme="minorEastAsia" w:hAnsiTheme="minorEastAsia" w:eastAsiaTheme="minorEastAsia" w:cstheme="minorEastAsia"/>
          <w:sz w:val="24"/>
          <w:szCs w:val="24"/>
          <w:highlight w:val="none"/>
          <w:u w:val="single"/>
          <w:lang w:val="en-US" w:eastAsia="zh-CN"/>
        </w:rPr>
        <w:t>13:30</w:t>
      </w:r>
      <w:r>
        <w:rPr>
          <w:rFonts w:hint="eastAsia" w:asciiTheme="minorEastAsia" w:hAnsiTheme="minorEastAsia" w:eastAsiaTheme="minorEastAsia" w:cstheme="minorEastAsia"/>
          <w:spacing w:val="0"/>
          <w:w w:val="100"/>
          <w:position w:val="0"/>
          <w:sz w:val="24"/>
          <w:szCs w:val="24"/>
          <w:highlight w:val="none"/>
        </w:rPr>
        <w:t>至</w:t>
      </w:r>
      <w:r>
        <w:rPr>
          <w:rFonts w:hint="eastAsia" w:asciiTheme="minorEastAsia" w:hAnsiTheme="minorEastAsia" w:eastAsiaTheme="minorEastAsia" w:cstheme="minorEastAsia"/>
          <w:sz w:val="24"/>
          <w:szCs w:val="24"/>
          <w:highlight w:val="none"/>
          <w:u w:val="single"/>
          <w:lang w:val="en-US" w:eastAsia="zh-CN"/>
        </w:rPr>
        <w:t>15:30</w:t>
      </w:r>
      <w:r>
        <w:rPr>
          <w:rFonts w:hint="eastAsia" w:asciiTheme="minorEastAsia" w:hAnsiTheme="minorEastAsia" w:eastAsiaTheme="minorEastAsia" w:cstheme="minorEastAsia"/>
          <w:spacing w:val="0"/>
          <w:w w:val="100"/>
          <w:position w:val="0"/>
          <w:sz w:val="24"/>
          <w:szCs w:val="24"/>
          <w:highlight w:val="none"/>
        </w:rPr>
        <w:t>（北京时间，法定节假日除外）。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10" w:name="_Toc2165"/>
      <w:r>
        <w:rPr>
          <w:rFonts w:hint="eastAsia" w:ascii="宋体" w:hAnsi="宋体" w:eastAsia="宋体" w:cs="宋体"/>
          <w:spacing w:val="0"/>
          <w:w w:val="100"/>
          <w:position w:val="0"/>
          <w:sz w:val="24"/>
          <w:szCs w:val="24"/>
          <w:highlight w:val="none"/>
        </w:rPr>
        <w:t>2.地点：北京市政府采购电子交易平台</w:t>
      </w:r>
      <w:bookmarkEnd w:id="10"/>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3.方式：供应商使用 CA 数字证书或电子营业执照登录北京市政府采购电子交易平台（</w:t>
      </w:r>
      <w:r>
        <w:rPr>
          <w:rFonts w:hint="eastAsia" w:ascii="宋体" w:hAnsi="宋体" w:eastAsia="宋体" w:cs="宋体"/>
          <w:spacing w:val="0"/>
          <w:w w:val="100"/>
          <w:position w:val="0"/>
          <w:sz w:val="24"/>
          <w:szCs w:val="24"/>
          <w:highlight w:val="none"/>
        </w:rPr>
        <w:fldChar w:fldCharType="begin"/>
      </w:r>
      <w:r>
        <w:rPr>
          <w:rFonts w:hint="eastAsia" w:ascii="宋体" w:hAnsi="宋体" w:eastAsia="宋体" w:cs="宋体"/>
          <w:spacing w:val="0"/>
          <w:w w:val="100"/>
          <w:position w:val="0"/>
          <w:sz w:val="24"/>
          <w:szCs w:val="24"/>
          <w:highlight w:val="none"/>
        </w:rPr>
        <w:instrText xml:space="preserve"> HYPERLINK "http://zbcg-bjzc.zhongcy.com/bjczj-portal-site/index.html#/home" </w:instrText>
      </w:r>
      <w:r>
        <w:rPr>
          <w:rFonts w:hint="eastAsia" w:ascii="宋体" w:hAnsi="宋体" w:eastAsia="宋体" w:cs="宋体"/>
          <w:spacing w:val="0"/>
          <w:w w:val="100"/>
          <w:position w:val="0"/>
          <w:sz w:val="24"/>
          <w:szCs w:val="24"/>
          <w:highlight w:val="none"/>
        </w:rPr>
        <w:fldChar w:fldCharType="separate"/>
      </w:r>
      <w:r>
        <w:rPr>
          <w:rFonts w:hint="eastAsia" w:ascii="宋体" w:hAnsi="宋体" w:eastAsia="宋体" w:cs="宋体"/>
          <w:spacing w:val="0"/>
          <w:w w:val="100"/>
          <w:position w:val="0"/>
          <w:sz w:val="24"/>
          <w:szCs w:val="24"/>
          <w:highlight w:val="none"/>
        </w:rPr>
        <w:t>http://zbcg-bjzc.zhongcy.com/bjczj-portal-site/index.html#/home</w:t>
      </w:r>
      <w:r>
        <w:rPr>
          <w:rFonts w:hint="eastAsia" w:ascii="宋体" w:hAnsi="宋体" w:eastAsia="宋体" w:cs="宋体"/>
          <w:spacing w:val="0"/>
          <w:w w:val="100"/>
          <w:position w:val="0"/>
          <w:sz w:val="24"/>
          <w:szCs w:val="24"/>
          <w:highlight w:val="none"/>
        </w:rPr>
        <w:fldChar w:fldCharType="end"/>
      </w:r>
      <w:r>
        <w:rPr>
          <w:rFonts w:hint="eastAsia" w:ascii="宋体" w:hAnsi="宋体" w:eastAsia="宋体" w:cs="宋体"/>
          <w:spacing w:val="0"/>
          <w:w w:val="100"/>
          <w:position w:val="0"/>
          <w:sz w:val="24"/>
          <w:szCs w:val="24"/>
          <w:highlight w:val="none"/>
        </w:rPr>
        <w:t>）获取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电子版招标文件。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11" w:name="_Toc31387"/>
      <w:r>
        <w:rPr>
          <w:rFonts w:hint="eastAsia" w:ascii="宋体" w:hAnsi="宋体" w:eastAsia="宋体" w:cs="宋体"/>
          <w:spacing w:val="0"/>
          <w:w w:val="100"/>
          <w:position w:val="0"/>
          <w:sz w:val="24"/>
          <w:szCs w:val="24"/>
          <w:highlight w:val="none"/>
        </w:rPr>
        <w:t>4.售价：0元。</w:t>
      </w:r>
      <w:bookmarkEnd w:id="11"/>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highlight w:val="none"/>
        </w:rPr>
      </w:pPr>
      <w:bookmarkStart w:id="12" w:name="_Toc30616"/>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四、</w:t>
      </w:r>
      <w:r>
        <w:rPr>
          <w:rFonts w:hint="eastAsia" w:cs="宋体"/>
          <w:spacing w:val="0"/>
          <w:w w:val="100"/>
          <w:position w:val="0"/>
          <w:sz w:val="24"/>
          <w:szCs w:val="24"/>
          <w:highlight w:val="none"/>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交投标文件截止时间、开标时间和地点</w:t>
      </w:r>
      <w:bookmarkEnd w:id="12"/>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投标截止时间、开标时间：</w:t>
      </w:r>
      <w:r>
        <w:rPr>
          <w:rFonts w:hint="eastAsia" w:cs="宋体"/>
          <w:spacing w:val="0"/>
          <w:w w:val="100"/>
          <w:position w:val="0"/>
          <w:sz w:val="24"/>
          <w:szCs w:val="24"/>
          <w:highlight w:val="none"/>
          <w:u w:val="single" w:color="auto"/>
          <w:lang w:val="en-US" w:eastAsia="zh-CN"/>
        </w:rPr>
        <w:t>2024</w:t>
      </w:r>
      <w:r>
        <w:rPr>
          <w:rFonts w:hint="eastAsia" w:ascii="宋体" w:hAnsi="宋体" w:eastAsia="宋体" w:cs="宋体"/>
          <w:spacing w:val="0"/>
          <w:w w:val="100"/>
          <w:position w:val="0"/>
          <w:sz w:val="24"/>
          <w:szCs w:val="24"/>
          <w:highlight w:val="none"/>
        </w:rPr>
        <w:t>年</w:t>
      </w:r>
      <w:r>
        <w:rPr>
          <w:rFonts w:hint="eastAsia" w:cs="宋体"/>
          <w:spacing w:val="0"/>
          <w:w w:val="100"/>
          <w:position w:val="0"/>
          <w:sz w:val="24"/>
          <w:szCs w:val="24"/>
          <w:highlight w:val="none"/>
          <w:u w:val="single" w:color="auto"/>
          <w:lang w:val="en-US" w:eastAsia="zh-CN"/>
        </w:rPr>
        <w:t>8</w:t>
      </w:r>
      <w:r>
        <w:rPr>
          <w:rFonts w:hint="eastAsia" w:ascii="宋体" w:hAnsi="宋体" w:eastAsia="宋体" w:cs="宋体"/>
          <w:spacing w:val="0"/>
          <w:w w:val="100"/>
          <w:position w:val="0"/>
          <w:sz w:val="24"/>
          <w:szCs w:val="24"/>
          <w:highlight w:val="none"/>
        </w:rPr>
        <w:t>月</w:t>
      </w:r>
      <w:r>
        <w:rPr>
          <w:rFonts w:hint="eastAsia" w:cs="宋体"/>
          <w:spacing w:val="0"/>
          <w:w w:val="100"/>
          <w:position w:val="0"/>
          <w:sz w:val="24"/>
          <w:szCs w:val="24"/>
          <w:highlight w:val="none"/>
          <w:u w:val="single"/>
          <w:lang w:val="en-US" w:eastAsia="zh-CN"/>
        </w:rPr>
        <w:t>5</w:t>
      </w:r>
      <w:r>
        <w:rPr>
          <w:rFonts w:hint="eastAsia" w:ascii="宋体" w:hAnsi="宋体" w:eastAsia="宋体" w:cs="宋体"/>
          <w:spacing w:val="0"/>
          <w:w w:val="100"/>
          <w:position w:val="0"/>
          <w:sz w:val="24"/>
          <w:szCs w:val="24"/>
          <w:highlight w:val="none"/>
        </w:rPr>
        <w:t>日</w:t>
      </w:r>
      <w:r>
        <w:rPr>
          <w:rFonts w:hint="eastAsia" w:cs="宋体"/>
          <w:spacing w:val="0"/>
          <w:w w:val="100"/>
          <w:position w:val="0"/>
          <w:sz w:val="24"/>
          <w:szCs w:val="24"/>
          <w:highlight w:val="none"/>
          <w:u w:val="single" w:color="auto"/>
          <w:lang w:val="en-US" w:eastAsia="zh-CN"/>
        </w:rPr>
        <w:t>09</w:t>
      </w:r>
      <w:r>
        <w:rPr>
          <w:rFonts w:hint="eastAsia" w:ascii="宋体" w:hAnsi="宋体" w:eastAsia="宋体" w:cs="宋体"/>
          <w:spacing w:val="0"/>
          <w:w w:val="100"/>
          <w:position w:val="0"/>
          <w:sz w:val="24"/>
          <w:szCs w:val="24"/>
          <w:highlight w:val="none"/>
        </w:rPr>
        <w:t>点</w:t>
      </w:r>
      <w:r>
        <w:rPr>
          <w:rFonts w:hint="eastAsia" w:cs="宋体"/>
          <w:spacing w:val="0"/>
          <w:w w:val="100"/>
          <w:position w:val="0"/>
          <w:sz w:val="24"/>
          <w:szCs w:val="24"/>
          <w:highlight w:val="none"/>
          <w:u w:val="single" w:color="auto"/>
          <w:lang w:val="en-US" w:eastAsia="zh-CN"/>
        </w:rPr>
        <w:t>30</w:t>
      </w:r>
      <w:r>
        <w:rPr>
          <w:rFonts w:hint="eastAsia" w:ascii="宋体" w:hAnsi="宋体" w:eastAsia="宋体" w:cs="宋体"/>
          <w:spacing w:val="0"/>
          <w:w w:val="100"/>
          <w:position w:val="0"/>
          <w:sz w:val="24"/>
          <w:szCs w:val="24"/>
          <w:highlight w:val="none"/>
        </w:rPr>
        <w:t>分（北京时间）。</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地点：</w:t>
      </w:r>
      <w:r>
        <w:rPr>
          <w:rFonts w:hint="eastAsia" w:ascii="宋体" w:hAnsi="宋体" w:eastAsia="宋体" w:cs="宋体"/>
          <w:spacing w:val="0"/>
          <w:w w:val="100"/>
          <w:position w:val="0"/>
          <w:sz w:val="24"/>
          <w:szCs w:val="24"/>
          <w:u w:val="single" w:color="auto"/>
        </w:rPr>
        <w:t>本项目采用远程电子开标方式，由投标人自行对电子投标文件进行解密或供应商使用CA认证证书登录北京市政府采购电子交易平台进行电子开标</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3" w:name="_Toc79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五、公告期限</w:t>
      </w:r>
      <w:bookmarkEnd w:id="13"/>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自本公告发布之日起5个工作日。</w:t>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4" w:name="_Toc1681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六、其他补充事宜</w:t>
      </w:r>
      <w:bookmarkEnd w:id="1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15" w:name="_Toc28342"/>
      <w:r>
        <w:rPr>
          <w:rFonts w:hint="eastAsia" w:ascii="宋体" w:hAnsi="宋体" w:eastAsia="宋体" w:cs="宋体"/>
          <w:spacing w:val="0"/>
          <w:w w:val="100"/>
          <w:position w:val="0"/>
          <w:sz w:val="24"/>
          <w:szCs w:val="24"/>
        </w:rPr>
        <w:t>1.本项目需要落实的政府采购政策：</w:t>
      </w:r>
      <w:r>
        <w:rPr>
          <w:rFonts w:hint="eastAsia" w:cs="宋体"/>
          <w:spacing w:val="0"/>
          <w:w w:val="100"/>
          <w:position w:val="0"/>
          <w:sz w:val="24"/>
          <w:szCs w:val="24"/>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spacing w:val="0"/>
          <w:w w:val="100"/>
          <w:position w:val="0"/>
          <w:sz w:val="24"/>
          <w:szCs w:val="24"/>
        </w:rPr>
        <w:t>。</w:t>
      </w:r>
      <w:bookmarkEnd w:id="15"/>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jc w:val="both"/>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CA数字证书服务热线010-58511086</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电子营业执照服务热线400-699-7000</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技术支持服务热线010-86483801</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 xml:space="preserve"> </w:t>
      </w:r>
      <w:r>
        <w:rPr>
          <w:rFonts w:hint="eastAsia" w:asciiTheme="minorEastAsia" w:hAnsiTheme="minorEastAsia" w:eastAsiaTheme="minorEastAsia" w:cstheme="minorEastAsia"/>
          <w:spacing w:val="0"/>
          <w:w w:val="100"/>
          <w:position w:val="0"/>
          <w:sz w:val="24"/>
          <w:szCs w:val="24"/>
        </w:rPr>
        <w:t>办理CA数字证书或电子营业执照</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供应商登录北京市政府采购电子交易平台查阅“用户指南”—“操作指南”—“市场主体CA办理操作流程指引”/“电子营业执照使用指南”，按照程序要求办理。</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.2 注册</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供应商登录北京市政府采购电子交易平台“用户指南”—“操作指南”—“市场主体注册入库操作流程指引”进行自助注册绑定。</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.3 驱动、客户端下载</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供应商登录北京市政府采购电子交易平台“用户指南”—“工具下载”—“招标采购系统文件驱动安装包”下载相关驱动。</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供应商登录北京市政府采购电子交易平台“用户指南”—“工具下载”—“投标文件编制工具”下载相关客户端。</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.4 获取电子招标文件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供应商使用CA数字证书或电子营业执照登录北京市政府采购电子交易平台获取电子招标文件。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交相应包的电子投标文件。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.5 编制电子投标文件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 xml:space="preserve">.6 </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供应商应于投标截止时间前在北京市政府采购电子交易平台</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交电子投标文件，上传电子投标文件过程中请保持与互联网的连接畅通。</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.7 电子开标</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供应商在开标地点使用CA数字证书或电子营业执照登录北京市政府采购电子交易平台进行电子开标。</w:t>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8"/>
        <w:textAlignment w:val="baseline"/>
        <w:outlineLvl w:val="1"/>
        <w:rPr>
          <w:rFonts w:hint="eastAsia" w:ascii="宋体" w:hAnsi="宋体" w:eastAsia="宋体" w:cs="宋体"/>
          <w:spacing w:val="0"/>
          <w:w w:val="100"/>
          <w:position w:val="0"/>
          <w:sz w:val="24"/>
          <w:szCs w:val="24"/>
        </w:rPr>
      </w:pPr>
      <w:bookmarkStart w:id="16" w:name="_Toc1875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七、对本次招标</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出询问，</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请按以下方式联系。</w:t>
      </w:r>
      <w:bookmarkEnd w:id="16"/>
    </w:p>
    <w:p>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7" w:name="_Toc30870"/>
      <w:r>
        <w:rPr>
          <w:rFonts w:hint="eastAsia" w:ascii="宋体" w:hAnsi="宋体" w:eastAsia="宋体" w:cs="宋体"/>
          <w:b/>
          <w:bCs/>
          <w:spacing w:val="0"/>
          <w:w w:val="100"/>
          <w:position w:val="0"/>
          <w:sz w:val="24"/>
          <w:szCs w:val="24"/>
        </w:rPr>
        <w:t>1.</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采购人信息</w:t>
      </w:r>
      <w:bookmarkEnd w:id="17"/>
    </w:p>
    <w:p>
      <w:pPr>
        <w:pStyle w:val="6"/>
        <w:keepNext w:val="0"/>
        <w:keepLines w:val="0"/>
        <w:pageBreakBefore w:val="0"/>
        <w:widowControl/>
        <w:kinsoku/>
        <w:wordWrap/>
        <w:overflowPunct/>
        <w:topLinePunct w:val="0"/>
        <w:autoSpaceDE/>
        <w:autoSpaceDN/>
        <w:bidi w:val="0"/>
        <w:adjustRightInd w:val="0"/>
        <w:snapToGrid w:val="0"/>
        <w:spacing w:before="183" w:line="189" w:lineRule="auto"/>
        <w:ind w:left="0" w:firstLine="480" w:firstLineChars="20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eastAsia="zh-CN"/>
        </w:rPr>
        <w:t>北京市怀柔区文化和旅游局</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rPr>
        <w:t>地    址：北京市怀柔区迎宾北路7号</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联系方式：</w:t>
      </w:r>
      <w:r>
        <w:rPr>
          <w:rFonts w:hint="eastAsia" w:cs="宋体"/>
          <w:spacing w:val="0"/>
          <w:w w:val="100"/>
          <w:position w:val="0"/>
          <w:sz w:val="24"/>
          <w:szCs w:val="24"/>
          <w:highlight w:val="none"/>
          <w:lang w:val="en-US" w:eastAsia="zh-CN"/>
        </w:rPr>
        <w:t>杨先生</w:t>
      </w:r>
      <w:r>
        <w:rPr>
          <w:rFonts w:hint="eastAsia" w:ascii="宋体" w:hAnsi="宋体" w:eastAsia="宋体" w:cs="宋体"/>
          <w:spacing w:val="0"/>
          <w:w w:val="100"/>
          <w:position w:val="0"/>
          <w:sz w:val="24"/>
          <w:szCs w:val="24"/>
          <w:highlight w:val="none"/>
        </w:rPr>
        <w:tab/>
      </w:r>
      <w:r>
        <w:rPr>
          <w:rFonts w:hint="eastAsia" w:ascii="宋体" w:hAnsi="宋体" w:eastAsia="宋体" w:cs="宋体"/>
          <w:spacing w:val="0"/>
          <w:w w:val="100"/>
          <w:position w:val="0"/>
          <w:sz w:val="24"/>
          <w:szCs w:val="24"/>
          <w:highlight w:val="none"/>
        </w:rPr>
        <w:t>010</w:t>
      </w:r>
      <w:r>
        <w:rPr>
          <w:rFonts w:hint="eastAsia" w:cs="宋体"/>
          <w:spacing w:val="0"/>
          <w:w w:val="100"/>
          <w:position w:val="0"/>
          <w:sz w:val="24"/>
          <w:szCs w:val="24"/>
          <w:highlight w:val="none"/>
          <w:lang w:val="en-US" w:eastAsia="zh-CN"/>
        </w:rPr>
        <w:t>-</w:t>
      </w:r>
      <w:r>
        <w:rPr>
          <w:rFonts w:hint="eastAsia" w:ascii="宋体" w:hAnsi="宋体" w:eastAsia="宋体" w:cs="宋体"/>
          <w:spacing w:val="0"/>
          <w:w w:val="100"/>
          <w:position w:val="0"/>
          <w:sz w:val="24"/>
          <w:szCs w:val="24"/>
          <w:highlight w:val="none"/>
        </w:rPr>
        <w:t>69623628</w:t>
      </w:r>
    </w:p>
    <w:p>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highlight w:val="none"/>
        </w:rPr>
      </w:pPr>
      <w:bookmarkStart w:id="18" w:name="_Toc16869"/>
      <w:r>
        <w:rPr>
          <w:rFonts w:hint="eastAsia" w:ascii="宋体" w:hAnsi="宋体" w:eastAsia="宋体" w:cs="宋体"/>
          <w:b/>
          <w:bCs/>
          <w:spacing w:val="0"/>
          <w:w w:val="100"/>
          <w:position w:val="0"/>
          <w:sz w:val="24"/>
          <w:szCs w:val="24"/>
          <w:highlight w:val="none"/>
        </w:rPr>
        <w:t>2.</w:t>
      </w:r>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采购代理机构信息</w:t>
      </w:r>
      <w:bookmarkEnd w:id="18"/>
    </w:p>
    <w:p>
      <w:pPr>
        <w:pStyle w:val="6"/>
        <w:keepNext w:val="0"/>
        <w:keepLines w:val="0"/>
        <w:pageBreakBefore w:val="0"/>
        <w:widowControl/>
        <w:kinsoku/>
        <w:wordWrap/>
        <w:overflowPunct/>
        <w:topLinePunct w:val="0"/>
        <w:autoSpaceDE/>
        <w:autoSpaceDN/>
        <w:bidi w:val="0"/>
        <w:adjustRightInd w:val="0"/>
        <w:snapToGrid w:val="0"/>
        <w:spacing w:before="181" w:line="189"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名    称：</w:t>
      </w:r>
      <w:r>
        <w:rPr>
          <w:rFonts w:hint="eastAsia" w:cs="宋体"/>
          <w:spacing w:val="0"/>
          <w:w w:val="100"/>
          <w:position w:val="0"/>
          <w:sz w:val="24"/>
          <w:szCs w:val="24"/>
          <w:highlight w:val="none"/>
          <w:lang w:val="en-US" w:eastAsia="zh-CN"/>
        </w:rPr>
        <w:t>中归咨询管理（北京）有限公司</w:t>
      </w:r>
    </w:p>
    <w:p>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地    址：北京市怀柔区迎宾南路11号五幢二层2213室</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联系方式：刘宁、师博科 010-53606938  17310362080</w:t>
      </w:r>
    </w:p>
    <w:p>
      <w:pPr>
        <w:pStyle w:val="6"/>
        <w:keepNext w:val="0"/>
        <w:keepLines w:val="0"/>
        <w:pageBreakBefore w:val="0"/>
        <w:widowControl/>
        <w:kinsoku/>
        <w:wordWrap/>
        <w:overflowPunct/>
        <w:topLinePunct w:val="0"/>
        <w:autoSpaceDE/>
        <w:autoSpaceDN/>
        <w:bidi w:val="0"/>
        <w:adjustRightInd w:val="0"/>
        <w:snapToGrid w:val="0"/>
        <w:spacing w:before="179" w:line="221"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9" w:name="_Toc25481"/>
      <w:r>
        <w:rPr>
          <w:rFonts w:hint="eastAsia" w:ascii="宋体" w:hAnsi="宋体" w:eastAsia="宋体" w:cs="宋体"/>
          <w:b/>
          <w:bCs/>
          <w:spacing w:val="0"/>
          <w:w w:val="100"/>
          <w:position w:val="0"/>
          <w:sz w:val="24"/>
          <w:szCs w:val="24"/>
        </w:rPr>
        <w:t>3.</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项目联系方式</w:t>
      </w:r>
      <w:bookmarkEnd w:id="19"/>
    </w:p>
    <w:p>
      <w:pPr>
        <w:pStyle w:val="6"/>
        <w:keepNext w:val="0"/>
        <w:keepLines w:val="0"/>
        <w:pageBreakBefore w:val="0"/>
        <w:widowControl/>
        <w:kinsoku/>
        <w:wordWrap/>
        <w:overflowPunct/>
        <w:topLinePunct w:val="0"/>
        <w:autoSpaceDE/>
        <w:autoSpaceDN/>
        <w:bidi w:val="0"/>
        <w:adjustRightInd w:val="0"/>
        <w:snapToGrid w:val="0"/>
        <w:spacing w:before="179" w:line="189"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项目</w:t>
      </w:r>
      <w:r>
        <w:rPr>
          <w:rFonts w:hint="eastAsia" w:cs="宋体"/>
          <w:spacing w:val="0"/>
          <w:w w:val="100"/>
          <w:position w:val="0"/>
          <w:sz w:val="24"/>
          <w:szCs w:val="24"/>
          <w:highlight w:val="none"/>
          <w:lang w:val="en-US" w:eastAsia="zh-CN"/>
        </w:rPr>
        <w:t>联系</w:t>
      </w:r>
      <w:r>
        <w:rPr>
          <w:rFonts w:hint="eastAsia" w:ascii="宋体" w:hAnsi="宋体" w:eastAsia="宋体" w:cs="宋体"/>
          <w:spacing w:val="0"/>
          <w:w w:val="100"/>
          <w:position w:val="0"/>
          <w:sz w:val="24"/>
          <w:szCs w:val="24"/>
          <w:highlight w:val="none"/>
        </w:rPr>
        <w:t>人：刘宁、师博科</w:t>
      </w:r>
    </w:p>
    <w:p>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电      话：010-53606938  17310362080</w:t>
      </w:r>
    </w:p>
    <w:p>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w:t>
      </w: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20" w:name="_Toc1525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投标人须知</w:t>
      </w:r>
      <w:bookmarkEnd w:id="20"/>
    </w:p>
    <w:p>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spacing w:val="0"/>
          <w:w w:val="100"/>
          <w:position w:val="0"/>
          <w:sz w:val="21"/>
        </w:rPr>
      </w:pPr>
      <w:bookmarkStart w:id="21" w:name="_Toc702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投标人须知资料表</w:t>
      </w:r>
      <w:bookmarkEnd w:id="21"/>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本表是对投标人须知的具体补充和修改，如有矛盾，均以本资料表为准。标记“■”的选项意为适用于本项目，标记“□”的选项意为不适用于本项目。</w:t>
      </w:r>
    </w:p>
    <w:tbl>
      <w:tblPr>
        <w:tblStyle w:val="23"/>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条款号</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条目</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■服务</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科研仪器设备</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是否属于科研仪器设备采购项目：</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是</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核心产品</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■关于核心产品本项目__包不适用。</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本项目__包为单一产品采购项目。</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01 </w:t>
            </w:r>
            <w:r>
              <w:rPr>
                <w:rFonts w:hint="eastAsia" w:ascii="宋体" w:hAnsi="宋体" w:eastAsia="宋体" w:cs="宋体"/>
                <w:spacing w:val="0"/>
                <w:w w:val="100"/>
                <w:position w:val="0"/>
                <w:sz w:val="24"/>
                <w:szCs w:val="24"/>
                <w:highlight w:val="none"/>
              </w:rPr>
              <w:t>包为非单一产品采购项目，核心产品为：</w:t>
            </w:r>
            <w:r>
              <w:rPr>
                <w:rFonts w:hint="eastAsia" w:cs="宋体"/>
                <w:b/>
                <w:bCs/>
                <w:spacing w:val="0"/>
                <w:w w:val="100"/>
                <w:position w:val="0"/>
                <w:sz w:val="24"/>
                <w:szCs w:val="24"/>
                <w:highlight w:val="none"/>
                <w:u w:val="single" w:color="auto"/>
                <w:lang w:val="en-US" w:eastAsia="zh-CN"/>
              </w:rPr>
              <w:t>/</w:t>
            </w:r>
            <w:r>
              <w:rPr>
                <w:rFonts w:hint="eastAsia" w:ascii="宋体" w:hAnsi="宋体" w:eastAsia="宋体" w:cs="宋体"/>
                <w:spacing w:val="0"/>
                <w:w w:val="100"/>
                <w:position w:val="0"/>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现场考察</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■不组织</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组织，考察时间：__年_月_日_点_分</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考察地点：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开标前答疑会</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■不召开</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召开，召开时间：__年_月_日_点_分</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召开地点：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样品</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投标样品递交：</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■不需要</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需要，具体要求如下：</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（1）样品制作的标准和要求：</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（2）是否需要随样品</w:t>
            </w:r>
            <w:r>
              <w:rPr>
                <w:rFonts w:hint="eastAsia" w:cs="宋体"/>
                <w:spacing w:val="0"/>
                <w:w w:val="100"/>
                <w:position w:val="0"/>
                <w:sz w:val="24"/>
                <w:szCs w:val="24"/>
                <w:lang w:val="en-US" w:eastAsia="zh-CN"/>
              </w:rPr>
              <w:t>提</w:t>
            </w:r>
            <w:r>
              <w:rPr>
                <w:rFonts w:hint="eastAsia" w:ascii="宋体" w:hAnsi="宋体" w:eastAsia="宋体" w:cs="宋体"/>
                <w:spacing w:val="0"/>
                <w:w w:val="100"/>
                <w:position w:val="0"/>
                <w:sz w:val="24"/>
                <w:szCs w:val="24"/>
              </w:rPr>
              <w:t>交相关检测报告：</w:t>
            </w:r>
          </w:p>
          <w:p>
            <w:pPr>
              <w:pStyle w:val="24"/>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口不需要</w:t>
            </w:r>
          </w:p>
          <w:p>
            <w:pPr>
              <w:pStyle w:val="24"/>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口需要</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（3）样品递交要求：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（4）未中标人样品退还：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（5）中标人样品保管、封存及退还：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（6）其他要求（如有）：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标的所属行业</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本项目采购标的对应的中小企业划分标准所属行业：</w:t>
            </w:r>
          </w:p>
          <w:tbl>
            <w:tblPr>
              <w:tblStyle w:val="23"/>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cs="宋体"/>
                      <w:spacing w:val="0"/>
                      <w:w w:val="100"/>
                      <w:position w:val="0"/>
                      <w:sz w:val="24"/>
                      <w:szCs w:val="24"/>
                      <w:lang w:val="en-US" w:eastAsia="zh-CN"/>
                    </w:rPr>
                    <w:t>序号</w:t>
                  </w:r>
                </w:p>
              </w:tc>
              <w:tc>
                <w:tcPr>
                  <w:tcW w:w="2798"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标的名称</w:t>
                  </w:r>
                </w:p>
              </w:tc>
              <w:tc>
                <w:tcPr>
                  <w:tcW w:w="3241"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w:t>
                  </w:r>
                </w:p>
              </w:tc>
              <w:tc>
                <w:tcPr>
                  <w:tcW w:w="2798" w:type="dxa"/>
                  <w:vAlign w:val="center"/>
                </w:tcPr>
                <w:p>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2024怀柔国潮文化节采购项目</w:t>
                  </w:r>
                </w:p>
              </w:tc>
              <w:tc>
                <w:tcPr>
                  <w:tcW w:w="324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其他未列明行业</w:t>
                  </w:r>
                </w:p>
              </w:tc>
            </w:tr>
          </w:tbl>
          <w:p>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lang w:val="en-US" w:eastAsia="zh-CN"/>
              </w:rPr>
              <w:t>其他未列明</w:t>
            </w:r>
            <w:r>
              <w:rPr>
                <w:rFonts w:hint="eastAsia" w:ascii="宋体" w:hAnsi="宋体" w:eastAsia="宋体" w:cs="宋体"/>
                <w:b/>
                <w:bCs/>
                <w:spacing w:val="0"/>
                <w:w w:val="100"/>
                <w:position w:val="0"/>
                <w:sz w:val="24"/>
                <w:szCs w:val="24"/>
              </w:rPr>
              <w:t>行业划型标准为</w:t>
            </w:r>
            <w:r>
              <w:rPr>
                <w:rFonts w:hint="eastAsia" w:ascii="宋体" w:hAnsi="宋体" w:eastAsia="宋体"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从业人员300人以下的为中小微型企业。其中，从业人员100人及以上的为中型企业；从业人员10人及以上的为小型企业；从业人员10人以下的为微型企业。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投标报价的特殊规定：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有，具体情形：______</w:t>
            </w:r>
            <w:r>
              <w:rPr>
                <w:rFonts w:hint="eastAsia" w:cs="宋体"/>
                <w:spacing w:val="0"/>
                <w:w w:val="100"/>
                <w:position w:val="0"/>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p>
        </w:tc>
        <w:tc>
          <w:tcPr>
            <w:tcW w:w="1700" w:type="dxa"/>
            <w:vMerge w:val="restart"/>
            <w:tcBorders>
              <w:bottom w:val="nil"/>
            </w:tcBorders>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投标保证金金额：</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rPr>
              <w:t>01包</w:t>
            </w:r>
            <w:r>
              <w:rPr>
                <w:rFonts w:hint="eastAsia" w:ascii="宋体" w:hAnsi="宋体" w:eastAsia="宋体" w:cs="宋体"/>
                <w:spacing w:val="0"/>
                <w:w w:val="100"/>
                <w:position w:val="0"/>
                <w:highlight w:val="none"/>
              </w:rPr>
              <w:t>：</w:t>
            </w:r>
            <w:r>
              <w:rPr>
                <w:rFonts w:hint="eastAsia" w:cs="宋体"/>
                <w:spacing w:val="0"/>
                <w:w w:val="100"/>
                <w:position w:val="0"/>
                <w:highlight w:val="none"/>
                <w:u w:val="single" w:color="auto"/>
                <w:lang w:val="en-US" w:eastAsia="zh-CN"/>
              </w:rPr>
              <w:t>70000.00元（柒万元整）</w:t>
            </w:r>
            <w:r>
              <w:rPr>
                <w:rFonts w:hint="eastAsia" w:ascii="宋体" w:hAnsi="宋体" w:eastAsia="宋体" w:cs="宋体"/>
                <w:spacing w:val="0"/>
                <w:w w:val="100"/>
                <w:position w:val="0"/>
                <w:highlight w:val="none"/>
                <w:u w:val="single" w:color="auto"/>
              </w:rPr>
              <w:t xml:space="preserve"> </w:t>
            </w:r>
            <w:r>
              <w:rPr>
                <w:rFonts w:hint="eastAsia" w:cs="宋体"/>
                <w:spacing w:val="0"/>
                <w:w w:val="100"/>
                <w:position w:val="0"/>
                <w:highlight w:val="none"/>
                <w:lang w:eastAsia="zh-CN"/>
              </w:rPr>
              <w:t>。</w:t>
            </w:r>
          </w:p>
          <w:p>
            <w:pPr>
              <w:keepNext w:val="0"/>
              <w:keepLines w:val="0"/>
              <w:pageBreakBefore w:val="0"/>
              <w:widowControl/>
              <w:wordWrap/>
              <w:overflowPunct/>
              <w:topLinePunct w:val="0"/>
              <w:bidi w:val="0"/>
              <w:adjustRightInd w:val="0"/>
              <w:snapToGrid w:val="0"/>
              <w:spacing w:line="240" w:lineRule="auto"/>
              <w:textAlignment w:val="baseline"/>
              <w:rPr>
                <w:rFonts w:ascii="宋体" w:hAnsi="宋体"/>
                <w:sz w:val="24"/>
              </w:rPr>
            </w:pPr>
            <w:r>
              <w:rPr>
                <w:rFonts w:hint="eastAsia" w:ascii="宋体" w:hAnsi="宋体" w:eastAsia="宋体" w:cs="宋体"/>
                <w:spacing w:val="0"/>
                <w:w w:val="100"/>
                <w:position w:val="0"/>
                <w:sz w:val="24"/>
                <w:szCs w:val="24"/>
              </w:rPr>
              <w:t>投标保证金收受人信息：</w:t>
            </w:r>
            <w:r>
              <w:rPr>
                <w:rFonts w:hint="eastAsia" w:ascii="宋体" w:hAnsi="宋体"/>
                <w:sz w:val="24"/>
                <w:u w:val="single"/>
              </w:rPr>
              <w:t>投标保证金可采用下列形式之一：</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（1）支票（支票抬头：</w:t>
            </w:r>
            <w:r>
              <w:rPr>
                <w:rFonts w:hint="eastAsia" w:ascii="宋体" w:hAnsi="宋体" w:eastAsia="宋体" w:cs="宋体"/>
                <w:b w:val="0"/>
                <w:bCs/>
                <w:sz w:val="24"/>
                <w:u w:val="single"/>
                <w:lang w:eastAsia="zh-CN"/>
              </w:rPr>
              <w:t>中归咨询管理（北京）有限公司</w:t>
            </w:r>
            <w:r>
              <w:rPr>
                <w:rFonts w:hint="eastAsia" w:ascii="宋体" w:hAnsi="宋体" w:eastAsia="宋体" w:cs="宋体"/>
                <w:b w:val="0"/>
                <w:bCs/>
                <w:sz w:val="24"/>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fldChar w:fldCharType="begin"/>
            </w:r>
            <w:r>
              <w:rPr>
                <w:rFonts w:hint="eastAsia" w:ascii="宋体" w:hAnsi="宋体" w:eastAsia="宋体" w:cs="宋体"/>
                <w:b w:val="0"/>
                <w:bCs/>
                <w:sz w:val="24"/>
                <w:u w:val="singl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rFonts w:hint="eastAsia" w:ascii="宋体" w:hAnsi="宋体" w:eastAsia="宋体" w:cs="宋体"/>
                <w:b w:val="0"/>
                <w:bCs/>
                <w:sz w:val="24"/>
                <w:u w:val="single"/>
              </w:rPr>
              <w:fldChar w:fldCharType="separate"/>
            </w:r>
            <w:r>
              <w:rPr>
                <w:rStyle w:val="22"/>
                <w:rFonts w:hint="eastAsia" w:ascii="宋体" w:hAnsi="宋体" w:eastAsia="宋体" w:cs="宋体"/>
                <w:b w:val="0"/>
                <w:bCs/>
                <w:color w:val="auto"/>
                <w:sz w:val="24"/>
                <w:u w:val="single"/>
                <w:lang w:eastAsia="zh-CN"/>
              </w:rPr>
              <w:t>（</w:t>
            </w:r>
            <w:r>
              <w:rPr>
                <w:rStyle w:val="22"/>
                <w:rFonts w:hint="eastAsia" w:ascii="宋体" w:hAnsi="宋体" w:eastAsia="宋体" w:cs="宋体"/>
                <w:b w:val="0"/>
                <w:bCs/>
                <w:color w:val="auto"/>
                <w:sz w:val="24"/>
                <w:u w:val="single"/>
                <w:lang w:val="en-US" w:eastAsia="zh-CN"/>
              </w:rPr>
              <w:t>2</w:t>
            </w:r>
            <w:r>
              <w:rPr>
                <w:rStyle w:val="22"/>
                <w:rFonts w:hint="eastAsia" w:ascii="宋体" w:hAnsi="宋体" w:eastAsia="宋体" w:cs="宋体"/>
                <w:b w:val="0"/>
                <w:bCs/>
                <w:color w:val="auto"/>
                <w:sz w:val="24"/>
                <w:u w:val="single"/>
                <w:lang w:eastAsia="zh-CN"/>
              </w:rPr>
              <w:t>）</w:t>
            </w:r>
            <w:r>
              <w:rPr>
                <w:rStyle w:val="22"/>
                <w:rFonts w:hint="eastAsia" w:ascii="宋体" w:hAnsi="宋体" w:eastAsia="宋体" w:cs="宋体"/>
                <w:b w:val="0"/>
                <w:bCs/>
                <w:color w:val="auto"/>
                <w:sz w:val="24"/>
                <w:u w:val="single"/>
              </w:rPr>
              <w:t>汇款（1.凡以汇款形式提交投标保证金的，投标人须在汇款当日将汇款凭证扫描件</w:t>
            </w:r>
            <w:r>
              <w:rPr>
                <w:rStyle w:val="22"/>
                <w:rFonts w:hint="eastAsia" w:ascii="宋体" w:hAnsi="宋体" w:eastAsia="宋体" w:cs="宋体"/>
                <w:b w:val="0"/>
                <w:bCs/>
                <w:color w:val="auto"/>
                <w:sz w:val="24"/>
                <w:highlight w:val="none"/>
                <w:u w:val="single"/>
              </w:rPr>
              <w:t>发送至</w:t>
            </w:r>
            <w:r>
              <w:rPr>
                <w:rStyle w:val="22"/>
                <w:rFonts w:hint="eastAsia" w:ascii="宋体" w:hAnsi="宋体" w:eastAsia="宋体" w:cs="宋体"/>
                <w:b w:val="0"/>
                <w:bCs/>
                <w:color w:val="auto"/>
                <w:sz w:val="24"/>
                <w:highlight w:val="none"/>
                <w:u w:val="single"/>
                <w:lang w:val="en-US" w:eastAsia="zh-CN"/>
              </w:rPr>
              <w:t>shenghe1186</w:t>
            </w:r>
            <w:r>
              <w:rPr>
                <w:rStyle w:val="22"/>
                <w:rFonts w:hint="eastAsia" w:ascii="宋体" w:hAnsi="宋体" w:eastAsia="宋体" w:cs="宋体"/>
                <w:b w:val="0"/>
                <w:bCs/>
                <w:color w:val="auto"/>
                <w:sz w:val="24"/>
                <w:highlight w:val="none"/>
                <w:u w:val="single"/>
              </w:rPr>
              <w:t>@163.com并</w:t>
            </w:r>
            <w:r>
              <w:rPr>
                <w:rStyle w:val="22"/>
                <w:rFonts w:hint="eastAsia" w:ascii="宋体" w:hAnsi="宋体" w:eastAsia="宋体" w:cs="宋体"/>
                <w:b w:val="0"/>
                <w:bCs/>
                <w:color w:val="auto"/>
                <w:sz w:val="24"/>
                <w:u w:val="single"/>
              </w:rPr>
              <w:t>确保款项按招标文件要求时间到账</w:t>
            </w:r>
            <w:r>
              <w:rPr>
                <w:rFonts w:hint="eastAsia" w:ascii="宋体" w:hAnsi="宋体" w:eastAsia="宋体" w:cs="宋体"/>
                <w:b w:val="0"/>
                <w:bCs/>
                <w:sz w:val="24"/>
                <w:u w:val="single"/>
              </w:rPr>
              <w:fldChar w:fldCharType="end"/>
            </w:r>
            <w:r>
              <w:rPr>
                <w:rFonts w:hint="eastAsia" w:ascii="宋体" w:hAnsi="宋体" w:eastAsia="宋体" w:cs="宋体"/>
                <w:b w:val="0"/>
                <w:bCs/>
                <w:sz w:val="24"/>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2.投标阶段投标保证金汇款凭证上用途栏应注明本项目</w:t>
            </w:r>
            <w:r>
              <w:rPr>
                <w:rFonts w:hint="eastAsia" w:ascii="宋体" w:hAnsi="宋体" w:eastAsia="宋体" w:cs="宋体"/>
                <w:b w:val="0"/>
                <w:bCs/>
                <w:sz w:val="24"/>
                <w:u w:val="single"/>
                <w:lang w:eastAsia="zh-CN"/>
              </w:rPr>
              <w:t>项目编号</w:t>
            </w:r>
            <w:r>
              <w:rPr>
                <w:rFonts w:hint="eastAsia" w:ascii="宋体" w:hAnsi="宋体" w:eastAsia="宋体" w:cs="宋体"/>
                <w:b w:val="0"/>
                <w:bCs/>
                <w:sz w:val="24"/>
                <w:u w:val="single"/>
              </w:rPr>
              <w:t>【标准格式：</w:t>
            </w:r>
            <w:r>
              <w:rPr>
                <w:rFonts w:hint="eastAsia" w:ascii="宋体" w:hAnsi="宋体" w:eastAsia="宋体" w:cs="宋体"/>
                <w:b w:val="0"/>
                <w:bCs/>
                <w:sz w:val="24"/>
                <w:u w:val="single"/>
                <w:lang w:eastAsia="zh-CN"/>
              </w:rPr>
              <w:t>11011624210200009036-XM001</w:t>
            </w:r>
            <w:r>
              <w:rPr>
                <w:rFonts w:hint="eastAsia" w:ascii="宋体" w:hAnsi="宋体" w:eastAsia="宋体" w:cs="宋体"/>
                <w:b w:val="0"/>
                <w:bCs/>
                <w:sz w:val="24"/>
                <w:u w:val="single"/>
              </w:rPr>
              <w:t>】</w:t>
            </w:r>
            <w:r>
              <w:rPr>
                <w:rFonts w:hint="eastAsia" w:ascii="宋体" w:hAnsi="宋体" w:eastAsia="宋体" w:cs="宋体"/>
                <w:b w:val="0"/>
                <w:bCs/>
                <w:sz w:val="24"/>
                <w:u w:val="single"/>
                <w:lang w:eastAsia="zh-CN"/>
              </w:rPr>
              <w:t>）</w:t>
            </w:r>
            <w:r>
              <w:rPr>
                <w:rFonts w:hint="eastAsia" w:ascii="宋体" w:hAnsi="宋体" w:eastAsia="宋体" w:cs="宋体"/>
                <w:b w:val="0"/>
                <w:bCs/>
                <w:sz w:val="24"/>
                <w:u w:val="single"/>
              </w:rPr>
              <w:t>；</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注：邮件标题须以“</w:t>
            </w:r>
            <w:r>
              <w:rPr>
                <w:rFonts w:hint="eastAsia" w:ascii="宋体" w:hAnsi="宋体" w:eastAsia="宋体" w:cs="宋体"/>
                <w:b w:val="0"/>
                <w:bCs/>
                <w:sz w:val="24"/>
                <w:u w:val="single"/>
                <w:lang w:eastAsia="zh-CN"/>
              </w:rPr>
              <w:t>11011624210200009036-XM001</w:t>
            </w:r>
            <w:r>
              <w:rPr>
                <w:rFonts w:hint="eastAsia" w:ascii="宋体" w:hAnsi="宋体" w:eastAsia="宋体" w:cs="宋体"/>
                <w:b w:val="0"/>
                <w:bCs/>
                <w:sz w:val="24"/>
                <w:u w:val="single"/>
              </w:rPr>
              <w:t>项目 保证金”命名，邮件内容里需注明汇款经办人姓名、电话、投标单位账户信息。</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账户名称：</w:t>
            </w:r>
            <w:r>
              <w:rPr>
                <w:rFonts w:hint="eastAsia" w:ascii="宋体" w:hAnsi="宋体" w:eastAsia="宋体" w:cs="宋体"/>
                <w:b/>
                <w:bCs w:val="0"/>
                <w:sz w:val="24"/>
                <w:u w:val="single"/>
                <w:lang w:eastAsia="zh-CN"/>
              </w:rPr>
              <w:t>中归咨询管理（北京）有限公司</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开户银行：兴业银行股份有限公司北京怀柔支行</w:t>
            </w:r>
          </w:p>
          <w:p>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rPr>
            </w:pPr>
            <w:r>
              <w:rPr>
                <w:rFonts w:hint="eastAsia" w:ascii="宋体" w:hAnsi="宋体" w:eastAsia="宋体" w:cs="宋体"/>
                <w:b/>
                <w:bCs w:val="0"/>
                <w:sz w:val="24"/>
                <w:u w:val="single"/>
              </w:rPr>
              <w:t>账  号：3216 2010 0100 0396 49</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val="0"/>
                <w:bCs/>
                <w:sz w:val="24"/>
                <w:u w:val="single"/>
              </w:rPr>
              <w:t>（3）投标担保函原件</w:t>
            </w:r>
            <w:r>
              <w:rPr>
                <w:rFonts w:hint="eastAsia" w:ascii="宋体" w:hAnsi="宋体" w:eastAsia="宋体" w:cs="宋体"/>
                <w:b w:val="0"/>
                <w:bCs/>
                <w:spacing w:val="0"/>
                <w:w w:val="100"/>
                <w:position w:val="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p>
        </w:tc>
        <w:tc>
          <w:tcPr>
            <w:tcW w:w="1700" w:type="dxa"/>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1"/>
              </w:rPr>
            </w:pP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投标保证金可以不予退还的其他情形：</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无</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spacing w:val="0"/>
                <w:w w:val="100"/>
                <w:position w:val="0"/>
                <w:lang w:eastAsia="zh-CN"/>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有，具体情形：</w:t>
            </w:r>
            <w:r>
              <w:rPr>
                <w:rFonts w:hint="eastAsia" w:cs="宋体"/>
                <w:spacing w:val="0"/>
                <w:w w:val="100"/>
                <w:position w:val="0"/>
                <w:u w:val="single" w:color="auto"/>
                <w:lang w:eastAsia="zh-CN"/>
              </w:rPr>
              <w:t>（</w:t>
            </w:r>
            <w:r>
              <w:rPr>
                <w:rFonts w:hint="eastAsia" w:cs="宋体"/>
                <w:spacing w:val="0"/>
                <w:w w:val="100"/>
                <w:position w:val="0"/>
                <w:u w:val="single" w:color="auto"/>
                <w:lang w:val="en-US" w:eastAsia="zh-CN"/>
              </w:rPr>
              <w:t>1</w:t>
            </w:r>
            <w:r>
              <w:rPr>
                <w:rFonts w:hint="eastAsia" w:cs="宋体"/>
                <w:spacing w:val="0"/>
                <w:w w:val="100"/>
                <w:position w:val="0"/>
                <w:u w:val="single" w:color="auto"/>
                <w:lang w:eastAsia="zh-CN"/>
              </w:rPr>
              <w:t>）</w:t>
            </w:r>
            <w:r>
              <w:rPr>
                <w:rFonts w:hint="eastAsia" w:ascii="宋体" w:hAnsi="宋体" w:eastAsia="宋体" w:cs="宋体"/>
                <w:spacing w:val="0"/>
                <w:w w:val="100"/>
                <w:position w:val="0"/>
                <w:u w:val="single" w:color="auto"/>
              </w:rPr>
              <w:t>投标人在收到中标通知书后，未按招标文件要求与采购人签订政府采购合同</w:t>
            </w:r>
            <w:r>
              <w:rPr>
                <w:rFonts w:hint="eastAsia" w:cs="宋体"/>
                <w:spacing w:val="0"/>
                <w:w w:val="100"/>
                <w:position w:val="0"/>
                <w:u w:val="single"/>
                <w:lang w:eastAsia="zh-CN"/>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eastAsia="宋体" w:cs="宋体"/>
                <w:spacing w:val="0"/>
                <w:w w:val="100"/>
                <w:position w:val="0"/>
                <w:lang w:eastAsia="zh-CN"/>
              </w:rPr>
            </w:pPr>
            <w:r>
              <w:rPr>
                <w:rFonts w:hint="eastAsia" w:cs="宋体"/>
                <w:spacing w:val="0"/>
                <w:w w:val="100"/>
                <w:position w:val="0"/>
                <w:u w:val="single"/>
                <w:lang w:eastAsia="zh-CN"/>
              </w:rPr>
              <w:t>（</w:t>
            </w:r>
            <w:r>
              <w:rPr>
                <w:rFonts w:hint="eastAsia" w:cs="宋体"/>
                <w:spacing w:val="0"/>
                <w:w w:val="100"/>
                <w:position w:val="0"/>
                <w:u w:val="single"/>
                <w:lang w:val="en-US" w:eastAsia="zh-CN"/>
              </w:rPr>
              <w:t>2</w:t>
            </w:r>
            <w:r>
              <w:rPr>
                <w:rFonts w:hint="eastAsia" w:cs="宋体"/>
                <w:spacing w:val="0"/>
                <w:w w:val="100"/>
                <w:position w:val="0"/>
                <w:u w:val="single"/>
                <w:lang w:eastAsia="zh-CN"/>
              </w:rPr>
              <w:t>）</w:t>
            </w:r>
            <w:r>
              <w:rPr>
                <w:rFonts w:hint="eastAsia" w:hAnsi="宋体"/>
                <w:sz w:val="24"/>
                <w:u w:val="single"/>
              </w:rPr>
              <w:t>投标人提供虚假资料</w:t>
            </w:r>
            <w:r>
              <w:rPr>
                <w:rFonts w:hint="eastAsia" w:hAnsi="宋体"/>
                <w:sz w:val="24"/>
                <w:u w:val="singl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自</w:t>
            </w:r>
            <w:r>
              <w:rPr>
                <w:rFonts w:hint="eastAsia" w:cs="宋体"/>
                <w:spacing w:val="0"/>
                <w:w w:val="100"/>
                <w:position w:val="0"/>
                <w:lang w:val="en-US" w:eastAsia="zh-CN"/>
              </w:rPr>
              <w:t>提</w:t>
            </w:r>
            <w:r>
              <w:rPr>
                <w:rFonts w:hint="eastAsia" w:ascii="宋体" w:hAnsi="宋体" w:eastAsia="宋体" w:cs="宋体"/>
                <w:spacing w:val="0"/>
                <w:w w:val="100"/>
                <w:position w:val="0"/>
              </w:rPr>
              <w:t>交投标文件的截止之日起算</w:t>
            </w:r>
            <w:r>
              <w:rPr>
                <w:rFonts w:hint="eastAsia" w:ascii="宋体" w:hAnsi="宋体" w:eastAsia="宋体" w:cs="宋体"/>
                <w:spacing w:val="0"/>
                <w:w w:val="100"/>
                <w:position w:val="0"/>
                <w:u w:val="single" w:color="auto"/>
              </w:rPr>
              <w:t xml:space="preserve"> </w:t>
            </w:r>
            <w:r>
              <w:rPr>
                <w:rFonts w:hint="eastAsia" w:cs="宋体"/>
                <w:spacing w:val="0"/>
                <w:w w:val="100"/>
                <w:position w:val="0"/>
                <w:u w:val="single" w:color="auto"/>
                <w:lang w:val="en-US" w:eastAsia="zh-CN"/>
              </w:rPr>
              <w:t>90</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确定中标人</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中标候选人并列的，采购人是否委托评标委员会确定中标人：</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否</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是</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中标候选人并列的，按照以下方式确定中标人：</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得分且投标报价均相同的，以</w:t>
            </w:r>
            <w:r>
              <w:rPr>
                <w:rFonts w:hint="eastAsia" w:ascii="宋体" w:hAnsi="宋体" w:eastAsia="宋体" w:cs="宋体"/>
                <w:spacing w:val="0"/>
                <w:w w:val="100"/>
                <w:position w:val="0"/>
                <w:u w:val="single" w:color="auto"/>
              </w:rPr>
              <w:t xml:space="preserve"> 投标文件满足招标文件全部实质性要求，且按照评审因素的量化指标评审  </w:t>
            </w:r>
            <w:r>
              <w:rPr>
                <w:rFonts w:hint="eastAsia" w:ascii="宋体" w:hAnsi="宋体" w:eastAsia="宋体" w:cs="宋体"/>
                <w:spacing w:val="0"/>
                <w:w w:val="100"/>
                <w:position w:val="0"/>
              </w:rPr>
              <w:t>得分高者为中标人</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分包</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本项目的非主体、非关键性工作是否允许分包：</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sz w:val="24"/>
                <w:szCs w:val="24"/>
                <w:highlight w:val="none"/>
              </w:rPr>
              <w:t>■</w:t>
            </w:r>
            <w:r>
              <w:rPr>
                <w:rFonts w:hint="eastAsia" w:ascii="宋体" w:hAnsi="宋体" w:eastAsia="宋体" w:cs="宋体"/>
                <w:spacing w:val="0"/>
                <w:w w:val="100"/>
                <w:position w:val="0"/>
                <w:highlight w:val="none"/>
              </w:rPr>
              <w:t>不允许</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highlight w:val="none"/>
              </w:rPr>
              <w:t>允许，具体要求：</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（1）可以分包履行的具体内容：</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（2）允许分包的金额或者比例：</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（3）其他要求：</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26.1.1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询问</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sz w:val="24"/>
                <w:szCs w:val="24"/>
                <w:lang w:val="en-US"/>
              </w:rPr>
            </w:pPr>
            <w:r>
              <w:rPr>
                <w:rFonts w:hint="eastAsia" w:ascii="宋体" w:hAnsi="宋体" w:eastAsia="宋体" w:cs="宋体"/>
                <w:spacing w:val="0"/>
                <w:w w:val="100"/>
                <w:position w:val="0"/>
              </w:rPr>
              <w:t>询问送达形式：</w:t>
            </w:r>
            <w:r>
              <w:rPr>
                <w:rFonts w:hint="eastAsia" w:cs="宋体"/>
                <w:spacing w:val="0"/>
                <w:w w:val="100"/>
                <w:position w:val="0"/>
                <w:u w:val="single"/>
                <w:lang w:val="en-US" w:eastAsia="zh-CN"/>
              </w:rPr>
              <w:t xml:space="preserve">  </w:t>
            </w:r>
            <w:r>
              <w:rPr>
                <w:rFonts w:hint="eastAsia" w:cs="宋体"/>
                <w:spacing w:val="0"/>
                <w:w w:val="100"/>
                <w:position w:val="0"/>
                <w:sz w:val="24"/>
                <w:szCs w:val="24"/>
                <w:u w:val="single"/>
                <w:lang w:val="en-US" w:eastAsia="zh-CN"/>
              </w:rPr>
              <w:t xml:space="preserve">纸质版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26.3</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联系方式</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接收询问和质疑的联系方式</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联系部门：</w:t>
            </w:r>
            <w:r>
              <w:rPr>
                <w:rFonts w:hint="eastAsia" w:cs="宋体"/>
                <w:spacing w:val="0"/>
                <w:w w:val="100"/>
                <w:position w:val="0"/>
                <w:u w:val="single" w:color="auto"/>
                <w:lang w:val="en-US" w:eastAsia="zh-CN"/>
              </w:rPr>
              <w:t>招标部</w:t>
            </w:r>
            <w:r>
              <w:rPr>
                <w:rFonts w:hint="eastAsia" w:ascii="宋体" w:hAnsi="宋体" w:eastAsia="宋体" w:cs="宋体"/>
                <w:spacing w:val="0"/>
                <w:w w:val="100"/>
                <w:position w:val="0"/>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rPr>
              <w:t>联系电话：</w:t>
            </w:r>
            <w:r>
              <w:rPr>
                <w:rFonts w:hint="eastAsia" w:cs="宋体"/>
                <w:spacing w:val="0"/>
                <w:w w:val="100"/>
                <w:position w:val="0"/>
                <w:highlight w:val="none"/>
                <w:u w:val="single" w:color="auto"/>
                <w:lang w:val="en-US" w:eastAsia="zh-CN"/>
              </w:rPr>
              <w:t>17310362080</w:t>
            </w:r>
            <w:r>
              <w:rPr>
                <w:rFonts w:hint="eastAsia" w:ascii="宋体" w:hAnsi="宋体" w:eastAsia="宋体" w:cs="宋体"/>
                <w:spacing w:val="0"/>
                <w:w w:val="100"/>
                <w:position w:val="0"/>
                <w:highlight w:val="none"/>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highlight w:val="none"/>
              </w:rPr>
              <w:t>通讯地址：</w:t>
            </w:r>
            <w:r>
              <w:rPr>
                <w:rFonts w:hint="eastAsia" w:ascii="宋体" w:hAnsi="宋体" w:eastAsia="宋体" w:cs="宋体"/>
                <w:spacing w:val="0"/>
                <w:w w:val="100"/>
                <w:position w:val="0"/>
                <w:highlight w:val="none"/>
                <w:u w:val="single" w:color="auto"/>
              </w:rPr>
              <w:t>北京市怀柔区迎宾南路11号五幢二层2213室</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27</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代理费</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收费对象：</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采购人</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中标人</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收费标准：</w:t>
            </w:r>
            <w:r>
              <w:rPr>
                <w:rFonts w:hint="eastAsia" w:ascii="宋体" w:hAnsi="宋体" w:eastAsia="宋体" w:cs="宋体"/>
                <w:spacing w:val="0"/>
                <w:w w:val="100"/>
                <w:position w:val="0"/>
                <w:u w:val="single" w:color="auto"/>
              </w:rPr>
              <w:t>中标服务费收取标准参考原国家计委招标代理服务费暂行标准[2002]1980号文件中规定执行</w:t>
            </w:r>
            <w:r>
              <w:rPr>
                <w:rFonts w:hint="eastAsia" w:ascii="宋体" w:hAnsi="宋体" w:eastAsia="宋体" w:cs="宋体"/>
                <w:spacing w:val="0"/>
                <w:w w:val="100"/>
                <w:position w:val="0"/>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缴纳时间：</w:t>
            </w:r>
            <w:r>
              <w:rPr>
                <w:rFonts w:hint="eastAsia" w:ascii="宋体" w:hAnsi="宋体" w:eastAsia="宋体" w:cs="宋体"/>
                <w:spacing w:val="0"/>
                <w:w w:val="100"/>
                <w:position w:val="0"/>
                <w:u w:val="single" w:color="auto"/>
              </w:rPr>
              <w:t>中标人领取中标通知书时</w:t>
            </w:r>
            <w:r>
              <w:rPr>
                <w:rFonts w:hint="eastAsia" w:ascii="宋体" w:hAnsi="宋体" w:eastAsia="宋体" w:cs="宋体"/>
                <w:spacing w:val="0"/>
                <w:w w:val="100"/>
                <w:position w:val="0"/>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lang w:val="en-US" w:eastAsia="zh-CN"/>
              </w:rPr>
            </w:pPr>
            <w:r>
              <w:rPr>
                <w:rFonts w:hint="eastAsia" w:cs="宋体"/>
                <w:b/>
                <w:bCs/>
                <w:spacing w:val="0"/>
                <w:w w:val="100"/>
                <w:position w:val="0"/>
                <w:lang w:val="en-US" w:eastAsia="zh-CN"/>
              </w:rPr>
              <w:t>服务费账户</w:t>
            </w:r>
            <w:r>
              <w:rPr>
                <w:rFonts w:hint="eastAsia" w:cs="宋体"/>
                <w:spacing w:val="0"/>
                <w:w w:val="100"/>
                <w:position w:val="0"/>
                <w:lang w:val="en-US" w:eastAsia="zh-CN"/>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rPr>
              <w:t>账户名称：</w:t>
            </w:r>
            <w:r>
              <w:rPr>
                <w:rFonts w:hint="eastAsia" w:cs="宋体"/>
                <w:spacing w:val="0"/>
                <w:w w:val="100"/>
                <w:position w:val="0"/>
                <w:lang w:eastAsia="zh-CN"/>
              </w:rPr>
              <w:t>中归咨询管理（北京）有限公司</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账户号码：3562 0188 0000 1470 1</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开户银行：中国光大银行股份有限公司北京怀柔支行</w:t>
            </w: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spacing w:val="0"/>
          <w:w w:val="100"/>
          <w:position w:val="0"/>
          <w:sz w:val="28"/>
          <w:szCs w:val="28"/>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投标人须知</w:t>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spacing w:val="0"/>
          <w:w w:val="100"/>
          <w:position w:val="0"/>
          <w:sz w:val="28"/>
          <w:szCs w:val="28"/>
        </w:rPr>
      </w:pPr>
      <w:bookmarkStart w:id="22" w:name="_Toc10009"/>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一</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说</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明</w:t>
      </w:r>
      <w:bookmarkEnd w:id="2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3" w:name="_Toc6385"/>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采购人、采购代理机构、投标人、联合体</w:t>
      </w:r>
      <w:bookmarkEnd w:id="2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 采购人、采购代理机构：指依法进行政府采购的国家机关、事业单位、团体组织，及其委托的采购代理机构。本项目采购人、采购代理机构见第一章《投标邀请》。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投标人（也称“供应商”、“申请人”）：指向采购人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供货物、工程或者服务的法人、其他组织或者自然人。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 联合体：指两个以上的自然人、法人或者其他组织组成一个联合体，以一个供应商的身份共同参加政府采购。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4" w:name="_Toc403"/>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资金来源、项目属性、科研仪器设备采购、核心产品</w:t>
      </w:r>
      <w:bookmarkEnd w:id="2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 资金来源为财政性资金和/或本项目采购中无法与财政性资金分割的非财政性资金。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项目属性见《投标人须知资料表》。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 是否属于科研仪器设备采购见《投标人须知资料表》。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 核心产品见《投标人须知资料表》。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5" w:name="_Toc22302"/>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现场考察、开标前答疑会</w:t>
      </w:r>
      <w:bookmarkEnd w:id="2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 若《投标人须知资料表》中规定了组织现场考察、召开开标前答疑会，则投标人应按要求在规定的时间和地点参加。</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 由于未参加现场考察或开标前答疑会而导致对项目实际情况不了解，影响投标文件编制、投标报价准确性、综合因素响应不全面等问题的，由投标人自行承担不利评审后果。</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6" w:name="_Toc2646"/>
      <w:r>
        <w:rPr>
          <w:rFonts w:hint="eastAsia" w:ascii="宋体" w:hAnsi="宋体" w:eastAsia="宋体" w:cs="宋体"/>
          <w:b/>
          <w:bCs/>
          <w:spacing w:val="0"/>
          <w:w w:val="100"/>
          <w:position w:val="0"/>
          <w:sz w:val="24"/>
          <w:szCs w:val="24"/>
        </w:rPr>
        <w:t>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样品</w:t>
      </w:r>
      <w:bookmarkEnd w:id="2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 本项目是否要求投标人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供样品，以及样品制作的标准和要求、是否需要随样品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交相关检测报告、样品的递交与退还等要求见《投标人须知资料表》。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 样品的评审方法以及评审标准等内容见第四章《评标程序、评标方法和评标标准》。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7" w:name="_Toc28311"/>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政府采购政策（包括但不限于下列具体政策要求）</w:t>
      </w:r>
      <w:bookmarkEnd w:id="2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8" w:name="_Toc15305"/>
      <w:r>
        <w:rPr>
          <w:rFonts w:hint="eastAsia" w:ascii="宋体" w:hAnsi="宋体" w:eastAsia="宋体" w:cs="宋体"/>
          <w:spacing w:val="0"/>
          <w:w w:val="100"/>
          <w:position w:val="0"/>
          <w:sz w:val="24"/>
          <w:szCs w:val="24"/>
        </w:rPr>
        <w:t>5.1 采购本国货物、工程和服务</w:t>
      </w:r>
      <w:bookmarkEnd w:id="28"/>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5.1.1 政府采购应当采购本国货物、工程和服务。但有</w:t>
      </w:r>
      <w:r>
        <w:rPr>
          <w:rFonts w:hint="eastAsia" w:ascii="宋体" w:hAnsi="宋体" w:eastAsia="宋体" w:cs="宋体"/>
          <w:b w:val="0"/>
          <w:bCs w:val="0"/>
          <w:spacing w:val="0"/>
          <w:w w:val="100"/>
          <w:position w:val="0"/>
          <w:sz w:val="24"/>
          <w:szCs w:val="24"/>
        </w:rPr>
        <w:t>《</w:t>
      </w:r>
      <w:r>
        <w:rPr>
          <w:rFonts w:hint="eastAsia" w:ascii="宋体" w:hAnsi="宋体" w:eastAsia="宋体" w:cs="宋体"/>
          <w:b w:val="0"/>
          <w:bCs w:val="0"/>
          <w:color w:val="000000" w:themeColor="text1"/>
          <w:spacing w:val="0"/>
          <w:w w:val="100"/>
          <w:position w:val="0"/>
          <w:sz w:val="24"/>
          <w:szCs w:val="24"/>
          <w14:textOutline w14:w="4359" w14:cap="flat" w14:cmpd="sng">
            <w14:solidFill>
              <w14:srgbClr w14:val="000000"/>
            </w14:solidFill>
            <w14:prstDash w14:val="solid"/>
            <w14:miter w14:val="0"/>
          </w14:textOutline>
          <w14:textFill>
            <w14:solidFill>
              <w14:schemeClr w14:val="tx1"/>
            </w14:solidFill>
          </w14:textFill>
        </w:rPr>
        <w:t>中华人民共和国政府采购法</w:t>
      </w:r>
      <w:r>
        <w:rPr>
          <w:rFonts w:hint="eastAsia" w:ascii="宋体" w:hAnsi="宋体" w:eastAsia="宋体" w:cs="宋体"/>
          <w:b w:val="0"/>
          <w:bCs w:val="0"/>
          <w:spacing w:val="0"/>
          <w:w w:val="100"/>
          <w:position w:val="0"/>
          <w:sz w:val="24"/>
          <w:szCs w:val="24"/>
        </w:rPr>
        <w:t>》</w:t>
      </w:r>
      <w:r>
        <w:rPr>
          <w:rFonts w:hint="eastAsia" w:ascii="宋体" w:hAnsi="宋体" w:eastAsia="宋体" w:cs="宋体"/>
          <w:spacing w:val="0"/>
          <w:w w:val="100"/>
          <w:position w:val="0"/>
          <w:sz w:val="24"/>
          <w:szCs w:val="24"/>
        </w:rPr>
        <w:t>第十条规定情形的除外。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5.1.2 本项目如接受非本国货物、工程、服务参与投标，则具体要求见第四章《采购需求》。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9" w:name="_Toc19268"/>
      <w:r>
        <w:rPr>
          <w:rFonts w:hint="eastAsia" w:ascii="宋体" w:hAnsi="宋体" w:eastAsia="宋体" w:cs="宋体"/>
          <w:spacing w:val="0"/>
          <w:w w:val="100"/>
          <w:position w:val="0"/>
          <w:sz w:val="24"/>
          <w:szCs w:val="24"/>
        </w:rPr>
        <w:t>5.2 中小企业、监狱企业及残疾人福利性单位</w:t>
      </w:r>
      <w:bookmarkEnd w:id="2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5.2.1 中小企业定义：</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w:t>
      </w:r>
      <w:r>
        <w:rPr>
          <w:rFonts w:hint="eastAsia" w:ascii="宋体" w:hAnsi="宋体" w:eastAsia="宋体" w:cs="宋体"/>
          <w:spacing w:val="0"/>
          <w:w w:val="100"/>
          <w:position w:val="0"/>
          <w:sz w:val="24"/>
          <w:szCs w:val="24"/>
          <w:highlight w:val="none"/>
        </w:rPr>
        <w:t>业。关于中小企业的相关规定依据《中华人民</w:t>
      </w:r>
      <w:r>
        <w:rPr>
          <w:rFonts w:hint="eastAsia" w:ascii="宋体" w:hAnsi="宋体" w:eastAsia="宋体" w:cs="宋体"/>
          <w:spacing w:val="0"/>
          <w:w w:val="100"/>
          <w:position w:val="0"/>
          <w:sz w:val="24"/>
          <w:szCs w:val="24"/>
        </w:rPr>
        <w:t>共和国中小企业促进法》、《关于进一步加大政府采购支持中小企业力度的通知》（财库〔2022〕19号）、《政府采购促进中小企业发展管理办法》（财库〔2020〕46号）、《关于印发中小企业划型标准规定的通知》（工信部联企业〔2011〕300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供的货物、工程或者服务符合下列情形的，享受中小企业扶持政策：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（1）在货物采购项目中，货物由中小企业制造，即货物由中小企业生产且使用该中小企业商号或者注册商标；</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（2）在工程采购项目中，工程由中小企业承建，即工程施工单位为中小企业；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（3）在服务采购项目中，服务由中小企业承接，即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供服务的人员为中小企业依照《中华人民共和国劳动合同法》订立劳动合同的从业人员。</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在货物采购项目中，供应商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供的货物既有中小企业制造货物，也有大型企业制造货物的，不享受中小企业扶持政策。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以联合体形式参加政府采购活动，联合体各方均为中小企业的，联合体视同中小企业。其中，联合体各方均为小微企业的，联合体视同小微企业。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安置的残疾人占本单位在职职工人数的比例不低于25%（含25%），并且安置的残疾人人数不少于10人（含10人）；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依法与安置的每位残疾人签订了一年以上（含一年）的劳动合同或服务协议；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为安置的每位残疾人按月足额缴纳了基本养老保险、基本医疗保险、失业保险、工伤保险和生育保险等社会保险费；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通过银行等金融机构向安置的每位残疾人，按月支付了不低于单位所在区县适用的经省级人民政府批准的月最低工资标准的工资；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"5.2.3.5"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5.2.3.5</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供本单位制造的货物、承担的工程或者服务（以下简称产品），或者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"5.2.3.6"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5.2.3.6</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5.2.4 本项目是否专门面向中小企业预留采购份额见第一章《投标邀请》。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 采购标的对应的中小企业划分标准所属行业见《投标人须知资料表》。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5.2.6 小微企业价格评审优惠的政策调整：见第四章《评标程序、评标方法和评标标准》。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0" w:name="_Toc18637"/>
      <w:r>
        <w:rPr>
          <w:rFonts w:hint="eastAsia" w:ascii="宋体" w:hAnsi="宋体" w:eastAsia="宋体" w:cs="宋体"/>
          <w:spacing w:val="0"/>
          <w:w w:val="100"/>
          <w:position w:val="0"/>
          <w:sz w:val="24"/>
          <w:szCs w:val="24"/>
        </w:rPr>
        <w:t>5.3 政府采购节能产品、环境标志产品</w:t>
      </w:r>
      <w:bookmarkEnd w:id="30"/>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5.3.4 非政府强制采购的节能产品或环境标志产品，依据品目清单和认证证书实施政府优先采购。优先采购的具体规定见第四章《评标程序、评标方法和评标标准》（如涉及）。</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1" w:name="_Toc22713"/>
      <w:r>
        <w:rPr>
          <w:rFonts w:hint="eastAsia" w:ascii="宋体" w:hAnsi="宋体" w:eastAsia="宋体" w:cs="宋体"/>
          <w:spacing w:val="0"/>
          <w:w w:val="100"/>
          <w:position w:val="0"/>
          <w:sz w:val="24"/>
          <w:szCs w:val="24"/>
        </w:rPr>
        <w:t>5.4 正版软件</w:t>
      </w:r>
      <w:bookmarkEnd w:id="3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15629.11/1102）并通过国家产品认证的产品。其中，国家有特殊信息安全要求的项目必须采购认证产品，否则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2" w:name="_Toc10766"/>
      <w:r>
        <w:rPr>
          <w:rFonts w:hint="eastAsia" w:ascii="宋体" w:hAnsi="宋体" w:eastAsia="宋体" w:cs="宋体"/>
          <w:spacing w:val="0"/>
          <w:w w:val="100"/>
          <w:position w:val="0"/>
          <w:sz w:val="24"/>
          <w:szCs w:val="24"/>
        </w:rPr>
        <w:t>5.5 网络安全专用产品</w:t>
      </w:r>
      <w:bookmarkEnd w:id="3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3" w:name="_Toc8877"/>
      <w:r>
        <w:rPr>
          <w:rFonts w:hint="eastAsia" w:ascii="宋体" w:hAnsi="宋体" w:eastAsia="宋体" w:cs="宋体"/>
          <w:spacing w:val="0"/>
          <w:w w:val="100"/>
          <w:position w:val="0"/>
          <w:sz w:val="24"/>
          <w:szCs w:val="24"/>
        </w:rPr>
        <w:t>5.6 推广使用低挥发性有机化合物（VOCs）</w:t>
      </w:r>
      <w:bookmarkEnd w:id="3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；属于推荐性标准的，优先采购，具体见第四章《评标程序、评标方法和评标标准》。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4" w:name="_Toc25382"/>
      <w:r>
        <w:rPr>
          <w:rFonts w:hint="eastAsia" w:ascii="宋体" w:hAnsi="宋体" w:eastAsia="宋体" w:cs="宋体"/>
          <w:spacing w:val="0"/>
          <w:w w:val="100"/>
          <w:position w:val="0"/>
          <w:sz w:val="24"/>
          <w:szCs w:val="24"/>
        </w:rPr>
        <w:t>5.7 采购需求标准</w:t>
      </w:r>
      <w:bookmarkEnd w:id="3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35" w:name="_Toc4654"/>
      <w:r>
        <w:rPr>
          <w:rFonts w:hint="eastAsia" w:ascii="宋体" w:hAnsi="宋体" w:eastAsia="宋体" w:cs="宋体"/>
          <w:b/>
          <w:bCs/>
          <w:spacing w:val="0"/>
          <w:w w:val="100"/>
          <w:position w:val="0"/>
          <w:sz w:val="24"/>
          <w:szCs w:val="24"/>
        </w:rPr>
        <w:t>6</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投标费用</w:t>
      </w:r>
      <w:bookmarkEnd w:id="3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 投标人应自行承担所有与准备和参加投标有关的费用，无论投标的结果如何，采购人或采购代理机构在任何情况下均无承担这些费用的义务和责任。</w:t>
      </w: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36" w:name="_Toc958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二</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招标文件</w:t>
      </w:r>
      <w:bookmarkEnd w:id="36"/>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7" w:name="_Toc30073"/>
      <w:r>
        <w:rPr>
          <w:rFonts w:hint="eastAsia" w:ascii="宋体" w:hAnsi="宋体" w:eastAsia="宋体" w:cs="宋体"/>
          <w:b/>
          <w:bCs/>
          <w:spacing w:val="0"/>
          <w:w w:val="100"/>
          <w:position w:val="0"/>
          <w:sz w:val="24"/>
          <w:szCs w:val="24"/>
        </w:rPr>
        <w:t>7</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招标文件构成</w:t>
      </w:r>
      <w:bookmarkEnd w:id="37"/>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8" w:name="_Toc26390"/>
      <w:r>
        <w:rPr>
          <w:rFonts w:hint="eastAsia" w:ascii="宋体" w:hAnsi="宋体" w:eastAsia="宋体" w:cs="宋体"/>
          <w:spacing w:val="0"/>
          <w:w w:val="100"/>
          <w:position w:val="0"/>
          <w:sz w:val="24"/>
          <w:szCs w:val="24"/>
        </w:rPr>
        <w:t>7.1 招标文件包括以下部分：</w:t>
      </w:r>
      <w:bookmarkEnd w:id="38"/>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第一章   投标邀请</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第二章   投标人须知</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第三章   资格审查</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第四章   评标程序、评标方法和评标标准</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第五章   采购需求</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第六章   拟签订的合同文本</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第七章   投标文件格式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 投标人应认真阅读招标文件的全部内容。投标人应按照招标文件要求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交投标文件并保证所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供的全部资料的真实性，并对招标文件做出实质性响应，否则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9" w:name="_Toc12196"/>
      <w:r>
        <w:rPr>
          <w:rFonts w:hint="eastAsia" w:ascii="宋体" w:hAnsi="宋体" w:eastAsia="宋体" w:cs="宋体"/>
          <w:b/>
          <w:bCs/>
          <w:spacing w:val="0"/>
          <w:w w:val="100"/>
          <w:position w:val="0"/>
          <w:sz w:val="24"/>
          <w:szCs w:val="24"/>
        </w:rPr>
        <w:t>8</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对招标文件的澄清或修改</w:t>
      </w:r>
      <w:bookmarkEnd w:id="3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8.1 采购人或采购代理机构对已发出的招标文件进行必要澄清或者修改的，将在原公告发布媒体上发布更正公告，并以书面形式通知所有获取招标文件的潜在投标人。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8.2 上述书面通知，按照获取招标文件的潜在投标人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供的联系方式发出，因</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供的信息有误导致通知延迟或无法通知的，采购人或采购代理机构不承担责任。</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交投标文件的截止时间和开标时间。</w:t>
      </w:r>
    </w:p>
    <w:p>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40" w:name="_Toc3032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三</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投标文件的编制</w:t>
      </w:r>
      <w:bookmarkEnd w:id="40"/>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1" w:name="_Toc5753"/>
      <w:r>
        <w:rPr>
          <w:rFonts w:hint="eastAsia" w:ascii="宋体" w:hAnsi="宋体" w:eastAsia="宋体" w:cs="宋体"/>
          <w:b/>
          <w:bCs/>
          <w:spacing w:val="0"/>
          <w:w w:val="100"/>
          <w:position w:val="0"/>
          <w:sz w:val="24"/>
          <w:szCs w:val="24"/>
        </w:rPr>
        <w:t>9</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投标范围、投标文件中计量单位的使用及投标语言</w:t>
      </w:r>
      <w:bookmarkEnd w:id="4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9.2 除招标文件有特殊要求外，本项目投标所使用的计量单位，应采用中华人民共和国法定计量单位。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9.3 除专用术语外，投标文件及来往函电均应使用中文书写。必要时专用术语应附有中文解释。投标人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2" w:name="_Toc5940"/>
      <w:r>
        <w:rPr>
          <w:rFonts w:hint="eastAsia" w:ascii="宋体" w:hAnsi="宋体" w:eastAsia="宋体" w:cs="宋体"/>
          <w:b/>
          <w:bCs/>
          <w:spacing w:val="0"/>
          <w:w w:val="100"/>
          <w:position w:val="0"/>
          <w:sz w:val="24"/>
          <w:szCs w:val="24"/>
        </w:rPr>
        <w:t>10</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投标文件构成</w:t>
      </w:r>
      <w:bookmarkEnd w:id="4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 投标人应当按照招标文件的要求编制投标文件。投标文件应由《资格证明文件》、《商务技术文件》两部分构成。投标文件的部分格式要求，见第七章《投标文件格式》。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2</w:t>
      </w:r>
      <w:r>
        <w:rPr>
          <w:rFonts w:hint="eastAsia" w:ascii="宋体" w:hAnsi="宋体" w:eastAsia="宋体" w:cs="宋体"/>
          <w:spacing w:val="0"/>
          <w:w w:val="100"/>
          <w:position w:val="0"/>
          <w:sz w:val="24"/>
          <w:szCs w:val="24"/>
        </w:rPr>
        <w:t xml:space="preserve"> 第四章《评标程序、评标方法和评标标准》中涉及的证明文件。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3</w:t>
      </w:r>
      <w:r>
        <w:rPr>
          <w:rFonts w:hint="eastAsia" w:ascii="宋体" w:hAnsi="宋体" w:eastAsia="宋体" w:cs="宋体"/>
          <w:spacing w:val="0"/>
          <w:w w:val="100"/>
          <w:position w:val="0"/>
          <w:sz w:val="24"/>
          <w:szCs w:val="24"/>
        </w:rPr>
        <w:t xml:space="preserve"> 对照第五章《采购需求》，说明所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供货物和服务已对第五章《采购需求》做出了响应，或申明与第五章《采购需求》的偏差和例外。如第五章《采购需求》中要求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供证明文件的，投标人应当按具体要求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3" w:name="_Toc30765"/>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4</w:t>
      </w:r>
      <w:r>
        <w:rPr>
          <w:rFonts w:hint="eastAsia" w:ascii="宋体" w:hAnsi="宋体" w:eastAsia="宋体" w:cs="宋体"/>
          <w:spacing w:val="0"/>
          <w:w w:val="100"/>
          <w:position w:val="0"/>
          <w:sz w:val="24"/>
          <w:szCs w:val="24"/>
        </w:rPr>
        <w:t xml:space="preserve"> 投标人认为应附的其他材料。</w:t>
      </w:r>
      <w:bookmarkEnd w:id="43"/>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4" w:name="_Toc23418"/>
      <w:r>
        <w:rPr>
          <w:rFonts w:hint="eastAsia" w:ascii="宋体" w:hAnsi="宋体" w:eastAsia="宋体" w:cs="宋体"/>
          <w:b/>
          <w:bCs/>
          <w:spacing w:val="0"/>
          <w:w w:val="100"/>
          <w:position w:val="0"/>
          <w:sz w:val="24"/>
          <w:szCs w:val="24"/>
        </w:rPr>
        <w:t>11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投标报价</w:t>
      </w:r>
      <w:bookmarkEnd w:id="4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5" w:name="_Toc20444"/>
      <w:r>
        <w:rPr>
          <w:rFonts w:hint="eastAsia" w:ascii="宋体" w:hAnsi="宋体" w:eastAsia="宋体" w:cs="宋体"/>
          <w:spacing w:val="0"/>
          <w:w w:val="100"/>
          <w:position w:val="0"/>
          <w:sz w:val="24"/>
          <w:szCs w:val="24"/>
        </w:rPr>
        <w:t>11.1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所有投标均以人民币报价。</w:t>
      </w:r>
      <w:bookmarkEnd w:id="4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按照招标文件要求完成本项目的全部相关费用。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采购人不得向供应商索要或者接受其给予的赠品、回扣或者与采购无关的其他商品、服务。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投标人不能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供任何有选择性或可调整的报价（招标文件另有规定的除外），否则其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6" w:name="_Toc17672"/>
      <w:r>
        <w:rPr>
          <w:rFonts w:hint="eastAsia" w:ascii="宋体" w:hAnsi="宋体" w:eastAsia="宋体" w:cs="宋体"/>
          <w:b/>
          <w:bCs/>
          <w:spacing w:val="0"/>
          <w:w w:val="100"/>
          <w:position w:val="0"/>
          <w:sz w:val="24"/>
          <w:szCs w:val="24"/>
        </w:rPr>
        <w:t>12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投标保证金</w:t>
      </w:r>
      <w:bookmarkEnd w:id="4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投标人应按《投标人须知资料表》中规定的金额及要求交纳投标保证金。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交纳投标保证金可采用的形式：政府采购法律法规接受的支票、汇票、本票、网上银行支付或者金融机构、担保机构出具的保函等非现金形式。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投标保证金到账（保函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交）截止时间同投标截止时间。以支票、汇票、本票、网上银行支付等形式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交投标保证金的，应在投标截止时间前到账；以金融机构、担保机构出具的保函等形式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交投标保证金的，应在投标截止时间前将原件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交至采购代理机构。由于到账时间晚于投标截止时间的，或者票据错误、印鉴不清等原因导致不能到账的，其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spacing w:val="0"/>
          <w:w w:val="100"/>
          <w:position w:val="0"/>
          <w:sz w:val="24"/>
          <w:szCs w:val="24"/>
        </w:rPr>
      </w:pPr>
      <w:bookmarkStart w:id="47" w:name="_Toc9978"/>
      <w:r>
        <w:rPr>
          <w:rFonts w:hint="eastAsia" w:ascii="宋体" w:hAnsi="宋体" w:eastAsia="宋体" w:cs="宋体"/>
          <w:spacing w:val="0"/>
          <w:w w:val="100"/>
          <w:position w:val="0"/>
          <w:sz w:val="24"/>
          <w:szCs w:val="24"/>
        </w:rPr>
        <w:t>12.4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投标保证金有效期同投标有效期。</w:t>
      </w:r>
      <w:bookmarkEnd w:id="4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投标人为联合体的，可以由联合体中的一方或者多方共同交纳投标保证金，其交纳的投标保证金对联合体各方均具有约束力。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投标人在投标截止时间前撤回已</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交的投标文件的，自收到投标人书面撤回通知之日起5个工作日内退还已收取的投标保证金；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中标人的投标保证金，自采购合同签订之日起5个工作日内退还中标人；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未中标投标人的投标保证金，自中标通知书发出之日起5个工作日内退还未中标人；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终止招标项目已经收取投标保证金的，自终止采购活动后5个工作日内退还已收取的投标保证金及其在银行产生的孳息。</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有下列情形之一的，采购人或采购代理机构可以不予退还投标保证金：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投标有效期内投标人撤销投标文件的；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《投标人须知资料表》中规定的其他情形。</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8" w:name="_Toc21364"/>
      <w:r>
        <w:rPr>
          <w:rFonts w:hint="eastAsia" w:ascii="宋体" w:hAnsi="宋体" w:eastAsia="宋体" w:cs="宋体"/>
          <w:b/>
          <w:bCs/>
          <w:spacing w:val="0"/>
          <w:w w:val="100"/>
          <w:position w:val="0"/>
          <w:sz w:val="24"/>
          <w:szCs w:val="24"/>
        </w:rPr>
        <w:t>13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投标有效期</w:t>
      </w:r>
      <w:bookmarkEnd w:id="48"/>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投标文件应在本招标文件《投标人须知资料表》中规定的投标有效期内保持有效，投标有效期少于招标文件规定期限的，其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9" w:name="_Toc21259"/>
      <w:r>
        <w:rPr>
          <w:rFonts w:hint="eastAsia" w:ascii="宋体" w:hAnsi="宋体" w:eastAsia="宋体" w:cs="宋体"/>
          <w:b/>
          <w:bCs/>
          <w:spacing w:val="0"/>
          <w:w w:val="100"/>
          <w:position w:val="0"/>
          <w:sz w:val="24"/>
          <w:szCs w:val="24"/>
        </w:rPr>
        <w:t>14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投标文件的签署、盖章</w:t>
      </w:r>
      <w:bookmarkEnd w:id="4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招标文件要求盖章的内容，一般通过投标文件编制工具加盖电子签章。</w:t>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50" w:name="_Toc4453"/>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四</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w:t>
      </w:r>
      <w:r>
        <w:rPr>
          <w:rFonts w:hint="eastAsia" w:cs="宋体"/>
          <w:spacing w:val="0"/>
          <w:w w:val="100"/>
          <w:position w:val="0"/>
          <w:sz w:val="28"/>
          <w:szCs w:val="28"/>
          <w:lang w:eastAsia="zh-CN"/>
          <w14:textOutline w14:w="5104" w14:cap="flat" w14:cmpd="sng">
            <w14:solidFill>
              <w14:srgbClr w14:val="000000"/>
            </w14:solidFill>
            <w14:prstDash w14:val="solid"/>
            <w14:miter w14:val="0"/>
          </w14:textOutline>
        </w:rPr>
        <w:t>提</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交</w:t>
      </w:r>
      <w:bookmarkEnd w:id="50"/>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1" w:name="_Toc31333"/>
      <w:r>
        <w:rPr>
          <w:rFonts w:hint="eastAsia" w:ascii="宋体" w:hAnsi="宋体" w:eastAsia="宋体" w:cs="宋体"/>
          <w:b/>
          <w:bCs/>
          <w:color w:val="000000"/>
          <w:sz w:val="24"/>
          <w:szCs w:val="24"/>
        </w:rPr>
        <w:t>15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投标文件的提交</w:t>
      </w:r>
      <w:bookmarkEnd w:id="51"/>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15.1</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本项目使用北京市政府采购电子交易平台。投标人根据招标文件及电子交易</w:t>
      </w:r>
      <w:r>
        <w:rPr>
          <w:rFonts w:hint="eastAsia" w:ascii="宋体" w:hAnsi="宋体" w:eastAsia="宋体" w:cs="宋体"/>
          <w:color w:val="000000"/>
          <w:sz w:val="24"/>
          <w:szCs w:val="24"/>
        </w:rPr>
        <w:t>平台供应商操作手册要求编制、生成并提交电子投标文件。</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采购人及采购代理机构拒绝接受通过电子交易平台以外任何形式提交的投标文件，投标保证金除外。</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2" w:name="_Toc230"/>
      <w:r>
        <w:rPr>
          <w:rFonts w:hint="eastAsia" w:ascii="宋体" w:hAnsi="宋体" w:eastAsia="宋体" w:cs="宋体"/>
          <w:b/>
          <w:bCs/>
          <w:color w:val="000000"/>
          <w:sz w:val="24"/>
          <w:szCs w:val="24"/>
        </w:rPr>
        <w:t>16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投标截止时间</w:t>
      </w:r>
      <w:bookmarkEnd w:id="52"/>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投标人应在招标文件要求提交投标文件截止时间前，将电子投标文件提交至电子交易平台。</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3" w:name="_Toc24529"/>
      <w:r>
        <w:rPr>
          <w:rFonts w:hint="eastAsia" w:ascii="宋体" w:hAnsi="宋体" w:eastAsia="宋体" w:cs="宋体"/>
          <w:b/>
          <w:bCs/>
          <w:color w:val="000000"/>
          <w:sz w:val="24"/>
          <w:szCs w:val="24"/>
        </w:rPr>
        <w:t>17</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投标文件的修改与撤回</w:t>
      </w:r>
      <w:bookmarkEnd w:id="53"/>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17.1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投标截止时间前，投标人可以通过电子交易平台对所提交的投标文件进行补</w:t>
      </w:r>
      <w:r>
        <w:rPr>
          <w:rFonts w:hint="eastAsia" w:ascii="宋体" w:hAnsi="宋体" w:eastAsia="宋体" w:cs="宋体"/>
          <w:snapToGrid w:val="0"/>
          <w:color w:val="000000"/>
          <w:kern w:val="0"/>
          <w:sz w:val="24"/>
          <w:szCs w:val="24"/>
          <w:lang w:val="en-US" w:eastAsia="zh-CN" w:bidi="ar"/>
        </w:rPr>
        <w:t>充、修改或者撤回。投标保证金的补充、修改或者撤回无需通过电子交易平</w:t>
      </w:r>
      <w:r>
        <w:rPr>
          <w:rFonts w:hint="eastAsia" w:ascii="宋体" w:hAnsi="宋体" w:eastAsia="宋体" w:cs="宋体"/>
          <w:color w:val="000000"/>
          <w:sz w:val="24"/>
          <w:szCs w:val="24"/>
        </w:rPr>
        <w:t>台，但应就其补充、修改或者撤回通知采购人或采购代理机构。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pPr>
      <w:r>
        <w:rPr>
          <w:rFonts w:hint="eastAsia" w:ascii="宋体" w:hAnsi="宋体" w:eastAsia="宋体" w:cs="宋体"/>
          <w:color w:val="000000"/>
          <w:sz w:val="24"/>
          <w:szCs w:val="24"/>
        </w:rPr>
        <w:t>17.2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投标人对投标文件的补充、修改的内容应当按照招标文件要求签署、盖章，作为投标文件的组成部分。</w:t>
      </w: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sz w:val="28"/>
          <w:szCs w:val="28"/>
        </w:rPr>
      </w:pPr>
      <w:bookmarkStart w:id="54" w:name="_Toc1785"/>
      <w:r>
        <w:rPr>
          <w:rFonts w:hint="eastAsia" w:ascii="宋体" w:hAnsi="宋体" w:eastAsia="宋体" w:cs="宋体"/>
          <w:b/>
          <w:bCs/>
          <w:color w:val="000000"/>
          <w:sz w:val="28"/>
          <w:szCs w:val="28"/>
        </w:rPr>
        <w:t>五</w:t>
      </w:r>
      <w:r>
        <w:rPr>
          <w:rFonts w:hint="eastAsia" w:cs="宋体"/>
          <w:b/>
          <w:bCs/>
          <w:color w:val="000000"/>
          <w:sz w:val="28"/>
          <w:szCs w:val="28"/>
          <w:lang w:val="en-US" w:eastAsia="zh-CN"/>
        </w:rPr>
        <w:t xml:space="preserve">  </w:t>
      </w:r>
      <w:r>
        <w:rPr>
          <w:rFonts w:hint="eastAsia" w:ascii="宋体" w:hAnsi="宋体" w:eastAsia="宋体" w:cs="宋体"/>
          <w:b/>
          <w:bCs/>
          <w:color w:val="000000"/>
          <w:sz w:val="28"/>
          <w:szCs w:val="28"/>
        </w:rPr>
        <w:t>开标、资格审查及评标</w:t>
      </w:r>
      <w:bookmarkEnd w:id="54"/>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5" w:name="_Toc13365"/>
      <w:r>
        <w:rPr>
          <w:rFonts w:hint="eastAsia" w:ascii="宋体" w:hAnsi="宋体" w:eastAsia="宋体" w:cs="宋体"/>
          <w:b/>
          <w:bCs/>
          <w:color w:val="000000"/>
          <w:sz w:val="24"/>
          <w:szCs w:val="24"/>
        </w:rPr>
        <w:t>18</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开标</w:t>
      </w:r>
      <w:bookmarkEnd w:id="55"/>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采购人或采购代理机构将按招标文件的规定，在投标截止时间的同一时间和招标文件预先确定的地点组织开标。</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本项目开标使用北京市政府采购电子交易平台。投标人应在规定的时间内对</w:t>
      </w:r>
      <w:r>
        <w:rPr>
          <w:rFonts w:hint="eastAsia" w:ascii="宋体" w:hAnsi="宋体" w:eastAsia="宋体" w:cs="宋体"/>
          <w:snapToGrid w:val="0"/>
          <w:color w:val="000000"/>
          <w:kern w:val="0"/>
          <w:sz w:val="24"/>
          <w:szCs w:val="24"/>
          <w:lang w:val="en-US" w:eastAsia="zh-CN" w:bidi="ar"/>
        </w:rPr>
        <w:t>投标文件进行解密，因非系统原因导致的解密失败，视为</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开标过程将使用电子交易平台宣布投标人名称、投标价格和招标文件规定的</w:t>
      </w:r>
      <w:r>
        <w:rPr>
          <w:rFonts w:hint="eastAsia" w:ascii="宋体" w:hAnsi="宋体" w:eastAsia="宋体" w:cs="宋体"/>
          <w:snapToGrid w:val="0"/>
          <w:color w:val="000000"/>
          <w:kern w:val="0"/>
          <w:sz w:val="24"/>
          <w:szCs w:val="24"/>
          <w:lang w:val="en-US" w:eastAsia="zh-CN" w:bidi="ar"/>
        </w:rPr>
        <w:t>需要宣布的其他内容并进行记录，并由参加开标的各投标人确认。投标人未</w:t>
      </w:r>
      <w:r>
        <w:rPr>
          <w:rFonts w:hint="eastAsia" w:ascii="宋体" w:hAnsi="宋体" w:eastAsia="宋体" w:cs="宋体"/>
          <w:color w:val="000000"/>
          <w:sz w:val="24"/>
          <w:szCs w:val="24"/>
        </w:rPr>
        <w:t>在规定时间内提出疑义或确认一览表的，视同认可开标结果。</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投标人对开标过程和开标记录有疑义，以及认为采购人、采购代理机构相关</w:t>
      </w:r>
      <w:r>
        <w:rPr>
          <w:rFonts w:hint="eastAsia" w:ascii="宋体" w:hAnsi="宋体" w:eastAsia="宋体" w:cs="宋体"/>
          <w:snapToGrid w:val="0"/>
          <w:color w:val="000000"/>
          <w:kern w:val="0"/>
          <w:sz w:val="24"/>
          <w:szCs w:val="24"/>
          <w:lang w:val="en-US" w:eastAsia="zh-CN" w:bidi="ar"/>
        </w:rPr>
        <w:t>工作人员有需要回避的情形的，应当场提出询问或者回避申请。采购人、采</w:t>
      </w:r>
      <w:r>
        <w:rPr>
          <w:rFonts w:hint="eastAsia" w:ascii="宋体" w:hAnsi="宋体" w:eastAsia="宋体" w:cs="宋体"/>
          <w:color w:val="000000"/>
          <w:sz w:val="24"/>
          <w:szCs w:val="24"/>
        </w:rPr>
        <w:t>购代理机构对投标人提出的询问或者回避申请将及时处理。</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6" w:name="_Toc14609"/>
      <w:r>
        <w:rPr>
          <w:rFonts w:hint="eastAsia" w:ascii="宋体" w:hAnsi="宋体" w:eastAsia="宋体" w:cs="宋体"/>
          <w:color w:val="000000"/>
          <w:sz w:val="24"/>
          <w:szCs w:val="24"/>
        </w:rPr>
        <w:t>18.5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投标人不足3家的，不予开标。</w:t>
      </w:r>
      <w:bookmarkEnd w:id="56"/>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7" w:name="_Toc26303"/>
      <w:r>
        <w:rPr>
          <w:rFonts w:hint="eastAsia" w:ascii="宋体" w:hAnsi="宋体" w:eastAsia="宋体" w:cs="宋体"/>
          <w:b/>
          <w:bCs/>
          <w:color w:val="000000"/>
          <w:sz w:val="24"/>
          <w:szCs w:val="24"/>
        </w:rPr>
        <w:t>19</w:t>
      </w:r>
      <w:r>
        <w:rPr>
          <w:rFonts w:hint="eastAsia" w:cs="宋体"/>
          <w:b/>
          <w:bCs/>
          <w:spacing w:val="0"/>
          <w:w w:val="100"/>
          <w:position w:val="0"/>
          <w:sz w:val="24"/>
          <w:szCs w:val="24"/>
          <w:lang w:val="en-US" w:eastAsia="zh-CN"/>
        </w:rPr>
        <w:t>、</w:t>
      </w:r>
      <w:r>
        <w:rPr>
          <w:rFonts w:hint="eastAsia" w:ascii="宋体" w:hAnsi="宋体" w:eastAsia="宋体" w:cs="宋体"/>
          <w:b/>
          <w:bCs/>
          <w:color w:val="000000"/>
          <w:sz w:val="24"/>
          <w:szCs w:val="24"/>
        </w:rPr>
        <w:t>资格审查</w:t>
      </w:r>
      <w:bookmarkEnd w:id="57"/>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8" w:name="_Toc17187"/>
      <w:r>
        <w:rPr>
          <w:rFonts w:hint="eastAsia" w:ascii="宋体" w:hAnsi="宋体" w:eastAsia="宋体" w:cs="宋体"/>
          <w:color w:val="000000"/>
          <w:sz w:val="24"/>
          <w:szCs w:val="24"/>
        </w:rPr>
        <w:t>19.1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见第三章《资格审查》。</w:t>
      </w:r>
      <w:bookmarkEnd w:id="58"/>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9" w:name="_Toc28446"/>
      <w:r>
        <w:rPr>
          <w:rFonts w:hint="eastAsia" w:ascii="宋体" w:hAnsi="宋体" w:eastAsia="宋体" w:cs="宋体"/>
          <w:b/>
          <w:bCs/>
          <w:color w:val="000000"/>
          <w:sz w:val="24"/>
          <w:szCs w:val="24"/>
        </w:rPr>
        <w:t>20</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评标委员会</w:t>
      </w:r>
      <w:bookmarkEnd w:id="59"/>
    </w:p>
    <w:p>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20.1</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评标委员会根据政府采购有关规定和本次采购项目的特点进行组建，并负责</w:t>
      </w:r>
      <w:r>
        <w:rPr>
          <w:rFonts w:hint="eastAsia" w:ascii="宋体" w:hAnsi="宋体" w:eastAsia="宋体" w:cs="宋体"/>
          <w:color w:val="000000"/>
          <w:sz w:val="24"/>
          <w:szCs w:val="24"/>
        </w:rPr>
        <w:t>具体评标事务，独立履行职责。</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20.2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评审专家须符合《财政部关于在政府采购活动中查询及使用信用记录有关问</w:t>
      </w:r>
      <w:r>
        <w:rPr>
          <w:rFonts w:hint="eastAsia" w:ascii="宋体" w:hAnsi="宋体" w:eastAsia="宋体" w:cs="宋体"/>
          <w:snapToGrid w:val="0"/>
          <w:color w:val="000000"/>
          <w:kern w:val="0"/>
          <w:sz w:val="24"/>
          <w:szCs w:val="24"/>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000000"/>
          <w:sz w:val="24"/>
          <w:szCs w:val="24"/>
        </w:rPr>
        <w:t>信用记录的人员，拒绝其参与政府采购活动。</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0" w:name="_Toc4967"/>
      <w:r>
        <w:rPr>
          <w:rFonts w:hint="eastAsia" w:cs="宋体"/>
          <w:b/>
          <w:bCs/>
          <w:color w:val="000000"/>
          <w:sz w:val="24"/>
          <w:szCs w:val="24"/>
          <w:lang w:val="en-US" w:eastAsia="zh-CN"/>
        </w:rPr>
        <w:t>21</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评标程序、评标方法和评标标准</w:t>
      </w:r>
      <w:bookmarkEnd w:id="60"/>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1" w:name="_Toc10959"/>
      <w:r>
        <w:rPr>
          <w:rFonts w:hint="eastAsia" w:ascii="宋体" w:hAnsi="宋体" w:eastAsia="宋体" w:cs="宋体"/>
          <w:color w:val="000000"/>
          <w:sz w:val="24"/>
          <w:szCs w:val="24"/>
        </w:rPr>
        <w:t>21.1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见第四章《评标程序、评标方法和评标标准》</w:t>
      </w:r>
      <w:bookmarkEnd w:id="61"/>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spacing w:val="0"/>
          <w:w w:val="100"/>
          <w:position w:val="0"/>
          <w:sz w:val="28"/>
          <w:szCs w:val="28"/>
        </w:rPr>
      </w:pPr>
      <w:bookmarkStart w:id="62" w:name="_Toc845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六</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确定中标</w:t>
      </w:r>
      <w:bookmarkEnd w:id="62"/>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3" w:name="_Toc28040"/>
      <w:r>
        <w:rPr>
          <w:rFonts w:hint="eastAsia" w:ascii="宋体" w:hAnsi="宋体" w:eastAsia="宋体" w:cs="宋体"/>
          <w:b/>
          <w:bCs/>
          <w:color w:val="000000"/>
          <w:sz w:val="24"/>
          <w:szCs w:val="24"/>
        </w:rPr>
        <w:t>22</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确定中标人</w:t>
      </w:r>
      <w:bookmarkEnd w:id="63"/>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采购人将在评标报告确定的中标候选人名单中按顺序确定中标人，中标候选</w:t>
      </w:r>
      <w:r>
        <w:rPr>
          <w:rFonts w:hint="eastAsia" w:ascii="宋体" w:hAnsi="宋体" w:eastAsia="宋体" w:cs="宋体"/>
          <w:snapToGrid w:val="0"/>
          <w:color w:val="000000"/>
          <w:kern w:val="0"/>
          <w:sz w:val="24"/>
          <w:szCs w:val="24"/>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000000"/>
          <w:sz w:val="24"/>
          <w:szCs w:val="24"/>
        </w:rPr>
        <w:t>评标委员会直接确定中标人，见《投标人须知资料表》。中标候选人并列的，按照《投标人须知资料表》要求确定中标人。</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4" w:name="_Toc3391"/>
      <w:r>
        <w:rPr>
          <w:rFonts w:hint="eastAsia" w:ascii="宋体" w:hAnsi="宋体" w:eastAsia="宋体" w:cs="宋体"/>
          <w:b/>
          <w:bCs/>
          <w:color w:val="000000"/>
          <w:sz w:val="24"/>
          <w:szCs w:val="24"/>
        </w:rPr>
        <w:t>23</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中标公告与中标通知书</w:t>
      </w:r>
      <w:bookmarkEnd w:id="64"/>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采购人或采购代理机构自中标人确定之日起2个工作日内，在北京市政府采</w:t>
      </w:r>
      <w:r>
        <w:rPr>
          <w:rFonts w:hint="eastAsia" w:ascii="宋体" w:hAnsi="宋体" w:eastAsia="宋体" w:cs="宋体"/>
          <w:snapToGrid w:val="0"/>
          <w:color w:val="000000"/>
          <w:kern w:val="0"/>
          <w:sz w:val="24"/>
          <w:szCs w:val="24"/>
          <w:lang w:val="en-US" w:eastAsia="zh-CN" w:bidi="ar"/>
        </w:rPr>
        <w:t>购网公告中标结果，同时向中标人发出中标通知书，中标公告期限为1个工</w:t>
      </w:r>
      <w:r>
        <w:rPr>
          <w:rFonts w:hint="eastAsia" w:ascii="宋体" w:hAnsi="宋体" w:eastAsia="宋体" w:cs="宋体"/>
          <w:color w:val="000000"/>
          <w:sz w:val="24"/>
          <w:szCs w:val="24"/>
        </w:rPr>
        <w:t>作日。</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中标通知书对采购人和中标供应商均具有法律效力。中标通知书发出后，采</w:t>
      </w:r>
      <w:r>
        <w:rPr>
          <w:rFonts w:hint="eastAsia" w:ascii="宋体" w:hAnsi="宋体" w:eastAsia="宋体" w:cs="宋体"/>
          <w:snapToGrid w:val="0"/>
          <w:color w:val="000000"/>
          <w:kern w:val="0"/>
          <w:sz w:val="24"/>
          <w:szCs w:val="24"/>
          <w:lang w:val="en-US" w:eastAsia="zh-CN" w:bidi="ar"/>
        </w:rPr>
        <w:t>购人改变中标结果的，或者中标供应商放弃中标项目的，应当依法承担法律</w:t>
      </w:r>
      <w:r>
        <w:rPr>
          <w:rFonts w:hint="eastAsia" w:ascii="宋体" w:hAnsi="宋体" w:eastAsia="宋体" w:cs="宋体"/>
          <w:color w:val="000000"/>
          <w:sz w:val="24"/>
          <w:szCs w:val="24"/>
        </w:rPr>
        <w:t>责任。</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5" w:name="_Toc9799"/>
      <w:r>
        <w:rPr>
          <w:rFonts w:hint="eastAsia" w:ascii="宋体" w:hAnsi="宋体" w:eastAsia="宋体" w:cs="宋体"/>
          <w:b/>
          <w:bCs/>
          <w:color w:val="000000"/>
          <w:sz w:val="24"/>
          <w:szCs w:val="24"/>
        </w:rPr>
        <w:t>24</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废标</w:t>
      </w:r>
      <w:bookmarkEnd w:id="65"/>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6" w:name="_Toc6873"/>
      <w:r>
        <w:rPr>
          <w:rFonts w:hint="eastAsia" w:ascii="宋体" w:hAnsi="宋体" w:eastAsia="宋体" w:cs="宋体"/>
          <w:color w:val="00000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在招标采购中，出现下列情形之一的，应予废标：</w:t>
      </w:r>
      <w:bookmarkEnd w:id="66"/>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符合专业条件的供应商或者对招标文件作实质响应的供应商不足三家的；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出现影响采购公正的违法、违规行为的；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投标人的报价均超过了采购预算，采购人不能支付的；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因重大变故，采购任务取消的。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7" w:name="_Toc17810"/>
      <w:r>
        <w:rPr>
          <w:rFonts w:hint="eastAsia" w:ascii="宋体" w:hAnsi="宋体" w:eastAsia="宋体" w:cs="宋体"/>
          <w:color w:val="00000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废标后，采购人将废标理由书面通知所有投标人。</w:t>
      </w:r>
      <w:bookmarkEnd w:id="67"/>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8" w:name="_Toc5580"/>
      <w:r>
        <w:rPr>
          <w:rFonts w:hint="eastAsia" w:ascii="宋体" w:hAnsi="宋体" w:eastAsia="宋体" w:cs="宋体"/>
          <w:b/>
          <w:bCs/>
          <w:color w:val="000000"/>
          <w:sz w:val="24"/>
          <w:szCs w:val="24"/>
        </w:rPr>
        <w:t>25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签订合同</w:t>
      </w:r>
      <w:bookmarkEnd w:id="68"/>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中标人、采购人应当自中标通知书发出之日起30日内，按照招标文件和中标</w:t>
      </w:r>
      <w:r>
        <w:rPr>
          <w:rFonts w:hint="eastAsia" w:ascii="宋体" w:hAnsi="宋体" w:eastAsia="宋体" w:cs="宋体"/>
          <w:snapToGrid w:val="0"/>
          <w:color w:val="000000"/>
          <w:kern w:val="0"/>
          <w:sz w:val="24"/>
          <w:szCs w:val="24"/>
          <w:lang w:val="en-US" w:eastAsia="zh-CN" w:bidi="ar"/>
        </w:rPr>
        <w:t>人投标文件的规定签订书面合同。所签订的合同不得对招标文件确定的事项</w:t>
      </w:r>
      <w:r>
        <w:rPr>
          <w:rFonts w:hint="eastAsia" w:ascii="宋体" w:hAnsi="宋体" w:eastAsia="宋体" w:cs="宋体"/>
          <w:color w:val="000000"/>
          <w:sz w:val="24"/>
          <w:szCs w:val="24"/>
        </w:rPr>
        <w:t>和中标人投标文件作实质性修改。</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中标人拒绝与采购人签订合同的，采购人可以按照评标报告推荐的中标候选人名单排序，确定下一候选人为中标人，也可以重新开展政府采购活动。</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联合体中标的，联合体各方应当共同与采购人签订合同，就采购合同约定的事项向采购人承担连带责任。</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9" w:name="_Toc14048"/>
      <w:r>
        <w:rPr>
          <w:rFonts w:hint="eastAsia" w:ascii="宋体" w:hAnsi="宋体" w:eastAsia="宋体" w:cs="宋体"/>
          <w:color w:val="00000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政府采购合同不能转包。</w:t>
      </w:r>
      <w:bookmarkEnd w:id="69"/>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采购人允许采用分包方式履行合同的，中标人可以依法在中标后将中标项目</w:t>
      </w:r>
      <w:r>
        <w:rPr>
          <w:rFonts w:hint="eastAsia" w:ascii="宋体" w:hAnsi="宋体" w:eastAsia="宋体" w:cs="宋体"/>
          <w:snapToGrid w:val="0"/>
          <w:color w:val="000000"/>
          <w:kern w:val="0"/>
          <w:sz w:val="24"/>
          <w:szCs w:val="24"/>
          <w:lang w:val="en-US" w:eastAsia="zh-CN" w:bidi="ar"/>
        </w:rPr>
        <w:t>的非主体、非关键性工作采取分包方式履行合同。本项目的非主体、非关键</w:t>
      </w:r>
      <w:r>
        <w:rPr>
          <w:rFonts w:hint="eastAsia" w:ascii="宋体" w:hAnsi="宋体" w:eastAsia="宋体" w:cs="宋体"/>
          <w:color w:val="000000"/>
          <w:sz w:val="24"/>
          <w:szCs w:val="24"/>
        </w:rPr>
        <w:t>性工作是否允许分包，见《投标人须知资料表》。政府采购合同分包履行的，</w:t>
      </w:r>
      <w:r>
        <w:rPr>
          <w:rFonts w:hint="eastAsia" w:ascii="宋体" w:hAnsi="宋体" w:eastAsia="宋体" w:cs="宋体"/>
          <w:snapToGrid w:val="0"/>
          <w:color w:val="000000"/>
          <w:kern w:val="0"/>
          <w:sz w:val="24"/>
          <w:szCs w:val="24"/>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000000"/>
          <w:kern w:val="0"/>
          <w:sz w:val="24"/>
          <w:szCs w:val="24"/>
          <w:lang w:val="en-US" w:eastAsia="zh-CN" w:bidi="ar"/>
        </w:rPr>
        <w:t>，</w:t>
      </w:r>
      <w:r>
        <w:rPr>
          <w:rFonts w:hint="eastAsia" w:ascii="宋体" w:hAnsi="宋体" w:eastAsia="宋体" w:cs="宋体"/>
          <w:snapToGrid w:val="0"/>
          <w:color w:val="000000"/>
          <w:kern w:val="0"/>
          <w:sz w:val="24"/>
          <w:szCs w:val="24"/>
          <w:lang w:val="en-US" w:eastAsia="zh-CN" w:bidi="ar"/>
        </w:rPr>
        <w:t>否则</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。中标人就采购项目和分包项目向采购人负</w:t>
      </w:r>
      <w:r>
        <w:rPr>
          <w:rFonts w:hint="eastAsia" w:ascii="宋体" w:hAnsi="宋体" w:eastAsia="宋体" w:cs="宋体"/>
          <w:color w:val="000000"/>
          <w:sz w:val="24"/>
          <w:szCs w:val="24"/>
        </w:rPr>
        <w:t>责，分包供应商就分包项目承担责任。</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70" w:name="_Toc21896"/>
      <w:r>
        <w:rPr>
          <w:rFonts w:hint="eastAsia" w:ascii="宋体" w:hAnsi="宋体" w:eastAsia="宋体" w:cs="宋体"/>
          <w:b/>
          <w:bCs/>
          <w:color w:val="000000"/>
          <w:sz w:val="24"/>
          <w:szCs w:val="24"/>
        </w:rPr>
        <w:t>26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询问与质疑</w:t>
      </w:r>
      <w:bookmarkEnd w:id="70"/>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1" w:name="_Toc3669"/>
      <w:r>
        <w:rPr>
          <w:rFonts w:hint="eastAsia" w:ascii="宋体" w:hAnsi="宋体" w:eastAsia="宋体" w:cs="宋体"/>
          <w:color w:val="000000"/>
          <w:sz w:val="24"/>
          <w:szCs w:val="24"/>
        </w:rPr>
        <w:t>26.1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询问</w:t>
      </w:r>
      <w:bookmarkEnd w:id="71"/>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投标人对政府采购活动事项有疑问的，可依法提出询问，并按《投标人须知资料表》载明的形式送达采购人或采购代理机构。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26.1.2</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采购人或采购代理机构对供应商依法提出的询问，在3个工作日内</w:t>
      </w:r>
      <w:r>
        <w:rPr>
          <w:rFonts w:hint="eastAsia" w:ascii="宋体" w:hAnsi="宋体" w:eastAsia="宋体" w:cs="宋体"/>
          <w:color w:val="000000"/>
          <w:sz w:val="24"/>
          <w:szCs w:val="24"/>
        </w:rPr>
        <w:t>作出答复，但答复的内容不得涉及商业秘密。</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2" w:name="_Toc5712"/>
      <w:r>
        <w:rPr>
          <w:rFonts w:hint="eastAsia" w:ascii="宋体" w:hAnsi="宋体" w:eastAsia="宋体" w:cs="宋体"/>
          <w:color w:val="000000"/>
          <w:sz w:val="24"/>
          <w:szCs w:val="24"/>
        </w:rPr>
        <w:t>26.2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w:t>
      </w:r>
      <w:bookmarkEnd w:id="72"/>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投标人认为采购文件、采购过程、中标结果使自己的权益受到损害的，</w:t>
      </w:r>
      <w:r>
        <w:rPr>
          <w:rFonts w:hint="eastAsia" w:ascii="宋体" w:hAnsi="宋体" w:eastAsia="宋体" w:cs="宋体"/>
          <w:snapToGrid w:val="0"/>
          <w:color w:val="000000"/>
          <w:kern w:val="0"/>
          <w:sz w:val="24"/>
          <w:szCs w:val="24"/>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000000"/>
          <w:sz w:val="24"/>
          <w:szCs w:val="24"/>
        </w:rPr>
        <w:t>到质疑函后7个工作日内作出答复。</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质疑函须使用财政部制定的范本文件。投标人为自然人的，质疑函应</w:t>
      </w:r>
      <w:r>
        <w:rPr>
          <w:rFonts w:hint="eastAsia" w:ascii="宋体" w:hAnsi="宋体" w:eastAsia="宋体" w:cs="宋体"/>
          <w:snapToGrid w:val="0"/>
          <w:color w:val="000000"/>
          <w:kern w:val="0"/>
          <w:sz w:val="24"/>
          <w:szCs w:val="24"/>
          <w:lang w:val="en-US" w:eastAsia="zh-CN" w:bidi="ar"/>
        </w:rPr>
        <w:t>当由本人签字；投标人为法人或者其他组织的，质疑函应当由法定代</w:t>
      </w:r>
      <w:r>
        <w:rPr>
          <w:rFonts w:hint="eastAsia" w:ascii="宋体" w:hAnsi="宋体" w:eastAsia="宋体" w:cs="宋体"/>
          <w:color w:val="000000"/>
          <w:sz w:val="24"/>
          <w:szCs w:val="24"/>
        </w:rPr>
        <w:t>表人、主要负责人，或者其授权代表签字或者盖章，并加盖公章。</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投标人委托代理人进行质疑的，应当随质疑函同时提交投标人签署的</w:t>
      </w:r>
      <w:r>
        <w:rPr>
          <w:rFonts w:hint="eastAsia" w:ascii="宋体" w:hAnsi="宋体" w:eastAsia="宋体" w:cs="宋体"/>
          <w:snapToGrid w:val="0"/>
          <w:color w:val="000000"/>
          <w:kern w:val="0"/>
          <w:sz w:val="24"/>
          <w:szCs w:val="24"/>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000000"/>
          <w:sz w:val="24"/>
          <w:szCs w:val="24"/>
        </w:rPr>
        <w:t>或者盖章，并加盖公章。</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投标人应在法定质疑期内一次性提出针对同一采购程序环节的质疑，</w:t>
      </w:r>
      <w:r>
        <w:rPr>
          <w:rFonts w:hint="eastAsia" w:ascii="宋体" w:hAnsi="宋体" w:eastAsia="宋体" w:cs="宋体"/>
          <w:snapToGrid w:val="0"/>
          <w:color w:val="000000"/>
          <w:kern w:val="0"/>
          <w:sz w:val="24"/>
          <w:szCs w:val="24"/>
          <w:lang w:val="en-US" w:eastAsia="zh-CN" w:bidi="ar"/>
        </w:rPr>
        <w:t>法定质疑期内针对同一采购程序环节再次提出的质疑，采购人、采购</w:t>
      </w:r>
      <w:r>
        <w:rPr>
          <w:rFonts w:hint="eastAsia" w:ascii="宋体" w:hAnsi="宋体" w:eastAsia="宋体" w:cs="宋体"/>
          <w:color w:val="000000"/>
          <w:sz w:val="24"/>
          <w:szCs w:val="24"/>
        </w:rPr>
        <w:t>代理机构有权不予答复。</w:t>
      </w:r>
    </w:p>
    <w:p>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26.3</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接收询问和质疑的联系部门、联系电话和通讯地址见《投标人须知资料表》。</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sz w:val="24"/>
          <w:szCs w:val="24"/>
          <w:lang w:val="en-US" w:eastAsia="zh-CN"/>
        </w:rPr>
      </w:pPr>
      <w:bookmarkStart w:id="73" w:name="_Toc21800"/>
      <w:r>
        <w:rPr>
          <w:rFonts w:hint="eastAsia" w:cs="宋体"/>
          <w:b/>
          <w:bCs/>
          <w:sz w:val="24"/>
          <w:szCs w:val="24"/>
          <w:lang w:val="en-US" w:eastAsia="zh-CN"/>
        </w:rPr>
        <w:t>27</w:t>
      </w:r>
      <w:r>
        <w:rPr>
          <w:rFonts w:hint="eastAsia" w:cs="宋体"/>
          <w:b/>
          <w:bCs/>
          <w:spacing w:val="0"/>
          <w:w w:val="100"/>
          <w:position w:val="0"/>
          <w:sz w:val="24"/>
          <w:szCs w:val="24"/>
          <w:lang w:eastAsia="zh-CN"/>
        </w:rPr>
        <w:t>、</w:t>
      </w:r>
      <w:r>
        <w:rPr>
          <w:rFonts w:hint="eastAsia" w:cs="宋体"/>
          <w:b/>
          <w:bCs/>
          <w:sz w:val="24"/>
          <w:szCs w:val="24"/>
          <w:lang w:val="en-US" w:eastAsia="zh-CN"/>
        </w:rPr>
        <w:t>代理费</w:t>
      </w:r>
      <w:bookmarkEnd w:id="73"/>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cs="宋体"/>
          <w:color w:val="000000"/>
          <w:sz w:val="24"/>
          <w:szCs w:val="24"/>
          <w:lang w:val="en-US" w:eastAsia="zh-CN"/>
        </w:rPr>
        <w:t>27.1</w:t>
      </w:r>
      <w:r>
        <w:rPr>
          <w:rFonts w:hint="eastAsia" w:ascii="宋体" w:hAnsi="宋体" w:eastAsia="宋体" w:cs="宋体"/>
          <w:color w:val="000000"/>
          <w:sz w:val="24"/>
          <w:szCs w:val="24"/>
        </w:rPr>
        <w:t>收费对象、收费标准及缴纳时间见《投标人须知资料表》。由中标人支付的，中标人须一次性向采购代理机构缴纳代理费，投标报价应包含代理费用。</w:t>
      </w: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spacing w:val="0"/>
          <w:w w:val="100"/>
          <w:position w:val="0"/>
          <w:sz w:val="36"/>
          <w:szCs w:val="36"/>
        </w:rPr>
      </w:pPr>
      <w:bookmarkStart w:id="74" w:name="_Toc2680"/>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资格审查</w:t>
      </w:r>
      <w:bookmarkEnd w:id="74"/>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spacing w:val="0"/>
          <w:w w:val="100"/>
          <w:position w:val="0"/>
          <w:sz w:val="24"/>
          <w:szCs w:val="24"/>
        </w:rPr>
      </w:pPr>
      <w:bookmarkStart w:id="75" w:name="_Toc2929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一、资格审查程序</w:t>
      </w:r>
      <w:bookmarkEnd w:id="75"/>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6" w:name="_Toc19085"/>
      <w:r>
        <w:rPr>
          <w:rFonts w:hint="eastAsia" w:ascii="宋体" w:hAnsi="宋体" w:eastAsia="宋体" w:cs="宋体"/>
          <w:b w:val="0"/>
          <w:bCs w:val="0"/>
          <w:spacing w:val="0"/>
          <w:w w:val="100"/>
          <w:position w:val="0"/>
          <w:sz w:val="24"/>
          <w:szCs w:val="24"/>
        </w:rPr>
        <w:t>1</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开标结束后，采购人或采购代理机构将根据《资格审查要求》中的规定，对投标人进行资格审查，并形成资格审查结果。</w:t>
      </w:r>
      <w:bookmarkEnd w:id="76"/>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7" w:name="_Toc23333"/>
      <w:r>
        <w:rPr>
          <w:rFonts w:hint="eastAsia" w:ascii="宋体" w:hAnsi="宋体" w:eastAsia="宋体" w:cs="宋体"/>
          <w:b w:val="0"/>
          <w:bCs w:val="0"/>
          <w:spacing w:val="0"/>
          <w:w w:val="100"/>
          <w:position w:val="0"/>
          <w:sz w:val="24"/>
          <w:szCs w:val="24"/>
        </w:rPr>
        <w:t>2</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《资格审查要求》中对格式有要求的，除招标文件另有规定外，均为“实质性格式”文件。</w:t>
      </w:r>
      <w:bookmarkEnd w:id="77"/>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8" w:name="_Toc17318"/>
      <w:r>
        <w:rPr>
          <w:rFonts w:hint="eastAsia" w:ascii="宋体" w:hAnsi="宋体" w:eastAsia="宋体" w:cs="宋体"/>
          <w:b w:val="0"/>
          <w:bCs w:val="0"/>
          <w:spacing w:val="0"/>
          <w:w w:val="100"/>
          <w:position w:val="0"/>
          <w:sz w:val="24"/>
          <w:szCs w:val="24"/>
        </w:rPr>
        <w:t>3</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投标人《资格证明文件》有任何一项不符合《资格审查要求》的，资格审查不合格，其</w:t>
      </w:r>
      <w:r>
        <w:rPr>
          <w:rFonts w:hint="eastAsia" w:ascii="宋体" w:hAnsi="宋体" w:eastAsia="宋体" w:cs="宋体"/>
          <w:b w:val="0"/>
          <w:bCs w:val="0"/>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spacing w:val="0"/>
          <w:w w:val="100"/>
          <w:position w:val="0"/>
          <w:sz w:val="24"/>
          <w:szCs w:val="24"/>
        </w:rPr>
        <w:t>。</w:t>
      </w:r>
      <w:bookmarkEnd w:id="78"/>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spacing w:val="0"/>
          <w:w w:val="100"/>
          <w:position w:val="0"/>
          <w:sz w:val="24"/>
          <w:szCs w:val="24"/>
        </w:rPr>
      </w:pPr>
      <w:bookmarkStart w:id="79" w:name="_Toc19382"/>
      <w:r>
        <w:rPr>
          <w:rFonts w:hint="eastAsia" w:ascii="宋体" w:hAnsi="宋体" w:eastAsia="宋体" w:cs="宋体"/>
          <w:b w:val="0"/>
          <w:bCs w:val="0"/>
          <w:spacing w:val="0"/>
          <w:w w:val="100"/>
          <w:position w:val="0"/>
          <w:sz w:val="24"/>
          <w:szCs w:val="24"/>
        </w:rPr>
        <w:t>4</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资格审查合格的投标人不足3家的，不进行评标。</w:t>
      </w:r>
      <w:bookmarkEnd w:id="79"/>
    </w:p>
    <w:p>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rPr>
      </w:pPr>
      <w:bookmarkStart w:id="80" w:name="_Toc3212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二、资格审查要求</w:t>
      </w:r>
      <w:bookmarkEnd w:id="80"/>
    </w:p>
    <w:tbl>
      <w:tblPr>
        <w:tblStyle w:val="2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满足《中华人民共和国政府采购法》第二十二条规定</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具体规定见第一章《投标邀请》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营业执照等证明文件</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投标人为企业（包括合伙企业）的，应</w:t>
            </w:r>
            <w:r>
              <w:rPr>
                <w:rFonts w:hint="eastAsia" w:cs="宋体"/>
                <w:spacing w:val="0"/>
                <w:w w:val="100"/>
                <w:position w:val="0"/>
                <w:lang w:eastAsia="zh-CN"/>
              </w:rPr>
              <w:t>提</w:t>
            </w:r>
            <w:r>
              <w:rPr>
                <w:rFonts w:hint="eastAsia" w:ascii="宋体" w:hAnsi="宋体" w:eastAsia="宋体" w:cs="宋体"/>
                <w:spacing w:val="0"/>
                <w:w w:val="100"/>
                <w:position w:val="0"/>
              </w:rPr>
              <w:t>供有效的“营业执照”；</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投标人为事业单位的，应</w:t>
            </w:r>
            <w:r>
              <w:rPr>
                <w:rFonts w:hint="eastAsia" w:cs="宋体"/>
                <w:spacing w:val="0"/>
                <w:w w:val="100"/>
                <w:position w:val="0"/>
                <w:lang w:eastAsia="zh-CN"/>
              </w:rPr>
              <w:t>提</w:t>
            </w:r>
            <w:r>
              <w:rPr>
                <w:rFonts w:hint="eastAsia" w:ascii="宋体" w:hAnsi="宋体" w:eastAsia="宋体" w:cs="宋体"/>
                <w:spacing w:val="0"/>
                <w:w w:val="100"/>
                <w:position w:val="0"/>
              </w:rPr>
              <w:t>供有效的“事业单位法人证书”；</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投标人是非企业机构的，应</w:t>
            </w:r>
            <w:r>
              <w:rPr>
                <w:rFonts w:hint="eastAsia" w:cs="宋体"/>
                <w:spacing w:val="0"/>
                <w:w w:val="100"/>
                <w:position w:val="0"/>
                <w:lang w:eastAsia="zh-CN"/>
              </w:rPr>
              <w:t>提</w:t>
            </w:r>
            <w:r>
              <w:rPr>
                <w:rFonts w:hint="eastAsia" w:ascii="宋体" w:hAnsi="宋体" w:eastAsia="宋体" w:cs="宋体"/>
                <w:spacing w:val="0"/>
                <w:w w:val="100"/>
                <w:position w:val="0"/>
              </w:rPr>
              <w:t>供有效的“执业 许可证”、“登记证书”等证明文件；</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投标人是个体工商户的，应</w:t>
            </w:r>
            <w:r>
              <w:rPr>
                <w:rFonts w:hint="eastAsia" w:cs="宋体"/>
                <w:spacing w:val="0"/>
                <w:w w:val="100"/>
                <w:position w:val="0"/>
                <w:lang w:eastAsia="zh-CN"/>
              </w:rPr>
              <w:t>提</w:t>
            </w:r>
            <w:r>
              <w:rPr>
                <w:rFonts w:hint="eastAsia" w:ascii="宋体" w:hAnsi="宋体" w:eastAsia="宋体" w:cs="宋体"/>
                <w:spacing w:val="0"/>
                <w:w w:val="100"/>
                <w:position w:val="0"/>
              </w:rPr>
              <w:t>供有效的“个体工商户营业执照”；</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投标人是自然人的，应</w:t>
            </w:r>
            <w:r>
              <w:rPr>
                <w:rFonts w:hint="eastAsia" w:cs="宋体"/>
                <w:spacing w:val="0"/>
                <w:w w:val="100"/>
                <w:position w:val="0"/>
                <w:lang w:eastAsia="zh-CN"/>
              </w:rPr>
              <w:t>提</w:t>
            </w:r>
            <w:r>
              <w:rPr>
                <w:rFonts w:hint="eastAsia" w:ascii="宋体" w:hAnsi="宋体" w:eastAsia="宋体" w:cs="宋体"/>
                <w:spacing w:val="0"/>
                <w:w w:val="100"/>
                <w:position w:val="0"/>
              </w:rPr>
              <w:t>供有效的自然人身份证明。</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分支机构参加投标的，应</w:t>
            </w:r>
            <w:r>
              <w:rPr>
                <w:rFonts w:hint="eastAsia" w:cs="宋体"/>
                <w:spacing w:val="0"/>
                <w:w w:val="100"/>
                <w:position w:val="0"/>
                <w:lang w:eastAsia="zh-CN"/>
              </w:rPr>
              <w:t>提</w:t>
            </w:r>
            <w:r>
              <w:rPr>
                <w:rFonts w:hint="eastAsia" w:ascii="宋体" w:hAnsi="宋体" w:eastAsia="宋体" w:cs="宋体"/>
                <w:spacing w:val="0"/>
                <w:w w:val="100"/>
                <w:position w:val="0"/>
              </w:rPr>
              <w:t>供该分支机构或其所属法人/其他组织的相应证明文件；同时还应</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供其所属法人/其他组织出具的授权其参与本项目的授权书（格式自拟，须加盖其所属法人/其他组织的公章）；对于银行、保险、石油石化、电力、电信等行业的分支机构，可以</w:t>
            </w:r>
            <w:r>
              <w:rPr>
                <w:rFonts w:hint="eastAsia" w:cs="宋体"/>
                <w:spacing w:val="0"/>
                <w:w w:val="100"/>
                <w:position w:val="0"/>
                <w:lang w:eastAsia="zh-CN"/>
              </w:rPr>
              <w:t>提</w:t>
            </w:r>
            <w:r>
              <w:rPr>
                <w:rFonts w:hint="eastAsia" w:ascii="宋体" w:hAnsi="宋体" w:eastAsia="宋体" w:cs="宋体"/>
                <w:spacing w:val="0"/>
                <w:w w:val="100"/>
                <w:position w:val="0"/>
              </w:rPr>
              <w:t>供上述授权，也可以</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供其所属法人/其他组织的有关文件或制度等能够证明授权其独立开展业务的证明材料。</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投标人资格声明书</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供了符合招标文件要求的《投标人资格声明书》。</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投标人信用记录</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查询渠道：信用中国网站和中国政府采购网（</w:t>
            </w:r>
            <w:r>
              <w:rPr>
                <w:rFonts w:hint="eastAsia" w:ascii="宋体" w:hAnsi="宋体" w:eastAsia="宋体" w:cs="宋体"/>
                <w:spacing w:val="0"/>
                <w:w w:val="100"/>
                <w:position w:val="0"/>
                <w:sz w:val="20"/>
                <w:szCs w:val="20"/>
              </w:rPr>
              <w:t>www.creditchina.gov.cn</w:t>
            </w:r>
            <w:r>
              <w:rPr>
                <w:rFonts w:hint="eastAsia" w:ascii="宋体" w:hAnsi="宋体" w:eastAsia="宋体" w:cs="宋体"/>
                <w:spacing w:val="0"/>
                <w:w w:val="100"/>
                <w:position w:val="0"/>
              </w:rPr>
              <w:t>、</w:t>
            </w:r>
            <w:r>
              <w:rPr>
                <w:rFonts w:hint="eastAsia" w:ascii="宋体" w:hAnsi="宋体" w:eastAsia="宋体" w:cs="宋体"/>
                <w:spacing w:val="0"/>
                <w:w w:val="100"/>
                <w:position w:val="0"/>
                <w:sz w:val="20"/>
                <w:szCs w:val="20"/>
              </w:rPr>
              <w:t>www.ccgp.gov.cn</w:t>
            </w:r>
            <w:r>
              <w:rPr>
                <w:rFonts w:hint="eastAsia" w:ascii="宋体" w:hAnsi="宋体" w:eastAsia="宋体" w:cs="宋体"/>
                <w:spacing w:val="0"/>
                <w:w w:val="100"/>
                <w:position w:val="0"/>
              </w:rPr>
              <w:t>）；截止时点：投标截止时间以后、资格审查阶段采购人或采购代理机构的实际查询时间；</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信用信息查询记录和证据留存具体方式：查询结果网页打印页作为查询记录和证据，与其他采购文件一并保存；</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信用信息的使用原则：经认定的被列入失信被执行人、重大税收违法案件当事人名单、政府采购严重违法失信行为记录名单的投标人，其</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。联合体形式投标的，联合体成员存在不良信用记录，视同联合体存在不良信用记录。</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无须投标人</w:t>
            </w:r>
            <w:r>
              <w:rPr>
                <w:rFonts w:hint="eastAsia" w:cs="宋体"/>
                <w:spacing w:val="0"/>
                <w:w w:val="100"/>
                <w:position w:val="0"/>
                <w:lang w:eastAsia="zh-CN"/>
              </w:rPr>
              <w:t>提</w:t>
            </w:r>
            <w:r>
              <w:rPr>
                <w:rFonts w:hint="eastAsia" w:ascii="宋体" w:hAnsi="宋体" w:eastAsia="宋体" w:cs="宋体"/>
                <w:spacing w:val="0"/>
                <w:w w:val="100"/>
                <w:position w:val="0"/>
              </w:rPr>
              <w:t>供，由采购人或采购代理机构查询。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落实政府采购政策需满足的资格要求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中小企业政策</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中小企业证明文件</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当本项目（包）涉及预留份额专门面向中小企业采购，此时建议在《资格证明文件》中</w:t>
            </w:r>
            <w:r>
              <w:rPr>
                <w:rFonts w:hint="eastAsia" w:cs="宋体"/>
                <w:spacing w:val="0"/>
                <w:w w:val="100"/>
                <w:position w:val="0"/>
                <w:lang w:eastAsia="zh-CN"/>
              </w:rPr>
              <w:t>提</w:t>
            </w:r>
            <w:r>
              <w:rPr>
                <w:rFonts w:hint="eastAsia" w:ascii="宋体" w:hAnsi="宋体" w:eastAsia="宋体" w:cs="宋体"/>
                <w:spacing w:val="0"/>
                <w:w w:val="100"/>
                <w:position w:val="0"/>
              </w:rPr>
              <w:t>供。</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1、投标人单独投标的，应</w:t>
            </w:r>
            <w:r>
              <w:rPr>
                <w:rFonts w:hint="eastAsia" w:cs="宋体"/>
                <w:spacing w:val="0"/>
                <w:w w:val="100"/>
                <w:position w:val="0"/>
                <w:lang w:eastAsia="zh-CN"/>
              </w:rPr>
              <w:t>提</w:t>
            </w:r>
            <w:r>
              <w:rPr>
                <w:rFonts w:hint="eastAsia" w:ascii="宋体" w:hAnsi="宋体" w:eastAsia="宋体" w:cs="宋体"/>
                <w:spacing w:val="0"/>
                <w:w w:val="100"/>
                <w:position w:val="0"/>
              </w:rPr>
              <w:t>供《中小企业声明函》或《残疾人福利性单位声明函》或由省级以上监狱管理局、戒毒管理局（含新疆生产建设兵团）出具的属于监狱企业的证明文件。</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拟分包情况说明及分包意向协议</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如本项目（包）要求通过分包措施预留部分采购份额面向中小企业采购、且投标人因落实政府采购政策拟进行分包的，必须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对于预留份额专门面向中小企业采购的项目（包），组成联合体或者接受分包合同的中小</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企业与联合体内其他企业、分包企业之间不得存在直接控股、管理关系。</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其它落实政府采 购政策的资格要 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本项目的特定资格要求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本项目对于联合体的要求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1、如本项目接受联合体投标，且投标人为联合体时必须</w:t>
            </w:r>
            <w:r>
              <w:rPr>
                <w:rFonts w:hint="eastAsia" w:cs="宋体"/>
                <w:spacing w:val="0"/>
                <w:w w:val="100"/>
                <w:position w:val="0"/>
                <w:lang w:eastAsia="zh-CN"/>
              </w:rPr>
              <w:t>提</w:t>
            </w:r>
            <w:r>
              <w:rPr>
                <w:rFonts w:hint="eastAsia" w:ascii="宋体" w:hAnsi="宋体" w:eastAsia="宋体" w:cs="宋体"/>
                <w:spacing w:val="0"/>
                <w:w w:val="100"/>
                <w:position w:val="0"/>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2、联合体各成员单位均须</w:t>
            </w:r>
            <w:r>
              <w:rPr>
                <w:rFonts w:hint="eastAsia" w:cs="宋体"/>
                <w:spacing w:val="0"/>
                <w:w w:val="100"/>
                <w:position w:val="0"/>
                <w:lang w:eastAsia="zh-CN"/>
              </w:rPr>
              <w:t>提</w:t>
            </w:r>
            <w:r>
              <w:rPr>
                <w:rFonts w:hint="eastAsia" w:ascii="宋体" w:hAnsi="宋体" w:eastAsia="宋体" w:cs="宋体"/>
                <w:spacing w:val="0"/>
                <w:w w:val="100"/>
                <w:position w:val="0"/>
              </w:rPr>
              <w:t>供本表中序号1-1、1-2的证明文件。联合体各成员单位均应满足本表3-2及3-3项规定。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3、本表序号3-4项规定的其他特定资格要求中的每一小项要求，联合体各方中至少应当有一方符合本表中其他资格要求并</w:t>
            </w:r>
            <w:r>
              <w:rPr>
                <w:rFonts w:hint="eastAsia" w:cs="宋体"/>
                <w:spacing w:val="0"/>
                <w:w w:val="100"/>
                <w:position w:val="0"/>
                <w:lang w:eastAsia="zh-CN"/>
              </w:rPr>
              <w:t>提</w:t>
            </w:r>
            <w:r>
              <w:rPr>
                <w:rFonts w:hint="eastAsia" w:ascii="宋体" w:hAnsi="宋体" w:eastAsia="宋体" w:cs="宋体"/>
                <w:spacing w:val="0"/>
                <w:w w:val="100"/>
                <w:position w:val="0"/>
              </w:rPr>
              <w:t>供证明文件。</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4、联合体中有同类资质的供应商按照联合体分工承担相同工作的，应当按照资质等级较低的供应商确定资质等级。</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5、以联合体形式参加政府采购活动的，联合体各方不得再单独参加或者与其他供应商另外组成联合体参加同一合同项下的政府采购活动。</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6、若联合体中任一成员单位中途退出，则该联合体的</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7、本项目不接受联合体投标时，投标人不得为联合体。</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供《联合协议》原件的电子件格式见《投标文件格式》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政府购买服务承接主体的要求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如本项目属于政府购买服务，投标人不属于公益一类事业单位、使用事业编制且由财政拨款保障的群团组织。</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其他特定资格要求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按照招标文件的规定</w:t>
            </w:r>
            <w:r>
              <w:rPr>
                <w:rFonts w:hint="eastAsia" w:cs="宋体"/>
                <w:spacing w:val="0"/>
                <w:w w:val="100"/>
                <w:position w:val="0"/>
                <w:lang w:eastAsia="zh-CN"/>
              </w:rPr>
              <w:t>提</w:t>
            </w:r>
            <w:r>
              <w:rPr>
                <w:rFonts w:hint="eastAsia" w:ascii="宋体" w:hAnsi="宋体" w:eastAsia="宋体" w:cs="宋体"/>
                <w:spacing w:val="0"/>
                <w:w w:val="100"/>
                <w:position w:val="0"/>
              </w:rPr>
              <w:t>交投标保证金。</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81" w:name="_Toc773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评标程序、评标方法和评标标准</w:t>
      </w:r>
      <w:bookmarkEnd w:id="81"/>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4"/>
          <w:szCs w:val="24"/>
        </w:rPr>
      </w:pPr>
      <w:bookmarkStart w:id="82" w:name="_Toc767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一、评标方法</w:t>
      </w:r>
      <w:bookmarkEnd w:id="82"/>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3" w:name="_Toc11347"/>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投标文件的符合性审查</w:t>
      </w:r>
      <w:bookmarkEnd w:id="8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评标委员会对资格审查合格的投标人的投标文件进行符合性审查，以确定其</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是否满足招标文件的实质性要求。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符合性审查要求</w:t>
      </w:r>
    </w:p>
    <w:p>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spacing w:val="0"/>
          <w:w w:val="100"/>
          <w:position w:val="0"/>
        </w:rPr>
      </w:pPr>
    </w:p>
    <w:tbl>
      <w:tblPr>
        <w:tblStyle w:val="2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授权委托书</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按招标文件要求</w:t>
            </w:r>
            <w:r>
              <w:rPr>
                <w:rFonts w:hint="eastAsia" w:cs="宋体"/>
                <w:spacing w:val="0"/>
                <w:w w:val="100"/>
                <w:position w:val="0"/>
                <w:lang w:eastAsia="zh-CN"/>
              </w:rPr>
              <w:t>提</w:t>
            </w:r>
            <w:r>
              <w:rPr>
                <w:rFonts w:hint="eastAsia" w:ascii="宋体" w:hAnsi="宋体" w:eastAsia="宋体" w:cs="宋体"/>
                <w:spacing w:val="0"/>
                <w:w w:val="100"/>
                <w:position w:val="0"/>
              </w:rPr>
              <w:t>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投标完整性</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报价唯一性</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6</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★号条款响应</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7</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拟分包情况说明（如有）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如本项目（包）非因“落实政府采购政策”亦允许分包，且供应商拟进行分包时，必须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8</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分包其他要求（如有）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分包履行的内容、金额或者比例未超出《投标人须知资料表》中的规定；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分包承担主体具备《投标人须知资料表》载明的资质条件且</w:t>
            </w:r>
            <w:r>
              <w:rPr>
                <w:rFonts w:hint="eastAsia" w:cs="宋体"/>
                <w:spacing w:val="0"/>
                <w:w w:val="100"/>
                <w:position w:val="0"/>
                <w:lang w:eastAsia="zh-CN"/>
              </w:rPr>
              <w:t>提</w:t>
            </w:r>
            <w:r>
              <w:rPr>
                <w:rFonts w:hint="eastAsia" w:ascii="宋体" w:hAnsi="宋体" w:eastAsia="宋体" w:cs="宋体"/>
                <w:spacing w:val="0"/>
                <w:w w:val="100"/>
                <w:position w:val="0"/>
              </w:rPr>
              <w:t>供了资质证书电子件（如有）；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9</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报价的修正（如有）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不涉及报价修正，或投标文件报价出现前后不一致时，投标人对修正后的报价予以确认；（如有）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10</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报价合理性</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进口产品（如有）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招标文件不接受进口产品投标的内容时，投标人所投产品不含进口产品；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国家有关部门对投标人的投标产品有强制性规定或要求的（如相应技术、安全、节能和环保等），投标人的投标产品应符合相应规定或要求，并</w:t>
            </w:r>
            <w:r>
              <w:rPr>
                <w:rFonts w:hint="eastAsia" w:cs="宋体"/>
                <w:spacing w:val="0"/>
                <w:w w:val="100"/>
                <w:position w:val="0"/>
                <w:lang w:eastAsia="zh-CN"/>
              </w:rPr>
              <w:t>提</w:t>
            </w:r>
            <w:r>
              <w:rPr>
                <w:rFonts w:hint="eastAsia" w:ascii="宋体" w:hAnsi="宋体" w:eastAsia="宋体" w:cs="宋体"/>
                <w:spacing w:val="0"/>
                <w:w w:val="100"/>
                <w:position w:val="0"/>
              </w:rPr>
              <w:t>供证明文件电子件：</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1）采购的产品若属于《节能产品政府采购品目清单》范围中政府强制采购产品，则投标人所报产品必须获得国家确定的认证机构出具的、处于有效期之内的节能产品认证证书；</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4）项目中涉及涂料、胶黏剂、油墨、清洗剂等挥发性有机物产品，且属于强制性标准的，供应商应执行符合本市和国家的VOCs含量限制标准。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公平竞争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14</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串通投标</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15</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附加条件</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16</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其他无效情形</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投标人、投标文件不存在不符合法律、法规和招标文件规定的其他无效情形。</w:t>
            </w: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4" w:name="_Toc32322"/>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val="en-US" w:eastAsia="zh-CN"/>
        </w:rPr>
        <w:t>、</w:t>
      </w:r>
      <w:r>
        <w:rPr>
          <w:rFonts w:hint="eastAsia" w:ascii="宋体" w:hAnsi="宋体" w:eastAsia="宋体" w:cs="宋体"/>
          <w:b/>
          <w:bCs/>
          <w:spacing w:val="0"/>
          <w:w w:val="100"/>
          <w:position w:val="0"/>
          <w:sz w:val="24"/>
          <w:szCs w:val="24"/>
        </w:rPr>
        <w:t>投标文件有关事项的澄清或者说明</w:t>
      </w:r>
      <w:bookmarkEnd w:id="8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供书面说明，必要时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交相关证明材料；若投标人不能证明其报价合理性，评标委员会将其作为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无效投标处理</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投标文件报价出现前后不一致的，按照下列规定修正：</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招标文件对于报价修正是否另有规定：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有，具体规定为：</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■无，按下述2.4.2-2.4.7项规定修正。</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单独递交的开标一览表（报价表）与投标文件中开标一览表（报价表）内容不一致的，以单独递交的开标一览表（报价表）为准；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投标文件中开标一览表（报价表）内容与投标文件中相应内容不一致的，以开标一览表（报价表）为准；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大写金额和小写金额不一致的，以大写金额为准；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单价金额小数点或者百分比有明显错位的，以开标一览表的总价为准，并修改单价；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总价金额与按单价汇总金额不一致的，以单价金额计算结果为准。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落实政府采购政策的价格调整：只有符合第二章《投标人须知》5.2 条规定情形的，可以享受中小企业扶持政策，用扣除后的价格参加评审；否则，评标时价格不予扣除。</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对于未预留份额专门面向中小企业采购的采购项目，以及预留份额项目中的非预留部分采购包，对小微企</w:t>
      </w:r>
      <w:r>
        <w:rPr>
          <w:rFonts w:hint="eastAsia" w:ascii="宋体" w:hAnsi="宋体" w:eastAsia="宋体" w:cs="宋体"/>
          <w:spacing w:val="0"/>
          <w:w w:val="100"/>
          <w:position w:val="0"/>
          <w:sz w:val="24"/>
          <w:szCs w:val="24"/>
          <w:highlight w:val="none"/>
        </w:rPr>
        <w:t>业报价给予</w:t>
      </w:r>
      <w:r>
        <w:rPr>
          <w:rFonts w:hint="eastAsia" w:cs="宋体"/>
          <w:b/>
          <w:bCs/>
          <w:spacing w:val="0"/>
          <w:w w:val="100"/>
          <w:position w:val="0"/>
          <w:sz w:val="24"/>
          <w:szCs w:val="24"/>
          <w:highlight w:val="none"/>
          <w:u w:val="single" w:color="auto"/>
          <w:lang w:val="en-US" w:eastAsia="zh-CN"/>
        </w:rPr>
        <w:t>10</w:t>
      </w:r>
      <w:r>
        <w:rPr>
          <w:rFonts w:hint="eastAsia" w:ascii="宋体" w:hAnsi="宋体" w:eastAsia="宋体" w:cs="宋体"/>
          <w:b/>
          <w:bCs/>
          <w:spacing w:val="0"/>
          <w:w w:val="100"/>
          <w:position w:val="0"/>
          <w:sz w:val="24"/>
          <w:szCs w:val="24"/>
          <w:highlight w:val="none"/>
        </w:rPr>
        <w:t>%</w:t>
      </w:r>
      <w:r>
        <w:rPr>
          <w:rFonts w:hint="eastAsia" w:ascii="宋体" w:hAnsi="宋体" w:eastAsia="宋体" w:cs="宋体"/>
          <w:spacing w:val="0"/>
          <w:w w:val="100"/>
          <w:position w:val="0"/>
          <w:sz w:val="24"/>
          <w:szCs w:val="24"/>
          <w:highlight w:val="none"/>
        </w:rPr>
        <w:t>的扣除</w:t>
      </w:r>
      <w:r>
        <w:rPr>
          <w:rFonts w:hint="eastAsia" w:ascii="宋体" w:hAnsi="宋体" w:eastAsia="宋体" w:cs="宋体"/>
          <w:spacing w:val="0"/>
          <w:w w:val="100"/>
          <w:position w:val="0"/>
          <w:sz w:val="24"/>
          <w:szCs w:val="24"/>
        </w:rPr>
        <w:t>，用扣除后的价格参加评审。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eastAsia="宋体" w:cs="宋体"/>
          <w:spacing w:val="0"/>
          <w:w w:val="100"/>
          <w:position w:val="0"/>
          <w:sz w:val="24"/>
          <w:szCs w:val="24"/>
          <w:highlight w:val="none"/>
        </w:rPr>
        <w:t>包意向协议约定小微企业的合同份额占到合同总金额30%以上的联合体或者大中型企业的报价给予</w:t>
      </w:r>
      <w:r>
        <w:rPr>
          <w:rFonts w:hint="eastAsia" w:cs="宋体"/>
          <w:spacing w:val="0"/>
          <w:w w:val="100"/>
          <w:position w:val="0"/>
          <w:sz w:val="24"/>
          <w:szCs w:val="24"/>
          <w:highlight w:val="none"/>
          <w:u w:val="single" w:color="auto"/>
          <w:lang w:val="en-US" w:eastAsia="zh-CN"/>
        </w:rPr>
        <w:t>4</w:t>
      </w:r>
      <w:r>
        <w:rPr>
          <w:rFonts w:hint="eastAsia" w:ascii="宋体" w:hAnsi="宋体" w:eastAsia="宋体" w:cs="宋体"/>
          <w:spacing w:val="0"/>
          <w:w w:val="100"/>
          <w:position w:val="0"/>
          <w:sz w:val="24"/>
          <w:szCs w:val="24"/>
          <w:highlight w:val="none"/>
        </w:rPr>
        <w:t>%的扣除，用扣除后的价格参加评审。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组成联合体或者接受分包的小微企业与联合体内其他企业、分包企业之间存在直接控股、管理关系的，不享受价格扣除优惠政策。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价格扣除比例对小型企业和微型企业同等对待，不作区分。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中小企业参加政府采购活动，应当按照招标文件给定的格式出具《中小企业声明函》，否则不得享受相关中小企业扶持政策。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监狱企业</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供了由省级以上监狱管理局、戒毒管理局（含新疆生产建设兵团）出具的属于监狱企业的证明文件的，视同小微企业。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残疾人福利性单位按招标文件要求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供了《残疾人福利性单位声明函》的，视同小微企业。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2.5.8</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若投标人同时属于小型或微型企业、监狱企业、残疾人福利性单位中的两种及以上，将不重复享受小微企业价格扣减的优惠政策。</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5" w:name="_Toc24655"/>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投标文件的比较和评价</w:t>
      </w:r>
      <w:bookmarkEnd w:id="8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评标委员会将按照招标文件中规定的评标方法和标准，对符合性审查合格的投标文件进行商务和技术评估，综合比较与评价；未通过符合性审查的投标文件不得进入比较与评价。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本项目采用的评标方法为：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最低评标价法，指投标文件满足招标文件全部实质性要求，且投标报价最低的投标人为中标候选人的评标方法。</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随机抽取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 xml:space="preserve">其他方式，具体要求：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非政府强制采购的节能产品或环境标志产品，依据品目清单和认证证书实施政府优先采购。优先采购的具体规定（如涉及）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关于无线局域网认证产品政府采购清单中的产品，优先采购的具体规定（如涉及）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6" w:name="_Toc1479"/>
      <w:r>
        <w:rPr>
          <w:rFonts w:hint="eastAsia" w:ascii="宋体" w:hAnsi="宋体" w:eastAsia="宋体" w:cs="宋体"/>
          <w:b/>
          <w:bCs/>
          <w:spacing w:val="0"/>
          <w:w w:val="100"/>
          <w:position w:val="0"/>
          <w:sz w:val="24"/>
          <w:szCs w:val="24"/>
        </w:rPr>
        <w:t>4   确定中标候选人名单</w:t>
      </w:r>
      <w:bookmarkEnd w:id="8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■随机</w:t>
      </w:r>
      <w:r>
        <w:rPr>
          <w:rFonts w:hint="eastAsia" w:ascii="宋体" w:hAnsi="宋体" w:eastAsia="宋体" w:cs="宋体"/>
          <w:spacing w:val="0"/>
          <w:w w:val="100"/>
          <w:position w:val="0"/>
          <w:sz w:val="24"/>
          <w:szCs w:val="24"/>
          <w:highlight w:val="none"/>
        </w:rPr>
        <w:t>抽取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其他方式，具体</w:t>
      </w:r>
      <w:r>
        <w:rPr>
          <w:rFonts w:hint="eastAsia" w:ascii="宋体" w:hAnsi="宋体" w:eastAsia="宋体" w:cs="宋体"/>
          <w:spacing w:val="0"/>
          <w:w w:val="100"/>
          <w:position w:val="0"/>
          <w:sz w:val="24"/>
          <w:szCs w:val="24"/>
        </w:rPr>
        <w:t xml:space="preserve">要求：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评标委员会要对评分汇总情况进行复核，特别是对排名第一的、报价最低的、投标或响应文件被认定为无效的情形进行重点复核。</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3</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名中标候选人。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7" w:name="_Toc30965"/>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报告违法行为</w:t>
      </w:r>
      <w:bookmarkEnd w:id="8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1"/>
          <w:lang w:eastAsia="zh-CN"/>
        </w:rPr>
      </w:pPr>
      <w:r>
        <w:rPr>
          <w:rFonts w:hint="eastAsia" w:ascii="宋体" w:hAnsi="宋体" w:eastAsia="宋体" w:cs="宋体"/>
          <w:spacing w:val="0"/>
          <w:w w:val="100"/>
          <w:position w:val="0"/>
          <w:sz w:val="24"/>
          <w:szCs w:val="24"/>
        </w:rPr>
        <w:t>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评标委员会在评标过程中发现投标人有行贿、</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供虚假材料或者串通等违法行为时，有向采购人、采购代理机构或者有关部门报告的职责</w:t>
      </w:r>
      <w:r>
        <w:rPr>
          <w:rFonts w:hint="eastAsia" w:cs="宋体"/>
          <w:spacing w:val="0"/>
          <w:w w:val="100"/>
          <w:position w:val="0"/>
          <w:sz w:val="24"/>
          <w:szCs w:val="24"/>
          <w:lang w:eastAsia="zh-CN"/>
        </w:rPr>
        <w:t>。</w:t>
      </w:r>
    </w:p>
    <w:p>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br w:type="page"/>
      </w:r>
      <w:bookmarkStart w:id="88" w:name="_Toc2492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二、评标标准</w:t>
      </w:r>
      <w:bookmarkEnd w:id="88"/>
    </w:p>
    <w:tbl>
      <w:tblPr>
        <w:tblStyle w:val="19"/>
        <w:tblW w:w="100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47"/>
        <w:gridCol w:w="1237"/>
        <w:gridCol w:w="1446"/>
        <w:gridCol w:w="67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23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评审</w:t>
            </w:r>
          </w:p>
          <w:p>
            <w:pPr>
              <w:jc w:val="center"/>
              <w:rPr>
                <w:rFonts w:hint="eastAsia" w:ascii="宋体" w:hAnsi="宋体" w:eastAsia="宋体" w:cs="宋体"/>
                <w:b/>
                <w:sz w:val="24"/>
                <w:szCs w:val="24"/>
              </w:rPr>
            </w:pPr>
            <w:r>
              <w:rPr>
                <w:rFonts w:hint="eastAsia" w:ascii="宋体" w:hAnsi="宋体" w:eastAsia="宋体" w:cs="宋体"/>
                <w:b/>
                <w:sz w:val="24"/>
                <w:szCs w:val="24"/>
              </w:rPr>
              <w:t>条款</w:t>
            </w: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评审项</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评审细则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1</w:t>
            </w:r>
          </w:p>
        </w:tc>
        <w:tc>
          <w:tcPr>
            <w:tcW w:w="123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价格</w:t>
            </w: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价格</w:t>
            </w:r>
          </w:p>
          <w:p>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tabs>
                <w:tab w:val="left" w:pos="1800"/>
              </w:tabs>
              <w:adjustRightInd w:val="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各投标人的价格得分:(评标基准价/评标价)×价格权重(10%)×100</w:t>
            </w:r>
          </w:p>
          <w:p>
            <w:pPr>
              <w:rPr>
                <w:rFonts w:hint="eastAsia" w:ascii="宋体" w:hAnsi="宋体" w:eastAsia="宋体" w:cs="宋体"/>
                <w:b/>
                <w:kern w:val="0"/>
                <w:sz w:val="24"/>
                <w:szCs w:val="24"/>
              </w:rPr>
            </w:pPr>
            <w:r>
              <w:rPr>
                <w:rFonts w:hint="eastAsia" w:ascii="宋体" w:hAnsi="宋体" w:eastAsia="宋体" w:cs="宋体"/>
                <w:kern w:val="0"/>
                <w:sz w:val="24"/>
                <w:szCs w:val="24"/>
              </w:rPr>
              <w:t>(注:实质性响应招标文件要求且最低评标价为评标基准价)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restart"/>
            <w:tcBorders>
              <w:left w:val="single" w:color="auto" w:sz="6" w:space="0"/>
              <w:right w:val="single" w:color="auto" w:sz="6" w:space="0"/>
            </w:tcBorders>
            <w:noWrap w:val="0"/>
            <w:vAlign w:val="center"/>
          </w:tcPr>
          <w:p>
            <w:pPr>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2</w:t>
            </w:r>
          </w:p>
        </w:tc>
        <w:tc>
          <w:tcPr>
            <w:tcW w:w="1237" w:type="dxa"/>
            <w:vMerge w:val="restart"/>
            <w:tcBorders>
              <w:left w:val="single" w:color="auto" w:sz="6" w:space="0"/>
              <w:right w:val="single" w:color="auto" w:sz="6" w:space="0"/>
            </w:tcBorders>
            <w:noWrap w:val="0"/>
            <w:vAlign w:val="center"/>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技术部分（75分）</w:t>
            </w:r>
          </w:p>
        </w:tc>
        <w:tc>
          <w:tcPr>
            <w:tcW w:w="1446" w:type="dxa"/>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任务理解</w:t>
            </w:r>
          </w:p>
          <w:p>
            <w:pPr>
              <w:jc w:val="center"/>
              <w:rPr>
                <w:rFonts w:hint="eastAsia" w:ascii="宋体" w:hAnsi="宋体" w:eastAsia="宋体" w:cs="宋体"/>
                <w:sz w:val="24"/>
                <w:szCs w:val="24"/>
                <w:highlight w:val="none"/>
              </w:rPr>
            </w:pPr>
            <w:r>
              <w:rPr>
                <w:rFonts w:hint="eastAsia" w:ascii="宋体" w:hAnsi="宋体" w:eastAsia="宋体" w:cs="宋体"/>
                <w:kern w:val="1"/>
                <w:sz w:val="24"/>
                <w:szCs w:val="24"/>
                <w:highlight w:val="none"/>
              </w:rPr>
              <w:t>（</w:t>
            </w:r>
            <w:r>
              <w:rPr>
                <w:rFonts w:hint="eastAsia" w:ascii="宋体" w:hAnsi="宋体" w:eastAsia="宋体" w:cs="宋体"/>
                <w:kern w:val="1"/>
                <w:sz w:val="24"/>
                <w:szCs w:val="24"/>
                <w:highlight w:val="none"/>
                <w:lang w:val="en-US" w:eastAsia="zh-CN"/>
              </w:rPr>
              <w:t>10</w:t>
            </w:r>
            <w:r>
              <w:rPr>
                <w:rFonts w:hint="eastAsia" w:ascii="宋体" w:hAnsi="宋体" w:eastAsia="宋体" w:cs="宋体"/>
                <w:kern w:val="1"/>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方案完整有详细的阐述且满足采购需求，考虑周全，可操作性强，得</w:t>
            </w:r>
            <w:r>
              <w:rPr>
                <w:rFonts w:hint="eastAsia" w:ascii="宋体" w:hAnsi="宋体" w:eastAsia="宋体" w:cs="宋体"/>
                <w:kern w:val="1"/>
                <w:sz w:val="24"/>
                <w:szCs w:val="24"/>
                <w:highlight w:val="none"/>
                <w:lang w:val="en-US" w:eastAsia="zh-CN"/>
              </w:rPr>
              <w:t>10</w:t>
            </w:r>
            <w:r>
              <w:rPr>
                <w:rFonts w:hint="eastAsia" w:ascii="宋体" w:hAnsi="宋体" w:eastAsia="宋体" w:cs="宋体"/>
                <w:kern w:val="1"/>
                <w:sz w:val="24"/>
                <w:szCs w:val="24"/>
                <w:highlight w:val="none"/>
              </w:rPr>
              <w:t>分；</w:t>
            </w:r>
          </w:p>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方案合理有较为详细的阐述且符合采购需求，考虑周全，得</w:t>
            </w:r>
            <w:r>
              <w:rPr>
                <w:rFonts w:hint="eastAsia" w:ascii="宋体" w:hAnsi="宋体" w:eastAsia="宋体" w:cs="宋体"/>
                <w:kern w:val="1"/>
                <w:sz w:val="24"/>
                <w:szCs w:val="24"/>
                <w:highlight w:val="none"/>
                <w:lang w:val="en-US" w:eastAsia="zh-CN"/>
              </w:rPr>
              <w:t>7</w:t>
            </w:r>
            <w:r>
              <w:rPr>
                <w:rFonts w:hint="eastAsia" w:ascii="宋体" w:hAnsi="宋体" w:eastAsia="宋体" w:cs="宋体"/>
                <w:kern w:val="1"/>
                <w:sz w:val="24"/>
                <w:szCs w:val="24"/>
                <w:highlight w:val="none"/>
              </w:rPr>
              <w:t>分；</w:t>
            </w:r>
          </w:p>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方案简单响应采购需求，但没有进一步的详细阐述，得</w:t>
            </w:r>
            <w:r>
              <w:rPr>
                <w:rFonts w:hint="eastAsia" w:ascii="宋体" w:hAnsi="宋体" w:eastAsia="宋体" w:cs="宋体"/>
                <w:kern w:val="1"/>
                <w:sz w:val="24"/>
                <w:szCs w:val="24"/>
                <w:highlight w:val="none"/>
                <w:lang w:val="en-US" w:eastAsia="zh-CN"/>
              </w:rPr>
              <w:t>4</w:t>
            </w:r>
            <w:r>
              <w:rPr>
                <w:rFonts w:hint="eastAsia" w:ascii="宋体" w:hAnsi="宋体" w:eastAsia="宋体" w:cs="宋体"/>
                <w:kern w:val="1"/>
                <w:sz w:val="24"/>
                <w:szCs w:val="24"/>
                <w:highlight w:val="none"/>
              </w:rPr>
              <w:t>分；</w:t>
            </w:r>
          </w:p>
          <w:p>
            <w:pPr>
              <w:widowControl/>
              <w:jc w:val="left"/>
              <w:rPr>
                <w:rFonts w:hint="eastAsia" w:ascii="宋体" w:hAnsi="宋体" w:eastAsia="宋体" w:cs="宋体"/>
                <w:sz w:val="24"/>
                <w:szCs w:val="24"/>
                <w:highlight w:val="none"/>
              </w:rPr>
            </w:pPr>
            <w:r>
              <w:rPr>
                <w:rFonts w:hint="eastAsia" w:ascii="宋体" w:hAnsi="宋体" w:eastAsia="宋体" w:cs="宋体"/>
                <w:kern w:val="1"/>
                <w:sz w:val="24"/>
                <w:szCs w:val="24"/>
                <w:highlight w:val="none"/>
              </w:rPr>
              <w:t>方案内容未进行任何阐述或不满足采购需求，得0分。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highlight w:val="none"/>
              </w:rPr>
            </w:pPr>
          </w:p>
        </w:tc>
        <w:tc>
          <w:tcPr>
            <w:tcW w:w="1446" w:type="dxa"/>
            <w:tcBorders>
              <w:left w:val="single" w:color="auto" w:sz="6" w:space="0"/>
              <w:right w:val="single" w:color="auto" w:sz="6" w:space="0"/>
            </w:tcBorders>
            <w:noWrap w:val="0"/>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设计方案</w:t>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设计方案</w:t>
            </w:r>
            <w:r>
              <w:rPr>
                <w:rFonts w:hint="eastAsia" w:ascii="宋体" w:hAnsi="宋体" w:eastAsia="宋体" w:cs="宋体"/>
                <w:sz w:val="24"/>
                <w:szCs w:val="24"/>
                <w:highlight w:val="none"/>
              </w:rPr>
              <w:t>：能按照相关技术要求，拟定工作技术</w:t>
            </w:r>
            <w:r>
              <w:rPr>
                <w:rFonts w:hint="eastAsia" w:ascii="宋体" w:hAnsi="宋体" w:eastAsia="宋体" w:cs="宋体"/>
                <w:sz w:val="24"/>
                <w:szCs w:val="24"/>
                <w:highlight w:val="none"/>
                <w:lang w:val="en-US" w:eastAsia="zh-CN"/>
              </w:rPr>
              <w:t>方案</w:t>
            </w:r>
            <w:r>
              <w:rPr>
                <w:rFonts w:hint="eastAsia" w:ascii="宋体" w:hAnsi="宋体" w:eastAsia="宋体" w:cs="宋体"/>
                <w:sz w:val="24"/>
                <w:szCs w:val="24"/>
                <w:highlight w:val="none"/>
              </w:rPr>
              <w:t>。</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设计方案</w:t>
            </w:r>
            <w:r>
              <w:rPr>
                <w:rFonts w:hint="eastAsia" w:ascii="宋体" w:hAnsi="宋体" w:eastAsia="宋体" w:cs="宋体"/>
                <w:sz w:val="24"/>
                <w:szCs w:val="24"/>
                <w:highlight w:val="none"/>
              </w:rPr>
              <w:t>合理且具有针对性</w:t>
            </w:r>
            <w:r>
              <w:rPr>
                <w:rFonts w:hint="eastAsia" w:ascii="宋体" w:hAnsi="宋体" w:eastAsia="宋体" w:cs="宋体"/>
                <w:sz w:val="24"/>
                <w:szCs w:val="24"/>
                <w:highlight w:val="none"/>
                <w:lang w:val="en-US" w:eastAsia="zh-CN"/>
              </w:rPr>
              <w:t>的，根据怀柔文化特点与民俗活动制定方案内容</w:t>
            </w:r>
            <w:r>
              <w:rPr>
                <w:rFonts w:hint="eastAsia" w:ascii="宋体" w:hAnsi="宋体" w:eastAsia="宋体" w:cs="宋体"/>
                <w:sz w:val="24"/>
                <w:szCs w:val="24"/>
                <w:highlight w:val="none"/>
              </w:rPr>
              <w:t>得1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方案合理有较为详细的阐述且符合采购需求，考虑周全，得</w:t>
            </w:r>
            <w:r>
              <w:rPr>
                <w:rFonts w:hint="eastAsia" w:ascii="宋体" w:hAnsi="宋体" w:eastAsia="宋体" w:cs="宋体"/>
                <w:kern w:val="1"/>
                <w:sz w:val="24"/>
                <w:szCs w:val="24"/>
                <w:highlight w:val="none"/>
                <w:lang w:val="en-US" w:eastAsia="zh-CN"/>
              </w:rPr>
              <w:t>12</w:t>
            </w:r>
            <w:r>
              <w:rPr>
                <w:rFonts w:hint="eastAsia" w:ascii="宋体" w:hAnsi="宋体" w:eastAsia="宋体" w:cs="宋体"/>
                <w:kern w:val="1"/>
                <w:sz w:val="24"/>
                <w:szCs w:val="24"/>
                <w:highlight w:val="none"/>
              </w:rPr>
              <w:t>分；</w:t>
            </w:r>
          </w:p>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方案虽响应采购需求但只简单进行阐述，有可操作性，得</w:t>
            </w:r>
            <w:r>
              <w:rPr>
                <w:rFonts w:hint="eastAsia" w:ascii="宋体" w:hAnsi="宋体" w:eastAsia="宋体" w:cs="宋体"/>
                <w:kern w:val="1"/>
                <w:sz w:val="24"/>
                <w:szCs w:val="24"/>
                <w:highlight w:val="none"/>
                <w:lang w:val="en-US" w:eastAsia="zh-CN"/>
              </w:rPr>
              <w:t>9分</w:t>
            </w:r>
            <w:r>
              <w:rPr>
                <w:rFonts w:hint="eastAsia" w:ascii="宋体" w:hAnsi="宋体" w:eastAsia="宋体" w:cs="宋体"/>
                <w:kern w:val="1"/>
                <w:sz w:val="24"/>
                <w:szCs w:val="24"/>
                <w:highlight w:val="none"/>
              </w:rPr>
              <w:t>；</w:t>
            </w:r>
          </w:p>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方案简单响应采购需求，但没有进一步的详细阐述，得</w:t>
            </w:r>
            <w:r>
              <w:rPr>
                <w:rFonts w:hint="eastAsia" w:ascii="宋体" w:hAnsi="宋体" w:eastAsia="宋体" w:cs="宋体"/>
                <w:kern w:val="1"/>
                <w:sz w:val="24"/>
                <w:szCs w:val="24"/>
                <w:highlight w:val="none"/>
                <w:lang w:val="en-US" w:eastAsia="zh-CN"/>
              </w:rPr>
              <w:t>6</w:t>
            </w:r>
            <w:r>
              <w:rPr>
                <w:rFonts w:hint="eastAsia" w:ascii="宋体" w:hAnsi="宋体" w:eastAsia="宋体" w:cs="宋体"/>
                <w:kern w:val="1"/>
                <w:sz w:val="24"/>
                <w:szCs w:val="24"/>
                <w:highlight w:val="none"/>
              </w:rPr>
              <w:t>分；</w:t>
            </w:r>
          </w:p>
          <w:p>
            <w:pPr>
              <w:jc w:val="left"/>
              <w:rPr>
                <w:rFonts w:hint="eastAsia" w:ascii="宋体" w:hAnsi="宋体" w:eastAsia="宋体" w:cs="宋体"/>
                <w:sz w:val="24"/>
                <w:szCs w:val="24"/>
                <w:highlight w:val="none"/>
              </w:rPr>
            </w:pPr>
            <w:r>
              <w:rPr>
                <w:rFonts w:hint="eastAsia" w:ascii="宋体" w:hAnsi="宋体" w:eastAsia="宋体" w:cs="宋体"/>
                <w:kern w:val="1"/>
                <w:sz w:val="24"/>
                <w:szCs w:val="24"/>
                <w:highlight w:val="none"/>
              </w:rPr>
              <w:t>方案内容未进行任何阐述或不满足采购需求，得0分。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highlight w:val="none"/>
              </w:rPr>
            </w:pPr>
          </w:p>
        </w:tc>
        <w:tc>
          <w:tcPr>
            <w:tcW w:w="1446" w:type="dxa"/>
            <w:tcBorders>
              <w:left w:val="single" w:color="auto" w:sz="6" w:space="0"/>
              <w:right w:val="single" w:color="auto" w:sz="6" w:space="0"/>
            </w:tcBorders>
            <w:noWrap w:val="0"/>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实施方案</w:t>
            </w:r>
          </w:p>
          <w:p>
            <w:pPr>
              <w:jc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（15分）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lang w:val="en-US" w:eastAsia="zh-CN"/>
              </w:rPr>
              <w:t>实施执行</w:t>
            </w:r>
            <w:r>
              <w:rPr>
                <w:rFonts w:hint="eastAsia" w:ascii="宋体" w:hAnsi="宋体" w:eastAsia="宋体" w:cs="宋体"/>
                <w:kern w:val="1"/>
                <w:sz w:val="24"/>
                <w:szCs w:val="24"/>
                <w:highlight w:val="none"/>
              </w:rPr>
              <w:t>方案完整有详细的阐述且满足采购需求，考虑周全，可操作性强，得</w:t>
            </w:r>
            <w:r>
              <w:rPr>
                <w:rFonts w:hint="eastAsia" w:ascii="宋体" w:hAnsi="宋体" w:eastAsia="宋体" w:cs="宋体"/>
                <w:kern w:val="1"/>
                <w:sz w:val="24"/>
                <w:szCs w:val="24"/>
                <w:highlight w:val="none"/>
                <w:lang w:val="en-US" w:eastAsia="zh-CN"/>
              </w:rPr>
              <w:t>15</w:t>
            </w:r>
            <w:r>
              <w:rPr>
                <w:rFonts w:hint="eastAsia" w:ascii="宋体" w:hAnsi="宋体" w:eastAsia="宋体" w:cs="宋体"/>
                <w:kern w:val="1"/>
                <w:sz w:val="24"/>
                <w:szCs w:val="24"/>
                <w:highlight w:val="none"/>
              </w:rPr>
              <w:t>分；</w:t>
            </w:r>
          </w:p>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方案合理有较为详细的阐述且符合采购需求，考虑周全，得</w:t>
            </w:r>
            <w:r>
              <w:rPr>
                <w:rFonts w:hint="eastAsia" w:ascii="宋体" w:hAnsi="宋体" w:eastAsia="宋体" w:cs="宋体"/>
                <w:kern w:val="1"/>
                <w:sz w:val="24"/>
                <w:szCs w:val="24"/>
                <w:highlight w:val="none"/>
                <w:lang w:val="en-US" w:eastAsia="zh-CN"/>
              </w:rPr>
              <w:t>12</w:t>
            </w:r>
            <w:r>
              <w:rPr>
                <w:rFonts w:hint="eastAsia" w:ascii="宋体" w:hAnsi="宋体" w:eastAsia="宋体" w:cs="宋体"/>
                <w:kern w:val="1"/>
                <w:sz w:val="24"/>
                <w:szCs w:val="24"/>
                <w:highlight w:val="none"/>
              </w:rPr>
              <w:t>分；</w:t>
            </w:r>
          </w:p>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方案虽响应采购需求但只简单进行阐述，有可操作性，得</w:t>
            </w:r>
            <w:r>
              <w:rPr>
                <w:rFonts w:hint="eastAsia" w:ascii="宋体" w:hAnsi="宋体" w:eastAsia="宋体" w:cs="宋体"/>
                <w:kern w:val="1"/>
                <w:sz w:val="24"/>
                <w:szCs w:val="24"/>
                <w:highlight w:val="none"/>
                <w:lang w:val="en-US" w:eastAsia="zh-CN"/>
              </w:rPr>
              <w:t>9分</w:t>
            </w:r>
            <w:r>
              <w:rPr>
                <w:rFonts w:hint="eastAsia" w:ascii="宋体" w:hAnsi="宋体" w:eastAsia="宋体" w:cs="宋体"/>
                <w:kern w:val="1"/>
                <w:sz w:val="24"/>
                <w:szCs w:val="24"/>
                <w:highlight w:val="none"/>
              </w:rPr>
              <w:t>；</w:t>
            </w:r>
          </w:p>
          <w:p>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方案简单响应采购需求，但没有进一步的详细阐述，得</w:t>
            </w:r>
            <w:r>
              <w:rPr>
                <w:rFonts w:hint="eastAsia" w:ascii="宋体" w:hAnsi="宋体" w:eastAsia="宋体" w:cs="宋体"/>
                <w:kern w:val="1"/>
                <w:sz w:val="24"/>
                <w:szCs w:val="24"/>
                <w:highlight w:val="none"/>
                <w:lang w:val="en-US" w:eastAsia="zh-CN"/>
              </w:rPr>
              <w:t>6</w:t>
            </w:r>
            <w:r>
              <w:rPr>
                <w:rFonts w:hint="eastAsia" w:ascii="宋体" w:hAnsi="宋体" w:eastAsia="宋体" w:cs="宋体"/>
                <w:kern w:val="1"/>
                <w:sz w:val="24"/>
                <w:szCs w:val="24"/>
                <w:highlight w:val="none"/>
              </w:rPr>
              <w:t>分；</w:t>
            </w:r>
          </w:p>
          <w:p>
            <w:pPr>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方案内容未进行任何阐述或不满足采购需求，得0分。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widowControl/>
              <w:jc w:val="center"/>
              <w:rPr>
                <w:rFonts w:hint="eastAsia" w:ascii="宋体" w:hAnsi="宋体" w:eastAsia="宋体" w:cs="宋体"/>
                <w:b/>
                <w:sz w:val="24"/>
                <w:szCs w:val="24"/>
                <w:lang w:val="en-US" w:eastAsia="zh-CN"/>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项目成员</w:t>
            </w:r>
          </w:p>
          <w:p>
            <w:pPr>
              <w:jc w:val="center"/>
              <w:rPr>
                <w:rFonts w:hint="eastAsia" w:ascii="宋体" w:hAnsi="宋体" w:eastAsia="宋体" w:cs="宋体"/>
                <w:sz w:val="24"/>
                <w:szCs w:val="24"/>
              </w:rPr>
            </w:pPr>
            <w:r>
              <w:rPr>
                <w:rFonts w:hint="eastAsia" w:ascii="宋体" w:hAnsi="宋体" w:eastAsia="宋体" w:cs="宋体"/>
                <w:sz w:val="24"/>
                <w:szCs w:val="24"/>
              </w:rPr>
              <w:t>配备</w:t>
            </w:r>
          </w:p>
          <w:p>
            <w:pPr>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widowControl/>
              <w:rPr>
                <w:rFonts w:hint="eastAsia" w:ascii="宋体" w:hAnsi="宋体" w:eastAsia="宋体" w:cs="宋体"/>
                <w:sz w:val="24"/>
                <w:szCs w:val="24"/>
              </w:rPr>
            </w:pPr>
            <w:r>
              <w:rPr>
                <w:rFonts w:hint="eastAsia" w:ascii="宋体" w:hAnsi="宋体" w:eastAsia="宋体" w:cs="宋体"/>
                <w:sz w:val="24"/>
                <w:szCs w:val="24"/>
              </w:rPr>
              <w:t>项目组成员经验丰富、能全部满足本项目需求，有健全的团队管理制度，人员专业配置合理、分工明确，人员基本情况、资历、经验等描述清晰，得1</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p>
            <w:pPr>
              <w:widowControl/>
              <w:rPr>
                <w:rFonts w:hint="eastAsia" w:ascii="宋体" w:hAnsi="宋体" w:eastAsia="宋体" w:cs="宋体"/>
                <w:sz w:val="24"/>
                <w:szCs w:val="24"/>
              </w:rPr>
            </w:pPr>
            <w:r>
              <w:rPr>
                <w:rFonts w:hint="eastAsia" w:ascii="宋体" w:hAnsi="宋体" w:eastAsia="宋体" w:cs="宋体"/>
                <w:sz w:val="24"/>
                <w:szCs w:val="24"/>
              </w:rPr>
              <w:t>项目组成员经验较丰富、基本满足本项目需求，有团队管理制度，人员专业配置较合理、分工较明确，人员基本情况、资历、经验等描述基本清晰，得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pPr>
              <w:jc w:val="left"/>
              <w:rPr>
                <w:rFonts w:hint="eastAsia" w:ascii="宋体" w:hAnsi="宋体" w:eastAsia="宋体" w:cs="宋体"/>
                <w:sz w:val="24"/>
                <w:szCs w:val="24"/>
                <w:lang w:eastAsia="zh-CN"/>
              </w:rPr>
            </w:pPr>
            <w:r>
              <w:rPr>
                <w:rFonts w:hint="eastAsia" w:ascii="宋体" w:hAnsi="宋体" w:eastAsia="宋体" w:cs="宋体"/>
                <w:sz w:val="24"/>
                <w:szCs w:val="24"/>
              </w:rPr>
              <w:t>项目组成员经验欠丰富、基本不能满足本项目需求，团队管理制度有欠缺，人员专业配置欠合理、分工欠明确，人员基本情况、资历、经验等描述欠清晰，得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p>
          <w:p>
            <w:pPr>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未提供成员配备的，不得分；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jc w:val="center"/>
              <w:rPr>
                <w:rFonts w:hint="eastAsia" w:ascii="宋体" w:hAnsi="宋体" w:eastAsia="宋体" w:cs="宋体"/>
                <w:b/>
                <w:sz w:val="24"/>
                <w:szCs w:val="24"/>
                <w:lang w:val="en-US" w:eastAsia="zh-CN"/>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运行保障和安全管理</w:t>
            </w:r>
          </w:p>
          <w:p>
            <w:pPr>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jc w:val="left"/>
              <w:rPr>
                <w:rFonts w:hint="eastAsia" w:ascii="宋体" w:hAnsi="宋体" w:eastAsia="宋体" w:cs="宋体"/>
                <w:sz w:val="24"/>
                <w:szCs w:val="24"/>
              </w:rPr>
            </w:pPr>
            <w:r>
              <w:rPr>
                <w:rFonts w:hint="eastAsia" w:ascii="宋体" w:hAnsi="宋体" w:eastAsia="宋体" w:cs="宋体"/>
                <w:sz w:val="24"/>
                <w:szCs w:val="24"/>
              </w:rPr>
              <w:t>方案科学、合理、实际，</w:t>
            </w:r>
            <w:r>
              <w:rPr>
                <w:rFonts w:hint="eastAsia" w:ascii="宋体" w:hAnsi="宋体" w:eastAsia="宋体" w:cs="宋体"/>
                <w:sz w:val="24"/>
                <w:szCs w:val="24"/>
                <w:lang w:val="en-US" w:eastAsia="zh-CN"/>
              </w:rPr>
              <w:t>安全管理措施</w:t>
            </w:r>
            <w:r>
              <w:rPr>
                <w:rFonts w:hint="eastAsia" w:ascii="宋体" w:hAnsi="宋体" w:eastAsia="宋体" w:cs="宋体"/>
                <w:sz w:val="24"/>
                <w:szCs w:val="24"/>
              </w:rPr>
              <w:t>到位，针对性强，能够满足项目需要，得</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p>
            <w:pPr>
              <w:jc w:val="left"/>
              <w:rPr>
                <w:rFonts w:hint="eastAsia" w:ascii="宋体" w:hAnsi="宋体" w:eastAsia="宋体" w:cs="宋体"/>
                <w:sz w:val="24"/>
                <w:szCs w:val="24"/>
              </w:rPr>
            </w:pPr>
            <w:r>
              <w:rPr>
                <w:rFonts w:hint="eastAsia" w:ascii="宋体" w:hAnsi="宋体" w:eastAsia="宋体" w:cs="宋体"/>
                <w:sz w:val="24"/>
                <w:szCs w:val="24"/>
              </w:rPr>
              <w:t>方案基本科学、合理、实际，</w:t>
            </w:r>
            <w:r>
              <w:rPr>
                <w:rFonts w:hint="eastAsia" w:ascii="宋体" w:hAnsi="宋体" w:eastAsia="宋体" w:cs="宋体"/>
                <w:sz w:val="24"/>
                <w:szCs w:val="24"/>
                <w:lang w:val="en-US" w:eastAsia="zh-CN"/>
              </w:rPr>
              <w:t>安全管理</w:t>
            </w:r>
            <w:r>
              <w:rPr>
                <w:rFonts w:hint="eastAsia" w:ascii="宋体" w:hAnsi="宋体" w:eastAsia="宋体" w:cs="宋体"/>
                <w:sz w:val="24"/>
                <w:szCs w:val="24"/>
              </w:rPr>
              <w:t>措施基本到位，针对性较强，基本满足项目需要，得</w:t>
            </w:r>
            <w:r>
              <w:rPr>
                <w:rFonts w:hint="eastAsia" w:ascii="宋体" w:hAnsi="宋体" w:eastAsia="宋体" w:cs="宋体"/>
                <w:sz w:val="24"/>
                <w:szCs w:val="24"/>
                <w:lang w:val="en-US" w:eastAsia="zh-CN"/>
              </w:rPr>
              <w:t>12</w:t>
            </w:r>
            <w:r>
              <w:rPr>
                <w:rFonts w:hint="eastAsia" w:ascii="宋体" w:hAnsi="宋体" w:eastAsia="宋体" w:cs="宋体"/>
                <w:sz w:val="24"/>
                <w:szCs w:val="24"/>
              </w:rPr>
              <w:t>分；</w:t>
            </w:r>
          </w:p>
          <w:p>
            <w:pPr>
              <w:jc w:val="left"/>
              <w:rPr>
                <w:rFonts w:hint="eastAsia" w:ascii="宋体" w:hAnsi="宋体" w:eastAsia="宋体" w:cs="宋体"/>
                <w:sz w:val="24"/>
                <w:szCs w:val="24"/>
              </w:rPr>
            </w:pPr>
            <w:r>
              <w:rPr>
                <w:rFonts w:hint="eastAsia" w:ascii="宋体" w:hAnsi="宋体" w:eastAsia="宋体" w:cs="宋体"/>
                <w:sz w:val="24"/>
                <w:szCs w:val="24"/>
              </w:rPr>
              <w:t>方案基本科学、合理、实际，</w:t>
            </w:r>
            <w:r>
              <w:rPr>
                <w:rFonts w:hint="eastAsia" w:ascii="宋体" w:hAnsi="宋体" w:eastAsia="宋体" w:cs="宋体"/>
                <w:sz w:val="24"/>
                <w:szCs w:val="24"/>
                <w:lang w:val="en-US" w:eastAsia="zh-CN"/>
              </w:rPr>
              <w:t>但是有明显缺陷</w:t>
            </w:r>
            <w:r>
              <w:rPr>
                <w:rFonts w:hint="eastAsia" w:ascii="宋体" w:hAnsi="宋体" w:eastAsia="宋体" w:cs="宋体"/>
                <w:sz w:val="24"/>
                <w:szCs w:val="24"/>
              </w:rPr>
              <w:t>，</w:t>
            </w:r>
            <w:r>
              <w:rPr>
                <w:rFonts w:hint="eastAsia" w:ascii="宋体" w:hAnsi="宋体" w:eastAsia="宋体" w:cs="宋体"/>
                <w:sz w:val="24"/>
                <w:szCs w:val="24"/>
                <w:lang w:val="en-US" w:eastAsia="zh-CN"/>
              </w:rPr>
              <w:t>但可</w:t>
            </w:r>
            <w:r>
              <w:rPr>
                <w:rFonts w:hint="eastAsia" w:ascii="宋体" w:hAnsi="宋体" w:eastAsia="宋体" w:cs="宋体"/>
                <w:sz w:val="24"/>
                <w:szCs w:val="24"/>
              </w:rPr>
              <w:t>满足项目需要</w:t>
            </w:r>
            <w:r>
              <w:rPr>
                <w:rFonts w:hint="eastAsia" w:ascii="宋体" w:hAnsi="宋体" w:eastAsia="宋体" w:cs="宋体"/>
                <w:sz w:val="24"/>
                <w:szCs w:val="24"/>
                <w:lang w:val="en-US" w:eastAsia="zh-CN"/>
              </w:rPr>
              <w:t>的</w:t>
            </w:r>
            <w:r>
              <w:rPr>
                <w:rFonts w:hint="eastAsia" w:ascii="宋体" w:hAnsi="宋体" w:eastAsia="宋体" w:cs="宋体"/>
                <w:sz w:val="24"/>
                <w:szCs w:val="24"/>
              </w:rPr>
              <w:t>，得</w:t>
            </w:r>
            <w:r>
              <w:rPr>
                <w:rFonts w:hint="eastAsia" w:ascii="宋体" w:hAnsi="宋体" w:eastAsia="宋体" w:cs="宋体"/>
                <w:sz w:val="24"/>
                <w:szCs w:val="24"/>
                <w:lang w:val="en-US" w:eastAsia="zh-CN"/>
              </w:rPr>
              <w:t>9</w:t>
            </w:r>
            <w:r>
              <w:rPr>
                <w:rFonts w:hint="eastAsia" w:ascii="宋体" w:hAnsi="宋体" w:eastAsia="宋体" w:cs="宋体"/>
                <w:sz w:val="24"/>
                <w:szCs w:val="24"/>
              </w:rPr>
              <w:t>分；</w:t>
            </w:r>
          </w:p>
          <w:p>
            <w:pPr>
              <w:jc w:val="left"/>
              <w:rPr>
                <w:rFonts w:hint="eastAsia" w:ascii="宋体" w:hAnsi="宋体" w:eastAsia="宋体" w:cs="宋体"/>
                <w:sz w:val="24"/>
                <w:szCs w:val="24"/>
                <w:lang w:eastAsia="zh-CN"/>
              </w:rPr>
            </w:pPr>
            <w:r>
              <w:rPr>
                <w:rFonts w:hint="eastAsia" w:ascii="宋体" w:hAnsi="宋体" w:eastAsia="宋体" w:cs="宋体"/>
                <w:sz w:val="24"/>
                <w:szCs w:val="24"/>
              </w:rPr>
              <w:t>方案不科学、不合理、不实际，</w:t>
            </w:r>
            <w:r>
              <w:rPr>
                <w:rFonts w:hint="eastAsia" w:ascii="宋体" w:hAnsi="宋体" w:eastAsia="宋体" w:cs="宋体"/>
                <w:sz w:val="24"/>
                <w:szCs w:val="24"/>
                <w:lang w:val="en-US" w:eastAsia="zh-CN"/>
              </w:rPr>
              <w:t>安全管理</w:t>
            </w:r>
            <w:r>
              <w:rPr>
                <w:rFonts w:hint="eastAsia" w:ascii="宋体" w:hAnsi="宋体" w:eastAsia="宋体" w:cs="宋体"/>
                <w:sz w:val="24"/>
                <w:szCs w:val="24"/>
              </w:rPr>
              <w:t>措施不到位，针对性不强，不能满足项目需要，得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r>
              <w:rPr>
                <w:rFonts w:hint="eastAsia" w:ascii="宋体" w:hAnsi="宋体" w:eastAsia="宋体" w:cs="宋体"/>
                <w:sz w:val="24"/>
                <w:szCs w:val="24"/>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jc w:val="both"/>
              <w:rPr>
                <w:rFonts w:hint="eastAsia" w:ascii="宋体" w:hAnsi="宋体" w:eastAsia="宋体" w:cs="宋体"/>
                <w:b/>
                <w:sz w:val="24"/>
                <w:szCs w:val="24"/>
                <w:lang w:val="en-US" w:eastAsia="zh-CN"/>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应急预案</w:t>
            </w:r>
          </w:p>
          <w:p>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eastAsia="宋体" w:cs="宋体"/>
                <w:sz w:val="24"/>
                <w:szCs w:val="24"/>
              </w:rPr>
            </w:pPr>
            <w:r>
              <w:rPr>
                <w:rFonts w:hint="eastAsia" w:ascii="宋体" w:hAnsi="宋体" w:eastAsia="宋体" w:cs="宋体"/>
                <w:sz w:val="24"/>
                <w:szCs w:val="24"/>
              </w:rPr>
              <w:t>应急预案科学合理，相应的处置措施得当，能够切实保障所发生的的问题，得10分；</w:t>
            </w:r>
          </w:p>
          <w:p>
            <w:pPr>
              <w:rPr>
                <w:rFonts w:hint="eastAsia" w:ascii="宋体" w:hAnsi="宋体" w:eastAsia="宋体" w:cs="宋体"/>
                <w:sz w:val="24"/>
                <w:szCs w:val="24"/>
              </w:rPr>
            </w:pPr>
            <w:r>
              <w:rPr>
                <w:rFonts w:hint="eastAsia" w:ascii="宋体" w:hAnsi="宋体" w:eastAsia="宋体" w:cs="宋体"/>
                <w:sz w:val="24"/>
                <w:szCs w:val="24"/>
              </w:rPr>
              <w:t>应急预案合理，处置措施一般，基本能够保障所发生的的问题，得7分；</w:t>
            </w:r>
          </w:p>
          <w:p>
            <w:pPr>
              <w:rPr>
                <w:rFonts w:hint="eastAsia" w:ascii="宋体" w:hAnsi="宋体" w:eastAsia="宋体" w:cs="宋体"/>
                <w:sz w:val="24"/>
                <w:szCs w:val="24"/>
              </w:rPr>
            </w:pPr>
            <w:r>
              <w:rPr>
                <w:rFonts w:hint="eastAsia" w:ascii="宋体" w:hAnsi="宋体" w:eastAsia="宋体" w:cs="宋体"/>
                <w:sz w:val="24"/>
                <w:szCs w:val="24"/>
              </w:rPr>
              <w:t>应急预案不合理，不能够保障所发生的的问题，得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left w:val="single" w:color="auto" w:sz="6" w:space="0"/>
              <w:right w:val="single" w:color="auto" w:sz="6" w:space="0"/>
            </w:tcBorders>
            <w:noWrap w:val="0"/>
            <w:vAlign w:val="center"/>
          </w:tcPr>
          <w:p>
            <w:pPr>
              <w:jc w:val="center"/>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3</w:t>
            </w:r>
          </w:p>
        </w:tc>
        <w:tc>
          <w:tcPr>
            <w:tcW w:w="1237" w:type="dxa"/>
            <w:tcBorders>
              <w:left w:val="single" w:color="auto" w:sz="6" w:space="0"/>
              <w:right w:val="single" w:color="auto" w:sz="6" w:space="0"/>
            </w:tcBorders>
            <w:noWrap w:val="0"/>
            <w:vAlign w:val="center"/>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商务部分（15分）</w:t>
            </w: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类似业绩</w:t>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jc w:val="left"/>
              <w:rPr>
                <w:highlight w:val="none"/>
              </w:rPr>
            </w:pPr>
            <w:r>
              <w:rPr>
                <w:rFonts w:hint="eastAsia" w:ascii="宋体" w:hAnsi="宋体" w:eastAsia="宋体" w:cs="宋体"/>
                <w:snapToGrid w:val="0"/>
                <w:color w:val="000000"/>
                <w:kern w:val="0"/>
                <w:sz w:val="24"/>
                <w:szCs w:val="24"/>
                <w:highlight w:val="none"/>
                <w:lang w:val="en-US" w:eastAsia="zh-CN" w:bidi="ar"/>
              </w:rPr>
              <w:t>投标人提供（</w:t>
            </w:r>
            <w:r>
              <w:rPr>
                <w:rFonts w:hint="default" w:ascii="Calibri" w:hAnsi="Calibri" w:eastAsia="宋体" w:cs="Calibri"/>
                <w:snapToGrid w:val="0"/>
                <w:color w:val="000000"/>
                <w:kern w:val="0"/>
                <w:sz w:val="24"/>
                <w:szCs w:val="24"/>
                <w:highlight w:val="none"/>
                <w:lang w:val="en-US" w:eastAsia="zh-CN" w:bidi="ar"/>
              </w:rPr>
              <w:t>20</w:t>
            </w:r>
            <w:r>
              <w:rPr>
                <w:rFonts w:hint="eastAsia" w:ascii="Calibri" w:hAnsi="Calibri" w:eastAsia="宋体" w:cs="Calibri"/>
                <w:snapToGrid w:val="0"/>
                <w:color w:val="000000"/>
                <w:kern w:val="0"/>
                <w:sz w:val="24"/>
                <w:szCs w:val="24"/>
                <w:highlight w:val="none"/>
                <w:lang w:val="en-US" w:eastAsia="zh-CN" w:bidi="ar"/>
              </w:rPr>
              <w:t xml:space="preserve">20 </w:t>
            </w:r>
            <w:r>
              <w:rPr>
                <w:rFonts w:hint="eastAsia" w:ascii="宋体" w:hAnsi="宋体" w:eastAsia="宋体" w:cs="宋体"/>
                <w:snapToGrid w:val="0"/>
                <w:color w:val="000000"/>
                <w:kern w:val="0"/>
                <w:sz w:val="24"/>
                <w:szCs w:val="24"/>
                <w:highlight w:val="none"/>
                <w:lang w:val="en-US" w:eastAsia="zh-CN" w:bidi="ar"/>
              </w:rPr>
              <w:t>年</w:t>
            </w:r>
            <w:r>
              <w:rPr>
                <w:rFonts w:hint="eastAsia" w:ascii="Calibri" w:hAnsi="Calibri" w:eastAsia="宋体" w:cs="Calibri"/>
                <w:snapToGrid w:val="0"/>
                <w:color w:val="000000"/>
                <w:kern w:val="0"/>
                <w:sz w:val="24"/>
                <w:szCs w:val="24"/>
                <w:highlight w:val="none"/>
                <w:lang w:val="en-US" w:eastAsia="zh-CN" w:bidi="ar"/>
              </w:rPr>
              <w:t>1</w:t>
            </w:r>
            <w:r>
              <w:rPr>
                <w:rFonts w:hint="eastAsia" w:ascii="宋体" w:hAnsi="宋体" w:eastAsia="宋体" w:cs="宋体"/>
                <w:snapToGrid w:val="0"/>
                <w:color w:val="000000"/>
                <w:kern w:val="0"/>
                <w:sz w:val="24"/>
                <w:szCs w:val="24"/>
                <w:highlight w:val="none"/>
                <w:lang w:val="en-US" w:eastAsia="zh-CN" w:bidi="ar"/>
              </w:rPr>
              <w:t xml:space="preserve">月1日至今）的类似业绩。 </w:t>
            </w:r>
          </w:p>
          <w:p>
            <w:pPr>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提</w:t>
            </w:r>
            <w:r>
              <w:rPr>
                <w:rFonts w:hint="eastAsia" w:ascii="宋体" w:hAnsi="宋体" w:eastAsia="宋体" w:cs="宋体"/>
                <w:sz w:val="24"/>
                <w:szCs w:val="24"/>
                <w:highlight w:val="none"/>
                <w:lang w:val="en-US" w:eastAsia="zh-CN"/>
              </w:rPr>
              <w:t xml:space="preserve">供营销推广、活动策划及执行类似业绩，每提供一个得3分，本项最多得15分（需提供有效案例合同相关部分，包括合同首页，签字盖章页复印件等材料作为证明）。 </w:t>
            </w:r>
          </w:p>
        </w:tc>
      </w:tr>
    </w:tbl>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before="353" w:line="219" w:lineRule="auto"/>
        <w:jc w:val="center"/>
        <w:textAlignment w:val="baseline"/>
        <w:outlineLvl w:val="0"/>
        <w:rPr>
          <w:rFonts w:hint="eastAsia" w:ascii="宋体" w:hAnsi="宋体" w:eastAsia="宋体" w:cs="宋体"/>
          <w:spacing w:val="0"/>
          <w:w w:val="100"/>
          <w:position w:val="0"/>
          <w:sz w:val="36"/>
          <w:szCs w:val="36"/>
          <w:highlight w:val="none"/>
        </w:rPr>
      </w:pPr>
      <w:bookmarkStart w:id="89" w:name="_Toc23597"/>
      <w:r>
        <w:rPr>
          <w:rFonts w:hint="eastAsia" w:ascii="宋体" w:hAnsi="宋体" w:eastAsia="宋体" w:cs="宋体"/>
          <w:spacing w:val="0"/>
          <w:w w:val="100"/>
          <w:position w:val="0"/>
          <w:sz w:val="36"/>
          <w:szCs w:val="36"/>
          <w:highlight w:val="none"/>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36"/>
          <w:szCs w:val="36"/>
          <w:highlight w:val="none"/>
        </w:rPr>
        <w:t xml:space="preserve">   </w:t>
      </w:r>
      <w:r>
        <w:rPr>
          <w:rFonts w:hint="eastAsia" w:ascii="宋体" w:hAnsi="宋体" w:eastAsia="宋体" w:cs="宋体"/>
          <w:spacing w:val="0"/>
          <w:w w:val="100"/>
          <w:position w:val="0"/>
          <w:sz w:val="36"/>
          <w:szCs w:val="36"/>
          <w:highlight w:val="none"/>
          <w14:textOutline w14:w="6537" w14:cap="flat" w14:cmpd="sng">
            <w14:solidFill>
              <w14:srgbClr w14:val="000000"/>
            </w14:solidFill>
            <w14:prstDash w14:val="solid"/>
            <w14:miter w14:val="0"/>
          </w14:textOutline>
        </w:rPr>
        <w:t>采购需求</w:t>
      </w:r>
      <w:bookmarkEnd w:id="89"/>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bookmarkStart w:id="90" w:name="_Toc17899"/>
    </w:p>
    <w:p>
      <w:pPr>
        <w:keepNext w:val="0"/>
        <w:keepLines w:val="0"/>
        <w:pageBreakBefore w:val="0"/>
        <w:widowControl/>
        <w:kinsoku/>
        <w:wordWrap/>
        <w:overflowPunct/>
        <w:topLinePunct w:val="0"/>
        <w:autoSpaceDE/>
        <w:autoSpaceDN/>
        <w:bidi w:val="0"/>
        <w:snapToGrid/>
        <w:spacing w:line="360" w:lineRule="auto"/>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一、活动目的</w:t>
      </w:r>
    </w:p>
    <w:p>
      <w:pPr>
        <w:keepNext w:val="0"/>
        <w:keepLines w:val="0"/>
        <w:pageBreakBefore w:val="0"/>
        <w:widowControl/>
        <w:kinsoku/>
        <w:wordWrap/>
        <w:overflowPunct/>
        <w:topLinePunct w:val="0"/>
        <w:autoSpaceDE/>
        <w:autoSpaceDN/>
        <w:bidi w:val="0"/>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2024怀柔国潮文化节采购项目系列主题活动作为怀柔区永不落幕的中国节与永不落幕的音乐节的重要板块活动之一，致力于丰富传统节日过节仪式感，充分展示怀柔区有一种生活叫怀柔的独特魅力；通过七夕节、中秋节、国庆节三个传统节日系列主题活动的推介，引导大众以健康、积极、向上的态度参与到怀柔国潮文化节的系列活动中，享受有一种生活叫怀柔的方式，大幅提升群众的获得感与参与感，传播与感受长城文化，进一步扩大文旅消费规模，助推慕田峪长城景区夜经济、多布营地强地标化、怀柔生活文旅资源推介，不断彰显文化产业的新业态新成效，推动怀柔文旅融合高质量健康发展。</w:t>
      </w:r>
    </w:p>
    <w:p>
      <w:pPr>
        <w:keepNext w:val="0"/>
        <w:keepLines w:val="0"/>
        <w:pageBreakBefore w:val="0"/>
        <w:widowControl/>
        <w:numPr>
          <w:ilvl w:val="0"/>
          <w:numId w:val="1"/>
        </w:numPr>
        <w:kinsoku/>
        <w:wordWrap/>
        <w:overflowPunct/>
        <w:topLinePunct w:val="0"/>
        <w:autoSpaceDE/>
        <w:autoSpaceDN/>
        <w:bidi w:val="0"/>
        <w:snapToGrid/>
        <w:spacing w:line="360" w:lineRule="auto"/>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活动时间、地点</w:t>
      </w:r>
    </w:p>
    <w:p>
      <w:pPr>
        <w:keepNext w:val="0"/>
        <w:keepLines w:val="0"/>
        <w:pageBreakBefore w:val="0"/>
        <w:widowControl/>
        <w:numPr>
          <w:ilvl w:val="0"/>
          <w:numId w:val="0"/>
        </w:numPr>
        <w:kinsoku/>
        <w:wordWrap/>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1.活动时间与地点：七夕节主题活动-北京市怀柔区渤海镇慕田峪长城、 2024年8月9日-8月11日</w:t>
      </w:r>
    </w:p>
    <w:p>
      <w:pPr>
        <w:keepNext w:val="0"/>
        <w:keepLines w:val="0"/>
        <w:pageBreakBefore w:val="0"/>
        <w:widowControl/>
        <w:numPr>
          <w:ilvl w:val="0"/>
          <w:numId w:val="0"/>
        </w:numPr>
        <w:kinsoku/>
        <w:wordWrap/>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2.活动时间与地点：中秋节主题活动-北京市怀柔区怀北镇椴树岭村青龙峡多布营地、2024年9月15日-9月17日</w:t>
      </w:r>
    </w:p>
    <w:p>
      <w:pPr>
        <w:keepNext w:val="0"/>
        <w:keepLines w:val="0"/>
        <w:pageBreakBefore w:val="0"/>
        <w:widowControl/>
        <w:numPr>
          <w:ilvl w:val="0"/>
          <w:numId w:val="0"/>
        </w:numPr>
        <w:kinsoku/>
        <w:wordWrap/>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3.活动时间与地点：国庆节主题活动-北京市主城区内购物中心、2024年10月1日至10月31日</w:t>
      </w:r>
    </w:p>
    <w:p>
      <w:pPr>
        <w:keepNext w:val="0"/>
        <w:keepLines w:val="0"/>
        <w:pageBreakBefore w:val="0"/>
        <w:widowControl/>
        <w:numPr>
          <w:ilvl w:val="0"/>
          <w:numId w:val="1"/>
        </w:numPr>
        <w:kinsoku/>
        <w:wordWrap/>
        <w:overflowPunct/>
        <w:topLinePunct w:val="0"/>
        <w:autoSpaceDE/>
        <w:autoSpaceDN/>
        <w:bidi w:val="0"/>
        <w:snapToGrid/>
        <w:spacing w:line="360" w:lineRule="auto"/>
        <w:ind w:left="0" w:leftChars="0"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板块介绍</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1.七夕主题活动</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怀柔喜文化活动：</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长城军事要塞边城通婚说亲场景：接地气版招亲大会，参考怀柔“万合轿子房”的场景，用开道旗、迎亲牌、宫灯、大筛、挎鼓、镲、八抬大轿等道具装扮招亲台。</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聘请活动主持人（王婆或者彭员外）用八旗寻宝、怀柔传统民俗活动：杨木杆舞、脚力、蹴鞠、撞拐等满族民俗运动与消费者互动，选择佳婿。选定之人，上台跨火盆、跨马鞍、射箭、扔喜糖沾喜气……</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民俗活动演艺人员：邀请30位来自中国不同地区的表演艺人，在活动现场及固定点位处进行引导互动。</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怀柔生活集市</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国潮集市：邀请一家文化企业或行业相关企业组成文创产品进行展示与销售，需完成活动现场氛围设计与场地搭建。</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怀柔生活集市：邀请15家以上怀柔特色品牌进行活动现场展示与销售，售出产品均为怀柔本土企业制作，需完成活动现场扽为设计与场地搭建。</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怀柔手作体验：邀请怀柔区10位以上手工艺人进行现场手工艺体验与产品销售，展示怀柔传统手工艺。</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1.3 敛巧饭</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现场以怀柔敛巧饭作为创意思路，表达祝福与祈愿。</w:t>
      </w:r>
    </w:p>
    <w:p>
      <w:pPr>
        <w:spacing w:line="360" w:lineRule="auto"/>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1.4 长城会客厅与开幕式</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长城话事厅：邀请4位熟悉长城文化的代表讲述长城文化与怀柔故事参与此环节；邀请领导、相关行业专家、企业嘉宾、品牌方代表等嘉宾共同参与此环节。</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1.5 长城时尚秀</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邀请知名导演及国内A+以上模特、妆造团队、服装团队（50套以上礼服）、表演团队进行现场时尚秀演绎，讲述怀柔故事。</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1.6 月下歌会</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邀请民谣、电音、DJ、国潮歌手与民族演艺团队等用千年岁月中的“燃”与“躁”，一场都市乐队与民族歌者的音乐竞技同台竞技，让传统声音，神秘的民族语言，不拘泥于任何形式。</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2.中秋主题活动</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以创意变装视频开场：集合戏曲、旗袍、民国、老生；</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以一场现代行为艺术路演作为创意现场，邀请中国戏曲学院，中央民族大学和中国经济院等高校和团体进行合作演艺，举办一场草坪国潮音乐会，现场搭建怀柔生活展示区，以怀柔手作体验和特色品牌为主。</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3.国庆主题活动</w:t>
      </w:r>
    </w:p>
    <w:p>
      <w:pPr>
        <w:spacing w:line="360" w:lineRule="auto"/>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以满族二魁摔跤、民族歌舞作为开集仪式的开场表演，出具相应设计图纸与活动搭建方案，融合怀柔礼物、怀柔攻略与怀柔美食、怀柔文旅线路、怀柔非遗手作体验等当地特色，和深山集市进行平台搭建，在最繁华的商业中心与都市消费者一起相约怀柔，体验有一种生活叫怀柔。</w:t>
      </w:r>
    </w:p>
    <w:p>
      <w:pPr>
        <w:pStyle w:val="50"/>
        <w:keepNext w:val="0"/>
        <w:keepLines w:val="0"/>
        <w:pageBreakBefore w:val="0"/>
        <w:numPr>
          <w:ilvl w:val="0"/>
          <w:numId w:val="1"/>
        </w:numPr>
        <w:kinsoku/>
        <w:wordWrap/>
        <w:overflowPunct/>
        <w:topLinePunct w:val="0"/>
        <w:autoSpaceDE/>
        <w:autoSpaceDN/>
        <w:bidi w:val="0"/>
        <w:adjustRightInd w:val="0"/>
        <w:snapToGrid/>
        <w:spacing w:line="360" w:lineRule="auto"/>
        <w:ind w:left="0" w:leftChars="0" w:firstLine="562" w:firstLineChars="200"/>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活动清单</w:t>
      </w:r>
    </w:p>
    <w:tbl>
      <w:tblPr>
        <w:tblStyle w:val="19"/>
        <w:tblW w:w="83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470"/>
        <w:gridCol w:w="100"/>
        <w:gridCol w:w="3785"/>
        <w:gridCol w:w="83"/>
        <w:gridCol w:w="450"/>
        <w:gridCol w:w="467"/>
        <w:gridCol w:w="650"/>
        <w:gridCol w:w="2283"/>
        <w:gridCol w:w="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80" w:hRule="atLeast"/>
          <w:jc w:val="center"/>
        </w:trPr>
        <w:tc>
          <w:tcPr>
            <w:tcW w:w="8288" w:type="dxa"/>
            <w:gridSpan w:val="8"/>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default" w:ascii="黑体" w:hAnsi="宋体" w:eastAsia="黑体" w:cs="黑体"/>
                <w:b/>
                <w:bCs/>
                <w:i w:val="0"/>
                <w:iCs w:val="0"/>
                <w:snapToGrid w:val="0"/>
                <w:color w:val="000000"/>
                <w:kern w:val="0"/>
                <w:sz w:val="20"/>
                <w:szCs w:val="20"/>
                <w:u w:val="none"/>
                <w:lang w:val="en-US" w:eastAsia="zh-CN" w:bidi="ar"/>
              </w:rPr>
            </w:pPr>
            <w:r>
              <w:rPr>
                <w:rFonts w:hint="eastAsia" w:ascii="黑体" w:hAnsi="宋体" w:eastAsia="黑体" w:cs="黑体"/>
                <w:b/>
                <w:bCs/>
                <w:i w:val="0"/>
                <w:iCs w:val="0"/>
                <w:snapToGrid w:val="0"/>
                <w:color w:val="000000"/>
                <w:kern w:val="0"/>
                <w:sz w:val="24"/>
                <w:szCs w:val="24"/>
                <w:u w:val="none"/>
                <w:lang w:val="en-US" w:eastAsia="zh-CN" w:bidi="ar"/>
              </w:rPr>
              <w:t>七夕节主题活动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ascii="黑体" w:hAnsi="宋体" w:eastAsia="黑体" w:cs="黑体"/>
                <w:b/>
                <w:bCs/>
                <w:i w:val="0"/>
                <w:iCs w:val="0"/>
                <w:color w:val="000000"/>
                <w:sz w:val="20"/>
                <w:szCs w:val="20"/>
                <w:u w:val="none"/>
              </w:rPr>
            </w:pPr>
            <w:r>
              <w:rPr>
                <w:rFonts w:hint="eastAsia" w:ascii="黑体" w:hAnsi="宋体" w:eastAsia="黑体" w:cs="黑体"/>
                <w:b/>
                <w:bCs/>
                <w:i w:val="0"/>
                <w:iCs w:val="0"/>
                <w:snapToGrid w:val="0"/>
                <w:color w:val="000000"/>
                <w:kern w:val="0"/>
                <w:sz w:val="20"/>
                <w:szCs w:val="20"/>
                <w:u w:val="none"/>
                <w:lang w:val="en-US" w:eastAsia="zh-CN" w:bidi="ar"/>
              </w:rPr>
              <w:t>序号</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snapToGrid w:val="0"/>
                <w:color w:val="000000"/>
                <w:kern w:val="0"/>
                <w:sz w:val="20"/>
                <w:szCs w:val="20"/>
                <w:u w:val="none"/>
                <w:lang w:val="en-US" w:eastAsia="zh-CN" w:bidi="ar"/>
              </w:rPr>
              <w:t>项目名称</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snapToGrid w:val="0"/>
                <w:color w:val="000000"/>
                <w:kern w:val="0"/>
                <w:sz w:val="20"/>
                <w:szCs w:val="20"/>
                <w:u w:val="none"/>
                <w:lang w:val="en-US" w:eastAsia="zh-CN" w:bidi="ar"/>
              </w:rPr>
              <w:t>单位</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snapToGrid w:val="0"/>
                <w:color w:val="000000"/>
                <w:kern w:val="0"/>
                <w:sz w:val="20"/>
                <w:szCs w:val="20"/>
                <w:u w:val="none"/>
                <w:lang w:val="en-US" w:eastAsia="zh-CN" w:bidi="ar"/>
              </w:rPr>
              <w:t>天</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snapToGrid w:val="0"/>
                <w:color w:val="000000"/>
                <w:kern w:val="0"/>
                <w:sz w:val="20"/>
                <w:szCs w:val="20"/>
                <w:u w:val="none"/>
                <w:lang w:val="en-US" w:eastAsia="zh-CN" w:bidi="ar"/>
              </w:rPr>
              <w:t>数量</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snapToGrid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一</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七夕喜文化部分</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通婚说亲场景-开道旗</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highlight w:val="none"/>
                <w:u w:val="none"/>
              </w:rPr>
            </w:pPr>
            <w:r>
              <w:rPr>
                <w:rFonts w:hint="eastAsia" w:ascii="黑体" w:hAnsi="宋体" w:eastAsia="黑体" w:cs="黑体"/>
                <w:i w:val="0"/>
                <w:iCs w:val="0"/>
                <w:snapToGrid w:val="0"/>
                <w:color w:val="000000"/>
                <w:kern w:val="0"/>
                <w:sz w:val="18"/>
                <w:szCs w:val="18"/>
                <w:highlight w:val="none"/>
                <w:u w:val="none"/>
                <w:lang w:val="en-US" w:eastAsia="zh-CN" w:bidi="ar"/>
              </w:rPr>
              <w:t>（20人内，3个人）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开道锣</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面</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highlight w:val="none"/>
                <w:u w:val="none"/>
              </w:rPr>
            </w:pPr>
            <w:r>
              <w:rPr>
                <w:rFonts w:hint="eastAsia" w:ascii="黑体" w:hAnsi="宋体" w:eastAsia="黑体" w:cs="黑体"/>
                <w:i w:val="0"/>
                <w:iCs w:val="0"/>
                <w:snapToGrid w:val="0"/>
                <w:color w:val="000000"/>
                <w:kern w:val="0"/>
                <w:sz w:val="18"/>
                <w:szCs w:val="18"/>
                <w:highlight w:val="none"/>
                <w:u w:val="none"/>
                <w:lang w:val="en-US" w:eastAsia="zh-CN" w:bidi="ar"/>
              </w:rPr>
              <w:t>（20人内，2个人）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座伞</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highlight w:val="none"/>
                <w:u w:val="none"/>
              </w:rPr>
            </w:pPr>
            <w:r>
              <w:rPr>
                <w:rFonts w:hint="eastAsia" w:ascii="黑体" w:hAnsi="宋体" w:eastAsia="黑体" w:cs="黑体"/>
                <w:i w:val="0"/>
                <w:iCs w:val="0"/>
                <w:snapToGrid w:val="0"/>
                <w:color w:val="000000"/>
                <w:kern w:val="0"/>
                <w:sz w:val="18"/>
                <w:szCs w:val="18"/>
                <w:highlight w:val="none"/>
                <w:u w:val="none"/>
                <w:lang w:val="en-US" w:eastAsia="zh-CN" w:bidi="ar"/>
              </w:rPr>
              <w:t>（20人内，2个人）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掌扇</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highlight w:val="none"/>
                <w:u w:val="none"/>
              </w:rPr>
            </w:pPr>
            <w:r>
              <w:rPr>
                <w:rFonts w:hint="eastAsia" w:ascii="黑体" w:hAnsi="宋体" w:eastAsia="黑体" w:cs="黑体"/>
                <w:i w:val="0"/>
                <w:iCs w:val="0"/>
                <w:snapToGrid w:val="0"/>
                <w:color w:val="000000"/>
                <w:kern w:val="0"/>
                <w:sz w:val="18"/>
                <w:szCs w:val="18"/>
                <w:highlight w:val="none"/>
                <w:u w:val="none"/>
                <w:lang w:val="en-US" w:eastAsia="zh-CN" w:bidi="ar"/>
              </w:rPr>
              <w:t>（20人内，4个人）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民乐响器（鼓、镲、唢呐、苼）演奏人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喜字迎亲牌</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4个人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八抬大轿造型布景</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8个人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活动现场主持人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王婆或彭员外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八旗寻宝-沙子</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吨</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6吨沙子含运输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八旗寻宝-玻璃瓶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八旗寻宝-宝石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杨木杆</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一组4根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蹴鞠游戏球+球门带配重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一天4球、2组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场地白线贴</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含每天更新替换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射箭道具靶心架+靶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射箭道具箭*6+弓*1+护臂</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含损耗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跨火盆及盆架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马鞍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包装好的喜糖</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多点位演艺人员劳务费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演员住宿费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演员餐费+导演</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演员日常交通费+往返大交通</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highlight w:val="none"/>
                <w:u w:val="none"/>
                <w:lang w:val="en-US" w:eastAsia="zh-CN" w:bidi="ar"/>
              </w:rPr>
            </w:pPr>
            <w:r>
              <w:rPr>
                <w:rFonts w:hint="eastAsia" w:ascii="黑体" w:hAnsi="宋体" w:eastAsia="黑体" w:cs="黑体"/>
                <w:i w:val="0"/>
                <w:iCs w:val="0"/>
                <w:snapToGrid w:val="0"/>
                <w:color w:val="000000"/>
                <w:kern w:val="0"/>
                <w:sz w:val="18"/>
                <w:szCs w:val="18"/>
                <w:highlight w:val="none"/>
                <w:u w:val="none"/>
                <w:lang w:val="en-US" w:eastAsia="zh-CN" w:bidi="ar"/>
              </w:rPr>
              <w:t>日常交通费</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往返大交通机票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演出服装租赁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活动策划导演</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现场执行人员与统筹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点位引导与活动指导老师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二</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怀柔生活集市</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16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非遗手作体验老师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满族剪纸、满族书法、中国节编织/手绳编织、高两河彩绘、杨门浆水豆腐制作、怀柔风景扇面、满族刺绣、北京雕漆、焦家浸烙葫芦、蓝染、景泰蓝掐丝工艺、插花撒技法等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主视觉-3.5m*5m黑白布写真喷绘展板搭建（防风斜支撑+配重）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72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木质广告牌-木质，双面裱写真带配重（2*0.8，月下歌会4个，市集6个，走秀区域10个，暂定）</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注水防风配重-5米注水道旗（含旗帜布双面画面制作）</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写真KT制作-展位写真KT主题门楣定制（3*3帐篷用，3*0.5米）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地贴-加厚写真地贴制作（各展示区指引，1.2*1.8米）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张</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帐篷搭建-3*3米市集帐篷</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长条桌+白色桌布（1.2米*60公分，每个帐篷2张桌子）</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张</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白色折叠椅（每个帐篷6把桌子）</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240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4个配电主闸箱+主线电缆走线</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延长线至集市与活动区域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线路过线板（暂定）</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86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所有帐篷展位配备一个荷载500W的电源插板+LED照明灯光（国标护套线+认证强电施工人员）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点位</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配合景区夜经济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户外降温水雾机（220V水雾风扇，450W）</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点位</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帐篷户外配重沙袋或方砖</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一组帐篷2套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72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设计费用：活动区域搭建+设计效果陈列+平面内容设计+怀柔主题展示内容设计</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三</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敛巧饭区域</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敛巧饭户外铝合金折叠户外方桌</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张</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一桌能坐4人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敛巧饭户外户外休闲座椅</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遮阳伞-侧屈臂遮阳伞（2.5*2.5米）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活动点位安保</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每个点位2人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96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活动期间餐费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非遗老师10人</w:t>
            </w:r>
          </w:p>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点位指导老师20人</w:t>
            </w:r>
          </w:p>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现场执行人员6人</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安保人员20人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灭火器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四</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长城会客厅+开幕式</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怀柔人讲怀柔故事嘉宾劳务费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舞台搭建-常规舞台搭建，2*2米*4个</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含照片与书籍陈列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遮阳伞-侧屈臂遮阳伞（2.5*2.5米）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印第安帐篷-12.5米*7米高度TP户外帐篷搭建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顶</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蛋卷桌-木质户外桌</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张</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克米特椅-户外休闲椅</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86寸户外立式液晶电视</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冷餐与茶歇</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含运输与现场制作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现场服务员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现场氛围鲜花+陈列与摆台</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伴手礼-怀柔礼物</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现场搭建与搬运工人劳务</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现场搭建与撤展，含夜间施工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厢式货车往返运输费用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次</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现场陈列师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嘉宾邀约-主讲嘉宾邀约与劳务费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行业内企业家分享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平面设计-主视觉及嘉宾介绍图(LED屏幕播放）+开幕式平面视觉</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开幕式现场文字速录</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活动现场主持人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彩排一天，现场1天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VIP嘉宾邀约与一对一服务</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现场英文翻译</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现场法语翻译</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开幕式大屏-专业播控人员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音响师-专业调音人员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舞台搭建-常规舞台搭建，3*12米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地毯铺设-拉绒舞台地毯，12*3.5米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领导沙发-白色嘉宾沙发</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茶几-白色茶几配套</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木质讲台+主题包装（KT板）</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标准宴会椅+白色椅套</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主持人手卡，250克铜版纸</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张</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250克铜版纸，A4三折，可固定粘贴</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写真车贴</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主题麦克标定制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欢迎背板-黑白布写真喷绘展板搭建（防风斜支撑+配重）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签到背板-黑白布写真喷绘展板搭建（防风斜支撑+配重）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音响系统-数字调音台迈达斯 MIDAS  M32 LIVE+DL32 接口箱</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音响系统-线阵全频音箱声扬  ZSOUND LA110</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音响系统-线阵低音音箱声扬  ZSOUND LA110s</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音响系统-返送-全频音箱声扬 ZSOUND M12</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音响系统-音频工作站系统音频线材 信号放大、信号隔离+供电系统</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音响系统-手持式-无线话筒SENNHEISER   E100G4-835</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音响系统-话筒天线放大器MIPRO 99A</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音响系统-音乐播放MAC BOOK Pro</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音响系统-周边辅助设备及线材主线电缆及信号线等周边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视频部分-户外 LED大屏P3【4m×12m 】</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48</w:t>
            </w:r>
          </w:p>
        </w:tc>
        <w:tc>
          <w:tcPr>
            <w:tcW w:w="2283" w:type="dxa"/>
            <w:tcBorders>
              <w:top w:val="single" w:color="000000" w:sz="4" w:space="0"/>
              <w:left w:val="single" w:color="000000" w:sz="4" w:space="0"/>
              <w:bottom w:val="nil"/>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5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视频部分-屏幕两侧围挡结构及搭建配重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6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多媒体播放服务器-Hirender-S3</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56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电力系统及配套-配电柜 动力线 监视器，光纤等</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劳务-设备的安装 拆卸、装卸车 </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人/班</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中间缆车平台经停换乘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66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结构部分- Layer H4m×L12m×W4m 1组</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配重水箱-2吨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人工-2个班次，装台+撤场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厢式货车往返运输费用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车</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现场安保人员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103</w:t>
            </w:r>
          </w:p>
        </w:tc>
        <w:tc>
          <w:tcPr>
            <w:tcW w:w="3785"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现场活动统筹</w:t>
            </w:r>
          </w:p>
        </w:tc>
        <w:tc>
          <w:tcPr>
            <w:tcW w:w="533" w:type="dxa"/>
            <w:gridSpan w:val="2"/>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nil"/>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现场人员餐费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23</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灭火器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消电检报告</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邀约嘉宾住宿费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住宿费（主持人+翻译+现场人员）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五</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长城时尚秀</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3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音响师-专业调音人员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木质T台-100米*3.5米，异型定制木结构（数量预估）</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350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走秀主视觉-主题背板-木质裱写真3米*4米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76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背板-带轮子-上场口主背景开合-3.5*4（一个主板 两个耳板带轮子滑轨）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0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观秀坐席-白色土司椅-PU皮400*400*450高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logo定制-秀场主视觉发光字-木质标写真+发光字，尺寸待定</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定制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人工-劳务-装台+撤场+搬运</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厢式货车往返运输费用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车</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音响系统-数字调音台迈达斯 MIDAS  M32 LIVE+DL32 接口箱</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音响系统-线阵全频音箱声扬  ZSOUND LA110</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音响系统-线阵低音音箱声扬  ZSOUND LA110s</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音响系统-返送-全频音箱声扬 ZSOUND M12</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音响系统-音频工作站系统音频线材 信号放大、信号隔离+供电系统</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音响系统-手持式-无线话筒SENNHEISER   E100G4-835</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音响系统-话筒天线放大器MIPRO 99A</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9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音响系统-音乐播放MAC BOOK Pro</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音响系统-周边辅助设备及线材主线电缆及信号线等周边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snapToGrid w:val="0"/>
                <w:color w:val="000000"/>
                <w:kern w:val="0"/>
                <w:sz w:val="20"/>
                <w:szCs w:val="20"/>
                <w:u w:val="none"/>
                <w:lang w:val="en-US" w:eastAsia="zh-CN" w:bidi="ar"/>
              </w:rPr>
              <w:t>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大秀导演</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大秀执行导演</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后台统筹+项目统筹+模特统筹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现场音效制作1人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16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模特40人*2天（彩排一天）</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国内A+以上模特（含活动前一天彩排与当天时装秀），A+模特，身高175以上女模，体重不超过55kg，含外模，男模不超过70kg，身高185以上；含外籍模特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服装师4人*2天（彩排一天）</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含版师现场修改、缝纫师与服装搭配设计师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穿衣工20人*2天（彩排一天）</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非遗传承人绣娘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非遗传承人交通费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snapToGrid w:val="0"/>
                <w:color w:val="000000"/>
                <w:kern w:val="0"/>
                <w:sz w:val="18"/>
                <w:szCs w:val="18"/>
                <w:highlight w:val="none"/>
                <w:u w:val="none"/>
                <w:lang w:val="en-US" w:eastAsia="zh-CN" w:bidi="ar"/>
              </w:rPr>
            </w:pPr>
            <w:r>
              <w:rPr>
                <w:rFonts w:hint="eastAsia" w:ascii="黑体" w:hAnsi="宋体" w:eastAsia="黑体" w:cs="黑体"/>
                <w:i w:val="0"/>
                <w:iCs w:val="0"/>
                <w:snapToGrid w:val="0"/>
                <w:color w:val="000000"/>
                <w:kern w:val="0"/>
                <w:sz w:val="18"/>
                <w:szCs w:val="18"/>
                <w:highlight w:val="none"/>
                <w:u w:val="none"/>
                <w:lang w:val="en-US" w:eastAsia="zh-CN" w:bidi="ar"/>
              </w:rPr>
              <w:t>日常交通费</w:t>
            </w:r>
          </w:p>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往返大交通机票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北方游牧民族呼麦演员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服装成本（干洗、修改、挂烫、分类）</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配饰（发饰，皮带，鞋靴等）租赁费用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138</w:t>
            </w:r>
          </w:p>
        </w:tc>
        <w:tc>
          <w:tcPr>
            <w:tcW w:w="3785"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织布机租赁（含运费）</w:t>
            </w:r>
          </w:p>
        </w:tc>
        <w:tc>
          <w:tcPr>
            <w:tcW w:w="533" w:type="dxa"/>
            <w:gridSpan w:val="2"/>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nil"/>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化妆师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含吹风机、电卷棒、直发棒等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衣架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龙门架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挂烫机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针线包</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住宿费秀导</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住宿费（导演团队+模特+化妆师+服装师）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69</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餐费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现场安保人员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人工-劳务-装台+撤场+搬运</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厢式货车往返运输费用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车</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六</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月下歌会部分</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项目统筹执行*现场执行</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大屏技术-专业播控人员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灯光师-专业灯控人员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音响师-专业调音人员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舞台-专业雷亚舞台，10*4*0.6米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地毯-拉绒舞台地毯，12*5米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台阶-舞台台阶（钢木材质）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灯带-台阶柔光灯带（铝合金灯槽+安装）</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吊装大型线性阵列音响-数字调音台MIDAS  M32 LIVE</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吊装大型线性阵列音响-线阵全频音箱声扬  ZSOUND LA110</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吊装大型线性阵列音响-线阵低音音箱-声扬  ZSOUND LA110s</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吊装大型线性阵列音响-返送音箱-声扬  ZSOUND M12</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吊装大型线性阵列音响-手持式-无线话筒-SENNHEISER   E100G4-835</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吊装大型线性阵列音响-话筒天线放大器-MIPRO 99A</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吊装大型线性阵列音响-音频缆车-24通道双向通信100米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吊装大型线性阵列音响-音乐播放-双CD,或笔记本电脑</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吊装大型线性阵列音响-话筒支架-音王D18</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吊装大型线性阵列音响-周边辅助设备-均衡器、压限器、反馈抑制器等</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吊装大型线性阵列音响-音频设备线材</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音响套外增加-中置音箱JBL   SRX715</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音响套外增加-返送音箱-声扬  ZSOUND M12</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音响套外增加-线阵低音音箱-声扬  ZSOUND 118</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音响套外增加-头戴式-无线话筒-MIPRO  727/MU5</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192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音响套外增加-乐器话筒鼓麦-SHURE   1 x PGA52 心形动圈底鼓话筒</w:t>
            </w:r>
          </w:p>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SHURE   2 x PGA56 心形动圈军鼓/通鼓话筒</w:t>
            </w:r>
          </w:p>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SHURE   1 x PGA57 心形动圈乐器话筒</w:t>
            </w:r>
          </w:p>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SHURE   2 x PGA81 心形电容乐器话筒</w:t>
            </w:r>
          </w:p>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SHURE   3 x A25D 话筒夹</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SHURE   2 x AP56DM鼓边框支架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支</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0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音响套外增加-线阵吊装结构-葫芦+吊装架+防雨布</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音响劳务-设备的安装1个班次、拆卸 1个班次+装卸车 </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人/班</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2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视频部分-户外 LED大屏幕P3【10m*5m】</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视频部分-户外 LED大屏幕P3【0.5m×5mx12】</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视频部分-户外 LED大屏幕P3【3m×4mx2】</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179</w:t>
            </w:r>
          </w:p>
        </w:tc>
        <w:tc>
          <w:tcPr>
            <w:tcW w:w="3785" w:type="dxa"/>
            <w:tcBorders>
              <w:top w:val="single" w:color="000000" w:sz="4" w:space="0"/>
              <w:left w:val="single" w:color="000000" w:sz="4" w:space="0"/>
              <w:bottom w:val="nil"/>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视频部分-4K视频-控制台MIG-H8 </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nil"/>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视频部分-4K视频-处理器MIG-V8 </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视频部分-多媒体播放服务器-Hirender-S3</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视频部分-返视（提词器）-50寸</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视频部分-电力系统及配套-配电柜 动力线 监视器，光纤等</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视频部分-大屏劳务-设备的安装 拆卸、装卸车 （8小时为一班）</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人/班</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视频部分-AV设备往返运输-4.2米的箱式货车</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车</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灯光部分-进口-数字调光台-GRAND  MA2 ligh +NPU备份系统</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灯光部分-高亮度-电脑切割灯-明道  GTD-1500 II PROFILE</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灯光部分-超高亮度-LED 染色灯-明道 GTD-654P</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灯光部分-高亮度-光束电脑灯-明道 GTD-380II</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灯光部分-超高亮度-LED 染色灯-明道 GTD-654P</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灯光部分-LED频闪灯108颗全彩（长50cm）</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灯光部分-高亮度-光束电脑灯-明道 GTD-380II</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灯光部分-超高亮度-LED 染色面光灯-明道 GTD-654P</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灯光部分-雾机+风扇安特利ANTARI  HZ500</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灯光部分-电子冷焰火-3米高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灯光部分-气柱烟机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灯光部分-灯光配电系统含数字硅箱，直放柜，信号放大器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灯光部分-灯光劳务-设备的安装2个班次、拆卸 1个班次+装卸车 </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人/班</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leyer-主结构-主背景H7m×L10m×W4m 1组</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350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leyer  主结构-两侧-H7m×L4m×W4m  2组</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 Layer 面光-H8m×L4m×W4m 2组</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配重水箱-2吨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网布-10+8+8+5+5高4米</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人工-2个班次，装台+撤场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厢式货车往返运输费用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车</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电音乐队-主唱、键盘、贝斯、鼓手等专业乐队组合劳务（演出时长90分钟）</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七</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媒体宣传</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新媒体平台发布30家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次</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活动预热与活动中期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现场kol到访20位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活动预热与活动中期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新闻媒体报道30家新闻媒体在活动前期中期后期进行宣传推广</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家</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活动预热与活动中期，含往返交通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96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《依文集团》微信推文（活动前期及活动过程在微信公账号进行活动宣传）（2篇推送文稿，每稿需要2人设计、撰写排版。）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次</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活动预热与活动中期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视觉导演长城秀场与入口区域</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高级摄影师长城秀场-摄影机 / Camera 1DX-3*2</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首席摄影师长城秀场+开幕式</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航拍，山上+山下（含机器）</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视频拍摄（含机器），山上+山下</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图片直播与高级摄影师（4人）山下</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图片后期处理修图（2人）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视频剪辑正片3min</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视频剪辑花絮+先导片+预热+中期宣传共计5个视频</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八</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其他费用</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220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工作证（嘉宾+翻译+主持人+参展商+模特+演员+导演团队+搭建等）</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221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矿泉水（农夫山泉瓶装水）</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瓶</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222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活动当天工作人员劳务（接待人员、引导人员）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snapToGrid w:val="0"/>
                <w:color w:val="000000"/>
                <w:kern w:val="0"/>
                <w:sz w:val="18"/>
                <w:szCs w:val="18"/>
                <w:u w:val="none"/>
                <w:lang w:val="en-US" w:eastAsia="zh-CN" w:bidi="ar"/>
              </w:rPr>
            </w:pP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snapToGrid w:val="0"/>
                <w:color w:val="000000"/>
                <w:kern w:val="0"/>
                <w:sz w:val="18"/>
                <w:szCs w:val="18"/>
                <w:u w:val="none"/>
                <w:lang w:val="en-US" w:eastAsia="zh-CN" w:bidi="ar"/>
              </w:rPr>
            </w:pP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snapToGrid w:val="0"/>
                <w:color w:val="000000"/>
                <w:kern w:val="0"/>
                <w:sz w:val="18"/>
                <w:szCs w:val="18"/>
                <w:u w:val="none"/>
                <w:lang w:val="en-US" w:eastAsia="zh-CN" w:bidi="ar"/>
              </w:rPr>
            </w:pP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snapToGrid w:val="0"/>
                <w:color w:val="000000"/>
                <w:kern w:val="0"/>
                <w:sz w:val="18"/>
                <w:szCs w:val="18"/>
                <w:u w:val="none"/>
                <w:lang w:val="en-US" w:eastAsia="zh-CN" w:bidi="ar"/>
              </w:rPr>
            </w:pP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500" w:hRule="atLeast"/>
          <w:jc w:val="center"/>
        </w:trPr>
        <w:tc>
          <w:tcPr>
            <w:tcW w:w="8288" w:type="dxa"/>
            <w:gridSpan w:val="8"/>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default" w:ascii="黑体" w:hAnsi="宋体" w:eastAsia="黑体" w:cs="黑体"/>
                <w:i w:val="0"/>
                <w:iCs w:val="0"/>
                <w:snapToGrid w:val="0"/>
                <w:color w:val="000000"/>
                <w:kern w:val="0"/>
                <w:sz w:val="20"/>
                <w:szCs w:val="20"/>
                <w:u w:val="none"/>
                <w:lang w:val="en-US" w:eastAsia="zh-CN" w:bidi="ar"/>
              </w:rPr>
            </w:pPr>
            <w:r>
              <w:rPr>
                <w:rFonts w:hint="eastAsia" w:ascii="黑体" w:hAnsi="宋体" w:eastAsia="黑体" w:cs="黑体"/>
                <w:b/>
                <w:bCs/>
                <w:i w:val="0"/>
                <w:iCs w:val="0"/>
                <w:snapToGrid w:val="0"/>
                <w:color w:val="000000"/>
                <w:kern w:val="0"/>
                <w:sz w:val="20"/>
                <w:szCs w:val="20"/>
                <w:u w:val="none"/>
                <w:lang w:val="en-US" w:eastAsia="zh-CN" w:bidi="ar"/>
              </w:rPr>
              <w:t>中秋主题活动-多布营地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50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ascii="黑体" w:hAnsi="宋体" w:eastAsia="黑体" w:cs="黑体"/>
                <w:i w:val="0"/>
                <w:iCs w:val="0"/>
                <w:color w:val="000000"/>
                <w:sz w:val="20"/>
                <w:szCs w:val="20"/>
                <w:u w:val="none"/>
              </w:rPr>
            </w:pPr>
            <w:r>
              <w:rPr>
                <w:rFonts w:hint="eastAsia" w:ascii="黑体" w:hAnsi="宋体" w:eastAsia="黑体" w:cs="黑体"/>
                <w:i w:val="0"/>
                <w:iCs w:val="0"/>
                <w:snapToGrid w:val="0"/>
                <w:color w:val="000000"/>
                <w:kern w:val="0"/>
                <w:sz w:val="20"/>
                <w:szCs w:val="20"/>
                <w:u w:val="none"/>
                <w:lang w:val="en-US" w:eastAsia="zh-CN" w:bidi="ar"/>
              </w:rPr>
              <w:t>序号</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snapToGrid w:val="0"/>
                <w:color w:val="000000"/>
                <w:kern w:val="0"/>
                <w:sz w:val="20"/>
                <w:szCs w:val="20"/>
                <w:u w:val="none"/>
                <w:lang w:val="en-US" w:eastAsia="zh-CN" w:bidi="ar"/>
              </w:rPr>
              <w:t>项目名称</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snapToGrid w:val="0"/>
                <w:color w:val="000000"/>
                <w:kern w:val="0"/>
                <w:sz w:val="20"/>
                <w:szCs w:val="20"/>
                <w:u w:val="none"/>
                <w:lang w:val="en-US" w:eastAsia="zh-CN" w:bidi="ar"/>
              </w:rPr>
              <w:t>单位</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snapToGrid w:val="0"/>
                <w:color w:val="000000"/>
                <w:kern w:val="0"/>
                <w:sz w:val="20"/>
                <w:szCs w:val="20"/>
                <w:u w:val="none"/>
                <w:lang w:val="en-US" w:eastAsia="zh-CN" w:bidi="ar"/>
              </w:rPr>
              <w:t>天</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snapToGrid w:val="0"/>
                <w:color w:val="000000"/>
                <w:kern w:val="0"/>
                <w:sz w:val="20"/>
                <w:szCs w:val="20"/>
                <w:u w:val="none"/>
                <w:lang w:val="en-US" w:eastAsia="zh-CN" w:bidi="ar"/>
              </w:rPr>
              <w:t>数量</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snapToGrid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一</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开场视频制作、活动图片直播及视频拍摄</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创意开场视频后期包装制作1人2天</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含活动预热与彩排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开场视频变装演员1人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化妆师1人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创意视频拍摄（含机器）2人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创意视频灯光布景3人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创意开场视频编导脚本策划</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创意开场视频音频剪辑</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72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活动当天视频拍摄4人（含机器，3个固定机位一个流动机位）</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索尼Z280</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228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活动当天图片直播摄影师（4人）含修图、上传、网页维护</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228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二</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现代行为艺术路演与变装舞会</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演员劳务费</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含彩排与活动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演员餐费+导演+化妆师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早餐，午餐，晚餐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演员交通</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演员住宿</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化妆师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演出服装租赁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演出一套，变装一套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w:t>
            </w:r>
          </w:p>
        </w:tc>
        <w:tc>
          <w:tcPr>
            <w:tcW w:w="3785" w:type="dxa"/>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活动策划导演</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彩排一天，演出一天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三</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草坪国潮音乐会</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活动LED高清显示屏（租赁）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40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舞台搭建（租赁）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50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视频处理器Nove（租赁）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拼控处理器Nove Vs7（租赁）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播控系统Hiredner S3（租赁）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信号放大器、小蜜蜂（租赁）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播放苹果笔记本</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面光灯（混合4灯珠 高色温面光）</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8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灯柱（300*300 包黑绒布灯柱）</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功率放大器（P3000）</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小灯光台（数字灯光台）</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调音台（Soundcraft LX7II实况调音台）</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舞台功放（CREST AUDIO 1202 (HI)）</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舞台返送（MRX512）</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音频处理器（型号9848）</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均衡器（ SV3000G2-HFID 应用存储 24盘位）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效果器（MX400）</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椅子租赁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20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黑色椅子与白色椅子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主持人1人*1场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摆台鲜花装饰</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手持麦克风</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37</w:t>
            </w:r>
          </w:p>
        </w:tc>
        <w:tc>
          <w:tcPr>
            <w:tcW w:w="3785" w:type="dxa"/>
            <w:tcBorders>
              <w:top w:val="single" w:color="000000" w:sz="4" w:space="0"/>
              <w:left w:val="single" w:color="000000" w:sz="4" w:space="0"/>
              <w:bottom w:val="nil"/>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鹅颈麦克风</w:t>
            </w:r>
          </w:p>
        </w:tc>
        <w:tc>
          <w:tcPr>
            <w:tcW w:w="533" w:type="dxa"/>
            <w:gridSpan w:val="2"/>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nil"/>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nil"/>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2283" w:type="dxa"/>
            <w:tcBorders>
              <w:top w:val="single" w:color="000000" w:sz="4" w:space="0"/>
              <w:left w:val="single" w:color="000000" w:sz="4" w:space="0"/>
              <w:bottom w:val="nil"/>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活动现场钢琴</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音乐会现场蒲团</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前期统筹&amp;现场执行（活动全程）</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大屏技术-专业播控人员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灯光师-专业灯控人员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音响师-专业调音人员</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民谣主唱歌手</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现场DJ</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贝斯手</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鼓手</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氛围布置草垛</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49</w:t>
            </w:r>
          </w:p>
        </w:tc>
        <w:tc>
          <w:tcPr>
            <w:tcW w:w="3785"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氛围布置塑料烛光灯</w:t>
            </w:r>
          </w:p>
        </w:tc>
        <w:tc>
          <w:tcPr>
            <w:tcW w:w="533" w:type="dxa"/>
            <w:gridSpan w:val="2"/>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60</w:t>
            </w:r>
          </w:p>
        </w:tc>
        <w:tc>
          <w:tcPr>
            <w:tcW w:w="2283" w:type="dxa"/>
            <w:tcBorders>
              <w:top w:val="single" w:color="000000" w:sz="4" w:space="0"/>
              <w:left w:val="single" w:color="000000" w:sz="4" w:space="0"/>
              <w:bottom w:val="nil"/>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氛围布置支架与布幔</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消电检报告</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52</w:t>
            </w:r>
          </w:p>
        </w:tc>
        <w:tc>
          <w:tcPr>
            <w:tcW w:w="3785"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灭火器</w:t>
            </w:r>
          </w:p>
        </w:tc>
        <w:tc>
          <w:tcPr>
            <w:tcW w:w="533" w:type="dxa"/>
            <w:gridSpan w:val="2"/>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四</w:t>
            </w:r>
          </w:p>
        </w:tc>
        <w:tc>
          <w:tcPr>
            <w:tcW w:w="5435" w:type="dxa"/>
            <w:gridSpan w:val="5"/>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怀柔生活集市</w:t>
            </w:r>
          </w:p>
        </w:tc>
        <w:tc>
          <w:tcPr>
            <w:tcW w:w="2283" w:type="dxa"/>
            <w:tcBorders>
              <w:top w:val="nil"/>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活动现场帐篷租赁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活动现场椅子租赁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活动现场长条桌租赁</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张</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非遗手作剪纸与书法老师</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6项非遗体验物料</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份</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800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非遗漆扇与葫芦制作</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手作冰皮月饼与灯笼制作</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怀柔生活活动现场布置悬挂布幔与条幅定制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活动放风三角展架60*90cm（展架+KT板）</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32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宣传物料制作-指引道旗</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13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注水5M旗帜布道旗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61</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工作证（演员、工作人员、嘉宾、安保人员等）</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60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五</w:t>
            </w:r>
          </w:p>
        </w:tc>
        <w:tc>
          <w:tcPr>
            <w:tcW w:w="5435" w:type="dxa"/>
            <w:gridSpan w:val="5"/>
            <w:tcBorders>
              <w:top w:val="single" w:color="000000" w:sz="4" w:space="0"/>
              <w:left w:val="single" w:color="000000" w:sz="4" w:space="0"/>
              <w:bottom w:val="single" w:color="000000" w:sz="4" w:space="0"/>
              <w:right w:val="nil"/>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其他及媒体宣传</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62</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活动现场安保人员劳务</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63</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安保人员及工作人员餐补</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48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64</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布撤场人员（布置1天*20人，撤场1天*10人）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65</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新媒体发布8家</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66</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现场kol 6位</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67</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活动固定摄像1人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68</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活动游机摄像（1人）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69</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活动视频直播1人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70</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活动现场摄影人员1人</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gridAfter w:val="1"/>
          <w:wAfter w:w="22" w:type="dxa"/>
          <w:trHeight w:val="24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71</w:t>
            </w:r>
          </w:p>
        </w:tc>
        <w:tc>
          <w:tcPr>
            <w:tcW w:w="3785" w:type="dxa"/>
            <w:tcBorders>
              <w:top w:val="single" w:color="000000" w:sz="4" w:space="0"/>
              <w:left w:val="single" w:color="000000" w:sz="4" w:space="0"/>
              <w:bottom w:val="nil"/>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快剪和预热视频2个</w:t>
            </w:r>
          </w:p>
        </w:tc>
        <w:tc>
          <w:tcPr>
            <w:tcW w:w="533" w:type="dxa"/>
            <w:gridSpan w:val="2"/>
            <w:tcBorders>
              <w:top w:val="single" w:color="000000" w:sz="4" w:space="0"/>
              <w:left w:val="single" w:color="000000" w:sz="4" w:space="0"/>
              <w:bottom w:val="nil"/>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nil"/>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nil"/>
              <w:right w:val="single" w:color="000000" w:sz="4" w:space="0"/>
            </w:tcBorders>
            <w:shd w:val="clear" w:color="auto" w:fill="FFFFFF" w:themeFill="background1"/>
            <w:noWrap/>
            <w:vAlign w:val="bottom"/>
          </w:tcPr>
          <w:p>
            <w:pPr>
              <w:keepNext w:val="0"/>
              <w:keepLines w:val="0"/>
              <w:widowControl/>
              <w:suppressLineNumbers w:val="0"/>
              <w:jc w:val="center"/>
              <w:textAlignment w:val="bottom"/>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283" w:type="dxa"/>
            <w:tcBorders>
              <w:top w:val="single" w:color="000000" w:sz="4" w:space="0"/>
              <w:left w:val="single" w:color="000000" w:sz="4" w:space="0"/>
              <w:bottom w:val="nil"/>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 w:type="dxa"/>
          <w:trHeight w:val="300" w:hRule="atLeast"/>
          <w:jc w:val="center"/>
        </w:trPr>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序号</w:t>
            </w:r>
          </w:p>
        </w:tc>
        <w:tc>
          <w:tcPr>
            <w:tcW w:w="37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项目名称</w:t>
            </w:r>
          </w:p>
        </w:tc>
        <w:tc>
          <w:tcPr>
            <w:tcW w:w="53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单位</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数量</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天</w:t>
            </w:r>
          </w:p>
        </w:tc>
        <w:tc>
          <w:tcPr>
            <w:tcW w:w="228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 xml:space="preserve"> 备注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一</w:t>
            </w:r>
          </w:p>
        </w:tc>
        <w:tc>
          <w:tcPr>
            <w:tcW w:w="5535" w:type="dxa"/>
            <w:gridSpan w:val="6"/>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国潮集市场地搭建</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32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场景设计与活动相关平面物料设计</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15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满族书法、帷幔、满族服饰等融合怀柔生活元素的设计构想，含一套图纸；</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主视觉、地贴、展板、怀柔文旅推介内容、平面类宣推物料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基础框架结构</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此处为活动现场圆木结构、现场搭建物辅料、固定等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满族书法类定制布幔</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图案与字体定制，汉字、满文、篆体字三种图形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纹样包柱图案</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京绣、满绣、北方游牧民族刺绣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服装服饰租赁与悬挂</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此处为服装租赁，市场价头饰、配套挂饰、鞋靴等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现场陈列绿植租赁与养护</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复刻怀柔生活长城脚下山水小院风格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大号绿萝</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天堂鸟盆栽</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③</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双层幸福树</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④</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造型竹盆栽</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⑤</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小盆绿植盆栽</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现场陈列道具</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件</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98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现场陈列台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灭火器</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牛皮立式战鼓</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8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实木，牛皮，铁质，含鼓槌2个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4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集市logo牌</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制作木制logo牌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塑料草坪（翠绿色）</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场景布置需要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铁马（2米*1.1米）（租赁）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50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消电检报告</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活动放风三角展架60*90cm（展架+KT板）</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宣传物料制作-指引地贴（区内至活动现场）1m*1m斜纹膜</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工作证（演员、工作人员、嘉宾、安保人员等）</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90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活动现场布置粘贴KT版定制</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长城山水风格造型定制</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8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根据设计图纸进行定制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6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工作人员现场布展与陈列</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6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除自有陈列外，包含怀柔生活品牌布展与陈列，含布展2天、撤展2天、巡展2天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4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活动现场帐篷租赁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6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活动现场椅子租赁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120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活动现场嘉宾与怀柔生活参展商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活动现场长条桌租赁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张</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二</w:t>
            </w:r>
          </w:p>
        </w:tc>
        <w:tc>
          <w:tcPr>
            <w:tcW w:w="5535" w:type="dxa"/>
            <w:gridSpan w:val="6"/>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开集仪式</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活动LED高清显示屏（租赁）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22</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舞台搭建（租赁）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50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以实际场地为准，承重灰白色覆膜地毯，承重60人以上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23</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视频处理器Nove（租赁）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24</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拼控处理器Nove Vs7（租赁）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25</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播控系统Hiredner S3（租赁）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26</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信号放大器、小蜜蜂（租赁）</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27</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播放苹果笔记本</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28</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面光灯（混合4灯珠 高色温面光）</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8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29</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灯柱（300*300 包黑绒布灯柱）</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功率放大器（P3000）</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31</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小灯光台（数字灯光台）</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32</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演讲台KT板（哑光腹膜）</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33</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调音台（Soundcraft LX7II实况调音台）</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34</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舞台功放（CREST AUDIO 1202 (HI)）</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35</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舞台返送（MRX512）</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36</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音频处理器（型号9848）</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6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37</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均衡器（ SV3000G2-HFID 应用存储 24盘位）</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38</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效果器（MX400）</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39</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主持人1人*1场</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摆台鲜花装饰</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41</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手持麦克风</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42</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鹅颈麦克风</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三</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演出团队</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29</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7</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b/>
                <w:bCs/>
                <w:i w:val="0"/>
                <w:iCs w:val="0"/>
                <w:snapToGrid w:val="0"/>
                <w:color w:val="000000"/>
                <w:kern w:val="0"/>
                <w:sz w:val="18"/>
                <w:szCs w:val="18"/>
                <w:u w:val="none"/>
                <w:lang w:val="en-US" w:eastAsia="zh-CN" w:bidi="ar"/>
              </w:rPr>
            </w:pPr>
            <w:r>
              <w:rPr>
                <w:rFonts w:hint="eastAsia" w:ascii="黑体" w:hAnsi="宋体" w:eastAsia="黑体" w:cs="黑体"/>
                <w:b/>
                <w:bCs/>
                <w:i w:val="0"/>
                <w:iCs w:val="0"/>
                <w:snapToGrid w:val="0"/>
                <w:color w:val="000000"/>
                <w:kern w:val="0"/>
                <w:sz w:val="18"/>
                <w:szCs w:val="18"/>
                <w:u w:val="none"/>
                <w:lang w:val="en-US" w:eastAsia="zh-CN" w:bidi="ar"/>
              </w:rPr>
              <w:t>演出时间为开集仪式当天1场彩排，1场演出；国庆7天，每天3场；</w:t>
            </w:r>
          </w:p>
          <w:p>
            <w:pPr>
              <w:keepNext w:val="0"/>
              <w:keepLines w:val="0"/>
              <w:widowControl/>
              <w:suppressLineNumbers w:val="0"/>
              <w:jc w:val="left"/>
              <w:textAlignment w:val="center"/>
              <w:rPr>
                <w:rFonts w:hint="eastAsia" w:ascii="黑体" w:hAnsi="宋体" w:eastAsia="黑体" w:cs="黑体"/>
                <w:b/>
                <w:bCs/>
                <w:i w:val="0"/>
                <w:iCs w:val="0"/>
                <w:snapToGrid w:val="0"/>
                <w:color w:val="000000"/>
                <w:kern w:val="0"/>
                <w:sz w:val="18"/>
                <w:szCs w:val="18"/>
                <w:u w:val="none"/>
                <w:lang w:val="en-US" w:eastAsia="zh-CN" w:bidi="ar"/>
              </w:rPr>
            </w:pPr>
            <w:r>
              <w:rPr>
                <w:rFonts w:hint="eastAsia" w:ascii="黑体" w:hAnsi="宋体" w:eastAsia="黑体" w:cs="黑体"/>
                <w:b/>
                <w:bCs/>
                <w:i w:val="0"/>
                <w:iCs w:val="0"/>
                <w:snapToGrid w:val="0"/>
                <w:color w:val="000000"/>
                <w:kern w:val="0"/>
                <w:sz w:val="18"/>
                <w:szCs w:val="18"/>
                <w:u w:val="none"/>
                <w:lang w:val="en-US" w:eastAsia="zh-CN" w:bidi="ar"/>
              </w:rPr>
              <w:t>时间为上午10:00-11:00;</w:t>
            </w:r>
          </w:p>
          <w:p>
            <w:pPr>
              <w:keepNext w:val="0"/>
              <w:keepLines w:val="0"/>
              <w:widowControl/>
              <w:suppressLineNumbers w:val="0"/>
              <w:jc w:val="left"/>
              <w:textAlignment w:val="center"/>
              <w:rPr>
                <w:rFonts w:hint="eastAsia" w:ascii="黑体" w:hAnsi="宋体" w:eastAsia="黑体" w:cs="黑体"/>
                <w:b/>
                <w:bCs/>
                <w:i w:val="0"/>
                <w:iCs w:val="0"/>
                <w:snapToGrid w:val="0"/>
                <w:color w:val="000000"/>
                <w:kern w:val="0"/>
                <w:sz w:val="18"/>
                <w:szCs w:val="18"/>
                <w:u w:val="none"/>
                <w:lang w:val="en-US" w:eastAsia="zh-CN" w:bidi="ar"/>
              </w:rPr>
            </w:pPr>
            <w:r>
              <w:rPr>
                <w:rFonts w:hint="eastAsia" w:ascii="黑体" w:hAnsi="宋体" w:eastAsia="黑体" w:cs="黑体"/>
                <w:b/>
                <w:bCs/>
                <w:i w:val="0"/>
                <w:iCs w:val="0"/>
                <w:snapToGrid w:val="0"/>
                <w:color w:val="000000"/>
                <w:kern w:val="0"/>
                <w:sz w:val="18"/>
                <w:szCs w:val="18"/>
                <w:u w:val="none"/>
                <w:lang w:val="en-US" w:eastAsia="zh-CN" w:bidi="ar"/>
              </w:rPr>
              <w:t xml:space="preserve">      下午14:00-15:00;</w:t>
            </w:r>
          </w:p>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 xml:space="preserve">      晚上19:30-20:30;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6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42</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青海玉树歌舞团13人</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交通、食宿、劳务</w:t>
            </w:r>
          </w:p>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2位歌手，10位舞蹈人员，1位领队</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含彩排1天，开集仪式1天与国庆引流6天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日常交通</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酒店至演出现场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餐费</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早餐，午餐，晚餐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③</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住宿费</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标间2人同住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④</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劳务费</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43</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满族二魁摔跤劳务费</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日常交通</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现场往返交通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餐费</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早餐，午餐，晚餐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44</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国潮民族歌舞</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日常交通</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现场往返交通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6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餐费</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早餐，午餐，晚餐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四</w:t>
            </w:r>
          </w:p>
        </w:tc>
        <w:tc>
          <w:tcPr>
            <w:tcW w:w="5535" w:type="dxa"/>
            <w:gridSpan w:val="6"/>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现场管理</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现场销售及管理人员</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（含节假日、休息日）</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32</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上班时间为商场营业时间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2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布撤场人员（布置1天*20人，撤场1天*10人）</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30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五</w:t>
            </w:r>
          </w:p>
        </w:tc>
        <w:tc>
          <w:tcPr>
            <w:tcW w:w="5535" w:type="dxa"/>
            <w:gridSpan w:val="6"/>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运杂费-货品出入、调拨、补发、更换（含人工、车辆）</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六</w:t>
            </w:r>
          </w:p>
        </w:tc>
        <w:tc>
          <w:tcPr>
            <w:tcW w:w="5535" w:type="dxa"/>
            <w:gridSpan w:val="6"/>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活动拍摄</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活动固定摄像1人</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活动游机摄像（1人）</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③</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活动视频直播2人</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④</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活动现场摄影人员2人</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图片直播+图片拍摄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⑤</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快剪和预热视频2个</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widowControl/>
              <w:suppressLineNumbers w:val="0"/>
              <w:jc w:val="left"/>
              <w:textAlignment w:val="bottom"/>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七</w:t>
            </w:r>
          </w:p>
        </w:tc>
        <w:tc>
          <w:tcPr>
            <w:tcW w:w="5535" w:type="dxa"/>
            <w:gridSpan w:val="6"/>
            <w:tcBorders>
              <w:top w:val="single" w:color="000000" w:sz="4" w:space="0"/>
              <w:left w:val="single" w:color="000000" w:sz="4" w:space="0"/>
              <w:bottom w:val="single" w:color="000000" w:sz="4" w:space="0"/>
              <w:right w:val="nil"/>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媒体宣传</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现场kol到访传播</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44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3968"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《依文集团》微信推文（活动前期及活动过程在微信公账号进行活动宣传）（2篇推送文稿，每稿需要2人设计、撰写排版。）</w:t>
            </w:r>
          </w:p>
        </w:tc>
        <w:tc>
          <w:tcPr>
            <w:tcW w:w="4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次</w:t>
            </w:r>
          </w:p>
        </w:tc>
        <w:tc>
          <w:tcPr>
            <w:tcW w:w="4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6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2305"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bl>
    <w:p>
      <w:pPr>
        <w:pStyle w:val="50"/>
        <w:keepNext w:val="0"/>
        <w:keepLines w:val="0"/>
        <w:pageBreakBefore w:val="0"/>
        <w:numPr>
          <w:ilvl w:val="0"/>
          <w:numId w:val="0"/>
        </w:numPr>
        <w:kinsoku/>
        <w:wordWrap/>
        <w:overflowPunct/>
        <w:topLinePunct w:val="0"/>
        <w:autoSpaceDE/>
        <w:autoSpaceDN/>
        <w:bidi w:val="0"/>
        <w:adjustRightInd w:val="0"/>
        <w:snapToGrid/>
        <w:spacing w:line="360" w:lineRule="auto"/>
        <w:textAlignment w:val="auto"/>
        <w:rPr>
          <w:rFonts w:hint="default" w:ascii="宋体" w:hAnsi="宋体" w:eastAsia="宋体" w:cs="宋体"/>
          <w:b/>
          <w:bCs/>
          <w:sz w:val="28"/>
          <w:szCs w:val="28"/>
          <w:lang w:val="en-US" w:eastAsia="zh-CN"/>
        </w:rPr>
      </w:pPr>
    </w:p>
    <w:tbl>
      <w:tblPr>
        <w:tblStyle w:val="19"/>
        <w:tblW w:w="83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0" w:type="dxa"/>
          <w:left w:w="108" w:type="dxa"/>
          <w:bottom w:w="0" w:type="dxa"/>
          <w:right w:w="108" w:type="dxa"/>
        </w:tblCellMar>
      </w:tblPr>
      <w:tblGrid>
        <w:gridCol w:w="470"/>
        <w:gridCol w:w="2130"/>
        <w:gridCol w:w="610"/>
        <w:gridCol w:w="530"/>
        <w:gridCol w:w="440"/>
        <w:gridCol w:w="41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8310" w:type="dxa"/>
            <w:gridSpan w:val="6"/>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left" w:pos="1897"/>
              </w:tabs>
              <w:jc w:val="center"/>
              <w:textAlignment w:val="center"/>
              <w:rPr>
                <w:rFonts w:hint="default" w:ascii="黑体" w:hAnsi="宋体" w:eastAsia="黑体" w:cs="黑体"/>
                <w:b/>
                <w:bCs/>
                <w:i w:val="0"/>
                <w:iCs w:val="0"/>
                <w:snapToGrid w:val="0"/>
                <w:color w:val="000000"/>
                <w:kern w:val="0"/>
                <w:sz w:val="24"/>
                <w:szCs w:val="24"/>
                <w:u w:val="none"/>
                <w:lang w:val="en-US" w:eastAsia="zh-CN" w:bidi="ar"/>
              </w:rPr>
            </w:pPr>
            <w:r>
              <w:rPr>
                <w:rFonts w:hint="eastAsia" w:ascii="黑体" w:hAnsi="宋体" w:eastAsia="黑体" w:cs="黑体"/>
                <w:b/>
                <w:bCs/>
                <w:i w:val="0"/>
                <w:iCs w:val="0"/>
                <w:snapToGrid w:val="0"/>
                <w:color w:val="000000"/>
                <w:kern w:val="0"/>
                <w:sz w:val="24"/>
                <w:szCs w:val="24"/>
                <w:u w:val="none"/>
                <w:lang w:val="en-US" w:eastAsia="zh-CN" w:bidi="ar"/>
              </w:rPr>
              <w:t>国庆主题活动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47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序号</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项目名称</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单位</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数量</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天</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 xml:space="preserve"> 备注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一</w:t>
            </w:r>
          </w:p>
        </w:tc>
        <w:tc>
          <w:tcPr>
            <w:tcW w:w="3710"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国潮集市场地搭建</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3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场景设计与活动相关平面物料设计</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15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满族书法、帷幔、满族服饰等融合怀柔生活元素的设计构想，含一套图纸；</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主视觉、地贴、展板、怀柔文旅推介内容、平面类宣推物料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基础框架结构</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此处为活动现场圆木结构、现场搭建物辅料、固定等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满族书法类定制布幔</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图案与字体定制，汉字、满文、篆体字三种图形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纹样包柱图案</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京绣、满绣、北方游牧民族刺绣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服装服饰租赁与悬挂</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此处为服装租赁，市场价头饰、配套挂饰、鞋靴等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现场陈列绿植租赁与养护</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复刻怀柔生活长城脚下山水小院风格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大号绿萝</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天堂鸟盆栽</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③</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双层幸福树</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④</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造型竹盆栽</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⑤</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小盆绿植盆栽</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盆</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31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5</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现场陈列道具</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件</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98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现场陈列台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6</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灭火器</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牛皮立式战鼓</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8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实木，牛皮，铁质，含鼓槌2个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集市logo牌</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制作木制logo牌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9</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塑料草坪（翠绿色）</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场景布置需要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铁马（2米*1.1米）（租赁）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50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11</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消电检报告</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12</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活动放风三角展架60*90cm（展架+KT板）</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宣传物料制作-指引地贴（区内至活动现场）1m*1m斜纹膜</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14</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工作证（演员、工作人员、嘉宾、安保人员等）</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90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15</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活动现场布置粘贴KT版定制</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16</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长城山水风格造型定制</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平方米</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8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根据设计图纸进行定制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17</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工作人员现场布展与陈列</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6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除自有陈列外，包含怀柔生活品牌布展与陈列，含布展2天、撤展2天、巡展2天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18</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活动现场帐篷租赁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19</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活动现场椅子租赁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把</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120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活动现场嘉宾与怀柔生活参展商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20</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活动现场长条桌租赁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张</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32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二</w:t>
            </w:r>
          </w:p>
        </w:tc>
        <w:tc>
          <w:tcPr>
            <w:tcW w:w="3710"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开集仪式</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21</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活动LED高清显示屏（租赁）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22</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舞台搭建（租赁）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平米</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50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以实际场地为准，承重灰白色覆膜地毯，承重60人以上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23</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视频处理器Nove（租赁）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24</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拼控处理器Nove Vs7（租赁）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25</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播控系统Hiredner S3（租赁）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26</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信号放大器、小蜜蜂（租赁）</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项</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27</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播放苹果笔记本</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28</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面光灯（混合4灯珠 高色温面光）</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8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29</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灯柱（300*300 包黑绒布灯柱）</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套</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30</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功率放大器（P3000）</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31</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小灯光台（数字灯光台）</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台</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32</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演讲台KT板（哑光腹膜）</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33</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调音台（Soundcraft LX7II实况调音台）</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34</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舞台功放（CREST AUDIO 1202 (HI)）</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35</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舞台返送（MRX512）</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36</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音频处理器（型号9848）</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37</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均衡器（ SV3000G2-HFID 应用存储 24盘位）</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38</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效果器（MX400）</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39</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主持人1人*1场</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场</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40</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摆台鲜花装饰</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组</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41</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手持麦克风</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42</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鹅颈麦克风</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个</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7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三</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演出团队</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7</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b/>
                <w:bCs/>
                <w:i w:val="0"/>
                <w:iCs w:val="0"/>
                <w:snapToGrid w:val="0"/>
                <w:color w:val="000000"/>
                <w:kern w:val="0"/>
                <w:sz w:val="18"/>
                <w:szCs w:val="18"/>
                <w:u w:val="none"/>
                <w:lang w:val="en-US" w:eastAsia="zh-CN" w:bidi="ar"/>
              </w:rPr>
            </w:pPr>
            <w:r>
              <w:rPr>
                <w:rFonts w:hint="eastAsia" w:ascii="黑体" w:hAnsi="宋体" w:eastAsia="黑体" w:cs="黑体"/>
                <w:b/>
                <w:bCs/>
                <w:i w:val="0"/>
                <w:iCs w:val="0"/>
                <w:snapToGrid w:val="0"/>
                <w:color w:val="000000"/>
                <w:kern w:val="0"/>
                <w:sz w:val="18"/>
                <w:szCs w:val="18"/>
                <w:u w:val="none"/>
                <w:lang w:val="en-US" w:eastAsia="zh-CN" w:bidi="ar"/>
              </w:rPr>
              <w:t>演出时间为开集仪式当天1场彩排，1场演出；国庆7天，每天3场；</w:t>
            </w:r>
          </w:p>
          <w:p>
            <w:pPr>
              <w:keepNext w:val="0"/>
              <w:keepLines w:val="0"/>
              <w:widowControl/>
              <w:suppressLineNumbers w:val="0"/>
              <w:jc w:val="left"/>
              <w:textAlignment w:val="center"/>
              <w:rPr>
                <w:rFonts w:hint="eastAsia" w:ascii="黑体" w:hAnsi="宋体" w:eastAsia="黑体" w:cs="黑体"/>
                <w:b/>
                <w:bCs/>
                <w:i w:val="0"/>
                <w:iCs w:val="0"/>
                <w:snapToGrid w:val="0"/>
                <w:color w:val="000000"/>
                <w:kern w:val="0"/>
                <w:sz w:val="18"/>
                <w:szCs w:val="18"/>
                <w:u w:val="none"/>
                <w:lang w:val="en-US" w:eastAsia="zh-CN" w:bidi="ar"/>
              </w:rPr>
            </w:pPr>
            <w:r>
              <w:rPr>
                <w:rFonts w:hint="eastAsia" w:ascii="黑体" w:hAnsi="宋体" w:eastAsia="黑体" w:cs="黑体"/>
                <w:b/>
                <w:bCs/>
                <w:i w:val="0"/>
                <w:iCs w:val="0"/>
                <w:snapToGrid w:val="0"/>
                <w:color w:val="000000"/>
                <w:kern w:val="0"/>
                <w:sz w:val="18"/>
                <w:szCs w:val="18"/>
                <w:u w:val="none"/>
                <w:lang w:val="en-US" w:eastAsia="zh-CN" w:bidi="ar"/>
              </w:rPr>
              <w:t>时间为上午10:00-11:00;</w:t>
            </w:r>
          </w:p>
          <w:p>
            <w:pPr>
              <w:keepNext w:val="0"/>
              <w:keepLines w:val="0"/>
              <w:widowControl/>
              <w:suppressLineNumbers w:val="0"/>
              <w:jc w:val="left"/>
              <w:textAlignment w:val="center"/>
              <w:rPr>
                <w:rFonts w:hint="eastAsia" w:ascii="黑体" w:hAnsi="宋体" w:eastAsia="黑体" w:cs="黑体"/>
                <w:b/>
                <w:bCs/>
                <w:i w:val="0"/>
                <w:iCs w:val="0"/>
                <w:snapToGrid w:val="0"/>
                <w:color w:val="000000"/>
                <w:kern w:val="0"/>
                <w:sz w:val="18"/>
                <w:szCs w:val="18"/>
                <w:u w:val="none"/>
                <w:lang w:val="en-US" w:eastAsia="zh-CN" w:bidi="ar"/>
              </w:rPr>
            </w:pPr>
            <w:r>
              <w:rPr>
                <w:rFonts w:hint="eastAsia" w:ascii="黑体" w:hAnsi="宋体" w:eastAsia="黑体" w:cs="黑体"/>
                <w:b/>
                <w:bCs/>
                <w:i w:val="0"/>
                <w:iCs w:val="0"/>
                <w:snapToGrid w:val="0"/>
                <w:color w:val="000000"/>
                <w:kern w:val="0"/>
                <w:sz w:val="18"/>
                <w:szCs w:val="18"/>
                <w:u w:val="none"/>
                <w:lang w:val="en-US" w:eastAsia="zh-CN" w:bidi="ar"/>
              </w:rPr>
              <w:t xml:space="preserve">      下午14:00-15:00;</w:t>
            </w:r>
          </w:p>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 xml:space="preserve">      晚上19:30-20:30;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青海玉树歌舞团20人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交通、食宿、劳务</w:t>
            </w:r>
          </w:p>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2位歌手，10位舞蹈人员，1位领队</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含彩排1天，开集仪式1天与国庆引流6天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日常交通</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酒店至演出现场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餐费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早餐，午餐，晚餐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③</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住宿费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标间2人同住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④</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劳务费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7</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满族二魁摔跤劳务费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日常交通</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现场往返交通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餐费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早餐，午餐，晚餐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国潮民族歌舞</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日常交通</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现场往返交通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餐费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highlight w:val="none"/>
                <w:u w:val="none"/>
                <w:lang w:val="en-US" w:eastAsia="zh-CN" w:bidi="ar"/>
              </w:rPr>
              <w:t>早餐，午餐，晚餐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四</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现场管理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snapToGrid w:val="0"/>
                <w:color w:val="000000"/>
                <w:kern w:val="0"/>
                <w:sz w:val="18"/>
                <w:szCs w:val="18"/>
                <w:u w:val="none"/>
                <w:lang w:val="en-US" w:eastAsia="zh-CN" w:bidi="ar"/>
              </w:rPr>
            </w:pPr>
            <w:r>
              <w:rPr>
                <w:rFonts w:hint="eastAsia" w:ascii="黑体" w:hAnsi="宋体" w:eastAsia="黑体" w:cs="黑体"/>
                <w:i w:val="0"/>
                <w:iCs w:val="0"/>
                <w:snapToGrid w:val="0"/>
                <w:color w:val="000000"/>
                <w:kern w:val="0"/>
                <w:sz w:val="18"/>
                <w:szCs w:val="18"/>
                <w:u w:val="none"/>
                <w:lang w:val="en-US" w:eastAsia="zh-CN" w:bidi="ar"/>
              </w:rPr>
              <w:t>现场销售及管理人员</w:t>
            </w:r>
          </w:p>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（含节假日、休息日）</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上班时间为商场营业时间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布撤场人员（布置1天*20人，撤场1天*10人）</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30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4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7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五</w:t>
            </w:r>
          </w:p>
        </w:tc>
        <w:tc>
          <w:tcPr>
            <w:tcW w:w="3710"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运杂费-货品出入、调拨、补发、更换（含人工、车辆）</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六</w:t>
            </w:r>
          </w:p>
        </w:tc>
        <w:tc>
          <w:tcPr>
            <w:tcW w:w="3710" w:type="dxa"/>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活动拍摄</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活动固定摄像1人</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活动游机摄像（1人）</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③</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活动视频直播2人</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5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2 </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④</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活动现场摄影人员2人</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4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图片直播+图片拍摄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⑤</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快剪和预热视频2个</w:t>
            </w:r>
          </w:p>
        </w:tc>
        <w:tc>
          <w:tcPr>
            <w:tcW w:w="6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keepNext w:val="0"/>
              <w:keepLines w:val="0"/>
              <w:widowControl/>
              <w:suppressLineNumbers w:val="0"/>
              <w:jc w:val="left"/>
              <w:textAlignment w:val="bottom"/>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七</w:t>
            </w:r>
          </w:p>
        </w:tc>
        <w:tc>
          <w:tcPr>
            <w:tcW w:w="3710" w:type="dxa"/>
            <w:gridSpan w:val="4"/>
            <w:tcBorders>
              <w:top w:val="single" w:color="000000" w:sz="4" w:space="0"/>
              <w:left w:val="single" w:color="000000" w:sz="4" w:space="0"/>
              <w:bottom w:val="single" w:color="000000" w:sz="4" w:space="0"/>
              <w:right w:val="nil"/>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u w:val="none"/>
              </w:rPr>
            </w:pPr>
            <w:r>
              <w:rPr>
                <w:rFonts w:hint="eastAsia" w:ascii="黑体" w:hAnsi="宋体" w:eastAsia="黑体" w:cs="黑体"/>
                <w:b/>
                <w:bCs/>
                <w:i w:val="0"/>
                <w:iCs w:val="0"/>
                <w:snapToGrid w:val="0"/>
                <w:color w:val="000000"/>
                <w:kern w:val="0"/>
                <w:sz w:val="18"/>
                <w:szCs w:val="18"/>
                <w:u w:val="none"/>
                <w:lang w:val="en-US" w:eastAsia="zh-CN" w:bidi="ar"/>
              </w:rPr>
              <w:t>媒体宣传</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①</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现场kol到访传播</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10</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4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②</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left"/>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《依文集团》微信推文（活动前期及活动过程在微信公账号进行活动宣传）（2篇推送文稿，每稿需要2人设计、撰写排版。）</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2</w:t>
            </w:r>
          </w:p>
        </w:tc>
        <w:tc>
          <w:tcPr>
            <w:tcW w:w="4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snapToGrid w:val="0"/>
                <w:color w:val="000000"/>
                <w:kern w:val="0"/>
                <w:sz w:val="18"/>
                <w:szCs w:val="18"/>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pPr>
              <w:jc w:val="left"/>
              <w:rPr>
                <w:rFonts w:hint="eastAsia" w:ascii="黑体" w:hAnsi="宋体" w:eastAsia="黑体" w:cs="黑体"/>
                <w:i w:val="0"/>
                <w:iCs w:val="0"/>
                <w:color w:val="000000"/>
                <w:sz w:val="18"/>
                <w:szCs w:val="18"/>
                <w:u w:val="none"/>
              </w:rPr>
            </w:pPr>
          </w:p>
        </w:tc>
      </w:tr>
    </w:tbl>
    <w:p>
      <w:pPr>
        <w:tabs>
          <w:tab w:val="left" w:pos="2358"/>
        </w:tabs>
        <w:bidi w:val="0"/>
        <w:jc w:val="left"/>
        <w:rPr>
          <w:rFonts w:hint="eastAsia" w:eastAsia="宋体"/>
          <w:lang w:eastAsia="zh-CN"/>
        </w:rPr>
        <w:sectPr>
          <w:headerReference r:id="rId7" w:type="default"/>
          <w:footerReference r:id="rId8" w:type="default"/>
          <w:pgSz w:w="11907" w:h="16840"/>
          <w:pgMar w:top="1134" w:right="1247" w:bottom="1134" w:left="1247" w:header="851" w:footer="851" w:gutter="0"/>
          <w:pgBorders>
            <w:top w:val="none" w:sz="0" w:space="0"/>
            <w:left w:val="none" w:sz="0" w:space="0"/>
            <w:bottom w:val="none" w:sz="0" w:space="0"/>
            <w:right w:val="none" w:sz="0" w:space="0"/>
          </w:pgBorders>
          <w:pgNumType w:fmt="decimal" w:start="1"/>
          <w:cols w:space="720" w:num="1"/>
          <w:docGrid w:linePitch="462" w:charSpace="0"/>
        </w:sect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拟签订的合同文本</w:t>
      </w:r>
      <w:bookmarkEnd w:id="90"/>
    </w:p>
    <w:p>
      <w:bookmarkStart w:id="91" w:name="_Toc135539126"/>
      <w:bookmarkStart w:id="92" w:name="_Toc487900382"/>
      <w:bookmarkStart w:id="93" w:name="_Toc135537938"/>
    </w:p>
    <w:bookmarkEnd w:id="91"/>
    <w:bookmarkEnd w:id="92"/>
    <w:bookmarkEnd w:id="93"/>
    <w:p>
      <w:pPr>
        <w:spacing w:line="360" w:lineRule="auto"/>
        <w:jc w:val="both"/>
        <w:rPr>
          <w:rFonts w:hint="eastAsia" w:ascii="方正仿宋_GB2312" w:hAnsi="方正仿宋_GB2312" w:eastAsia="方正仿宋_GB2312" w:cs="方正仿宋_GB2312"/>
          <w:b/>
          <w:bCs/>
          <w:color w:val="auto"/>
          <w:sz w:val="28"/>
          <w:szCs w:val="28"/>
          <w:lang w:val="en-US" w:eastAsia="zh-CN"/>
        </w:rPr>
      </w:pPr>
    </w:p>
    <w:p>
      <w:pPr>
        <w:spacing w:line="360" w:lineRule="auto"/>
        <w:jc w:val="both"/>
        <w:rPr>
          <w:rFonts w:hint="default" w:ascii="方正仿宋_GB2312" w:hAnsi="方正仿宋_GB2312" w:eastAsia="方正仿宋_GB2312" w:cs="方正仿宋_GB2312"/>
          <w:b/>
          <w:bCs/>
          <w:color w:val="auto"/>
          <w:sz w:val="48"/>
          <w:szCs w:val="48"/>
          <w:lang w:val="en-US"/>
        </w:rPr>
      </w:pPr>
      <w:r>
        <w:rPr>
          <w:rFonts w:hint="eastAsia" w:ascii="方正仿宋_GB2312" w:hAnsi="方正仿宋_GB2312" w:eastAsia="方正仿宋_GB2312" w:cs="方正仿宋_GB2312"/>
          <w:b/>
          <w:bCs/>
          <w:color w:val="auto"/>
          <w:sz w:val="28"/>
          <w:szCs w:val="28"/>
          <w:lang w:val="en-US" w:eastAsia="zh-CN"/>
        </w:rPr>
        <w:t>合同编号：</w:t>
      </w:r>
      <w:r>
        <w:rPr>
          <w:rFonts w:hint="eastAsia" w:ascii="方正仿宋_GB2312" w:hAnsi="方正仿宋_GB2312" w:eastAsia="方正仿宋_GB2312" w:cs="方正仿宋_GB2312"/>
          <w:b/>
          <w:bCs/>
          <w:color w:val="auto"/>
          <w:sz w:val="28"/>
          <w:szCs w:val="28"/>
          <w:u w:val="single"/>
          <w:lang w:val="en-US" w:eastAsia="zh-CN"/>
        </w:rPr>
        <w:t xml:space="preserve">                     </w:t>
      </w:r>
    </w:p>
    <w:p>
      <w:pPr>
        <w:spacing w:line="360" w:lineRule="auto"/>
        <w:jc w:val="center"/>
        <w:rPr>
          <w:rFonts w:hint="eastAsia" w:ascii="方正仿宋_GB2312" w:hAnsi="方正仿宋_GB2312" w:eastAsia="方正仿宋_GB2312" w:cs="方正仿宋_GB2312"/>
          <w:b/>
          <w:bCs/>
          <w:color w:val="auto"/>
          <w:sz w:val="48"/>
          <w:szCs w:val="48"/>
        </w:rPr>
      </w:pPr>
    </w:p>
    <w:p>
      <w:pPr>
        <w:spacing w:line="360" w:lineRule="auto"/>
        <w:jc w:val="center"/>
        <w:rPr>
          <w:rFonts w:hint="eastAsia" w:ascii="方正仿宋_GB2312" w:hAnsi="方正仿宋_GB2312" w:eastAsia="方正仿宋_GB2312" w:cs="方正仿宋_GB2312"/>
          <w:b/>
          <w:bCs/>
          <w:color w:val="auto"/>
          <w:sz w:val="48"/>
          <w:szCs w:val="48"/>
        </w:rPr>
      </w:pPr>
    </w:p>
    <w:p>
      <w:pPr>
        <w:spacing w:line="360" w:lineRule="auto"/>
        <w:jc w:val="center"/>
        <w:rPr>
          <w:rFonts w:hint="eastAsia" w:ascii="方正仿宋_GB2312" w:hAnsi="方正仿宋_GB2312" w:eastAsia="方正仿宋_GB2312" w:cs="方正仿宋_GB2312"/>
          <w:b/>
          <w:bCs/>
          <w:color w:val="auto"/>
          <w:sz w:val="48"/>
          <w:szCs w:val="48"/>
        </w:rPr>
      </w:pPr>
    </w:p>
    <w:p>
      <w:pPr>
        <w:spacing w:line="360" w:lineRule="auto"/>
        <w:jc w:val="center"/>
        <w:rPr>
          <w:rFonts w:hint="eastAsia" w:ascii="方正仿宋_GB2312" w:hAnsi="方正仿宋_GB2312" w:eastAsia="方正仿宋_GB2312" w:cs="方正仿宋_GB2312"/>
          <w:b/>
          <w:bCs/>
          <w:color w:val="auto"/>
          <w:sz w:val="48"/>
          <w:szCs w:val="48"/>
        </w:rPr>
      </w:pPr>
    </w:p>
    <w:p>
      <w:pPr>
        <w:spacing w:line="360" w:lineRule="auto"/>
        <w:jc w:val="center"/>
        <w:rPr>
          <w:rFonts w:hint="default" w:ascii="方正仿宋_GB2312" w:hAnsi="方正仿宋_GB2312" w:eastAsia="方正仿宋_GB2312" w:cs="方正仿宋_GB2312"/>
          <w:b/>
          <w:bCs/>
          <w:color w:val="auto"/>
          <w:sz w:val="48"/>
          <w:szCs w:val="48"/>
          <w:u w:val="single"/>
          <w:lang w:val="en-US" w:eastAsia="zh-CN"/>
        </w:rPr>
      </w:pPr>
      <w:r>
        <w:rPr>
          <w:rFonts w:hint="eastAsia" w:ascii="方正仿宋_GB2312" w:hAnsi="方正仿宋_GB2312" w:eastAsia="方正仿宋_GB2312" w:cs="方正仿宋_GB2312"/>
          <w:b/>
          <w:bCs/>
          <w:color w:val="auto"/>
          <w:sz w:val="48"/>
          <w:szCs w:val="48"/>
          <w:u w:val="single"/>
          <w:lang w:val="en-US" w:eastAsia="zh-CN"/>
        </w:rPr>
        <w:t xml:space="preserve">                   （服务名称）</w:t>
      </w:r>
    </w:p>
    <w:p>
      <w:pPr>
        <w:spacing w:line="360" w:lineRule="auto"/>
        <w:jc w:val="center"/>
        <w:rPr>
          <w:rFonts w:hint="eastAsia" w:ascii="方正仿宋_GB2312" w:hAnsi="方正仿宋_GB2312" w:eastAsia="方正仿宋_GB2312" w:cs="方正仿宋_GB2312"/>
          <w:b/>
          <w:bCs/>
          <w:sz w:val="28"/>
          <w:szCs w:val="28"/>
        </w:rPr>
      </w:pPr>
    </w:p>
    <w:p>
      <w:pPr>
        <w:spacing w:line="360" w:lineRule="auto"/>
        <w:rPr>
          <w:rFonts w:hint="eastAsia" w:ascii="方正仿宋_GB2312" w:hAnsi="方正仿宋_GB2312" w:eastAsia="方正仿宋_GB2312" w:cs="方正仿宋_GB2312"/>
          <w:sz w:val="28"/>
          <w:szCs w:val="28"/>
        </w:rPr>
      </w:pPr>
    </w:p>
    <w:p>
      <w:pPr>
        <w:rPr>
          <w:rFonts w:hint="eastAsia" w:ascii="方正仿宋_GB2312" w:hAnsi="方正仿宋_GB2312" w:eastAsia="方正仿宋_GB2312" w:cs="方正仿宋_GB2312"/>
          <w:sz w:val="28"/>
          <w:szCs w:val="28"/>
        </w:rPr>
      </w:pPr>
    </w:p>
    <w:p>
      <w:pPr>
        <w:pStyle w:val="2"/>
        <w:rPr>
          <w:rFonts w:hint="eastAsia" w:ascii="方正仿宋_GB2312" w:hAnsi="方正仿宋_GB2312" w:eastAsia="方正仿宋_GB2312" w:cs="方正仿宋_GB2312"/>
          <w:sz w:val="28"/>
          <w:szCs w:val="28"/>
        </w:rPr>
      </w:pPr>
    </w:p>
    <w:p>
      <w:pPr>
        <w:spacing w:line="360" w:lineRule="auto"/>
        <w:ind w:firstLine="1687" w:firstLineChars="600"/>
        <w:rPr>
          <w:rFonts w:hint="eastAsia" w:ascii="方正仿宋_GB2312" w:hAnsi="方正仿宋_GB2312" w:eastAsia="方正仿宋_GB2312" w:cs="方正仿宋_GB2312"/>
          <w:b/>
          <w:bCs/>
          <w:sz w:val="28"/>
          <w:szCs w:val="28"/>
          <w:u w:val="single"/>
          <w:lang w:val="en-US" w:eastAsia="zh-CN"/>
        </w:rPr>
      </w:pPr>
      <w:r>
        <w:rPr>
          <w:rFonts w:hint="eastAsia" w:ascii="方正仿宋_GB2312" w:hAnsi="方正仿宋_GB2312" w:eastAsia="方正仿宋_GB2312" w:cs="方正仿宋_GB2312"/>
          <w:b/>
          <w:bCs/>
          <w:sz w:val="28"/>
          <w:szCs w:val="28"/>
          <w:lang w:val="en-US" w:eastAsia="zh-CN"/>
        </w:rPr>
        <w:t>甲方：</w:t>
      </w:r>
      <w:r>
        <w:rPr>
          <w:rFonts w:hint="eastAsia" w:ascii="方正仿宋_GB2312" w:hAnsi="方正仿宋_GB2312" w:eastAsia="方正仿宋_GB2312" w:cs="方正仿宋_GB2312"/>
          <w:b/>
          <w:bCs/>
          <w:sz w:val="28"/>
          <w:szCs w:val="28"/>
          <w:u w:val="single"/>
          <w:lang w:val="en-US" w:eastAsia="zh-CN"/>
        </w:rPr>
        <w:t xml:space="preserve">                           </w:t>
      </w:r>
    </w:p>
    <w:p>
      <w:pPr>
        <w:spacing w:line="360" w:lineRule="auto"/>
        <w:ind w:firstLine="1687" w:firstLineChars="600"/>
        <w:rPr>
          <w:rFonts w:hint="eastAsia" w:ascii="方正仿宋_GB2312" w:hAnsi="方正仿宋_GB2312" w:eastAsia="方正仿宋_GB2312" w:cs="方正仿宋_GB2312"/>
          <w:b/>
          <w:bCs/>
          <w:sz w:val="28"/>
          <w:szCs w:val="28"/>
          <w:u w:val="single"/>
          <w:lang w:val="en-US" w:eastAsia="zh-CN"/>
        </w:rPr>
      </w:pPr>
      <w:r>
        <w:rPr>
          <w:rFonts w:hint="eastAsia" w:ascii="方正仿宋_GB2312" w:hAnsi="方正仿宋_GB2312" w:eastAsia="方正仿宋_GB2312" w:cs="方正仿宋_GB2312"/>
          <w:b/>
          <w:bCs/>
          <w:sz w:val="28"/>
          <w:szCs w:val="28"/>
          <w:u w:val="none"/>
          <w:lang w:val="en-US" w:eastAsia="zh-CN"/>
        </w:rPr>
        <w:t>乙方：</w:t>
      </w:r>
      <w:r>
        <w:rPr>
          <w:rFonts w:hint="eastAsia" w:ascii="方正仿宋_GB2312" w:hAnsi="方正仿宋_GB2312" w:eastAsia="方正仿宋_GB2312" w:cs="方正仿宋_GB2312"/>
          <w:b/>
          <w:bCs/>
          <w:sz w:val="28"/>
          <w:szCs w:val="28"/>
          <w:u w:val="single"/>
          <w:lang w:val="en-US" w:eastAsia="zh-CN"/>
        </w:rPr>
        <w:t xml:space="preserve">                           </w:t>
      </w:r>
    </w:p>
    <w:p>
      <w:pPr>
        <w:spacing w:line="360" w:lineRule="auto"/>
        <w:ind w:firstLine="1687" w:firstLineChars="600"/>
        <w:rPr>
          <w:rFonts w:hint="eastAsia" w:ascii="方正仿宋_GB2312" w:hAnsi="方正仿宋_GB2312" w:eastAsia="方正仿宋_GB2312" w:cs="方正仿宋_GB2312"/>
          <w:b/>
          <w:bCs/>
          <w:sz w:val="28"/>
          <w:szCs w:val="28"/>
          <w:u w:val="single"/>
          <w:lang w:val="en-US" w:eastAsia="zh-CN"/>
        </w:rPr>
      </w:pPr>
      <w:r>
        <w:rPr>
          <w:rFonts w:hint="eastAsia" w:ascii="方正仿宋_GB2312" w:hAnsi="方正仿宋_GB2312" w:eastAsia="方正仿宋_GB2312" w:cs="方正仿宋_GB2312"/>
          <w:b/>
          <w:bCs/>
          <w:sz w:val="28"/>
          <w:szCs w:val="28"/>
          <w:u w:val="none"/>
          <w:lang w:val="en-US" w:eastAsia="zh-CN"/>
        </w:rPr>
        <w:t>签约时间：</w:t>
      </w:r>
      <w:r>
        <w:rPr>
          <w:rFonts w:hint="eastAsia" w:ascii="方正仿宋_GB2312" w:hAnsi="方正仿宋_GB2312" w:eastAsia="方正仿宋_GB2312" w:cs="方正仿宋_GB2312"/>
          <w:b/>
          <w:bCs/>
          <w:sz w:val="28"/>
          <w:szCs w:val="28"/>
          <w:u w:val="single"/>
          <w:lang w:val="en-US" w:eastAsia="zh-CN"/>
        </w:rPr>
        <w:t xml:space="preserve">                       </w:t>
      </w:r>
    </w:p>
    <w:p>
      <w:pPr>
        <w:spacing w:line="360" w:lineRule="auto"/>
        <w:ind w:firstLine="1687" w:firstLineChars="600"/>
        <w:rPr>
          <w:rFonts w:hint="eastAsia" w:ascii="方正仿宋_GB2312" w:hAnsi="方正仿宋_GB2312" w:eastAsia="方正仿宋_GB2312" w:cs="方正仿宋_GB2312"/>
          <w:b/>
          <w:bCs/>
          <w:sz w:val="28"/>
          <w:szCs w:val="28"/>
          <w:u w:val="single"/>
          <w:lang w:val="en-US" w:eastAsia="zh-CN"/>
        </w:rPr>
      </w:pPr>
      <w:r>
        <w:rPr>
          <w:rFonts w:hint="eastAsia" w:ascii="方正仿宋_GB2312" w:hAnsi="方正仿宋_GB2312" w:eastAsia="方正仿宋_GB2312" w:cs="方正仿宋_GB2312"/>
          <w:b/>
          <w:bCs/>
          <w:sz w:val="28"/>
          <w:szCs w:val="28"/>
          <w:lang w:val="en-US" w:eastAsia="zh-CN"/>
        </w:rPr>
        <w:t>签约地点：</w:t>
      </w:r>
      <w:r>
        <w:rPr>
          <w:rFonts w:hint="eastAsia" w:ascii="方正仿宋_GB2312" w:hAnsi="方正仿宋_GB2312" w:eastAsia="方正仿宋_GB2312" w:cs="方正仿宋_GB2312"/>
          <w:b/>
          <w:bCs/>
          <w:sz w:val="28"/>
          <w:szCs w:val="28"/>
          <w:u w:val="single"/>
          <w:lang w:val="en-US" w:eastAsia="zh-CN"/>
        </w:rPr>
        <w:t xml:space="preserve">                       </w:t>
      </w:r>
    </w:p>
    <w:p>
      <w:pPr>
        <w:pStyle w:val="2"/>
        <w:rPr>
          <w:rFonts w:hint="eastAsia"/>
          <w:lang w:val="en-US" w:eastAsia="zh-CN"/>
        </w:rPr>
      </w:pPr>
    </w:p>
    <w:p>
      <w:pPr>
        <w:rPr>
          <w:rFonts w:hint="default"/>
          <w:lang w:val="en-US" w:eastAsia="zh-CN"/>
        </w:rPr>
      </w:pPr>
    </w:p>
    <w:p>
      <w:pPr>
        <w:spacing w:line="360" w:lineRule="auto"/>
        <w:jc w:val="left"/>
        <w:rPr>
          <w:rFonts w:hint="eastAsia" w:ascii="方正仿宋_GB2312" w:hAnsi="方正仿宋_GB2312" w:eastAsia="方正仿宋_GB2312" w:cs="方正仿宋_GB2312"/>
          <w:b/>
          <w:bCs/>
          <w:kern w:val="0"/>
          <w:sz w:val="28"/>
          <w:szCs w:val="28"/>
        </w:rPr>
        <w:sectPr>
          <w:headerReference r:id="rId9" w:type="default"/>
          <w:footerReference r:id="rId10" w:type="default"/>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pPr>
        <w:spacing w:line="360" w:lineRule="auto"/>
        <w:jc w:val="left"/>
        <w:rPr>
          <w:rFonts w:hint="eastAsia" w:ascii="方正仿宋_GB2312" w:hAnsi="方正仿宋_GB2312" w:eastAsia="方正仿宋_GB2312" w:cs="方正仿宋_GB2312"/>
          <w:b/>
          <w:bCs/>
          <w:kern w:val="0"/>
          <w:sz w:val="28"/>
          <w:szCs w:val="28"/>
        </w:rPr>
      </w:pPr>
    </w:p>
    <w:p>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 xml:space="preserve">甲方: </w:t>
      </w:r>
      <w:r>
        <w:rPr>
          <w:rFonts w:hint="eastAsia" w:ascii="方正仿宋_GB2312" w:hAnsi="方正仿宋_GB2312" w:eastAsia="方正仿宋_GB2312" w:cs="方正仿宋_GB2312"/>
          <w:b/>
          <w:bCs/>
          <w:kern w:val="0"/>
          <w:sz w:val="28"/>
          <w:szCs w:val="28"/>
          <w:lang w:val="en-US" w:eastAsia="zh-CN"/>
        </w:rPr>
        <w:t xml:space="preserve">                     </w:t>
      </w:r>
    </w:p>
    <w:p>
      <w:pPr>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法定代表人：</w:t>
      </w:r>
      <w:r>
        <w:rPr>
          <w:rFonts w:hint="eastAsia" w:ascii="方正仿宋_GB2312" w:hAnsi="方正仿宋_GB2312" w:eastAsia="方正仿宋_GB2312" w:cs="方正仿宋_GB2312"/>
          <w:b/>
          <w:bCs/>
          <w:sz w:val="28"/>
          <w:szCs w:val="28"/>
          <w:lang w:val="en-US" w:eastAsia="zh-CN"/>
        </w:rPr>
        <w:t xml:space="preserve">      </w:t>
      </w:r>
      <w:r>
        <w:rPr>
          <w:rFonts w:hint="eastAsia" w:ascii="方正仿宋_GB2312" w:hAnsi="方正仿宋_GB2312" w:eastAsia="方正仿宋_GB2312" w:cs="方正仿宋_GB2312"/>
          <w:b/>
          <w:bCs/>
          <w:sz w:val="28"/>
          <w:szCs w:val="28"/>
        </w:rPr>
        <w:t xml:space="preserve">               </w:t>
      </w:r>
      <w:r>
        <w:rPr>
          <w:rFonts w:hint="eastAsia" w:ascii="方正仿宋_GB2312" w:hAnsi="方正仿宋_GB2312" w:eastAsia="方正仿宋_GB2312" w:cs="方正仿宋_GB2312"/>
          <w:b/>
          <w:bCs/>
          <w:sz w:val="28"/>
          <w:szCs w:val="28"/>
          <w:lang w:val="en-US" w:eastAsia="zh-CN"/>
        </w:rPr>
        <w:t xml:space="preserve"> </w:t>
      </w:r>
      <w:r>
        <w:rPr>
          <w:rFonts w:hint="eastAsia" w:ascii="方正仿宋_GB2312" w:hAnsi="方正仿宋_GB2312" w:eastAsia="方正仿宋_GB2312" w:cs="方正仿宋_GB2312"/>
          <w:b/>
          <w:bCs/>
          <w:sz w:val="28"/>
          <w:szCs w:val="28"/>
        </w:rPr>
        <w:t>职务：</w:t>
      </w:r>
    </w:p>
    <w:p>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统一社会信用代码:</w:t>
      </w:r>
    </w:p>
    <w:p>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住所地：</w:t>
      </w:r>
    </w:p>
    <w:p>
      <w:pPr>
        <w:spacing w:line="360" w:lineRule="auto"/>
        <w:jc w:val="lef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     </w:t>
      </w:r>
    </w:p>
    <w:p>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乙方：</w:t>
      </w:r>
    </w:p>
    <w:p>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法定代表人：</w:t>
      </w:r>
      <w:r>
        <w:rPr>
          <w:rFonts w:hint="eastAsia" w:ascii="方正仿宋_GB2312" w:hAnsi="方正仿宋_GB2312" w:eastAsia="方正仿宋_GB2312" w:cs="方正仿宋_GB2312"/>
          <w:b/>
          <w:bCs/>
          <w:kern w:val="0"/>
          <w:sz w:val="28"/>
          <w:szCs w:val="28"/>
          <w:lang w:val="en-US" w:eastAsia="zh-CN"/>
        </w:rPr>
        <w:t xml:space="preserve">     </w:t>
      </w:r>
      <w:r>
        <w:rPr>
          <w:rFonts w:hint="eastAsia" w:ascii="方正仿宋_GB2312" w:hAnsi="方正仿宋_GB2312" w:eastAsia="方正仿宋_GB2312" w:cs="方正仿宋_GB2312"/>
          <w:b/>
          <w:bCs/>
          <w:kern w:val="0"/>
          <w:sz w:val="28"/>
          <w:szCs w:val="28"/>
        </w:rPr>
        <w:t xml:space="preserve">                 职务：</w:t>
      </w:r>
    </w:p>
    <w:p>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统一社会信用代码:</w:t>
      </w:r>
    </w:p>
    <w:p>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住所地：</w:t>
      </w:r>
    </w:p>
    <w:p>
      <w:pPr>
        <w:spacing w:line="360" w:lineRule="auto"/>
        <w:rPr>
          <w:rFonts w:hint="eastAsia" w:ascii="方正仿宋_GB2312" w:hAnsi="方正仿宋_GB2312" w:eastAsia="方正仿宋_GB2312" w:cs="方正仿宋_GB2312"/>
          <w:sz w:val="28"/>
          <w:szCs w:val="28"/>
        </w:rPr>
      </w:pP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rPr>
      </w:pP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kern w:val="0"/>
          <w:sz w:val="28"/>
          <w:szCs w:val="28"/>
        </w:rPr>
        <w:t>根据《中华人民共和国民法典》及相关法律法规之规定，甲乙双方本着平等、自愿、信用、互惠互利的原则，在充分协商一致的基础上，就甲方委托乙方完成</w:t>
      </w:r>
      <w:r>
        <w:rPr>
          <w:rFonts w:hint="eastAsia" w:ascii="方正仿宋_GB2312" w:hAnsi="方正仿宋_GB2312" w:eastAsia="方正仿宋_GB2312" w:cs="方正仿宋_GB2312"/>
          <w:kern w:val="0"/>
          <w:sz w:val="28"/>
          <w:szCs w:val="28"/>
          <w:u w:val="single"/>
          <w:lang w:val="en-US" w:eastAsia="zh-CN"/>
        </w:rPr>
        <w:t>2024怀柔国潮文化节采购项目品牌系列主题活动</w:t>
      </w:r>
      <w:r>
        <w:rPr>
          <w:rFonts w:hint="eastAsia" w:ascii="方正仿宋_GB2312" w:hAnsi="方正仿宋_GB2312" w:eastAsia="方正仿宋_GB2312" w:cs="方正仿宋_GB2312"/>
          <w:kern w:val="0"/>
          <w:sz w:val="28"/>
          <w:szCs w:val="28"/>
          <w:u w:val="single"/>
        </w:rPr>
        <w:t xml:space="preserve"> </w:t>
      </w:r>
      <w:r>
        <w:rPr>
          <w:rFonts w:hint="eastAsia" w:ascii="方正仿宋_GB2312" w:hAnsi="方正仿宋_GB2312" w:eastAsia="方正仿宋_GB2312" w:cs="方正仿宋_GB2312"/>
          <w:kern w:val="0"/>
          <w:sz w:val="28"/>
          <w:szCs w:val="28"/>
        </w:rPr>
        <w:t>服务相关事宜，订立本合同。</w:t>
      </w:r>
    </w:p>
    <w:p>
      <w:pPr>
        <w:spacing w:line="360" w:lineRule="auto"/>
        <w:ind w:firstLine="562" w:firstLineChars="200"/>
        <w:rPr>
          <w:rFonts w:hint="eastAsia" w:ascii="方正仿宋_GB2312" w:hAnsi="方正仿宋_GB2312" w:eastAsia="方正仿宋_GB2312" w:cs="方正仿宋_GB2312"/>
          <w:b/>
          <w:bCs/>
          <w:sz w:val="28"/>
          <w:szCs w:val="28"/>
        </w:rPr>
      </w:pP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一、项目服务内容</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rPr>
      </w:pPr>
      <w:r>
        <w:rPr>
          <w:rFonts w:hint="eastAsia" w:ascii="方正仿宋_GB2312" w:hAnsi="方正仿宋_GB2312" w:eastAsia="方正仿宋_GB2312" w:cs="方正仿宋_GB2312"/>
          <w:kern w:val="0"/>
          <w:sz w:val="28"/>
          <w:szCs w:val="28"/>
        </w:rPr>
        <w:t>（一）永不落幕的中国节之怀柔区七夕主题活动</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1、活动名称：</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             </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2、活动时间：</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r>
        <w:rPr>
          <w:rFonts w:hint="eastAsia" w:ascii="方正仿宋_GB2312" w:hAnsi="方正仿宋_GB2312" w:eastAsia="方正仿宋_GB2312" w:cs="方正仿宋_GB2312"/>
          <w:sz w:val="28"/>
          <w:szCs w:val="28"/>
          <w:u w:val="none"/>
          <w:lang w:val="en-US" w:eastAsia="zh-CN"/>
        </w:rPr>
        <w:t>至</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p>
    <w:p>
      <w:pPr>
        <w:spacing w:line="360" w:lineRule="auto"/>
        <w:ind w:firstLine="560" w:firstLineChars="200"/>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3、活动地点：</w:t>
      </w:r>
      <w:r>
        <w:rPr>
          <w:rFonts w:hint="eastAsia" w:ascii="方正仿宋_GB2312" w:hAnsi="方正仿宋_GB2312" w:eastAsia="方正仿宋_GB2312" w:cs="方正仿宋_GB2312"/>
          <w:sz w:val="28"/>
          <w:szCs w:val="28"/>
          <w:u w:val="single"/>
          <w:lang w:val="en-US" w:eastAsia="zh-CN"/>
        </w:rPr>
        <w:t xml:space="preserve">                               </w:t>
      </w:r>
    </w:p>
    <w:p>
      <w:pPr>
        <w:spacing w:line="360" w:lineRule="auto"/>
        <w:ind w:firstLine="560" w:firstLineChars="200"/>
        <w:rPr>
          <w:rFonts w:hint="eastAsia" w:ascii="方正仿宋_GB2312" w:hAnsi="方正仿宋_GB2312" w:eastAsia="方正仿宋_GB2312" w:cs="方正仿宋_GB2312"/>
          <w:sz w:val="28"/>
          <w:szCs w:val="28"/>
          <w:u w:val="none"/>
        </w:rPr>
      </w:pPr>
      <w:r>
        <w:rPr>
          <w:rFonts w:hint="eastAsia" w:ascii="方正仿宋_GB2312" w:hAnsi="方正仿宋_GB2312" w:eastAsia="方正仿宋_GB2312" w:cs="方正仿宋_GB2312"/>
          <w:sz w:val="28"/>
          <w:szCs w:val="28"/>
        </w:rPr>
        <w:t>4、活动内容：</w:t>
      </w:r>
      <w:r>
        <w:rPr>
          <w:rFonts w:hint="eastAsia" w:ascii="方正仿宋_GB2312" w:hAnsi="方正仿宋_GB2312" w:eastAsia="方正仿宋_GB2312" w:cs="方正仿宋_GB2312"/>
          <w:sz w:val="28"/>
          <w:szCs w:val="28"/>
          <w:u w:val="single"/>
          <w:lang w:val="en-US" w:eastAsia="zh-CN"/>
        </w:rPr>
        <w:t xml:space="preserve">                               </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rPr>
      </w:pP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lang w:val="en-US" w:eastAsia="zh-CN"/>
        </w:rPr>
      </w:pPr>
      <w:r>
        <w:rPr>
          <w:rFonts w:hint="eastAsia" w:ascii="方正仿宋_GB2312" w:hAnsi="方正仿宋_GB2312" w:eastAsia="方正仿宋_GB2312" w:cs="方正仿宋_GB2312"/>
          <w:kern w:val="0"/>
          <w:sz w:val="28"/>
          <w:szCs w:val="28"/>
        </w:rPr>
        <w:t>（二）</w:t>
      </w:r>
      <w:r>
        <w:rPr>
          <w:rFonts w:hint="eastAsia" w:ascii="方正仿宋_GB2312" w:hAnsi="方正仿宋_GB2312" w:eastAsia="方正仿宋_GB2312" w:cs="方正仿宋_GB2312"/>
          <w:kern w:val="0"/>
          <w:sz w:val="28"/>
          <w:szCs w:val="28"/>
          <w:lang w:val="en-US" w:eastAsia="zh-CN"/>
        </w:rPr>
        <w:t>永不落幕的中国节之怀柔区爱我中华·修我长城时尚秀</w:t>
      </w:r>
    </w:p>
    <w:p>
      <w:pPr>
        <w:spacing w:line="360" w:lineRule="auto"/>
        <w:ind w:firstLine="492"/>
        <w:rPr>
          <w:rFonts w:hint="eastAsia" w:ascii="方正仿宋_GB2312" w:hAnsi="方正仿宋_GB2312" w:eastAsia="方正仿宋_GB2312" w:cs="方正仿宋_GB2312"/>
          <w:sz w:val="28"/>
          <w:szCs w:val="28"/>
          <w:u w:val="single"/>
          <w:lang w:val="en-US" w:eastAsia="zh-CN"/>
        </w:rPr>
      </w:pPr>
      <w:r>
        <w:rPr>
          <w:rFonts w:hint="eastAsia" w:ascii="方正仿宋_GB2312" w:hAnsi="方正仿宋_GB2312" w:eastAsia="方正仿宋_GB2312" w:cs="方正仿宋_GB2312"/>
          <w:sz w:val="28"/>
          <w:szCs w:val="28"/>
        </w:rPr>
        <w:t xml:space="preserve">1、活动名称： </w:t>
      </w:r>
      <w:r>
        <w:rPr>
          <w:rFonts w:hint="eastAsia" w:ascii="方正仿宋_GB2312" w:hAnsi="方正仿宋_GB2312" w:eastAsia="方正仿宋_GB2312" w:cs="方正仿宋_GB2312"/>
          <w:sz w:val="28"/>
          <w:szCs w:val="28"/>
          <w:u w:val="single"/>
          <w:lang w:val="en-US" w:eastAsia="zh-CN"/>
        </w:rPr>
        <w:t xml:space="preserve">                               </w:t>
      </w:r>
    </w:p>
    <w:p>
      <w:pPr>
        <w:spacing w:line="360" w:lineRule="auto"/>
        <w:ind w:firstLine="492"/>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2、活动时间：</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p>
    <w:p>
      <w:pPr>
        <w:spacing w:line="360" w:lineRule="auto"/>
        <w:ind w:firstLine="492"/>
        <w:rPr>
          <w:rFonts w:hint="eastAsia" w:ascii="方正仿宋_GB2312" w:hAnsi="方正仿宋_GB2312" w:eastAsia="方正仿宋_GB2312" w:cs="方正仿宋_GB2312"/>
          <w:sz w:val="28"/>
          <w:szCs w:val="28"/>
          <w:u w:val="single"/>
          <w:lang w:val="en-US" w:eastAsia="zh-CN"/>
        </w:rPr>
      </w:pPr>
      <w:r>
        <w:rPr>
          <w:rFonts w:hint="eastAsia" w:ascii="方正仿宋_GB2312" w:hAnsi="方正仿宋_GB2312" w:eastAsia="方正仿宋_GB2312" w:cs="方正仿宋_GB2312"/>
          <w:sz w:val="28"/>
          <w:szCs w:val="28"/>
        </w:rPr>
        <w:t>3、活动地点：</w:t>
      </w:r>
      <w:r>
        <w:rPr>
          <w:rFonts w:hint="eastAsia" w:ascii="方正仿宋_GB2312" w:hAnsi="方正仿宋_GB2312" w:eastAsia="方正仿宋_GB2312" w:cs="方正仿宋_GB2312"/>
          <w:sz w:val="28"/>
          <w:szCs w:val="28"/>
          <w:u w:val="single"/>
          <w:lang w:val="en-US" w:eastAsia="zh-CN"/>
        </w:rPr>
        <w:t xml:space="preserve">                               </w:t>
      </w:r>
    </w:p>
    <w:p>
      <w:pPr>
        <w:spacing w:line="360" w:lineRule="auto"/>
        <w:ind w:firstLine="492"/>
        <w:rPr>
          <w:rFonts w:hint="eastAsia" w:ascii="方正仿宋_GB2312" w:hAnsi="方正仿宋_GB2312" w:eastAsia="方正仿宋_GB2312" w:cs="方正仿宋_GB2312"/>
          <w:sz w:val="28"/>
          <w:szCs w:val="28"/>
          <w:u w:val="none"/>
          <w:lang w:eastAsia="zh-CN"/>
        </w:rPr>
      </w:pPr>
      <w:r>
        <w:rPr>
          <w:rFonts w:hint="eastAsia" w:ascii="方正仿宋_GB2312" w:hAnsi="方正仿宋_GB2312" w:eastAsia="方正仿宋_GB2312" w:cs="方正仿宋_GB2312"/>
          <w:sz w:val="28"/>
          <w:szCs w:val="28"/>
        </w:rPr>
        <w:t>4、活动内容：</w:t>
      </w:r>
      <w:r>
        <w:rPr>
          <w:rFonts w:hint="eastAsia" w:ascii="方正仿宋_GB2312" w:hAnsi="方正仿宋_GB2312" w:eastAsia="方正仿宋_GB2312" w:cs="方正仿宋_GB2312"/>
          <w:sz w:val="28"/>
          <w:szCs w:val="28"/>
          <w:u w:val="single"/>
          <w:lang w:val="en-US" w:eastAsia="zh-CN"/>
        </w:rPr>
        <w:t xml:space="preserve">                               </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lang w:val="en-US" w:eastAsia="zh-CN"/>
        </w:rPr>
      </w:pP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lang w:val="en-US" w:eastAsia="zh-CN"/>
        </w:rPr>
      </w:pPr>
      <w:r>
        <w:rPr>
          <w:rFonts w:hint="eastAsia" w:ascii="方正仿宋_GB2312" w:hAnsi="方正仿宋_GB2312" w:eastAsia="方正仿宋_GB2312" w:cs="方正仿宋_GB2312"/>
          <w:kern w:val="0"/>
          <w:sz w:val="28"/>
          <w:szCs w:val="28"/>
          <w:lang w:val="en-US" w:eastAsia="zh-CN"/>
        </w:rPr>
        <w:t>（三）永不落幕的音乐节之怀柔区月下歌会仲夏狂欢夜</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single"/>
          <w:lang w:val="en-US" w:eastAsia="zh-CN"/>
        </w:rPr>
      </w:pPr>
      <w:r>
        <w:rPr>
          <w:rFonts w:hint="eastAsia" w:ascii="方正仿宋_GB2312" w:hAnsi="方正仿宋_GB2312" w:eastAsia="方正仿宋_GB2312" w:cs="方正仿宋_GB2312"/>
          <w:kern w:val="0"/>
          <w:sz w:val="28"/>
          <w:szCs w:val="28"/>
        </w:rPr>
        <w:t>1、活动名称：</w:t>
      </w:r>
      <w:r>
        <w:rPr>
          <w:rFonts w:hint="eastAsia" w:ascii="方正仿宋_GB2312" w:hAnsi="方正仿宋_GB2312" w:eastAsia="方正仿宋_GB2312" w:cs="方正仿宋_GB2312"/>
          <w:sz w:val="28"/>
          <w:szCs w:val="28"/>
          <w:u w:val="single"/>
          <w:lang w:val="en-US" w:eastAsia="zh-CN"/>
        </w:rPr>
        <w:t xml:space="preserve">                               </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lang w:val="en-US" w:eastAsia="zh-CN"/>
        </w:rPr>
      </w:pPr>
      <w:r>
        <w:rPr>
          <w:rFonts w:hint="eastAsia" w:ascii="方正仿宋_GB2312" w:hAnsi="方正仿宋_GB2312" w:eastAsia="方正仿宋_GB2312" w:cs="方正仿宋_GB2312"/>
          <w:kern w:val="0"/>
          <w:sz w:val="28"/>
          <w:szCs w:val="28"/>
        </w:rPr>
        <w:t>2、活动时间：</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r>
        <w:rPr>
          <w:rFonts w:hint="eastAsia" w:ascii="方正仿宋_GB2312" w:hAnsi="方正仿宋_GB2312" w:eastAsia="方正仿宋_GB2312" w:cs="方正仿宋_GB2312"/>
          <w:sz w:val="28"/>
          <w:szCs w:val="28"/>
          <w:u w:val="none"/>
          <w:lang w:val="en-US" w:eastAsia="zh-CN"/>
        </w:rPr>
        <w:t>至</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single"/>
          <w:lang w:val="en-US" w:eastAsia="zh-CN"/>
        </w:rPr>
      </w:pPr>
      <w:r>
        <w:rPr>
          <w:rFonts w:hint="eastAsia" w:ascii="方正仿宋_GB2312" w:hAnsi="方正仿宋_GB2312" w:eastAsia="方正仿宋_GB2312" w:cs="方正仿宋_GB2312"/>
          <w:kern w:val="0"/>
          <w:sz w:val="28"/>
          <w:szCs w:val="28"/>
        </w:rPr>
        <w:t>3、活动地点：</w:t>
      </w:r>
      <w:r>
        <w:rPr>
          <w:rFonts w:hint="eastAsia" w:ascii="方正仿宋_GB2312" w:hAnsi="方正仿宋_GB2312" w:eastAsia="方正仿宋_GB2312" w:cs="方正仿宋_GB2312"/>
          <w:sz w:val="28"/>
          <w:szCs w:val="28"/>
          <w:u w:val="single"/>
          <w:lang w:val="en-US" w:eastAsia="zh-CN"/>
        </w:rPr>
        <w:t xml:space="preserve">                               </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none"/>
          <w:lang w:eastAsia="zh-CN"/>
        </w:rPr>
      </w:pPr>
      <w:r>
        <w:rPr>
          <w:rFonts w:hint="eastAsia" w:ascii="方正仿宋_GB2312" w:hAnsi="方正仿宋_GB2312" w:eastAsia="方正仿宋_GB2312" w:cs="方正仿宋_GB2312"/>
          <w:kern w:val="0"/>
          <w:sz w:val="28"/>
          <w:szCs w:val="28"/>
        </w:rPr>
        <w:t>4、活动内容：</w:t>
      </w:r>
      <w:r>
        <w:rPr>
          <w:rFonts w:hint="eastAsia" w:ascii="方正仿宋_GB2312" w:hAnsi="方正仿宋_GB2312" w:eastAsia="方正仿宋_GB2312" w:cs="方正仿宋_GB2312"/>
          <w:sz w:val="28"/>
          <w:szCs w:val="28"/>
          <w:u w:val="single"/>
          <w:lang w:val="en-US" w:eastAsia="zh-CN"/>
        </w:rPr>
        <w:t xml:space="preserve">                               </w:t>
      </w:r>
    </w:p>
    <w:p>
      <w:pPr>
        <w:spacing w:line="360" w:lineRule="auto"/>
        <w:rPr>
          <w:rFonts w:hint="eastAsia" w:ascii="方正仿宋_GB2312" w:hAnsi="方正仿宋_GB2312" w:eastAsia="方正仿宋_GB2312" w:cs="方正仿宋_GB2312"/>
          <w:sz w:val="28"/>
          <w:szCs w:val="28"/>
          <w:lang w:val="en-US" w:eastAsia="zh-CN"/>
        </w:rPr>
      </w:pP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lang w:val="en-US" w:eastAsia="zh-CN"/>
        </w:rPr>
      </w:pPr>
      <w:r>
        <w:rPr>
          <w:rFonts w:hint="eastAsia" w:ascii="方正仿宋_GB2312" w:hAnsi="方正仿宋_GB2312" w:eastAsia="方正仿宋_GB2312" w:cs="方正仿宋_GB2312"/>
          <w:kern w:val="0"/>
          <w:sz w:val="28"/>
          <w:szCs w:val="28"/>
          <w:lang w:val="en-US" w:eastAsia="zh-CN"/>
        </w:rPr>
        <w:t>（四）永不落幕的音乐节之怀柔区中秋音乐节</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single"/>
          <w:lang w:val="en-US" w:eastAsia="zh-CN"/>
        </w:rPr>
      </w:pPr>
      <w:r>
        <w:rPr>
          <w:rFonts w:hint="eastAsia" w:ascii="方正仿宋_GB2312" w:hAnsi="方正仿宋_GB2312" w:eastAsia="方正仿宋_GB2312" w:cs="方正仿宋_GB2312"/>
          <w:kern w:val="0"/>
          <w:sz w:val="28"/>
          <w:szCs w:val="28"/>
        </w:rPr>
        <w:t>1、活动名称：</w:t>
      </w:r>
      <w:r>
        <w:rPr>
          <w:rFonts w:hint="eastAsia" w:ascii="方正仿宋_GB2312" w:hAnsi="方正仿宋_GB2312" w:eastAsia="方正仿宋_GB2312" w:cs="方正仿宋_GB2312"/>
          <w:sz w:val="28"/>
          <w:szCs w:val="28"/>
          <w:u w:val="single"/>
          <w:lang w:val="en-US" w:eastAsia="zh-CN"/>
        </w:rPr>
        <w:t xml:space="preserve">                               </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lang w:val="en-US" w:eastAsia="zh-CN"/>
        </w:rPr>
      </w:pPr>
      <w:r>
        <w:rPr>
          <w:rFonts w:hint="eastAsia" w:ascii="方正仿宋_GB2312" w:hAnsi="方正仿宋_GB2312" w:eastAsia="方正仿宋_GB2312" w:cs="方正仿宋_GB2312"/>
          <w:kern w:val="0"/>
          <w:sz w:val="28"/>
          <w:szCs w:val="28"/>
        </w:rPr>
        <w:t>2、活动时间：</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r>
        <w:rPr>
          <w:rFonts w:hint="eastAsia" w:ascii="方正仿宋_GB2312" w:hAnsi="方正仿宋_GB2312" w:eastAsia="方正仿宋_GB2312" w:cs="方正仿宋_GB2312"/>
          <w:sz w:val="28"/>
          <w:szCs w:val="28"/>
          <w:u w:val="none"/>
          <w:lang w:val="en-US" w:eastAsia="zh-CN"/>
        </w:rPr>
        <w:t>至</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single"/>
          <w:lang w:val="en-US" w:eastAsia="zh-CN"/>
        </w:rPr>
      </w:pPr>
      <w:r>
        <w:rPr>
          <w:rFonts w:hint="eastAsia" w:ascii="方正仿宋_GB2312" w:hAnsi="方正仿宋_GB2312" w:eastAsia="方正仿宋_GB2312" w:cs="方正仿宋_GB2312"/>
          <w:kern w:val="0"/>
          <w:sz w:val="28"/>
          <w:szCs w:val="28"/>
        </w:rPr>
        <w:t>3、活动地点：</w:t>
      </w:r>
      <w:r>
        <w:rPr>
          <w:rFonts w:hint="eastAsia" w:ascii="方正仿宋_GB2312" w:hAnsi="方正仿宋_GB2312" w:eastAsia="方正仿宋_GB2312" w:cs="方正仿宋_GB2312"/>
          <w:sz w:val="28"/>
          <w:szCs w:val="28"/>
          <w:u w:val="single"/>
          <w:lang w:val="en-US" w:eastAsia="zh-CN"/>
        </w:rPr>
        <w:t xml:space="preserve">                               </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none"/>
          <w:lang w:eastAsia="zh-CN"/>
        </w:rPr>
      </w:pPr>
      <w:r>
        <w:rPr>
          <w:rFonts w:hint="eastAsia" w:ascii="方正仿宋_GB2312" w:hAnsi="方正仿宋_GB2312" w:eastAsia="方正仿宋_GB2312" w:cs="方正仿宋_GB2312"/>
          <w:kern w:val="0"/>
          <w:sz w:val="28"/>
          <w:szCs w:val="28"/>
        </w:rPr>
        <w:t>4、活动内容：</w:t>
      </w:r>
      <w:r>
        <w:rPr>
          <w:rFonts w:hint="eastAsia" w:ascii="方正仿宋_GB2312" w:hAnsi="方正仿宋_GB2312" w:eastAsia="方正仿宋_GB2312" w:cs="方正仿宋_GB2312"/>
          <w:sz w:val="28"/>
          <w:szCs w:val="28"/>
          <w:u w:val="single"/>
          <w:lang w:val="en-US" w:eastAsia="zh-CN"/>
        </w:rPr>
        <w:t xml:space="preserve">                               </w:t>
      </w:r>
    </w:p>
    <w:p>
      <w:pPr>
        <w:spacing w:line="360" w:lineRule="auto"/>
        <w:rPr>
          <w:rFonts w:hint="eastAsia" w:ascii="方正仿宋_GB2312" w:hAnsi="方正仿宋_GB2312" w:eastAsia="方正仿宋_GB2312" w:cs="方正仿宋_GB2312"/>
          <w:sz w:val="28"/>
          <w:szCs w:val="28"/>
          <w:lang w:val="en-US" w:eastAsia="zh-CN"/>
        </w:rPr>
      </w:pP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lang w:val="en-US" w:eastAsia="zh-CN"/>
        </w:rPr>
      </w:pPr>
      <w:r>
        <w:rPr>
          <w:rFonts w:hint="eastAsia" w:ascii="方正仿宋_GB2312" w:hAnsi="方正仿宋_GB2312" w:eastAsia="方正仿宋_GB2312" w:cs="方正仿宋_GB2312"/>
          <w:kern w:val="0"/>
          <w:sz w:val="28"/>
          <w:szCs w:val="28"/>
          <w:lang w:val="en-US" w:eastAsia="zh-CN"/>
        </w:rPr>
        <w:t>（五）永不落幕的中国节之怀柔区国潮集市</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single"/>
          <w:lang w:val="en-US" w:eastAsia="zh-CN"/>
        </w:rPr>
      </w:pPr>
      <w:r>
        <w:rPr>
          <w:rFonts w:hint="eastAsia" w:ascii="方正仿宋_GB2312" w:hAnsi="方正仿宋_GB2312" w:eastAsia="方正仿宋_GB2312" w:cs="方正仿宋_GB2312"/>
          <w:kern w:val="0"/>
          <w:sz w:val="28"/>
          <w:szCs w:val="28"/>
        </w:rPr>
        <w:t>1、活动名称：</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kern w:val="0"/>
          <w:sz w:val="28"/>
          <w:szCs w:val="28"/>
          <w:u w:val="single"/>
          <w:lang w:val="en-US" w:eastAsia="zh-CN"/>
        </w:rPr>
        <w:t xml:space="preserve"> </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lang w:val="en-US" w:eastAsia="zh-CN"/>
        </w:rPr>
      </w:pPr>
      <w:r>
        <w:rPr>
          <w:rFonts w:hint="eastAsia" w:ascii="方正仿宋_GB2312" w:hAnsi="方正仿宋_GB2312" w:eastAsia="方正仿宋_GB2312" w:cs="方正仿宋_GB2312"/>
          <w:kern w:val="0"/>
          <w:sz w:val="28"/>
          <w:szCs w:val="28"/>
        </w:rPr>
        <w:t>2、活动时间：</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r>
        <w:rPr>
          <w:rFonts w:hint="eastAsia" w:ascii="方正仿宋_GB2312" w:hAnsi="方正仿宋_GB2312" w:eastAsia="方正仿宋_GB2312" w:cs="方正仿宋_GB2312"/>
          <w:sz w:val="28"/>
          <w:szCs w:val="28"/>
          <w:u w:val="none"/>
          <w:lang w:val="en-US" w:eastAsia="zh-CN"/>
        </w:rPr>
        <w:t>至</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none"/>
          <w:lang w:val="en-US" w:eastAsia="zh-CN"/>
        </w:rPr>
      </w:pPr>
      <w:r>
        <w:rPr>
          <w:rFonts w:hint="eastAsia" w:ascii="方正仿宋_GB2312" w:hAnsi="方正仿宋_GB2312" w:eastAsia="方正仿宋_GB2312" w:cs="方正仿宋_GB2312"/>
          <w:kern w:val="0"/>
          <w:sz w:val="28"/>
          <w:szCs w:val="28"/>
        </w:rPr>
        <w:t>3、活动地点：</w:t>
      </w:r>
      <w:r>
        <w:rPr>
          <w:rFonts w:hint="eastAsia" w:ascii="方正仿宋_GB2312" w:hAnsi="方正仿宋_GB2312" w:eastAsia="方正仿宋_GB2312" w:cs="方正仿宋_GB2312"/>
          <w:sz w:val="28"/>
          <w:szCs w:val="28"/>
          <w:u w:val="single"/>
          <w:lang w:val="en-US" w:eastAsia="zh-CN"/>
        </w:rPr>
        <w:t xml:space="preserve">                               </w:t>
      </w:r>
    </w:p>
    <w:p>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kern w:val="0"/>
          <w:sz w:val="28"/>
          <w:szCs w:val="28"/>
          <w:u w:val="none"/>
          <w:lang w:eastAsia="zh-CN"/>
        </w:rPr>
      </w:pPr>
      <w:r>
        <w:rPr>
          <w:rFonts w:hint="eastAsia" w:ascii="方正仿宋_GB2312" w:hAnsi="方正仿宋_GB2312" w:eastAsia="方正仿宋_GB2312" w:cs="方正仿宋_GB2312"/>
          <w:kern w:val="0"/>
          <w:sz w:val="28"/>
          <w:szCs w:val="28"/>
        </w:rPr>
        <w:t>4、活动内容：</w:t>
      </w:r>
      <w:r>
        <w:rPr>
          <w:rFonts w:hint="eastAsia" w:ascii="方正仿宋_GB2312" w:hAnsi="方正仿宋_GB2312" w:eastAsia="方正仿宋_GB2312" w:cs="方正仿宋_GB2312"/>
          <w:sz w:val="28"/>
          <w:szCs w:val="28"/>
          <w:u w:val="single"/>
          <w:lang w:val="en-US" w:eastAsia="zh-CN"/>
        </w:rPr>
        <w:t xml:space="preserve">                               </w:t>
      </w:r>
    </w:p>
    <w:p>
      <w:pPr>
        <w:spacing w:line="360" w:lineRule="auto"/>
        <w:rPr>
          <w:rFonts w:hint="eastAsia" w:ascii="方正仿宋_GB2312" w:hAnsi="方正仿宋_GB2312" w:eastAsia="方正仿宋_GB2312" w:cs="方正仿宋_GB2312"/>
          <w:b/>
          <w:bCs/>
          <w:kern w:val="0"/>
          <w:sz w:val="28"/>
          <w:szCs w:val="28"/>
        </w:rPr>
      </w:pP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二、整体项目视觉及图纸设计，媒体传播及视频制作服务</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1、乙方负责</w:t>
      </w:r>
      <w:r>
        <w:rPr>
          <w:rFonts w:hint="eastAsia" w:ascii="方正仿宋_GB2312" w:hAnsi="方正仿宋_GB2312" w:eastAsia="方正仿宋_GB2312" w:cs="方正仿宋_GB2312"/>
          <w:sz w:val="28"/>
          <w:szCs w:val="28"/>
          <w:lang w:val="en-US" w:eastAsia="zh-CN"/>
        </w:rPr>
        <w:t>活动</w:t>
      </w:r>
      <w:r>
        <w:rPr>
          <w:rFonts w:hint="eastAsia" w:ascii="方正仿宋_GB2312" w:hAnsi="方正仿宋_GB2312" w:eastAsia="方正仿宋_GB2312" w:cs="方正仿宋_GB2312"/>
          <w:sz w:val="28"/>
          <w:szCs w:val="28"/>
        </w:rPr>
        <w:t>所涉及到的平面主视觉、邀请函、指示牌、地贴、202</w:t>
      </w:r>
      <w:r>
        <w:rPr>
          <w:rFonts w:hint="eastAsia" w:ascii="方正仿宋_GB2312" w:hAnsi="方正仿宋_GB2312" w:eastAsia="方正仿宋_GB2312" w:cs="方正仿宋_GB2312"/>
          <w:sz w:val="28"/>
          <w:szCs w:val="28"/>
          <w:lang w:val="en-US" w:eastAsia="zh-CN"/>
        </w:rPr>
        <w:t>4</w:t>
      </w:r>
      <w:r>
        <w:rPr>
          <w:rFonts w:hint="eastAsia" w:ascii="方正仿宋_GB2312" w:hAnsi="方正仿宋_GB2312" w:eastAsia="方正仿宋_GB2312" w:cs="方正仿宋_GB2312"/>
          <w:sz w:val="28"/>
          <w:szCs w:val="28"/>
        </w:rPr>
        <w:t>年怀柔国潮文化节多版排版设计；开幕式所涉及到的平面主视觉、邀请函、地贴、演艺团队背景视效、开幕式周边氛围物料多版设计。</w:t>
      </w:r>
    </w:p>
    <w:p>
      <w:pPr>
        <w:spacing w:line="360" w:lineRule="auto"/>
        <w:ind w:firstLine="492"/>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2、活动策划与服务内容：方案多版/多次策划服务、</w:t>
      </w:r>
      <w:r>
        <w:rPr>
          <w:rFonts w:hint="eastAsia" w:ascii="方正仿宋_GB2312" w:hAnsi="方正仿宋_GB2312" w:eastAsia="方正仿宋_GB2312" w:cs="方正仿宋_GB2312"/>
          <w:sz w:val="28"/>
          <w:szCs w:val="28"/>
          <w:lang w:val="en-US" w:eastAsia="zh-CN"/>
        </w:rPr>
        <w:t>多点位</w:t>
      </w:r>
      <w:r>
        <w:rPr>
          <w:rFonts w:hint="eastAsia" w:ascii="方正仿宋_GB2312" w:hAnsi="方正仿宋_GB2312" w:eastAsia="方正仿宋_GB2312" w:cs="方正仿宋_GB2312"/>
          <w:sz w:val="28"/>
          <w:szCs w:val="28"/>
        </w:rPr>
        <w:t>打卡点设计搭建、氛围营造与涉及到的全套图纸（效果图+施工图）：</w:t>
      </w:r>
      <w:r>
        <w:rPr>
          <w:rFonts w:hint="eastAsia" w:ascii="方正仿宋_GB2312" w:hAnsi="方正仿宋_GB2312" w:eastAsia="方正仿宋_GB2312" w:cs="方正仿宋_GB2312"/>
          <w:sz w:val="28"/>
          <w:szCs w:val="28"/>
          <w:lang w:val="en-US" w:eastAsia="zh-CN"/>
        </w:rPr>
        <w:t>招亲大会</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八旗寻宝</w:t>
      </w:r>
      <w:r>
        <w:rPr>
          <w:rFonts w:hint="eastAsia" w:ascii="方正仿宋_GB2312" w:hAnsi="方正仿宋_GB2312" w:eastAsia="方正仿宋_GB2312" w:cs="方正仿宋_GB2312"/>
          <w:sz w:val="28"/>
          <w:szCs w:val="28"/>
        </w:rPr>
        <w:t>、杨木杆舞、脚力、蹴鞠、撞拐</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lang w:val="en-US" w:eastAsia="zh-CN"/>
        </w:rPr>
        <w:t>国潮集市、怀柔生活集市</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怀柔非遗</w:t>
      </w:r>
      <w:r>
        <w:rPr>
          <w:rFonts w:hint="eastAsia" w:ascii="方正仿宋_GB2312" w:hAnsi="方正仿宋_GB2312" w:eastAsia="方正仿宋_GB2312" w:cs="方正仿宋_GB2312"/>
          <w:sz w:val="28"/>
          <w:szCs w:val="28"/>
        </w:rPr>
        <w:t>手作、</w:t>
      </w:r>
      <w:r>
        <w:rPr>
          <w:rFonts w:hint="eastAsia" w:ascii="方正仿宋_GB2312" w:hAnsi="方正仿宋_GB2312" w:eastAsia="方正仿宋_GB2312" w:cs="方正仿宋_GB2312"/>
          <w:sz w:val="28"/>
          <w:szCs w:val="28"/>
          <w:lang w:val="en-US" w:eastAsia="zh-CN"/>
        </w:rPr>
        <w:t>敛巧饭、长城会客厅及开幕式、时尚秀</w:t>
      </w:r>
      <w:r>
        <w:rPr>
          <w:rFonts w:hint="eastAsia" w:ascii="方正仿宋_GB2312" w:hAnsi="方正仿宋_GB2312" w:eastAsia="方正仿宋_GB2312" w:cs="方正仿宋_GB2312"/>
          <w:sz w:val="28"/>
          <w:szCs w:val="28"/>
        </w:rPr>
        <w:t>、月下歌会</w:t>
      </w:r>
      <w:r>
        <w:rPr>
          <w:rFonts w:hint="eastAsia" w:ascii="方正仿宋_GB2312" w:hAnsi="方正仿宋_GB2312" w:eastAsia="方正仿宋_GB2312" w:cs="方正仿宋_GB2312"/>
          <w:sz w:val="28"/>
          <w:szCs w:val="28"/>
          <w:lang w:val="en-US" w:eastAsia="zh-CN"/>
        </w:rPr>
        <w:t>活动策划</w:t>
      </w:r>
      <w:r>
        <w:rPr>
          <w:rFonts w:hint="eastAsia" w:ascii="方正仿宋_GB2312" w:hAnsi="方正仿宋_GB2312" w:eastAsia="方正仿宋_GB2312" w:cs="方正仿宋_GB2312"/>
          <w:sz w:val="28"/>
          <w:szCs w:val="28"/>
        </w:rPr>
        <w:t>服务。</w:t>
      </w:r>
    </w:p>
    <w:p>
      <w:pPr>
        <w:spacing w:line="360" w:lineRule="auto"/>
        <w:ind w:firstLine="492"/>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    3、媒体传播部分</w:t>
      </w:r>
    </w:p>
    <w:p>
      <w:pPr>
        <w:spacing w:line="360" w:lineRule="auto"/>
        <w:ind w:firstLine="492"/>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    3.1视频制作</w:t>
      </w:r>
      <w:r>
        <w:rPr>
          <w:rFonts w:hint="eastAsia" w:ascii="方正仿宋_GB2312" w:hAnsi="方正仿宋_GB2312" w:eastAsia="方正仿宋_GB2312" w:cs="方正仿宋_GB2312"/>
          <w:sz w:val="28"/>
          <w:szCs w:val="28"/>
          <w:lang w:val="en-US" w:eastAsia="zh-CN"/>
        </w:rPr>
        <w:t>与图像直播</w:t>
      </w:r>
      <w:r>
        <w:rPr>
          <w:rFonts w:hint="eastAsia" w:ascii="方正仿宋_GB2312" w:hAnsi="方正仿宋_GB2312" w:eastAsia="方正仿宋_GB2312" w:cs="方正仿宋_GB2312"/>
          <w:sz w:val="28"/>
          <w:szCs w:val="28"/>
        </w:rPr>
        <w:t>：含活动预热视频、活动第一天现场点位视频、图像拍摄，活动中传播视频</w:t>
      </w:r>
      <w:r>
        <w:rPr>
          <w:rFonts w:hint="eastAsia" w:ascii="方正仿宋_GB2312" w:hAnsi="方正仿宋_GB2312" w:eastAsia="方正仿宋_GB2312" w:cs="方正仿宋_GB2312"/>
          <w:sz w:val="28"/>
          <w:szCs w:val="28"/>
          <w:lang w:val="en-US" w:eastAsia="zh-CN"/>
        </w:rPr>
        <w:t>与图片直播</w:t>
      </w:r>
      <w:r>
        <w:rPr>
          <w:rFonts w:hint="eastAsia" w:ascii="方正仿宋_GB2312" w:hAnsi="方正仿宋_GB2312" w:eastAsia="方正仿宋_GB2312" w:cs="方正仿宋_GB2312"/>
          <w:sz w:val="28"/>
          <w:szCs w:val="28"/>
        </w:rPr>
        <w:t>制作，活动总结视频与直播信号设备。</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3.2</w:t>
      </w:r>
      <w:r>
        <w:rPr>
          <w:rFonts w:hint="eastAsia" w:ascii="方正仿宋_GB2312" w:hAnsi="方正仿宋_GB2312" w:eastAsia="方正仿宋_GB2312" w:cs="方正仿宋_GB2312"/>
          <w:sz w:val="28"/>
          <w:szCs w:val="28"/>
          <w:lang w:val="en-US" w:eastAsia="zh-CN"/>
        </w:rPr>
        <w:t>活动期间</w:t>
      </w:r>
      <w:r>
        <w:rPr>
          <w:rFonts w:hint="eastAsia" w:ascii="方正仿宋_GB2312" w:hAnsi="方正仿宋_GB2312" w:eastAsia="方正仿宋_GB2312" w:cs="方正仿宋_GB2312"/>
          <w:sz w:val="28"/>
          <w:szCs w:val="28"/>
        </w:rPr>
        <w:t>涉及邀约 KOL现场宣传，各直播平台现场直播发布；新媒体：公众号、短视频等新媒体前期预热造势，后期跟踪报导， 通过朋友圈短视频造势，主流媒体</w:t>
      </w:r>
      <w:r>
        <w:rPr>
          <w:rFonts w:hint="eastAsia" w:ascii="方正仿宋_GB2312" w:hAnsi="方正仿宋_GB2312" w:eastAsia="方正仿宋_GB2312" w:cs="方正仿宋_GB2312"/>
          <w:sz w:val="28"/>
          <w:szCs w:val="28"/>
          <w:lang w:val="en-US" w:eastAsia="zh-CN"/>
        </w:rPr>
        <w:t>30</w:t>
      </w:r>
      <w:r>
        <w:rPr>
          <w:rFonts w:hint="eastAsia" w:ascii="方正仿宋_GB2312" w:hAnsi="方正仿宋_GB2312" w:eastAsia="方正仿宋_GB2312" w:cs="方正仿宋_GB2312"/>
          <w:sz w:val="28"/>
          <w:szCs w:val="28"/>
        </w:rPr>
        <w:t>+以上媒体曝光量，图片直播，摄影摄像活动当天跟踪活动拍摄。用于营造现场传播氛围，为</w:t>
      </w:r>
      <w:r>
        <w:rPr>
          <w:rFonts w:hint="eastAsia" w:ascii="方正仿宋_GB2312" w:hAnsi="方正仿宋_GB2312" w:eastAsia="方正仿宋_GB2312" w:cs="方正仿宋_GB2312"/>
          <w:sz w:val="28"/>
          <w:szCs w:val="28"/>
          <w:lang w:val="en-US" w:eastAsia="zh-CN"/>
        </w:rPr>
        <w:t>七夕节、中秋节、国庆节假期</w:t>
      </w:r>
      <w:r>
        <w:rPr>
          <w:rFonts w:hint="eastAsia" w:ascii="方正仿宋_GB2312" w:hAnsi="方正仿宋_GB2312" w:eastAsia="方正仿宋_GB2312" w:cs="方正仿宋_GB2312"/>
          <w:sz w:val="28"/>
          <w:szCs w:val="28"/>
        </w:rPr>
        <w:t>小高峰奠定基础。</w:t>
      </w:r>
    </w:p>
    <w:p>
      <w:pPr>
        <w:spacing w:line="360" w:lineRule="auto"/>
        <w:ind w:firstLine="562" w:firstLineChars="200"/>
        <w:rPr>
          <w:rFonts w:hint="eastAsia" w:ascii="方正仿宋_GB2312" w:hAnsi="方正仿宋_GB2312" w:eastAsia="方正仿宋_GB2312" w:cs="方正仿宋_GB2312"/>
          <w:b/>
          <w:bCs/>
          <w:sz w:val="28"/>
          <w:szCs w:val="28"/>
        </w:rPr>
      </w:pP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三、场地搭建</w:t>
      </w:r>
      <w:r>
        <w:rPr>
          <w:rFonts w:hint="eastAsia" w:ascii="方正仿宋_GB2312" w:hAnsi="方正仿宋_GB2312" w:eastAsia="方正仿宋_GB2312" w:cs="方正仿宋_GB2312"/>
          <w:b/>
          <w:bCs/>
          <w:sz w:val="28"/>
          <w:szCs w:val="28"/>
          <w:lang w:val="en-US" w:eastAsia="zh-CN"/>
        </w:rPr>
        <w:t>及租金</w:t>
      </w:r>
      <w:r>
        <w:rPr>
          <w:rFonts w:hint="eastAsia" w:ascii="方正仿宋_GB2312" w:hAnsi="方正仿宋_GB2312" w:eastAsia="方正仿宋_GB2312" w:cs="方正仿宋_GB2312"/>
          <w:b/>
          <w:bCs/>
          <w:sz w:val="28"/>
          <w:szCs w:val="28"/>
        </w:rPr>
        <w:t>、安全保障</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1、场地租赁：</w:t>
      </w:r>
      <w:r>
        <w:rPr>
          <w:rFonts w:hint="eastAsia" w:ascii="方正仿宋_GB2312" w:hAnsi="方正仿宋_GB2312" w:eastAsia="方正仿宋_GB2312" w:cs="方正仿宋_GB2312"/>
          <w:sz w:val="28"/>
          <w:szCs w:val="28"/>
          <w:lang w:val="en-US" w:eastAsia="zh-CN"/>
        </w:rPr>
        <w:t>七夕节、中秋节、国庆节</w:t>
      </w:r>
      <w:r>
        <w:rPr>
          <w:rFonts w:hint="eastAsia" w:ascii="方正仿宋_GB2312" w:hAnsi="方正仿宋_GB2312" w:eastAsia="方正仿宋_GB2312" w:cs="方正仿宋_GB2312"/>
          <w:sz w:val="28"/>
          <w:szCs w:val="28"/>
        </w:rPr>
        <w:t>筹备期和活动期，场地</w:t>
      </w:r>
      <w:r>
        <w:rPr>
          <w:rFonts w:hint="eastAsia" w:ascii="方正仿宋_GB2312" w:hAnsi="方正仿宋_GB2312" w:eastAsia="方正仿宋_GB2312" w:cs="方正仿宋_GB2312"/>
          <w:sz w:val="28"/>
          <w:szCs w:val="28"/>
          <w:lang w:val="en-US" w:eastAsia="zh-CN"/>
        </w:rPr>
        <w:t>相关费用</w:t>
      </w:r>
      <w:r>
        <w:rPr>
          <w:rFonts w:hint="eastAsia" w:ascii="方正仿宋_GB2312" w:hAnsi="方正仿宋_GB2312" w:eastAsia="方正仿宋_GB2312" w:cs="方正仿宋_GB2312"/>
          <w:sz w:val="28"/>
          <w:szCs w:val="28"/>
        </w:rPr>
        <w:t>、垃圾清运、水电费用、活动现场管理疏导等。</w:t>
      </w:r>
    </w:p>
    <w:p>
      <w:pPr>
        <w:spacing w:line="360" w:lineRule="auto"/>
        <w:ind w:firstLine="560" w:firstLineChars="200"/>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2、安保服务：</w:t>
      </w:r>
      <w:r>
        <w:rPr>
          <w:rFonts w:hint="eastAsia" w:ascii="方正仿宋_GB2312" w:hAnsi="方正仿宋_GB2312" w:eastAsia="方正仿宋_GB2312" w:cs="方正仿宋_GB2312"/>
          <w:sz w:val="28"/>
          <w:szCs w:val="28"/>
          <w:lang w:val="en-US" w:eastAsia="zh-CN"/>
        </w:rPr>
        <w:t>活动期间安保根据活动情况场地情况，制定合理安保方案，</w:t>
      </w:r>
      <w:r>
        <w:rPr>
          <w:rFonts w:hint="eastAsia" w:ascii="方正仿宋_GB2312" w:hAnsi="方正仿宋_GB2312" w:eastAsia="方正仿宋_GB2312" w:cs="方正仿宋_GB2312"/>
          <w:sz w:val="28"/>
          <w:szCs w:val="28"/>
        </w:rPr>
        <w:t>另有灭火器、喇叭、警戒线等物料</w:t>
      </w:r>
      <w:r>
        <w:rPr>
          <w:rFonts w:hint="eastAsia" w:ascii="方正仿宋_GB2312" w:hAnsi="方正仿宋_GB2312" w:eastAsia="方正仿宋_GB2312" w:cs="方正仿宋_GB2312"/>
          <w:sz w:val="28"/>
          <w:szCs w:val="28"/>
          <w:lang w:eastAsia="zh-CN"/>
        </w:rPr>
        <w:t>。</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3、场地搭建：</w:t>
      </w:r>
    </w:p>
    <w:p>
      <w:pPr>
        <w:spacing w:line="360" w:lineRule="auto"/>
        <w:ind w:firstLine="560" w:firstLineChars="200"/>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各点位（</w:t>
      </w:r>
      <w:r>
        <w:rPr>
          <w:rFonts w:hint="eastAsia" w:ascii="方正仿宋_GB2312" w:hAnsi="方正仿宋_GB2312" w:eastAsia="方正仿宋_GB2312" w:cs="方正仿宋_GB2312"/>
          <w:sz w:val="28"/>
          <w:szCs w:val="28"/>
          <w:lang w:val="en-US" w:eastAsia="zh-CN"/>
        </w:rPr>
        <w:t>七夕系列主题活动：喜文化活动</w:t>
      </w:r>
      <w:r>
        <w:rPr>
          <w:rFonts w:hint="eastAsia" w:ascii="方正仿宋_GB2312" w:hAnsi="方正仿宋_GB2312" w:eastAsia="方正仿宋_GB2312" w:cs="方正仿宋_GB2312"/>
          <w:sz w:val="28"/>
          <w:szCs w:val="28"/>
        </w:rPr>
        <w:t>招亲大会、30位民族演员多点位演艺、互动游戏：八旗寻宝；怀柔传统民俗活动：杨木杆舞、脚力、蹴鞠、撞拐</w:t>
      </w:r>
      <w:r>
        <w:rPr>
          <w:rFonts w:hint="eastAsia" w:ascii="方正仿宋_GB2312" w:hAnsi="方正仿宋_GB2312" w:eastAsia="方正仿宋_GB2312" w:cs="方正仿宋_GB2312"/>
          <w:sz w:val="28"/>
          <w:szCs w:val="28"/>
          <w:lang w:val="en-US" w:eastAsia="zh-CN"/>
        </w:rPr>
        <w:t>点位</w:t>
      </w:r>
      <w:r>
        <w:rPr>
          <w:rFonts w:hint="eastAsia" w:ascii="方正仿宋_GB2312" w:hAnsi="方正仿宋_GB2312" w:eastAsia="方正仿宋_GB2312" w:cs="方正仿宋_GB2312"/>
          <w:sz w:val="28"/>
          <w:szCs w:val="28"/>
        </w:rPr>
        <w:t>；怀柔生活集市与敛巧饭</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lang w:val="en-US" w:eastAsia="zh-CN"/>
        </w:rPr>
        <w:t>长城话事厅、长城开幕式平台处、长城秀区域；中秋系列主题活动：多布营地；国庆主题活动：怀柔生活集市</w:t>
      </w:r>
      <w:r>
        <w:rPr>
          <w:rFonts w:hint="eastAsia" w:ascii="方正仿宋_GB2312" w:hAnsi="方正仿宋_GB2312" w:eastAsia="方正仿宋_GB2312" w:cs="方正仿宋_GB2312"/>
          <w:sz w:val="28"/>
          <w:szCs w:val="28"/>
        </w:rPr>
        <w:t>）设计搭建、氛围布置、灯光氛围、移动音响系统以及配套物料</w:t>
      </w:r>
      <w:r>
        <w:rPr>
          <w:rFonts w:hint="eastAsia" w:ascii="方正仿宋_GB2312" w:hAnsi="方正仿宋_GB2312" w:eastAsia="方正仿宋_GB2312" w:cs="方正仿宋_GB2312"/>
          <w:sz w:val="28"/>
          <w:szCs w:val="28"/>
          <w:lang w:eastAsia="zh-CN"/>
        </w:rPr>
        <w:t>。</w:t>
      </w:r>
    </w:p>
    <w:p>
      <w:pPr>
        <w:spacing w:line="360" w:lineRule="auto"/>
        <w:rPr>
          <w:rFonts w:hint="eastAsia" w:ascii="方正仿宋_GB2312" w:hAnsi="方正仿宋_GB2312" w:eastAsia="方正仿宋_GB2312" w:cs="方正仿宋_GB2312"/>
          <w:b/>
          <w:bCs/>
          <w:sz w:val="28"/>
          <w:szCs w:val="28"/>
        </w:rPr>
      </w:pP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四、双方权利与义务</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1、甲方权利义务</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1.1甲方积极配合乙方策划组织和开展202</w:t>
      </w:r>
      <w:r>
        <w:rPr>
          <w:rFonts w:hint="eastAsia" w:ascii="方正仿宋_GB2312" w:hAnsi="方正仿宋_GB2312" w:eastAsia="方正仿宋_GB2312" w:cs="方正仿宋_GB2312"/>
          <w:sz w:val="28"/>
          <w:szCs w:val="28"/>
          <w:lang w:val="en-US" w:eastAsia="zh-CN"/>
        </w:rPr>
        <w:t>4</w:t>
      </w:r>
      <w:r>
        <w:rPr>
          <w:rFonts w:hint="eastAsia" w:ascii="方正仿宋_GB2312" w:hAnsi="方正仿宋_GB2312" w:eastAsia="方正仿宋_GB2312" w:cs="方正仿宋_GB2312"/>
          <w:sz w:val="28"/>
          <w:szCs w:val="28"/>
        </w:rPr>
        <w:t>年怀柔国潮文化节</w:t>
      </w:r>
      <w:r>
        <w:rPr>
          <w:rFonts w:hint="eastAsia" w:ascii="方正仿宋_GB2312" w:hAnsi="方正仿宋_GB2312" w:eastAsia="方正仿宋_GB2312" w:cs="方正仿宋_GB2312"/>
          <w:sz w:val="28"/>
          <w:szCs w:val="28"/>
          <w:lang w:val="en-US" w:eastAsia="zh-CN"/>
        </w:rPr>
        <w:t>品牌系列</w:t>
      </w:r>
      <w:r>
        <w:rPr>
          <w:rFonts w:hint="eastAsia" w:ascii="方正仿宋_GB2312" w:hAnsi="方正仿宋_GB2312" w:eastAsia="方正仿宋_GB2312" w:cs="方正仿宋_GB2312"/>
          <w:sz w:val="28"/>
          <w:szCs w:val="28"/>
        </w:rPr>
        <w:t>相关活动。</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1.2 甲方负责邀请相关代表到乙方企业及活动实施现场进行实地考察，出席期间的重要活动，乙方需按甲方整体要求进行配合。</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1.3甲方有权对乙方提交的活动整体方案、活动策划方案和设计方案提出修改意见和建议，所有活动资料，无论是草稿或定案稿，都应取得甲方书面核准，乙方应当根据甲方提出的意见和建议进行修改、调整，直至甲方认可方能执行。</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1.4在乙方实施本合同约定的活动之前，本合同的具体活动策划方案和执行方案必须经由甲方的审核及确认。</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1.5甲方有权对乙方购置或租用、制作的物品在活动开始前3天进行验收、抽检，对不符合要求的物品，乙方应负责更换或重做。因甲方临时增加需求导致延误活动时间的，甲方应赔偿乙方因此造成的全部损失。</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1.6.甲方应及时向乙方提出明确的工作要求并配合协助乙方工作，按双方约定的项目进度计划及时提供乙方服务所需的各种图片、文字原始资料和相关信息，并对以上资料的合法性、真实性负责，如因使用甲方提供的资料而引起乙方的任何法律纠纷和违规行为，一切责任均由甲方承担。</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2、乙方权利义务</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 乙方负责活动整体策划、组织和开展，制定活动执行方案（含日程、表演物料筹备、场景的设计方案及平面图等），并按甲方要求的时间提交给甲方讨论商定，乙方有义务根据甲方意见及建议完善方案，方案完善后再行由甲乙双方对方案进行签字确认。</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2.2 乙方应委派具有丰富经验和专业知识的工作人员组成项目工作组，并依据本合同条款，提供各项服务，合同有效期内甲方有权撤换乙方委派的甲方认为的能力不符之工作成员，以确保各项服务之素质。</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2.3 乙方负责</w:t>
      </w:r>
      <w:r>
        <w:rPr>
          <w:rFonts w:hint="eastAsia" w:ascii="方正仿宋_GB2312" w:hAnsi="方正仿宋_GB2312" w:eastAsia="方正仿宋_GB2312" w:cs="方正仿宋_GB2312"/>
          <w:sz w:val="28"/>
          <w:szCs w:val="28"/>
          <w:lang w:val="en-US" w:eastAsia="zh-CN"/>
        </w:rPr>
        <w:t>七夕节-怀柔喜文化活动</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怀柔生活集市</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敛巧饭、长城话事厅及开幕式活动策划与实施服务、长城时尚秀策划与实施服务、月下歌会策划与实施服务、</w:t>
      </w:r>
      <w:r>
        <w:rPr>
          <w:rFonts w:hint="eastAsia" w:ascii="方正仿宋_GB2312" w:hAnsi="方正仿宋_GB2312" w:eastAsia="方正仿宋_GB2312" w:cs="方正仿宋_GB2312"/>
          <w:sz w:val="28"/>
          <w:szCs w:val="28"/>
        </w:rPr>
        <w:t>设计服务与媒体传播</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lang w:val="en-US" w:eastAsia="zh-CN"/>
        </w:rPr>
        <w:t>中秋节-怀柔中秋音乐会活动、国庆节-怀柔国潮集市等内容，</w:t>
      </w:r>
      <w:r>
        <w:rPr>
          <w:rFonts w:hint="eastAsia" w:ascii="方正仿宋_GB2312" w:hAnsi="方正仿宋_GB2312" w:eastAsia="方正仿宋_GB2312" w:cs="方正仿宋_GB2312"/>
          <w:sz w:val="28"/>
          <w:szCs w:val="28"/>
        </w:rPr>
        <w:t>保障活动的顺利举行。相关费用已包含在合同总价中。</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2.4 乙方应接受甲方对活动的合理变动及调整，如甲方决定增加或调整相关活动项目，乙方应配合甲方工作，经调整后产生的费用由双方另行协商解决。</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2.5乙方在改变任何与活动相关的环节，应事先以书面形式征得甲方的书面同意。</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2.6 乙方有责任保证活动的计划性、完整性、条理性和合理性。</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2.7 乙方有权支配活动范围内乙方所有工作人员在活动全过程的工作。</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2.8 乙方应切实履行好所涉活动承办实施主体责任，严格落实各项要求，科学制定工作方案和应急预案，采取有力有效预防措施。 </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2.9乙方必须保证具备履行本协议演出的经营及运营相关资质与能力，并按照甲方的要求保质保量完成本协议演出活动,因乙方原因导致本协议不能履行而给甲方造成的损失和责任全部由乙方承担。</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2.10乙方负责按照活动策划方案的要求聘请演职人员、提供服装、道具、音乐等用于活动所需的物品，应当按照活动策划方案的要求开展自身业务。</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2.11乙方必须保证演出顺利进行且不得出现影响甲方形象的不文明举止。</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2.12乙方保证乙方的所有人员在活动现场遵守工作纪律及现场秩序，服从甲方统一安排与调度，在指定区域就位、彩排和休息。</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2.13乙方同意甲方使用带有乙方艺人名字的肖像、照片等制作本次活动的宣传材料，用于本次宣传。</w:t>
      </w:r>
    </w:p>
    <w:p>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2.14.乙方须对安排参加本次活动的人员进行安全提示及必要的安全教育，本合同履行期间因乙方安排参加本次活动的人员自身及给他人造成损害或损失的，所有的责任及损失均由乙方自行承担。</w:t>
      </w:r>
    </w:p>
    <w:p>
      <w:pPr>
        <w:spacing w:line="360" w:lineRule="auto"/>
        <w:ind w:firstLine="562" w:firstLineChars="200"/>
        <w:rPr>
          <w:rFonts w:hint="eastAsia" w:ascii="方正仿宋_GB2312" w:hAnsi="方正仿宋_GB2312" w:eastAsia="方正仿宋_GB2312" w:cs="方正仿宋_GB2312"/>
          <w:color w:val="000000"/>
          <w:kern w:val="0"/>
          <w:sz w:val="28"/>
          <w:szCs w:val="28"/>
          <w:lang w:bidi="ar"/>
        </w:rPr>
      </w:pPr>
      <w:r>
        <w:rPr>
          <w:rFonts w:hint="eastAsia" w:ascii="方正仿宋_GB2312" w:hAnsi="方正仿宋_GB2312" w:eastAsia="方正仿宋_GB2312" w:cs="方正仿宋_GB2312"/>
          <w:b/>
          <w:bCs/>
          <w:sz w:val="28"/>
          <w:szCs w:val="28"/>
        </w:rPr>
        <w:t>五、费用及付款方式</w:t>
      </w:r>
    </w:p>
    <w:p>
      <w:pPr>
        <w:widowControl/>
        <w:spacing w:line="360" w:lineRule="auto"/>
        <w:ind w:left="19" w:leftChars="9"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1、本协议活动费用（含税</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%，合同税率遇国家税率调整，按即行的国家税率政策执行）共计人民币</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sz w:val="28"/>
          <w:szCs w:val="28"/>
        </w:rPr>
        <w:t>元，大写</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rPr>
        <w:t>元整</w:t>
      </w:r>
      <w:r>
        <w:rPr>
          <w:rFonts w:hint="eastAsia" w:ascii="方正仿宋_GB2312" w:hAnsi="方正仿宋_GB2312" w:eastAsia="方正仿宋_GB2312" w:cs="方正仿宋_GB2312"/>
          <w:sz w:val="28"/>
          <w:szCs w:val="28"/>
        </w:rPr>
        <w:t>。此费用已包含乙方为履行本合同的所有费用，甲方无须另行支付其它</w:t>
      </w:r>
      <w:r>
        <w:rPr>
          <w:rFonts w:hint="eastAsia" w:ascii="方正仿宋_GB2312" w:hAnsi="方正仿宋_GB2312" w:eastAsia="方正仿宋_GB2312" w:cs="方正仿宋_GB2312"/>
          <w:sz w:val="28"/>
          <w:szCs w:val="28"/>
          <w:highlight w:val="none"/>
        </w:rPr>
        <w:t>任何费用。（具体详见合同附件）</w:t>
      </w:r>
    </w:p>
    <w:p>
      <w:pPr>
        <w:widowControl/>
        <w:spacing w:line="360" w:lineRule="auto"/>
        <w:ind w:left="19" w:leftChars="9"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2、付款方式：</w:t>
      </w:r>
    </w:p>
    <w:p>
      <w:pPr>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2.1本协议活动费用共计人民币</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rPr>
        <w:t>元，大写：</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rPr>
        <w:t>元整（该费用包含开票税费，税率为</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rPr>
        <w:t xml:space="preserve">%）。 </w:t>
      </w:r>
    </w:p>
    <w:p>
      <w:pPr>
        <w:spacing w:line="360" w:lineRule="auto"/>
        <w:ind w:firstLine="560" w:firstLineChars="20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rPr>
        <w:t>2.2付款方式：本协议签订之后</w:t>
      </w:r>
      <w:r>
        <w:rPr>
          <w:rFonts w:hint="eastAsia" w:ascii="方正仿宋_GB2312" w:hAnsi="方正仿宋_GB2312" w:eastAsia="方正仿宋_GB2312" w:cs="方正仿宋_GB2312"/>
          <w:color w:val="auto"/>
          <w:sz w:val="28"/>
          <w:szCs w:val="28"/>
          <w:u w:val="single"/>
        </w:rPr>
        <w:t xml:space="preserve"> 3  </w:t>
      </w:r>
      <w:r>
        <w:rPr>
          <w:rFonts w:hint="eastAsia" w:ascii="方正仿宋_GB2312" w:hAnsi="方正仿宋_GB2312" w:eastAsia="方正仿宋_GB2312" w:cs="方正仿宋_GB2312"/>
          <w:color w:val="auto"/>
          <w:sz w:val="28"/>
          <w:szCs w:val="28"/>
        </w:rPr>
        <w:t>个工作日内,甲方向乙方支付本协议</w:t>
      </w:r>
      <w:r>
        <w:rPr>
          <w:rFonts w:hint="eastAsia" w:ascii="方正仿宋_GB2312" w:hAnsi="方正仿宋_GB2312" w:eastAsia="方正仿宋_GB2312" w:cs="方正仿宋_GB2312"/>
          <w:color w:val="auto"/>
          <w:sz w:val="28"/>
          <w:szCs w:val="28"/>
          <w:highlight w:val="none"/>
        </w:rPr>
        <w:t>总价的</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50</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即人民币</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元 ，大写：</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元整；</w:t>
      </w:r>
    </w:p>
    <w:p>
      <w:pPr>
        <w:shd w:val="clear" w:color="auto" w:fill="FFFFFF"/>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highlight w:val="none"/>
        </w:rPr>
        <w:t>2.3活动结束后3个工作日内，甲方支付乙方本合同总价款的</w:t>
      </w:r>
      <w:r>
        <w:rPr>
          <w:rFonts w:hint="eastAsia" w:ascii="方正仿宋_GB2312" w:hAnsi="方正仿宋_GB2312" w:eastAsia="方正仿宋_GB2312" w:cs="方正仿宋_GB2312"/>
          <w:color w:val="auto"/>
          <w:sz w:val="28"/>
          <w:szCs w:val="28"/>
          <w:highlight w:val="none"/>
          <w:u w:val="single"/>
        </w:rPr>
        <w:t xml:space="preserve"> 30 </w:t>
      </w:r>
      <w:r>
        <w:rPr>
          <w:rFonts w:hint="eastAsia" w:ascii="方正仿宋_GB2312" w:hAnsi="方正仿宋_GB2312" w:eastAsia="方正仿宋_GB2312" w:cs="方正仿宋_GB2312"/>
          <w:color w:val="auto"/>
          <w:sz w:val="28"/>
          <w:szCs w:val="28"/>
          <w:highlight w:val="none"/>
        </w:rPr>
        <w:t>%采购</w:t>
      </w:r>
      <w:r>
        <w:rPr>
          <w:rFonts w:hint="eastAsia" w:ascii="方正仿宋_GB2312" w:hAnsi="方正仿宋_GB2312" w:eastAsia="方正仿宋_GB2312" w:cs="方正仿宋_GB2312"/>
          <w:color w:val="auto"/>
          <w:sz w:val="28"/>
          <w:szCs w:val="28"/>
        </w:rPr>
        <w:t>款即人民币</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rPr>
        <w:t>元，大写：</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rPr>
        <w:t>元整。</w:t>
      </w:r>
    </w:p>
    <w:p>
      <w:pPr>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2.4活动结束后经怀柔区财政局进行结算评审，根据财政局进行评审完成且双方无异议后</w:t>
      </w:r>
      <w:r>
        <w:rPr>
          <w:rFonts w:hint="eastAsia" w:ascii="方正仿宋_GB2312" w:hAnsi="方正仿宋_GB2312" w:eastAsia="方正仿宋_GB2312" w:cs="方正仿宋_GB2312"/>
          <w:color w:val="auto"/>
          <w:sz w:val="28"/>
          <w:szCs w:val="28"/>
          <w:u w:val="single"/>
        </w:rPr>
        <w:t xml:space="preserve"> 10 </w:t>
      </w:r>
      <w:r>
        <w:rPr>
          <w:rFonts w:hint="eastAsia" w:ascii="方正仿宋_GB2312" w:hAnsi="方正仿宋_GB2312" w:eastAsia="方正仿宋_GB2312" w:cs="方正仿宋_GB2312"/>
          <w:color w:val="auto"/>
          <w:sz w:val="28"/>
          <w:szCs w:val="28"/>
        </w:rPr>
        <w:t>个工作日内支付尾款，甲方以</w:t>
      </w:r>
      <w:r>
        <w:rPr>
          <w:rFonts w:hint="eastAsia" w:ascii="方正仿宋_GB2312" w:hAnsi="方正仿宋_GB2312" w:eastAsia="方正仿宋_GB2312" w:cs="方正仿宋_GB2312"/>
          <w:color w:val="auto"/>
          <w:sz w:val="28"/>
          <w:szCs w:val="28"/>
          <w:u w:val="single"/>
        </w:rPr>
        <w:t xml:space="preserve"> 银行转账 </w:t>
      </w:r>
      <w:r>
        <w:rPr>
          <w:rFonts w:hint="eastAsia" w:ascii="方正仿宋_GB2312" w:hAnsi="方正仿宋_GB2312" w:eastAsia="方正仿宋_GB2312" w:cs="方正仿宋_GB2312"/>
          <w:color w:val="auto"/>
          <w:sz w:val="28"/>
          <w:szCs w:val="28"/>
        </w:rPr>
        <w:t>方式为乙方结算，本协议最终结算价格以财政局确定最终评审价款为准。</w:t>
      </w:r>
    </w:p>
    <w:p>
      <w:pPr>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2.5甲方以</w:t>
      </w:r>
      <w:r>
        <w:rPr>
          <w:rFonts w:hint="eastAsia" w:ascii="方正仿宋_GB2312" w:hAnsi="方正仿宋_GB2312" w:eastAsia="方正仿宋_GB2312" w:cs="方正仿宋_GB2312"/>
          <w:color w:val="auto"/>
          <w:sz w:val="28"/>
          <w:szCs w:val="28"/>
          <w:u w:val="single"/>
        </w:rPr>
        <w:t xml:space="preserve"> 银行转账 </w:t>
      </w:r>
      <w:r>
        <w:rPr>
          <w:rFonts w:hint="eastAsia" w:ascii="方正仿宋_GB2312" w:hAnsi="方正仿宋_GB2312" w:eastAsia="方正仿宋_GB2312" w:cs="方正仿宋_GB2312"/>
          <w:color w:val="auto"/>
          <w:sz w:val="28"/>
          <w:szCs w:val="28"/>
        </w:rPr>
        <w:t xml:space="preserve"> 方式为乙方结算，本协议最终结算价格以财政局确定最终评审价款为准。</w:t>
      </w:r>
    </w:p>
    <w:p>
      <w:pPr>
        <w:numPr>
          <w:ilvl w:val="0"/>
          <w:numId w:val="2"/>
        </w:num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auto"/>
          <w:sz w:val="28"/>
          <w:szCs w:val="28"/>
        </w:rPr>
        <w:t>发票：乙方在甲方付款</w:t>
      </w:r>
      <w:r>
        <w:rPr>
          <w:rFonts w:hint="eastAsia" w:ascii="方正仿宋_GB2312" w:hAnsi="方正仿宋_GB2312" w:eastAsia="方正仿宋_GB2312" w:cs="方正仿宋_GB2312"/>
          <w:sz w:val="28"/>
          <w:szCs w:val="28"/>
        </w:rPr>
        <w:t>前</w:t>
      </w:r>
      <w:r>
        <w:rPr>
          <w:rFonts w:hint="eastAsia" w:ascii="方正仿宋_GB2312" w:hAnsi="方正仿宋_GB2312" w:eastAsia="方正仿宋_GB2312" w:cs="方正仿宋_GB2312"/>
          <w:sz w:val="28"/>
          <w:szCs w:val="28"/>
          <w:u w:val="single"/>
        </w:rPr>
        <w:t>3</w:t>
      </w:r>
      <w:r>
        <w:rPr>
          <w:rFonts w:hint="eastAsia" w:ascii="方正仿宋_GB2312" w:hAnsi="方正仿宋_GB2312" w:eastAsia="方正仿宋_GB2312" w:cs="方正仿宋_GB2312"/>
          <w:sz w:val="28"/>
          <w:szCs w:val="28"/>
        </w:rPr>
        <w:t>日为甲方开具增值税专用等额发票(发票金额为含税金额并且必须真实合法有效)，乙方负责支付按照国家规定与本协议执行有关的相关税费，直至本协议执行完成，一切税费已由乙方计入本协议总价之中。</w:t>
      </w:r>
    </w:p>
    <w:p>
      <w:pPr>
        <w:numPr>
          <w:ilvl w:val="0"/>
          <w:numId w:val="0"/>
        </w:num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4、乙方账户信息：</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公司名称：</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统一社会信用代码：</w:t>
      </w:r>
    </w:p>
    <w:p>
      <w:pPr>
        <w:spacing w:line="360" w:lineRule="auto"/>
        <w:ind w:firstLine="560" w:firstLineChars="200"/>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电话</w:t>
      </w:r>
      <w:r>
        <w:rPr>
          <w:rFonts w:hint="eastAsia" w:ascii="方正仿宋_GB2312" w:hAnsi="方正仿宋_GB2312" w:eastAsia="方正仿宋_GB2312" w:cs="方正仿宋_GB2312"/>
          <w:sz w:val="28"/>
          <w:szCs w:val="28"/>
          <w:lang w:eastAsia="zh-CN"/>
        </w:rPr>
        <w:t>：</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开户银行：</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开户账号：</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地址：</w:t>
      </w: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五、 保密原则</w:t>
      </w:r>
    </w:p>
    <w:p>
      <w:pPr>
        <w:pStyle w:val="51"/>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甲、乙双方承诺基于诚实信用原则严格保守对方商业秘密（包括具体方案、制作费用、设计图资料等），未经对方书面许可不得向第三方披露，否则视同违约。 </w:t>
      </w:r>
    </w:p>
    <w:p>
      <w:pPr>
        <w:pStyle w:val="51"/>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2、甲、乙双方承诺严格保守本合同及本合同相关条款约定的秘密，未经对方书面许可不得向第三方披露，否则视同违约。</w:t>
      </w:r>
    </w:p>
    <w:p>
      <w:pPr>
        <w:pStyle w:val="51"/>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3、乙方保证未取得甲方书面许可，不得将甲方提交的材料及制作成果挪作他用或者允许第三方使用，否则甲方有权要求乙方承担合同总金额20%的违约金，违约金不足以弥补损失的，甲方有权继续追偿。</w:t>
      </w: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六、知识产权</w:t>
      </w:r>
    </w:p>
    <w:p>
      <w:pPr>
        <w:pStyle w:val="51"/>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1.乙方必须保证其提供的</w:t>
      </w:r>
      <w:r>
        <w:rPr>
          <w:rFonts w:hint="eastAsia" w:ascii="方正仿宋_GB2312" w:hAnsi="方正仿宋_GB2312" w:eastAsia="方正仿宋_GB2312" w:cs="方正仿宋_GB2312"/>
          <w:sz w:val="28"/>
          <w:szCs w:val="28"/>
          <w:lang w:val="en-US" w:eastAsia="zh-CN"/>
        </w:rPr>
        <w:t>设计、活动策划服务、</w:t>
      </w:r>
      <w:r>
        <w:rPr>
          <w:rFonts w:hint="eastAsia" w:ascii="方正仿宋_GB2312" w:hAnsi="方正仿宋_GB2312" w:eastAsia="方正仿宋_GB2312" w:cs="方正仿宋_GB2312"/>
          <w:sz w:val="28"/>
          <w:szCs w:val="28"/>
        </w:rPr>
        <w:t>演出服务</w:t>
      </w:r>
      <w:r>
        <w:rPr>
          <w:rFonts w:hint="eastAsia" w:ascii="方正仿宋_GB2312" w:hAnsi="方正仿宋_GB2312" w:eastAsia="方正仿宋_GB2312" w:cs="方正仿宋_GB2312"/>
          <w:sz w:val="28"/>
          <w:szCs w:val="28"/>
          <w:lang w:val="en-US" w:eastAsia="zh-CN"/>
        </w:rPr>
        <w:t>等内容</w:t>
      </w:r>
      <w:r>
        <w:rPr>
          <w:rFonts w:hint="eastAsia" w:ascii="方正仿宋_GB2312" w:hAnsi="方正仿宋_GB2312" w:eastAsia="方正仿宋_GB2312" w:cs="方正仿宋_GB2312"/>
          <w:sz w:val="28"/>
          <w:szCs w:val="28"/>
        </w:rPr>
        <w:t>不侵犯任何第三方的合法权益，并且甲方不会受到任何第三方的侵权指控或索赔，包括但不限于肖像权、知识产权、专利权、商标权及著作权等。如有任何第三方的侵权指控或索赔发生，乙方将承担全部责任并及时妥善处理相关事宜，以保证甲方处于合法使用状态，如因上述原因导致甲方受到损失的，所产生的责任、费用和损失均由乙方承担。</w:t>
      </w:r>
    </w:p>
    <w:p>
      <w:pPr>
        <w:widowControl/>
        <w:tabs>
          <w:tab w:val="left" w:pos="420"/>
        </w:tabs>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乙方确保此直播过程中以及向甲方交付的短视频及长视频中所采用的音乐、声效、画面、演员影视肖像等内容不侵犯任何第三方知识产权、肖像权或其他合法权利，否则因此产生的法律责任及损害赔偿责任均由乙方承担，由甲方提供的演艺人员肖像权由甲方负责。</w:t>
      </w:r>
    </w:p>
    <w:p>
      <w:pPr>
        <w:widowControl/>
        <w:tabs>
          <w:tab w:val="left" w:pos="420"/>
        </w:tabs>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3.乙方向甲方交付的短视频及长视频中涉及到的乙方所有“达人”及各种网红达人真实有效的肖像使用权授权书。</w:t>
      </w:r>
    </w:p>
    <w:p>
      <w:pPr>
        <w:widowControl/>
        <w:tabs>
          <w:tab w:val="left" w:pos="420"/>
        </w:tabs>
        <w:spacing w:line="360" w:lineRule="auto"/>
        <w:ind w:firstLine="560" w:firstLineChars="200"/>
        <w:rPr>
          <w:rFonts w:hint="eastAsia" w:ascii="方正仿宋_GB2312" w:hAnsi="方正仿宋_GB2312" w:eastAsia="方正仿宋_GB2312" w:cs="方正仿宋_GB2312"/>
          <w:sz w:val="28"/>
          <w:szCs w:val="28"/>
        </w:rPr>
      </w:pP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七、不可抗力</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1、因不可抗力导致不能履行合同的，根据不可抗力的影响，部分或者全部免除责任，但双方另有约定的除外。</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2、合同一方因不可抗力不能履行合同的，应当在不可抗力发生后</w:t>
      </w:r>
      <w:r>
        <w:rPr>
          <w:rFonts w:hint="eastAsia" w:ascii="方正仿宋_GB2312" w:hAnsi="方正仿宋_GB2312" w:eastAsia="方正仿宋_GB2312" w:cs="方正仿宋_GB2312"/>
          <w:sz w:val="28"/>
          <w:szCs w:val="28"/>
          <w:u w:val="single"/>
        </w:rPr>
        <w:t xml:space="preserve"> 3 </w:t>
      </w:r>
      <w:r>
        <w:rPr>
          <w:rFonts w:hint="eastAsia" w:ascii="方正仿宋_GB2312" w:hAnsi="方正仿宋_GB2312" w:eastAsia="方正仿宋_GB2312" w:cs="方正仿宋_GB2312"/>
          <w:sz w:val="28"/>
          <w:szCs w:val="28"/>
        </w:rPr>
        <w:t>日书面通知另一方，双方还应协商解决办法，以减轻可能给另一方造成的损失，发生不可抗力的一方应当在30日内提供有效证明。</w:t>
      </w: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八、违约责任</w:t>
      </w:r>
    </w:p>
    <w:p>
      <w:pPr>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1、本协议签订后，乙方应按本合同约定的时间及甲方要求完成本合同项下的活动内容，乙方未按本合同约定履行义务，导致活动未能按期举行、未能成功举行或乙方无故拖延提供相应服务引至甲方不能达到合同目的，乙方应返还甲方已支付的全部款项。但因甲方未及时完成必要的审批、甲方未及时付款导致工作推进受限、以及其他甲方原因</w:t>
      </w:r>
      <w:r>
        <w:rPr>
          <w:rFonts w:hint="eastAsia" w:ascii="方正仿宋_GB2312" w:hAnsi="方正仿宋_GB2312" w:eastAsia="方正仿宋_GB2312" w:cs="方正仿宋_GB2312"/>
          <w:color w:val="auto"/>
          <w:sz w:val="28"/>
          <w:szCs w:val="28"/>
          <w:lang w:val="en-US" w:eastAsia="zh-CN"/>
        </w:rPr>
        <w:t>需按照全部款项的‰1支付每日违约金，直至付款完结为止</w:t>
      </w:r>
      <w:r>
        <w:rPr>
          <w:rFonts w:hint="eastAsia" w:ascii="方正仿宋_GB2312" w:hAnsi="方正仿宋_GB2312" w:eastAsia="方正仿宋_GB2312" w:cs="方正仿宋_GB2312"/>
          <w:color w:val="auto"/>
          <w:sz w:val="28"/>
          <w:szCs w:val="28"/>
        </w:rPr>
        <w:t>。</w:t>
      </w:r>
    </w:p>
    <w:p>
      <w:pPr>
        <w:spacing w:line="360" w:lineRule="auto"/>
        <w:ind w:firstLine="560"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z w:val="28"/>
          <w:szCs w:val="28"/>
        </w:rPr>
        <w:t>2、甲方无故未按本协议约定时间付款的，乙方应及时向甲方进行催要，自乙方催要后十五日内甲方仍未支付的，每延期付款一日，应按本协议总费用(应付费用）的万分之五向乙方支付违约金。如果甲方不能履行本协议义务超过30日的，乙方可以立即终止本协议，并要求甲方赔偿因此给乙方造成的损失。</w:t>
      </w: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九、 争议解决</w:t>
      </w:r>
    </w:p>
    <w:p>
      <w:pPr>
        <w:spacing w:line="360" w:lineRule="auto"/>
        <w:ind w:firstLine="48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本合同履行过程中双方如有争议，应通过友好协商解决，如果协商不成的，双方一致同意可向甲方所在地人民法院提起诉讼解决。</w:t>
      </w:r>
    </w:p>
    <w:p>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第十条  附 则</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1、在履行本合同过程中若发生争议的，双方应友好协商解决。如协商不成甲、乙双方均可向甲方所在地的人民法院提起诉讼。</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2、与本合同有关的所有文件均用中文书写。本合同未尽事宜，双方应另行商议并签订书面补充协议，补充协议与本合同都具有同等法律效力。</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3、本合同一式两份，甲乙双方各执一份，自双方法定代表人或委托代理人签字并加盖公章或合同章后生效，具有同等法律效力。</w:t>
      </w:r>
    </w:p>
    <w:p>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4、乙方营业执照复印件、乙方法定代表人身份证复印件、乙方</w:t>
      </w:r>
      <w:r>
        <w:rPr>
          <w:rFonts w:hint="eastAsia" w:ascii="方正仿宋_GB2312" w:hAnsi="方正仿宋_GB2312" w:eastAsia="方正仿宋_GB2312" w:cs="方正仿宋_GB2312"/>
          <w:sz w:val="28"/>
          <w:szCs w:val="28"/>
          <w:lang w:val="en-US" w:eastAsia="zh-CN"/>
        </w:rPr>
        <w:t>设计方案</w:t>
      </w:r>
      <w:r>
        <w:rPr>
          <w:rFonts w:hint="eastAsia" w:ascii="方正仿宋_GB2312" w:hAnsi="方正仿宋_GB2312" w:eastAsia="方正仿宋_GB2312" w:cs="方正仿宋_GB2312"/>
          <w:sz w:val="28"/>
          <w:szCs w:val="28"/>
        </w:rPr>
        <w:t>搭建舞台的面积及效果图、音响数量及品牌、拟定的演出人员名单及</w:t>
      </w:r>
      <w:r>
        <w:rPr>
          <w:rFonts w:hint="eastAsia" w:ascii="方正仿宋_GB2312" w:hAnsi="方正仿宋_GB2312" w:eastAsia="方正仿宋_GB2312" w:cs="方正仿宋_GB2312"/>
          <w:sz w:val="28"/>
          <w:szCs w:val="28"/>
          <w:lang w:val="en-US" w:eastAsia="zh-CN"/>
        </w:rPr>
        <w:t>项目预算表作为</w:t>
      </w:r>
      <w:r>
        <w:rPr>
          <w:rFonts w:hint="eastAsia" w:ascii="方正仿宋_GB2312" w:hAnsi="方正仿宋_GB2312" w:eastAsia="方正仿宋_GB2312" w:cs="方正仿宋_GB2312"/>
          <w:sz w:val="28"/>
          <w:szCs w:val="28"/>
        </w:rPr>
        <w:t>本合同附件附后。</w:t>
      </w:r>
    </w:p>
    <w:p>
      <w:pPr>
        <w:pStyle w:val="2"/>
        <w:spacing w:line="360" w:lineRule="auto"/>
        <w:ind w:firstLine="560" w:firstLineChars="200"/>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以下无正文</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lang w:val="en-US" w:eastAsia="zh-CN"/>
        </w:rPr>
        <w:t>为合同签署页。</w:t>
      </w:r>
    </w:p>
    <w:p>
      <w:pPr>
        <w:spacing w:line="360" w:lineRule="auto"/>
        <w:rPr>
          <w:rFonts w:hint="eastAsia" w:ascii="方正仿宋_GB2312" w:hAnsi="方正仿宋_GB2312" w:eastAsia="方正仿宋_GB2312" w:cs="方正仿宋_GB2312"/>
          <w:sz w:val="28"/>
          <w:szCs w:val="28"/>
        </w:rPr>
      </w:pPr>
    </w:p>
    <w:p>
      <w:pPr>
        <w:spacing w:line="360" w:lineRule="auto"/>
        <w:rPr>
          <w:rFonts w:hint="eastAsia" w:ascii="方正仿宋_GB2312" w:hAnsi="方正仿宋_GB2312" w:eastAsia="方正仿宋_GB2312" w:cs="方正仿宋_GB2312"/>
          <w:sz w:val="28"/>
          <w:szCs w:val="28"/>
        </w:rPr>
      </w:pPr>
    </w:p>
    <w:p>
      <w:pPr>
        <w:spacing w:line="360" w:lineRule="auto"/>
        <w:jc w:val="left"/>
        <w:rPr>
          <w:rFonts w:hint="eastAsia" w:ascii="方正仿宋_GB2312" w:hAnsi="方正仿宋_GB2312" w:eastAsia="方正仿宋_GB2312" w:cs="方正仿宋_GB2312"/>
          <w:sz w:val="28"/>
          <w:szCs w:val="28"/>
        </w:rPr>
      </w:pPr>
    </w:p>
    <w:p>
      <w:pPr>
        <w:spacing w:line="360" w:lineRule="auto"/>
        <w:rPr>
          <w:rFonts w:hint="eastAsia" w:ascii="方正仿宋_GB2312" w:hAnsi="方正仿宋_GB2312" w:eastAsia="方正仿宋_GB2312" w:cs="方正仿宋_GB2312"/>
          <w:sz w:val="28"/>
          <w:szCs w:val="28"/>
        </w:rPr>
      </w:pPr>
    </w:p>
    <w:p>
      <w:pPr>
        <w:spacing w:line="360" w:lineRule="auto"/>
        <w:jc w:val="left"/>
        <w:rPr>
          <w:rFonts w:hint="eastAsia" w:ascii="方正仿宋_GB2312" w:hAnsi="方正仿宋_GB2312" w:eastAsia="方正仿宋_GB2312" w:cs="方正仿宋_GB2312"/>
          <w:sz w:val="28"/>
          <w:szCs w:val="28"/>
        </w:rPr>
      </w:pPr>
    </w:p>
    <w:p>
      <w:pPr>
        <w:spacing w:line="360" w:lineRule="auto"/>
        <w:jc w:val="lef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甲方：</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乙方：</w:t>
      </w:r>
    </w:p>
    <w:p>
      <w:pPr>
        <w:spacing w:line="360" w:lineRule="auto"/>
        <w:jc w:val="lef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（盖章）                            （盖章）</w:t>
      </w:r>
    </w:p>
    <w:p>
      <w:pPr>
        <w:spacing w:line="360" w:lineRule="auto"/>
        <w:jc w:val="lef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法定代表人签字：                     法定代表人签字：</w:t>
      </w:r>
    </w:p>
    <w:p>
      <w:pPr>
        <w:spacing w:line="360" w:lineRule="auto"/>
        <w:jc w:val="lef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或授权代表签字：                     或授权代表签字：</w:t>
      </w:r>
    </w:p>
    <w:p>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联系电话：                           联系电话： </w:t>
      </w:r>
    </w:p>
    <w:p>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签订日期：                           签</w:t>
      </w:r>
      <w:r>
        <w:rPr>
          <w:rFonts w:hint="eastAsia" w:ascii="方正仿宋_GB2312" w:hAnsi="方正仿宋_GB2312" w:eastAsia="方正仿宋_GB2312" w:cs="方正仿宋_GB2312"/>
          <w:sz w:val="28"/>
          <w:szCs w:val="28"/>
          <w:lang w:val="en-US" w:eastAsia="zh-CN"/>
        </w:rPr>
        <w:t>订</w:t>
      </w:r>
      <w:r>
        <w:rPr>
          <w:rFonts w:hint="eastAsia" w:ascii="方正仿宋_GB2312" w:hAnsi="方正仿宋_GB2312" w:eastAsia="方正仿宋_GB2312" w:cs="方正仿宋_GB2312"/>
          <w:sz w:val="28"/>
          <w:szCs w:val="28"/>
        </w:rPr>
        <w:t>日期：</w:t>
      </w:r>
    </w:p>
    <w:p>
      <w:pPr>
        <w:spacing w:line="360" w:lineRule="auto"/>
        <w:rPr>
          <w:rFonts w:hint="eastAsia" w:ascii="方正仿宋_GB2312" w:hAnsi="方正仿宋_GB2312" w:eastAsia="方正仿宋_GB2312" w:cs="方正仿宋_GB2312"/>
          <w:sz w:val="28"/>
          <w:szCs w:val="28"/>
        </w:rPr>
      </w:pPr>
    </w:p>
    <w:p>
      <w:pPr>
        <w:spacing w:line="360" w:lineRule="auto"/>
        <w:jc w:val="center"/>
        <w:rPr>
          <w:rFonts w:hint="eastAsia" w:ascii="方正仿宋_GB2312" w:hAnsi="方正仿宋_GB2312" w:eastAsia="方正仿宋_GB2312" w:cs="方正仿宋_GB2312"/>
          <w:sz w:val="28"/>
          <w:szCs w:val="28"/>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br w:type="page"/>
      </w:r>
      <w:bookmarkStart w:id="94" w:name="_Toc2416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投标文件格式</w:t>
      </w:r>
      <w:bookmarkEnd w:id="94"/>
    </w:p>
    <w:p>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投标人编制文件须知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1、投标人按照本部分的顺序编制投标文件（资格证明文件）、投标文件（商务技术文件），编制中涉及格式资料的，应按照本部分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供的内容和格式（所有表格的格式可扩展）填写</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。未标记“实质性格式”的文件和招标文件未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供格式的内容，可由投标人自行编写。</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3、全部声明和问题的回答及所附材料必须是真实的、准确的和完整的。</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95" w:name="_Toc146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一、资格证明文件格式</w:t>
      </w:r>
      <w:bookmarkEnd w:id="95"/>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投标文件（资格证明</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文件）封面（非实质性格式）</w:t>
      </w:r>
    </w:p>
    <w:p>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96" w:name="_Toc7775"/>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96"/>
    </w:p>
    <w:p>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（资</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格</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证</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明</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97" w:name="_Toc17839"/>
      <w:r>
        <w:rPr>
          <w:rFonts w:hint="eastAsia" w:ascii="宋体" w:hAnsi="宋体" w:eastAsia="宋体" w:cs="宋体"/>
          <w:spacing w:val="0"/>
          <w:w w:val="100"/>
          <w:position w:val="0"/>
          <w:sz w:val="24"/>
          <w:szCs w:val="24"/>
        </w:rPr>
        <w:t>1   满足《中华人民共和国政府采购法》第二十二条规定</w:t>
      </w:r>
      <w:bookmarkEnd w:id="97"/>
    </w:p>
    <w:p>
      <w:pPr>
        <w:pStyle w:val="6"/>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spacing w:val="0"/>
          <w:w w:val="100"/>
          <w:position w:val="0"/>
          <w:sz w:val="24"/>
          <w:szCs w:val="24"/>
        </w:rPr>
      </w:pPr>
      <w:bookmarkStart w:id="98" w:name="_Toc25714"/>
      <w:r>
        <w:rPr>
          <w:rFonts w:hint="eastAsia" w:ascii="宋体" w:hAnsi="宋体" w:eastAsia="宋体" w:cs="宋体"/>
          <w:spacing w:val="0"/>
          <w:w w:val="100"/>
          <w:position w:val="0"/>
          <w:sz w:val="24"/>
          <w:szCs w:val="24"/>
        </w:rPr>
        <w:t>1-1  营业执照等证明文件</w:t>
      </w:r>
      <w:bookmarkEnd w:id="98"/>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投标人资格声明书</w:t>
      </w:r>
    </w:p>
    <w:p>
      <w:pPr>
        <w:pStyle w:val="6"/>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spacing w:val="0"/>
          <w:w w:val="100"/>
          <w:position w:val="0"/>
          <w:sz w:val="36"/>
          <w:szCs w:val="36"/>
        </w:rPr>
      </w:pPr>
      <w:bookmarkStart w:id="99" w:name="_Toc20676"/>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投标人资格声明书</w:t>
      </w:r>
      <w:bookmarkEnd w:id="99"/>
    </w:p>
    <w:p>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在参与本次项目投标中，我单位承诺：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（一）具有良好的商业信誉和健全的财务会计制度；</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（二）具有履行合同所必需的设备和专业技术能力；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（三）有依法缴纳税收和社会保障资金的良好记录；</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（五）我单位不属于政府采购法律、行政法规规定的公益一类事业单位、或使用事业编制且由财政拨款保障的群团组织（仅适用于政府购买服务项目）；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（六）我单位不存在为采购项目</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供整体设计、规范编制或者项目管理、监理、检测等服务后，再参加该采购项目的其他采购活动的情形（单一来源采购项目除外）；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（七）与我单位存在“单位负责人为同一人或者存在直接控股、管理关系”的其他法人单位信息如下（如有，不论其是否参加同一合同项下的政府采购活动均须填写）：</w:t>
      </w:r>
    </w:p>
    <w:p>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3"/>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pPr>
              <w:pStyle w:val="24"/>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4571" w:type="dxa"/>
            <w:vAlign w:val="top"/>
          </w:tcPr>
          <w:p>
            <w:pPr>
              <w:pStyle w:val="24"/>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单位名称</w:t>
            </w:r>
          </w:p>
        </w:tc>
        <w:tc>
          <w:tcPr>
            <w:tcW w:w="2979" w:type="dxa"/>
            <w:vAlign w:val="top"/>
          </w:tcPr>
          <w:p>
            <w:pPr>
              <w:pStyle w:val="24"/>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上述声明真实有效，否则我方负全部责任。</w:t>
      </w:r>
    </w:p>
    <w:p>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说明：供应商承诺不实的，依据《政府采购法》第七十七条“</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供虚假材料谋取中标、成交的”有关规定予以处理。</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0" w:name="_Toc24046"/>
      <w:r>
        <w:rPr>
          <w:rFonts w:hint="eastAsia" w:ascii="宋体" w:hAnsi="宋体" w:eastAsia="宋体" w:cs="宋体"/>
          <w:spacing w:val="0"/>
          <w:w w:val="100"/>
          <w:position w:val="0"/>
          <w:sz w:val="24"/>
          <w:szCs w:val="24"/>
        </w:rPr>
        <w:t>2   落实政府采购政策需满足的资格要求（如有）</w:t>
      </w:r>
      <w:bookmarkEnd w:id="100"/>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1" w:name="_Toc31806"/>
      <w:r>
        <w:rPr>
          <w:rFonts w:hint="eastAsia" w:ascii="宋体" w:hAnsi="宋体" w:eastAsia="宋体" w:cs="宋体"/>
          <w:spacing w:val="0"/>
          <w:w w:val="100"/>
          <w:position w:val="0"/>
          <w:sz w:val="24"/>
          <w:szCs w:val="24"/>
        </w:rPr>
        <w:t>2-1  中小企业证明文件</w:t>
      </w:r>
      <w:bookmarkEnd w:id="10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（1）如本项目（包）不专门面向中小企业预留采购份额，资格证明文件部分无需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（2）如本项目（包）专门面向中小企业采购，投标文件中须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（3）如本项目（包）预留部分采购项目预算专门面向中小企业采购，且要求获得采购合同的供应商将采购项目中的一定比例分包给一家或者多家中小企业的，投标文件中除须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供《拟分包情况说明》及《分包意向协议》，且建议在资格证明文件部分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（4）如本项目（包）预留部分采购项目预算专门面向中小企业采购，且要求供应商以联合体形式参加采购活动，投标文件中除须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 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供《联合协议》；上述文件建议在资格证明文件部分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（5）中小企业声明函填写注意事项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1）《中小企业声明函》由参加政府采购活动的投标人出具。联合体投标的，《中小企业声明函》可由牵头人出具。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spacing w:val="0"/>
          <w:w w:val="100"/>
          <w:position w:val="0"/>
          <w:sz w:val="24"/>
          <w:szCs w:val="24"/>
        </w:rPr>
      </w:pPr>
      <w:bookmarkStart w:id="102" w:name="_Toc23386"/>
      <w:r>
        <w:rPr>
          <w:rFonts w:hint="eastAsia" w:ascii="宋体" w:hAnsi="宋体" w:eastAsia="宋体" w:cs="宋体"/>
          <w:spacing w:val="0"/>
          <w:w w:val="100"/>
          <w:position w:val="0"/>
          <w:sz w:val="24"/>
          <w:szCs w:val="24"/>
        </w:rPr>
        <w:t>2-1-1  中小企业声明函及残疾人福利性单位声明函格式</w:t>
      </w:r>
      <w:bookmarkEnd w:id="102"/>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hint="eastAsia" w:ascii="宋体" w:hAnsi="宋体" w:eastAsia="宋体" w:cs="宋体"/>
          <w:sz w:val="24"/>
          <w:szCs w:val="24"/>
          <w:lang w:eastAsia="zh-CN" w:bidi="ar"/>
        </w:rPr>
      </w:pP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本单位郑重声明，根据《财政部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民政部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中国残疾人联合会关于促进残疾人就业政府采购政策的通知》（财库〔2017〕141号）的规定，本单位</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且本单位参加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单位的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项目采购活动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 拟分包情况说明及分包意向协议</w:t>
      </w: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3"/>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286"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分包承担主体名称</w:t>
            </w: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分包承担主体类型（选择）</w:t>
            </w:r>
          </w:p>
        </w:tc>
        <w:tc>
          <w:tcPr>
            <w:tcW w:w="112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资质等级</w:t>
            </w:r>
          </w:p>
        </w:tc>
        <w:tc>
          <w:tcPr>
            <w:tcW w:w="156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拟分包合同内容</w:t>
            </w:r>
          </w:p>
        </w:tc>
        <w:tc>
          <w:tcPr>
            <w:tcW w:w="149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拟分包合同金额（人民币元）</w:t>
            </w:r>
          </w:p>
        </w:tc>
        <w:tc>
          <w:tcPr>
            <w:tcW w:w="156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占</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合同金额的</w:t>
            </w:r>
            <w:r>
              <w:rPr>
                <w:rFonts w:hint="eastAsia" w:ascii="宋体" w:hAnsi="宋体" w:eastAsia="宋体" w:cs="宋体"/>
                <w:spacing w:val="0"/>
                <w:w w:val="100"/>
                <w:position w:val="0"/>
              </w:rPr>
              <w:t>比例（%）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合计：</w:t>
            </w: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_____________</w:t>
      </w:r>
    </w:p>
    <w:p>
      <w:pPr>
        <w:pStyle w:val="6"/>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pStyle w:val="6"/>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分包意向协议（实质性格式）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甲方（投标人）：</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乙方（拟分包单位）：</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甲方承诺，一旦在</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（采购项目名称）（项目编号/包号为：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）招标采购项目中获得采购合同，将按照下述约定将合同项下部分内容分包给乙方：</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03" w:name="_Toc11666"/>
      <w:r>
        <w:rPr>
          <w:rFonts w:hint="eastAsia" w:ascii="宋体" w:hAnsi="宋体" w:eastAsia="宋体" w:cs="宋体"/>
          <w:spacing w:val="0"/>
          <w:w w:val="100"/>
          <w:position w:val="0"/>
          <w:sz w:val="24"/>
          <w:szCs w:val="24"/>
        </w:rPr>
        <w:t>1.分包内容：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3"/>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2.分包金额：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，该金额占该采购包合同金额的比例为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乙方承诺将在上述情况下与甲方签订分包合同。</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本协议自各方盖章之日起生效， 如甲方未在该项目（采购包） 中标， 本协议自动终止。</w:t>
      </w: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甲方（盖章）：</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乙方（盖章）：</w:t>
      </w:r>
    </w:p>
    <w:p>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w:t>
      </w: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本协议仅在投标人“为落实政府采购政策”而向中小企业分包时必须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 且投标人须与所有拟分包单位分别签订《分包意向协议》，每单位签订一份，并在投标文件中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交全部协议原件的电子件，否则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4" w:name="_Toc20274"/>
      <w:r>
        <w:rPr>
          <w:rFonts w:hint="eastAsia" w:ascii="宋体" w:hAnsi="宋体" w:eastAsia="宋体" w:cs="宋体"/>
          <w:spacing w:val="0"/>
          <w:w w:val="100"/>
          <w:position w:val="0"/>
          <w:sz w:val="24"/>
          <w:szCs w:val="24"/>
        </w:rPr>
        <w:t>2-2 其它落实政府采购政策的资格要求（如有）</w:t>
      </w:r>
      <w:bookmarkEnd w:id="104"/>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5" w:name="_Toc11432"/>
      <w:r>
        <w:rPr>
          <w:rFonts w:hint="eastAsia" w:ascii="宋体" w:hAnsi="宋体" w:eastAsia="宋体" w:cs="宋体"/>
          <w:spacing w:val="0"/>
          <w:w w:val="100"/>
          <w:position w:val="0"/>
          <w:sz w:val="24"/>
          <w:szCs w:val="24"/>
        </w:rPr>
        <w:t>3   本项目的特定资格要求（如有）</w:t>
      </w:r>
      <w:bookmarkEnd w:id="105"/>
    </w:p>
    <w:p>
      <w:pPr>
        <w:pStyle w:val="6"/>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spacing w:val="0"/>
          <w:w w:val="100"/>
          <w:position w:val="0"/>
          <w:sz w:val="24"/>
          <w:szCs w:val="24"/>
        </w:rPr>
      </w:pPr>
      <w:bookmarkStart w:id="106" w:name="_Toc27574"/>
      <w:r>
        <w:rPr>
          <w:rFonts w:hint="eastAsia" w:ascii="宋体" w:hAnsi="宋体" w:eastAsia="宋体" w:cs="宋体"/>
          <w:spacing w:val="0"/>
          <w:w w:val="100"/>
          <w:position w:val="0"/>
          <w:sz w:val="24"/>
          <w:szCs w:val="24"/>
        </w:rPr>
        <w:t>3-1 联合协议（如有）</w:t>
      </w:r>
      <w:bookmarkEnd w:id="106"/>
    </w:p>
    <w:p>
      <w:pPr>
        <w:pStyle w:val="6"/>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联合协议</w:t>
      </w:r>
    </w:p>
    <w:p>
      <w:pPr>
        <w:pStyle w:val="6"/>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及</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包招标项目的投标事宜，经各方充分协商一致，达成如下协议：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牵头，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参加，组成联合体共同进行招标项目的投标工作。</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二、联合体中标后，联合体各方共同与采购人签订合同，就采购合同约定的事项对采购人承担连带责任。</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三、联合体各方均同意由牵头人代表其他联合体成员单位按招标文件要求出具《授权委托书》。</w:t>
      </w:r>
    </w:p>
    <w:p>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spacing w:val="0"/>
          <w:w w:val="100"/>
          <w:position w:val="0"/>
          <w:sz w:val="24"/>
          <w:szCs w:val="24"/>
        </w:rPr>
      </w:pPr>
      <w:bookmarkStart w:id="107" w:name="_Toc3304"/>
      <w:r>
        <w:rPr>
          <w:rFonts w:hint="eastAsia" w:ascii="宋体" w:hAnsi="宋体" w:eastAsia="宋体" w:cs="宋体"/>
          <w:spacing w:val="0"/>
          <w:w w:val="100"/>
          <w:position w:val="0"/>
          <w:sz w:val="24"/>
          <w:szCs w:val="24"/>
        </w:rPr>
        <w:t>四、牵头人为项目的总负责单位；组织各参加方进行项目实施工作。</w:t>
      </w:r>
      <w:bookmarkEnd w:id="107"/>
    </w:p>
    <w:p>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（如有），具体工作范围、内容以投标文件及合同为准。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八、本项目联合协议合同总额为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元，联合体各成员按照如下比例分摊（按联合体成员分别列明）：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 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九、以联合体形式参加政府采购活动的，联合体各方不得再单独参加或者与其他供应商另外组成联合体参加同一合同项下的政府采购活动。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spacing w:val="0"/>
          <w:w w:val="100"/>
          <w:position w:val="0"/>
          <w:sz w:val="24"/>
          <w:szCs w:val="24"/>
        </w:rPr>
      </w:pPr>
      <w:bookmarkStart w:id="108" w:name="_Toc8240"/>
      <w:r>
        <w:rPr>
          <w:rFonts w:hint="eastAsia" w:ascii="宋体" w:hAnsi="宋体" w:eastAsia="宋体" w:cs="宋体"/>
          <w:spacing w:val="0"/>
          <w:w w:val="100"/>
          <w:position w:val="0"/>
          <w:sz w:val="24"/>
          <w:szCs w:val="24"/>
        </w:rPr>
        <w:t>十、其他约定（如有）：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8"/>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本协议自各方盖章后生效，采购合同履行完毕后自动失效。如未中标，本协议自动终止。</w:t>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联合体牵头人名称：                      联合体成员名称：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pStyle w:val="6"/>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盖章：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联合体成员名称：</w:t>
      </w:r>
    </w:p>
    <w:p>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pStyle w:val="6"/>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1.如本项目（包）接受供应商以联合体形式参加采购活动，且供应商以联合体形式参与时，须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09" w:name="_Toc3057"/>
      <w:r>
        <w:rPr>
          <w:rFonts w:hint="eastAsia" w:ascii="宋体" w:hAnsi="宋体" w:eastAsia="宋体" w:cs="宋体"/>
          <w:spacing w:val="0"/>
          <w:w w:val="100"/>
          <w:position w:val="0"/>
          <w:sz w:val="24"/>
          <w:szCs w:val="24"/>
        </w:rPr>
        <w:t>2.联合体各方成员需在本协议上共同盖章。</w:t>
      </w:r>
      <w:bookmarkEnd w:id="109"/>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10" w:name="_Toc31056"/>
      <w:r>
        <w:rPr>
          <w:rFonts w:hint="eastAsia" w:ascii="宋体" w:hAnsi="宋体" w:eastAsia="宋体" w:cs="宋体"/>
          <w:spacing w:val="0"/>
          <w:w w:val="100"/>
          <w:position w:val="0"/>
          <w:sz w:val="24"/>
          <w:szCs w:val="24"/>
        </w:rPr>
        <w:t>3-2 其他特定资格要求</w:t>
      </w:r>
      <w:bookmarkEnd w:id="110"/>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spacing w:val="0"/>
          <w:w w:val="100"/>
          <w:position w:val="0"/>
          <w:sz w:val="24"/>
          <w:szCs w:val="24"/>
        </w:rPr>
      </w:pPr>
      <w:bookmarkStart w:id="111" w:name="_Toc31483"/>
      <w:r>
        <w:rPr>
          <w:rFonts w:hint="eastAsia" w:ascii="宋体" w:hAnsi="宋体" w:eastAsia="宋体" w:cs="宋体"/>
          <w:spacing w:val="0"/>
          <w:w w:val="100"/>
          <w:position w:val="0"/>
          <w:sz w:val="24"/>
          <w:szCs w:val="24"/>
        </w:rPr>
        <w:t>4  投标保证金凭证/交款单据电子件</w:t>
      </w:r>
      <w:bookmarkEnd w:id="111"/>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112" w:name="_Toc1781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二、商务技术文件格式</w:t>
      </w:r>
      <w:bookmarkEnd w:id="112"/>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投标文件（商务技术文件）封面（非实质性格式）</w:t>
      </w:r>
    </w:p>
    <w:p>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113" w:name="_Toc12320"/>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113"/>
    </w:p>
    <w:p>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（商</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务</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技</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术</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14" w:name="_Toc9698"/>
      <w:r>
        <w:rPr>
          <w:rFonts w:hint="eastAsia" w:ascii="宋体" w:hAnsi="宋体" w:eastAsia="宋体" w:cs="宋体"/>
          <w:spacing w:val="0"/>
          <w:w w:val="100"/>
          <w:position w:val="0"/>
          <w:sz w:val="24"/>
          <w:szCs w:val="24"/>
        </w:rPr>
        <w:t>1   投标书（实质性格式）</w:t>
      </w:r>
      <w:bookmarkEnd w:id="114"/>
    </w:p>
    <w:p>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投标书</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 xml:space="preserve">（采购人或采购代理机构）  </w:t>
      </w:r>
    </w:p>
    <w:p>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我方参加你方就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（项目名称，项目编号）组织的招标活动，并对此项目进行投标。</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5" w:name="_Toc10024"/>
      <w:r>
        <w:rPr>
          <w:rFonts w:hint="eastAsia" w:ascii="宋体" w:hAnsi="宋体" w:eastAsia="宋体" w:cs="宋体"/>
          <w:spacing w:val="0"/>
          <w:w w:val="100"/>
          <w:position w:val="0"/>
          <w:sz w:val="24"/>
          <w:szCs w:val="24"/>
        </w:rPr>
        <w:t>1.我方已详细审查全部招标文件，自愿参与投标并承诺如下：</w:t>
      </w:r>
      <w:bookmarkEnd w:id="115"/>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（1）本投标有效期为自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 xml:space="preserve">交投标文件的截止之日起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个日历日。</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（2）除合同条款及采购需求偏离表列出的偏离外，我方响应招标文件的全部要求。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（3）我方已</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供的全部文件资料是真实、准确的，并对此承担一切法律后果。</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（4）如我方中标，我方将在法律规定的期限内与你方签订合同，按照招标文件要求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交履约保证金，并在合同约定的期限内完成合同规定的全部义务。</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6" w:name="_Toc13215"/>
      <w:r>
        <w:rPr>
          <w:rFonts w:hint="eastAsia" w:ascii="宋体" w:hAnsi="宋体" w:eastAsia="宋体" w:cs="宋体"/>
          <w:spacing w:val="0"/>
          <w:w w:val="100"/>
          <w:position w:val="0"/>
          <w:sz w:val="24"/>
          <w:szCs w:val="24"/>
        </w:rPr>
        <w:t>2.其他补充条款（如有）：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16"/>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与本投标有关的一切正式往来信函请寄：</w:t>
      </w:r>
    </w:p>
    <w:p>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传真</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电子函件</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pPr>
        <w:pStyle w:val="6"/>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spacing w:val="0"/>
          <w:w w:val="100"/>
          <w:position w:val="0"/>
          <w:sz w:val="24"/>
          <w:szCs w:val="24"/>
        </w:rPr>
      </w:pPr>
      <w:bookmarkStart w:id="117" w:name="_Toc30099"/>
      <w:r>
        <w:rPr>
          <w:rFonts w:hint="eastAsia" w:ascii="宋体" w:hAnsi="宋体" w:eastAsia="宋体" w:cs="宋体"/>
          <w:spacing w:val="0"/>
          <w:w w:val="100"/>
          <w:position w:val="0"/>
          <w:sz w:val="24"/>
          <w:szCs w:val="24"/>
        </w:rPr>
        <w:t>2   授权委托书（实质性格式）</w:t>
      </w:r>
      <w:bookmarkEnd w:id="117"/>
    </w:p>
    <w:p>
      <w:pPr>
        <w:pStyle w:val="6"/>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授权委托书</w:t>
      </w:r>
    </w:p>
    <w:p>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（投标人名称）的法定代表人（单位负责人），现委托</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（姓名）为我方代理人。代理人根据授权，以我方名义签署、澄清确认、</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交、撤回、修改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（项目名称）投标文件和处理有关事宜，其法律后果由我方承担。</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委托期限：自本授权委托书签署之日起至投标有效期届满之日止。</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代理人无转委托权。</w:t>
      </w:r>
    </w:p>
    <w:p>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委托代理人（签字或签章）：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附：法定代表人及委托代理人身份证明文件电子件：</w:t>
      </w:r>
    </w:p>
    <w:p>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6"/>
                    <a:stretch>
                      <a:fillRect/>
                    </a:stretch>
                  </pic:blipFill>
                  <pic:spPr>
                    <a:xfrm>
                      <a:off x="0" y="0"/>
                      <a:ext cx="5274302" cy="1372591"/>
                    </a:xfrm>
                    <a:prstGeom prst="rect">
                      <a:avLst/>
                    </a:prstGeom>
                  </pic:spPr>
                </pic:pic>
              </a:graphicData>
            </a:graphic>
          </wp:inline>
        </w:drawing>
      </w: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1.若供应商为事业单位或其他组织或分支机构， 则法定代表人（单位负责人）处的签署人可为单位负责人。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2.若投标文件中签字之处均为法定代表人（单位负责人）本人签署，则可不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供本《授权委托书》，但须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供《法定代表人（单位负责人）身份证明》；否则，不需要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spacing w:val="0"/>
          <w:w w:val="100"/>
          <w:position w:val="0"/>
          <w:sz w:val="24"/>
          <w:szCs w:val="24"/>
        </w:rPr>
      </w:pPr>
      <w:bookmarkStart w:id="118" w:name="_Toc28961"/>
      <w:r>
        <w:rPr>
          <w:rFonts w:hint="eastAsia" w:ascii="宋体" w:hAnsi="宋体" w:eastAsia="宋体" w:cs="宋体"/>
          <w:spacing w:val="0"/>
          <w:w w:val="100"/>
          <w:position w:val="0"/>
          <w:sz w:val="24"/>
          <w:szCs w:val="24"/>
        </w:rPr>
        <w:t>3.供应商为自然人的情形，可不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w:t>
      </w:r>
      <w:bookmarkEnd w:id="118"/>
    </w:p>
    <w:p>
      <w:pPr>
        <w:pStyle w:val="6"/>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4.供应商应随本《授权委托书》同时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供法定代表人（单位负责人）及委托代理人的有 效的身份证、护照等身份证明文件电子件。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供身份证的，应同时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双面</w:t>
      </w:r>
      <w:r>
        <w:rPr>
          <w:rFonts w:hint="eastAsia" w:ascii="宋体" w:hAnsi="宋体" w:eastAsia="宋体" w:cs="宋体"/>
          <w:spacing w:val="0"/>
          <w:w w:val="100"/>
          <w:position w:val="0"/>
          <w:sz w:val="24"/>
          <w:szCs w:val="24"/>
        </w:rPr>
        <w:t>电子件。</w:t>
      </w:r>
    </w:p>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法定代表人（单位负责人）身份证明</w:t>
      </w:r>
    </w:p>
    <w:p>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兹证明，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姓名：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性别：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职务：____</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（投标人名称）的法定代表人（单位负责人）。</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附：法定代表人（单位负责人）身份证、护照等身份证明文件电子件：</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7"/>
                    <a:stretch>
                      <a:fillRect/>
                    </a:stretch>
                  </pic:blipFill>
                  <pic:spPr>
                    <a:xfrm>
                      <a:off x="0" y="0"/>
                      <a:ext cx="5760736" cy="1451968"/>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p>
    <w:p>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19" w:name="_Toc5094"/>
      <w:r>
        <w:rPr>
          <w:rFonts w:hint="eastAsia" w:ascii="宋体" w:hAnsi="宋体" w:eastAsia="宋体" w:cs="宋体"/>
          <w:spacing w:val="0"/>
          <w:w w:val="100"/>
          <w:position w:val="0"/>
          <w:sz w:val="24"/>
          <w:szCs w:val="24"/>
        </w:rPr>
        <w:t>3   开标一览表（实质性格式）</w:t>
      </w:r>
      <w:bookmarkEnd w:id="119"/>
    </w:p>
    <w:p>
      <w:pPr>
        <w:pStyle w:val="6"/>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spacing w:val="0"/>
          <w:w w:val="100"/>
          <w:position w:val="0"/>
          <w:sz w:val="36"/>
          <w:szCs w:val="36"/>
        </w:rPr>
      </w:pPr>
      <w:bookmarkStart w:id="120" w:name="_Toc773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开标一览表</w:t>
      </w:r>
      <w:bookmarkEnd w:id="120"/>
    </w:p>
    <w:p>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spacing w:val="0"/>
          <w:w w:val="100"/>
          <w:position w:val="0"/>
        </w:rPr>
      </w:pPr>
    </w:p>
    <w:tbl>
      <w:tblPr>
        <w:tblStyle w:val="23"/>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vAlign w:val="top"/>
          </w:tcPr>
          <w:p>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pPr>
              <w:pStyle w:val="24"/>
              <w:keepNext w:val="0"/>
              <w:keepLines w:val="0"/>
              <w:pageBreakBefore w:val="0"/>
              <w:widowControl/>
              <w:kinsoku/>
              <w:wordWrap/>
              <w:overflowPunct/>
              <w:topLinePunct w:val="0"/>
              <w:autoSpaceDE/>
              <w:autoSpaceDN/>
              <w:bidi w:val="0"/>
              <w:adjustRightInd w:val="0"/>
              <w:snapToGrid w:val="0"/>
              <w:spacing w:before="78" w:line="222"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包号</w:t>
            </w:r>
          </w:p>
        </w:tc>
        <w:tc>
          <w:tcPr>
            <w:tcW w:w="2604" w:type="dxa"/>
            <w:vMerge w:val="restart"/>
            <w:tcBorders>
              <w:bottom w:val="nil"/>
            </w:tcBorders>
            <w:vAlign w:val="top"/>
          </w:tcPr>
          <w:p>
            <w:pPr>
              <w:keepNext w:val="0"/>
              <w:keepLines w:val="0"/>
              <w:pageBreakBefore w:val="0"/>
              <w:widowControl/>
              <w:kinsoku/>
              <w:wordWrap/>
              <w:overflowPunct/>
              <w:topLinePunct w:val="0"/>
              <w:autoSpaceDE/>
              <w:autoSpaceDN/>
              <w:bidi w:val="0"/>
              <w:adjustRightInd w:val="0"/>
              <w:snapToGrid w:val="0"/>
              <w:spacing w:line="410" w:lineRule="auto"/>
              <w:jc w:val="center"/>
              <w:textAlignment w:val="baseline"/>
              <w:rPr>
                <w:rFonts w:hint="eastAsia" w:ascii="宋体" w:hAnsi="宋体" w:eastAsia="宋体" w:cs="宋体"/>
                <w:spacing w:val="0"/>
                <w:w w:val="100"/>
                <w:position w:val="0"/>
                <w:sz w:val="21"/>
              </w:rPr>
            </w:pPr>
          </w:p>
          <w:p>
            <w:pPr>
              <w:pStyle w:val="24"/>
              <w:keepNext w:val="0"/>
              <w:keepLines w:val="0"/>
              <w:pageBreakBefore w:val="0"/>
              <w:widowControl/>
              <w:kinsoku/>
              <w:wordWrap/>
              <w:overflowPunct/>
              <w:topLinePunct w:val="0"/>
              <w:autoSpaceDE/>
              <w:autoSpaceDN/>
              <w:bidi w:val="0"/>
              <w:adjustRightInd w:val="0"/>
              <w:snapToGrid w:val="0"/>
              <w:spacing w:before="78" w:line="221"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投标人名称</w:t>
            </w:r>
          </w:p>
        </w:tc>
        <w:tc>
          <w:tcPr>
            <w:tcW w:w="2794" w:type="dxa"/>
            <w:gridSpan w:val="2"/>
            <w:vAlign w:val="top"/>
          </w:tcPr>
          <w:p>
            <w:pPr>
              <w:pStyle w:val="24"/>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投标报价</w:t>
            </w:r>
          </w:p>
        </w:tc>
        <w:tc>
          <w:tcPr>
            <w:tcW w:w="2794" w:type="dxa"/>
            <w:vMerge w:val="restart"/>
            <w:vAlign w:val="center"/>
          </w:tcPr>
          <w:p>
            <w:pPr>
              <w:pStyle w:val="24"/>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default" w:ascii="宋体" w:hAnsi="宋体" w:eastAsia="宋体" w:cs="宋体"/>
                <w:spacing w:val="0"/>
                <w:w w:val="100"/>
                <w:position w:val="0"/>
                <w:lang w:val="en-US" w:eastAsia="zh-CN"/>
                <w14:textOutline w14:w="4359" w14:cap="flat" w14:cmpd="sng">
                  <w14:solidFill>
                    <w14:srgbClr w14:val="000000"/>
                  </w14:solidFill>
                  <w14:prstDash w14:val="solid"/>
                  <w14:miter w14:val="0"/>
                </w14:textOutline>
              </w:rPr>
            </w:pPr>
            <w:r>
              <w:rPr>
                <w:rFonts w:hint="eastAsia" w:cs="宋体"/>
                <w:spacing w:val="0"/>
                <w:w w:val="100"/>
                <w:position w:val="0"/>
                <w:lang w:val="en-US" w:eastAsia="zh-CN"/>
                <w14:textOutline w14:w="4359" w14:cap="flat" w14:cmpd="sng">
                  <w14:solidFill>
                    <w14:srgbClr w14:val="000000"/>
                  </w14:solidFill>
                  <w14:prstDash w14:val="solid"/>
                  <w14:miter w14:val="0"/>
                </w14:textOutline>
              </w:rPr>
              <w:t>合同履行期限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604" w:type="dxa"/>
            <w:vMerge w:val="continue"/>
            <w:tcBorders>
              <w:top w:val="nil"/>
            </w:tcBorders>
            <w:vAlign w:val="top"/>
          </w:tcPr>
          <w:p>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spacing w:val="0"/>
                <w:w w:val="100"/>
                <w:position w:val="0"/>
                <w:sz w:val="21"/>
              </w:rPr>
            </w:pPr>
          </w:p>
        </w:tc>
        <w:tc>
          <w:tcPr>
            <w:tcW w:w="1397" w:type="dxa"/>
            <w:vAlign w:val="top"/>
          </w:tcPr>
          <w:p>
            <w:pPr>
              <w:pStyle w:val="24"/>
              <w:keepNext w:val="0"/>
              <w:keepLines w:val="0"/>
              <w:pageBreakBefore w:val="0"/>
              <w:widowControl/>
              <w:kinsoku/>
              <w:wordWrap/>
              <w:overflowPunct/>
              <w:topLinePunct w:val="0"/>
              <w:autoSpaceDE/>
              <w:autoSpaceDN/>
              <w:bidi w:val="0"/>
              <w:adjustRightInd w:val="0"/>
              <w:snapToGrid w:val="0"/>
              <w:spacing w:before="217" w:line="221"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大写</w:t>
            </w:r>
          </w:p>
        </w:tc>
        <w:tc>
          <w:tcPr>
            <w:tcW w:w="1397" w:type="dxa"/>
            <w:vAlign w:val="top"/>
          </w:tcPr>
          <w:p>
            <w:pPr>
              <w:pStyle w:val="24"/>
              <w:keepNext w:val="0"/>
              <w:keepLines w:val="0"/>
              <w:pageBreakBefore w:val="0"/>
              <w:widowControl/>
              <w:kinsoku/>
              <w:wordWrap/>
              <w:overflowPunct/>
              <w:topLinePunct w:val="0"/>
              <w:autoSpaceDE/>
              <w:autoSpaceDN/>
              <w:bidi w:val="0"/>
              <w:adjustRightInd w:val="0"/>
              <w:snapToGrid w:val="0"/>
              <w:spacing w:before="217" w:line="222"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小写</w:t>
            </w:r>
          </w:p>
        </w:tc>
        <w:tc>
          <w:tcPr>
            <w:tcW w:w="2794" w:type="dxa"/>
            <w:vMerge w:val="continue"/>
            <w:vAlign w:val="top"/>
          </w:tcPr>
          <w:p>
            <w:pPr>
              <w:pStyle w:val="24"/>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60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39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39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79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315" w:line="230" w:lineRule="auto"/>
        <w:ind w:left="497" w:right="1197" w:hanging="4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 1.此表中，每包的投标报价应和《投标分项报价表》中的总价相一致。 2.本表必须按包分别填写。</w:t>
      </w:r>
    </w:p>
    <w:p>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6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24"/>
        <w:textAlignment w:val="baseline"/>
        <w:outlineLvl w:val="2"/>
        <w:rPr>
          <w:rFonts w:hint="eastAsia" w:ascii="宋体" w:hAnsi="宋体" w:eastAsia="宋体" w:cs="宋体"/>
          <w:spacing w:val="0"/>
          <w:w w:val="100"/>
          <w:position w:val="0"/>
          <w:sz w:val="24"/>
          <w:szCs w:val="24"/>
        </w:rPr>
      </w:pPr>
      <w:bookmarkStart w:id="121" w:name="_Toc20117"/>
      <w:r>
        <w:rPr>
          <w:rFonts w:hint="eastAsia" w:ascii="宋体" w:hAnsi="宋体" w:eastAsia="宋体" w:cs="宋体"/>
          <w:spacing w:val="0"/>
          <w:w w:val="100"/>
          <w:position w:val="0"/>
          <w:sz w:val="24"/>
          <w:szCs w:val="24"/>
        </w:rPr>
        <w:t>4   投标分项报价表（实质性格式）</w:t>
      </w:r>
      <w:bookmarkEnd w:id="121"/>
    </w:p>
    <w:p>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投标分项报价表</w:t>
      </w:r>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265" w:line="188" w:lineRule="auto"/>
        <w:ind w:left="1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项目编号：          项目名称：           报价单位：人民币元</w:t>
      </w:r>
    </w:p>
    <w:p>
      <w:pPr>
        <w:keepNext w:val="0"/>
        <w:keepLines w:val="0"/>
        <w:pageBreakBefore w:val="0"/>
        <w:widowControl/>
        <w:kinsoku/>
        <w:wordWrap/>
        <w:overflowPunct/>
        <w:topLinePunct w:val="0"/>
        <w:autoSpaceDE/>
        <w:autoSpaceDN/>
        <w:bidi w:val="0"/>
        <w:adjustRightInd w:val="0"/>
        <w:snapToGrid w:val="0"/>
        <w:spacing w:line="19" w:lineRule="exact"/>
        <w:ind w:left="187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                   _________</w:t>
      </w:r>
    </w:p>
    <w:p>
      <w:pPr>
        <w:keepNext w:val="0"/>
        <w:keepLines w:val="0"/>
        <w:pageBreakBefore w:val="0"/>
        <w:widowControl/>
        <w:kinsoku/>
        <w:wordWrap/>
        <w:overflowPunct/>
        <w:topLinePunct w:val="0"/>
        <w:autoSpaceDE/>
        <w:autoSpaceDN/>
        <w:bidi w:val="0"/>
        <w:adjustRightInd w:val="0"/>
        <w:snapToGrid w:val="0"/>
        <w:spacing w:line="120" w:lineRule="auto"/>
        <w:textAlignment w:val="baseline"/>
        <w:rPr>
          <w:rFonts w:hint="eastAsia" w:ascii="宋体" w:hAnsi="宋体" w:eastAsia="宋体" w:cs="宋体"/>
          <w:spacing w:val="0"/>
          <w:w w:val="100"/>
          <w:position w:val="0"/>
          <w:sz w:val="2"/>
        </w:rPr>
      </w:pPr>
    </w:p>
    <w:tbl>
      <w:tblPr>
        <w:tblStyle w:val="19"/>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noWrap w:val="0"/>
            <w:vAlign w:val="top"/>
          </w:tcPr>
          <w:p>
            <w:pPr>
              <w:pStyle w:val="10"/>
              <w:spacing w:before="156"/>
              <w:jc w:val="center"/>
              <w:rPr>
                <w:rFonts w:hint="eastAsia" w:hAnsi="宋体"/>
                <w:b/>
                <w:sz w:val="24"/>
                <w:lang w:val="en-US" w:eastAsia="zh-CN"/>
              </w:rPr>
            </w:pPr>
            <w:r>
              <w:rPr>
                <w:rFonts w:hint="eastAsia" w:hAnsi="宋体"/>
                <w:b/>
                <w:sz w:val="24"/>
                <w:lang w:val="en-US" w:eastAsia="zh-CN"/>
              </w:rPr>
              <w:t>序号</w:t>
            </w:r>
          </w:p>
        </w:tc>
        <w:tc>
          <w:tcPr>
            <w:tcW w:w="2573" w:type="dxa"/>
            <w:noWrap w:val="0"/>
            <w:vAlign w:val="top"/>
          </w:tcPr>
          <w:p>
            <w:pPr>
              <w:pStyle w:val="10"/>
              <w:spacing w:before="156"/>
              <w:jc w:val="center"/>
              <w:rPr>
                <w:rFonts w:hint="eastAsia" w:hAnsi="宋体"/>
                <w:b/>
                <w:sz w:val="24"/>
                <w:lang w:val="en-US" w:eastAsia="zh-CN"/>
              </w:rPr>
            </w:pPr>
            <w:r>
              <w:rPr>
                <w:rFonts w:hint="eastAsia" w:hAnsi="宋体"/>
                <w:b/>
                <w:sz w:val="24"/>
                <w:lang w:val="en-US" w:eastAsia="zh-CN"/>
              </w:rPr>
              <w:t>服务内容</w:t>
            </w:r>
          </w:p>
        </w:tc>
        <w:tc>
          <w:tcPr>
            <w:tcW w:w="1238" w:type="dxa"/>
            <w:noWrap w:val="0"/>
            <w:vAlign w:val="top"/>
          </w:tcPr>
          <w:p>
            <w:pPr>
              <w:pStyle w:val="10"/>
              <w:spacing w:before="156"/>
              <w:jc w:val="center"/>
              <w:rPr>
                <w:rFonts w:hint="eastAsia" w:hAnsi="宋体"/>
                <w:b/>
                <w:sz w:val="24"/>
                <w:lang w:val="en-US" w:eastAsia="zh-CN"/>
              </w:rPr>
            </w:pPr>
            <w:r>
              <w:rPr>
                <w:rFonts w:hint="eastAsia" w:hAnsi="宋体"/>
                <w:b/>
                <w:sz w:val="24"/>
                <w:lang w:val="en-US" w:eastAsia="zh-CN"/>
              </w:rPr>
              <w:t>服务明细</w:t>
            </w:r>
          </w:p>
        </w:tc>
        <w:tc>
          <w:tcPr>
            <w:tcW w:w="1300" w:type="dxa"/>
            <w:noWrap w:val="0"/>
            <w:vAlign w:val="top"/>
          </w:tcPr>
          <w:p>
            <w:pPr>
              <w:pStyle w:val="10"/>
              <w:spacing w:before="156"/>
              <w:jc w:val="center"/>
              <w:rPr>
                <w:rFonts w:hint="eastAsia" w:hAnsi="宋体"/>
                <w:b/>
                <w:sz w:val="24"/>
                <w:lang w:val="en-US" w:eastAsia="zh-CN"/>
              </w:rPr>
            </w:pPr>
            <w:r>
              <w:rPr>
                <w:rFonts w:hint="eastAsia" w:hAnsi="宋体"/>
                <w:b/>
                <w:sz w:val="24"/>
                <w:lang w:val="en-US" w:eastAsia="zh-CN"/>
              </w:rPr>
              <w:t>数量</w:t>
            </w:r>
          </w:p>
        </w:tc>
        <w:tc>
          <w:tcPr>
            <w:tcW w:w="1412" w:type="dxa"/>
            <w:noWrap w:val="0"/>
            <w:vAlign w:val="top"/>
          </w:tcPr>
          <w:p>
            <w:pPr>
              <w:pStyle w:val="10"/>
              <w:spacing w:before="156"/>
              <w:jc w:val="center"/>
              <w:rPr>
                <w:rFonts w:hint="eastAsia" w:hAnsi="宋体"/>
                <w:b/>
                <w:sz w:val="24"/>
                <w:lang w:val="en-US" w:eastAsia="zh-CN"/>
              </w:rPr>
            </w:pPr>
            <w:r>
              <w:rPr>
                <w:rFonts w:hint="eastAsia" w:hAnsi="宋体"/>
                <w:b/>
                <w:sz w:val="24"/>
                <w:lang w:val="en-US" w:eastAsia="zh-CN"/>
              </w:rPr>
              <w:t>单价</w:t>
            </w:r>
          </w:p>
        </w:tc>
        <w:tc>
          <w:tcPr>
            <w:tcW w:w="1725" w:type="dxa"/>
            <w:noWrap w:val="0"/>
            <w:vAlign w:val="top"/>
          </w:tcPr>
          <w:p>
            <w:pPr>
              <w:pStyle w:val="10"/>
              <w:spacing w:before="156"/>
              <w:jc w:val="center"/>
              <w:rPr>
                <w:rFonts w:hint="eastAsia" w:hAnsi="宋体"/>
                <w:b/>
                <w:sz w:val="24"/>
                <w:lang w:val="en-US" w:eastAsia="zh-CN"/>
              </w:rPr>
            </w:pPr>
            <w:r>
              <w:rPr>
                <w:rFonts w:hint="eastAsia" w:hAnsi="宋体"/>
                <w:b/>
                <w:sz w:val="24"/>
                <w:lang w:val="en-US" w:eastAsia="zh-CN"/>
              </w:rPr>
              <w:t>总价</w:t>
            </w:r>
          </w:p>
        </w:tc>
        <w:tc>
          <w:tcPr>
            <w:tcW w:w="1038" w:type="dxa"/>
            <w:noWrap w:val="0"/>
            <w:vAlign w:val="top"/>
          </w:tcPr>
          <w:p>
            <w:pPr>
              <w:pStyle w:val="10"/>
              <w:spacing w:before="156"/>
              <w:jc w:val="center"/>
              <w:rPr>
                <w:rFonts w:hint="eastAsia" w:hAnsi="宋体"/>
                <w:b/>
                <w:sz w:val="24"/>
                <w:lang w:val="en-US" w:eastAsia="zh-CN"/>
              </w:rPr>
            </w:pPr>
            <w:r>
              <w:rPr>
                <w:rFonts w:hint="eastAsia" w:hAnsi="宋体"/>
                <w:b/>
                <w:sz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10"/>
              <w:jc w:val="center"/>
              <w:rPr>
                <w:rFonts w:hint="eastAsia" w:hAnsi="宋体"/>
                <w:b/>
                <w:sz w:val="24"/>
                <w:lang w:val="en-US" w:eastAsia="zh-CN"/>
              </w:rPr>
            </w:pPr>
            <w:r>
              <w:rPr>
                <w:rFonts w:hint="eastAsia" w:hAnsi="宋体"/>
                <w:b/>
                <w:sz w:val="24"/>
                <w:lang w:val="en-US" w:eastAsia="zh-CN"/>
              </w:rPr>
              <w:t>1</w:t>
            </w:r>
          </w:p>
        </w:tc>
        <w:tc>
          <w:tcPr>
            <w:tcW w:w="2573" w:type="dxa"/>
            <w:noWrap w:val="0"/>
            <w:vAlign w:val="top"/>
          </w:tcPr>
          <w:p>
            <w:pPr>
              <w:pStyle w:val="10"/>
              <w:rPr>
                <w:rFonts w:hint="eastAsia" w:hAnsi="宋体"/>
                <w:sz w:val="24"/>
                <w:lang w:val="en-US" w:eastAsia="zh-CN"/>
              </w:rPr>
            </w:pPr>
          </w:p>
        </w:tc>
        <w:tc>
          <w:tcPr>
            <w:tcW w:w="1238" w:type="dxa"/>
            <w:noWrap w:val="0"/>
            <w:vAlign w:val="top"/>
          </w:tcPr>
          <w:p>
            <w:pPr>
              <w:pStyle w:val="10"/>
              <w:rPr>
                <w:rFonts w:hint="eastAsia" w:hAnsi="宋体"/>
                <w:sz w:val="24"/>
                <w:lang w:val="en-US" w:eastAsia="zh-CN"/>
              </w:rPr>
            </w:pPr>
          </w:p>
        </w:tc>
        <w:tc>
          <w:tcPr>
            <w:tcW w:w="1300" w:type="dxa"/>
            <w:noWrap w:val="0"/>
            <w:vAlign w:val="top"/>
          </w:tcPr>
          <w:p>
            <w:pPr>
              <w:pStyle w:val="10"/>
              <w:rPr>
                <w:rFonts w:hint="eastAsia" w:hAnsi="宋体"/>
                <w:sz w:val="24"/>
                <w:lang w:val="en-US" w:eastAsia="zh-CN"/>
              </w:rPr>
            </w:pPr>
          </w:p>
        </w:tc>
        <w:tc>
          <w:tcPr>
            <w:tcW w:w="1412" w:type="dxa"/>
            <w:noWrap w:val="0"/>
            <w:vAlign w:val="top"/>
          </w:tcPr>
          <w:p>
            <w:pPr>
              <w:pStyle w:val="10"/>
              <w:rPr>
                <w:rFonts w:hint="eastAsia" w:hAnsi="宋体"/>
                <w:sz w:val="24"/>
                <w:lang w:val="en-US" w:eastAsia="zh-CN"/>
              </w:rPr>
            </w:pPr>
          </w:p>
        </w:tc>
        <w:tc>
          <w:tcPr>
            <w:tcW w:w="1725" w:type="dxa"/>
            <w:noWrap w:val="0"/>
            <w:vAlign w:val="top"/>
          </w:tcPr>
          <w:p>
            <w:pPr>
              <w:pStyle w:val="10"/>
              <w:rPr>
                <w:rFonts w:hint="eastAsia" w:hAnsi="宋体"/>
                <w:sz w:val="24"/>
                <w:lang w:val="en-US" w:eastAsia="zh-CN"/>
              </w:rPr>
            </w:pPr>
          </w:p>
        </w:tc>
        <w:tc>
          <w:tcPr>
            <w:tcW w:w="1038" w:type="dxa"/>
            <w:noWrap w:val="0"/>
            <w:vAlign w:val="top"/>
          </w:tcPr>
          <w:p>
            <w:pPr>
              <w:pStyle w:val="10"/>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10"/>
              <w:jc w:val="center"/>
              <w:rPr>
                <w:rFonts w:hint="eastAsia" w:hAnsi="宋体"/>
                <w:b/>
                <w:sz w:val="24"/>
                <w:lang w:val="en-US" w:eastAsia="zh-CN"/>
              </w:rPr>
            </w:pPr>
            <w:r>
              <w:rPr>
                <w:rFonts w:hint="eastAsia" w:hAnsi="宋体"/>
                <w:b/>
                <w:sz w:val="24"/>
                <w:lang w:val="en-US" w:eastAsia="zh-CN"/>
              </w:rPr>
              <w:t>2</w:t>
            </w:r>
          </w:p>
        </w:tc>
        <w:tc>
          <w:tcPr>
            <w:tcW w:w="2573" w:type="dxa"/>
            <w:noWrap w:val="0"/>
            <w:vAlign w:val="top"/>
          </w:tcPr>
          <w:p>
            <w:pPr>
              <w:pStyle w:val="10"/>
              <w:rPr>
                <w:rFonts w:hint="eastAsia" w:hAnsi="宋体"/>
                <w:sz w:val="24"/>
                <w:lang w:val="en-US" w:eastAsia="zh-CN"/>
              </w:rPr>
            </w:pPr>
          </w:p>
        </w:tc>
        <w:tc>
          <w:tcPr>
            <w:tcW w:w="1238" w:type="dxa"/>
            <w:noWrap w:val="0"/>
            <w:vAlign w:val="top"/>
          </w:tcPr>
          <w:p>
            <w:pPr>
              <w:pStyle w:val="10"/>
              <w:rPr>
                <w:rFonts w:hint="eastAsia" w:hAnsi="宋体"/>
                <w:sz w:val="24"/>
                <w:lang w:val="en-US" w:eastAsia="zh-CN"/>
              </w:rPr>
            </w:pPr>
          </w:p>
        </w:tc>
        <w:tc>
          <w:tcPr>
            <w:tcW w:w="1300" w:type="dxa"/>
            <w:noWrap w:val="0"/>
            <w:vAlign w:val="top"/>
          </w:tcPr>
          <w:p>
            <w:pPr>
              <w:pStyle w:val="10"/>
              <w:rPr>
                <w:rFonts w:hint="eastAsia" w:hAnsi="宋体"/>
                <w:sz w:val="24"/>
                <w:lang w:val="en-US" w:eastAsia="zh-CN"/>
              </w:rPr>
            </w:pPr>
          </w:p>
        </w:tc>
        <w:tc>
          <w:tcPr>
            <w:tcW w:w="1412" w:type="dxa"/>
            <w:noWrap w:val="0"/>
            <w:vAlign w:val="top"/>
          </w:tcPr>
          <w:p>
            <w:pPr>
              <w:pStyle w:val="10"/>
              <w:rPr>
                <w:rFonts w:hint="eastAsia" w:hAnsi="宋体"/>
                <w:sz w:val="24"/>
                <w:lang w:val="en-US" w:eastAsia="zh-CN"/>
              </w:rPr>
            </w:pPr>
          </w:p>
        </w:tc>
        <w:tc>
          <w:tcPr>
            <w:tcW w:w="1725" w:type="dxa"/>
            <w:noWrap w:val="0"/>
            <w:vAlign w:val="top"/>
          </w:tcPr>
          <w:p>
            <w:pPr>
              <w:pStyle w:val="10"/>
              <w:rPr>
                <w:rFonts w:hint="eastAsia" w:hAnsi="宋体"/>
                <w:sz w:val="24"/>
                <w:lang w:val="en-US" w:eastAsia="zh-CN"/>
              </w:rPr>
            </w:pPr>
          </w:p>
        </w:tc>
        <w:tc>
          <w:tcPr>
            <w:tcW w:w="1038" w:type="dxa"/>
            <w:noWrap w:val="0"/>
            <w:vAlign w:val="top"/>
          </w:tcPr>
          <w:p>
            <w:pPr>
              <w:pStyle w:val="10"/>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10"/>
              <w:jc w:val="center"/>
              <w:rPr>
                <w:rFonts w:hint="eastAsia" w:hAnsi="宋体"/>
                <w:b/>
                <w:sz w:val="24"/>
                <w:lang w:val="en-US" w:eastAsia="zh-CN"/>
              </w:rPr>
            </w:pPr>
            <w:r>
              <w:rPr>
                <w:rFonts w:hint="eastAsia" w:hAnsi="宋体"/>
                <w:b/>
                <w:sz w:val="24"/>
                <w:lang w:val="en-US" w:eastAsia="zh-CN"/>
              </w:rPr>
              <w:t>3</w:t>
            </w:r>
          </w:p>
        </w:tc>
        <w:tc>
          <w:tcPr>
            <w:tcW w:w="2573" w:type="dxa"/>
            <w:noWrap w:val="0"/>
            <w:vAlign w:val="top"/>
          </w:tcPr>
          <w:p>
            <w:pPr>
              <w:pStyle w:val="10"/>
              <w:rPr>
                <w:rFonts w:hint="eastAsia" w:hAnsi="宋体"/>
                <w:sz w:val="24"/>
                <w:lang w:val="en-US" w:eastAsia="zh-CN"/>
              </w:rPr>
            </w:pPr>
          </w:p>
        </w:tc>
        <w:tc>
          <w:tcPr>
            <w:tcW w:w="1238" w:type="dxa"/>
            <w:noWrap w:val="0"/>
            <w:vAlign w:val="top"/>
          </w:tcPr>
          <w:p>
            <w:pPr>
              <w:pStyle w:val="10"/>
              <w:rPr>
                <w:rFonts w:hint="eastAsia" w:hAnsi="宋体"/>
                <w:sz w:val="24"/>
                <w:lang w:val="en-US" w:eastAsia="zh-CN"/>
              </w:rPr>
            </w:pPr>
          </w:p>
        </w:tc>
        <w:tc>
          <w:tcPr>
            <w:tcW w:w="1300" w:type="dxa"/>
            <w:noWrap w:val="0"/>
            <w:vAlign w:val="top"/>
          </w:tcPr>
          <w:p>
            <w:pPr>
              <w:pStyle w:val="10"/>
              <w:rPr>
                <w:rFonts w:hint="eastAsia" w:hAnsi="宋体"/>
                <w:sz w:val="24"/>
                <w:lang w:val="en-US" w:eastAsia="zh-CN"/>
              </w:rPr>
            </w:pPr>
          </w:p>
        </w:tc>
        <w:tc>
          <w:tcPr>
            <w:tcW w:w="1412" w:type="dxa"/>
            <w:noWrap w:val="0"/>
            <w:vAlign w:val="top"/>
          </w:tcPr>
          <w:p>
            <w:pPr>
              <w:pStyle w:val="10"/>
              <w:rPr>
                <w:rFonts w:hint="eastAsia" w:hAnsi="宋体"/>
                <w:sz w:val="24"/>
                <w:lang w:val="en-US" w:eastAsia="zh-CN"/>
              </w:rPr>
            </w:pPr>
          </w:p>
        </w:tc>
        <w:tc>
          <w:tcPr>
            <w:tcW w:w="1725" w:type="dxa"/>
            <w:noWrap w:val="0"/>
            <w:vAlign w:val="top"/>
          </w:tcPr>
          <w:p>
            <w:pPr>
              <w:pStyle w:val="10"/>
              <w:rPr>
                <w:rFonts w:hint="eastAsia" w:hAnsi="宋体"/>
                <w:sz w:val="24"/>
                <w:lang w:val="en-US" w:eastAsia="zh-CN"/>
              </w:rPr>
            </w:pPr>
          </w:p>
        </w:tc>
        <w:tc>
          <w:tcPr>
            <w:tcW w:w="1038" w:type="dxa"/>
            <w:noWrap w:val="0"/>
            <w:vAlign w:val="top"/>
          </w:tcPr>
          <w:p>
            <w:pPr>
              <w:pStyle w:val="10"/>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10"/>
              <w:jc w:val="center"/>
              <w:rPr>
                <w:rFonts w:hint="eastAsia" w:hAnsi="宋体"/>
                <w:b/>
                <w:sz w:val="24"/>
                <w:lang w:val="en-US" w:eastAsia="zh-CN"/>
              </w:rPr>
            </w:pPr>
            <w:r>
              <w:rPr>
                <w:rFonts w:hint="eastAsia" w:hAnsi="宋体"/>
                <w:b/>
                <w:sz w:val="24"/>
                <w:lang w:val="en-US" w:eastAsia="zh-CN"/>
              </w:rPr>
              <w:t>4</w:t>
            </w:r>
          </w:p>
        </w:tc>
        <w:tc>
          <w:tcPr>
            <w:tcW w:w="2573" w:type="dxa"/>
            <w:noWrap w:val="0"/>
            <w:vAlign w:val="top"/>
          </w:tcPr>
          <w:p>
            <w:pPr>
              <w:pStyle w:val="10"/>
              <w:rPr>
                <w:rFonts w:hint="eastAsia" w:hAnsi="宋体"/>
                <w:sz w:val="24"/>
                <w:lang w:val="en-US" w:eastAsia="zh-CN"/>
              </w:rPr>
            </w:pPr>
          </w:p>
        </w:tc>
        <w:tc>
          <w:tcPr>
            <w:tcW w:w="1238" w:type="dxa"/>
            <w:noWrap w:val="0"/>
            <w:vAlign w:val="top"/>
          </w:tcPr>
          <w:p>
            <w:pPr>
              <w:pStyle w:val="10"/>
              <w:rPr>
                <w:rFonts w:hint="eastAsia" w:hAnsi="宋体"/>
                <w:sz w:val="24"/>
                <w:lang w:val="en-US" w:eastAsia="zh-CN"/>
              </w:rPr>
            </w:pPr>
          </w:p>
        </w:tc>
        <w:tc>
          <w:tcPr>
            <w:tcW w:w="1300" w:type="dxa"/>
            <w:noWrap w:val="0"/>
            <w:vAlign w:val="top"/>
          </w:tcPr>
          <w:p>
            <w:pPr>
              <w:pStyle w:val="10"/>
              <w:rPr>
                <w:rFonts w:hint="eastAsia" w:hAnsi="宋体"/>
                <w:sz w:val="24"/>
                <w:lang w:val="en-US" w:eastAsia="zh-CN"/>
              </w:rPr>
            </w:pPr>
          </w:p>
        </w:tc>
        <w:tc>
          <w:tcPr>
            <w:tcW w:w="1412" w:type="dxa"/>
            <w:noWrap w:val="0"/>
            <w:vAlign w:val="top"/>
          </w:tcPr>
          <w:p>
            <w:pPr>
              <w:pStyle w:val="10"/>
              <w:rPr>
                <w:rFonts w:hint="eastAsia" w:hAnsi="宋体"/>
                <w:sz w:val="24"/>
                <w:lang w:val="en-US" w:eastAsia="zh-CN"/>
              </w:rPr>
            </w:pPr>
          </w:p>
        </w:tc>
        <w:tc>
          <w:tcPr>
            <w:tcW w:w="1725" w:type="dxa"/>
            <w:noWrap w:val="0"/>
            <w:vAlign w:val="top"/>
          </w:tcPr>
          <w:p>
            <w:pPr>
              <w:pStyle w:val="10"/>
              <w:rPr>
                <w:rFonts w:hint="eastAsia" w:hAnsi="宋体"/>
                <w:sz w:val="24"/>
                <w:lang w:val="en-US" w:eastAsia="zh-CN"/>
              </w:rPr>
            </w:pPr>
          </w:p>
        </w:tc>
        <w:tc>
          <w:tcPr>
            <w:tcW w:w="1038" w:type="dxa"/>
            <w:noWrap w:val="0"/>
            <w:vAlign w:val="top"/>
          </w:tcPr>
          <w:p>
            <w:pPr>
              <w:pStyle w:val="10"/>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10"/>
              <w:jc w:val="center"/>
              <w:rPr>
                <w:rFonts w:hint="eastAsia" w:hAnsi="宋体"/>
                <w:b/>
                <w:sz w:val="24"/>
                <w:lang w:val="en-US" w:eastAsia="zh-CN"/>
              </w:rPr>
            </w:pPr>
            <w:r>
              <w:rPr>
                <w:rFonts w:hint="eastAsia" w:hAnsi="宋体"/>
                <w:b/>
                <w:sz w:val="24"/>
                <w:lang w:val="en-US" w:eastAsia="zh-CN"/>
              </w:rPr>
              <w:t>5</w:t>
            </w:r>
          </w:p>
        </w:tc>
        <w:tc>
          <w:tcPr>
            <w:tcW w:w="2573" w:type="dxa"/>
            <w:noWrap w:val="0"/>
            <w:vAlign w:val="top"/>
          </w:tcPr>
          <w:p>
            <w:pPr>
              <w:pStyle w:val="10"/>
              <w:rPr>
                <w:rFonts w:hint="eastAsia" w:hAnsi="宋体"/>
                <w:sz w:val="24"/>
                <w:lang w:val="en-US" w:eastAsia="zh-CN"/>
              </w:rPr>
            </w:pPr>
          </w:p>
        </w:tc>
        <w:tc>
          <w:tcPr>
            <w:tcW w:w="1238" w:type="dxa"/>
            <w:noWrap w:val="0"/>
            <w:vAlign w:val="top"/>
          </w:tcPr>
          <w:p>
            <w:pPr>
              <w:pStyle w:val="10"/>
              <w:rPr>
                <w:rFonts w:hint="eastAsia" w:hAnsi="宋体"/>
                <w:sz w:val="24"/>
                <w:lang w:val="en-US" w:eastAsia="zh-CN"/>
              </w:rPr>
            </w:pPr>
          </w:p>
        </w:tc>
        <w:tc>
          <w:tcPr>
            <w:tcW w:w="1300" w:type="dxa"/>
            <w:noWrap w:val="0"/>
            <w:vAlign w:val="top"/>
          </w:tcPr>
          <w:p>
            <w:pPr>
              <w:pStyle w:val="10"/>
              <w:rPr>
                <w:rFonts w:hint="eastAsia" w:hAnsi="宋体"/>
                <w:sz w:val="24"/>
                <w:lang w:val="en-US" w:eastAsia="zh-CN"/>
              </w:rPr>
            </w:pPr>
          </w:p>
        </w:tc>
        <w:tc>
          <w:tcPr>
            <w:tcW w:w="1412" w:type="dxa"/>
            <w:noWrap w:val="0"/>
            <w:vAlign w:val="top"/>
          </w:tcPr>
          <w:p>
            <w:pPr>
              <w:pStyle w:val="10"/>
              <w:rPr>
                <w:rFonts w:hint="eastAsia" w:hAnsi="宋体"/>
                <w:sz w:val="24"/>
                <w:lang w:val="en-US" w:eastAsia="zh-CN"/>
              </w:rPr>
            </w:pPr>
          </w:p>
        </w:tc>
        <w:tc>
          <w:tcPr>
            <w:tcW w:w="1725" w:type="dxa"/>
            <w:noWrap w:val="0"/>
            <w:vAlign w:val="top"/>
          </w:tcPr>
          <w:p>
            <w:pPr>
              <w:pStyle w:val="10"/>
              <w:rPr>
                <w:rFonts w:hint="eastAsia" w:hAnsi="宋体"/>
                <w:sz w:val="24"/>
                <w:lang w:val="en-US" w:eastAsia="zh-CN"/>
              </w:rPr>
            </w:pPr>
          </w:p>
        </w:tc>
        <w:tc>
          <w:tcPr>
            <w:tcW w:w="1038" w:type="dxa"/>
            <w:noWrap w:val="0"/>
            <w:vAlign w:val="top"/>
          </w:tcPr>
          <w:p>
            <w:pPr>
              <w:pStyle w:val="10"/>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10"/>
              <w:jc w:val="center"/>
              <w:rPr>
                <w:rFonts w:hint="eastAsia" w:hAnsi="宋体"/>
                <w:b/>
                <w:sz w:val="24"/>
                <w:lang w:val="en-US" w:eastAsia="zh-CN"/>
              </w:rPr>
            </w:pPr>
            <w:r>
              <w:rPr>
                <w:rFonts w:hint="eastAsia" w:hAnsi="宋体"/>
                <w:b/>
                <w:sz w:val="24"/>
                <w:lang w:val="en-US" w:eastAsia="zh-CN"/>
              </w:rPr>
              <w:t>6</w:t>
            </w:r>
          </w:p>
        </w:tc>
        <w:tc>
          <w:tcPr>
            <w:tcW w:w="2573" w:type="dxa"/>
            <w:noWrap w:val="0"/>
            <w:vAlign w:val="top"/>
          </w:tcPr>
          <w:p>
            <w:pPr>
              <w:pStyle w:val="10"/>
              <w:rPr>
                <w:rFonts w:hint="eastAsia" w:hAnsi="宋体"/>
                <w:sz w:val="24"/>
                <w:lang w:val="en-US" w:eastAsia="zh-CN"/>
              </w:rPr>
            </w:pPr>
          </w:p>
        </w:tc>
        <w:tc>
          <w:tcPr>
            <w:tcW w:w="1238" w:type="dxa"/>
            <w:noWrap w:val="0"/>
            <w:vAlign w:val="top"/>
          </w:tcPr>
          <w:p>
            <w:pPr>
              <w:pStyle w:val="10"/>
              <w:rPr>
                <w:rFonts w:hint="eastAsia" w:hAnsi="宋体"/>
                <w:sz w:val="24"/>
                <w:lang w:val="en-US" w:eastAsia="zh-CN"/>
              </w:rPr>
            </w:pPr>
          </w:p>
        </w:tc>
        <w:tc>
          <w:tcPr>
            <w:tcW w:w="1300" w:type="dxa"/>
            <w:noWrap w:val="0"/>
            <w:vAlign w:val="top"/>
          </w:tcPr>
          <w:p>
            <w:pPr>
              <w:pStyle w:val="10"/>
              <w:rPr>
                <w:rFonts w:hint="eastAsia" w:hAnsi="宋体"/>
                <w:sz w:val="24"/>
                <w:lang w:val="en-US" w:eastAsia="zh-CN"/>
              </w:rPr>
            </w:pPr>
          </w:p>
        </w:tc>
        <w:tc>
          <w:tcPr>
            <w:tcW w:w="1412" w:type="dxa"/>
            <w:noWrap w:val="0"/>
            <w:vAlign w:val="top"/>
          </w:tcPr>
          <w:p>
            <w:pPr>
              <w:pStyle w:val="10"/>
              <w:rPr>
                <w:rFonts w:hint="eastAsia" w:hAnsi="宋体"/>
                <w:sz w:val="24"/>
                <w:lang w:val="en-US" w:eastAsia="zh-CN"/>
              </w:rPr>
            </w:pPr>
          </w:p>
        </w:tc>
        <w:tc>
          <w:tcPr>
            <w:tcW w:w="1725" w:type="dxa"/>
            <w:noWrap w:val="0"/>
            <w:vAlign w:val="top"/>
          </w:tcPr>
          <w:p>
            <w:pPr>
              <w:pStyle w:val="10"/>
              <w:rPr>
                <w:rFonts w:hint="eastAsia" w:hAnsi="宋体"/>
                <w:sz w:val="24"/>
                <w:lang w:val="en-US" w:eastAsia="zh-CN"/>
              </w:rPr>
            </w:pPr>
          </w:p>
        </w:tc>
        <w:tc>
          <w:tcPr>
            <w:tcW w:w="1038" w:type="dxa"/>
            <w:noWrap w:val="0"/>
            <w:vAlign w:val="top"/>
          </w:tcPr>
          <w:p>
            <w:pPr>
              <w:pStyle w:val="10"/>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10"/>
              <w:jc w:val="center"/>
              <w:rPr>
                <w:rFonts w:hint="eastAsia" w:hAnsi="宋体"/>
                <w:b/>
                <w:sz w:val="24"/>
                <w:lang w:val="en-US" w:eastAsia="zh-CN"/>
              </w:rPr>
            </w:pPr>
            <w:r>
              <w:rPr>
                <w:rFonts w:hint="eastAsia" w:hAnsi="宋体"/>
                <w:b/>
                <w:sz w:val="24"/>
                <w:lang w:val="en-US" w:eastAsia="zh-CN"/>
              </w:rPr>
              <w:t>7</w:t>
            </w:r>
          </w:p>
        </w:tc>
        <w:tc>
          <w:tcPr>
            <w:tcW w:w="2573" w:type="dxa"/>
            <w:noWrap w:val="0"/>
            <w:vAlign w:val="top"/>
          </w:tcPr>
          <w:p>
            <w:pPr>
              <w:pStyle w:val="10"/>
              <w:rPr>
                <w:rFonts w:hint="eastAsia" w:hAnsi="宋体"/>
                <w:sz w:val="24"/>
                <w:lang w:val="en-US" w:eastAsia="zh-CN"/>
              </w:rPr>
            </w:pPr>
          </w:p>
        </w:tc>
        <w:tc>
          <w:tcPr>
            <w:tcW w:w="1238" w:type="dxa"/>
            <w:noWrap w:val="0"/>
            <w:vAlign w:val="top"/>
          </w:tcPr>
          <w:p>
            <w:pPr>
              <w:pStyle w:val="10"/>
              <w:rPr>
                <w:rFonts w:hint="eastAsia" w:hAnsi="宋体"/>
                <w:sz w:val="24"/>
                <w:lang w:val="en-US" w:eastAsia="zh-CN"/>
              </w:rPr>
            </w:pPr>
          </w:p>
        </w:tc>
        <w:tc>
          <w:tcPr>
            <w:tcW w:w="1300" w:type="dxa"/>
            <w:noWrap w:val="0"/>
            <w:vAlign w:val="top"/>
          </w:tcPr>
          <w:p>
            <w:pPr>
              <w:pStyle w:val="10"/>
              <w:rPr>
                <w:rFonts w:hint="eastAsia" w:hAnsi="宋体"/>
                <w:sz w:val="24"/>
                <w:lang w:val="en-US" w:eastAsia="zh-CN"/>
              </w:rPr>
            </w:pPr>
          </w:p>
        </w:tc>
        <w:tc>
          <w:tcPr>
            <w:tcW w:w="1412" w:type="dxa"/>
            <w:noWrap w:val="0"/>
            <w:vAlign w:val="top"/>
          </w:tcPr>
          <w:p>
            <w:pPr>
              <w:pStyle w:val="10"/>
              <w:rPr>
                <w:rFonts w:hint="eastAsia" w:hAnsi="宋体"/>
                <w:sz w:val="24"/>
                <w:lang w:val="en-US" w:eastAsia="zh-CN"/>
              </w:rPr>
            </w:pPr>
          </w:p>
        </w:tc>
        <w:tc>
          <w:tcPr>
            <w:tcW w:w="1725" w:type="dxa"/>
            <w:noWrap w:val="0"/>
            <w:vAlign w:val="top"/>
          </w:tcPr>
          <w:p>
            <w:pPr>
              <w:pStyle w:val="10"/>
              <w:rPr>
                <w:rFonts w:hint="eastAsia" w:hAnsi="宋体"/>
                <w:sz w:val="24"/>
                <w:lang w:val="en-US" w:eastAsia="zh-CN"/>
              </w:rPr>
            </w:pPr>
          </w:p>
        </w:tc>
        <w:tc>
          <w:tcPr>
            <w:tcW w:w="1038" w:type="dxa"/>
            <w:noWrap w:val="0"/>
            <w:vAlign w:val="top"/>
          </w:tcPr>
          <w:p>
            <w:pPr>
              <w:pStyle w:val="10"/>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noWrap w:val="0"/>
            <w:vAlign w:val="top"/>
          </w:tcPr>
          <w:p>
            <w:pPr>
              <w:pStyle w:val="10"/>
              <w:jc w:val="center"/>
              <w:rPr>
                <w:rFonts w:hint="eastAsia" w:hAnsi="宋体"/>
                <w:b/>
                <w:sz w:val="24"/>
                <w:lang w:val="en-US" w:eastAsia="zh-CN"/>
              </w:rPr>
            </w:pPr>
            <w:r>
              <w:rPr>
                <w:rFonts w:hint="eastAsia" w:hAnsi="宋体"/>
                <w:b/>
                <w:sz w:val="24"/>
                <w:lang w:val="en-US" w:eastAsia="zh-CN"/>
              </w:rPr>
              <w:t>8</w:t>
            </w:r>
          </w:p>
        </w:tc>
        <w:tc>
          <w:tcPr>
            <w:tcW w:w="2573" w:type="dxa"/>
            <w:noWrap w:val="0"/>
            <w:vAlign w:val="top"/>
          </w:tcPr>
          <w:p>
            <w:pPr>
              <w:pStyle w:val="10"/>
              <w:rPr>
                <w:rFonts w:hint="eastAsia" w:hAnsi="宋体"/>
                <w:sz w:val="24"/>
                <w:lang w:val="en-US" w:eastAsia="zh-CN"/>
              </w:rPr>
            </w:pPr>
          </w:p>
        </w:tc>
        <w:tc>
          <w:tcPr>
            <w:tcW w:w="1238" w:type="dxa"/>
            <w:noWrap w:val="0"/>
            <w:vAlign w:val="top"/>
          </w:tcPr>
          <w:p>
            <w:pPr>
              <w:pStyle w:val="10"/>
              <w:rPr>
                <w:rFonts w:hint="eastAsia" w:hAnsi="宋体"/>
                <w:sz w:val="24"/>
                <w:lang w:val="en-US" w:eastAsia="zh-CN"/>
              </w:rPr>
            </w:pPr>
          </w:p>
        </w:tc>
        <w:tc>
          <w:tcPr>
            <w:tcW w:w="1300" w:type="dxa"/>
            <w:noWrap w:val="0"/>
            <w:vAlign w:val="top"/>
          </w:tcPr>
          <w:p>
            <w:pPr>
              <w:pStyle w:val="10"/>
              <w:rPr>
                <w:rFonts w:hint="eastAsia" w:hAnsi="宋体"/>
                <w:sz w:val="24"/>
                <w:lang w:val="en-US" w:eastAsia="zh-CN"/>
              </w:rPr>
            </w:pPr>
          </w:p>
        </w:tc>
        <w:tc>
          <w:tcPr>
            <w:tcW w:w="1412" w:type="dxa"/>
            <w:noWrap w:val="0"/>
            <w:vAlign w:val="top"/>
          </w:tcPr>
          <w:p>
            <w:pPr>
              <w:pStyle w:val="10"/>
              <w:rPr>
                <w:rFonts w:hint="eastAsia" w:hAnsi="宋体"/>
                <w:sz w:val="24"/>
                <w:lang w:val="en-US" w:eastAsia="zh-CN"/>
              </w:rPr>
            </w:pPr>
          </w:p>
        </w:tc>
        <w:tc>
          <w:tcPr>
            <w:tcW w:w="1725" w:type="dxa"/>
            <w:noWrap w:val="0"/>
            <w:vAlign w:val="top"/>
          </w:tcPr>
          <w:p>
            <w:pPr>
              <w:pStyle w:val="10"/>
              <w:rPr>
                <w:rFonts w:hint="eastAsia" w:hAnsi="宋体"/>
                <w:sz w:val="24"/>
                <w:lang w:val="en-US" w:eastAsia="zh-CN"/>
              </w:rPr>
            </w:pPr>
          </w:p>
        </w:tc>
        <w:tc>
          <w:tcPr>
            <w:tcW w:w="1038" w:type="dxa"/>
            <w:noWrap w:val="0"/>
            <w:vAlign w:val="top"/>
          </w:tcPr>
          <w:p>
            <w:pPr>
              <w:pStyle w:val="10"/>
              <w:rPr>
                <w:rFonts w:hint="eastAsia" w:hAnsi="宋体"/>
                <w:sz w:val="24"/>
                <w:lang w:val="en-US" w:eastAsia="zh-CN"/>
              </w:rPr>
            </w:pPr>
          </w:p>
        </w:tc>
      </w:tr>
    </w:tbl>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sectPr>
          <w:headerReference r:id="rId11" w:type="default"/>
          <w:footerReference r:id="rId12" w:type="default"/>
          <w:pgSz w:w="11907" w:h="16841"/>
          <w:pgMar w:top="1304" w:right="1059" w:bottom="1305" w:left="1117" w:header="878" w:footer="885"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spacing w:val="0"/>
          <w:w w:val="100"/>
          <w:position w:val="0"/>
          <w:sz w:val="21"/>
        </w:rPr>
      </w:pPr>
      <w:bookmarkStart w:id="122" w:name="_Toc6650"/>
      <w:r>
        <w:rPr>
          <w:rFonts w:hint="eastAsia" w:ascii="宋体" w:hAnsi="宋体" w:eastAsia="宋体" w:cs="宋体"/>
          <w:spacing w:val="0"/>
          <w:w w:val="100"/>
          <w:position w:val="0"/>
          <w:sz w:val="24"/>
          <w:szCs w:val="24"/>
        </w:rPr>
        <w:t>5   合同条款偏离表（实质性格式）</w:t>
      </w:r>
      <w:bookmarkEnd w:id="122"/>
    </w:p>
    <w:p>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1"/>
          <w:lang w:val="en-US" w:eastAsia="zh-CN"/>
        </w:rPr>
      </w:pPr>
      <w:bookmarkStart w:id="123" w:name="_Toc7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合同条款偏离表</w:t>
      </w:r>
      <w:bookmarkEnd w:id="123"/>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3"/>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771"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1675"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1675"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投标文件内容</w:t>
            </w:r>
          </w:p>
        </w:tc>
        <w:tc>
          <w:tcPr>
            <w:tcW w:w="1876"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138"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top"/>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spacing w:val="0"/>
                <w:w w:val="100"/>
                <w:position w:val="0"/>
              </w:rPr>
              <w:t>（应进行选择，未选择</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无偏离</w:t>
            </w:r>
            <w:r>
              <w:rPr>
                <w:rFonts w:hint="eastAsia" w:ascii="宋体" w:hAnsi="宋体" w:eastAsia="宋体" w:cs="宋体"/>
                <w:spacing w:val="0"/>
                <w:w w:val="100"/>
                <w:position w:val="0"/>
              </w:rPr>
              <w:t>（如无偏离，仅选择无偏离即可；无偏离即为对合同条款中的所有要求，均视作供应商已对之理解和响应。）</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有偏离</w:t>
            </w:r>
            <w:r>
              <w:rPr>
                <w:rFonts w:hint="eastAsia" w:ascii="宋体" w:hAnsi="宋体" w:eastAsia="宋体" w:cs="宋体"/>
                <w:spacing w:val="0"/>
                <w:w w:val="100"/>
                <w:position w:val="0"/>
              </w:rPr>
              <w:t>（如有偏离，则应在本表中对偏离项逐一列明，否则</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注：“偏离情况”列应据实填写“正偏离”或“负偏离”。</w:t>
      </w: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312"/>
        <w:textAlignment w:val="baseline"/>
        <w:outlineLvl w:val="2"/>
        <w:rPr>
          <w:rFonts w:hint="eastAsia" w:ascii="宋体" w:hAnsi="宋体" w:eastAsia="宋体" w:cs="宋体"/>
          <w:spacing w:val="0"/>
          <w:w w:val="100"/>
          <w:position w:val="0"/>
          <w:sz w:val="24"/>
          <w:szCs w:val="24"/>
        </w:rPr>
      </w:pPr>
      <w:bookmarkStart w:id="124" w:name="_Toc1120"/>
      <w:r>
        <w:rPr>
          <w:rFonts w:hint="eastAsia" w:ascii="宋体" w:hAnsi="宋体" w:eastAsia="宋体" w:cs="宋体"/>
          <w:spacing w:val="0"/>
          <w:w w:val="100"/>
          <w:position w:val="0"/>
          <w:sz w:val="24"/>
          <w:szCs w:val="24"/>
        </w:rPr>
        <w:t>6   采购需求偏离表（实质性格式）</w:t>
      </w:r>
      <w:bookmarkEnd w:id="124"/>
    </w:p>
    <w:p>
      <w:pPr>
        <w:pStyle w:val="6"/>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spacing w:val="0"/>
          <w:w w:val="100"/>
          <w:position w:val="0"/>
          <w:sz w:val="36"/>
          <w:szCs w:val="36"/>
        </w:rPr>
      </w:pPr>
      <w:bookmarkStart w:id="125" w:name="_Toc125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采购需求偏离表</w:t>
      </w:r>
      <w:bookmarkEnd w:id="125"/>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3"/>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481"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w:t>
            </w:r>
          </w:p>
        </w:tc>
        <w:tc>
          <w:tcPr>
            <w:tcW w:w="2383"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2125"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投标响应内容</w:t>
            </w:r>
          </w:p>
        </w:tc>
        <w:tc>
          <w:tcPr>
            <w:tcW w:w="187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01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1.对招标文件中的所有商务、技术要求，除本表所列明的所有偏离外，均视作供应商已对之理解和响应。此表中若无任何文字说明，内容为空白的，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2.“偏离情况”列应据实填写“无偏离”、“正偏离”或“负偏离”。</w:t>
      </w: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26" w:name="_Toc9500"/>
      <w:r>
        <w:rPr>
          <w:rFonts w:hint="eastAsia" w:ascii="宋体" w:hAnsi="宋体" w:eastAsia="宋体" w:cs="宋体"/>
          <w:spacing w:val="0"/>
          <w:w w:val="100"/>
          <w:position w:val="0"/>
          <w:sz w:val="24"/>
          <w:szCs w:val="24"/>
        </w:rPr>
        <w:t>7   中小企业证明文件</w:t>
      </w:r>
      <w:bookmarkEnd w:id="126"/>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pStyle w:val="6"/>
        <w:kinsoku/>
        <w:autoSpaceDE/>
        <w:autoSpaceDN/>
        <w:spacing w:line="360" w:lineRule="auto"/>
        <w:ind w:firstLine="720"/>
        <w:jc w:val="center"/>
        <w:rPr>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bookmarkStart w:id="127" w:name="_Toc29162"/>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sectPr>
          <w:headerReference r:id="rId13" w:type="default"/>
          <w:footerReference r:id="rId14" w:type="default"/>
          <w:pgSz w:w="11907" w:h="16841"/>
          <w:pgMar w:top="1117" w:right="1134" w:bottom="1060" w:left="1134" w:header="878" w:footer="841" w:gutter="0"/>
          <w:pgBorders>
            <w:top w:val="none" w:sz="0" w:space="0"/>
            <w:left w:val="none" w:sz="0" w:space="0"/>
            <w:bottom w:val="none" w:sz="0" w:space="0"/>
            <w:right w:val="none" w:sz="0" w:space="0"/>
          </w:pgBorders>
          <w:pgNumType w:fmt="decimal"/>
          <w:cols w:space="720" w:num="1"/>
        </w:sectPr>
      </w:pP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bookmarkEnd w:id="127"/>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本单位郑重声明，根据《财政部 民政部 中国残疾人联合会关于促进残疾人就业政府采购政策的通知》（财库〔2017〕141 号） 的规定，本单位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 xml:space="preserve">且本单位参加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单位的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 采购活动</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供服务）， 或者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spacing w:val="0"/>
          <w:w w:val="100"/>
          <w:position w:val="0"/>
          <w:sz w:val="24"/>
          <w:szCs w:val="24"/>
        </w:rPr>
      </w:pPr>
      <w:bookmarkStart w:id="128" w:name="_Toc2772"/>
      <w:r>
        <w:rPr>
          <w:rFonts w:hint="eastAsia" w:ascii="宋体" w:hAnsi="宋体" w:eastAsia="宋体" w:cs="宋体"/>
          <w:spacing w:val="0"/>
          <w:w w:val="100"/>
          <w:position w:val="0"/>
          <w:sz w:val="24"/>
          <w:szCs w:val="24"/>
        </w:rPr>
        <w:t>8   拟分包情况说明</w:t>
      </w:r>
      <w:bookmarkEnd w:id="128"/>
    </w:p>
    <w:p>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spacing w:val="0"/>
          <w:w w:val="100"/>
          <w:position w:val="0"/>
        </w:rPr>
      </w:pPr>
    </w:p>
    <w:tbl>
      <w:tblPr>
        <w:tblStyle w:val="23"/>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spacing w:val="0"/>
                <w:w w:val="100"/>
                <w:position w:val="0"/>
                <w:sz w:val="24"/>
                <w:szCs w:val="24"/>
              </w:rPr>
            </w:pPr>
            <w:bookmarkStart w:id="129" w:name="_Toc5963"/>
            <w:r>
              <w:rPr>
                <w:rFonts w:hint="eastAsia" w:ascii="宋体" w:hAnsi="宋体" w:eastAsia="宋体" w:cs="宋体"/>
                <w:spacing w:val="0"/>
                <w:w w:val="100"/>
                <w:position w:val="0"/>
                <w:sz w:val="24"/>
                <w:szCs w:val="24"/>
              </w:rPr>
              <w:t>序号</w:t>
            </w:r>
            <w:bookmarkEnd w:id="129"/>
          </w:p>
        </w:tc>
        <w:tc>
          <w:tcPr>
            <w:tcW w:w="1286"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分包承担主体名称</w:t>
            </w: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分包承担主体类型（选择）</w:t>
            </w:r>
          </w:p>
        </w:tc>
        <w:tc>
          <w:tcPr>
            <w:tcW w:w="112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资质等级</w:t>
            </w:r>
          </w:p>
        </w:tc>
        <w:tc>
          <w:tcPr>
            <w:tcW w:w="156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拟分包合同内容</w:t>
            </w:r>
          </w:p>
        </w:tc>
        <w:tc>
          <w:tcPr>
            <w:tcW w:w="149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拟分包合同金额（人民币元）</w:t>
            </w:r>
          </w:p>
        </w:tc>
        <w:tc>
          <w:tcPr>
            <w:tcW w:w="156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占合同金额</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的比例（</w:t>
            </w:r>
            <w:r>
              <w:rPr>
                <w:rFonts w:hint="eastAsia" w:ascii="宋体" w:hAnsi="宋体" w:eastAsia="宋体" w:cs="宋体"/>
                <w:b/>
                <w:bCs/>
                <w:spacing w:val="0"/>
                <w:w w:val="100"/>
                <w:position w:val="0"/>
                <w:sz w:val="24"/>
                <w:szCs w:val="24"/>
              </w:rPr>
              <w:t>*</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合计：</w:t>
            </w: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bl>
    <w:p>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1.如本项目（包）允许分包，且投标人拟进行分包时，必须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供；如未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供了但未填写分包承担主体名称、拟分包合同内容、拟分包合同金额，</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1"/>
        </w:rPr>
      </w:pPr>
      <w:r>
        <w:rPr>
          <w:rFonts w:hint="eastAsia" w:ascii="宋体" w:hAnsi="宋体" w:eastAsia="宋体" w:cs="宋体"/>
          <w:spacing w:val="0"/>
          <w:w w:val="100"/>
          <w:position w:val="0"/>
          <w:sz w:val="24"/>
          <w:szCs w:val="24"/>
        </w:rPr>
        <w:t>3.投标人“为落实政府采购政策”而向中小企业分包时请仔细阅读资格证明文件格式2-1中说明，并建议按要求在资格证明文件中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供相关全部文件；投标人非“为落实政府采购政策”而向中小企业分包时，建议在本册</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投标人名称（盖章）：</w:t>
      </w:r>
    </w:p>
    <w:p>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w:t>
      </w:r>
    </w:p>
    <w:p>
      <w:pPr>
        <w:pStyle w:val="6"/>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pgSz w:w="11907" w:h="16841"/>
          <w:pgMar w:top="1117" w:right="1064" w:bottom="1060" w:left="1700" w:header="878" w:footer="841"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spacing w:val="0"/>
          <w:w w:val="100"/>
          <w:position w:val="0"/>
          <w:sz w:val="24"/>
          <w:szCs w:val="24"/>
        </w:rPr>
      </w:pPr>
      <w:bookmarkStart w:id="130" w:name="_Toc11446"/>
      <w:r>
        <w:rPr>
          <w:rFonts w:hint="eastAsia" w:ascii="宋体" w:hAnsi="宋体" w:eastAsia="宋体" w:cs="宋体"/>
          <w:spacing w:val="0"/>
          <w:w w:val="100"/>
          <w:position w:val="0"/>
          <w:sz w:val="24"/>
          <w:szCs w:val="24"/>
        </w:rPr>
        <w:t>9   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供或投标人认为应附的其他材料</w:t>
      </w:r>
      <w:bookmarkEnd w:id="130"/>
    </w:p>
    <w:p>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spacing w:val="0"/>
          <w:w w:val="100"/>
          <w:position w:val="0"/>
        </w:rPr>
      </w:pPr>
    </w:p>
    <w:p>
      <w:pPr>
        <w:bidi w:val="0"/>
        <w:rPr>
          <w:rFonts w:hint="eastAsia" w:ascii="Arial" w:hAnsi="Arial" w:eastAsia="Arial" w:cs="Arial"/>
          <w:snapToGrid w:val="0"/>
          <w:color w:val="000000"/>
          <w:kern w:val="0"/>
          <w:sz w:val="21"/>
          <w:szCs w:val="21"/>
          <w:lang w:val="en-US" w:eastAsia="en-US" w:bidi="ar-SA"/>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pStyle w:val="18"/>
        <w:ind w:left="0" w:leftChars="0" w:firstLine="0" w:firstLineChars="0"/>
        <w:rPr>
          <w:rFonts w:hint="eastAsia"/>
          <w:lang w:val="en-US" w:eastAsia="en-US"/>
        </w:rPr>
      </w:pPr>
    </w:p>
    <w:sectPr>
      <w:pgSz w:w="11906" w:h="16839"/>
      <w:pgMar w:top="1117" w:right="1066" w:bottom="1060" w:left="1701" w:header="0" w:footer="0"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0F2231A-33C5-43A6-8E96-A153E3DD480D}"/>
  </w:font>
  <w:font w:name="黑体">
    <w:panose1 w:val="02010609060101010101"/>
    <w:charset w:val="86"/>
    <w:family w:val="auto"/>
    <w:pitch w:val="default"/>
    <w:sig w:usb0="800002BF" w:usb1="38CF7CFA" w:usb2="00000016" w:usb3="00000000" w:csb0="00040001" w:csb1="00000000"/>
    <w:embedRegular r:id="rId2" w:fontKey="{F80995B4-4288-4177-B483-DDC5A4941A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C4709F9-1516-4E11-923D-7507BE795B54}"/>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0"/>
    <w:family w:val="auto"/>
    <w:pitch w:val="default"/>
    <w:sig w:usb0="00000000" w:usb1="00000000" w:usb2="00000000" w:usb3="00000000" w:csb0="80000000" w:csb1="00000000"/>
    <w:embedRegular r:id="rId4" w:fontKey="{C9BD1331-4457-4AB5-A7A5-7CFBA48B948C}"/>
  </w:font>
  <w:font w:name="微软雅黑">
    <w:panose1 w:val="020B0503020204020204"/>
    <w:charset w:val="86"/>
    <w:family w:val="auto"/>
    <w:pitch w:val="default"/>
    <w:sig w:usb0="80000287" w:usb1="2ACF3C50" w:usb2="00000016" w:usb3="00000000" w:csb0="0004001F" w:csb1="00000000"/>
    <w:embedRegular r:id="rId5" w:fontKey="{DC55D130-306F-4D0F-B6A9-D3EC6596CBA5}"/>
  </w:font>
  <w:font w:name="方正仿宋_GB2312">
    <w:panose1 w:val="02000000000000000000"/>
    <w:charset w:val="86"/>
    <w:family w:val="auto"/>
    <w:pitch w:val="default"/>
    <w:sig w:usb0="A00002BF" w:usb1="184F6CFA" w:usb2="00000012" w:usb3="00000000" w:csb0="00040001" w:csb1="00000000"/>
    <w:embedRegular r:id="rId6" w:fontKey="{FF0B5C5E-C447-4409-8D13-AA1F883B17E8}"/>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A386BE"/>
    <w:multiLevelType w:val="singleLevel"/>
    <w:tmpl w:val="1AA386BE"/>
    <w:lvl w:ilvl="0" w:tentative="0">
      <w:start w:val="3"/>
      <w:numFmt w:val="decimal"/>
      <w:suff w:val="nothing"/>
      <w:lvlText w:val="%1、"/>
      <w:lvlJc w:val="left"/>
    </w:lvl>
  </w:abstractNum>
  <w:abstractNum w:abstractNumId="1">
    <w:nsid w:val="70FFD35B"/>
    <w:multiLevelType w:val="singleLevel"/>
    <w:tmpl w:val="70FFD35B"/>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ZjYzM5MWZmYWZkZmFjMDAyZjVjY2RkMjZlMGE5MzgifQ=="/>
  </w:docVars>
  <w:rsids>
    <w:rsidRoot w:val="00000000"/>
    <w:rsid w:val="018F608A"/>
    <w:rsid w:val="01A346BF"/>
    <w:rsid w:val="028C33A8"/>
    <w:rsid w:val="06383BF1"/>
    <w:rsid w:val="077509D9"/>
    <w:rsid w:val="08415955"/>
    <w:rsid w:val="08E910A8"/>
    <w:rsid w:val="0963278B"/>
    <w:rsid w:val="0BF027CF"/>
    <w:rsid w:val="0CD63B7F"/>
    <w:rsid w:val="0E544313"/>
    <w:rsid w:val="0EA224A6"/>
    <w:rsid w:val="0FBE25DD"/>
    <w:rsid w:val="10023F7D"/>
    <w:rsid w:val="10F66925"/>
    <w:rsid w:val="11F63532"/>
    <w:rsid w:val="124A41CA"/>
    <w:rsid w:val="12F03907"/>
    <w:rsid w:val="138C5982"/>
    <w:rsid w:val="140A1ED1"/>
    <w:rsid w:val="15FB21F4"/>
    <w:rsid w:val="189477E1"/>
    <w:rsid w:val="1A6846DF"/>
    <w:rsid w:val="1B2E4DC9"/>
    <w:rsid w:val="1B7E20FB"/>
    <w:rsid w:val="1C4855E3"/>
    <w:rsid w:val="1F1557A8"/>
    <w:rsid w:val="287A7AF8"/>
    <w:rsid w:val="295E48E3"/>
    <w:rsid w:val="2B1B2F6C"/>
    <w:rsid w:val="2B6C6CDF"/>
    <w:rsid w:val="2C0713E7"/>
    <w:rsid w:val="2E1A575D"/>
    <w:rsid w:val="2E7A444E"/>
    <w:rsid w:val="2FA12DB4"/>
    <w:rsid w:val="2FDB3EEB"/>
    <w:rsid w:val="30FA6736"/>
    <w:rsid w:val="31D65E3F"/>
    <w:rsid w:val="31F6321E"/>
    <w:rsid w:val="33340683"/>
    <w:rsid w:val="33924C86"/>
    <w:rsid w:val="344270C5"/>
    <w:rsid w:val="35033AF8"/>
    <w:rsid w:val="358026BA"/>
    <w:rsid w:val="367649E7"/>
    <w:rsid w:val="370C54DE"/>
    <w:rsid w:val="378F4A1D"/>
    <w:rsid w:val="39651801"/>
    <w:rsid w:val="3989024C"/>
    <w:rsid w:val="3A333996"/>
    <w:rsid w:val="3E1A4558"/>
    <w:rsid w:val="3F7E1C42"/>
    <w:rsid w:val="418D7EDD"/>
    <w:rsid w:val="42CA06FD"/>
    <w:rsid w:val="44B51BE5"/>
    <w:rsid w:val="458E04C0"/>
    <w:rsid w:val="459973F1"/>
    <w:rsid w:val="45C04800"/>
    <w:rsid w:val="47EB563E"/>
    <w:rsid w:val="481B158B"/>
    <w:rsid w:val="49431747"/>
    <w:rsid w:val="4AA41400"/>
    <w:rsid w:val="4C786BA8"/>
    <w:rsid w:val="4D477799"/>
    <w:rsid w:val="4D8D7AD3"/>
    <w:rsid w:val="4EA86EAD"/>
    <w:rsid w:val="4EED6481"/>
    <w:rsid w:val="501C1590"/>
    <w:rsid w:val="5054218A"/>
    <w:rsid w:val="506C5C25"/>
    <w:rsid w:val="509F20CD"/>
    <w:rsid w:val="52D30C3A"/>
    <w:rsid w:val="540C1994"/>
    <w:rsid w:val="55105F39"/>
    <w:rsid w:val="55931624"/>
    <w:rsid w:val="575A299C"/>
    <w:rsid w:val="589645B8"/>
    <w:rsid w:val="5A7B2D9D"/>
    <w:rsid w:val="5ACF0996"/>
    <w:rsid w:val="5E226CDD"/>
    <w:rsid w:val="5ECA5FE2"/>
    <w:rsid w:val="5F04292C"/>
    <w:rsid w:val="5F133C41"/>
    <w:rsid w:val="60F116A0"/>
    <w:rsid w:val="620852F1"/>
    <w:rsid w:val="62DE05EA"/>
    <w:rsid w:val="63D01F52"/>
    <w:rsid w:val="66582DD6"/>
    <w:rsid w:val="672C7F92"/>
    <w:rsid w:val="678A09AE"/>
    <w:rsid w:val="67E07424"/>
    <w:rsid w:val="6A8F3AC8"/>
    <w:rsid w:val="6AA125B4"/>
    <w:rsid w:val="6B473305"/>
    <w:rsid w:val="6BE54486"/>
    <w:rsid w:val="6C8108F6"/>
    <w:rsid w:val="6D330516"/>
    <w:rsid w:val="6D8F5D46"/>
    <w:rsid w:val="6E7A6367"/>
    <w:rsid w:val="6F825B12"/>
    <w:rsid w:val="70942530"/>
    <w:rsid w:val="70C92F8D"/>
    <w:rsid w:val="756920F3"/>
    <w:rsid w:val="759C23F1"/>
    <w:rsid w:val="78030045"/>
    <w:rsid w:val="78756342"/>
    <w:rsid w:val="78E81581"/>
    <w:rsid w:val="7AF62998"/>
    <w:rsid w:val="7B8E616E"/>
    <w:rsid w:val="7CDC13FD"/>
    <w:rsid w:val="7DE25D8F"/>
    <w:rsid w:val="7E867872"/>
    <w:rsid w:val="7EE677EF"/>
    <w:rsid w:val="7F796E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9"/>
    <w:pPr>
      <w:adjustRightInd w:val="0"/>
      <w:snapToGrid w:val="0"/>
      <w:spacing w:before="156" w:beforeLines="50" w:line="360" w:lineRule="auto"/>
      <w:jc w:val="left"/>
      <w:outlineLvl w:val="0"/>
    </w:pPr>
    <w:rPr>
      <w:rFonts w:asciiTheme="minorEastAsia" w:hAnsiTheme="minorEastAsia" w:eastAsiaTheme="minorEastAsia"/>
      <w:b/>
      <w:sz w:val="28"/>
      <w:szCs w:val="28"/>
    </w:rPr>
  </w:style>
  <w:style w:type="paragraph" w:styleId="2">
    <w:name w:val="heading 2"/>
    <w:basedOn w:val="1"/>
    <w:next w:val="1"/>
    <w:qFormat/>
    <w:uiPriority w:val="0"/>
    <w:pPr>
      <w:outlineLvl w:val="1"/>
    </w:p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99"/>
    <w:pPr>
      <w:autoSpaceDE w:val="0"/>
      <w:autoSpaceDN w:val="0"/>
      <w:adjustRightInd w:val="0"/>
      <w:ind w:firstLine="420"/>
      <w:jc w:val="left"/>
    </w:pPr>
    <w:rPr>
      <w:rFonts w:ascii="宋体"/>
      <w:kern w:val="0"/>
      <w:sz w:val="24"/>
      <w:szCs w:val="20"/>
    </w:rPr>
  </w:style>
  <w:style w:type="paragraph" w:styleId="6">
    <w:name w:val="Body Text"/>
    <w:basedOn w:val="1"/>
    <w:next w:val="7"/>
    <w:semiHidden/>
    <w:qFormat/>
    <w:uiPriority w:val="0"/>
    <w:rPr>
      <w:rFonts w:ascii="宋体" w:hAnsi="宋体" w:eastAsia="宋体" w:cs="宋体"/>
      <w:sz w:val="31"/>
      <w:szCs w:val="31"/>
      <w:lang w:val="en-US" w:eastAsia="en-US" w:bidi="ar-SA"/>
    </w:rPr>
  </w:style>
  <w:style w:type="paragraph" w:styleId="7">
    <w:name w:val="Body Text 2"/>
    <w:basedOn w:val="1"/>
    <w:qFormat/>
    <w:uiPriority w:val="0"/>
    <w:pPr>
      <w:jc w:val="center"/>
    </w:pPr>
    <w:rPr>
      <w:b/>
      <w:bCs/>
      <w:sz w:val="72"/>
    </w:rPr>
  </w:style>
  <w:style w:type="paragraph" w:styleId="8">
    <w:name w:val="Body Text Indent"/>
    <w:basedOn w:val="1"/>
    <w:next w:val="9"/>
    <w:qFormat/>
    <w:uiPriority w:val="0"/>
    <w:pPr>
      <w:spacing w:line="360" w:lineRule="auto"/>
      <w:ind w:firstLine="570"/>
    </w:pPr>
    <w:rPr>
      <w:sz w:val="24"/>
    </w:rPr>
  </w:style>
  <w:style w:type="paragraph" w:styleId="9">
    <w:name w:val="envelope return"/>
    <w:basedOn w:val="1"/>
    <w:qFormat/>
    <w:uiPriority w:val="0"/>
    <w:pPr>
      <w:snapToGrid w:val="0"/>
    </w:pPr>
    <w:rPr>
      <w:rFonts w:ascii="Arial" w:hAnsi="Arial"/>
    </w:rPr>
  </w:style>
  <w:style w:type="paragraph" w:styleId="10">
    <w:name w:val="Plain Text"/>
    <w:basedOn w:val="1"/>
    <w:qFormat/>
    <w:uiPriority w:val="0"/>
    <w:rPr>
      <w:rFonts w:ascii="宋体" w:hAnsi="Courier New"/>
    </w:rPr>
  </w:style>
  <w:style w:type="paragraph" w:styleId="11">
    <w:name w:val="Body Text Indent 2"/>
    <w:basedOn w:val="1"/>
    <w:qFormat/>
    <w:uiPriority w:val="0"/>
    <w:pPr>
      <w:ind w:firstLine="480" w:firstLineChars="200"/>
    </w:pPr>
    <w:rPr>
      <w:rFonts w:ascii="仿宋_GB2312" w:eastAsia="仿宋_GB2312"/>
      <w:sz w:val="24"/>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Body Text Indent 3"/>
    <w:basedOn w:val="1"/>
    <w:qFormat/>
    <w:uiPriority w:val="0"/>
    <w:pPr>
      <w:autoSpaceDE w:val="0"/>
      <w:autoSpaceDN w:val="0"/>
      <w:adjustRightInd w:val="0"/>
      <w:spacing w:before="120" w:line="22" w:lineRule="atLeast"/>
      <w:ind w:left="720" w:firstLine="480"/>
      <w:jc w:val="left"/>
    </w:pPr>
    <w:rPr>
      <w:rFonts w:ascii="宋体"/>
      <w:kern w:val="0"/>
      <w:sz w:val="24"/>
    </w:r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index 1"/>
    <w:basedOn w:val="1"/>
    <w:next w:val="1"/>
    <w:qFormat/>
    <w:uiPriority w:val="0"/>
  </w:style>
  <w:style w:type="paragraph" w:styleId="17">
    <w:name w:val="Body Text First Indent"/>
    <w:basedOn w:val="6"/>
    <w:next w:val="18"/>
    <w:qFormat/>
    <w:uiPriority w:val="0"/>
    <w:pPr>
      <w:tabs>
        <w:tab w:val="left" w:pos="567"/>
      </w:tabs>
      <w:spacing w:before="0" w:after="120" w:line="240" w:lineRule="auto"/>
      <w:ind w:firstLine="420" w:firstLineChars="100"/>
    </w:pPr>
    <w:rPr>
      <w:rFonts w:ascii="Times New Roman" w:hAnsi="Times New Roman"/>
      <w:sz w:val="21"/>
    </w:rPr>
  </w:style>
  <w:style w:type="paragraph" w:styleId="18">
    <w:name w:val="Body Text First Indent 2"/>
    <w:basedOn w:val="8"/>
    <w:next w:val="1"/>
    <w:qFormat/>
    <w:uiPriority w:val="0"/>
    <w:pPr>
      <w:spacing w:after="120" w:line="240" w:lineRule="auto"/>
      <w:ind w:left="420" w:leftChars="200" w:firstLine="420" w:firstLineChars="200"/>
    </w:pPr>
    <w:rPr>
      <w:sz w:val="21"/>
    </w:rPr>
  </w:style>
  <w:style w:type="table" w:styleId="20">
    <w:name w:val="Table Grid"/>
    <w:basedOn w:val="19"/>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qFormat/>
    <w:uiPriority w:val="99"/>
    <w:rPr>
      <w:color w:val="444444"/>
      <w:u w:val="none"/>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24"/>
      <w:szCs w:val="24"/>
      <w:lang w:val="en-US" w:eastAsia="en-US" w:bidi="ar-SA"/>
    </w:rPr>
  </w:style>
  <w:style w:type="paragraph" w:customStyle="1" w:styleId="25">
    <w:name w:val="列出段落1"/>
    <w:basedOn w:val="1"/>
    <w:qFormat/>
    <w:uiPriority w:val="0"/>
    <w:pPr>
      <w:ind w:firstLine="420" w:firstLineChars="200"/>
    </w:pPr>
    <w:rPr>
      <w:rFonts w:ascii="Calibri" w:hAnsi="Calibri"/>
      <w:szCs w:val="22"/>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 w:type="paragraph" w:customStyle="1" w:styleId="28">
    <w:name w:val="WPSOffice手动目录 3"/>
    <w:qFormat/>
    <w:uiPriority w:val="0"/>
    <w:pPr>
      <w:ind w:leftChars="400"/>
    </w:pPr>
    <w:rPr>
      <w:rFonts w:ascii="Times New Roman" w:hAnsi="Times New Roman" w:eastAsia="宋体" w:cs="Times New Roman"/>
      <w:sz w:val="20"/>
      <w:szCs w:val="20"/>
    </w:rPr>
  </w:style>
  <w:style w:type="paragraph" w:customStyle="1" w:styleId="29">
    <w:name w:val="正文文本缩进 31"/>
    <w:basedOn w:val="1"/>
    <w:qFormat/>
    <w:uiPriority w:val="0"/>
    <w:pPr>
      <w:autoSpaceDE w:val="0"/>
      <w:autoSpaceDN w:val="0"/>
      <w:adjustRightInd w:val="0"/>
      <w:spacing w:before="120" w:line="22" w:lineRule="atLeast"/>
      <w:ind w:left="720" w:firstLine="480"/>
      <w:jc w:val="left"/>
    </w:pPr>
    <w:rPr>
      <w:sz w:val="16"/>
      <w:szCs w:val="16"/>
    </w:rPr>
  </w:style>
  <w:style w:type="paragraph" w:customStyle="1" w:styleId="30">
    <w:name w:val="正文缩进1"/>
    <w:basedOn w:val="1"/>
    <w:qFormat/>
    <w:uiPriority w:val="0"/>
    <w:pPr>
      <w:autoSpaceDE w:val="0"/>
      <w:autoSpaceDN w:val="0"/>
      <w:adjustRightInd w:val="0"/>
      <w:ind w:firstLine="420"/>
      <w:jc w:val="left"/>
    </w:pPr>
    <w:rPr>
      <w:rFonts w:ascii="宋体"/>
      <w:kern w:val="0"/>
      <w:sz w:val="24"/>
      <w:szCs w:val="20"/>
    </w:rPr>
  </w:style>
  <w:style w:type="paragraph" w:customStyle="1" w:styleId="31">
    <w:name w:val="Body Text First Indent 21"/>
    <w:basedOn w:val="32"/>
    <w:qFormat/>
    <w:uiPriority w:val="0"/>
    <w:pPr>
      <w:spacing w:after="120" w:line="240" w:lineRule="auto"/>
      <w:ind w:left="420" w:leftChars="200" w:firstLine="420" w:firstLineChars="200"/>
    </w:pPr>
    <w:rPr>
      <w:rFonts w:ascii="等线" w:hAnsi="等线" w:eastAsia="等线"/>
      <w:sz w:val="21"/>
    </w:rPr>
  </w:style>
  <w:style w:type="paragraph" w:customStyle="1" w:styleId="32">
    <w:name w:val="Body Text Indent1"/>
    <w:basedOn w:val="1"/>
    <w:qFormat/>
    <w:uiPriority w:val="0"/>
    <w:pPr>
      <w:spacing w:line="360" w:lineRule="auto"/>
      <w:ind w:firstLine="435"/>
    </w:pPr>
    <w:rPr>
      <w:sz w:val="28"/>
    </w:rPr>
  </w:style>
  <w:style w:type="paragraph" w:customStyle="1" w:styleId="3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4">
    <w:name w:val=" Char Char Char Char Char Char Char Char Char Char Char Char"/>
    <w:basedOn w:val="1"/>
    <w:qFormat/>
    <w:uiPriority w:val="0"/>
    <w:pPr>
      <w:suppressAutoHyphens w:val="0"/>
      <w:spacing w:line="240" w:lineRule="auto"/>
      <w:ind w:firstLine="0"/>
      <w:textAlignment w:val="auto"/>
    </w:pPr>
  </w:style>
  <w:style w:type="paragraph" w:styleId="35">
    <w:name w:val="List Paragraph"/>
    <w:basedOn w:val="1"/>
    <w:qFormat/>
    <w:uiPriority w:val="0"/>
    <w:pPr>
      <w:ind w:firstLine="420" w:firstLineChars="200"/>
    </w:pPr>
    <w:rPr>
      <w:rFonts w:ascii="Calibri" w:hAnsi="Calibri"/>
      <w:szCs w:val="22"/>
    </w:rPr>
  </w:style>
  <w:style w:type="character" w:customStyle="1" w:styleId="36">
    <w:name w:val="font61"/>
    <w:basedOn w:val="21"/>
    <w:qFormat/>
    <w:uiPriority w:val="0"/>
    <w:rPr>
      <w:rFonts w:hint="eastAsia" w:ascii="宋体" w:hAnsi="宋体" w:eastAsia="宋体" w:cs="宋体"/>
      <w:color w:val="000000"/>
      <w:sz w:val="21"/>
      <w:szCs w:val="21"/>
      <w:u w:val="none"/>
    </w:rPr>
  </w:style>
  <w:style w:type="character" w:customStyle="1" w:styleId="37">
    <w:name w:val="font71"/>
    <w:basedOn w:val="21"/>
    <w:qFormat/>
    <w:uiPriority w:val="0"/>
    <w:rPr>
      <w:rFonts w:hint="eastAsia" w:ascii="宋体" w:hAnsi="宋体" w:eastAsia="宋体" w:cs="宋体"/>
      <w:color w:val="FF0000"/>
      <w:sz w:val="21"/>
      <w:szCs w:val="21"/>
      <w:u w:val="none"/>
    </w:rPr>
  </w:style>
  <w:style w:type="character" w:customStyle="1" w:styleId="38">
    <w:name w:val="font81"/>
    <w:basedOn w:val="21"/>
    <w:qFormat/>
    <w:uiPriority w:val="0"/>
    <w:rPr>
      <w:rFonts w:hint="default" w:ascii="Times New Roman" w:hAnsi="Times New Roman" w:cs="Times New Roman"/>
      <w:color w:val="000000"/>
      <w:sz w:val="21"/>
      <w:szCs w:val="21"/>
      <w:u w:val="none"/>
    </w:rPr>
  </w:style>
  <w:style w:type="character" w:customStyle="1" w:styleId="39">
    <w:name w:val="font91"/>
    <w:basedOn w:val="21"/>
    <w:qFormat/>
    <w:uiPriority w:val="0"/>
    <w:rPr>
      <w:rFonts w:hint="eastAsia" w:ascii="宋体" w:hAnsi="宋体" w:eastAsia="宋体" w:cs="宋体"/>
      <w:color w:val="FF0000"/>
      <w:sz w:val="21"/>
      <w:szCs w:val="21"/>
      <w:u w:val="none"/>
    </w:rPr>
  </w:style>
  <w:style w:type="character" w:customStyle="1" w:styleId="40">
    <w:name w:val="font51"/>
    <w:basedOn w:val="21"/>
    <w:qFormat/>
    <w:uiPriority w:val="0"/>
    <w:rPr>
      <w:rFonts w:hint="default" w:ascii="Times New Roman" w:hAnsi="Times New Roman" w:cs="Times New Roman"/>
      <w:color w:val="FF0000"/>
      <w:sz w:val="21"/>
      <w:szCs w:val="21"/>
      <w:u w:val="none"/>
    </w:rPr>
  </w:style>
  <w:style w:type="character" w:customStyle="1" w:styleId="41">
    <w:name w:val="font31"/>
    <w:basedOn w:val="21"/>
    <w:qFormat/>
    <w:uiPriority w:val="0"/>
    <w:rPr>
      <w:rFonts w:hint="default" w:ascii="Times New Roman" w:hAnsi="Times New Roman" w:cs="Times New Roman"/>
      <w:color w:val="000000"/>
      <w:sz w:val="21"/>
      <w:szCs w:val="21"/>
      <w:u w:val="none"/>
    </w:rPr>
  </w:style>
  <w:style w:type="character" w:customStyle="1" w:styleId="42">
    <w:name w:val="font21"/>
    <w:basedOn w:val="21"/>
    <w:qFormat/>
    <w:uiPriority w:val="0"/>
    <w:rPr>
      <w:rFonts w:hint="default" w:ascii="Times New Roman" w:hAnsi="Times New Roman" w:cs="Times New Roman"/>
      <w:color w:val="000000"/>
      <w:sz w:val="21"/>
      <w:szCs w:val="21"/>
      <w:u w:val="none"/>
      <w:vertAlign w:val="subscript"/>
    </w:rPr>
  </w:style>
  <w:style w:type="character" w:customStyle="1" w:styleId="43">
    <w:name w:val="font41"/>
    <w:basedOn w:val="21"/>
    <w:qFormat/>
    <w:uiPriority w:val="0"/>
    <w:rPr>
      <w:rFonts w:hint="eastAsia" w:ascii="宋体" w:hAnsi="宋体" w:eastAsia="宋体" w:cs="宋体"/>
      <w:color w:val="FF0000"/>
      <w:sz w:val="21"/>
      <w:szCs w:val="21"/>
      <w:u w:val="none"/>
    </w:rPr>
  </w:style>
  <w:style w:type="character" w:customStyle="1" w:styleId="44">
    <w:name w:val="font121"/>
    <w:basedOn w:val="21"/>
    <w:qFormat/>
    <w:uiPriority w:val="0"/>
    <w:rPr>
      <w:rFonts w:hint="default" w:ascii="Times New Roman" w:hAnsi="Times New Roman" w:cs="Times New Roman"/>
      <w:color w:val="FF0000"/>
      <w:sz w:val="21"/>
      <w:szCs w:val="21"/>
      <w:u w:val="none"/>
    </w:rPr>
  </w:style>
  <w:style w:type="character" w:customStyle="1" w:styleId="45">
    <w:name w:val="font11"/>
    <w:basedOn w:val="21"/>
    <w:qFormat/>
    <w:uiPriority w:val="0"/>
    <w:rPr>
      <w:rFonts w:hint="default" w:ascii="Times New Roman" w:hAnsi="Times New Roman" w:cs="Times New Roman"/>
      <w:b/>
      <w:bCs/>
      <w:color w:val="000000"/>
      <w:sz w:val="21"/>
      <w:szCs w:val="21"/>
      <w:u w:val="none"/>
    </w:rPr>
  </w:style>
  <w:style w:type="character" w:customStyle="1" w:styleId="46">
    <w:name w:val="font131"/>
    <w:basedOn w:val="21"/>
    <w:qFormat/>
    <w:uiPriority w:val="0"/>
    <w:rPr>
      <w:rFonts w:hint="eastAsia" w:ascii="宋体" w:hAnsi="宋体" w:eastAsia="宋体" w:cs="宋体"/>
      <w:b/>
      <w:bCs/>
      <w:color w:val="000000"/>
      <w:sz w:val="21"/>
      <w:szCs w:val="21"/>
      <w:u w:val="none"/>
    </w:rPr>
  </w:style>
  <w:style w:type="character" w:customStyle="1" w:styleId="47">
    <w:name w:val="font111"/>
    <w:basedOn w:val="21"/>
    <w:qFormat/>
    <w:uiPriority w:val="0"/>
    <w:rPr>
      <w:rFonts w:hint="default" w:ascii="Times New Roman" w:hAnsi="Times New Roman" w:cs="Times New Roman"/>
      <w:color w:val="000000"/>
      <w:sz w:val="21"/>
      <w:szCs w:val="21"/>
      <w:u w:val="none"/>
    </w:rPr>
  </w:style>
  <w:style w:type="paragraph" w:customStyle="1" w:styleId="48">
    <w:name w:val="yuan正文"/>
    <w:basedOn w:val="1"/>
    <w:qFormat/>
    <w:uiPriority w:val="99"/>
    <w:pPr>
      <w:spacing w:line="360" w:lineRule="auto"/>
      <w:ind w:firstLine="200" w:firstLineChars="200"/>
    </w:pPr>
    <w:rPr>
      <w:rFonts w:ascii="Times New Roman" w:hAnsi="Times New Roman" w:eastAsia="宋体" w:cs="Times New Roman"/>
      <w:sz w:val="24"/>
      <w:szCs w:val="24"/>
    </w:rPr>
  </w:style>
  <w:style w:type="paragraph" w:customStyle="1" w:styleId="49">
    <w:name w:val="目录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50">
    <w:name w:val="列表段落3"/>
    <w:basedOn w:val="1"/>
    <w:autoRedefine/>
    <w:qFormat/>
    <w:uiPriority w:val="99"/>
    <w:pPr>
      <w:ind w:firstLine="420"/>
    </w:pPr>
  </w:style>
  <w:style w:type="paragraph" w:customStyle="1" w:styleId="51">
    <w:name w:val="无间隔1"/>
    <w:qFormat/>
    <w:uiPriority w:val="99"/>
    <w:pPr>
      <w:widowControl w:val="0"/>
      <w:jc w:val="both"/>
    </w:pPr>
    <w:rPr>
      <w:rFonts w:ascii="Calibri" w:hAnsi="Calibri"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85</Pages>
  <Words>41216</Words>
  <Characters>44681</Characters>
  <TotalTime>1</TotalTime>
  <ScaleCrop>false</ScaleCrop>
  <LinksUpToDate>false</LinksUpToDate>
  <CharactersWithSpaces>47940</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招标代理</cp:lastModifiedBy>
  <dcterms:modified xsi:type="dcterms:W3CDTF">2024-07-15T05:24:18Z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2052-12.1.0.16929</vt:lpwstr>
  </property>
  <property fmtid="{D5CDD505-2E9C-101B-9397-08002B2CF9AE}" pid="5" name="ICV">
    <vt:lpwstr>6F58E8C1869743A58E860679D02416B8_13</vt:lpwstr>
  </property>
</Properties>
</file>