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20"/>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11010725210200013664-XM001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2025年电子政务城域网管道租用及运维采购项目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五</w:t>
      </w:r>
      <w:r>
        <w:rPr>
          <w:rFonts w:hint="eastAsia" w:ascii="宋体" w:hAnsi="宋体"/>
          <w:b/>
          <w:color w:val="auto"/>
          <w:sz w:val="36"/>
          <w:szCs w:val="36"/>
        </w:rPr>
        <w:t>年</w:t>
      </w:r>
      <w:r>
        <w:rPr>
          <w:rFonts w:hint="eastAsia" w:ascii="宋体" w:hAnsi="宋体"/>
          <w:b/>
          <w:color w:val="auto"/>
          <w:sz w:val="36"/>
          <w:szCs w:val="36"/>
          <w:lang w:eastAsia="zh-CN"/>
        </w:rPr>
        <w:t>二</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0000FF"/>
          <w:sz w:val="21"/>
          <w:szCs w:val="21"/>
        </w:rPr>
      </w:pPr>
    </w:p>
    <w:p>
      <w:pPr>
        <w:pStyle w:val="20"/>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0"/>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0"/>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0"/>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0"/>
          <w:rFonts w:hint="eastAsia" w:ascii="宋体" w:hAnsi="宋体"/>
          <w:color w:val="auto"/>
          <w:sz w:val="24"/>
          <w:szCs w:val="24"/>
        </w:rPr>
        <w:t>第四部分 采</w:t>
      </w:r>
      <w:bookmarkStart w:id="0" w:name="_Hlt45033262"/>
      <w:bookmarkStart w:id="1" w:name="_Hlt42179902"/>
      <w:bookmarkStart w:id="2" w:name="_Hlt45033263"/>
      <w:r>
        <w:rPr>
          <w:rStyle w:val="30"/>
          <w:rFonts w:hint="eastAsia" w:ascii="宋体" w:hAnsi="宋体"/>
          <w:color w:val="auto"/>
          <w:sz w:val="24"/>
          <w:szCs w:val="24"/>
        </w:rPr>
        <w:t>购</w:t>
      </w:r>
      <w:bookmarkEnd w:id="0"/>
      <w:bookmarkEnd w:id="1"/>
      <w:bookmarkEnd w:id="2"/>
      <w:bookmarkStart w:id="3" w:name="_Hlt42177996"/>
      <w:bookmarkStart w:id="4" w:name="_Hlt42177995"/>
      <w:r>
        <w:rPr>
          <w:rStyle w:val="30"/>
          <w:rFonts w:hint="eastAsia" w:ascii="宋体" w:hAnsi="宋体"/>
          <w:color w:val="auto"/>
          <w:sz w:val="24"/>
          <w:szCs w:val="24"/>
        </w:rPr>
        <w:t>需</w:t>
      </w:r>
      <w:bookmarkEnd w:id="3"/>
      <w:bookmarkEnd w:id="4"/>
      <w:bookmarkStart w:id="5" w:name="_Hlt43459032"/>
      <w:r>
        <w:rPr>
          <w:rStyle w:val="30"/>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20"/>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0"/>
          <w:rFonts w:hint="eastAsia" w:ascii="宋体" w:hAnsi="宋体"/>
          <w:color w:val="auto"/>
          <w:sz w:val="24"/>
          <w:szCs w:val="24"/>
        </w:rPr>
        <w:t>第五部分 评标标准和</w:t>
      </w:r>
      <w:bookmarkStart w:id="6" w:name="_Hlt43452204"/>
      <w:bookmarkStart w:id="7" w:name="_Hlt43458266"/>
      <w:bookmarkStart w:id="8" w:name="_Hlt43458265"/>
      <w:r>
        <w:rPr>
          <w:rStyle w:val="30"/>
          <w:rFonts w:hint="eastAsia" w:ascii="宋体" w:hAnsi="宋体"/>
          <w:color w:val="auto"/>
          <w:sz w:val="24"/>
          <w:szCs w:val="24"/>
        </w:rPr>
        <w:t>评</w:t>
      </w:r>
      <w:bookmarkEnd w:id="6"/>
      <w:bookmarkEnd w:id="7"/>
      <w:bookmarkEnd w:id="8"/>
      <w:r>
        <w:rPr>
          <w:rStyle w:val="30"/>
          <w:rFonts w:hint="eastAsia" w:ascii="宋体" w:hAnsi="宋体"/>
          <w:color w:val="auto"/>
          <w:sz w:val="24"/>
          <w:szCs w:val="24"/>
        </w:rPr>
        <w:t>标方法</w:t>
      </w:r>
      <w:r>
        <w:rPr>
          <w:color w:val="auto"/>
          <w:sz w:val="24"/>
          <w:szCs w:val="24"/>
        </w:rPr>
        <w:tab/>
      </w:r>
      <w:r>
        <w:rPr>
          <w:rFonts w:hint="eastAsia"/>
          <w:color w:val="auto"/>
          <w:sz w:val="24"/>
          <w:szCs w:val="24"/>
          <w:lang w:val="en-US" w:eastAsia="zh-CN"/>
        </w:rPr>
        <w:t>4</w:t>
      </w:r>
      <w:r>
        <w:rPr>
          <w:color w:val="auto"/>
          <w:szCs w:val="24"/>
        </w:rPr>
        <w:fldChar w:fldCharType="end"/>
      </w:r>
      <w:r>
        <w:rPr>
          <w:rFonts w:hint="eastAsia"/>
          <w:color w:val="auto"/>
          <w:szCs w:val="24"/>
          <w:lang w:val="en-US" w:eastAsia="zh-CN"/>
        </w:rPr>
        <w:t>7</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0"/>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5</w:t>
      </w:r>
      <w:r>
        <w:rPr>
          <w:color w:val="auto"/>
          <w:szCs w:val="24"/>
        </w:rPr>
        <w:fldChar w:fldCharType="end"/>
      </w:r>
      <w:r>
        <w:rPr>
          <w:rFonts w:hint="eastAsia"/>
          <w:color w:val="auto"/>
          <w:szCs w:val="24"/>
          <w:lang w:val="en-US" w:eastAsia="zh-CN"/>
        </w:rPr>
        <w:t>2</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0"/>
          <w:rFonts w:hint="eastAsia"/>
          <w:color w:val="auto"/>
          <w:sz w:val="24"/>
          <w:szCs w:val="24"/>
        </w:rPr>
        <w:t>第七部分</w:t>
      </w:r>
      <w:r>
        <w:rPr>
          <w:rStyle w:val="30"/>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59</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186274096"/>
      <w:bookmarkStart w:id="10" w:name="_Toc27650"/>
      <w:bookmarkStart w:id="11" w:name="_Toc46601531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北京市石景山区</w:t>
      </w:r>
      <w:r>
        <w:rPr>
          <w:rFonts w:hint="eastAsia" w:ascii="Verdana" w:hAnsi="Verdana" w:cs="Arial"/>
          <w:color w:val="auto"/>
          <w:sz w:val="24"/>
          <w:szCs w:val="24"/>
          <w:lang w:eastAsia="zh-CN"/>
        </w:rPr>
        <w:t>经济和信息化局</w:t>
      </w:r>
      <w:r>
        <w:rPr>
          <w:rFonts w:hint="eastAsia" w:ascii="宋体" w:hAnsi="宋体"/>
          <w:color w:val="auto"/>
          <w:sz w:val="24"/>
          <w:lang w:val="zh-CN"/>
        </w:rPr>
        <w:t>的委托对</w:t>
      </w:r>
      <w:r>
        <w:rPr>
          <w:rFonts w:hint="eastAsia" w:ascii="宋体" w:hAnsi="宋体"/>
          <w:bCs/>
          <w:color w:val="auto"/>
          <w:sz w:val="24"/>
        </w:rPr>
        <w:t>2025年电子政务城域网管道租用及运维采购项目</w:t>
      </w:r>
      <w:r>
        <w:rPr>
          <w:rFonts w:hint="eastAsia" w:ascii="宋体" w:hAnsi="宋体"/>
          <w:color w:val="auto"/>
          <w:sz w:val="24"/>
          <w:lang w:val="zh-CN"/>
        </w:rPr>
        <w:t>进行国内公开招标。欢迎符合本招标文件条件的投标人前来投标。</w:t>
      </w:r>
    </w:p>
    <w:p>
      <w:pPr>
        <w:pStyle w:val="12"/>
        <w:rPr>
          <w:rFonts w:hint="eastAsia"/>
          <w:lang w:val="zh-CN"/>
        </w:rPr>
      </w:pP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0"/>
          <w:rFonts w:hint="eastAsia" w:ascii="宋体" w:hAnsi="宋体" w:eastAsia="宋体" w:cs="宋体"/>
          <w:b w:val="0"/>
          <w:bCs w:val="0"/>
          <w:i w:val="0"/>
          <w:caps w:val="0"/>
          <w:color w:val="auto"/>
          <w:spacing w:val="0"/>
          <w:sz w:val="24"/>
          <w:szCs w:val="24"/>
          <w:u w:val="none"/>
          <w:shd w:val="clear" w:color="auto" w:fill="FFFFFF"/>
        </w:rPr>
        <w:t>11010725210200013664-XM001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2025年电子政务城域网管道租用及运维采购项目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w:t>
      </w:r>
      <w:r>
        <w:rPr>
          <w:rFonts w:hint="eastAsia" w:ascii="宋体" w:hAnsi="宋体"/>
          <w:bCs/>
          <w:color w:val="auto"/>
          <w:sz w:val="24"/>
          <w:lang w:eastAsia="zh-CN"/>
        </w:rPr>
        <w:t>经济和信息化局</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石景山路</w:t>
      </w:r>
      <w:r>
        <w:rPr>
          <w:rFonts w:hint="eastAsia" w:ascii="宋体" w:hAnsi="宋体"/>
          <w:bCs/>
          <w:color w:val="auto"/>
          <w:sz w:val="24"/>
          <w:lang w:val="en-US" w:eastAsia="zh-CN"/>
        </w:rPr>
        <w:t>18号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许致远</w:t>
      </w:r>
      <w:r>
        <w:rPr>
          <w:rFonts w:hint="eastAsia" w:ascii="宋体" w:hAnsi="宋体"/>
          <w:b w:val="0"/>
          <w:bCs w:val="0"/>
          <w:color w:val="auto"/>
          <w:sz w:val="24"/>
          <w:lang w:val="en-US" w:eastAsia="zh-CN"/>
        </w:rPr>
        <w:t>88699892</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北京市石景山区京原西街6号院3号楼7层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lang w:val="en-US" w:eastAsia="zh-CN"/>
        </w:rPr>
        <w:t>81927379</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color w:val="auto"/>
          <w:sz w:val="24"/>
        </w:rPr>
      </w:pPr>
      <w:r>
        <w:rPr>
          <w:rFonts w:hint="eastAsia" w:ascii="宋体" w:hAnsi="宋体"/>
          <w:color w:val="auto"/>
          <w:sz w:val="24"/>
        </w:rPr>
        <w:t>1、招标内容：</w:t>
      </w:r>
    </w:p>
    <w:p>
      <w:pPr>
        <w:tabs>
          <w:tab w:val="left" w:pos="360"/>
        </w:tabs>
        <w:spacing w:line="360" w:lineRule="auto"/>
        <w:ind w:firstLine="480" w:firstLineChars="200"/>
        <w:rPr>
          <w:rFonts w:hint="eastAsia" w:ascii="宋体" w:hAnsi="宋体"/>
          <w:bCs/>
          <w:color w:val="auto"/>
          <w:sz w:val="24"/>
        </w:rPr>
      </w:pPr>
      <w:r>
        <w:rPr>
          <w:rFonts w:hint="eastAsia" w:ascii="宋体" w:hAnsi="宋体"/>
          <w:bCs/>
          <w:color w:val="auto"/>
          <w:sz w:val="24"/>
          <w:lang w:eastAsia="zh-CN"/>
        </w:rPr>
        <w:t>第一包：2025年电子政务城域网管道租用及运维</w:t>
      </w:r>
      <w:r>
        <w:rPr>
          <w:rFonts w:hint="eastAsia" w:ascii="宋体" w:hAnsi="宋体"/>
          <w:bCs/>
          <w:color w:val="auto"/>
          <w:sz w:val="24"/>
          <w:lang w:val="en-US" w:eastAsia="zh-CN"/>
        </w:rPr>
        <w:t xml:space="preserve">  </w:t>
      </w:r>
      <w:r>
        <w:rPr>
          <w:rFonts w:hint="eastAsia" w:ascii="宋体" w:hAnsi="宋体"/>
          <w:bCs/>
          <w:color w:val="auto"/>
          <w:sz w:val="24"/>
        </w:rPr>
        <w:t xml:space="preserve"> </w:t>
      </w:r>
    </w:p>
    <w:p>
      <w:pPr>
        <w:tabs>
          <w:tab w:val="left" w:pos="360"/>
        </w:tabs>
        <w:spacing w:line="360" w:lineRule="auto"/>
        <w:ind w:firstLine="480" w:firstLineChars="200"/>
        <w:rPr>
          <w:rFonts w:hint="eastAsia" w:ascii="宋体" w:hAnsi="宋体" w:cs="宋体"/>
          <w:bCs/>
          <w:color w:val="auto"/>
          <w:kern w:val="0"/>
          <w:sz w:val="24"/>
        </w:rPr>
      </w:pP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3，354，000</w:t>
      </w:r>
      <w:r>
        <w:rPr>
          <w:rFonts w:hint="eastAsia" w:ascii="宋体" w:hAnsi="宋体" w:cs="宋体"/>
          <w:bCs/>
          <w:color w:val="auto"/>
          <w:kern w:val="0"/>
          <w:sz w:val="24"/>
        </w:rPr>
        <w:t xml:space="preserve">元 </w:t>
      </w:r>
    </w:p>
    <w:p>
      <w:pPr>
        <w:tabs>
          <w:tab w:val="left" w:pos="360"/>
        </w:tabs>
        <w:spacing w:line="360" w:lineRule="auto"/>
        <w:ind w:firstLine="480" w:firstLineChars="200"/>
        <w:rPr>
          <w:rFonts w:hint="eastAsia" w:ascii="宋体" w:hAnsi="宋体"/>
          <w:bCs/>
          <w:color w:val="auto"/>
          <w:sz w:val="24"/>
        </w:rPr>
      </w:pPr>
      <w:r>
        <w:rPr>
          <w:rFonts w:hint="eastAsia" w:ascii="宋体" w:hAnsi="宋体"/>
          <w:bCs/>
          <w:color w:val="auto"/>
          <w:sz w:val="24"/>
          <w:lang w:eastAsia="zh-CN"/>
        </w:rPr>
        <w:t>第二包：2025年电子政务城域网运维</w:t>
      </w:r>
      <w:r>
        <w:rPr>
          <w:rFonts w:hint="eastAsia" w:ascii="宋体" w:hAnsi="宋体"/>
          <w:bCs/>
          <w:color w:val="auto"/>
          <w:sz w:val="24"/>
          <w:lang w:val="en-US" w:eastAsia="zh-CN"/>
        </w:rPr>
        <w:t xml:space="preserve">  </w:t>
      </w:r>
      <w:r>
        <w:rPr>
          <w:rFonts w:hint="eastAsia" w:ascii="宋体" w:hAnsi="宋体"/>
          <w:bCs/>
          <w:color w:val="auto"/>
          <w:sz w:val="24"/>
        </w:rPr>
        <w:t xml:space="preserve"> </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4，098，000</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w:t>
      </w:r>
      <w:r>
        <w:rPr>
          <w:rFonts w:hint="eastAsia" w:ascii="宋体" w:hAnsi="宋体" w:cs="宋体"/>
          <w:color w:val="auto"/>
          <w:sz w:val="24"/>
          <w:lang w:eastAsia="zh-CN"/>
        </w:rPr>
        <w:t>第一包</w:t>
      </w:r>
      <w:r>
        <w:rPr>
          <w:rFonts w:hint="eastAsia" w:ascii="宋体" w:hAnsi="宋体" w:cs="宋体"/>
          <w:color w:val="auto"/>
          <w:sz w:val="24"/>
        </w:rPr>
        <w:t>为</w:t>
      </w:r>
      <w:r>
        <w:rPr>
          <w:rFonts w:hint="eastAsia" w:ascii="宋体" w:hAnsi="宋体" w:cs="宋体"/>
          <w:color w:val="auto"/>
          <w:sz w:val="24"/>
          <w:lang w:eastAsia="zh-CN"/>
        </w:rPr>
        <w:t>非</w:t>
      </w:r>
      <w:r>
        <w:rPr>
          <w:rFonts w:hint="eastAsia" w:ascii="宋体" w:hAnsi="宋体" w:cs="宋体"/>
          <w:color w:val="auto"/>
          <w:sz w:val="24"/>
        </w:rPr>
        <w:t>专门面向中小企业采购</w:t>
      </w:r>
      <w:r>
        <w:rPr>
          <w:rFonts w:hint="eastAsia" w:ascii="宋体" w:hAnsi="宋体" w:cs="宋体"/>
          <w:color w:val="auto"/>
          <w:sz w:val="24"/>
          <w:lang w:eastAsia="zh-CN"/>
        </w:rPr>
        <w:t>，第二包为专门面向小微企业采购</w:t>
      </w:r>
      <w:r>
        <w:rPr>
          <w:rFonts w:hint="eastAsia" w:ascii="宋体" w:hAnsi="宋体" w:cs="宋体"/>
          <w:color w:val="auto"/>
          <w:sz w:val="24"/>
        </w:rPr>
        <w:t>。</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5</w:t>
      </w:r>
      <w:r>
        <w:rPr>
          <w:rFonts w:hint="eastAsia" w:ascii="宋体" w:hAnsi="宋体" w:cs="宋体"/>
          <w:color w:val="auto"/>
          <w:sz w:val="24"/>
        </w:rPr>
        <w:t>年</w:t>
      </w:r>
      <w:r>
        <w:rPr>
          <w:rFonts w:hint="eastAsia" w:ascii="宋体" w:hAnsi="宋体" w:cs="宋体"/>
          <w:color w:val="auto"/>
          <w:sz w:val="24"/>
          <w:lang w:val="en-US" w:eastAsia="zh-CN"/>
        </w:rPr>
        <w:t>2</w:t>
      </w:r>
      <w:r>
        <w:rPr>
          <w:rFonts w:hint="eastAsia" w:ascii="宋体" w:hAnsi="宋体" w:cs="宋体"/>
          <w:color w:val="auto"/>
          <w:sz w:val="24"/>
        </w:rPr>
        <w:t>月</w:t>
      </w:r>
      <w:r>
        <w:rPr>
          <w:rFonts w:hint="eastAsia" w:ascii="宋体" w:hAnsi="宋体" w:cs="宋体"/>
          <w:color w:val="auto"/>
          <w:sz w:val="24"/>
          <w:lang w:val="en-US" w:eastAsia="zh-CN"/>
        </w:rPr>
        <w:t>20</w:t>
      </w:r>
      <w:r>
        <w:rPr>
          <w:rFonts w:hint="eastAsia" w:ascii="宋体" w:hAnsi="宋体" w:cs="宋体"/>
          <w:color w:val="auto"/>
          <w:sz w:val="24"/>
        </w:rPr>
        <w:t>日至202</w:t>
      </w:r>
      <w:r>
        <w:rPr>
          <w:rFonts w:hint="eastAsia" w:ascii="宋体" w:hAnsi="宋体" w:cs="宋体"/>
          <w:color w:val="auto"/>
          <w:sz w:val="24"/>
          <w:lang w:val="en-US" w:eastAsia="zh-CN"/>
        </w:rPr>
        <w:t>5</w:t>
      </w:r>
      <w:r>
        <w:rPr>
          <w:rFonts w:hint="eastAsia" w:ascii="宋体" w:hAnsi="宋体" w:cs="宋体"/>
          <w:color w:val="auto"/>
          <w:sz w:val="24"/>
        </w:rPr>
        <w:t>年</w:t>
      </w:r>
      <w:r>
        <w:rPr>
          <w:rFonts w:hint="eastAsia" w:ascii="宋体" w:hAnsi="宋体" w:cs="宋体"/>
          <w:color w:val="auto"/>
          <w:sz w:val="24"/>
          <w:lang w:val="en-US" w:eastAsia="zh-CN"/>
        </w:rPr>
        <w:t>2</w:t>
      </w:r>
      <w:r>
        <w:rPr>
          <w:rFonts w:hint="eastAsia" w:ascii="宋体" w:hAnsi="宋体" w:cs="宋体"/>
          <w:color w:val="auto"/>
          <w:sz w:val="24"/>
        </w:rPr>
        <w:t>月</w:t>
      </w:r>
      <w:r>
        <w:rPr>
          <w:rFonts w:hint="eastAsia" w:ascii="宋体" w:hAnsi="宋体" w:cs="宋体"/>
          <w:color w:val="auto"/>
          <w:sz w:val="24"/>
          <w:lang w:val="en-US" w:eastAsia="zh-CN"/>
        </w:rPr>
        <w:t>26</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2" w:name="_Toc184013601"/>
      <w:bookmarkStart w:id="13" w:name="_Toc180051008"/>
      <w:bookmarkStart w:id="14" w:name="_Toc184023100"/>
      <w:bookmarkStart w:id="15" w:name="_Toc174185144"/>
      <w:bookmarkStart w:id="16" w:name="_Toc186274097"/>
      <w:bookmarkStart w:id="17" w:name="_Toc174185151"/>
      <w:bookmarkStart w:id="18" w:name="_Toc180051014"/>
      <w:bookmarkStart w:id="19" w:name="_Toc184013607"/>
      <w:bookmarkStart w:id="20" w:name="_Toc186274103"/>
      <w:bookmarkStart w:id="21" w:name="_Toc184023106"/>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5</w:t>
      </w:r>
      <w:r>
        <w:rPr>
          <w:rFonts w:hint="eastAsia" w:ascii="宋体" w:hAnsi="宋体"/>
          <w:color w:val="auto"/>
          <w:sz w:val="24"/>
        </w:rPr>
        <w:t>年</w:t>
      </w:r>
      <w:r>
        <w:rPr>
          <w:rFonts w:hint="eastAsia" w:ascii="宋体" w:hAnsi="宋体"/>
          <w:color w:val="auto"/>
          <w:sz w:val="24"/>
          <w:lang w:val="en-US" w:eastAsia="zh-CN"/>
        </w:rPr>
        <w:t>2</w:t>
      </w:r>
      <w:r>
        <w:rPr>
          <w:rFonts w:hint="eastAsia" w:ascii="宋体" w:hAnsi="宋体"/>
          <w:color w:val="auto"/>
          <w:sz w:val="24"/>
        </w:rPr>
        <w:t>月</w:t>
      </w:r>
      <w:r>
        <w:rPr>
          <w:rFonts w:hint="eastAsia" w:ascii="宋体" w:hAnsi="宋体"/>
          <w:color w:val="auto"/>
          <w:sz w:val="24"/>
          <w:lang w:val="en-US" w:eastAsia="zh-CN"/>
        </w:rPr>
        <w:t>27</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（北京市石景山区京原西街6号院3号楼7层</w:t>
      </w:r>
      <w:r>
        <w:rPr>
          <w:rFonts w:hint="eastAsia" w:ascii="宋体" w:hAnsi="宋体" w:cs="宋体"/>
          <w:color w:val="auto"/>
          <w:sz w:val="24"/>
          <w:lang w:val="en-US" w:eastAsia="zh-CN"/>
        </w:rPr>
        <w:t>7</w:t>
      </w:r>
      <w:r>
        <w:rPr>
          <w:rFonts w:hint="eastAsia" w:ascii="宋体" w:hAnsi="宋体" w:cs="宋体"/>
          <w:color w:val="auto"/>
          <w:sz w:val="24"/>
        </w:rPr>
        <w:t>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5</w:t>
      </w:r>
      <w:r>
        <w:rPr>
          <w:rFonts w:hint="eastAsia" w:ascii="宋体" w:hAnsi="宋体"/>
          <w:b w:val="0"/>
          <w:bCs/>
          <w:color w:val="auto"/>
          <w:sz w:val="24"/>
        </w:rPr>
        <w:t>年</w:t>
      </w:r>
      <w:r>
        <w:rPr>
          <w:rFonts w:hint="eastAsia" w:ascii="宋体" w:hAnsi="宋体"/>
          <w:b w:val="0"/>
          <w:bCs/>
          <w:color w:val="auto"/>
          <w:sz w:val="24"/>
          <w:lang w:val="en-US" w:eastAsia="zh-CN"/>
        </w:rPr>
        <w:t>3</w:t>
      </w:r>
      <w:r>
        <w:rPr>
          <w:rFonts w:hint="eastAsia" w:ascii="宋体" w:hAnsi="宋体"/>
          <w:b w:val="0"/>
          <w:bCs/>
          <w:color w:val="auto"/>
          <w:sz w:val="24"/>
        </w:rPr>
        <w:t>月</w:t>
      </w:r>
      <w:r>
        <w:rPr>
          <w:rFonts w:hint="eastAsia" w:ascii="宋体" w:hAnsi="宋体"/>
          <w:b w:val="0"/>
          <w:bCs/>
          <w:color w:val="auto"/>
          <w:sz w:val="24"/>
          <w:lang w:val="en-US" w:eastAsia="zh-CN"/>
        </w:rPr>
        <w:t>12</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5</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3</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12</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 xml:space="preserve">地　　址：北京市石景山区京原西街6号院3号楼7层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电　　话：</w:t>
      </w:r>
      <w:r>
        <w:rPr>
          <w:rFonts w:hint="eastAsia" w:ascii="宋体" w:hAnsi="宋体"/>
          <w:color w:val="auto"/>
          <w:sz w:val="24"/>
          <w:lang w:val="en-US" w:eastAsia="zh-CN"/>
        </w:rPr>
        <w:t>81927379</w:t>
      </w:r>
      <w:r>
        <w:rPr>
          <w:rFonts w:hint="eastAsia" w:ascii="宋体" w:hAnsi="宋体"/>
          <w:color w:val="auto"/>
          <w:sz w:val="24"/>
        </w:rPr>
        <w:t xml:space="preserve">                        </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6274101"/>
      <w:bookmarkStart w:id="23" w:name="_Toc180051012"/>
      <w:bookmarkStart w:id="24" w:name="_Toc174185149"/>
      <w:bookmarkStart w:id="25" w:name="_Toc184013605"/>
      <w:bookmarkStart w:id="26" w:name="_Toc184023104"/>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12"/>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7" w:name="_Toc466015311"/>
      <w:bookmarkStart w:id="28" w:name="_Toc186274104"/>
      <w:bookmarkStart w:id="29" w:name="_Toc174185152"/>
      <w:bookmarkStart w:id="30" w:name="_Toc22558"/>
      <w:r>
        <w:rPr>
          <w:rFonts w:hint="eastAsia" w:ascii="宋体" w:hAnsi="宋体"/>
          <w:color w:val="auto"/>
        </w:rPr>
        <w:t>投标人须知前附表</w:t>
      </w:r>
      <w:bookmarkEnd w:id="27"/>
      <w:bookmarkEnd w:id="28"/>
      <w:bookmarkEnd w:id="29"/>
      <w:bookmarkEnd w:id="30"/>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5"/>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5"/>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5"/>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w:t>
            </w:r>
            <w:r>
              <w:rPr>
                <w:rFonts w:hint="eastAsia" w:ascii="宋体" w:hAnsi="宋体"/>
                <w:color w:val="auto"/>
                <w:sz w:val="24"/>
                <w:szCs w:val="24"/>
                <w:lang w:eastAsia="zh-CN"/>
              </w:rPr>
              <w:t>委托授权书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ascii="宋体" w:hAnsi="宋体"/>
                <w:color w:val="auto"/>
                <w:sz w:val="24"/>
                <w:szCs w:val="24"/>
                <w:lang w:eastAsia="zh-CN"/>
              </w:rPr>
              <w:t>服务方案</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7、</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cs="宋体"/>
                <w:bCs/>
                <w:color w:val="auto"/>
                <w:sz w:val="24"/>
                <w:szCs w:val="24"/>
                <w:lang w:val="en-US" w:eastAsia="zh-CN"/>
              </w:rPr>
              <w:t>8</w:t>
            </w:r>
            <w:r>
              <w:rPr>
                <w:rFonts w:hint="eastAsia" w:ascii="宋体" w:hAnsi="宋体" w:eastAsia="宋体" w:cs="宋体"/>
                <w:bCs/>
                <w:color w:val="auto"/>
                <w:sz w:val="24"/>
                <w:szCs w:val="24"/>
              </w:rPr>
              <w:t>、</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cs="宋体"/>
                <w:bCs/>
                <w:color w:val="auto"/>
                <w:sz w:val="24"/>
                <w:szCs w:val="24"/>
                <w:lang w:val="en-US" w:eastAsia="zh-CN"/>
              </w:rPr>
              <w:t>9</w:t>
            </w:r>
            <w:r>
              <w:rPr>
                <w:rFonts w:hint="eastAsia" w:ascii="宋体" w:hAnsi="宋体" w:eastAsia="宋体" w:cs="宋体"/>
                <w:bCs/>
                <w:color w:val="auto"/>
                <w:sz w:val="24"/>
                <w:szCs w:val="24"/>
                <w:lang w:val="en-US" w:eastAsia="zh-CN"/>
              </w:rPr>
              <w:t>、</w:t>
            </w:r>
            <w:r>
              <w:rPr>
                <w:rFonts w:hint="eastAsia" w:ascii="宋体" w:hAnsi="宋体"/>
                <w:color w:val="auto"/>
                <w:sz w:val="24"/>
                <w:szCs w:val="24"/>
              </w:rPr>
              <w:t>投标人认为有必要提供的其他文件</w:t>
            </w:r>
          </w:p>
        </w:tc>
        <w:tc>
          <w:tcPr>
            <w:tcW w:w="2490" w:type="dxa"/>
            <w:vAlign w:val="center"/>
          </w:tcPr>
          <w:p>
            <w:pPr>
              <w:pStyle w:val="15"/>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本项目第一包为非专门面向中小企业采购，第二包为专门面向小微企业采购。</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w:t>
            </w:r>
            <w:r>
              <w:rPr>
                <w:rFonts w:ascii="Arial" w:hAnsi="Arial" w:eastAsia="宋体" w:cs="Arial"/>
                <w:i w:val="0"/>
                <w:caps w:val="0"/>
                <w:color w:val="auto"/>
                <w:spacing w:val="0"/>
                <w:sz w:val="24"/>
                <w:szCs w:val="24"/>
                <w:shd w:val="clear" w:fill="FFFFFF"/>
              </w:rPr>
              <w:t>信息传输业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本项目第一包为非专门面向中小企业采购，第二包为专门面向小微企业采购。</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ind w:left="420" w:leftChars="0" w:hanging="420" w:firstLineChars="0"/>
              <w:jc w:val="center"/>
              <w:textAlignment w:val="auto"/>
              <w:rPr>
                <w:rFonts w:ascii="宋体" w:hAnsi="宋体" w:cs="微软雅黑"/>
                <w:bCs/>
                <w:color w:val="auto"/>
                <w:sz w:val="24"/>
                <w:szCs w:val="24"/>
              </w:rPr>
            </w:pPr>
          </w:p>
        </w:tc>
        <w:tc>
          <w:tcPr>
            <w:tcW w:w="1806" w:type="dxa"/>
            <w:vAlign w:val="center"/>
          </w:tcPr>
          <w:p>
            <w:pPr>
              <w:adjustRightInd w:val="0"/>
              <w:snapToGrid w:val="0"/>
              <w:spacing w:before="156" w:beforeLines="50" w:after="156" w:afterLines="50" w:line="240" w:lineRule="auto"/>
              <w:jc w:val="center"/>
              <w:rPr>
                <w:rFonts w:hint="eastAsia" w:ascii="宋体" w:hAnsi="宋体"/>
                <w:color w:val="auto"/>
                <w:sz w:val="24"/>
                <w:szCs w:val="24"/>
              </w:rPr>
            </w:pPr>
            <w:r>
              <w:rPr>
                <w:rFonts w:hint="eastAsia" w:ascii="宋体" w:hAnsi="宋体"/>
                <w:b/>
                <w:bCs w:val="0"/>
                <w:sz w:val="24"/>
                <w:szCs w:val="24"/>
                <w:lang w:eastAsia="zh-CN"/>
              </w:rPr>
              <w:t>电子投标文件制作上传</w:t>
            </w:r>
          </w:p>
        </w:tc>
        <w:tc>
          <w:tcPr>
            <w:tcW w:w="4320" w:type="dxa"/>
            <w:vAlign w:val="center"/>
          </w:tcPr>
          <w:p>
            <w:pPr>
              <w:autoSpaceDE w:val="0"/>
              <w:autoSpaceDN w:val="0"/>
              <w:adjustRightInd w:val="0"/>
              <w:spacing w:line="240" w:lineRule="auto"/>
              <w:rPr>
                <w:rFonts w:hint="eastAsia" w:cs="微软雅黑"/>
                <w:bCs/>
                <w:color w:val="auto"/>
                <w:sz w:val="24"/>
                <w:szCs w:val="24"/>
                <w:lang w:val="en-US" w:eastAsia="zh-CN"/>
              </w:rPr>
            </w:pPr>
            <w:r>
              <w:rPr>
                <w:rFonts w:hint="eastAsia" w:ascii="宋体" w:hAnsi="宋体"/>
                <w:b/>
                <w:bCs w:val="0"/>
                <w:sz w:val="24"/>
                <w:lang w:val="zh-CN"/>
              </w:rPr>
              <w:t>投标人如投多包，需按每个包单独</w:t>
            </w:r>
            <w:r>
              <w:rPr>
                <w:rFonts w:hint="eastAsia" w:ascii="宋体" w:hAnsi="宋体"/>
                <w:b/>
                <w:bCs w:val="0"/>
                <w:sz w:val="24"/>
                <w:lang w:val="zh-CN" w:eastAsia="zh-CN"/>
              </w:rPr>
              <w:t>报名并</w:t>
            </w:r>
            <w:r>
              <w:rPr>
                <w:rFonts w:hint="eastAsia" w:ascii="宋体" w:hAnsi="宋体"/>
                <w:b/>
                <w:bCs w:val="0"/>
                <w:sz w:val="24"/>
                <w:lang w:val="zh-CN"/>
              </w:rPr>
              <w:t>编制提交电子投标文件</w:t>
            </w:r>
          </w:p>
        </w:tc>
        <w:tc>
          <w:tcPr>
            <w:tcW w:w="2490" w:type="dxa"/>
            <w:vAlign w:val="top"/>
          </w:tcPr>
          <w:p>
            <w:pPr>
              <w:pStyle w:val="44"/>
              <w:keepNext w:val="0"/>
              <w:keepLines w:val="0"/>
              <w:numPr>
                <w:ilvl w:val="0"/>
                <w:numId w:val="0"/>
              </w:numPr>
              <w:kinsoku w:val="0"/>
              <w:overflowPunct w:val="0"/>
              <w:autoSpaceDE w:val="0"/>
              <w:autoSpaceDN w:val="0"/>
              <w:snapToGrid w:val="0"/>
              <w:spacing w:before="0" w:after="0" w:line="320" w:lineRule="exact"/>
              <w:ind w:left="0" w:leftChars="0" w:firstLine="0" w:firstLineChars="0"/>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1" w:name="_Toc328815991"/>
      <w:bookmarkStart w:id="32" w:name="_Toc20975"/>
      <w:bookmarkStart w:id="33" w:name="_Toc466015312"/>
      <w:bookmarkStart w:id="34" w:name="_Toc186274106"/>
      <w:bookmarkStart w:id="35" w:name="_Toc174185153"/>
      <w:bookmarkStart w:id="36" w:name="_Toc86202581"/>
      <w:r>
        <w:rPr>
          <w:rFonts w:hint="eastAsia" w:ascii="宋体" w:hAnsi="宋体"/>
          <w:color w:val="auto"/>
        </w:rPr>
        <w:t>投标人须知</w:t>
      </w:r>
      <w:bookmarkEnd w:id="31"/>
      <w:bookmarkEnd w:id="32"/>
      <w:bookmarkEnd w:id="33"/>
    </w:p>
    <w:bookmarkEnd w:id="34"/>
    <w:bookmarkEnd w:id="35"/>
    <w:p>
      <w:pPr>
        <w:pStyle w:val="54"/>
        <w:numPr>
          <w:ilvl w:val="0"/>
          <w:numId w:val="0"/>
        </w:numPr>
        <w:adjustRightInd/>
        <w:textAlignment w:val="auto"/>
        <w:rPr>
          <w:color w:val="auto"/>
        </w:rPr>
      </w:pPr>
    </w:p>
    <w:bookmarkEnd w:id="36"/>
    <w:p>
      <w:pPr>
        <w:pStyle w:val="5"/>
        <w:spacing w:before="0" w:after="120" w:line="400" w:lineRule="exact"/>
        <w:ind w:left="238"/>
        <w:rPr>
          <w:rFonts w:ascii="宋体" w:hAnsi="宋体" w:eastAsia="宋体" w:cs="微软雅黑"/>
          <w:bCs w:val="0"/>
          <w:color w:val="auto"/>
          <w:sz w:val="24"/>
          <w:szCs w:val="24"/>
        </w:rPr>
      </w:pPr>
      <w:bookmarkStart w:id="37" w:name="_Toc328815992"/>
      <w:r>
        <w:rPr>
          <w:rFonts w:hint="eastAsia" w:ascii="宋体" w:hAnsi="宋体" w:eastAsia="宋体" w:cs="微软雅黑"/>
          <w:bCs w:val="0"/>
          <w:color w:val="auto"/>
          <w:sz w:val="24"/>
          <w:szCs w:val="24"/>
        </w:rPr>
        <w:t>总则</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8" w:name="_Toc328815993"/>
      <w:r>
        <w:rPr>
          <w:rFonts w:hint="eastAsia" w:ascii="宋体" w:hAnsi="宋体" w:eastAsia="宋体" w:cs="微软雅黑"/>
          <w:bCs w:val="0"/>
          <w:color w:val="auto"/>
          <w:sz w:val="24"/>
          <w:szCs w:val="24"/>
        </w:rPr>
        <w:t>招标文件</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9" w:name="_Toc328815994"/>
      <w:r>
        <w:rPr>
          <w:rFonts w:hint="eastAsia" w:ascii="宋体" w:hAnsi="宋体" w:eastAsia="宋体" w:cs="微软雅黑"/>
          <w:bCs w:val="0"/>
          <w:color w:val="auto"/>
          <w:sz w:val="24"/>
          <w:szCs w:val="24"/>
        </w:rPr>
        <w:t>电子投标文件</w:t>
      </w:r>
      <w:bookmarkEnd w:id="39"/>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安装、集成、测评、测试、调试、验收、培训、备品和工具、保险、售后服务、税款、质检、行政许可及相关证书等事项未在采购清单中单独列项的，上述全部费用均应包含在采购清单已列明的各项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5"/>
        <w:spacing w:before="0" w:after="120" w:line="400" w:lineRule="exact"/>
        <w:ind w:left="238"/>
        <w:rPr>
          <w:rFonts w:ascii="宋体" w:hAnsi="宋体" w:eastAsia="宋体" w:cs="微软雅黑"/>
          <w:bCs w:val="0"/>
          <w:color w:val="auto"/>
          <w:sz w:val="24"/>
          <w:szCs w:val="24"/>
        </w:rPr>
      </w:pPr>
      <w:bookmarkStart w:id="40" w:name="_Toc328815995"/>
      <w:r>
        <w:rPr>
          <w:rFonts w:hint="eastAsia" w:ascii="宋体" w:hAnsi="宋体" w:eastAsia="宋体" w:cs="微软雅黑"/>
          <w:bCs w:val="0"/>
          <w:color w:val="auto"/>
          <w:sz w:val="24"/>
          <w:szCs w:val="24"/>
        </w:rPr>
        <w:t>电子投标文件的</w:t>
      </w:r>
      <w:bookmarkEnd w:id="40"/>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5"/>
        <w:spacing w:before="0" w:after="120" w:line="400" w:lineRule="exact"/>
        <w:ind w:left="238"/>
        <w:rPr>
          <w:rFonts w:ascii="宋体" w:hAnsi="宋体" w:eastAsia="宋体" w:cs="微软雅黑"/>
          <w:bCs w:val="0"/>
          <w:color w:val="auto"/>
          <w:sz w:val="21"/>
          <w:szCs w:val="21"/>
        </w:rPr>
      </w:pPr>
      <w:bookmarkStart w:id="41" w:name="_Toc328815996"/>
      <w:r>
        <w:rPr>
          <w:rFonts w:hint="eastAsia" w:ascii="宋体" w:hAnsi="宋体" w:eastAsia="宋体" w:cs="微软雅黑"/>
          <w:bCs w:val="0"/>
          <w:color w:val="auto"/>
          <w:sz w:val="24"/>
          <w:szCs w:val="24"/>
        </w:rPr>
        <w:t>开标</w:t>
      </w:r>
      <w:bookmarkEnd w:id="41"/>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5"/>
        <w:spacing w:before="0" w:after="120" w:line="400" w:lineRule="exact"/>
        <w:ind w:left="238"/>
        <w:rPr>
          <w:rFonts w:ascii="宋体" w:hAnsi="宋体" w:eastAsia="宋体" w:cs="微软雅黑"/>
          <w:bCs w:val="0"/>
          <w:color w:val="auto"/>
          <w:sz w:val="24"/>
          <w:szCs w:val="24"/>
        </w:rPr>
      </w:pPr>
      <w:bookmarkStart w:id="42" w:name="_Toc328815997"/>
      <w:r>
        <w:rPr>
          <w:rFonts w:hint="eastAsia" w:ascii="宋体" w:hAnsi="宋体" w:eastAsia="宋体" w:cs="微软雅黑"/>
          <w:bCs w:val="0"/>
          <w:color w:val="auto"/>
          <w:sz w:val="24"/>
          <w:szCs w:val="24"/>
        </w:rPr>
        <w:t>评标步骤和要求</w:t>
      </w:r>
      <w:bookmarkEnd w:id="42"/>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5"/>
        <w:spacing w:before="0" w:after="120" w:line="400" w:lineRule="exact"/>
        <w:ind w:left="238"/>
        <w:rPr>
          <w:rFonts w:ascii="宋体" w:hAnsi="宋体" w:eastAsia="宋体" w:cs="微软雅黑"/>
          <w:bCs w:val="0"/>
          <w:color w:val="auto"/>
          <w:sz w:val="24"/>
          <w:szCs w:val="24"/>
        </w:rPr>
      </w:pPr>
      <w:bookmarkStart w:id="43" w:name="_Toc328815998"/>
      <w:r>
        <w:rPr>
          <w:rFonts w:hint="eastAsia" w:ascii="宋体" w:hAnsi="宋体" w:eastAsia="宋体" w:cs="微软雅黑"/>
          <w:bCs w:val="0"/>
          <w:color w:val="auto"/>
          <w:sz w:val="24"/>
          <w:szCs w:val="24"/>
        </w:rPr>
        <w:t>中标、未中标通知</w:t>
      </w:r>
      <w:bookmarkEnd w:id="43"/>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5"/>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5"/>
        <w:spacing w:before="0" w:after="120" w:line="400" w:lineRule="exact"/>
        <w:ind w:left="238"/>
        <w:rPr>
          <w:rFonts w:ascii="宋体" w:hAnsi="宋体" w:eastAsia="宋体" w:cs="微软雅黑"/>
          <w:bCs w:val="0"/>
          <w:color w:val="auto"/>
          <w:sz w:val="24"/>
          <w:szCs w:val="24"/>
        </w:rPr>
      </w:pPr>
      <w:bookmarkStart w:id="44" w:name="_Toc328816000"/>
      <w:r>
        <w:rPr>
          <w:rFonts w:hint="eastAsia" w:ascii="宋体" w:hAnsi="宋体" w:eastAsia="宋体" w:cs="微软雅黑"/>
          <w:bCs w:val="0"/>
          <w:color w:val="auto"/>
          <w:sz w:val="24"/>
          <w:szCs w:val="24"/>
        </w:rPr>
        <w:t>质疑</w:t>
      </w:r>
      <w:bookmarkEnd w:id="44"/>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5"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6" w:name="_Toc435830560"/>
      <w:bookmarkStart w:id="47" w:name="_Toc356478669"/>
      <w:bookmarkStart w:id="48" w:name="_Toc435828258"/>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6"/>
    <w:bookmarkEnd w:id="47"/>
    <w:bookmarkEnd w:id="48"/>
    <w:p>
      <w:pPr>
        <w:pStyle w:val="54"/>
        <w:numPr>
          <w:ilvl w:val="1"/>
          <w:numId w:val="3"/>
        </w:numPr>
        <w:spacing w:line="400" w:lineRule="exact"/>
        <w:rPr>
          <w:rFonts w:cs="微软雅黑"/>
          <w:color w:val="auto"/>
          <w:sz w:val="24"/>
          <w:szCs w:val="24"/>
        </w:rPr>
      </w:pPr>
      <w:bookmarkStart w:id="49" w:name="_Toc356478670"/>
      <w:bookmarkStart w:id="50" w:name="_Toc435828259"/>
      <w:bookmarkStart w:id="51" w:name="_Toc435830561"/>
      <w:r>
        <w:rPr>
          <w:rFonts w:hint="eastAsia" w:cs="微软雅黑"/>
          <w:color w:val="auto"/>
          <w:sz w:val="24"/>
          <w:szCs w:val="24"/>
        </w:rPr>
        <w:t>不符合上述26.2-26.9条规定的质疑函不予受理。</w:t>
      </w:r>
      <w:bookmarkEnd w:id="49"/>
      <w:bookmarkEnd w:id="50"/>
      <w:bookmarkEnd w:id="51"/>
    </w:p>
    <w:p>
      <w:pPr>
        <w:pStyle w:val="54"/>
        <w:numPr>
          <w:ilvl w:val="1"/>
          <w:numId w:val="3"/>
        </w:numPr>
        <w:spacing w:line="400" w:lineRule="exact"/>
        <w:rPr>
          <w:rFonts w:cs="微软雅黑"/>
          <w:color w:val="auto"/>
          <w:sz w:val="24"/>
          <w:szCs w:val="24"/>
        </w:rPr>
      </w:pPr>
      <w:bookmarkStart w:id="52" w:name="_Toc435830562"/>
      <w:bookmarkStart w:id="53" w:name="_Toc356478671"/>
      <w:bookmarkStart w:id="54" w:name="_Toc435828260"/>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2"/>
      <w:bookmarkEnd w:id="53"/>
      <w:bookmarkEnd w:id="54"/>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5"/>
    </w:p>
    <w:p>
      <w:pPr>
        <w:pStyle w:val="49"/>
        <w:snapToGrid w:val="0"/>
        <w:spacing w:before="0" w:after="0"/>
        <w:ind w:left="0"/>
        <w:rPr>
          <w:rFonts w:ascii="宋体" w:hAnsi="宋体"/>
          <w:color w:val="auto"/>
        </w:rPr>
      </w:pPr>
      <w:bookmarkStart w:id="55" w:name="_Toc5503"/>
      <w:bookmarkEnd w:id="55"/>
      <w:bookmarkStart w:id="56" w:name="_Toc466015313"/>
      <w:r>
        <w:rPr>
          <w:rFonts w:hint="eastAsia" w:ascii="宋体" w:hAnsi="宋体"/>
          <w:color w:val="auto"/>
        </w:rPr>
        <w:t>采购需求</w:t>
      </w:r>
      <w:bookmarkEnd w:id="56"/>
    </w:p>
    <w:p>
      <w:pPr>
        <w:pStyle w:val="4"/>
        <w:bidi w:val="0"/>
        <w:rPr>
          <w:rFonts w:hint="eastAsia" w:ascii="宋体" w:hAnsi="宋体" w:eastAsia="宋体" w:cs="宋体"/>
          <w:sz w:val="24"/>
          <w:szCs w:val="24"/>
        </w:rPr>
      </w:pPr>
      <w:bookmarkStart w:id="57" w:name="_Toc13684"/>
      <w:bookmarkStart w:id="58" w:name="_Toc184023125"/>
      <w:bookmarkStart w:id="59" w:name="_Toc174185168"/>
      <w:r>
        <w:rPr>
          <w:rFonts w:hint="eastAsia" w:ascii="宋体" w:hAnsi="宋体" w:cs="宋体"/>
          <w:sz w:val="24"/>
          <w:szCs w:val="24"/>
          <w:lang w:eastAsia="zh-CN"/>
        </w:rPr>
        <w:t>第一包：</w:t>
      </w:r>
      <w:r>
        <w:rPr>
          <w:rFonts w:hint="eastAsia" w:ascii="宋体" w:hAnsi="宋体" w:eastAsia="宋体" w:cs="宋体"/>
          <w:sz w:val="24"/>
          <w:szCs w:val="24"/>
        </w:rPr>
        <w:t>202</w:t>
      </w:r>
      <w:r>
        <w:rPr>
          <w:rFonts w:hint="eastAsia" w:ascii="宋体" w:hAnsi="宋体" w:cs="宋体"/>
          <w:sz w:val="24"/>
          <w:szCs w:val="24"/>
          <w:lang w:val="en-US" w:eastAsia="zh-CN"/>
        </w:rPr>
        <w:t>5</w:t>
      </w:r>
      <w:r>
        <w:rPr>
          <w:rFonts w:hint="eastAsia" w:ascii="宋体" w:hAnsi="宋体" w:eastAsia="宋体" w:cs="宋体"/>
          <w:sz w:val="24"/>
          <w:szCs w:val="24"/>
        </w:rPr>
        <w:t>年电子政务城域网</w:t>
      </w:r>
      <w:r>
        <w:rPr>
          <w:rFonts w:hint="eastAsia" w:ascii="宋体" w:hAnsi="宋体" w:eastAsia="宋体" w:cs="宋体"/>
          <w:sz w:val="24"/>
          <w:szCs w:val="24"/>
          <w:lang w:val="en-US" w:eastAsia="zh-CN"/>
        </w:rPr>
        <w:t>管道租用</w:t>
      </w:r>
    </w:p>
    <w:p>
      <w:pPr>
        <w:pStyle w:val="5"/>
        <w:numPr>
          <w:ilvl w:val="0"/>
          <w:numId w:val="15"/>
        </w:numPr>
        <w:spacing w:line="276" w:lineRule="auto"/>
        <w:ind w:left="0" w:leftChars="0" w:firstLine="420" w:firstLineChars="0"/>
        <w:rPr>
          <w:rFonts w:hint="eastAsia" w:ascii="宋体" w:hAnsi="宋体" w:eastAsia="宋体" w:cs="宋体"/>
          <w:sz w:val="24"/>
          <w:szCs w:val="24"/>
        </w:rPr>
      </w:pPr>
      <w:bookmarkStart w:id="60" w:name="_Toc68271519"/>
      <w:r>
        <w:rPr>
          <w:rFonts w:hint="eastAsia" w:ascii="宋体" w:hAnsi="宋体" w:eastAsia="宋体" w:cs="宋体"/>
          <w:sz w:val="24"/>
          <w:szCs w:val="24"/>
        </w:rPr>
        <w:t>项目背景</w:t>
      </w:r>
      <w:bookmarkEnd w:id="60"/>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为满足石景山区城域网大带宽的需求，并依据2021年北京市石景山区经济和信息化局电子政务安全网络改造招标项目实施完成，实现了涉及64个二级节点185个三级节点城域网涉及管道租用，完成与政务网的连接，其中涉及</w:t>
      </w:r>
      <w:r>
        <w:rPr>
          <w:rFonts w:hint="eastAsia" w:ascii="宋体" w:hAnsi="宋体" w:cs="宋体"/>
          <w:kern w:val="0"/>
          <w:sz w:val="24"/>
          <w:szCs w:val="24"/>
          <w:lang w:val="en-US" w:eastAsia="zh-CN"/>
        </w:rPr>
        <w:t>559</w:t>
      </w:r>
      <w:r>
        <w:rPr>
          <w:rFonts w:hint="eastAsia" w:ascii="宋体" w:hAnsi="宋体" w:cs="宋体"/>
          <w:kern w:val="0"/>
          <w:sz w:val="24"/>
          <w:szCs w:val="24"/>
        </w:rPr>
        <w:t>公里管道租用。</w:t>
      </w:r>
    </w:p>
    <w:p>
      <w:pPr>
        <w:pStyle w:val="5"/>
        <w:numPr>
          <w:ilvl w:val="0"/>
          <w:numId w:val="15"/>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建设目标</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根据本项目招投标文件、服务合同、运维方案的相关要求，提供石景山区光缆城域网建设系统集成项目的维护工作，提供专业的全光缆城域网络管道租用及保障服务，配合集成商确保石景山区专用网络的业务系统安全、稳定、高效运转，同时通过科学规范的运维管理，合理利用人力资源、专业技术、成熟经验顺利完成运行维护服务任务，切实保障石景山区专用网络业务系统物理光层安全平稳运行，同时有效提升整体保障服务工作水平及服务标准。其服务承诺目标达到：</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现场服务满意率：不低于95%</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管道使用率：不低于95%</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管道连通率：不低于99%</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应答服务响应完成率：100%</w:t>
      </w:r>
    </w:p>
    <w:p>
      <w:pPr>
        <w:spacing w:line="360" w:lineRule="auto"/>
        <w:ind w:firstLine="480" w:firstLineChars="200"/>
        <w:rPr>
          <w:rFonts w:ascii="宋体" w:hAnsi="宋体" w:cs="宋体"/>
          <w:sz w:val="24"/>
          <w:szCs w:val="24"/>
        </w:rPr>
      </w:pPr>
      <w:r>
        <w:rPr>
          <w:rFonts w:hint="eastAsia" w:ascii="宋体" w:hAnsi="宋体" w:cs="宋体"/>
          <w:sz w:val="24"/>
          <w:szCs w:val="24"/>
        </w:rPr>
        <w:t>故障处理率达：100%。</w:t>
      </w:r>
    </w:p>
    <w:p>
      <w:pPr>
        <w:pStyle w:val="5"/>
        <w:numPr>
          <w:ilvl w:val="0"/>
          <w:numId w:val="15"/>
        </w:numPr>
        <w:spacing w:line="276" w:lineRule="auto"/>
        <w:ind w:left="0" w:leftChars="0" w:firstLine="420" w:firstLineChars="0"/>
        <w:rPr>
          <w:rFonts w:hint="eastAsia" w:ascii="宋体" w:hAnsi="宋体" w:eastAsia="宋体" w:cs="宋体"/>
          <w:sz w:val="24"/>
          <w:szCs w:val="24"/>
        </w:rPr>
      </w:pPr>
      <w:bookmarkStart w:id="61" w:name="_Toc68271521"/>
      <w:r>
        <w:rPr>
          <w:rFonts w:hint="eastAsia" w:ascii="宋体" w:hAnsi="宋体" w:eastAsia="宋体" w:cs="宋体"/>
          <w:sz w:val="24"/>
          <w:szCs w:val="24"/>
        </w:rPr>
        <w:t>建设内容</w:t>
      </w:r>
      <w:bookmarkEnd w:id="61"/>
    </w:p>
    <w:p>
      <w:pPr>
        <w:pStyle w:val="80"/>
        <w:ind w:left="480" w:firstLine="0" w:firstLineChars="0"/>
        <w:rPr>
          <w:rFonts w:ascii="宋体" w:hAnsi="宋体" w:cs="宋体"/>
          <w:sz w:val="24"/>
          <w:szCs w:val="24"/>
        </w:rPr>
      </w:pPr>
      <w:r>
        <w:rPr>
          <w:rFonts w:hint="eastAsia" w:ascii="宋体" w:hAnsi="宋体" w:cs="宋体"/>
          <w:sz w:val="24"/>
          <w:szCs w:val="24"/>
        </w:rPr>
        <w:t>1、总体需求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rPr>
        <w:t>提供石景山区光缆城域网185个社区居委会</w:t>
      </w:r>
      <w:r>
        <w:rPr>
          <w:rFonts w:hint="eastAsia" w:ascii="宋体" w:hAnsi="宋体" w:cs="宋体"/>
          <w:color w:val="auto"/>
          <w:kern w:val="0"/>
          <w:sz w:val="24"/>
          <w:szCs w:val="24"/>
        </w:rPr>
        <w:t>及64个二级节</w:t>
      </w:r>
      <w:r>
        <w:rPr>
          <w:rFonts w:hint="eastAsia" w:ascii="宋体" w:hAnsi="宋体" w:eastAsia="宋体" w:cs="宋体"/>
          <w:color w:val="auto"/>
          <w:sz w:val="24"/>
          <w:szCs w:val="24"/>
        </w:rPr>
        <w:t>相关城域网节点（以实际发生为准，但不超过185个社区居委会节点</w:t>
      </w:r>
      <w:r>
        <w:rPr>
          <w:rFonts w:hint="eastAsia" w:ascii="宋体" w:hAnsi="宋体" w:cs="宋体"/>
          <w:color w:val="auto"/>
          <w:sz w:val="24"/>
          <w:szCs w:val="24"/>
          <w:lang w:val="en-US" w:eastAsia="zh-CN"/>
        </w:rPr>
        <w:t>和64个二级节点</w:t>
      </w:r>
      <w:r>
        <w:rPr>
          <w:rFonts w:hint="eastAsia" w:ascii="宋体" w:hAnsi="宋体" w:eastAsia="宋体" w:cs="宋体"/>
          <w:sz w:val="24"/>
          <w:szCs w:val="24"/>
        </w:rPr>
        <w:t xml:space="preserve">的管道及杆路资源租赁运维服务。石景山区光缆城域网管道租赁运维服务内容包含以下2部分并但不仅限于以下2部分，同时有义务配合招标方做好石景山区城域网网络的通信运维工作。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（1）管道及杆路资源的运维包括日常的巡检，尽可能的提前发现容易产生光缆线路故障的路段或管道段落，加以预防及优化，以保证线路质量及光链路物理指标。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eastAsia="宋体" w:cs="宋体"/>
          <w:sz w:val="24"/>
          <w:szCs w:val="24"/>
        </w:rPr>
        <w:t>（2）光纤管道的运维是运维工作最直观的表现。光纤管道直接关系到网络的业务使用。通过对缆线管道的运维进行预判，以及紧密结合集成商数据链路层的业务情况，对所使用的光纤链路情况进行预分析，从而最大限度确保业务正常</w:t>
      </w:r>
      <w:r>
        <w:rPr>
          <w:rFonts w:hint="eastAsia" w:ascii="宋体" w:hAnsi="宋体" w:cs="宋体"/>
          <w:sz w:val="24"/>
          <w:szCs w:val="24"/>
        </w:rPr>
        <w:t>。</w:t>
      </w:r>
    </w:p>
    <w:p>
      <w:pPr>
        <w:pStyle w:val="80"/>
        <w:numPr>
          <w:ilvl w:val="0"/>
          <w:numId w:val="16"/>
        </w:numPr>
        <w:ind w:firstLineChars="0"/>
        <w:rPr>
          <w:rFonts w:ascii="宋体" w:hAnsi="宋体" w:cs="宋体"/>
          <w:sz w:val="24"/>
          <w:szCs w:val="24"/>
        </w:rPr>
      </w:pPr>
      <w:r>
        <w:rPr>
          <w:rFonts w:hint="eastAsia" w:ascii="宋体" w:hAnsi="宋体" w:cs="宋体"/>
          <w:sz w:val="24"/>
          <w:szCs w:val="24"/>
        </w:rPr>
        <w:t>技术标准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《安全防范工程技术规范》GB 50348-2018</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《建筑物电子信息系统防雷技术规范》GB50343</w:t>
      </w:r>
      <w:bookmarkStart w:id="62" w:name="1"/>
      <w:bookmarkEnd w:id="62"/>
      <w:r>
        <w:rPr>
          <w:rFonts w:hint="eastAsia" w:ascii="宋体" w:hAnsi="宋体" w:cs="宋体"/>
          <w:kern w:val="0"/>
          <w:sz w:val="24"/>
          <w:szCs w:val="24"/>
        </w:rPr>
        <w:t>-2012</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《通信线路工程设计规范》 GB 51158-2015 </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《通信管道工程施工及验收规范》GB50374/T-2018</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《光缆总规范第1部分总则》GB/T7424.1-2008</w:t>
      </w:r>
    </w:p>
    <w:p>
      <w:pPr>
        <w:spacing w:line="360" w:lineRule="auto"/>
        <w:ind w:firstLine="480" w:firstLineChars="200"/>
        <w:rPr>
          <w:rFonts w:ascii="宋体" w:hAnsi="宋体" w:cs="宋体"/>
          <w:sz w:val="24"/>
          <w:szCs w:val="24"/>
        </w:rPr>
      </w:pPr>
      <w:r>
        <w:rPr>
          <w:rFonts w:hint="eastAsia" w:ascii="宋体" w:hAnsi="宋体" w:cs="宋体"/>
          <w:sz w:val="24"/>
          <w:szCs w:val="24"/>
        </w:rPr>
        <w:t>上述标准应以最新颁发的行业规范或国家标准为最终参考依据，若行业规范与国家标准有不一致的，以国家标准为最终参考依据。</w:t>
      </w:r>
    </w:p>
    <w:p>
      <w:pPr>
        <w:pStyle w:val="5"/>
        <w:numPr>
          <w:ilvl w:val="0"/>
          <w:numId w:val="15"/>
        </w:numPr>
        <w:spacing w:line="276" w:lineRule="auto"/>
        <w:ind w:left="0" w:leftChars="0" w:firstLine="420" w:firstLineChars="0"/>
        <w:rPr>
          <w:rFonts w:hint="eastAsia" w:ascii="宋体" w:hAnsi="宋体" w:eastAsia="宋体" w:cs="宋体"/>
          <w:sz w:val="24"/>
          <w:szCs w:val="24"/>
        </w:rPr>
      </w:pPr>
      <w:bookmarkStart w:id="63" w:name="_Toc68271522"/>
      <w:r>
        <w:rPr>
          <w:rFonts w:hint="eastAsia" w:ascii="宋体" w:hAnsi="宋体" w:eastAsia="宋体" w:cs="宋体"/>
          <w:sz w:val="24"/>
          <w:szCs w:val="24"/>
        </w:rPr>
        <w:t>采购清单</w:t>
      </w:r>
      <w:bookmarkEnd w:id="63"/>
    </w:p>
    <w:p>
      <w:pPr>
        <w:pStyle w:val="7"/>
        <w:spacing w:line="276" w:lineRule="auto"/>
        <w:rPr>
          <w:rFonts w:ascii="宋体" w:hAnsi="宋体" w:eastAsia="宋体" w:cs="宋体"/>
          <w:sz w:val="24"/>
          <w:szCs w:val="24"/>
        </w:rPr>
      </w:pPr>
      <w:bookmarkStart w:id="64" w:name="_Toc68271523"/>
      <w:r>
        <w:rPr>
          <w:rFonts w:hint="eastAsia" w:ascii="宋体" w:hAnsi="宋体" w:eastAsia="宋体" w:cs="宋体"/>
          <w:sz w:val="24"/>
          <w:szCs w:val="24"/>
        </w:rPr>
        <w:t>1、采购清单</w:t>
      </w:r>
      <w:bookmarkEnd w:id="64"/>
    </w:p>
    <w:tbl>
      <w:tblPr>
        <w:tblStyle w:val="32"/>
        <w:tblW w:w="8522" w:type="dxa"/>
        <w:tblInd w:w="0" w:type="dxa"/>
        <w:tblLayout w:type="fixed"/>
        <w:tblCellMar>
          <w:top w:w="0" w:type="dxa"/>
          <w:left w:w="108" w:type="dxa"/>
          <w:bottom w:w="0" w:type="dxa"/>
          <w:right w:w="108" w:type="dxa"/>
        </w:tblCellMar>
      </w:tblPr>
      <w:tblGrid>
        <w:gridCol w:w="816"/>
        <w:gridCol w:w="3261"/>
        <w:gridCol w:w="1735"/>
        <w:gridCol w:w="2710"/>
      </w:tblGrid>
      <w:tr>
        <w:tblPrEx>
          <w:tblLayout w:type="fixed"/>
          <w:tblCellMar>
            <w:top w:w="0" w:type="dxa"/>
            <w:left w:w="108" w:type="dxa"/>
            <w:bottom w:w="0" w:type="dxa"/>
            <w:right w:w="108" w:type="dxa"/>
          </w:tblCellMar>
        </w:tblPrEx>
        <w:trPr>
          <w:trHeight w:val="720" w:hRule="atLeast"/>
        </w:trPr>
        <w:tc>
          <w:tcPr>
            <w:tcW w:w="81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bookmarkStart w:id="65" w:name="_Toc68271524"/>
            <w:r>
              <w:rPr>
                <w:rFonts w:hint="eastAsia" w:ascii="宋体" w:hAnsi="宋体" w:cs="宋体"/>
                <w:b/>
                <w:sz w:val="24"/>
                <w:szCs w:val="24"/>
              </w:rPr>
              <w:t>序号</w:t>
            </w:r>
          </w:p>
        </w:tc>
        <w:tc>
          <w:tcPr>
            <w:tcW w:w="326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名 称</w:t>
            </w:r>
          </w:p>
        </w:tc>
        <w:tc>
          <w:tcPr>
            <w:tcW w:w="173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数 量（公里）</w:t>
            </w:r>
          </w:p>
        </w:tc>
        <w:tc>
          <w:tcPr>
            <w:tcW w:w="271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备注</w:t>
            </w:r>
          </w:p>
        </w:tc>
      </w:tr>
      <w:tr>
        <w:tblPrEx>
          <w:tblLayout w:type="fixed"/>
          <w:tblCellMar>
            <w:top w:w="0" w:type="dxa"/>
            <w:left w:w="108" w:type="dxa"/>
            <w:bottom w:w="0" w:type="dxa"/>
            <w:right w:w="108" w:type="dxa"/>
          </w:tblCellMar>
        </w:tblPrEx>
        <w:trPr>
          <w:trHeight w:val="912" w:hRule="atLeast"/>
        </w:trPr>
        <w:tc>
          <w:tcPr>
            <w:tcW w:w="816"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1</w:t>
            </w:r>
          </w:p>
        </w:tc>
        <w:tc>
          <w:tcPr>
            <w:tcW w:w="326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涉及6</w:t>
            </w:r>
            <w:r>
              <w:rPr>
                <w:rFonts w:ascii="宋体" w:hAnsi="宋体" w:cs="宋体"/>
                <w:sz w:val="24"/>
                <w:szCs w:val="24"/>
              </w:rPr>
              <w:t>4</w:t>
            </w:r>
            <w:r>
              <w:rPr>
                <w:rFonts w:hint="eastAsia" w:ascii="宋体" w:hAnsi="宋体" w:cs="宋体"/>
                <w:sz w:val="24"/>
                <w:szCs w:val="24"/>
              </w:rPr>
              <w:t>个二级节点185个三级节点城域网涉及管道租用</w:t>
            </w:r>
          </w:p>
        </w:tc>
        <w:tc>
          <w:tcPr>
            <w:tcW w:w="1735" w:type="dxa"/>
            <w:tcBorders>
              <w:top w:val="nil"/>
              <w:left w:val="nil"/>
              <w:bottom w:val="single" w:color="auto" w:sz="4" w:space="0"/>
              <w:right w:val="single" w:color="auto" w:sz="4" w:space="0"/>
            </w:tcBorders>
            <w:vAlign w:val="center"/>
          </w:tcPr>
          <w:p>
            <w:pPr>
              <w:widowControl/>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rPr>
              <w:t>5</w:t>
            </w:r>
            <w:r>
              <w:rPr>
                <w:rFonts w:hint="eastAsia" w:ascii="宋体" w:hAnsi="宋体" w:cs="宋体"/>
                <w:sz w:val="24"/>
                <w:szCs w:val="24"/>
                <w:lang w:val="en-US" w:eastAsia="zh-CN"/>
              </w:rPr>
              <w:t>59</w:t>
            </w:r>
          </w:p>
        </w:tc>
        <w:tc>
          <w:tcPr>
            <w:tcW w:w="2710"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租用管道1年</w:t>
            </w:r>
          </w:p>
          <w:p>
            <w:pPr>
              <w:widowControl/>
              <w:spacing w:line="360" w:lineRule="auto"/>
              <w:jc w:val="center"/>
              <w:rPr>
                <w:rFonts w:hint="eastAsia" w:ascii="宋体" w:hAnsi="宋体" w:cs="宋体"/>
                <w:sz w:val="24"/>
                <w:szCs w:val="24"/>
              </w:rPr>
            </w:pPr>
            <w:r>
              <w:rPr>
                <w:rFonts w:hint="eastAsia" w:ascii="宋体" w:hAnsi="宋体" w:cs="宋体"/>
                <w:sz w:val="24"/>
                <w:szCs w:val="24"/>
              </w:rPr>
              <w:t>具体点位见下表</w:t>
            </w:r>
          </w:p>
        </w:tc>
      </w:tr>
    </w:tbl>
    <w:p>
      <w:pPr>
        <w:rPr>
          <w:sz w:val="24"/>
          <w:szCs w:val="24"/>
        </w:rPr>
      </w:pPr>
    </w:p>
    <w:p>
      <w:pPr>
        <w:numPr>
          <w:ilvl w:val="0"/>
          <w:numId w:val="17"/>
        </w:numPr>
        <w:spacing w:line="360" w:lineRule="auto"/>
        <w:rPr>
          <w:rFonts w:ascii="宋体" w:hAnsi="宋体" w:cs="宋体"/>
          <w:sz w:val="24"/>
          <w:szCs w:val="24"/>
        </w:rPr>
      </w:pPr>
      <w:r>
        <w:rPr>
          <w:rFonts w:hint="eastAsia" w:ascii="宋体" w:hAnsi="宋体" w:cs="宋体"/>
          <w:sz w:val="24"/>
          <w:szCs w:val="24"/>
        </w:rPr>
        <w:t>二级节点光缆管道租用明细</w:t>
      </w:r>
    </w:p>
    <w:tbl>
      <w:tblPr>
        <w:tblStyle w:val="32"/>
        <w:tblW w:w="8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3673"/>
        <w:gridCol w:w="3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tblHeader/>
          <w:jc w:val="center"/>
        </w:trPr>
        <w:tc>
          <w:tcPr>
            <w:tcW w:w="929" w:type="dxa"/>
            <w:vAlign w:val="center"/>
          </w:tcPr>
          <w:p>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3673" w:type="dxa"/>
            <w:vAlign w:val="center"/>
          </w:tcPr>
          <w:p>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单位名称</w:t>
            </w:r>
          </w:p>
        </w:tc>
        <w:tc>
          <w:tcPr>
            <w:tcW w:w="3917" w:type="dxa"/>
            <w:vAlign w:val="center"/>
          </w:tcPr>
          <w:p>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八宝山街道</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石景山区鲁谷东街18号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八大处景区管委会</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八大处路3号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八角街道</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北京市石景山区八角北路甲36号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财政局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阜石路167号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残联</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古城北路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城管委</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杨庄东路9号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城管执法局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八角西街32号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档案局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杨庄东路69号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地税局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八角南路28号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法院</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阜石路169号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房屋征收事务中心</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石景山区京源路三角地临1号院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工商分局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实兴大街64号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工商联、侨联</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八角北路民主党派楼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公安分局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石景山区古城南里甲1号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w:t>
            </w:r>
          </w:p>
        </w:tc>
        <w:tc>
          <w:tcPr>
            <w:tcW w:w="3673" w:type="dxa"/>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石景山公园管理中心</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杨庄路6号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古城街道</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古城路6号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17</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广电中心</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古城大街61号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18</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广宁街道</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广宁村新立街4号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19</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规划分局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八角南路9号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国税分局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待定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国土分局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北京市石景山区八角西街66号方地大厦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国资委</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杨庄东街59号今尊大厦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23</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环保局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古城路8号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环境卫生服务中心</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杨庄东街65号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监督指挥中心（原计生委）</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杨庄东街甲65号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26</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集体经济办</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杨庄西口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27</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检察院</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古城南里甲2号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28</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交通支队</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杨庄路8号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29</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教委</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八角西街95号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金顶街街道新址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金顶街五区一号楼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31</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科委园区管理委员会西山汇新址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北京市石景山区八角西街40号(实兴大街30号院17号)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32</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老干部局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古城东街113号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33</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老山街道</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北京市石景山区老山南路18号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34</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鲁谷街道</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鲁谷南路8号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35</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民政局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石景山区古城北路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36</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苹果园街道</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苹果园南路23号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37</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区委党校</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石景山区八角北路9号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38</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人力资源社保局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杨庄路66号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39</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审计局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八角西街甲32号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石景山游乐园</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石景山区八角游乐园北门北500米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41</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石景山医院(红十字会合署办公)</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石景山路24号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42</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食药监分局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古城南里16号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43</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司法局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八角北里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44</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体育局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石景山路32号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45</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统计局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杨庄东路71号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46</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卫生卫计委</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体育场南路6号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47</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五里坨街道(与西建办合署办公)</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五里坨车站路1号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48</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武装部</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八大处军区总医院京西医院对面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49</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消防支队</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古城北路2号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行政服务中心（新址）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实兴大街30号院17号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51</w:t>
            </w:r>
          </w:p>
        </w:tc>
        <w:tc>
          <w:tcPr>
            <w:tcW w:w="3673" w:type="dxa"/>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园林局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石景山路15号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52</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质监分局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北京市石景山区杨庄东街73号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53</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住建委</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八角西街66号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54</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总工会</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石景山路42号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金顶街街道（旧址）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北京市石景山区金顶街五区1号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56</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石景山图书馆</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北京市石景山区八角南路2号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57</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石景山科技委员会</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北京市石景山八角西街40号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58</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石景山纪委新址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北京市杨庄路40号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59</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石景山大数据局（新址）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北京市石景山八角西街40号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60</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石景山气象局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石景山气象局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61</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石景山纪检委</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石景山纪检委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62</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石景山环境局</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63</w:t>
            </w:r>
          </w:p>
        </w:tc>
        <w:tc>
          <w:tcPr>
            <w:tcW w:w="3673"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石景山区科委2</w:t>
            </w:r>
          </w:p>
        </w:tc>
        <w:tc>
          <w:tcPr>
            <w:tcW w:w="3917"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石景山区科委2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64</w:t>
            </w:r>
          </w:p>
        </w:tc>
        <w:tc>
          <w:tcPr>
            <w:tcW w:w="3673" w:type="dxa"/>
            <w:vAlign w:val="center"/>
          </w:tcPr>
          <w:p>
            <w:pPr>
              <w:widowControl/>
              <w:spacing w:line="360" w:lineRule="auto"/>
              <w:jc w:val="center"/>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lang w:eastAsia="zh-CN"/>
              </w:rPr>
              <w:t>第二办公区</w:t>
            </w:r>
          </w:p>
        </w:tc>
        <w:tc>
          <w:tcPr>
            <w:tcW w:w="3917" w:type="dxa"/>
            <w:vAlign w:val="center"/>
          </w:tcPr>
          <w:p>
            <w:pPr>
              <w:widowControl/>
              <w:spacing w:line="360" w:lineRule="auto"/>
              <w:jc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eastAsia="zh-CN"/>
              </w:rPr>
              <w:t>北辛安中路</w:t>
            </w:r>
            <w:r>
              <w:rPr>
                <w:rFonts w:hint="eastAsia" w:ascii="宋体" w:hAnsi="宋体" w:cs="宋体"/>
                <w:color w:val="000000"/>
                <w:kern w:val="0"/>
                <w:sz w:val="24"/>
                <w:szCs w:val="24"/>
                <w:lang w:val="en-US" w:eastAsia="zh-CN"/>
              </w:rPr>
              <w:t>39号</w:t>
            </w:r>
          </w:p>
        </w:tc>
      </w:tr>
    </w:tbl>
    <w:p>
      <w:pPr>
        <w:numPr>
          <w:ilvl w:val="0"/>
          <w:numId w:val="0"/>
        </w:numPr>
        <w:spacing w:line="360" w:lineRule="auto"/>
        <w:ind w:leftChars="0"/>
        <w:rPr>
          <w:rFonts w:hint="eastAsia" w:ascii="宋体" w:hAnsi="宋体" w:cs="宋体"/>
          <w:sz w:val="24"/>
          <w:szCs w:val="24"/>
        </w:rPr>
      </w:pPr>
    </w:p>
    <w:p>
      <w:pPr>
        <w:numPr>
          <w:ilvl w:val="0"/>
          <w:numId w:val="17"/>
        </w:numPr>
        <w:spacing w:line="360" w:lineRule="auto"/>
        <w:rPr>
          <w:rFonts w:hint="eastAsia" w:ascii="宋体" w:hAnsi="宋体" w:cs="宋体"/>
          <w:sz w:val="24"/>
          <w:szCs w:val="24"/>
        </w:rPr>
      </w:pPr>
      <w:r>
        <w:rPr>
          <w:rFonts w:hint="eastAsia" w:ascii="宋体" w:hAnsi="宋体" w:cs="宋体"/>
          <w:sz w:val="24"/>
          <w:szCs w:val="24"/>
        </w:rPr>
        <w:t>三级节点光缆网改造管道租用明细</w:t>
      </w:r>
    </w:p>
    <w:p>
      <w:pPr>
        <w:pStyle w:val="12"/>
        <w:rPr>
          <w:rFonts w:hint="eastAsia"/>
        </w:rPr>
      </w:pPr>
    </w:p>
    <w:tbl>
      <w:tblPr>
        <w:tblStyle w:val="32"/>
        <w:tblW w:w="881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74"/>
        <w:gridCol w:w="3369"/>
        <w:gridCol w:w="43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3369" w:type="dxa"/>
            <w:tcBorders>
              <w:top w:val="single" w:color="000000" w:sz="8" w:space="0"/>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单位全称</w:t>
            </w:r>
          </w:p>
        </w:tc>
        <w:tc>
          <w:tcPr>
            <w:tcW w:w="4367" w:type="dxa"/>
            <w:tcBorders>
              <w:top w:val="single" w:color="000000" w:sz="8" w:space="0"/>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单位现地址（Z）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北小区社区居委会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古城北路14栋前平房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环铁社区居委会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杨庄大街地铁车辆一公司门口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特钢社区居委会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特钢东门大楼一栋平房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西路南社区居委会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古城西路8栋对面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古前街社区居委会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古城现代嘉园66号院1号楼1单元102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古后街社区居委会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古城现代嘉园68号院1号楼2单元102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大街社区居委会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铁新社区居委会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南北岔社区居委会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南大荒社区居委会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北京市古城街道南大荒小区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八千平社区居委会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古城北路3栋平房处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古城路16栋西侧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南路东社区居委会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古城南路28栋前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南路西社区居委会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古城南路16栋北侧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十万平社区居委会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古城大街曦景长安3号楼底商105室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水泥厂社区居委会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京原路68号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滨和园燕堤南路社区居委会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燕堤南路1号院8号楼三层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滨和园燕堤西街社区居委会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燕堤西街7号院1号楼二层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滨和园燕堤中街社区居委会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燕堤中街6号院3号楼二层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西路北社区居委会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古城西路10栋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天翔社区居委会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古城北路21栋后院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老古城南</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新成立居委会老古城33号院1号楼1层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古城街道综合行政执法队</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古城北路3号楼物资公司3楼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3369"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建兴社区</w:t>
            </w:r>
          </w:p>
        </w:tc>
        <w:tc>
          <w:tcPr>
            <w:tcW w:w="436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建兴社区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3369"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北辛安社区</w:t>
            </w:r>
          </w:p>
        </w:tc>
        <w:tc>
          <w:tcPr>
            <w:tcW w:w="436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北辛安社区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3369"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首钢园指挥部</w:t>
            </w:r>
          </w:p>
        </w:tc>
        <w:tc>
          <w:tcPr>
            <w:tcW w:w="436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首钢园指挥部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东山社区居委会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广宁村复兴街75号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麻峪南街108号附近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高井路社区居委会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高井路21号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新立街社区居委会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广宁村新立楼2号楼旁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麻峪北居委会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麻峪东街与双峪路交叉口路南侧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广宁街道综合行政执法队</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广宁路20号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老山东里北居委会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老山东里49栋北侧二层小楼北社区居委会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老山东里临甲5-2号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老山东里南居委会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老山东里28号楼东侧平房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老山西里居委会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老山西里4栋南侧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京源路社区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老山路23号院西侧平房京源路社区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翠谷玉景苑</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翠谷玉景苑1-6-103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11号院居委会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玉泉路十一号院东平房居委会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玉西居委会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玉泉西街1号院5号楼东侧平房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高能所社区居委会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玉泉路19号乙高能所社区居委会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梁公庵村临35号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国科大居委会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玉泉路19号丙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玉泉北里社区（居委会）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玉泉北里二区21号楼二单元102底商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老山街道综合行政执法队</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老山街道综合行政执法队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3369"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何家坟居委会2</w:t>
            </w:r>
          </w:p>
        </w:tc>
        <w:tc>
          <w:tcPr>
            <w:tcW w:w="436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苹果园一区社区居委会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苹一区8栋楼北侧二层小楼居委会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苹果园二区社区居委会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苹果园二区6栋南侧平房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苹果园三区社区居委会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苹三区19栋西侧平房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苹果园四区社区居委会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苹果园中路15号院2号楼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西井二区甲一号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海特花园第一社区居委会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海特花园15栋后面平房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海特花园41号楼北侧平房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海特花园第三社区居委会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西井四区1号楼对面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三疗社区居委会（合并下庄居委会）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工疗与建疗之间平房院内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装备部大院社区居委会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绍家坡驻军一号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军区大院第一社区居委会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八大处甲一号院58楼一层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八大处路六号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边府社区居委会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雍王府1号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西黄村叠翠庭苑小区二区2号楼底商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西黄新村北里小区大门旁平房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西山枫林一居委会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香山南路168号院8-9-101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西山枫林二居委会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香山南路166号院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西黄新村东里居委会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西黄新村南里5号楼南侧居委会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西黄村西里居委会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雍景四季12号楼居委会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下庄社区居委会（合并三疗社区）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八大处甲26号院2号楼北侧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文研所</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北京市石景山区文研所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68</w:t>
            </w:r>
          </w:p>
        </w:tc>
        <w:tc>
          <w:tcPr>
            <w:tcW w:w="3369"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石景山文化中心</w:t>
            </w:r>
          </w:p>
        </w:tc>
        <w:tc>
          <w:tcPr>
            <w:tcW w:w="436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石景山文化中心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苹果园街道狼山社区居委会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西黄村叠翠庭园2区2号楼底商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东下庄居委会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西山芳苑小区3号楼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苹果园街道综合行政执法队</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西井中街66号院海澜科技北楼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三山园居委会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永乐东区84楼东侧平房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四季园居委会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永乐东区57楼白楼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永乐东小区南居委会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永乐东区32楼南平房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永乐东小区北居委会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永乐东小区7号楼前平房院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瑞达居委会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瑞达社区院北11号楼北侧一楼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鲁谷住宅居委会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鲁谷村7号楼1曾东侧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玉泉路西居委会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玉泉路甲65号院平房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中铁建设有限公司居委会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八宝山南路29号院食堂二层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电科院居委会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电科院社区院31号楼东二层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电子情报所居委会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74号院北院26号楼北侧二层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青年楼居委会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二通厂东门外青年楼2号楼东侧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玉泉西里西居委会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羽泉西里二区7-3-106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八宝山街道沁山水北社区居委会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玉泉西里一区2号楼首层105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八宝山街道沁山水南社区居委会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玉泉西里一区26号楼首层302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玉泉犀利二区29号楼一层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玉泉西里北居委会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羽泉犀利二区1号楼一层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玉泉西里南居委会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玉泉西里二区30号楼3单元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八宝山街道综合行政执法队</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永乐小区74号院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八角路社区居委会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八角路11栋西平房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八角北路44栋前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杨庄南区社区居委会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杨庄小学旁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杨庄北区49号楼西侧平房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杨庄中区社区居委会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杨庄中区1栋西侧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地铁家园社区居委会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八角北路59号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公园北社区居委会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古城路甲61号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古城南路50栋院内平房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建钢南里社区居委会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八角南里1号楼南侧平房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古城南里5号楼南侧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八角北路特钢社区居委会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八角北路9栋北侧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八角北里45栋北侧平房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八角中里21栋北侧平房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八角南里17栋东侧平房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八角南路12号楼东侧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人保局分址</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八角西街16号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黄南苑社区居委会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黄南苑小区2号楼前平房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八角街道时代花园居委会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时代花园南路23号院15号楼一层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御景园第三社区居委会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御景园第三社区居委会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八角杨庄中区社区服务中心居委会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八角中里21栋东侧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八角南路社区服务中心居委会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八角南路12栋东侧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八角北第二社区居委会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杨庄北区12号楼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八角景阳东街第二社区居委会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景阳东街65号院3号楼2单元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八角街道石景家园居委会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景阳东街69号院1号楼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八角体育场南社区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八角体育场西街社区居委会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八角体育场西街社区居委会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八角街道综合行政执法队</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八角北里小黄楼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117</w:t>
            </w:r>
          </w:p>
        </w:tc>
        <w:tc>
          <w:tcPr>
            <w:tcW w:w="3369"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衙府安园居委会</w:t>
            </w:r>
          </w:p>
        </w:tc>
        <w:tc>
          <w:tcPr>
            <w:tcW w:w="436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衙府安园居委会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金三社区居委会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金顶街三社区居委会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金四区社区居委会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金顶街四区社区居委会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模式口村社区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金顶街模式口村社区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模南里社区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金顶街模南里社区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模中里社区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金顶街模中里社区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模东里社区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金顶街模东里社区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模西里中社区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金顶街模西里社区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金顶街教工楼居委会（金三社区）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金顶街教工楼金顶北街68号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金顶街北路槐满园居委会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槐满园南门东侧地下室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金顶街北路梧桐园居委会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金顶街北路18号院梧桐园13栋底商5号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赵山宿舍社区居委会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赵山宿舍2号楼北侧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模西北社区社区居委会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模西39号楼东侧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铸造村社区居委会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铸造一区14号楼南侧健身园内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模式口北里44栋南侧蓝房子居委会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西福村社区居委会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金顶山路168号院9栋旁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金顶街街道柳青园社区居委会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金顶北路20号院19号楼底商金一区居委会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金顶街五区社区居委会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金顶街五区甲9号楼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金顶街模式口西里南区社区居委会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模式口西里33栋北侧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法海寺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金顶街街道法海禅寺西北角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承恩寺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模式口大街20号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冰川馆</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金顶街街道中国第四纪冰川遗迹陈列馆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金顶街铸造村办公区社区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金顶街街道办事处铸造村办公楼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金顶街街道综合行政执法队</w:t>
            </w:r>
          </w:p>
        </w:tc>
        <w:tc>
          <w:tcPr>
            <w:tcW w:w="4367" w:type="dxa"/>
            <w:tcBorders>
              <w:top w:val="nil"/>
              <w:left w:val="nil"/>
              <w:bottom w:val="single" w:color="000000" w:sz="8" w:space="0"/>
              <w:right w:val="single" w:color="000000" w:sz="8" w:space="0"/>
            </w:tcBorders>
            <w:vAlign w:val="bottom"/>
          </w:tcPr>
          <w:p>
            <w:pPr>
              <w:jc w:val="center"/>
              <w:rPr>
                <w:rFonts w:hint="eastAsia" w:ascii="宋体" w:hAnsi="宋体" w:eastAsia="宋体" w:cs="宋体"/>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铸造村第二社区居委会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模式口南里28号楼北侧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鲁谷社区依翠园北居民委员会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鲁谷路市运八场3号楼南平房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143</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鲁谷社区依翠园南居民委员会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依翠园13号楼底商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144</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鲁谷社区双锦园居民委员会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永乐西区3楼东侧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145</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鲁谷社区五芳园居民委员会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鲁谷南路5号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146</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鲁谷社区六合园南居民委员会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六合园20号楼南平房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147</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鲁谷社区六合园北居民委员会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1.六合园12号楼北侧平房； 2.诗景长安2号楼居委会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148</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鲁谷社区七星园南居民委员会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七星园１０号楼13门101号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149</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鲁谷社区七星园北居民委员会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七星园7号楼对面平房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鲁谷社区新华社居民委员会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京原路8号新华社第二工作区西配楼101号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151</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鲁谷社区西厂东居民委员会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北京重型机电厂西厂宿舍5号楼西侧平房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152</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鲁谷社区新岚大厦居民委员会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依翠园乙16号一层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153</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鲁谷社区永乐西南居民委员会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永乐西区20号楼北侧平房院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154</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鲁谷社区重聚园居民委员会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重聚园18号楼西侧综合办公楼4 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155</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鲁谷社区衙门口东居民委员会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西富港写字楼南门206室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156</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鲁谷社区衙门口西居民委员会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西富港写字楼南楼307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157</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鲁谷社区衙门口南居民委员会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西富港南楼201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158</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鲁谷社区永乐西北居民委员会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永乐西区20号楼北侧平房里院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159</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京汉旭城社区居委会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京汉旭城18号楼1单元101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160</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石景山碣石平居委会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1.碣石坪12号1层；2.碣石坪小区3号楼西侧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161</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鲁谷重兴园居委会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重兴嘉园1号楼（燕都医院）6层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162</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鲁谷社区聚兴园居委会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 重聚路40号院1-10-101 ；2.聚兴园7号楼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163</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石景山医院居民委员会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碣石坪小区3号楼西侧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164</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久铸居委会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双锦园16号楼底商1-9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165</w:t>
            </w:r>
          </w:p>
        </w:tc>
        <w:tc>
          <w:tcPr>
            <w:tcW w:w="3369" w:type="dxa"/>
            <w:tcBorders>
              <w:top w:val="nil"/>
              <w:left w:val="nil"/>
              <w:bottom w:val="single" w:color="000000" w:sz="8" w:space="0"/>
              <w:right w:val="single" w:color="000000" w:sz="8" w:space="0"/>
            </w:tcBorders>
            <w:vAlign w:val="bottom"/>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鲁谷街道综合行政执法队</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永乐东区41号楼东侧独立院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鲁谷文化中心</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北京市石景山鲁谷文化中心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五里坨街道西山机械厂社区居委会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区隆恩寺路99号院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南宫社区居委会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石门路368号南宫社区居委会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联勤部社区居委会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高井甲32号院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东街社区居委会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五里坨街道西小街7号院4号楼一层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五里坨派出所对面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黑石头社区居委会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黑石头南街49号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隆恩寺村礼堂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隆恩寺新区居委会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五里坨街道秀府南路19号金谷香郡1号楼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176</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天翠阳光第一社区居委会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石门南路一号院9号楼平房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177</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天翠阳光第二社区居委会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五里坨西街9号院11号楼1层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178</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天翠阳光第三社区居委会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五里坨西街12号院5号楼1层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179</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隆恩颐园社区居委会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隆恩寺路3号院汇众仁和物业大楼二层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180</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五里坨南宫嘉园小区</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五里坨隆恩寺路18号院10号楼1单元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181</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京西景园居委会</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五里坨中街京西景园40号院2号楼北侧1层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182</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五里坨街道综合行政执法队</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石门路中石化北侧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183</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万商老干部局</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北京市石景山万商酒店A座4层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184</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炮厂社区居委会1</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185</w:t>
            </w:r>
          </w:p>
        </w:tc>
        <w:tc>
          <w:tcPr>
            <w:tcW w:w="3369"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红卫路社区居委会1</w:t>
            </w:r>
          </w:p>
        </w:tc>
        <w:tc>
          <w:tcPr>
            <w:tcW w:w="4367"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红卫路社区居委会1</w:t>
            </w:r>
          </w:p>
        </w:tc>
      </w:tr>
    </w:tbl>
    <w:p>
      <w:pPr>
        <w:pStyle w:val="12"/>
        <w:rPr>
          <w:sz w:val="24"/>
          <w:szCs w:val="24"/>
        </w:rPr>
      </w:pPr>
    </w:p>
    <w:p>
      <w:pPr>
        <w:pStyle w:val="7"/>
        <w:spacing w:line="276" w:lineRule="auto"/>
        <w:rPr>
          <w:rFonts w:ascii="宋体" w:hAnsi="宋体" w:eastAsia="宋体" w:cs="宋体"/>
          <w:sz w:val="24"/>
          <w:szCs w:val="24"/>
        </w:rPr>
      </w:pPr>
      <w:r>
        <w:rPr>
          <w:rFonts w:hint="eastAsia" w:ascii="宋体" w:hAnsi="宋体" w:eastAsia="宋体" w:cs="宋体"/>
          <w:sz w:val="24"/>
          <w:szCs w:val="24"/>
        </w:rPr>
        <w:t>2、</w:t>
      </w:r>
      <w:bookmarkEnd w:id="65"/>
      <w:r>
        <w:rPr>
          <w:rFonts w:hint="eastAsia" w:ascii="宋体" w:hAnsi="宋体" w:cs="宋体"/>
          <w:sz w:val="24"/>
          <w:szCs w:val="24"/>
          <w:lang w:val="en-US" w:eastAsia="zh-CN"/>
        </w:rPr>
        <w:t>运维制度流程</w:t>
      </w:r>
      <w:r>
        <w:rPr>
          <w:rFonts w:hint="eastAsia" w:ascii="宋体" w:hAnsi="宋体" w:eastAsia="宋体" w:cs="宋体"/>
          <w:sz w:val="24"/>
          <w:szCs w:val="24"/>
        </w:rPr>
        <w:t>要求</w:t>
      </w:r>
    </w:p>
    <w:p>
      <w:pPr>
        <w:spacing w:line="360" w:lineRule="auto"/>
        <w:ind w:firstLine="560"/>
        <w:rPr>
          <w:rFonts w:hint="eastAsia" w:ascii="宋体" w:hAnsi="宋体" w:cs="宋体"/>
          <w:sz w:val="24"/>
          <w:szCs w:val="24"/>
        </w:rPr>
      </w:pPr>
      <w:bookmarkStart w:id="66" w:name="_Toc343268806"/>
      <w:r>
        <w:rPr>
          <w:rFonts w:hint="eastAsia" w:ascii="宋体" w:hAnsi="宋体" w:cs="宋体"/>
          <w:sz w:val="24"/>
          <w:szCs w:val="24"/>
        </w:rPr>
        <w:t>针对此次石景山区政府城域网项目，投标人将根据石景山区城域网建设时划分的相应区域，根据每个区域的光缆管道长度合理分配维护人员，维护人员主要维护本区域内光缆，同时可以互相支撑，应对突发紧急情况。（包含但不</w:t>
      </w:r>
      <w:r>
        <w:rPr>
          <w:rFonts w:hint="eastAsia" w:ascii="宋体" w:hAnsi="宋体" w:cs="宋体"/>
          <w:sz w:val="24"/>
          <w:szCs w:val="24"/>
          <w:lang w:eastAsia="zh-CN"/>
        </w:rPr>
        <w:t>限</w:t>
      </w:r>
      <w:r>
        <w:rPr>
          <w:rFonts w:hint="eastAsia" w:ascii="宋体" w:hAnsi="宋体" w:cs="宋体"/>
          <w:sz w:val="24"/>
          <w:szCs w:val="24"/>
        </w:rPr>
        <w:t>于以下几点）</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严格按照上级维护主管部门批准的安全操作规程、施工验收规范及本规程的规定进行。</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维护工作应作好原始记录，遇到重大问题应及时处理并上报。</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对重要用户、专线及重要通信保障期间和汛期要加强维护，保证通信。</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日常维护和技术维护均应根据质量标准，按规定的周期进行，确保光缆管道处于完好状态并且必须积极配合后续光缆运维工作，不得以任何理由拖延。</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在光缆管道上进行复杂或危险性较大的维护操作时，应事先制定周密的工作计划和预防措施，并经上级维护主管部门批准后方可实施。</w:t>
      </w:r>
    </w:p>
    <w:p>
      <w:pPr>
        <w:numPr>
          <w:ilvl w:val="0"/>
          <w:numId w:val="0"/>
        </w:numPr>
        <w:spacing w:line="360" w:lineRule="auto"/>
        <w:ind w:leftChars="0"/>
        <w:rPr>
          <w:rFonts w:ascii="宋体" w:hAnsi="宋体" w:cs="宋体"/>
          <w:b/>
          <w:bCs/>
          <w:kern w:val="44"/>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lang w:eastAsia="zh-CN"/>
        </w:rPr>
        <w:t>）</w:t>
      </w:r>
      <w:r>
        <w:rPr>
          <w:rFonts w:hint="eastAsia" w:ascii="宋体" w:hAnsi="宋体" w:cs="宋体"/>
          <w:sz w:val="24"/>
          <w:szCs w:val="24"/>
        </w:rPr>
        <w:t>巡检人员提供5*8小时服务，抢修人员提供7*24小时运维值守服务。</w:t>
      </w:r>
    </w:p>
    <w:p>
      <w:pPr>
        <w:pStyle w:val="5"/>
        <w:numPr>
          <w:ilvl w:val="0"/>
          <w:numId w:val="15"/>
        </w:numPr>
        <w:spacing w:line="276" w:lineRule="auto"/>
        <w:ind w:left="0" w:leftChars="0" w:firstLine="420" w:firstLineChars="0"/>
        <w:rPr>
          <w:rFonts w:hint="eastAsia" w:ascii="宋体" w:hAnsi="宋体" w:eastAsia="宋体" w:cs="宋体"/>
          <w:sz w:val="24"/>
          <w:szCs w:val="24"/>
        </w:rPr>
      </w:pPr>
      <w:bookmarkStart w:id="67" w:name="_Toc68271533"/>
      <w:r>
        <w:rPr>
          <w:rFonts w:hint="eastAsia" w:ascii="宋体" w:hAnsi="宋体" w:eastAsia="宋体" w:cs="宋体"/>
          <w:sz w:val="24"/>
          <w:szCs w:val="24"/>
        </w:rPr>
        <w:t>项目建设要求</w:t>
      </w:r>
      <w:bookmarkEnd w:id="67"/>
    </w:p>
    <w:p>
      <w:pPr>
        <w:pStyle w:val="80"/>
        <w:ind w:firstLine="240" w:firstLineChars="100"/>
        <w:rPr>
          <w:rFonts w:ascii="宋体" w:hAnsi="宋体" w:cs="宋体"/>
          <w:sz w:val="24"/>
          <w:szCs w:val="24"/>
        </w:rPr>
      </w:pPr>
      <w:r>
        <w:rPr>
          <w:rFonts w:hint="eastAsia" w:ascii="宋体" w:hAnsi="宋体" w:cs="宋体"/>
          <w:sz w:val="24"/>
          <w:szCs w:val="24"/>
        </w:rPr>
        <w:t>（1）项目交付地点</w:t>
      </w:r>
    </w:p>
    <w:p>
      <w:pPr>
        <w:pStyle w:val="80"/>
        <w:ind w:firstLine="480"/>
        <w:rPr>
          <w:rFonts w:ascii="宋体" w:hAnsi="宋体" w:cs="宋体"/>
          <w:sz w:val="24"/>
          <w:szCs w:val="24"/>
        </w:rPr>
      </w:pPr>
      <w:r>
        <w:rPr>
          <w:rFonts w:hint="eastAsia" w:ascii="宋体" w:hAnsi="宋体" w:cs="宋体"/>
          <w:sz w:val="24"/>
          <w:szCs w:val="24"/>
        </w:rPr>
        <w:t xml:space="preserve"> 北京市石景山区内。</w:t>
      </w:r>
    </w:p>
    <w:p>
      <w:pPr>
        <w:pStyle w:val="80"/>
        <w:ind w:firstLine="240" w:firstLineChars="100"/>
        <w:rPr>
          <w:rFonts w:ascii="宋体" w:hAnsi="宋体" w:cs="宋体"/>
          <w:sz w:val="24"/>
          <w:szCs w:val="24"/>
        </w:rPr>
      </w:pPr>
      <w:r>
        <w:rPr>
          <w:rFonts w:hint="eastAsia" w:ascii="宋体" w:hAnsi="宋体" w:cs="宋体"/>
          <w:sz w:val="24"/>
          <w:szCs w:val="24"/>
        </w:rPr>
        <w:t>（2）项目交付时间</w:t>
      </w:r>
    </w:p>
    <w:p>
      <w:pPr>
        <w:pStyle w:val="80"/>
        <w:numPr>
          <w:ilvl w:val="0"/>
          <w:numId w:val="0"/>
        </w:numPr>
        <w:ind w:left="720" w:leftChars="0"/>
        <w:rPr>
          <w:rFonts w:ascii="宋体" w:hAnsi="宋体" w:cs="宋体"/>
          <w:sz w:val="24"/>
          <w:szCs w:val="24"/>
        </w:rPr>
      </w:pPr>
      <w:r>
        <w:rPr>
          <w:rFonts w:hint="eastAsia" w:ascii="宋体" w:hAnsi="宋体" w:cs="宋体"/>
          <w:sz w:val="24"/>
          <w:szCs w:val="24"/>
          <w:highlight w:val="none"/>
        </w:rPr>
        <w:t>202</w:t>
      </w:r>
      <w:r>
        <w:rPr>
          <w:rFonts w:hint="eastAsia" w:ascii="宋体" w:hAnsi="宋体" w:cs="宋体"/>
          <w:sz w:val="24"/>
          <w:szCs w:val="24"/>
          <w:highlight w:val="none"/>
          <w:lang w:val="en-US" w:eastAsia="zh-CN"/>
        </w:rPr>
        <w:t>5</w:t>
      </w:r>
      <w:r>
        <w:rPr>
          <w:rFonts w:hint="eastAsia" w:ascii="宋体" w:hAnsi="宋体" w:cs="宋体"/>
          <w:sz w:val="24"/>
          <w:szCs w:val="24"/>
        </w:rPr>
        <w:t>年4月1日进入管道租用运维服务，</w:t>
      </w:r>
      <w:r>
        <w:rPr>
          <w:rFonts w:hint="eastAsia" w:ascii="宋体" w:hAnsi="宋体" w:cs="宋体"/>
          <w:sz w:val="24"/>
          <w:szCs w:val="24"/>
          <w:lang w:val="en-US" w:eastAsia="zh-CN"/>
        </w:rPr>
        <w:t>服务</w:t>
      </w:r>
      <w:r>
        <w:rPr>
          <w:rFonts w:hint="eastAsia" w:ascii="宋体" w:hAnsi="宋体" w:cs="宋体"/>
          <w:sz w:val="24"/>
          <w:szCs w:val="24"/>
        </w:rPr>
        <w:t>期12个月。</w:t>
      </w:r>
    </w:p>
    <w:p>
      <w:pPr>
        <w:pStyle w:val="5"/>
        <w:numPr>
          <w:ilvl w:val="0"/>
          <w:numId w:val="15"/>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服务要求</w:t>
      </w:r>
    </w:p>
    <w:bookmarkEnd w:id="66"/>
    <w:p>
      <w:pPr>
        <w:spacing w:line="360" w:lineRule="auto"/>
        <w:ind w:firstLine="560"/>
        <w:rPr>
          <w:rFonts w:hint="eastAsia" w:ascii="宋体" w:hAnsi="宋体" w:cs="宋体"/>
          <w:sz w:val="24"/>
          <w:szCs w:val="24"/>
        </w:rPr>
      </w:pPr>
      <w:r>
        <w:rPr>
          <w:rFonts w:hint="eastAsia" w:ascii="宋体" w:hAnsi="宋体" w:cs="宋体"/>
          <w:sz w:val="24"/>
          <w:szCs w:val="24"/>
        </w:rPr>
        <w:t>每年按照建设的管道规划出具管道运维明细。</w:t>
      </w:r>
    </w:p>
    <w:p>
      <w:pPr>
        <w:spacing w:line="360" w:lineRule="auto"/>
        <w:ind w:firstLine="560"/>
        <w:rPr>
          <w:rFonts w:hint="eastAsia" w:ascii="宋体" w:hAnsi="宋体" w:cs="宋体"/>
          <w:sz w:val="24"/>
          <w:szCs w:val="24"/>
        </w:rPr>
      </w:pPr>
      <w:r>
        <w:rPr>
          <w:rFonts w:hint="eastAsia" w:ascii="宋体" w:hAnsi="宋体" w:cs="宋体"/>
          <w:sz w:val="24"/>
          <w:szCs w:val="24"/>
        </w:rPr>
        <w:t>按照光缆AB双方向出具光缆管道运维长度明细。</w:t>
      </w:r>
    </w:p>
    <w:p>
      <w:pPr>
        <w:spacing w:line="360" w:lineRule="auto"/>
        <w:ind w:firstLine="560"/>
        <w:rPr>
          <w:rFonts w:hint="eastAsia" w:ascii="宋体" w:hAnsi="宋体" w:cs="宋体"/>
          <w:sz w:val="24"/>
          <w:szCs w:val="24"/>
        </w:rPr>
      </w:pPr>
      <w:r>
        <w:rPr>
          <w:rFonts w:hint="eastAsia" w:ascii="宋体" w:hAnsi="宋体" w:cs="宋体"/>
          <w:sz w:val="24"/>
          <w:szCs w:val="24"/>
        </w:rPr>
        <w:t>由于本项目的技术资料涉及石景山全区通信保障工作，重要程度较高，因此要求投标方必须具有专业运维工作。</w:t>
      </w:r>
    </w:p>
    <w:p>
      <w:pPr>
        <w:spacing w:line="360" w:lineRule="auto"/>
        <w:ind w:firstLine="240" w:firstLineChars="100"/>
        <w:rPr>
          <w:rFonts w:ascii="宋体" w:hAnsi="宋体" w:cs="宋体"/>
          <w:sz w:val="24"/>
          <w:szCs w:val="24"/>
        </w:rPr>
      </w:pPr>
      <w:r>
        <w:rPr>
          <w:rFonts w:hint="eastAsia" w:ascii="宋体" w:hAnsi="宋体" w:cs="宋体"/>
          <w:sz w:val="24"/>
          <w:szCs w:val="24"/>
        </w:rPr>
        <w:t>为保证运维时效，要求派遣1-2名人员做驻地（石景山区）服务</w:t>
      </w:r>
      <w:r>
        <w:rPr>
          <w:rFonts w:hint="eastAsia" w:ascii="宋体" w:hAnsi="宋体" w:cs="宋体"/>
          <w:sz w:val="24"/>
          <w:szCs w:val="24"/>
          <w:shd w:val="clear" w:color="auto" w:fill="FFFFFF"/>
        </w:rPr>
        <w:t>。</w:t>
      </w:r>
      <w:r>
        <w:rPr>
          <w:rFonts w:hint="eastAsia" w:ascii="宋体" w:hAnsi="宋体" w:cs="宋体"/>
          <w:sz w:val="24"/>
          <w:szCs w:val="24"/>
        </w:rPr>
        <w:t xml:space="preserve">      </w:t>
      </w:r>
    </w:p>
    <w:p>
      <w:pPr>
        <w:pStyle w:val="5"/>
        <w:numPr>
          <w:ilvl w:val="0"/>
          <w:numId w:val="15"/>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付款结算方式</w:t>
      </w:r>
    </w:p>
    <w:p>
      <w:pPr>
        <w:spacing w:line="360" w:lineRule="auto"/>
        <w:ind w:firstLine="480" w:firstLineChars="200"/>
        <w:rPr>
          <w:rFonts w:ascii="宋体" w:hAnsi="宋体" w:cs="宋体"/>
          <w:sz w:val="24"/>
          <w:szCs w:val="24"/>
        </w:rPr>
      </w:pPr>
      <w:r>
        <w:rPr>
          <w:rFonts w:hint="eastAsia" w:ascii="宋体" w:hAnsi="宋体" w:cs="宋体"/>
          <w:sz w:val="24"/>
          <w:szCs w:val="24"/>
        </w:rPr>
        <w:t>付款结算方式：合同签订后十个工作日内支付合同总额的</w:t>
      </w:r>
      <w:r>
        <w:rPr>
          <w:rFonts w:hint="eastAsia" w:ascii="宋体" w:hAnsi="宋体" w:cs="宋体"/>
          <w:sz w:val="24"/>
          <w:szCs w:val="24"/>
          <w:lang w:val="en-US" w:eastAsia="zh-CN"/>
        </w:rPr>
        <w:t>5</w:t>
      </w:r>
      <w:r>
        <w:rPr>
          <w:rFonts w:hint="eastAsia" w:ascii="宋体" w:hAnsi="宋体" w:cs="宋体"/>
          <w:sz w:val="24"/>
          <w:szCs w:val="24"/>
        </w:rPr>
        <w:t>0%首付款，服务期满</w:t>
      </w:r>
      <w:r>
        <w:rPr>
          <w:rFonts w:hint="eastAsia" w:ascii="宋体" w:hAnsi="宋体" w:cs="宋体"/>
          <w:sz w:val="24"/>
          <w:szCs w:val="24"/>
          <w:lang w:val="en-US" w:eastAsia="zh-CN"/>
        </w:rPr>
        <w:t>6</w:t>
      </w:r>
      <w:r>
        <w:rPr>
          <w:rFonts w:hint="eastAsia" w:ascii="宋体" w:hAnsi="宋体" w:cs="宋体"/>
          <w:sz w:val="24"/>
          <w:szCs w:val="24"/>
        </w:rPr>
        <w:t>个月支付合同总额的</w:t>
      </w:r>
      <w:r>
        <w:rPr>
          <w:rFonts w:hint="eastAsia" w:ascii="宋体" w:hAnsi="宋体" w:cs="宋体"/>
          <w:sz w:val="24"/>
          <w:szCs w:val="24"/>
          <w:lang w:val="en-US" w:eastAsia="zh-CN"/>
        </w:rPr>
        <w:t>25</w:t>
      </w:r>
      <w:r>
        <w:rPr>
          <w:rFonts w:hint="eastAsia" w:ascii="宋体" w:hAnsi="宋体" w:cs="宋体"/>
          <w:sz w:val="24"/>
          <w:szCs w:val="24"/>
        </w:rPr>
        <w:t>%项目进度款，服务期满</w:t>
      </w:r>
      <w:r>
        <w:rPr>
          <w:rFonts w:hint="eastAsia" w:ascii="宋体" w:hAnsi="宋体" w:cs="宋体"/>
          <w:sz w:val="24"/>
          <w:szCs w:val="24"/>
          <w:lang w:val="en-US" w:eastAsia="zh-CN"/>
        </w:rPr>
        <w:t>12</w:t>
      </w:r>
      <w:r>
        <w:rPr>
          <w:rFonts w:hint="eastAsia" w:ascii="宋体" w:hAnsi="宋体" w:cs="宋体"/>
          <w:sz w:val="24"/>
          <w:szCs w:val="24"/>
        </w:rPr>
        <w:t>个月支付合同总额的</w:t>
      </w:r>
      <w:r>
        <w:rPr>
          <w:rFonts w:hint="eastAsia" w:ascii="宋体" w:hAnsi="宋体" w:cs="宋体"/>
          <w:sz w:val="24"/>
          <w:szCs w:val="24"/>
          <w:lang w:val="en-US" w:eastAsia="zh-CN"/>
        </w:rPr>
        <w:t>25</w:t>
      </w:r>
      <w:r>
        <w:rPr>
          <w:rFonts w:hint="eastAsia" w:ascii="宋体" w:hAnsi="宋体" w:cs="宋体"/>
          <w:sz w:val="24"/>
          <w:szCs w:val="24"/>
        </w:rPr>
        <w:t>%尾款。</w:t>
      </w:r>
    </w:p>
    <w:p>
      <w:pPr>
        <w:pStyle w:val="5"/>
        <w:numPr>
          <w:ilvl w:val="0"/>
          <w:numId w:val="15"/>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验收要求</w:t>
      </w:r>
    </w:p>
    <w:p>
      <w:pPr>
        <w:spacing w:line="360" w:lineRule="auto"/>
        <w:ind w:firstLine="560"/>
        <w:rPr>
          <w:rFonts w:hint="eastAsia" w:ascii="宋体" w:hAnsi="宋体" w:cs="宋体"/>
          <w:sz w:val="24"/>
          <w:szCs w:val="24"/>
        </w:rPr>
      </w:pPr>
      <w:r>
        <w:rPr>
          <w:rFonts w:hint="eastAsia" w:ascii="宋体" w:hAnsi="宋体" w:cs="宋体"/>
          <w:sz w:val="24"/>
          <w:szCs w:val="24"/>
        </w:rPr>
        <w:t>服务期满12个月后出具本运维年度的管道年度运维报告并包含以下报表：</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（1）用户业务中断事件情况报表</w:t>
      </w:r>
      <w:r>
        <w:rPr>
          <w:rFonts w:hint="eastAsia" w:ascii="宋体" w:hAnsi="宋体" w:eastAsia="宋体" w:cs="宋体"/>
          <w:kern w:val="2"/>
          <w:sz w:val="24"/>
          <w:szCs w:val="24"/>
          <w:lang w:val="en-US" w:eastAsia="zh-CN" w:bidi="ar-SA"/>
        </w:rPr>
        <w:t>（自拟）</w:t>
      </w:r>
      <w:r>
        <w:rPr>
          <w:rFonts w:hint="eastAsia" w:ascii="宋体" w:hAnsi="宋体" w:cs="宋体"/>
          <w:sz w:val="24"/>
          <w:szCs w:val="24"/>
        </w:rPr>
        <w:t>。</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（2）每月管道巡查事件情况报表</w:t>
      </w:r>
      <w:r>
        <w:rPr>
          <w:rFonts w:hint="eastAsia" w:ascii="宋体" w:hAnsi="宋体" w:eastAsia="宋体" w:cs="宋体"/>
          <w:kern w:val="2"/>
          <w:sz w:val="24"/>
          <w:szCs w:val="24"/>
          <w:lang w:val="en-US" w:eastAsia="zh-CN" w:bidi="ar-SA"/>
        </w:rPr>
        <w:t>（自拟）</w:t>
      </w:r>
      <w:r>
        <w:rPr>
          <w:rFonts w:hint="eastAsia" w:ascii="宋体" w:hAnsi="宋体" w:cs="宋体"/>
          <w:sz w:val="24"/>
          <w:szCs w:val="24"/>
        </w:rPr>
        <w:t>。</w:t>
      </w:r>
    </w:p>
    <w:p>
      <w:pPr>
        <w:spacing w:line="360" w:lineRule="auto"/>
        <w:ind w:firstLine="480" w:firstLineChars="200"/>
        <w:jc w:val="left"/>
        <w:rPr>
          <w:rFonts w:hint="eastAsia" w:ascii="宋体" w:hAnsi="宋体" w:cs="宋体"/>
          <w:sz w:val="24"/>
          <w:szCs w:val="24"/>
        </w:rPr>
      </w:pPr>
      <w:r>
        <w:rPr>
          <w:rFonts w:hint="eastAsia" w:ascii="宋体" w:hAnsi="宋体" w:eastAsia="宋体" w:cs="宋体"/>
          <w:kern w:val="2"/>
          <w:sz w:val="24"/>
          <w:szCs w:val="24"/>
          <w:lang w:val="en-US" w:eastAsia="zh-CN" w:bidi="ar-SA"/>
        </w:rPr>
        <w:t>（3）驻场人员考勤表（自拟）</w:t>
      </w:r>
      <w:r>
        <w:rPr>
          <w:rFonts w:hint="eastAsia" w:ascii="宋体" w:hAnsi="宋体" w:cs="宋体"/>
          <w:sz w:val="24"/>
          <w:szCs w:val="24"/>
        </w:rPr>
        <w:t>。</w:t>
      </w:r>
    </w:p>
    <w:p>
      <w:pPr>
        <w:pStyle w:val="4"/>
        <w:bidi w:val="0"/>
        <w:rPr>
          <w:rFonts w:hint="eastAsia" w:ascii="宋体" w:hAnsi="宋体" w:eastAsia="宋体" w:cs="宋体"/>
          <w:sz w:val="24"/>
          <w:szCs w:val="24"/>
          <w:lang w:val="en-US" w:eastAsia="zh-CN"/>
        </w:rPr>
      </w:pPr>
      <w:r>
        <w:rPr>
          <w:rFonts w:hint="eastAsia" w:ascii="宋体" w:hAnsi="宋体" w:cs="宋体"/>
          <w:sz w:val="24"/>
          <w:szCs w:val="24"/>
          <w:lang w:val="en-US" w:eastAsia="zh-CN"/>
        </w:rPr>
        <w:t>第二包：</w:t>
      </w:r>
      <w:r>
        <w:rPr>
          <w:rFonts w:hint="eastAsia" w:ascii="宋体" w:hAnsi="宋体" w:eastAsia="宋体" w:cs="宋体"/>
          <w:sz w:val="24"/>
          <w:szCs w:val="24"/>
          <w:lang w:val="en-US" w:eastAsia="zh-CN"/>
        </w:rPr>
        <w:t>202</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年电子政务城域网运维</w:t>
      </w:r>
    </w:p>
    <w:p>
      <w:pPr>
        <w:pStyle w:val="5"/>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项目背景</w:t>
      </w:r>
    </w:p>
    <w:p>
      <w:pPr>
        <w:pStyle w:val="1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ascii="宋体" w:hAnsi="宋体" w:cs="宋体"/>
          <w:kern w:val="0"/>
          <w:sz w:val="24"/>
          <w:szCs w:val="24"/>
        </w:rPr>
      </w:pPr>
      <w:r>
        <w:rPr>
          <w:rFonts w:hint="eastAsia" w:ascii="宋体" w:hAnsi="宋体" w:cs="宋体"/>
          <w:color w:val="auto"/>
          <w:sz w:val="24"/>
          <w:szCs w:val="24"/>
        </w:rPr>
        <w:t>为满足石景山区城域网大带宽的需求，石景山区建设完成电子政务光缆网，以区政府为核心覆盖全区6</w:t>
      </w:r>
      <w:r>
        <w:rPr>
          <w:rFonts w:hint="eastAsia" w:ascii="宋体" w:hAnsi="宋体" w:cs="宋体"/>
          <w:color w:val="auto"/>
          <w:sz w:val="24"/>
          <w:szCs w:val="24"/>
          <w:lang w:val="en-US" w:eastAsia="zh-CN"/>
        </w:rPr>
        <w:t>4</w:t>
      </w:r>
      <w:r>
        <w:rPr>
          <w:rFonts w:hint="eastAsia" w:ascii="宋体" w:hAnsi="宋体" w:cs="宋体"/>
          <w:color w:val="auto"/>
          <w:sz w:val="24"/>
          <w:szCs w:val="24"/>
        </w:rPr>
        <w:t>个网络节点</w:t>
      </w:r>
      <w:r>
        <w:rPr>
          <w:rFonts w:hint="eastAsia" w:ascii="宋体" w:hAnsi="宋体" w:eastAsia="宋体" w:cs="宋体"/>
          <w:sz w:val="24"/>
          <w:szCs w:val="24"/>
        </w:rPr>
        <w:t>和185个三级节点，共计</w:t>
      </w:r>
      <w:r>
        <w:rPr>
          <w:rFonts w:hint="eastAsia" w:ascii="宋体" w:hAnsi="宋体" w:eastAsia="宋体" w:cs="宋体"/>
          <w:sz w:val="24"/>
          <w:szCs w:val="24"/>
          <w:lang w:val="en-US" w:eastAsia="zh-CN"/>
        </w:rPr>
        <w:t>810</w:t>
      </w:r>
      <w:r>
        <w:rPr>
          <w:rFonts w:hint="eastAsia" w:ascii="宋体" w:hAnsi="宋体" w:eastAsia="宋体" w:cs="宋体"/>
          <w:sz w:val="24"/>
          <w:szCs w:val="24"/>
        </w:rPr>
        <w:t>条裸光及185台网关设备</w:t>
      </w:r>
      <w:r>
        <w:rPr>
          <w:rFonts w:hint="eastAsia" w:ascii="宋体" w:hAnsi="宋体" w:cs="宋体"/>
          <w:kern w:val="0"/>
          <w:sz w:val="24"/>
          <w:szCs w:val="24"/>
        </w:rPr>
        <w:t>。</w:t>
      </w:r>
    </w:p>
    <w:p>
      <w:pPr>
        <w:pStyle w:val="5"/>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建设目标</w:t>
      </w:r>
    </w:p>
    <w:p>
      <w:pPr>
        <w:spacing w:line="360" w:lineRule="auto"/>
        <w:ind w:firstLine="560"/>
        <w:rPr>
          <w:rFonts w:hint="eastAsia" w:ascii="宋体" w:hAnsi="宋体" w:cs="宋体"/>
          <w:sz w:val="24"/>
          <w:szCs w:val="24"/>
        </w:rPr>
      </w:pPr>
      <w:r>
        <w:rPr>
          <w:rFonts w:hint="eastAsia" w:ascii="宋体" w:hAnsi="宋体" w:cs="宋体"/>
          <w:sz w:val="24"/>
          <w:szCs w:val="24"/>
        </w:rPr>
        <w:t>根据本项目招投标文件、服务合同、运维方案的相关要求，提供石景山区光缆城域网建设系统集成项目的维护工作，提供专业的全光城域网络保障服务，配合集成商确保石景山区专用网络的业务系统安全、稳定、高效运转，同时通过科学规范的运维管理，合理利用人力资源、专业技术、成熟经验顺利完成运行维护服务任务，切实保障石景山区专用网络业务系统物理光层安全平稳运行，同时有效提升整体保障服务工作水平及服务标准。其服务承诺目标达到：</w:t>
      </w:r>
    </w:p>
    <w:p>
      <w:pPr>
        <w:spacing w:line="360" w:lineRule="auto"/>
        <w:ind w:firstLine="560"/>
        <w:rPr>
          <w:rFonts w:hint="eastAsia" w:ascii="宋体" w:hAnsi="宋体" w:cs="宋体"/>
          <w:sz w:val="24"/>
          <w:szCs w:val="24"/>
        </w:rPr>
      </w:pPr>
      <w:r>
        <w:rPr>
          <w:rFonts w:hint="eastAsia" w:ascii="宋体" w:hAnsi="宋体" w:cs="宋体"/>
          <w:sz w:val="24"/>
          <w:szCs w:val="24"/>
        </w:rPr>
        <w:t>现场服务满意率：不低于95%</w:t>
      </w:r>
    </w:p>
    <w:p>
      <w:pPr>
        <w:spacing w:line="360" w:lineRule="auto"/>
        <w:ind w:firstLine="560"/>
        <w:rPr>
          <w:rFonts w:hint="eastAsia" w:ascii="宋体" w:hAnsi="宋体" w:cs="宋体"/>
          <w:sz w:val="24"/>
          <w:szCs w:val="24"/>
        </w:rPr>
      </w:pPr>
      <w:r>
        <w:rPr>
          <w:rFonts w:hint="eastAsia" w:ascii="宋体" w:hAnsi="宋体" w:cs="宋体"/>
          <w:sz w:val="24"/>
          <w:szCs w:val="24"/>
        </w:rPr>
        <w:t>光缆可用率：不低于99%</w:t>
      </w:r>
    </w:p>
    <w:p>
      <w:pPr>
        <w:spacing w:line="360" w:lineRule="auto"/>
        <w:ind w:firstLine="560"/>
        <w:rPr>
          <w:rFonts w:hint="eastAsia" w:ascii="宋体" w:hAnsi="宋体" w:cs="宋体"/>
          <w:sz w:val="24"/>
          <w:szCs w:val="24"/>
        </w:rPr>
      </w:pPr>
      <w:r>
        <w:rPr>
          <w:rFonts w:hint="eastAsia" w:ascii="宋体" w:hAnsi="宋体" w:cs="宋体"/>
          <w:sz w:val="24"/>
          <w:szCs w:val="24"/>
        </w:rPr>
        <w:t>全年连通率：不低于99%</w:t>
      </w:r>
    </w:p>
    <w:p>
      <w:pPr>
        <w:spacing w:line="360" w:lineRule="auto"/>
        <w:ind w:firstLine="560"/>
        <w:rPr>
          <w:rFonts w:hint="eastAsia" w:ascii="宋体" w:hAnsi="宋体" w:cs="宋体"/>
          <w:sz w:val="24"/>
          <w:szCs w:val="24"/>
        </w:rPr>
      </w:pPr>
      <w:r>
        <w:rPr>
          <w:rFonts w:hint="eastAsia" w:ascii="宋体" w:hAnsi="宋体" w:cs="宋体"/>
          <w:sz w:val="24"/>
          <w:szCs w:val="24"/>
        </w:rPr>
        <w:t>应答服务响应完成率：100%</w:t>
      </w:r>
    </w:p>
    <w:p>
      <w:pPr>
        <w:spacing w:line="360" w:lineRule="auto"/>
        <w:ind w:firstLine="480" w:firstLineChars="200"/>
        <w:rPr>
          <w:rFonts w:ascii="宋体" w:hAnsi="宋体" w:cs="宋体"/>
          <w:sz w:val="24"/>
          <w:szCs w:val="24"/>
        </w:rPr>
      </w:pPr>
      <w:r>
        <w:rPr>
          <w:rFonts w:hint="eastAsia" w:ascii="宋体" w:hAnsi="宋体" w:cs="宋体"/>
          <w:sz w:val="24"/>
          <w:szCs w:val="24"/>
        </w:rPr>
        <w:t>故障处理率达：100%。</w:t>
      </w:r>
    </w:p>
    <w:p>
      <w:pPr>
        <w:pStyle w:val="5"/>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建设内容</w:t>
      </w:r>
    </w:p>
    <w:p>
      <w:pPr>
        <w:pStyle w:val="80"/>
        <w:numPr>
          <w:ilvl w:val="0"/>
          <w:numId w:val="20"/>
        </w:numPr>
        <w:ind w:left="425" w:leftChars="0" w:hanging="425" w:firstLineChars="0"/>
        <w:rPr>
          <w:rFonts w:ascii="宋体" w:hAnsi="宋体" w:cs="宋体"/>
          <w:sz w:val="24"/>
          <w:szCs w:val="24"/>
        </w:rPr>
      </w:pPr>
      <w:r>
        <w:rPr>
          <w:rFonts w:hint="eastAsia" w:ascii="宋体" w:hAnsi="宋体" w:cs="宋体"/>
          <w:sz w:val="24"/>
          <w:szCs w:val="24"/>
        </w:rPr>
        <w:t>总体需求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石景山区全光城域网络运维服务内容包含</w:t>
      </w:r>
      <w:r>
        <w:rPr>
          <w:rFonts w:hint="eastAsia" w:ascii="宋体" w:hAnsi="宋体" w:eastAsia="宋体" w:cs="宋体"/>
          <w:color w:val="auto"/>
          <w:sz w:val="24"/>
          <w:szCs w:val="24"/>
        </w:rPr>
        <w:t>石景山区光缆城域网185个社区居委会</w:t>
      </w:r>
      <w:r>
        <w:rPr>
          <w:rFonts w:hint="eastAsia" w:ascii="宋体" w:hAnsi="宋体" w:cs="宋体"/>
          <w:color w:val="auto"/>
          <w:kern w:val="0"/>
          <w:sz w:val="24"/>
          <w:szCs w:val="24"/>
        </w:rPr>
        <w:t>及64个二级节</w:t>
      </w:r>
      <w:r>
        <w:rPr>
          <w:rFonts w:hint="eastAsia" w:ascii="宋体" w:hAnsi="宋体" w:eastAsia="宋体" w:cs="宋体"/>
          <w:color w:val="auto"/>
          <w:sz w:val="24"/>
          <w:szCs w:val="24"/>
        </w:rPr>
        <w:t>相关城域网节点（以实际发生为准，但不超过185个社区居委会节点</w:t>
      </w:r>
      <w:r>
        <w:rPr>
          <w:rFonts w:hint="eastAsia" w:ascii="宋体" w:hAnsi="宋体" w:cs="宋体"/>
          <w:color w:val="auto"/>
          <w:sz w:val="24"/>
          <w:szCs w:val="24"/>
          <w:lang w:val="en-US" w:eastAsia="zh-CN"/>
        </w:rPr>
        <w:t>和64个二级节点）的光缆运维。分别包含</w:t>
      </w:r>
      <w:r>
        <w:rPr>
          <w:rFonts w:hint="eastAsia" w:ascii="宋体" w:hAnsi="宋体" w:eastAsia="宋体" w:cs="宋体"/>
          <w:sz w:val="24"/>
          <w:szCs w:val="24"/>
        </w:rPr>
        <w:t>以下3部分</w:t>
      </w:r>
      <w:r>
        <w:rPr>
          <w:rFonts w:hint="eastAsia" w:ascii="宋体" w:hAnsi="宋体" w:cs="宋体"/>
          <w:sz w:val="24"/>
          <w:szCs w:val="24"/>
          <w:lang w:eastAsia="zh-CN"/>
        </w:rPr>
        <w:t>，</w:t>
      </w:r>
      <w:r>
        <w:rPr>
          <w:rFonts w:hint="eastAsia" w:ascii="宋体" w:hAnsi="宋体" w:eastAsia="宋体" w:cs="宋体"/>
          <w:sz w:val="24"/>
          <w:szCs w:val="24"/>
        </w:rPr>
        <w:t>但不仅限于以下三部分，同时有义务配合招标方做好石景山区城域网网络的通信运维工作。石景山区经信局自有产权缆线配套终端的运维；石景山区城域网实际承载业务的光链路的运维。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（1）光缆链路的运维包括日常的巡检，尽可能的提前发现容易产生光缆线路故障的原因，加以预防及优化，以保证线路质量及光链路物理指标。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（2）光缆及缆线配套终端的运维是整个网络物理层运维的核心工作。通过日常对光缆冗余芯序的测试，掌握光缆的性能指标情况。及时发现线路性能问题，以及在突发障碍时通过测试结果对断点进行判定。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eastAsia="宋体" w:cs="宋体"/>
          <w:sz w:val="24"/>
          <w:szCs w:val="24"/>
        </w:rPr>
        <w:t>（3）光纤链路的运维是运维工作最直观的的表现。光纤链路直接关系到网络的业务使用，但是由于承载着实际业务，光纤链路的性能指标无法直接使用仪表测量获取。通过对缆线中其他冗余纤序的运维进行预判，以及紧密结合集成商数据链路层的业务情况，对所使用的光纤链路情况进行分析，从而确保业务正常</w:t>
      </w:r>
      <w:r>
        <w:rPr>
          <w:rFonts w:hint="eastAsia" w:ascii="宋体" w:hAnsi="宋体" w:cs="宋体"/>
          <w:sz w:val="24"/>
          <w:szCs w:val="24"/>
        </w:rPr>
        <w:t>。</w:t>
      </w:r>
    </w:p>
    <w:p>
      <w:pPr>
        <w:pStyle w:val="80"/>
        <w:numPr>
          <w:ilvl w:val="0"/>
          <w:numId w:val="20"/>
        </w:numPr>
        <w:ind w:left="425" w:leftChars="0" w:hanging="425" w:firstLineChars="0"/>
        <w:rPr>
          <w:rFonts w:hint="eastAsia" w:ascii="宋体" w:hAnsi="宋体" w:cs="宋体"/>
          <w:sz w:val="24"/>
          <w:szCs w:val="24"/>
        </w:rPr>
      </w:pPr>
      <w:r>
        <w:rPr>
          <w:rFonts w:hint="eastAsia" w:ascii="宋体" w:hAnsi="宋体" w:cs="宋体"/>
          <w:sz w:val="24"/>
          <w:szCs w:val="24"/>
        </w:rPr>
        <w:t>技术标准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《安全防范工程技术规范》GB 50348-2018</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《建筑物电子信息系统防雷技术规范》GB50343-2012</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《通信线路工程设计规范》 GB 51158-2015 </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《通信管道工程施工及验收规范》GB50374/T-2018</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《光缆总规范第1部分总则》GB/T7424.1-2008</w:t>
      </w:r>
    </w:p>
    <w:p>
      <w:pPr>
        <w:spacing w:line="360" w:lineRule="auto"/>
        <w:ind w:firstLine="480" w:firstLineChars="200"/>
        <w:rPr>
          <w:rFonts w:ascii="宋体" w:hAnsi="宋体" w:cs="宋体"/>
          <w:sz w:val="24"/>
          <w:szCs w:val="24"/>
        </w:rPr>
      </w:pPr>
      <w:r>
        <w:rPr>
          <w:rFonts w:hint="eastAsia" w:ascii="宋体" w:hAnsi="宋体" w:cs="宋体"/>
          <w:sz w:val="24"/>
          <w:szCs w:val="24"/>
        </w:rPr>
        <w:t>上述标准应以最新颁发的行业规范或国家标准为最终参考依据，若行业规范与国家标准有不一致的，以国家标准为最终参考依据。</w:t>
      </w:r>
    </w:p>
    <w:p>
      <w:pPr>
        <w:pStyle w:val="5"/>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采购清单及技术参数要求</w:t>
      </w:r>
    </w:p>
    <w:p>
      <w:pPr>
        <w:pStyle w:val="7"/>
        <w:numPr>
          <w:ilvl w:val="0"/>
          <w:numId w:val="21"/>
        </w:numPr>
        <w:spacing w:line="276" w:lineRule="auto"/>
        <w:ind w:left="425" w:leftChars="0" w:hanging="425" w:firstLineChars="0"/>
        <w:rPr>
          <w:rFonts w:hint="eastAsia" w:ascii="宋体" w:hAnsi="宋体" w:eastAsia="宋体" w:cs="宋体"/>
          <w:sz w:val="24"/>
          <w:szCs w:val="24"/>
          <w:lang w:eastAsia="zh-CN"/>
        </w:rPr>
      </w:pPr>
      <w:r>
        <w:rPr>
          <w:rFonts w:hint="eastAsia" w:ascii="宋体" w:hAnsi="宋体" w:eastAsia="宋体" w:cs="宋体"/>
          <w:sz w:val="24"/>
          <w:szCs w:val="24"/>
          <w:lang w:val="en-US" w:eastAsia="zh-CN"/>
        </w:rPr>
        <w:t>电子政务</w:t>
      </w:r>
      <w:r>
        <w:rPr>
          <w:rFonts w:hint="eastAsia" w:ascii="宋体" w:hAnsi="宋体" w:eastAsia="宋体" w:cs="宋体"/>
          <w:sz w:val="24"/>
          <w:szCs w:val="24"/>
          <w:lang w:eastAsia="zh-CN"/>
        </w:rPr>
        <w:t>城域网</w:t>
      </w:r>
      <w:r>
        <w:rPr>
          <w:rFonts w:hint="eastAsia" w:ascii="宋体" w:hAnsi="宋体" w:eastAsia="宋体" w:cs="宋体"/>
          <w:sz w:val="24"/>
          <w:szCs w:val="24"/>
          <w:lang w:val="en-US" w:eastAsia="zh-CN"/>
        </w:rPr>
        <w:t>二级节点光缆运维</w:t>
      </w:r>
      <w:r>
        <w:rPr>
          <w:rFonts w:hint="eastAsia" w:ascii="宋体" w:hAnsi="宋体" w:eastAsia="宋体" w:cs="宋体"/>
          <w:sz w:val="24"/>
          <w:szCs w:val="24"/>
        </w:rPr>
        <w:t>采购清单</w:t>
      </w:r>
    </w:p>
    <w:tbl>
      <w:tblPr>
        <w:tblStyle w:val="32"/>
        <w:tblW w:w="8519" w:type="dxa"/>
        <w:tblInd w:w="0" w:type="dxa"/>
        <w:tblLayout w:type="fixed"/>
        <w:tblCellMar>
          <w:top w:w="0" w:type="dxa"/>
          <w:left w:w="108" w:type="dxa"/>
          <w:bottom w:w="0" w:type="dxa"/>
          <w:right w:w="108" w:type="dxa"/>
        </w:tblCellMar>
      </w:tblPr>
      <w:tblGrid>
        <w:gridCol w:w="1149"/>
        <w:gridCol w:w="1715"/>
        <w:gridCol w:w="3364"/>
        <w:gridCol w:w="2291"/>
      </w:tblGrid>
      <w:tr>
        <w:tblPrEx>
          <w:tblLayout w:type="fixed"/>
          <w:tblCellMar>
            <w:top w:w="0" w:type="dxa"/>
            <w:left w:w="108" w:type="dxa"/>
            <w:bottom w:w="0" w:type="dxa"/>
            <w:right w:w="108" w:type="dxa"/>
          </w:tblCellMar>
        </w:tblPrEx>
        <w:trPr>
          <w:trHeight w:val="954" w:hRule="atLeast"/>
        </w:trPr>
        <w:tc>
          <w:tcPr>
            <w:tcW w:w="114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序号</w:t>
            </w:r>
          </w:p>
        </w:tc>
        <w:tc>
          <w:tcPr>
            <w:tcW w:w="171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名 称</w:t>
            </w:r>
          </w:p>
        </w:tc>
        <w:tc>
          <w:tcPr>
            <w:tcW w:w="336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数量（裸光电路条数）</w:t>
            </w:r>
          </w:p>
        </w:tc>
        <w:tc>
          <w:tcPr>
            <w:tcW w:w="229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备注</w:t>
            </w:r>
          </w:p>
        </w:tc>
      </w:tr>
      <w:tr>
        <w:tblPrEx>
          <w:tblLayout w:type="fixed"/>
          <w:tblCellMar>
            <w:top w:w="0" w:type="dxa"/>
            <w:left w:w="108" w:type="dxa"/>
            <w:bottom w:w="0" w:type="dxa"/>
            <w:right w:w="108" w:type="dxa"/>
          </w:tblCellMar>
        </w:tblPrEx>
        <w:trPr>
          <w:trHeight w:val="733" w:hRule="atLeast"/>
        </w:trPr>
        <w:tc>
          <w:tcPr>
            <w:tcW w:w="1149"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1</w:t>
            </w:r>
          </w:p>
        </w:tc>
        <w:tc>
          <w:tcPr>
            <w:tcW w:w="1715"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裸光电路运维</w:t>
            </w:r>
          </w:p>
        </w:tc>
        <w:tc>
          <w:tcPr>
            <w:tcW w:w="3364"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4</w:t>
            </w:r>
            <w:r>
              <w:rPr>
                <w:rFonts w:hint="eastAsia" w:ascii="宋体" w:hAnsi="宋体" w:cs="宋体"/>
                <w:b w:val="0"/>
                <w:bCs/>
                <w:sz w:val="24"/>
                <w:szCs w:val="24"/>
                <w:lang w:val="en-US" w:eastAsia="zh-CN"/>
              </w:rPr>
              <w:t>38</w:t>
            </w:r>
            <w:r>
              <w:rPr>
                <w:rFonts w:hint="eastAsia" w:ascii="宋体" w:hAnsi="宋体" w:cs="宋体"/>
                <w:b w:val="0"/>
                <w:bCs/>
                <w:sz w:val="24"/>
                <w:szCs w:val="24"/>
              </w:rPr>
              <w:t>条</w:t>
            </w:r>
          </w:p>
        </w:tc>
        <w:tc>
          <w:tcPr>
            <w:tcW w:w="2291" w:type="dxa"/>
            <w:tcBorders>
              <w:top w:val="nil"/>
              <w:left w:val="nil"/>
              <w:bottom w:val="single" w:color="auto" w:sz="4" w:space="0"/>
              <w:right w:val="single" w:color="auto" w:sz="4" w:space="0"/>
            </w:tcBorders>
            <w:vAlign w:val="center"/>
          </w:tcPr>
          <w:p>
            <w:pPr>
              <w:numPr>
                <w:ilvl w:val="0"/>
                <w:numId w:val="0"/>
              </w:numPr>
              <w:spacing w:line="360" w:lineRule="auto"/>
              <w:ind w:leftChars="0"/>
              <w:rPr>
                <w:rFonts w:ascii="宋体" w:hAnsi="宋体" w:cs="宋体"/>
                <w:b w:val="0"/>
                <w:bCs/>
                <w:sz w:val="24"/>
                <w:szCs w:val="24"/>
              </w:rPr>
            </w:pPr>
            <w:r>
              <w:rPr>
                <w:rFonts w:hint="eastAsia" w:ascii="宋体" w:hAnsi="宋体" w:cs="宋体"/>
                <w:b w:val="0"/>
                <w:bCs/>
                <w:sz w:val="24"/>
                <w:szCs w:val="24"/>
                <w:lang w:val="en-US" w:eastAsia="zh-CN"/>
              </w:rPr>
              <w:t>电子政务</w:t>
            </w:r>
            <w:r>
              <w:rPr>
                <w:rFonts w:hint="eastAsia" w:ascii="宋体" w:hAnsi="宋体" w:cs="宋体"/>
                <w:b w:val="0"/>
                <w:bCs/>
                <w:sz w:val="24"/>
                <w:szCs w:val="24"/>
              </w:rPr>
              <w:t>二级点位双12芯双上联</w:t>
            </w:r>
          </w:p>
        </w:tc>
      </w:tr>
    </w:tbl>
    <w:p>
      <w:pPr>
        <w:numPr>
          <w:ilvl w:val="0"/>
          <w:numId w:val="17"/>
        </w:numPr>
        <w:spacing w:line="360" w:lineRule="auto"/>
        <w:rPr>
          <w:rFonts w:hint="eastAsia" w:ascii="宋体" w:hAnsi="宋体" w:cs="宋体"/>
          <w:sz w:val="24"/>
          <w:szCs w:val="24"/>
        </w:rPr>
      </w:pPr>
      <w:r>
        <w:rPr>
          <w:rFonts w:hint="eastAsia" w:ascii="宋体" w:hAnsi="宋体" w:cs="宋体"/>
          <w:sz w:val="24"/>
          <w:szCs w:val="24"/>
          <w:lang w:val="en-US" w:eastAsia="zh-CN"/>
        </w:rPr>
        <w:t>电子政务城域网</w:t>
      </w:r>
      <w:r>
        <w:rPr>
          <w:rFonts w:hint="eastAsia" w:ascii="宋体" w:hAnsi="宋体" w:cs="宋体"/>
          <w:sz w:val="24"/>
          <w:szCs w:val="24"/>
        </w:rPr>
        <w:t>二级节点</w:t>
      </w:r>
      <w:r>
        <w:rPr>
          <w:rFonts w:hint="eastAsia" w:ascii="宋体" w:hAnsi="宋体" w:cs="宋体"/>
          <w:sz w:val="24"/>
          <w:szCs w:val="24"/>
          <w:lang w:val="en-US" w:eastAsia="zh-CN"/>
        </w:rPr>
        <w:t>光缆运维</w:t>
      </w:r>
      <w:r>
        <w:rPr>
          <w:rFonts w:hint="eastAsia" w:ascii="宋体" w:hAnsi="宋体" w:cs="宋体"/>
          <w:sz w:val="24"/>
          <w:szCs w:val="24"/>
        </w:rPr>
        <w:t>明细</w:t>
      </w:r>
    </w:p>
    <w:tbl>
      <w:tblPr>
        <w:tblStyle w:val="32"/>
        <w:tblW w:w="8520" w:type="dxa"/>
        <w:jc w:val="center"/>
        <w:tblInd w:w="0" w:type="dxa"/>
        <w:tblLayout w:type="fixed"/>
        <w:tblCellMar>
          <w:top w:w="0" w:type="dxa"/>
          <w:left w:w="108" w:type="dxa"/>
          <w:bottom w:w="0" w:type="dxa"/>
          <w:right w:w="108" w:type="dxa"/>
        </w:tblCellMar>
      </w:tblPr>
      <w:tblGrid>
        <w:gridCol w:w="981"/>
        <w:gridCol w:w="3208"/>
        <w:gridCol w:w="4331"/>
      </w:tblGrid>
      <w:tr>
        <w:tblPrEx>
          <w:tblLayout w:type="fixed"/>
          <w:tblCellMar>
            <w:top w:w="0" w:type="dxa"/>
            <w:left w:w="108" w:type="dxa"/>
            <w:bottom w:w="0" w:type="dxa"/>
            <w:right w:w="108" w:type="dxa"/>
          </w:tblCellMar>
        </w:tblPrEx>
        <w:trPr>
          <w:trHeight w:val="639" w:hRule="atLeast"/>
          <w:tblHeader/>
          <w:jc w:val="center"/>
        </w:trPr>
        <w:tc>
          <w:tcPr>
            <w:tcW w:w="98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序号</w:t>
            </w:r>
          </w:p>
        </w:tc>
        <w:tc>
          <w:tcPr>
            <w:tcW w:w="320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单位名称</w:t>
            </w:r>
          </w:p>
        </w:tc>
        <w:tc>
          <w:tcPr>
            <w:tcW w:w="433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单位地址</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八宝山街道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石景山区鲁谷东街18号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八大处景区管委会</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八大处路3号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北京市石景山区八角北路甲36号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财政局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阜石路167号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残联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古城北路</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城管委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杨庄东路9号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城管执法局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八角西街32号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档案局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杨庄东路69号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地税局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八角南路28号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法院</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阜石路169号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房屋征收事务中心</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石景山区京源路三角地临1号院</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工商分局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实兴大街64号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工商联、侨联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八角北路民主党派楼</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公安分局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石景山区古城南里甲1号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石景山公园管理中心</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杨庄路6号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古城路6号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广电中心</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古城大街61号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广宁街道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广宁村新立街4号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规划分局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八角南路9号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国税分局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待定</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国土分局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北京市石景山区八角西街66号方地大厦</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国资委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杨庄东街59号今尊大厦</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环保局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古城路8号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环境卫生服务中心</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杨庄东街65号</w:t>
            </w:r>
          </w:p>
        </w:tc>
      </w:tr>
      <w:tr>
        <w:tblPrEx>
          <w:tblLayout w:type="fixed"/>
          <w:tblCellMar>
            <w:top w:w="0" w:type="dxa"/>
            <w:left w:w="108" w:type="dxa"/>
            <w:bottom w:w="0" w:type="dxa"/>
            <w:right w:w="108" w:type="dxa"/>
          </w:tblCellMar>
        </w:tblPrEx>
        <w:trPr>
          <w:trHeight w:val="30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监督指挥中心（原计生委）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杨庄东街甲65号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集体经济办</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杨庄西口</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检察院</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古城南里甲2号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交通支队</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杨庄路8号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教委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八角西街95号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金顶街街道新址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金顶街五区一号楼</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科委园区管理委员会西山汇新址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北京市石景山区八角西街40号(实兴大街30号院17号)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老干部局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古城东街113号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老山街道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北京市石景山区老山南路18号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鲁谷街道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鲁谷南路8号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民政局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石景山区古城北路</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苹果园街道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苹果园南路23号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区委党校</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石景山区八角北路9号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38</w:t>
            </w:r>
          </w:p>
        </w:tc>
        <w:tc>
          <w:tcPr>
            <w:tcW w:w="320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人力资源社保局</w:t>
            </w:r>
          </w:p>
        </w:tc>
        <w:tc>
          <w:tcPr>
            <w:tcW w:w="433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杨庄路66号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39</w:t>
            </w:r>
          </w:p>
        </w:tc>
        <w:tc>
          <w:tcPr>
            <w:tcW w:w="320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审计局</w:t>
            </w:r>
          </w:p>
        </w:tc>
        <w:tc>
          <w:tcPr>
            <w:tcW w:w="433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八角西街甲32号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石景山游乐园</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北京市石景山区八角游乐园北门向北500米</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石景山医院(与红十字会合署办公)</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石景山路24号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食药监分局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古城南里16号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司法局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八角北里</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体育局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石景山路32号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统计局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杨庄东路71号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卫生卫计委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体育场南路6号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五里坨街道(与西建办合署办公)</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五里坨车站路1号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武装部</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八大处军区总医院京西医院对面</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消防支队</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古城北路2号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行政服务中心（新址）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实兴大街30号院17号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园林局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石景山路15号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质监分局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北京市石景山区杨庄东街73号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住建委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八角西街66号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总工会</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石景山路42号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金顶街街道（旧址）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北京市石景山区金顶街五区1号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石景山图书馆</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北京市石景山区八角南路2号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color w:val="000000"/>
                <w:kern w:val="0"/>
                <w:sz w:val="24"/>
                <w:szCs w:val="24"/>
              </w:rPr>
              <w:t>石景山科技委员会</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color w:val="000000"/>
                <w:kern w:val="0"/>
                <w:sz w:val="24"/>
                <w:szCs w:val="24"/>
              </w:rPr>
              <w:t>北京市石景山八角西街40号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cs="宋体"/>
                <w:b w:val="0"/>
                <w:bCs w:val="0"/>
                <w:color w:val="000000"/>
                <w:kern w:val="0"/>
                <w:sz w:val="24"/>
                <w:szCs w:val="24"/>
                <w:lang w:val="en-US" w:eastAsia="zh-CN"/>
              </w:rPr>
              <w:t>石景山纪委</w:t>
            </w:r>
            <w:r>
              <w:rPr>
                <w:rFonts w:hint="eastAsia" w:ascii="宋体" w:hAnsi="宋体" w:eastAsia="宋体" w:cs="宋体"/>
                <w:b w:val="0"/>
                <w:bCs w:val="0"/>
                <w:color w:val="000000"/>
                <w:kern w:val="0"/>
                <w:sz w:val="24"/>
                <w:szCs w:val="24"/>
              </w:rPr>
              <w:t>（新址）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w:t>
            </w:r>
            <w:r>
              <w:rPr>
                <w:rFonts w:hint="eastAsia" w:ascii="宋体" w:hAnsi="宋体" w:cs="宋体"/>
                <w:b w:val="0"/>
                <w:bCs w:val="0"/>
                <w:color w:val="000000"/>
                <w:kern w:val="0"/>
                <w:sz w:val="24"/>
                <w:szCs w:val="24"/>
                <w:lang w:val="en-US" w:eastAsia="zh-CN"/>
              </w:rPr>
              <w:t>杨庄路</w:t>
            </w:r>
            <w:r>
              <w:rPr>
                <w:rFonts w:hint="eastAsia" w:ascii="宋体" w:hAnsi="宋体" w:eastAsia="宋体" w:cs="宋体"/>
                <w:b w:val="0"/>
                <w:bCs w:val="0"/>
                <w:color w:val="000000"/>
                <w:kern w:val="0"/>
                <w:sz w:val="24"/>
                <w:szCs w:val="24"/>
              </w:rPr>
              <w:t>40号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石景山大数据局（新址）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北京市石景山八角西街40号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60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石景山气象局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石景山气象局</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61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石景山纪检委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石景山纪检委</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62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石景山环境局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石景山环境局</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default" w:ascii="宋体" w:hAnsi="宋体" w:eastAsia="宋体" w:cs="宋体"/>
                <w:b w:val="0"/>
                <w:bCs w:val="0"/>
                <w:color w:val="000000"/>
                <w:kern w:val="0"/>
                <w:sz w:val="24"/>
                <w:szCs w:val="24"/>
                <w:lang w:val="en-US" w:eastAsia="zh-CN"/>
              </w:rPr>
            </w:pPr>
            <w:r>
              <w:rPr>
                <w:rFonts w:hint="eastAsia" w:ascii="宋体" w:hAnsi="宋体" w:cs="宋体"/>
                <w:b w:val="0"/>
                <w:bCs w:val="0"/>
                <w:color w:val="000000"/>
                <w:kern w:val="0"/>
                <w:sz w:val="24"/>
                <w:szCs w:val="24"/>
                <w:lang w:val="en-US" w:eastAsia="zh-CN"/>
              </w:rPr>
              <w:t>63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石景山区科委2</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石景山区科委2</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lang w:eastAsia="zh-CN"/>
              </w:rPr>
            </w:pPr>
            <w:r>
              <w:rPr>
                <w:rFonts w:hint="eastAsia" w:ascii="宋体" w:hAnsi="宋体" w:eastAsia="宋体" w:cs="宋体"/>
                <w:color w:val="000000"/>
                <w:kern w:val="0"/>
                <w:sz w:val="24"/>
                <w:szCs w:val="24"/>
              </w:rPr>
              <w:t>64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cs="宋体"/>
                <w:color w:val="000000"/>
                <w:kern w:val="0"/>
                <w:sz w:val="24"/>
                <w:szCs w:val="24"/>
                <w:lang w:eastAsia="zh-CN"/>
              </w:rPr>
              <w:t>第二办公区</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default" w:ascii="宋体" w:hAnsi="宋体" w:eastAsia="宋体" w:cs="宋体"/>
                <w:b w:val="0"/>
                <w:bCs w:val="0"/>
                <w:color w:val="000000"/>
                <w:kern w:val="0"/>
                <w:sz w:val="24"/>
                <w:szCs w:val="24"/>
                <w:lang w:val="en-US" w:eastAsia="zh-CN"/>
              </w:rPr>
            </w:pPr>
            <w:r>
              <w:rPr>
                <w:rFonts w:hint="eastAsia" w:ascii="宋体" w:hAnsi="宋体" w:cs="宋体"/>
                <w:color w:val="000000"/>
                <w:kern w:val="0"/>
                <w:sz w:val="24"/>
                <w:szCs w:val="24"/>
                <w:lang w:eastAsia="zh-CN"/>
              </w:rPr>
              <w:t>北辛安中路</w:t>
            </w:r>
            <w:r>
              <w:rPr>
                <w:rFonts w:hint="eastAsia" w:ascii="宋体" w:hAnsi="宋体" w:cs="宋体"/>
                <w:color w:val="000000"/>
                <w:kern w:val="0"/>
                <w:sz w:val="24"/>
                <w:szCs w:val="24"/>
                <w:lang w:val="en-US" w:eastAsia="zh-CN"/>
              </w:rPr>
              <w:t>39号</w:t>
            </w:r>
          </w:p>
        </w:tc>
      </w:tr>
    </w:tbl>
    <w:p>
      <w:pPr>
        <w:rPr>
          <w:sz w:val="24"/>
          <w:szCs w:val="24"/>
        </w:rPr>
      </w:pPr>
    </w:p>
    <w:p>
      <w:pPr>
        <w:pStyle w:val="7"/>
        <w:numPr>
          <w:ilvl w:val="0"/>
          <w:numId w:val="21"/>
        </w:numPr>
        <w:spacing w:line="276" w:lineRule="auto"/>
        <w:ind w:left="425" w:leftChars="0" w:hanging="425"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电子政务城域网三级节点光缆运维采购清单</w:t>
      </w:r>
    </w:p>
    <w:tbl>
      <w:tblPr>
        <w:tblStyle w:val="32"/>
        <w:tblW w:w="8519" w:type="dxa"/>
        <w:tblInd w:w="0" w:type="dxa"/>
        <w:tblLayout w:type="fixed"/>
        <w:tblCellMar>
          <w:top w:w="0" w:type="dxa"/>
          <w:left w:w="108" w:type="dxa"/>
          <w:bottom w:w="0" w:type="dxa"/>
          <w:right w:w="108" w:type="dxa"/>
        </w:tblCellMar>
      </w:tblPr>
      <w:tblGrid>
        <w:gridCol w:w="873"/>
        <w:gridCol w:w="1667"/>
        <w:gridCol w:w="2984"/>
        <w:gridCol w:w="2995"/>
      </w:tblGrid>
      <w:tr>
        <w:tblPrEx>
          <w:tblLayout w:type="fixed"/>
          <w:tblCellMar>
            <w:top w:w="0" w:type="dxa"/>
            <w:left w:w="108" w:type="dxa"/>
            <w:bottom w:w="0" w:type="dxa"/>
            <w:right w:w="108" w:type="dxa"/>
          </w:tblCellMar>
        </w:tblPrEx>
        <w:trPr>
          <w:trHeight w:val="474"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序号</w:t>
            </w:r>
          </w:p>
        </w:tc>
        <w:tc>
          <w:tcPr>
            <w:tcW w:w="166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名 称</w:t>
            </w:r>
          </w:p>
        </w:tc>
        <w:tc>
          <w:tcPr>
            <w:tcW w:w="298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数量（裸光电路条数）</w:t>
            </w:r>
          </w:p>
        </w:tc>
        <w:tc>
          <w:tcPr>
            <w:tcW w:w="299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备注</w:t>
            </w:r>
          </w:p>
        </w:tc>
      </w:tr>
      <w:tr>
        <w:tblPrEx>
          <w:tblLayout w:type="fixed"/>
          <w:tblCellMar>
            <w:top w:w="0" w:type="dxa"/>
            <w:left w:w="108" w:type="dxa"/>
            <w:bottom w:w="0" w:type="dxa"/>
            <w:right w:w="108" w:type="dxa"/>
          </w:tblCellMar>
        </w:tblPrEx>
        <w:trPr>
          <w:trHeight w:val="1283" w:hRule="atLeast"/>
        </w:trPr>
        <w:tc>
          <w:tcPr>
            <w:tcW w:w="873"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1</w:t>
            </w:r>
          </w:p>
        </w:tc>
        <w:tc>
          <w:tcPr>
            <w:tcW w:w="1667"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裸光电路运维</w:t>
            </w:r>
          </w:p>
        </w:tc>
        <w:tc>
          <w:tcPr>
            <w:tcW w:w="2984"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372条</w:t>
            </w:r>
          </w:p>
        </w:tc>
        <w:tc>
          <w:tcPr>
            <w:tcW w:w="299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sz w:val="24"/>
                <w:szCs w:val="24"/>
              </w:rPr>
            </w:pPr>
            <w:r>
              <w:rPr>
                <w:rFonts w:hint="eastAsia" w:ascii="宋体" w:hAnsi="宋体" w:cs="宋体"/>
                <w:sz w:val="24"/>
                <w:szCs w:val="24"/>
              </w:rPr>
              <w:t>372条三级节点双4芯上联电路运维（包含185台网管设备）</w:t>
            </w:r>
          </w:p>
        </w:tc>
      </w:tr>
    </w:tbl>
    <w:p>
      <w:pPr>
        <w:numPr>
          <w:ilvl w:val="0"/>
          <w:numId w:val="17"/>
        </w:num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电子政务城域网三级节点光缆运维明细</w:t>
      </w:r>
    </w:p>
    <w:tbl>
      <w:tblPr>
        <w:tblStyle w:val="32"/>
        <w:tblW w:w="89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3175"/>
        <w:gridCol w:w="4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单位全称</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单位现地址（Z）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北小区社区居委会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古城北路14栋前平房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环铁社区居委会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杨庄大街地铁车辆一公司门口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特钢社区居委会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特钢东门大楼一栋平房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西路南社区居委会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古城西路8栋对面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古前街社区居委会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古城现代嘉园66号院1号楼1单元102室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古后街社区居委会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古城现代嘉园68号院1号楼2单元102室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大街社区居委会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铁新社区居委会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南北岔社区居委会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南大荒社区居委会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北京市古城街道南大荒小区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八千平社区居委会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古城北路3栋平房处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古城路16栋西侧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南路东社区居委会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古城南路28栋前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南路西社区居委会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古城南路16栋北侧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十万平社区居委会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古城大街曦景长安3号楼底商105室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水泥厂社区居委会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京原路68号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滨和园燕堤南路社区居委会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燕堤南路1号院8号楼三层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滨和园燕堤西街社区居委会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燕堤西街7号院1号楼二层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滨和园燕堤中街社区居委会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燕堤中街6号院3号楼二层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西路北社区居委会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古城西路10栋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天翔社区居委会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古城北路21栋后院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老古城南</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新成立的居委会，老古城33号院1号楼1层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古城北路3号楼物资公司3楼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建兴社区</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建兴社区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北辛安社区</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北辛安社区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首钢园指挥部</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首钢园指挥部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东山社区居委会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广宁村复兴街75号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麻峪南街108号附近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高井路21号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新立街社区居委会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广宁村新立楼2号楼旁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麻峪东街与双峪路交叉口路南侧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广宁路20号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老山东里49栋北侧二层小楼北社区居委会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老山东里临甲5-2号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老山东里28号楼东侧平房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老山西里居委会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老山西里4栋南侧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京源路社区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老山路23号院西侧平房京源路社区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翠谷玉景苑</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翠谷玉景苑1-6-103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11号院居委会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玉泉路十一号院东平房居委会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玉西居委会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玉泉西街1号院5号楼东侧平房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高能所社区居委会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玉泉路19号乙高能所社区居委会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梁公庵村临35号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国科大居委会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玉泉路19号丙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玉泉北里二区21号楼二单元102底商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老山街道综合行政执法队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何家坟居委会2</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苹果园一区社区居委会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苹一区8栋楼北侧二层小楼居委会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苹果园二区社区居委会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苹果园二区6栋南侧平房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苹果园三区社区居委会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苹三区19栋西侧平房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苹果园四区社区居委会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苹果园中路15号院2号楼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西井二区甲一号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海特花园第一社区居委会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海特花园15栋后面平房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海特花园41号楼北侧平房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海特花园第三社区居委会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西井四区1号楼对面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三疗社区居委会（合并下庄居委会）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工疗与建疗之间平房院内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装备部大院社区居委会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绍家坡驻军一号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军区大院第一社区居委会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八大处甲一号院58楼一层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八大处路六号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边府社区居委会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雍王府1号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西黄村叠翠庭苑小区二区2号楼底商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西黄新村北里小区大门旁平房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西山枫林一居委会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香山南路168号院8-9-101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西山枫林二居委会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香山南路166号院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西黄新村东里居委会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西黄新村南里5号楼南侧居委会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西黄村西里居委会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雍景四季12号楼居委会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下庄社区居委会（合并三疗社区）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八大处甲26号院2号楼北侧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文研所</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北京市石景山区文研所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68</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石景山文化中心</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石景山文化中心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苹果园街道狼山社区居委会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西黄村叠翠庭园2区2号楼底商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东下庄居委会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西山芳苑小区3号楼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西井中街66号院海澜科技北楼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三山园居委会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永乐东区84楼东侧平房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四季园居委会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永乐东区57楼白楼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永乐东区32楼南平房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永乐东小区7号楼前平房院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瑞达居委会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瑞达社区院北11号楼北侧一楼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鲁谷住宅居委会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鲁谷村7号楼1曾东侧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玉泉路西居委会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玉泉路甲65号院平房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中铁建设有限公司居委会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八宝山南路29号院食堂二层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电科院居委会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电科院社区院31号楼东二层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电子情报所居委会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74号院北院26号楼北侧二层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青年楼居委会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二通厂东门外青年楼2号楼东侧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玉泉西里西居委会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羽泉西里二区7-3-106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八宝山街道沁山水北社区居委会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玉泉西里一区2号楼首层105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八宝山街道沁山水南社区居委会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玉泉西里一区26号楼首层302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玉泉犀利二区29号楼一层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羽泉犀利二区1号楼一层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玉泉西里二区30号楼3单元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永乐小区74号院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八角路11栋西平房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八角北路44栋前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杨庄南区社区居委会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杨庄小学旁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杨庄北区49号楼西侧平房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杨庄中区社区居委会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杨庄中区1栋西侧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地铁家园社区居委会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八角北路59号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公园北社区居委会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古城路甲61号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古城南路50栋院内平房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建钢南里社区居委会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八角南里1号楼南侧平房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古城南里5号楼南侧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八角北路特钢社区居委会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八角北路9栋北侧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八角北里45栋北侧平房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八角中里21栋北侧平房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八角南里17栋东侧平房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八角南路12号楼东侧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人保局分址</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八角西街16号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黄南苑社区居委会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黄南苑小区2号楼前平房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八角街道时代花园居委会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时代花园南路23号院15号楼一层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御景园第三社区居委会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御景园第三社区居委会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八角杨庄中区社区服务中心居委会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八角中里21栋东侧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八角南路社区服务中心居委会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八角南路12栋东侧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杨庄北区12号楼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八角景阳东街第二社区居委会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景阳东街65号院3号楼2单元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八角街道石景家园居委会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景阳东街69号院1号楼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八角体育场南社区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八角体育场西街社区居委会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八角体育场西街社区居委会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八角北里小黄楼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117</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衙府安园居委会</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衙府安园居委会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金三社区居委会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金顶街三社区居委会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金四区社区居委会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金顶街四区社区居委会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模式口村社区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金顶街模式口村社区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模南里社区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金顶街模南里社区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模中里社区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金顶街模中里社区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模东里社区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金顶街模东里社区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模西里中社区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金顶街模西里社区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金顶街教工楼居委会（金三社区）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金顶街教工楼金顶北街68号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金顶街北路槐满园居委会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槐满园南门东侧地下室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金顶街北路梧桐园居委会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金顶街北路18号院梧桐园13栋底商5号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赵山宿舍社区居委会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赵山宿舍2号楼北侧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模西北社区社区居委会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模西39号楼东侧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铸造一区14号楼南侧健身园内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模式口北里44栋南侧蓝房子居委会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西福村社区居委会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金顶山路168号院9栋旁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金顶街街道柳青园社区居委会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金顶北路20号院19号楼底商金一区居委会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金顶街五区社区居委会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金顶街五区甲9号楼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金顶街模式口西里南区社区居委会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模式口西里33栋北侧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法海寺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金顶街街道法海禅寺西北角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承恩寺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模式口大街20号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冰川馆</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金顶街街道中国第四纪冰川遗迹陈列馆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金顶街铸造村办公区社区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金顶街街道办事处铸造村办公楼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金顶街街道综合行政执法队</w:t>
            </w:r>
          </w:p>
        </w:tc>
        <w:tc>
          <w:tcPr>
            <w:tcW w:w="4645" w:type="dxa"/>
            <w:vAlign w:val="bottom"/>
          </w:tcPr>
          <w:p>
            <w:pPr>
              <w:jc w:val="center"/>
              <w:rPr>
                <w:rFonts w:hint="eastAsia" w:ascii="宋体" w:hAnsi="宋体" w:eastAsia="宋体" w:cs="宋体"/>
                <w:b w:val="0"/>
                <w:bCs w:val="0"/>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铸造村第二社区居委会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模式口南里28号楼北侧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鲁谷社区依翠园北居民委员会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鲁谷路市运八场3号楼南平房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鲁谷社区依翠园南居民委员会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依翠园13号楼底商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鲁谷社区双锦园居民委员会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永乐西区3楼东侧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鲁谷社区五芳园居民委员会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鲁谷南路5号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鲁谷社区六合园南居民委员会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六合园20号楼南平房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鲁谷社区六合园北居民委员会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1.六合园12号楼北侧平房； 2.诗景长安2号楼居委会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鲁谷社区七星园南居民委员会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七星园１０号楼13门101号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鲁谷社区七星园北居民委员会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七星园7号楼对面平房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鲁谷社区新华社居民委员会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京原路8号新华社第二工作区西配楼101号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鲁谷社区西厂东居民委员会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北京重型机电厂西厂宿舍5号楼西侧平房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鲁谷社区新岚大厦居民委员会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依翠园乙16号一层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鲁谷社区永乐西南居民委员会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永乐西区20号楼北侧平房院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鲁谷社区重聚园居民委员会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重聚园18号楼西侧综合办公楼4 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鲁谷社区衙门口东居民委员会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西富港写字楼南门206室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鲁谷社区衙门口西居民委员会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西富港写字楼南楼307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西富港南楼201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鲁谷社区永乐西北居民委员会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永乐西区20号楼北侧平房里院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京汉旭城社区居委会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京汉旭城18号楼1单元101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石景山碣石平居委会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1.碣石坪12号1层；2.碣石坪小区3号楼西侧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鲁谷重兴园居委会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重兴嘉园1号楼（燕都医院）6层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鲁谷社区聚兴园居委会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 重聚路40号院1-10-101 ；2.聚兴园7号楼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石景山医院居民委员会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碣石坪小区3号楼西侧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久铸居委会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双锦园16号楼底商1-9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永乐东区41号楼东侧独立院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鲁谷文化中心</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北京市石景山鲁谷文化中心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五里坨街道西山机械厂社区居委会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区隆恩寺路99号院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南宫社区居委会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石门路368号南宫社区居委会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联勤部社区居委会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高井甲32号院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五里坨街道西小街7号院4号楼一层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五里坨派出所对面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黑石头社区居委会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黑石头南街49号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隆恩寺村礼堂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隆恩寺新区居委会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五里坨街道秀府南路19号金谷香郡1号楼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天翠阳光第一社区居委会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石门南路一号院9号楼平房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五里坨西街9号院11号楼1层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天翠阳光第三社区居委会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五里坨西街12号院5号楼1层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隆恩颐园社区居委会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隆恩寺路3号院汇众仁和物业大楼二层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五里坨南宫嘉园小区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五里坨隆恩寺路18号院10号楼1单元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京西景园居委会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五里坨中街京西景园40号院2号楼北侧1层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石门路中石化北侧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万商老干部局</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北京市石景山万商酒店A座4层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炮厂社区居委会1</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红卫路社区居委会1</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红卫路社区居委会1</w:t>
            </w:r>
          </w:p>
        </w:tc>
      </w:tr>
    </w:tbl>
    <w:p>
      <w:pPr>
        <w:pStyle w:val="6"/>
        <w:rPr>
          <w:rFonts w:hint="default"/>
          <w:sz w:val="24"/>
          <w:szCs w:val="24"/>
          <w:lang w:val="en-US" w:eastAsia="zh-CN"/>
        </w:rPr>
      </w:pPr>
    </w:p>
    <w:p>
      <w:pPr>
        <w:pStyle w:val="7"/>
        <w:numPr>
          <w:ilvl w:val="0"/>
          <w:numId w:val="21"/>
        </w:numPr>
        <w:spacing w:line="276" w:lineRule="auto"/>
        <w:ind w:left="425" w:leftChars="0" w:hanging="425" w:firstLineChars="0"/>
        <w:rPr>
          <w:rFonts w:hint="eastAsia" w:ascii="宋体" w:hAnsi="宋体" w:eastAsia="宋体" w:cs="宋体"/>
          <w:sz w:val="24"/>
          <w:szCs w:val="24"/>
        </w:rPr>
      </w:pPr>
      <w:r>
        <w:rPr>
          <w:rFonts w:hint="eastAsia" w:ascii="宋体" w:hAnsi="宋体" w:cs="宋体"/>
          <w:sz w:val="24"/>
          <w:szCs w:val="24"/>
          <w:lang w:val="en-US" w:eastAsia="zh-CN"/>
        </w:rPr>
        <w:t>运维制度</w:t>
      </w:r>
      <w:r>
        <w:rPr>
          <w:rFonts w:hint="eastAsia" w:ascii="宋体" w:hAnsi="宋体" w:eastAsia="宋体" w:cs="宋体"/>
          <w:sz w:val="24"/>
          <w:szCs w:val="24"/>
        </w:rPr>
        <w:t>要求</w:t>
      </w:r>
    </w:p>
    <w:p>
      <w:pPr>
        <w:spacing w:line="360" w:lineRule="auto"/>
        <w:ind w:firstLine="560"/>
        <w:rPr>
          <w:rFonts w:hint="eastAsia" w:ascii="宋体" w:hAnsi="宋体" w:cs="宋体"/>
          <w:sz w:val="24"/>
          <w:szCs w:val="24"/>
        </w:rPr>
      </w:pPr>
      <w:r>
        <w:rPr>
          <w:rFonts w:hint="eastAsia" w:ascii="宋体" w:hAnsi="宋体" w:cs="宋体"/>
          <w:sz w:val="24"/>
          <w:szCs w:val="24"/>
        </w:rPr>
        <w:t>针对此次石景山区政府城域网项目，投标人将根据石景山区城域网建设时划分的区域，根据每个区域的光缆数量合理分配维护人员，维护人员主要维护本区域内光缆，同时可以互相支撑，应对突发紧急情况。（包含于以下几点但不于以下几点）</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严格按照上级维护主管部门批准的安全操作规程、施工验收规范及本规程的规定进行。</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维护工作应作好原始记录，遇到重大问题应及时处理并上报。</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对重要用户、专线及重要通信保障期间和汛期要加强维护，保证通信。</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日常维护和技术维护均应根据质量标准，按规定的周期进行，确保光缆线路设备处于完好状态。</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在光缆线路上进行复杂或危险性较大的维护操作时，应事先制定周密的工作计划和预防措施，并经上级维护主管部门批准后方可实施。</w:t>
      </w:r>
    </w:p>
    <w:p>
      <w:pPr>
        <w:numPr>
          <w:ilvl w:val="0"/>
          <w:numId w:val="22"/>
        </w:numPr>
        <w:spacing w:line="360" w:lineRule="auto"/>
        <w:rPr>
          <w:sz w:val="24"/>
          <w:szCs w:val="24"/>
        </w:rPr>
      </w:pPr>
      <w:r>
        <w:rPr>
          <w:rFonts w:hint="eastAsia" w:ascii="宋体" w:hAnsi="宋体" w:cs="宋体"/>
          <w:sz w:val="24"/>
          <w:szCs w:val="24"/>
        </w:rPr>
        <w:t>巡检人员提供5*8小时服务，抢修人员提供7*24小时运维值守服务。</w:t>
      </w:r>
    </w:p>
    <w:p>
      <w:pPr>
        <w:pStyle w:val="5"/>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项目建设要求</w:t>
      </w:r>
    </w:p>
    <w:p>
      <w:pPr>
        <w:pStyle w:val="80"/>
        <w:ind w:firstLine="240" w:firstLineChars="100"/>
        <w:rPr>
          <w:rFonts w:ascii="宋体" w:hAnsi="宋体" w:cs="宋体"/>
          <w:sz w:val="24"/>
          <w:szCs w:val="24"/>
        </w:rPr>
      </w:pPr>
      <w:r>
        <w:rPr>
          <w:rFonts w:hint="eastAsia" w:ascii="宋体" w:hAnsi="宋体" w:cs="宋体"/>
          <w:sz w:val="24"/>
          <w:szCs w:val="24"/>
        </w:rPr>
        <w:t>（1）项目交付地点</w:t>
      </w:r>
    </w:p>
    <w:p>
      <w:pPr>
        <w:pStyle w:val="80"/>
        <w:ind w:firstLine="480"/>
        <w:rPr>
          <w:rFonts w:ascii="宋体" w:hAnsi="宋体" w:cs="宋体"/>
          <w:sz w:val="24"/>
          <w:szCs w:val="24"/>
        </w:rPr>
      </w:pPr>
      <w:r>
        <w:rPr>
          <w:rFonts w:hint="eastAsia" w:ascii="宋体" w:hAnsi="宋体" w:cs="宋体"/>
          <w:sz w:val="24"/>
          <w:szCs w:val="24"/>
        </w:rPr>
        <w:t xml:space="preserve"> 北京市石景山区内。</w:t>
      </w:r>
    </w:p>
    <w:p>
      <w:pPr>
        <w:pStyle w:val="80"/>
        <w:ind w:firstLine="240" w:firstLineChars="100"/>
        <w:rPr>
          <w:rFonts w:ascii="宋体" w:hAnsi="宋体" w:cs="宋体"/>
          <w:sz w:val="24"/>
          <w:szCs w:val="24"/>
        </w:rPr>
      </w:pPr>
      <w:r>
        <w:rPr>
          <w:rFonts w:hint="eastAsia" w:ascii="宋体" w:hAnsi="宋体" w:cs="宋体"/>
          <w:sz w:val="24"/>
          <w:szCs w:val="24"/>
        </w:rPr>
        <w:t>（2）项目交付时间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szCs w:val="24"/>
        </w:rPr>
      </w:pPr>
      <w:r>
        <w:rPr>
          <w:rFonts w:hint="eastAsia" w:ascii="宋体" w:hAnsi="宋体" w:cs="宋体"/>
          <w:bCs/>
          <w:sz w:val="24"/>
          <w:szCs w:val="24"/>
          <w:lang w:val="en-US" w:eastAsia="zh-CN"/>
        </w:rPr>
        <w:t>电子政务城域网光缆运维：</w:t>
      </w:r>
      <w:r>
        <w:rPr>
          <w:rFonts w:hint="eastAsia" w:ascii="宋体" w:hAnsi="宋体" w:cs="宋体"/>
          <w:bCs/>
          <w:sz w:val="24"/>
          <w:szCs w:val="24"/>
          <w:highlight w:val="none"/>
        </w:rPr>
        <w:t>202</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年</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月</w:t>
      </w:r>
      <w:r>
        <w:rPr>
          <w:rFonts w:hint="eastAsia" w:ascii="宋体" w:hAnsi="宋体" w:cs="宋体"/>
          <w:bCs/>
          <w:sz w:val="24"/>
          <w:szCs w:val="24"/>
        </w:rPr>
        <w:t>1日进入本项目的光缆运维服务期。运维服务期12个月。</w:t>
      </w:r>
    </w:p>
    <w:p>
      <w:pPr>
        <w:pStyle w:val="5"/>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服务要求</w:t>
      </w:r>
    </w:p>
    <w:p>
      <w:pPr>
        <w:numPr>
          <w:ilvl w:val="0"/>
          <w:numId w:val="23"/>
        </w:numPr>
        <w:spacing w:line="360" w:lineRule="auto"/>
        <w:ind w:left="425" w:leftChars="0" w:hanging="425" w:firstLineChars="0"/>
        <w:rPr>
          <w:rFonts w:hint="eastAsia" w:ascii="宋体" w:hAnsi="宋体" w:cs="宋体"/>
          <w:sz w:val="24"/>
          <w:szCs w:val="24"/>
        </w:rPr>
      </w:pPr>
      <w:r>
        <w:rPr>
          <w:rFonts w:hint="eastAsia" w:ascii="宋体" w:hAnsi="宋体" w:cs="宋体"/>
          <w:sz w:val="24"/>
          <w:szCs w:val="24"/>
        </w:rPr>
        <w:t>按照光缆AB双方向出具光缆链路运维长度明细。</w:t>
      </w:r>
    </w:p>
    <w:p>
      <w:pPr>
        <w:numPr>
          <w:ilvl w:val="0"/>
          <w:numId w:val="23"/>
        </w:numPr>
        <w:spacing w:line="360" w:lineRule="auto"/>
        <w:ind w:left="425" w:leftChars="0" w:hanging="425" w:firstLineChars="0"/>
        <w:rPr>
          <w:rFonts w:hint="eastAsia" w:ascii="宋体" w:hAnsi="宋体" w:cs="宋体"/>
          <w:sz w:val="24"/>
          <w:szCs w:val="24"/>
        </w:rPr>
      </w:pPr>
      <w:r>
        <w:rPr>
          <w:rFonts w:hint="eastAsia" w:ascii="宋体" w:hAnsi="宋体" w:cs="宋体"/>
          <w:sz w:val="24"/>
          <w:szCs w:val="24"/>
        </w:rPr>
        <w:t>由于本项目的技术资料涉及石景山全区通信保障工作，重要程度较高，因此要求投标方中标后的运维团队主要技术人员及主要运维人员未经招标方许可，不可随意更换运维人员。</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包含每年两会期间的重要通信保障）</w:t>
      </w:r>
    </w:p>
    <w:p>
      <w:pPr>
        <w:spacing w:line="360" w:lineRule="auto"/>
        <w:ind w:firstLine="240" w:firstLineChars="100"/>
        <w:rPr>
          <w:rFonts w:ascii="宋体" w:hAnsi="宋体" w:cs="宋体"/>
          <w:sz w:val="24"/>
          <w:szCs w:val="24"/>
        </w:rPr>
      </w:pPr>
      <w:r>
        <w:rPr>
          <w:rFonts w:hint="eastAsia" w:ascii="宋体" w:hAnsi="宋体" w:cs="宋体"/>
          <w:sz w:val="24"/>
          <w:szCs w:val="24"/>
        </w:rPr>
        <w:t>为保证运维时效，要求派遣1-2名人员做驻场服务</w:t>
      </w:r>
      <w:r>
        <w:rPr>
          <w:rFonts w:hint="eastAsia" w:ascii="宋体" w:hAnsi="宋体" w:cs="宋体"/>
          <w:sz w:val="24"/>
          <w:szCs w:val="24"/>
          <w:lang w:val="en-US" w:eastAsia="zh-CN"/>
        </w:rPr>
        <w:t>并填写考勤表（考勤表自拟）</w:t>
      </w:r>
      <w:r>
        <w:rPr>
          <w:rFonts w:hint="eastAsia" w:ascii="宋体" w:hAnsi="宋体" w:cs="宋体"/>
          <w:sz w:val="24"/>
          <w:szCs w:val="24"/>
          <w:shd w:val="clear" w:color="auto" w:fill="FFFFFF"/>
        </w:rPr>
        <w:t>。</w:t>
      </w:r>
      <w:r>
        <w:rPr>
          <w:rFonts w:hint="eastAsia" w:ascii="宋体" w:hAnsi="宋体" w:cs="宋体"/>
          <w:sz w:val="24"/>
          <w:szCs w:val="24"/>
        </w:rPr>
        <w:t xml:space="preserve">      </w:t>
      </w:r>
    </w:p>
    <w:p>
      <w:pPr>
        <w:pStyle w:val="5"/>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付款结算方式</w:t>
      </w:r>
    </w:p>
    <w:p>
      <w:pPr>
        <w:spacing w:line="360" w:lineRule="auto"/>
        <w:ind w:firstLine="480" w:firstLineChars="200"/>
        <w:rPr>
          <w:rFonts w:ascii="宋体" w:hAnsi="宋体" w:cs="宋体"/>
          <w:sz w:val="24"/>
          <w:szCs w:val="24"/>
        </w:rPr>
      </w:pPr>
      <w:r>
        <w:rPr>
          <w:rFonts w:hint="eastAsia" w:ascii="宋体" w:hAnsi="宋体" w:cs="宋体"/>
          <w:sz w:val="24"/>
          <w:szCs w:val="24"/>
        </w:rPr>
        <w:t>付款结算方式：合同签订后十个工作日内支付合同总额的</w:t>
      </w:r>
      <w:r>
        <w:rPr>
          <w:rFonts w:hint="eastAsia" w:ascii="宋体" w:hAnsi="宋体" w:cs="宋体"/>
          <w:sz w:val="24"/>
          <w:szCs w:val="24"/>
          <w:lang w:val="en-US" w:eastAsia="zh-CN"/>
        </w:rPr>
        <w:t>5</w:t>
      </w:r>
      <w:r>
        <w:rPr>
          <w:rFonts w:hint="eastAsia" w:ascii="宋体" w:hAnsi="宋体" w:cs="宋体"/>
          <w:sz w:val="24"/>
          <w:szCs w:val="24"/>
        </w:rPr>
        <w:t>0%首付款，服务期满</w:t>
      </w:r>
      <w:r>
        <w:rPr>
          <w:rFonts w:hint="eastAsia" w:ascii="宋体" w:hAnsi="宋体" w:cs="宋体"/>
          <w:sz w:val="24"/>
          <w:szCs w:val="24"/>
          <w:lang w:val="en-US" w:eastAsia="zh-CN"/>
        </w:rPr>
        <w:t>6</w:t>
      </w:r>
      <w:r>
        <w:rPr>
          <w:rFonts w:hint="eastAsia" w:ascii="宋体" w:hAnsi="宋体" w:cs="宋体"/>
          <w:sz w:val="24"/>
          <w:szCs w:val="24"/>
        </w:rPr>
        <w:t>个月支付合同总额的</w:t>
      </w:r>
      <w:r>
        <w:rPr>
          <w:rFonts w:hint="eastAsia" w:ascii="宋体" w:hAnsi="宋体" w:cs="宋体"/>
          <w:sz w:val="24"/>
          <w:szCs w:val="24"/>
          <w:lang w:val="en-US" w:eastAsia="zh-CN"/>
        </w:rPr>
        <w:t>25</w:t>
      </w:r>
      <w:r>
        <w:rPr>
          <w:rFonts w:hint="eastAsia" w:ascii="宋体" w:hAnsi="宋体" w:cs="宋体"/>
          <w:sz w:val="24"/>
          <w:szCs w:val="24"/>
        </w:rPr>
        <w:t>%项目进度款，服务期满</w:t>
      </w:r>
      <w:r>
        <w:rPr>
          <w:rFonts w:hint="eastAsia" w:ascii="宋体" w:hAnsi="宋体" w:cs="宋体"/>
          <w:sz w:val="24"/>
          <w:szCs w:val="24"/>
          <w:lang w:val="en-US" w:eastAsia="zh-CN"/>
        </w:rPr>
        <w:t>12</w:t>
      </w:r>
      <w:r>
        <w:rPr>
          <w:rFonts w:hint="eastAsia" w:ascii="宋体" w:hAnsi="宋体" w:cs="宋体"/>
          <w:sz w:val="24"/>
          <w:szCs w:val="24"/>
        </w:rPr>
        <w:t>个月支付合同总额的</w:t>
      </w:r>
      <w:r>
        <w:rPr>
          <w:rFonts w:hint="eastAsia" w:ascii="宋体" w:hAnsi="宋体" w:cs="宋体"/>
          <w:sz w:val="24"/>
          <w:szCs w:val="24"/>
          <w:lang w:val="en-US" w:eastAsia="zh-CN"/>
        </w:rPr>
        <w:t>25</w:t>
      </w:r>
      <w:r>
        <w:rPr>
          <w:rFonts w:hint="eastAsia" w:ascii="宋体" w:hAnsi="宋体" w:cs="宋体"/>
          <w:sz w:val="24"/>
          <w:szCs w:val="24"/>
        </w:rPr>
        <w:t>%尾款。</w:t>
      </w:r>
    </w:p>
    <w:p>
      <w:pPr>
        <w:pStyle w:val="5"/>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验收要求</w:t>
      </w:r>
    </w:p>
    <w:p>
      <w:pPr>
        <w:spacing w:line="360" w:lineRule="auto"/>
        <w:ind w:firstLine="560"/>
        <w:rPr>
          <w:rFonts w:hint="eastAsia" w:ascii="宋体" w:hAnsi="宋体" w:cs="宋体"/>
          <w:sz w:val="24"/>
          <w:szCs w:val="24"/>
        </w:rPr>
      </w:pPr>
      <w:r>
        <w:rPr>
          <w:rFonts w:hint="eastAsia" w:ascii="宋体" w:hAnsi="宋体" w:cs="宋体"/>
          <w:sz w:val="24"/>
          <w:szCs w:val="24"/>
        </w:rPr>
        <w:t>服务期满12个月后出具本运维年度的光缆的年度运维报告并包含以下报表：</w:t>
      </w:r>
    </w:p>
    <w:p>
      <w:pPr>
        <w:numPr>
          <w:ilvl w:val="0"/>
          <w:numId w:val="24"/>
        </w:numPr>
        <w:spacing w:after="156" w:afterLines="50" w:line="360" w:lineRule="auto"/>
        <w:jc w:val="left"/>
        <w:rPr>
          <w:rFonts w:hint="eastAsia" w:ascii="宋体" w:hAnsi="宋体" w:cs="宋体"/>
          <w:bCs/>
          <w:color w:val="000000"/>
          <w:sz w:val="24"/>
          <w:szCs w:val="24"/>
        </w:rPr>
      </w:pPr>
      <w:r>
        <w:rPr>
          <w:rFonts w:hint="eastAsia" w:ascii="宋体" w:hAnsi="宋体" w:cs="宋体"/>
          <w:bCs/>
          <w:color w:val="000000"/>
          <w:sz w:val="24"/>
          <w:szCs w:val="24"/>
        </w:rPr>
        <w:t>用户业务中断事件情况报表。</w:t>
      </w:r>
    </w:p>
    <w:p>
      <w:pPr>
        <w:numPr>
          <w:ilvl w:val="0"/>
          <w:numId w:val="24"/>
        </w:numPr>
        <w:spacing w:after="156" w:afterLines="50" w:line="360" w:lineRule="auto"/>
        <w:jc w:val="left"/>
        <w:rPr>
          <w:rFonts w:ascii="宋体" w:hAnsi="宋体" w:cs="宋体"/>
          <w:sz w:val="24"/>
          <w:szCs w:val="24"/>
        </w:rPr>
      </w:pPr>
      <w:r>
        <w:rPr>
          <w:rFonts w:hint="eastAsia" w:ascii="宋体" w:hAnsi="宋体" w:cs="宋体"/>
          <w:bCs/>
          <w:color w:val="000000"/>
          <w:sz w:val="24"/>
          <w:szCs w:val="24"/>
        </w:rPr>
        <w:t>链路新开及缆线修建事件情况报表。</w:t>
      </w:r>
    </w:p>
    <w:p>
      <w:pPr>
        <w:pStyle w:val="11"/>
        <w:ind w:firstLine="220"/>
        <w:rPr>
          <w:rFonts w:hint="eastAsia" w:ascii="宋体" w:hAnsi="宋体" w:cs="宋体"/>
          <w:sz w:val="24"/>
          <w:szCs w:val="24"/>
        </w:rPr>
      </w:pPr>
      <w:r>
        <w:rPr>
          <w:rFonts w:hint="eastAsia" w:ascii="宋体" w:hAnsi="宋体" w:cs="宋体"/>
          <w:bCs/>
          <w:color w:val="000000"/>
          <w:sz w:val="24"/>
          <w:szCs w:val="24"/>
        </w:rPr>
        <w:t>每月光缆线路巡查事件情况报表</w:t>
      </w:r>
      <w:r>
        <w:rPr>
          <w:rFonts w:hint="eastAsia" w:ascii="宋体" w:hAnsi="宋体" w:cs="宋体"/>
          <w:sz w:val="24"/>
          <w:szCs w:val="24"/>
        </w:rPr>
        <w:t>。</w:t>
      </w:r>
    </w:p>
    <w:p>
      <w:pPr>
        <w:pStyle w:val="6"/>
        <w:ind w:left="0" w:leftChars="0" w:firstLine="0" w:firstLineChars="0"/>
        <w:rPr>
          <w:rFonts w:hint="eastAsia" w:ascii="宋体" w:hAnsi="宋体" w:cs="宋体"/>
          <w:b/>
          <w:bCs/>
          <w:color w:val="000000"/>
        </w:rPr>
      </w:pPr>
      <w:r>
        <w:rPr>
          <w:rFonts w:hint="eastAsia" w:ascii="宋体" w:hAnsi="宋体" w:cs="宋体"/>
          <w:b/>
          <w:bCs/>
          <w:color w:val="000000"/>
          <w:lang w:eastAsia="zh-CN"/>
        </w:rPr>
        <w:t>九</w:t>
      </w:r>
      <w:r>
        <w:rPr>
          <w:rFonts w:hint="eastAsia" w:ascii="宋体" w:hAnsi="宋体" w:cs="宋体"/>
          <w:b/>
          <w:bCs/>
          <w:color w:val="000000"/>
        </w:rPr>
        <w:t>、</w:t>
      </w:r>
      <w:r>
        <w:rPr>
          <w:rFonts w:hint="eastAsia" w:ascii="宋体" w:hAnsi="宋体" w:cs="宋体"/>
          <w:b w:val="0"/>
          <w:bCs w:val="0"/>
          <w:color w:val="000000"/>
        </w:rPr>
        <w:t>政策要求</w:t>
      </w:r>
    </w:p>
    <w:p>
      <w:pPr>
        <w:pStyle w:val="6"/>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6"/>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6"/>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6"/>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6"/>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6"/>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6"/>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6"/>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6"/>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2.本项目执行《北京市财政局中国人民银行营业管理部关于推进政府采购合同线上融资有关工作的通知》（京财采购[2023]637号）“政采贷”相关政策。</w:t>
      </w: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p>
      <w:pPr>
        <w:pStyle w:val="6"/>
        <w:numPr>
          <w:ilvl w:val="0"/>
          <w:numId w:val="0"/>
        </w:numPr>
        <w:ind w:leftChars="200"/>
        <w:rPr>
          <w:rFonts w:hint="eastAsia" w:ascii="宋体" w:hAnsi="宋体" w:cs="宋体"/>
          <w:color w:val="000000"/>
          <w:lang w:val="en-US" w:eastAsia="zh-CN"/>
        </w:rPr>
      </w:pPr>
    </w:p>
    <w:bookmarkEnd w:id="57"/>
    <w:bookmarkEnd w:id="58"/>
    <w:bookmarkEnd w:id="59"/>
    <w:p>
      <w:pPr>
        <w:pStyle w:val="49"/>
        <w:snapToGrid w:val="0"/>
        <w:spacing w:before="0" w:after="0"/>
        <w:ind w:left="0"/>
        <w:rPr>
          <w:rFonts w:ascii="宋体" w:hAnsi="宋体"/>
          <w:color w:val="auto"/>
        </w:rPr>
      </w:pPr>
      <w:bookmarkStart w:id="68"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8"/>
    </w:p>
    <w:p>
      <w:pPr>
        <w:pStyle w:val="6"/>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6"/>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6"/>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6"/>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本项目第二包为专门面向小微企业采购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6"/>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25"/>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p>
      <w:pPr>
        <w:pStyle w:val="12"/>
        <w:rPr>
          <w:rFonts w:hint="eastAsia" w:ascii="宋体" w:hAnsi="宋体" w:cs="宋体"/>
          <w:sz w:val="24"/>
          <w:szCs w:val="24"/>
        </w:rPr>
      </w:pPr>
      <w:r>
        <w:rPr>
          <w:rFonts w:hint="eastAsia" w:ascii="宋体" w:hAnsi="宋体" w:eastAsia="宋体" w:cs="宋体"/>
          <w:kern w:val="2"/>
          <w:sz w:val="24"/>
          <w:szCs w:val="24"/>
          <w:lang w:val="en-US" w:eastAsia="zh-CN" w:bidi="ar-SA"/>
        </w:rPr>
        <w:t>第一包：</w:t>
      </w:r>
    </w:p>
    <w:tbl>
      <w:tblPr>
        <w:tblStyle w:val="32"/>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3"/>
        <w:gridCol w:w="1268"/>
        <w:gridCol w:w="5200"/>
        <w:gridCol w:w="9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123"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标准分类</w:t>
            </w:r>
          </w:p>
        </w:tc>
        <w:tc>
          <w:tcPr>
            <w:tcW w:w="6468" w:type="dxa"/>
            <w:gridSpan w:val="2"/>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标准细则</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88" w:hRule="atLeast"/>
          <w:jc w:val="center"/>
        </w:trPr>
        <w:tc>
          <w:tcPr>
            <w:tcW w:w="1123"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价格（</w:t>
            </w:r>
            <w:r>
              <w:rPr>
                <w:sz w:val="24"/>
                <w:szCs w:val="24"/>
              </w:rPr>
              <w:t>1</w:t>
            </w:r>
            <w:r>
              <w:rPr>
                <w:rFonts w:hint="eastAsia"/>
                <w:sz w:val="24"/>
                <w:szCs w:val="24"/>
              </w:rPr>
              <w:t>0分）</w:t>
            </w:r>
          </w:p>
        </w:tc>
        <w:tc>
          <w:tcPr>
            <w:tcW w:w="126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投标报价</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1</w:t>
            </w:r>
            <w:r>
              <w:rPr>
                <w:rFonts w:hint="eastAsia"/>
                <w:sz w:val="24"/>
                <w:szCs w:val="24"/>
              </w:rPr>
              <w:t>0分）</w:t>
            </w:r>
          </w:p>
        </w:tc>
        <w:tc>
          <w:tcPr>
            <w:tcW w:w="5200"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价格分统一采用低价优先法计算，即满足招标文件要求且投标价格最低的有效投标报价为评标基准价。投标报价得分=</w:t>
            </w:r>
            <w:r>
              <w:rPr>
                <w:sz w:val="24"/>
                <w:szCs w:val="24"/>
              </w:rPr>
              <w:t>1</w:t>
            </w:r>
            <w:r>
              <w:rPr>
                <w:rFonts w:hint="eastAsia"/>
                <w:sz w:val="24"/>
                <w:szCs w:val="24"/>
              </w:rPr>
              <w:t>0*（评标基准价/投标报价）。</w:t>
            </w:r>
            <w:r>
              <w:rPr>
                <w:rFonts w:hint="eastAsia" w:ascii="宋体" w:hAnsi="宋体" w:eastAsia="宋体" w:cs="宋体"/>
                <w:color w:val="auto"/>
                <w:sz w:val="24"/>
                <w:szCs w:val="24"/>
                <w:highlight w:val="none"/>
                <w:lang w:eastAsia="zh-CN"/>
              </w:rPr>
              <w:t>本次招标对小型和微型企业、监狱企业及残疾人福利性单位的投标报价给予10%的扣除，用扣除后的价格参与评审。</w:t>
            </w:r>
          </w:p>
        </w:tc>
        <w:tc>
          <w:tcPr>
            <w:tcW w:w="931"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sz w:val="24"/>
                <w:szCs w:val="24"/>
              </w:rPr>
              <w:t>1</w:t>
            </w:r>
            <w:r>
              <w:rPr>
                <w:rFonts w:hint="eastAsia"/>
                <w:sz w:val="24"/>
                <w:szCs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1123"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服务方案</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67</w:t>
            </w:r>
            <w:r>
              <w:rPr>
                <w:rFonts w:hint="eastAsia"/>
                <w:sz w:val="24"/>
                <w:szCs w:val="24"/>
              </w:rPr>
              <w:t>分）</w:t>
            </w:r>
          </w:p>
        </w:tc>
        <w:tc>
          <w:tcPr>
            <w:tcW w:w="1268"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eastAsia="宋体" w:cs="宋体"/>
                <w:sz w:val="24"/>
                <w:szCs w:val="24"/>
              </w:rPr>
            </w:pPr>
            <w:r>
              <w:rPr>
                <w:rFonts w:hint="eastAsia" w:ascii="宋体" w:hAnsi="宋体" w:eastAsia="宋体" w:cs="宋体"/>
                <w:sz w:val="24"/>
                <w:szCs w:val="24"/>
              </w:rPr>
              <w:t>运维服务方案</w:t>
            </w:r>
          </w:p>
          <w:p>
            <w:pPr>
              <w:pStyle w:val="12"/>
              <w:keepNext w:val="0"/>
              <w:keepLines w:val="0"/>
              <w:pageBreakBefore w:val="0"/>
              <w:widowControl w:val="0"/>
              <w:kinsoku/>
              <w:wordWrap/>
              <w:overflowPunct/>
              <w:topLinePunct w:val="0"/>
              <w:autoSpaceDE/>
              <w:autoSpaceDN/>
              <w:bidi w:val="0"/>
              <w:adjustRightInd w:val="0"/>
              <w:snapToGrid/>
              <w:spacing w:after="0" w:line="240" w:lineRule="auto"/>
              <w:ind w:left="0" w:leftChars="0" w:right="0" w:rightChars="0" w:firstLine="0" w:firstLineChars="0"/>
              <w:textAlignment w:val="baseline"/>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26</w:t>
            </w:r>
            <w:r>
              <w:rPr>
                <w:rFonts w:hint="eastAsia" w:ascii="宋体" w:hAnsi="宋体" w:eastAsia="宋体" w:cs="宋体"/>
                <w:sz w:val="24"/>
                <w:szCs w:val="24"/>
              </w:rPr>
              <w:t>分）</w:t>
            </w:r>
          </w:p>
        </w:tc>
        <w:tc>
          <w:tcPr>
            <w:tcW w:w="5200"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lang w:eastAsia="zh-CN"/>
              </w:rPr>
            </w:pPr>
            <w:r>
              <w:rPr>
                <w:rFonts w:hint="eastAsia"/>
                <w:sz w:val="24"/>
                <w:szCs w:val="24"/>
              </w:rPr>
              <w:t>运维服务有完善的方案，其中包括日常维护规程、节点故障处理流程、维护应急预案、应急通信保障内容充分满足招标文件要求，且对运维难点有深入的分析，且提供城域网应急预案和完整年度运维报告及相关运维记录方案,得</w:t>
            </w:r>
            <w:r>
              <w:rPr>
                <w:rFonts w:hint="eastAsia"/>
                <w:sz w:val="24"/>
                <w:szCs w:val="24"/>
                <w:lang w:val="en-US" w:eastAsia="zh-CN"/>
              </w:rPr>
              <w:t>26</w:t>
            </w:r>
            <w:r>
              <w:rPr>
                <w:rFonts w:hint="eastAsia"/>
                <w:sz w:val="24"/>
                <w:szCs w:val="24"/>
              </w:rPr>
              <w:t>分</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lang w:eastAsia="zh-CN"/>
              </w:rPr>
            </w:pPr>
            <w:r>
              <w:rPr>
                <w:rFonts w:hint="eastAsia"/>
                <w:sz w:val="24"/>
                <w:szCs w:val="24"/>
              </w:rPr>
              <w:t>本项目的运维服务方案较为完整（包含其中包括日常维护规程、故障处理流程等内容并,提供城域网应急预案和完整的年度运维报告及相关运维记录表,得2</w:t>
            </w:r>
            <w:r>
              <w:rPr>
                <w:rFonts w:hint="eastAsia"/>
                <w:sz w:val="24"/>
                <w:szCs w:val="24"/>
                <w:lang w:val="en-US" w:eastAsia="zh-CN"/>
              </w:rPr>
              <w:t>0</w:t>
            </w:r>
            <w:r>
              <w:rPr>
                <w:rFonts w:hint="eastAsia"/>
                <w:sz w:val="24"/>
                <w:szCs w:val="24"/>
              </w:rPr>
              <w:t>分</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lang w:eastAsia="zh-CN"/>
              </w:rPr>
            </w:pPr>
            <w:r>
              <w:rPr>
                <w:rFonts w:hint="eastAsia"/>
                <w:sz w:val="24"/>
                <w:szCs w:val="24"/>
              </w:rPr>
              <w:t>提供有较为完整的运维服务解决方案，运维服务方案可行，提供较为完整的年度报告和运维相关记录表,得</w:t>
            </w:r>
            <w:r>
              <w:rPr>
                <w:sz w:val="24"/>
                <w:szCs w:val="24"/>
              </w:rPr>
              <w:t>15</w:t>
            </w:r>
            <w:r>
              <w:rPr>
                <w:rFonts w:hint="eastAsia"/>
                <w:sz w:val="24"/>
                <w:szCs w:val="24"/>
              </w:rPr>
              <w:t>分</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运维服务方案较为完整，运维服务方案可行年度报告,得</w:t>
            </w:r>
            <w:r>
              <w:rPr>
                <w:sz w:val="24"/>
                <w:szCs w:val="24"/>
              </w:rPr>
              <w:t>10</w:t>
            </w:r>
            <w:r>
              <w:rPr>
                <w:rFonts w:hint="eastAsia"/>
                <w:sz w:val="24"/>
                <w:szCs w:val="24"/>
              </w:rPr>
              <w:t>分</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运维服务方案不完整，运维服务方案不可行，年度报告和年度运维记录不完整,不得分。</w:t>
            </w:r>
          </w:p>
        </w:tc>
        <w:tc>
          <w:tcPr>
            <w:tcW w:w="931" w:type="dxa"/>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default" w:eastAsia="宋体"/>
                <w:sz w:val="24"/>
                <w:szCs w:val="24"/>
                <w:lang w:val="en-US" w:eastAsia="zh-CN"/>
              </w:rPr>
            </w:pPr>
            <w:r>
              <w:rPr>
                <w:rFonts w:hint="eastAsia"/>
                <w:sz w:val="24"/>
                <w:szCs w:val="24"/>
                <w:lang w:val="en-US" w:eastAsia="zh-CN"/>
              </w:rPr>
              <w:t>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4"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eastAsia="宋体" w:cs="宋体"/>
                <w:sz w:val="24"/>
                <w:szCs w:val="24"/>
              </w:rPr>
            </w:pPr>
            <w:r>
              <w:rPr>
                <w:rFonts w:hint="eastAsia" w:ascii="宋体" w:hAnsi="宋体" w:eastAsia="宋体" w:cs="宋体"/>
                <w:sz w:val="24"/>
                <w:szCs w:val="24"/>
              </w:rPr>
              <w:t>二级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三级</w:t>
            </w:r>
            <w:r>
              <w:rPr>
                <w:rFonts w:hint="eastAsia" w:ascii="宋体" w:hAnsi="宋体" w:eastAsia="宋体" w:cs="宋体"/>
                <w:sz w:val="24"/>
                <w:szCs w:val="24"/>
              </w:rPr>
              <w:t>节点</w:t>
            </w:r>
            <w:r>
              <w:rPr>
                <w:rFonts w:hint="eastAsia" w:ascii="宋体" w:hAnsi="宋体" w:eastAsia="宋体" w:cs="宋体"/>
                <w:sz w:val="24"/>
                <w:szCs w:val="24"/>
                <w:lang w:val="en-US" w:eastAsia="zh-CN"/>
              </w:rPr>
              <w:t>完整</w:t>
            </w:r>
            <w:r>
              <w:rPr>
                <w:rFonts w:hint="eastAsia" w:ascii="宋体" w:hAnsi="宋体" w:eastAsia="宋体" w:cs="宋体"/>
                <w:sz w:val="24"/>
                <w:szCs w:val="24"/>
              </w:rPr>
              <w:t>网络拓扑图</w:t>
            </w:r>
          </w:p>
          <w:p>
            <w:pPr>
              <w:pStyle w:val="12"/>
              <w:keepNext w:val="0"/>
              <w:keepLines w:val="0"/>
              <w:pageBreakBefore w:val="0"/>
              <w:widowControl w:val="0"/>
              <w:kinsoku/>
              <w:wordWrap/>
              <w:overflowPunct/>
              <w:topLinePunct w:val="0"/>
              <w:autoSpaceDE/>
              <w:autoSpaceDN/>
              <w:bidi w:val="0"/>
              <w:adjustRightInd w:val="0"/>
              <w:snapToGrid/>
              <w:spacing w:after="0" w:line="240" w:lineRule="auto"/>
              <w:ind w:left="0" w:leftChars="0" w:right="0" w:rightChars="0" w:firstLine="0" w:firstLineChars="0"/>
              <w:textAlignment w:val="baseline"/>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16</w:t>
            </w:r>
            <w:r>
              <w:rPr>
                <w:rFonts w:hint="eastAsia" w:ascii="宋体" w:hAnsi="宋体" w:eastAsia="宋体" w:cs="宋体"/>
                <w:sz w:val="24"/>
                <w:szCs w:val="24"/>
              </w:rPr>
              <w:t>分）</w:t>
            </w:r>
          </w:p>
        </w:tc>
        <w:tc>
          <w:tcPr>
            <w:tcW w:w="520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节点基础网络完整、准确拓扑图得1</w:t>
            </w:r>
            <w:r>
              <w:rPr>
                <w:sz w:val="24"/>
                <w:szCs w:val="24"/>
              </w:rPr>
              <w:t>6</w:t>
            </w:r>
            <w:r>
              <w:rPr>
                <w:rFonts w:hint="eastAsia"/>
                <w:sz w:val="24"/>
                <w:szCs w:val="24"/>
              </w:rPr>
              <w:t>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节点基础网络较完整拓扑图得</w:t>
            </w:r>
            <w:r>
              <w:rPr>
                <w:sz w:val="24"/>
                <w:szCs w:val="24"/>
              </w:rPr>
              <w:t>10</w:t>
            </w:r>
            <w:r>
              <w:rPr>
                <w:rFonts w:hint="eastAsia"/>
                <w:sz w:val="24"/>
                <w:szCs w:val="24"/>
              </w:rPr>
              <w:t>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节点基础网络拓扑图得5分；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不提供本项目二级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节点基础网络拓扑图得0分。</w:t>
            </w:r>
          </w:p>
        </w:tc>
        <w:tc>
          <w:tcPr>
            <w:tcW w:w="93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w:t>
            </w:r>
            <w:r>
              <w:rPr>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sz w:val="24"/>
                <w:szCs w:val="24"/>
              </w:rPr>
            </w:pPr>
            <w:r>
              <w:rPr>
                <w:rFonts w:hint="eastAsia"/>
                <w:sz w:val="24"/>
                <w:szCs w:val="24"/>
              </w:rPr>
              <w:t>二级</w:t>
            </w:r>
            <w:r>
              <w:rPr>
                <w:rFonts w:hint="eastAsia"/>
                <w:sz w:val="24"/>
                <w:szCs w:val="24"/>
                <w:lang w:eastAsia="zh-CN"/>
              </w:rPr>
              <w:t>、</w:t>
            </w:r>
            <w:r>
              <w:rPr>
                <w:rFonts w:hint="eastAsia"/>
                <w:sz w:val="24"/>
                <w:szCs w:val="24"/>
                <w:lang w:val="en-US" w:eastAsia="zh-CN"/>
              </w:rPr>
              <w:t>三级</w:t>
            </w:r>
            <w:r>
              <w:rPr>
                <w:rFonts w:hint="eastAsia"/>
                <w:sz w:val="24"/>
                <w:szCs w:val="24"/>
              </w:rPr>
              <w:t>节点完整基础子网路由规划图</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15</w:t>
            </w:r>
            <w:r>
              <w:rPr>
                <w:rFonts w:hint="eastAsia"/>
                <w:sz w:val="24"/>
                <w:szCs w:val="24"/>
              </w:rPr>
              <w:t>分）</w:t>
            </w:r>
          </w:p>
        </w:tc>
        <w:tc>
          <w:tcPr>
            <w:tcW w:w="520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节点完整基础子网路由规划图得15分；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节点较完整基础子网路由规划图得11分；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节点基础子网路由规划图得6分；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不提供本项目二级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节点基础子网路由规划图得0分。</w:t>
            </w:r>
          </w:p>
        </w:tc>
        <w:tc>
          <w:tcPr>
            <w:tcW w:w="93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90"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响应时间（</w:t>
            </w:r>
            <w:r>
              <w:rPr>
                <w:rFonts w:hint="eastAsia"/>
                <w:sz w:val="24"/>
                <w:szCs w:val="24"/>
                <w:lang w:val="en-US" w:eastAsia="zh-CN"/>
              </w:rPr>
              <w:t>6</w:t>
            </w:r>
            <w:r>
              <w:rPr>
                <w:rFonts w:hint="eastAsia"/>
                <w:sz w:val="24"/>
                <w:szCs w:val="24"/>
              </w:rPr>
              <w:t>分）</w:t>
            </w:r>
          </w:p>
        </w:tc>
        <w:tc>
          <w:tcPr>
            <w:tcW w:w="520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故障发生时，10分钟电话响应得3分；业务故障恢复时限1小时，得3分。</w:t>
            </w:r>
          </w:p>
        </w:tc>
        <w:tc>
          <w:tcPr>
            <w:tcW w:w="93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4"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sz w:val="24"/>
                <w:szCs w:val="24"/>
              </w:rPr>
            </w:pPr>
            <w:r>
              <w:rPr>
                <w:rFonts w:hint="eastAsia"/>
                <w:sz w:val="24"/>
                <w:szCs w:val="24"/>
              </w:rPr>
              <w:t>驻场服务人员</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4</w:t>
            </w:r>
            <w:r>
              <w:rPr>
                <w:rFonts w:hint="eastAsia"/>
                <w:sz w:val="24"/>
                <w:szCs w:val="24"/>
              </w:rPr>
              <w:t>分）</w:t>
            </w:r>
          </w:p>
        </w:tc>
        <w:tc>
          <w:tcPr>
            <w:tcW w:w="5200" w:type="dxa"/>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提供1名驻场服务人员得2分；提供2名驻场服务人员得4分。（需提供驻场服务人员的身份证复印件及</w:t>
            </w:r>
            <w:r>
              <w:rPr>
                <w:rFonts w:hint="eastAsia"/>
                <w:sz w:val="24"/>
                <w:szCs w:val="24"/>
                <w:lang w:eastAsia="zh-CN"/>
              </w:rPr>
              <w:t>近</w:t>
            </w:r>
            <w:r>
              <w:rPr>
                <w:rFonts w:hint="eastAsia"/>
                <w:sz w:val="24"/>
                <w:szCs w:val="24"/>
                <w:lang w:val="en-US" w:eastAsia="zh-CN"/>
              </w:rPr>
              <w:t>3个月连续</w:t>
            </w:r>
            <w:r>
              <w:rPr>
                <w:rFonts w:hint="eastAsia"/>
                <w:sz w:val="24"/>
                <w:szCs w:val="24"/>
              </w:rPr>
              <w:t>社保缴纳记录</w:t>
            </w:r>
            <w:r>
              <w:rPr>
                <w:rFonts w:hint="eastAsia"/>
                <w:sz w:val="24"/>
                <w:szCs w:val="24"/>
                <w:lang w:eastAsia="zh-CN"/>
              </w:rPr>
              <w:t>并加盖投标人公章</w:t>
            </w:r>
            <w:r>
              <w:rPr>
                <w:rFonts w:hint="eastAsia"/>
                <w:sz w:val="24"/>
                <w:szCs w:val="24"/>
              </w:rPr>
              <w:t>）</w:t>
            </w:r>
          </w:p>
        </w:tc>
        <w:tc>
          <w:tcPr>
            <w:tcW w:w="931" w:type="dxa"/>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99" w:hRule="atLeast"/>
          <w:jc w:val="center"/>
        </w:trPr>
        <w:tc>
          <w:tcPr>
            <w:tcW w:w="1123"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履约能力</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23</w:t>
            </w:r>
            <w:r>
              <w:rPr>
                <w:rFonts w:hint="eastAsia"/>
                <w:sz w:val="24"/>
                <w:szCs w:val="24"/>
              </w:rPr>
              <w:t>分）</w:t>
            </w: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投标人</w:t>
            </w:r>
            <w:r>
              <w:rPr>
                <w:rFonts w:hint="eastAsia"/>
                <w:sz w:val="24"/>
                <w:szCs w:val="24"/>
                <w:lang w:eastAsia="zh-CN"/>
              </w:rPr>
              <w:t>相关证书</w:t>
            </w:r>
            <w:r>
              <w:rPr>
                <w:rFonts w:hint="eastAsia"/>
                <w:sz w:val="24"/>
                <w:szCs w:val="24"/>
              </w:rPr>
              <w:t>（3分）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投标方</w:t>
            </w:r>
            <w:r>
              <w:rPr>
                <w:rFonts w:hint="eastAsia"/>
                <w:sz w:val="24"/>
                <w:szCs w:val="24"/>
                <w:lang w:eastAsia="zh-CN"/>
              </w:rPr>
              <w:t>具备</w:t>
            </w:r>
            <w:r>
              <w:rPr>
                <w:rFonts w:hint="eastAsia"/>
                <w:sz w:val="24"/>
                <w:szCs w:val="24"/>
              </w:rPr>
              <w:t>通信工程施工总承包二级及以上资质得3分。</w:t>
            </w:r>
            <w:r>
              <w:rPr>
                <w:rFonts w:hint="eastAsia"/>
                <w:sz w:val="24"/>
                <w:szCs w:val="24"/>
                <w:lang w:eastAsia="zh-CN"/>
              </w:rPr>
              <w:t>需提供证书复印件并加盖投标人公章。</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2"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bookmarkStart w:id="96" w:name="_GoBack" w:colFirst="2" w:colLast="2"/>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项目团队人员情况（</w:t>
            </w:r>
            <w:r>
              <w:rPr>
                <w:rFonts w:hint="eastAsia"/>
                <w:sz w:val="24"/>
                <w:szCs w:val="24"/>
                <w:lang w:val="en-US" w:eastAsia="zh-CN"/>
              </w:rPr>
              <w:t>10</w:t>
            </w:r>
            <w:r>
              <w:rPr>
                <w:rFonts w:hint="eastAsia"/>
                <w:sz w:val="24"/>
                <w:szCs w:val="24"/>
              </w:rPr>
              <w:t>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本项目在运维阶段拟派技术专家，具备</w:t>
            </w:r>
            <w:r>
              <w:rPr>
                <w:rFonts w:hint="eastAsia"/>
                <w:sz w:val="24"/>
                <w:szCs w:val="24"/>
                <w:lang w:val="en-US" w:eastAsia="zh-CN"/>
              </w:rPr>
              <w:t>一级建造师</w:t>
            </w:r>
            <w:r>
              <w:rPr>
                <w:rFonts w:hint="eastAsia"/>
                <w:sz w:val="24"/>
                <w:szCs w:val="24"/>
              </w:rPr>
              <w:t>资格证书一人得</w:t>
            </w:r>
            <w:r>
              <w:rPr>
                <w:sz w:val="24"/>
                <w:szCs w:val="24"/>
              </w:rPr>
              <w:t>2</w:t>
            </w:r>
            <w:r>
              <w:rPr>
                <w:rFonts w:hint="eastAsia"/>
                <w:sz w:val="24"/>
                <w:szCs w:val="24"/>
              </w:rPr>
              <w:t>分，不满足不得分；具备工程师资格证书一人得2分，具备高级工程师资格证书一人得4分，最高得</w:t>
            </w:r>
            <w:r>
              <w:rPr>
                <w:sz w:val="24"/>
                <w:szCs w:val="24"/>
              </w:rPr>
              <w:t>4</w:t>
            </w:r>
            <w:r>
              <w:rPr>
                <w:rFonts w:hint="eastAsia"/>
                <w:sz w:val="24"/>
                <w:szCs w:val="24"/>
              </w:rPr>
              <w:t>分，不满足不得分；项目组成员不少于10人，满足得</w:t>
            </w:r>
            <w:r>
              <w:rPr>
                <w:sz w:val="24"/>
                <w:szCs w:val="24"/>
              </w:rPr>
              <w:t>4</w:t>
            </w:r>
            <w:r>
              <w:rPr>
                <w:rFonts w:hint="eastAsia"/>
                <w:sz w:val="24"/>
                <w:szCs w:val="24"/>
              </w:rPr>
              <w:t>分，不满足不得分。</w:t>
            </w:r>
            <w:r>
              <w:rPr>
                <w:rFonts w:hint="eastAsia"/>
                <w:sz w:val="24"/>
                <w:szCs w:val="24"/>
                <w:lang w:eastAsia="zh-CN"/>
              </w:rPr>
              <w:t>提供相关证明材料复印件并加盖投标人公章。</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default" w:eastAsia="宋体"/>
                <w:sz w:val="24"/>
                <w:szCs w:val="24"/>
                <w:lang w:val="en-US" w:eastAsia="zh-CN"/>
              </w:rPr>
            </w:pPr>
            <w:r>
              <w:rPr>
                <w:rFonts w:hint="eastAsia"/>
                <w:sz w:val="24"/>
                <w:szCs w:val="24"/>
                <w:lang w:val="en-US" w:eastAsia="zh-CN"/>
              </w:rPr>
              <w:t>10</w:t>
            </w:r>
          </w:p>
        </w:tc>
      </w:tr>
      <w:bookmarkEnd w:id="9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3"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投标人业绩</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提供投标人近</w:t>
            </w:r>
            <w:r>
              <w:rPr>
                <w:rFonts w:hint="eastAsia"/>
                <w:sz w:val="24"/>
                <w:szCs w:val="24"/>
                <w:lang w:val="en-US" w:eastAsia="zh-CN"/>
              </w:rPr>
              <w:t>3</w:t>
            </w:r>
            <w:r>
              <w:rPr>
                <w:rFonts w:hint="eastAsia"/>
                <w:sz w:val="24"/>
                <w:szCs w:val="24"/>
              </w:rPr>
              <w:t>年</w:t>
            </w:r>
            <w:r>
              <w:rPr>
                <w:rFonts w:hint="eastAsia" w:cs="宋体"/>
                <w:sz w:val="24"/>
                <w:szCs w:val="24"/>
              </w:rPr>
              <w:t>（20</w:t>
            </w:r>
            <w:r>
              <w:rPr>
                <w:rFonts w:hint="eastAsia" w:cs="宋体"/>
                <w:sz w:val="24"/>
                <w:szCs w:val="24"/>
                <w:lang w:val="en-US" w:eastAsia="zh-CN"/>
              </w:rPr>
              <w:t>22</w:t>
            </w:r>
            <w:r>
              <w:rPr>
                <w:rFonts w:hint="eastAsia" w:cs="宋体"/>
                <w:sz w:val="24"/>
                <w:szCs w:val="24"/>
              </w:rPr>
              <w:t>年1月1日至今）</w:t>
            </w:r>
            <w:r>
              <w:rPr>
                <w:rFonts w:hint="eastAsia"/>
                <w:sz w:val="24"/>
                <w:szCs w:val="24"/>
              </w:rPr>
              <w:t>相关业绩，每个有效业绩得2分，最多得10分。每个项目均需附合同首页、签字盖章页、合同标的项所在页复印件并加盖</w:t>
            </w:r>
            <w:r>
              <w:rPr>
                <w:rFonts w:hint="eastAsia"/>
                <w:sz w:val="24"/>
                <w:szCs w:val="24"/>
                <w:lang w:eastAsia="zh-CN"/>
              </w:rPr>
              <w:t>投标人</w:t>
            </w:r>
            <w:r>
              <w:rPr>
                <w:rFonts w:hint="eastAsia"/>
                <w:sz w:val="24"/>
                <w:szCs w:val="24"/>
              </w:rPr>
              <w:t>公章。</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6" w:hRule="atLeast"/>
          <w:jc w:val="center"/>
        </w:trPr>
        <w:tc>
          <w:tcPr>
            <w:tcW w:w="1123"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总分</w:t>
            </w: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100分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100</w:t>
            </w:r>
          </w:p>
        </w:tc>
      </w:tr>
    </w:tbl>
    <w:p>
      <w:pPr>
        <w:pStyle w:val="11"/>
        <w:ind w:firstLine="220"/>
        <w:rPr>
          <w:rFonts w:hint="eastAsia" w:ascii="宋体" w:hAnsi="宋体" w:cs="宋体"/>
          <w:sz w:val="24"/>
          <w:szCs w:val="24"/>
        </w:rPr>
      </w:pPr>
    </w:p>
    <w:p/>
    <w:p>
      <w:pPr>
        <w:pStyle w:val="1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第二包：</w:t>
      </w:r>
    </w:p>
    <w:tbl>
      <w:tblPr>
        <w:tblStyle w:val="32"/>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3"/>
        <w:gridCol w:w="1268"/>
        <w:gridCol w:w="5200"/>
        <w:gridCol w:w="9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123"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标准分类</w:t>
            </w:r>
          </w:p>
        </w:tc>
        <w:tc>
          <w:tcPr>
            <w:tcW w:w="6468" w:type="dxa"/>
            <w:gridSpan w:val="2"/>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标准细则</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88" w:hRule="atLeast"/>
          <w:jc w:val="center"/>
        </w:trPr>
        <w:tc>
          <w:tcPr>
            <w:tcW w:w="1123"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价格（</w:t>
            </w:r>
            <w:r>
              <w:rPr>
                <w:sz w:val="24"/>
                <w:szCs w:val="24"/>
              </w:rPr>
              <w:t>1</w:t>
            </w:r>
            <w:r>
              <w:rPr>
                <w:rFonts w:hint="eastAsia"/>
                <w:sz w:val="24"/>
                <w:szCs w:val="24"/>
              </w:rPr>
              <w:t>0分）</w:t>
            </w:r>
          </w:p>
        </w:tc>
        <w:tc>
          <w:tcPr>
            <w:tcW w:w="126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投标报价</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1</w:t>
            </w:r>
            <w:r>
              <w:rPr>
                <w:rFonts w:hint="eastAsia"/>
                <w:sz w:val="24"/>
                <w:szCs w:val="24"/>
              </w:rPr>
              <w:t>0分）</w:t>
            </w:r>
          </w:p>
        </w:tc>
        <w:tc>
          <w:tcPr>
            <w:tcW w:w="5200"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价格分统一采用低价优先法计算，即满足招标文件要求且投标价格最低的有效投标报价为评标基准价。投标报价得分=</w:t>
            </w:r>
            <w:r>
              <w:rPr>
                <w:sz w:val="24"/>
                <w:szCs w:val="24"/>
              </w:rPr>
              <w:t>1</w:t>
            </w:r>
            <w:r>
              <w:rPr>
                <w:rFonts w:hint="eastAsia"/>
                <w:sz w:val="24"/>
                <w:szCs w:val="24"/>
              </w:rPr>
              <w:t>0*（评标基准价/投标报价）。</w:t>
            </w:r>
          </w:p>
        </w:tc>
        <w:tc>
          <w:tcPr>
            <w:tcW w:w="931"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sz w:val="24"/>
                <w:szCs w:val="24"/>
              </w:rPr>
              <w:t>1</w:t>
            </w:r>
            <w:r>
              <w:rPr>
                <w:rFonts w:hint="eastAsia"/>
                <w:sz w:val="24"/>
                <w:szCs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1123"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服务方案</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67</w:t>
            </w:r>
            <w:r>
              <w:rPr>
                <w:rFonts w:hint="eastAsia"/>
                <w:sz w:val="24"/>
                <w:szCs w:val="24"/>
              </w:rPr>
              <w:t>分）</w:t>
            </w:r>
          </w:p>
        </w:tc>
        <w:tc>
          <w:tcPr>
            <w:tcW w:w="1268"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eastAsia="宋体" w:cs="宋体"/>
                <w:sz w:val="24"/>
                <w:szCs w:val="24"/>
              </w:rPr>
            </w:pPr>
            <w:r>
              <w:rPr>
                <w:rFonts w:hint="eastAsia" w:ascii="宋体" w:hAnsi="宋体" w:eastAsia="宋体" w:cs="宋体"/>
                <w:sz w:val="24"/>
                <w:szCs w:val="24"/>
              </w:rPr>
              <w:t>运维服务方案</w:t>
            </w:r>
          </w:p>
          <w:p>
            <w:pPr>
              <w:pStyle w:val="12"/>
              <w:keepNext w:val="0"/>
              <w:keepLines w:val="0"/>
              <w:pageBreakBefore w:val="0"/>
              <w:widowControl w:val="0"/>
              <w:kinsoku/>
              <w:wordWrap/>
              <w:overflowPunct/>
              <w:topLinePunct w:val="0"/>
              <w:autoSpaceDE/>
              <w:autoSpaceDN/>
              <w:bidi w:val="0"/>
              <w:adjustRightInd w:val="0"/>
              <w:snapToGrid/>
              <w:spacing w:after="0" w:line="240" w:lineRule="auto"/>
              <w:ind w:left="0" w:leftChars="0" w:right="0" w:rightChars="0" w:firstLine="0" w:firstLineChars="0"/>
              <w:textAlignment w:val="baseline"/>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26</w:t>
            </w:r>
            <w:r>
              <w:rPr>
                <w:rFonts w:hint="eastAsia" w:ascii="宋体" w:hAnsi="宋体" w:eastAsia="宋体" w:cs="宋体"/>
                <w:sz w:val="24"/>
                <w:szCs w:val="24"/>
              </w:rPr>
              <w:t>分）</w:t>
            </w:r>
          </w:p>
        </w:tc>
        <w:tc>
          <w:tcPr>
            <w:tcW w:w="5200"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lang w:eastAsia="zh-CN"/>
              </w:rPr>
            </w:pPr>
            <w:r>
              <w:rPr>
                <w:rFonts w:hint="eastAsia"/>
                <w:sz w:val="24"/>
                <w:szCs w:val="24"/>
              </w:rPr>
              <w:t>运维服务有完善的方案，其中包括日常维护规程、节点故障处理流程、维护应急预案、应急通信保障内容充分满足招标文件要求，且对运维难点有深入的分析，且提供城域网应急预案和完整年度运维报告及相关运维记录方案,得</w:t>
            </w:r>
            <w:r>
              <w:rPr>
                <w:rFonts w:hint="eastAsia"/>
                <w:sz w:val="24"/>
                <w:szCs w:val="24"/>
                <w:lang w:val="en-US" w:eastAsia="zh-CN"/>
              </w:rPr>
              <w:t>26</w:t>
            </w:r>
            <w:r>
              <w:rPr>
                <w:rFonts w:hint="eastAsia"/>
                <w:sz w:val="24"/>
                <w:szCs w:val="24"/>
              </w:rPr>
              <w:t>分</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lang w:eastAsia="zh-CN"/>
              </w:rPr>
            </w:pPr>
            <w:r>
              <w:rPr>
                <w:rFonts w:hint="eastAsia"/>
                <w:sz w:val="24"/>
                <w:szCs w:val="24"/>
              </w:rPr>
              <w:t>本项目的运维服务方案较为完整（包含其中包括日常维护规程、故障处理流程等内容并,提供城域网应急预案和完整的年度运维报告及相关运维记录表,得2</w:t>
            </w:r>
            <w:r>
              <w:rPr>
                <w:rFonts w:hint="eastAsia"/>
                <w:sz w:val="24"/>
                <w:szCs w:val="24"/>
                <w:lang w:val="en-US" w:eastAsia="zh-CN"/>
              </w:rPr>
              <w:t>0</w:t>
            </w:r>
            <w:r>
              <w:rPr>
                <w:rFonts w:hint="eastAsia"/>
                <w:sz w:val="24"/>
                <w:szCs w:val="24"/>
              </w:rPr>
              <w:t>分</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lang w:eastAsia="zh-CN"/>
              </w:rPr>
            </w:pPr>
            <w:r>
              <w:rPr>
                <w:rFonts w:hint="eastAsia"/>
                <w:sz w:val="24"/>
                <w:szCs w:val="24"/>
              </w:rPr>
              <w:t>提供有较为完整的运维服务解决方案，运维服务方案可行，提供较为完整的年度报告和运维相关记录表,得</w:t>
            </w:r>
            <w:r>
              <w:rPr>
                <w:sz w:val="24"/>
                <w:szCs w:val="24"/>
              </w:rPr>
              <w:t>15</w:t>
            </w:r>
            <w:r>
              <w:rPr>
                <w:rFonts w:hint="eastAsia"/>
                <w:sz w:val="24"/>
                <w:szCs w:val="24"/>
              </w:rPr>
              <w:t>分</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lang w:eastAsia="zh-CN"/>
              </w:rPr>
            </w:pPr>
            <w:r>
              <w:rPr>
                <w:rFonts w:hint="eastAsia"/>
                <w:sz w:val="24"/>
                <w:szCs w:val="24"/>
              </w:rPr>
              <w:t>运维服务方案较为完整，运维服务方案可行年度报告,得</w:t>
            </w:r>
            <w:r>
              <w:rPr>
                <w:sz w:val="24"/>
                <w:szCs w:val="24"/>
              </w:rPr>
              <w:t>10</w:t>
            </w:r>
            <w:r>
              <w:rPr>
                <w:rFonts w:hint="eastAsia"/>
                <w:sz w:val="24"/>
                <w:szCs w:val="24"/>
              </w:rPr>
              <w:t>分</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运维服务方案不完整，运维服务方案不可行，年度报告和年度运维记录不完整,不得分。</w:t>
            </w:r>
          </w:p>
        </w:tc>
        <w:tc>
          <w:tcPr>
            <w:tcW w:w="931" w:type="dxa"/>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default" w:eastAsia="宋体"/>
                <w:sz w:val="24"/>
                <w:szCs w:val="24"/>
                <w:lang w:val="en-US" w:eastAsia="zh-CN"/>
              </w:rPr>
            </w:pPr>
            <w:r>
              <w:rPr>
                <w:rFonts w:hint="eastAsia"/>
                <w:sz w:val="24"/>
                <w:szCs w:val="24"/>
                <w:lang w:val="en-US" w:eastAsia="zh-CN"/>
              </w:rPr>
              <w:t>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4"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eastAsia="宋体" w:cs="宋体"/>
                <w:sz w:val="24"/>
                <w:szCs w:val="24"/>
              </w:rPr>
            </w:pPr>
            <w:r>
              <w:rPr>
                <w:rFonts w:hint="eastAsia" w:ascii="宋体" w:hAnsi="宋体" w:eastAsia="宋体" w:cs="宋体"/>
                <w:sz w:val="24"/>
                <w:szCs w:val="24"/>
              </w:rPr>
              <w:t>二级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三级</w:t>
            </w:r>
            <w:r>
              <w:rPr>
                <w:rFonts w:hint="eastAsia" w:ascii="宋体" w:hAnsi="宋体" w:eastAsia="宋体" w:cs="宋体"/>
                <w:sz w:val="24"/>
                <w:szCs w:val="24"/>
              </w:rPr>
              <w:t>节点</w:t>
            </w:r>
            <w:r>
              <w:rPr>
                <w:rFonts w:hint="eastAsia" w:ascii="宋体" w:hAnsi="宋体" w:eastAsia="宋体" w:cs="宋体"/>
                <w:sz w:val="24"/>
                <w:szCs w:val="24"/>
                <w:lang w:val="en-US" w:eastAsia="zh-CN"/>
              </w:rPr>
              <w:t>完整</w:t>
            </w:r>
            <w:r>
              <w:rPr>
                <w:rFonts w:hint="eastAsia" w:ascii="宋体" w:hAnsi="宋体" w:eastAsia="宋体" w:cs="宋体"/>
                <w:sz w:val="24"/>
                <w:szCs w:val="24"/>
              </w:rPr>
              <w:t>网络拓扑图</w:t>
            </w:r>
          </w:p>
          <w:p>
            <w:pPr>
              <w:pStyle w:val="12"/>
              <w:keepNext w:val="0"/>
              <w:keepLines w:val="0"/>
              <w:pageBreakBefore w:val="0"/>
              <w:widowControl w:val="0"/>
              <w:kinsoku/>
              <w:wordWrap/>
              <w:overflowPunct/>
              <w:topLinePunct w:val="0"/>
              <w:autoSpaceDE/>
              <w:autoSpaceDN/>
              <w:bidi w:val="0"/>
              <w:adjustRightInd w:val="0"/>
              <w:snapToGrid/>
              <w:spacing w:after="0" w:line="240" w:lineRule="auto"/>
              <w:ind w:left="0" w:leftChars="0" w:right="0" w:rightChars="0" w:firstLine="0" w:firstLineChars="0"/>
              <w:textAlignment w:val="baseline"/>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16</w:t>
            </w:r>
            <w:r>
              <w:rPr>
                <w:rFonts w:hint="eastAsia" w:ascii="宋体" w:hAnsi="宋体" w:eastAsia="宋体" w:cs="宋体"/>
                <w:sz w:val="24"/>
                <w:szCs w:val="24"/>
              </w:rPr>
              <w:t>分）</w:t>
            </w:r>
          </w:p>
        </w:tc>
        <w:tc>
          <w:tcPr>
            <w:tcW w:w="520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节点基础网络完整、准确拓扑图得1</w:t>
            </w:r>
            <w:r>
              <w:rPr>
                <w:sz w:val="24"/>
                <w:szCs w:val="24"/>
              </w:rPr>
              <w:t>6</w:t>
            </w:r>
            <w:r>
              <w:rPr>
                <w:rFonts w:hint="eastAsia"/>
                <w:sz w:val="24"/>
                <w:szCs w:val="24"/>
              </w:rPr>
              <w:t>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节点基础网络较完整拓扑图得</w:t>
            </w:r>
            <w:r>
              <w:rPr>
                <w:sz w:val="24"/>
                <w:szCs w:val="24"/>
              </w:rPr>
              <w:t>10</w:t>
            </w:r>
            <w:r>
              <w:rPr>
                <w:rFonts w:hint="eastAsia"/>
                <w:sz w:val="24"/>
                <w:szCs w:val="24"/>
              </w:rPr>
              <w:t>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节点基础网络拓扑图得5分；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不提供本项目二级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节点基础网络拓扑图得0分。</w:t>
            </w:r>
          </w:p>
        </w:tc>
        <w:tc>
          <w:tcPr>
            <w:tcW w:w="93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w:t>
            </w:r>
            <w:r>
              <w:rPr>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sz w:val="24"/>
                <w:szCs w:val="24"/>
              </w:rPr>
            </w:pPr>
            <w:r>
              <w:rPr>
                <w:rFonts w:hint="eastAsia"/>
                <w:sz w:val="24"/>
                <w:szCs w:val="24"/>
              </w:rPr>
              <w:t>二级</w:t>
            </w:r>
            <w:r>
              <w:rPr>
                <w:rFonts w:hint="eastAsia"/>
                <w:sz w:val="24"/>
                <w:szCs w:val="24"/>
                <w:lang w:eastAsia="zh-CN"/>
              </w:rPr>
              <w:t>、</w:t>
            </w:r>
            <w:r>
              <w:rPr>
                <w:rFonts w:hint="eastAsia"/>
                <w:sz w:val="24"/>
                <w:szCs w:val="24"/>
                <w:lang w:val="en-US" w:eastAsia="zh-CN"/>
              </w:rPr>
              <w:t>三级</w:t>
            </w:r>
            <w:r>
              <w:rPr>
                <w:rFonts w:hint="eastAsia"/>
                <w:sz w:val="24"/>
                <w:szCs w:val="24"/>
              </w:rPr>
              <w:t>节点完整基础子网路由规划图</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15</w:t>
            </w:r>
            <w:r>
              <w:rPr>
                <w:rFonts w:hint="eastAsia"/>
                <w:sz w:val="24"/>
                <w:szCs w:val="24"/>
              </w:rPr>
              <w:t>分）</w:t>
            </w:r>
          </w:p>
        </w:tc>
        <w:tc>
          <w:tcPr>
            <w:tcW w:w="520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节点完整基础子网路由规划图得15分；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节点较完整基础子网路由规划图得11分；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节点基础子网路由规划图得6分；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不提供本项目二级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节点基础子网路由规划图得0分。</w:t>
            </w:r>
          </w:p>
        </w:tc>
        <w:tc>
          <w:tcPr>
            <w:tcW w:w="93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90"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响应时间（</w:t>
            </w:r>
            <w:r>
              <w:rPr>
                <w:rFonts w:hint="eastAsia"/>
                <w:sz w:val="24"/>
                <w:szCs w:val="24"/>
                <w:lang w:val="en-US" w:eastAsia="zh-CN"/>
              </w:rPr>
              <w:t>6</w:t>
            </w:r>
            <w:r>
              <w:rPr>
                <w:rFonts w:hint="eastAsia"/>
                <w:sz w:val="24"/>
                <w:szCs w:val="24"/>
              </w:rPr>
              <w:t>分）</w:t>
            </w:r>
          </w:p>
        </w:tc>
        <w:tc>
          <w:tcPr>
            <w:tcW w:w="520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故障发生时，10分钟电话响应得3分；业务故障恢复时限1小时，得3分。</w:t>
            </w:r>
          </w:p>
        </w:tc>
        <w:tc>
          <w:tcPr>
            <w:tcW w:w="93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4"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sz w:val="24"/>
                <w:szCs w:val="24"/>
              </w:rPr>
            </w:pPr>
            <w:r>
              <w:rPr>
                <w:rFonts w:hint="eastAsia"/>
                <w:sz w:val="24"/>
                <w:szCs w:val="24"/>
              </w:rPr>
              <w:t>驻场服务人员</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4</w:t>
            </w:r>
            <w:r>
              <w:rPr>
                <w:rFonts w:hint="eastAsia"/>
                <w:sz w:val="24"/>
                <w:szCs w:val="24"/>
              </w:rPr>
              <w:t>分）</w:t>
            </w:r>
          </w:p>
        </w:tc>
        <w:tc>
          <w:tcPr>
            <w:tcW w:w="5200" w:type="dxa"/>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提供1名驻场服务人员得2分；提供2名驻场服务人员得4分。（需提供驻场服务人员的身份证复印件及</w:t>
            </w:r>
            <w:r>
              <w:rPr>
                <w:rFonts w:hint="eastAsia"/>
                <w:sz w:val="24"/>
                <w:szCs w:val="24"/>
                <w:lang w:eastAsia="zh-CN"/>
              </w:rPr>
              <w:t>近</w:t>
            </w:r>
            <w:r>
              <w:rPr>
                <w:rFonts w:hint="eastAsia"/>
                <w:sz w:val="24"/>
                <w:szCs w:val="24"/>
                <w:lang w:val="en-US" w:eastAsia="zh-CN"/>
              </w:rPr>
              <w:t>3个月连续</w:t>
            </w:r>
            <w:r>
              <w:rPr>
                <w:rFonts w:hint="eastAsia"/>
                <w:sz w:val="24"/>
                <w:szCs w:val="24"/>
              </w:rPr>
              <w:t>社保缴纳记录</w:t>
            </w:r>
            <w:r>
              <w:rPr>
                <w:rFonts w:hint="eastAsia"/>
                <w:sz w:val="24"/>
                <w:szCs w:val="24"/>
                <w:lang w:eastAsia="zh-CN"/>
              </w:rPr>
              <w:t>并加盖投标人公章</w:t>
            </w:r>
            <w:r>
              <w:rPr>
                <w:rFonts w:hint="eastAsia"/>
                <w:sz w:val="24"/>
                <w:szCs w:val="24"/>
              </w:rPr>
              <w:t>）</w:t>
            </w:r>
          </w:p>
        </w:tc>
        <w:tc>
          <w:tcPr>
            <w:tcW w:w="931" w:type="dxa"/>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99" w:hRule="atLeast"/>
          <w:jc w:val="center"/>
        </w:trPr>
        <w:tc>
          <w:tcPr>
            <w:tcW w:w="1123"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履约能力</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23</w:t>
            </w:r>
            <w:r>
              <w:rPr>
                <w:rFonts w:hint="eastAsia"/>
                <w:sz w:val="24"/>
                <w:szCs w:val="24"/>
              </w:rPr>
              <w:t>分）</w:t>
            </w: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投标人</w:t>
            </w:r>
            <w:r>
              <w:rPr>
                <w:rFonts w:hint="eastAsia"/>
                <w:sz w:val="24"/>
                <w:szCs w:val="24"/>
                <w:lang w:eastAsia="zh-CN"/>
              </w:rPr>
              <w:t>相关证书</w:t>
            </w:r>
            <w:r>
              <w:rPr>
                <w:rFonts w:hint="eastAsia"/>
                <w:sz w:val="24"/>
                <w:szCs w:val="24"/>
              </w:rPr>
              <w:t>（3分）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投标方</w:t>
            </w:r>
            <w:r>
              <w:rPr>
                <w:rFonts w:hint="eastAsia"/>
                <w:sz w:val="24"/>
                <w:szCs w:val="24"/>
                <w:lang w:eastAsia="zh-CN"/>
              </w:rPr>
              <w:t>具备</w:t>
            </w:r>
            <w:r>
              <w:rPr>
                <w:rFonts w:hint="eastAsia"/>
                <w:sz w:val="24"/>
                <w:szCs w:val="24"/>
              </w:rPr>
              <w:t>通信工程施工总承包二级及以上资质得3分。</w:t>
            </w:r>
            <w:r>
              <w:rPr>
                <w:rFonts w:hint="eastAsia"/>
                <w:sz w:val="24"/>
                <w:szCs w:val="24"/>
                <w:lang w:eastAsia="zh-CN"/>
              </w:rPr>
              <w:t>提供证书复印件并加盖投标人公章。</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2"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项目团队人员情况（</w:t>
            </w:r>
            <w:r>
              <w:rPr>
                <w:rFonts w:hint="eastAsia"/>
                <w:sz w:val="24"/>
                <w:szCs w:val="24"/>
                <w:lang w:val="en-US" w:eastAsia="zh-CN"/>
              </w:rPr>
              <w:t>10</w:t>
            </w:r>
            <w:r>
              <w:rPr>
                <w:rFonts w:hint="eastAsia"/>
                <w:sz w:val="24"/>
                <w:szCs w:val="24"/>
              </w:rPr>
              <w:t>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本项目在运维阶段拟派技术专家，具备</w:t>
            </w:r>
            <w:r>
              <w:rPr>
                <w:rFonts w:hint="eastAsia"/>
                <w:sz w:val="24"/>
                <w:szCs w:val="24"/>
                <w:lang w:val="en-US" w:eastAsia="zh-CN"/>
              </w:rPr>
              <w:t>一级建造师</w:t>
            </w:r>
            <w:r>
              <w:rPr>
                <w:rFonts w:hint="eastAsia"/>
                <w:sz w:val="24"/>
                <w:szCs w:val="24"/>
              </w:rPr>
              <w:t>资格证书一人得</w:t>
            </w:r>
            <w:r>
              <w:rPr>
                <w:sz w:val="24"/>
                <w:szCs w:val="24"/>
              </w:rPr>
              <w:t>2</w:t>
            </w:r>
            <w:r>
              <w:rPr>
                <w:rFonts w:hint="eastAsia"/>
                <w:sz w:val="24"/>
                <w:szCs w:val="24"/>
              </w:rPr>
              <w:t>分，不满足不得分；具备工程师资格证书一人得2分，具备高级工程师资格证书一人得4分，最高得</w:t>
            </w:r>
            <w:r>
              <w:rPr>
                <w:sz w:val="24"/>
                <w:szCs w:val="24"/>
              </w:rPr>
              <w:t>4</w:t>
            </w:r>
            <w:r>
              <w:rPr>
                <w:rFonts w:hint="eastAsia"/>
                <w:sz w:val="24"/>
                <w:szCs w:val="24"/>
              </w:rPr>
              <w:t>分，不满足不得分；项目组成员不少于10人，满足得</w:t>
            </w:r>
            <w:r>
              <w:rPr>
                <w:sz w:val="24"/>
                <w:szCs w:val="24"/>
              </w:rPr>
              <w:t>4</w:t>
            </w:r>
            <w:r>
              <w:rPr>
                <w:rFonts w:hint="eastAsia"/>
                <w:sz w:val="24"/>
                <w:szCs w:val="24"/>
              </w:rPr>
              <w:t>分，不满足不得分。</w:t>
            </w:r>
            <w:r>
              <w:rPr>
                <w:rFonts w:hint="eastAsia"/>
                <w:sz w:val="24"/>
                <w:szCs w:val="24"/>
                <w:lang w:eastAsia="zh-CN"/>
              </w:rPr>
              <w:t>需提供相关证明材料复印件并加盖投标人公章。</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default" w:eastAsia="宋体"/>
                <w:sz w:val="24"/>
                <w:szCs w:val="24"/>
                <w:lang w:val="en-US" w:eastAsia="zh-CN"/>
              </w:rPr>
            </w:pPr>
            <w:r>
              <w:rPr>
                <w:rFonts w:hint="eastAsia"/>
                <w:sz w:val="24"/>
                <w:szCs w:val="24"/>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3"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投标人业绩</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提供投标人近</w:t>
            </w:r>
            <w:r>
              <w:rPr>
                <w:rFonts w:hint="eastAsia"/>
                <w:sz w:val="24"/>
                <w:szCs w:val="24"/>
                <w:lang w:val="en-US" w:eastAsia="zh-CN"/>
              </w:rPr>
              <w:t>3</w:t>
            </w:r>
            <w:r>
              <w:rPr>
                <w:rFonts w:hint="eastAsia"/>
                <w:sz w:val="24"/>
                <w:szCs w:val="24"/>
              </w:rPr>
              <w:t>年</w:t>
            </w:r>
            <w:r>
              <w:rPr>
                <w:rFonts w:hint="eastAsia" w:cs="宋体"/>
                <w:sz w:val="24"/>
                <w:szCs w:val="24"/>
              </w:rPr>
              <w:t>（20</w:t>
            </w:r>
            <w:r>
              <w:rPr>
                <w:rFonts w:hint="eastAsia" w:cs="宋体"/>
                <w:sz w:val="24"/>
                <w:szCs w:val="24"/>
                <w:lang w:val="en-US" w:eastAsia="zh-CN"/>
              </w:rPr>
              <w:t>22</w:t>
            </w:r>
            <w:r>
              <w:rPr>
                <w:rFonts w:hint="eastAsia" w:cs="宋体"/>
                <w:sz w:val="24"/>
                <w:szCs w:val="24"/>
              </w:rPr>
              <w:t>年1月1日至今）</w:t>
            </w:r>
            <w:r>
              <w:rPr>
                <w:rFonts w:hint="eastAsia"/>
                <w:sz w:val="24"/>
                <w:szCs w:val="24"/>
              </w:rPr>
              <w:t>相关业绩，每个有效业绩得2分，最多得10分。每个项目均需附合同首页、签字盖章页、合同标的项所在页复印件并加盖</w:t>
            </w:r>
            <w:r>
              <w:rPr>
                <w:rFonts w:hint="eastAsia"/>
                <w:sz w:val="24"/>
                <w:szCs w:val="24"/>
                <w:lang w:eastAsia="zh-CN"/>
              </w:rPr>
              <w:t>投标人</w:t>
            </w:r>
            <w:r>
              <w:rPr>
                <w:rFonts w:hint="eastAsia"/>
                <w:sz w:val="24"/>
                <w:szCs w:val="24"/>
              </w:rPr>
              <w:t>公章。</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6" w:hRule="atLeast"/>
          <w:jc w:val="center"/>
        </w:trPr>
        <w:tc>
          <w:tcPr>
            <w:tcW w:w="1123"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总分</w:t>
            </w: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100分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100</w:t>
            </w:r>
          </w:p>
        </w:tc>
      </w:tr>
    </w:tbl>
    <w:p>
      <w:pPr>
        <w:pStyle w:val="34"/>
      </w:pPr>
    </w:p>
    <w:p>
      <w:pPr>
        <w:pStyle w:val="34"/>
      </w:pPr>
    </w:p>
    <w:p>
      <w:pPr>
        <w:pStyle w:val="34"/>
      </w:pPr>
    </w:p>
    <w:p>
      <w:pPr>
        <w:pStyle w:val="34"/>
      </w:pPr>
    </w:p>
    <w:p>
      <w:pPr>
        <w:pStyle w:val="34"/>
      </w:pPr>
    </w:p>
    <w:p>
      <w:pPr>
        <w:pStyle w:val="34"/>
      </w:pPr>
    </w:p>
    <w:p>
      <w:pPr>
        <w:pStyle w:val="34"/>
      </w:pPr>
    </w:p>
    <w:p>
      <w:pPr>
        <w:pStyle w:val="34"/>
      </w:pPr>
    </w:p>
    <w:p>
      <w:pPr>
        <w:pStyle w:val="34"/>
      </w:pPr>
    </w:p>
    <w:p>
      <w:pPr>
        <w:pStyle w:val="34"/>
      </w:pPr>
    </w:p>
    <w:p>
      <w:pPr>
        <w:pStyle w:val="34"/>
      </w:pPr>
    </w:p>
    <w:p>
      <w:pPr>
        <w:pStyle w:val="34"/>
      </w:pPr>
    </w:p>
    <w:p>
      <w:pPr>
        <w:pStyle w:val="34"/>
      </w:pPr>
    </w:p>
    <w:p>
      <w:pPr>
        <w:pStyle w:val="34"/>
      </w:pPr>
    </w:p>
    <w:p>
      <w:pPr>
        <w:pStyle w:val="34"/>
      </w:pPr>
    </w:p>
    <w:p>
      <w:pPr>
        <w:pStyle w:val="49"/>
        <w:snapToGrid w:val="0"/>
        <w:spacing w:before="0" w:after="0"/>
        <w:ind w:left="0"/>
        <w:rPr>
          <w:rFonts w:ascii="宋体" w:hAnsi="宋体"/>
          <w:color w:val="auto"/>
          <w:szCs w:val="28"/>
        </w:rPr>
      </w:pPr>
      <w:bookmarkStart w:id="69" w:name="_Toc328816004"/>
      <w:bookmarkStart w:id="70" w:name="_Toc23703"/>
      <w:bookmarkStart w:id="71" w:name="_Toc466015315"/>
      <w:bookmarkStart w:id="72" w:name="_Toc186274124"/>
      <w:bookmarkStart w:id="73" w:name="_Toc174185201"/>
      <w:r>
        <w:rPr>
          <w:rFonts w:hint="eastAsia" w:ascii="宋体" w:hAnsi="宋体"/>
          <w:color w:val="auto"/>
          <w:lang w:val="en-US" w:eastAsia="zh-CN"/>
        </w:rPr>
        <w:t xml:space="preserve"> </w:t>
      </w:r>
      <w:r>
        <w:rPr>
          <w:rFonts w:hint="eastAsia" w:ascii="宋体" w:hAnsi="宋体"/>
          <w:color w:val="auto"/>
        </w:rPr>
        <w:t>政府采购合同</w:t>
      </w:r>
      <w:bookmarkEnd w:id="69"/>
      <w:bookmarkEnd w:id="70"/>
      <w:bookmarkEnd w:id="71"/>
    </w:p>
    <w:p>
      <w:pPr>
        <w:ind w:left="570" w:firstLine="705"/>
        <w:rPr>
          <w:rFonts w:hint="eastAsia" w:ascii="宋体" w:hAnsi="宋体"/>
          <w:b/>
          <w:bCs/>
          <w:color w:val="auto"/>
          <w:sz w:val="44"/>
        </w:rPr>
      </w:pPr>
      <w:bookmarkStart w:id="74" w:name="_Toc15708"/>
      <w:bookmarkStart w:id="75" w:name="_Toc86202632"/>
      <w:r>
        <w:rPr>
          <w:rFonts w:hint="eastAsia" w:ascii="宋体" w:hAnsi="宋体"/>
          <w:b/>
          <w:bCs/>
          <w:color w:val="auto"/>
          <w:sz w:val="44"/>
        </w:rPr>
        <w:t>政府采购合同（</w:t>
      </w:r>
      <w:r>
        <w:rPr>
          <w:rFonts w:hint="eastAsia" w:ascii="宋体" w:hAnsi="宋体"/>
          <w:b/>
          <w:bCs/>
          <w:color w:val="auto"/>
          <w:sz w:val="44"/>
          <w:lang w:eastAsia="zh-CN"/>
        </w:rPr>
        <w:t>服务</w:t>
      </w:r>
      <w:r>
        <w:rPr>
          <w:rFonts w:hint="eastAsia" w:ascii="宋体" w:hAnsi="宋体"/>
          <w:b/>
          <w:bCs/>
          <w:color w:val="auto"/>
          <w:sz w:val="44"/>
        </w:rPr>
        <w:t>类）</w:t>
      </w:r>
    </w:p>
    <w:p>
      <w:pPr>
        <w:ind w:left="570" w:firstLine="705"/>
        <w:rPr>
          <w:rFonts w:hint="eastAsia" w:ascii="宋体" w:hAnsi="宋体"/>
          <w:color w:val="auto"/>
        </w:rPr>
      </w:pPr>
    </w:p>
    <w:p>
      <w:pPr>
        <w:ind w:left="570" w:firstLine="705"/>
        <w:rPr>
          <w:rFonts w:hint="eastAsia" w:ascii="宋体" w:hAnsi="宋体"/>
          <w:color w:val="auto"/>
        </w:rPr>
      </w:pPr>
      <w:r>
        <w:rPr>
          <w:rFonts w:hint="eastAsia" w:ascii="宋体" w:hAnsi="宋体"/>
          <w:color w:val="auto"/>
        </w:rPr>
        <w:t xml:space="preserve">                                             </w:t>
      </w:r>
    </w:p>
    <w:p>
      <w:pPr>
        <w:ind w:left="6787" w:leftChars="-200" w:hanging="7267" w:hangingChars="3028"/>
        <w:jc w:val="right"/>
        <w:rPr>
          <w:rFonts w:hint="eastAsia" w:ascii="宋体" w:hAnsi="宋体"/>
          <w:color w:val="auto"/>
          <w:sz w:val="28"/>
          <w:szCs w:val="28"/>
        </w:rPr>
      </w:pPr>
      <w:r>
        <w:rPr>
          <w:rFonts w:hint="eastAsia" w:ascii="宋体" w:hAnsi="宋体"/>
          <w:color w:val="auto"/>
        </w:rPr>
        <w:t xml:space="preserve">                                                            </w:t>
      </w:r>
      <w:r>
        <w:rPr>
          <w:rFonts w:hint="eastAsia" w:ascii="宋体" w:hAnsi="宋体"/>
          <w:color w:val="auto"/>
          <w:sz w:val="28"/>
          <w:szCs w:val="28"/>
        </w:rPr>
        <w:t>采购中心已备案</w:t>
      </w:r>
      <w:r>
        <w:rPr>
          <w:rFonts w:hint="eastAsia" w:ascii="宋体" w:hAnsi="宋体"/>
          <w:color w:val="auto"/>
        </w:rPr>
        <w:t xml:space="preserve">                                                     </w:t>
      </w:r>
      <w:r>
        <w:rPr>
          <w:rFonts w:hint="eastAsia" w:ascii="宋体" w:hAnsi="宋体"/>
          <w:color w:val="auto"/>
          <w:sz w:val="28"/>
          <w:szCs w:val="28"/>
        </w:rPr>
        <w:t>年</w:t>
      </w:r>
      <w:r>
        <w:rPr>
          <w:rFonts w:hint="eastAsia" w:ascii="宋体" w:hAnsi="宋体"/>
          <w:color w:val="auto"/>
          <w:sz w:val="28"/>
          <w:szCs w:val="28"/>
          <w:lang w:val="en-US" w:eastAsia="zh-CN"/>
        </w:rPr>
        <w:t xml:space="preserve">  </w:t>
      </w:r>
      <w:r>
        <w:rPr>
          <w:rFonts w:hint="eastAsia" w:ascii="宋体" w:hAnsi="宋体"/>
          <w:color w:val="auto"/>
          <w:sz w:val="28"/>
          <w:szCs w:val="28"/>
        </w:rPr>
        <w:t>月</w:t>
      </w:r>
      <w:r>
        <w:rPr>
          <w:rFonts w:hint="eastAsia" w:ascii="宋体" w:hAnsi="宋体"/>
          <w:color w:val="FF0000"/>
          <w:sz w:val="28"/>
          <w:szCs w:val="28"/>
          <w:lang w:val="en-US" w:eastAsia="zh-CN"/>
        </w:rPr>
        <w:t xml:space="preserve">  </w:t>
      </w:r>
      <w:r>
        <w:rPr>
          <w:rFonts w:hint="eastAsia" w:ascii="宋体" w:hAnsi="宋体"/>
          <w:color w:val="auto"/>
          <w:sz w:val="28"/>
          <w:szCs w:val="28"/>
        </w:rPr>
        <w:t>日</w:t>
      </w:r>
    </w:p>
    <w:p>
      <w:pPr>
        <w:rPr>
          <w:rFonts w:hint="eastAsia" w:ascii="宋体" w:hAnsi="宋体"/>
          <w:color w:val="auto"/>
        </w:rPr>
      </w:pPr>
    </w:p>
    <w:p>
      <w:pPr>
        <w:rPr>
          <w:rFonts w:hint="eastAsia" w:ascii="宋体" w:hAnsi="宋体"/>
          <w:color w:val="auto"/>
          <w:sz w:val="30"/>
        </w:rPr>
      </w:pPr>
    </w:p>
    <w:p>
      <w:pPr>
        <w:rPr>
          <w:rFonts w:hint="eastAsia" w:ascii="宋体" w:hAnsi="宋体"/>
          <w:color w:val="auto"/>
          <w:sz w:val="30"/>
          <w:szCs w:val="30"/>
        </w:rPr>
      </w:pPr>
      <w:r>
        <w:rPr>
          <w:rFonts w:hint="eastAsia" w:ascii="宋体" w:hAnsi="宋体"/>
          <w:color w:val="auto"/>
          <w:sz w:val="30"/>
        </w:rPr>
        <w:t>项目编号</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rPr>
          <w:rFonts w:hint="eastAsia" w:ascii="宋体" w:hAnsi="宋体" w:eastAsia="宋体" w:cs="宋体"/>
          <w:b w:val="0"/>
          <w:bCs/>
          <w:color w:val="auto"/>
          <w:sz w:val="30"/>
          <w:szCs w:val="30"/>
        </w:rPr>
      </w:pPr>
      <w:r>
        <w:rPr>
          <w:rFonts w:hint="eastAsia" w:ascii="宋体" w:hAnsi="宋体"/>
          <w:color w:val="auto"/>
          <w:sz w:val="30"/>
          <w:szCs w:val="30"/>
        </w:rPr>
        <w:t>合同编号：</w:t>
      </w:r>
      <w:r>
        <w:rPr>
          <w:rFonts w:hint="eastAsia" w:ascii="宋体" w:hAnsi="宋体"/>
          <w:color w:val="auto"/>
          <w:sz w:val="30"/>
          <w:szCs w:val="30"/>
          <w:u w:val="single"/>
          <w:lang w:val="en-US" w:eastAsia="zh-CN"/>
        </w:rPr>
        <w:t xml:space="preserve">                        </w:t>
      </w:r>
    </w:p>
    <w:p>
      <w:pPr>
        <w:ind w:left="1500" w:hanging="1500" w:hangingChars="500"/>
        <w:rPr>
          <w:rFonts w:hint="eastAsia" w:ascii="宋体" w:hAnsi="宋体"/>
          <w:color w:val="auto"/>
          <w:sz w:val="30"/>
          <w:szCs w:val="30"/>
        </w:rPr>
      </w:pPr>
      <w:r>
        <w:rPr>
          <w:rFonts w:hint="eastAsia" w:ascii="宋体" w:hAnsi="宋体"/>
          <w:color w:val="auto"/>
          <w:sz w:val="30"/>
        </w:rPr>
        <w:t>项目名称：</w:t>
      </w:r>
      <w:r>
        <w:rPr>
          <w:rFonts w:hint="eastAsia" w:ascii="宋体" w:hAnsi="宋体"/>
          <w:color w:val="auto"/>
          <w:sz w:val="30"/>
          <w:u w:val="single"/>
          <w:lang w:val="en-US" w:eastAsia="zh-CN"/>
        </w:rPr>
        <w:t xml:space="preserve">                        </w:t>
      </w:r>
    </w:p>
    <w:p>
      <w:pPr>
        <w:ind w:left="1500" w:right="-382" w:rightChars="-159" w:hanging="1500" w:hangingChars="500"/>
        <w:rPr>
          <w:rFonts w:hint="eastAsia" w:ascii="宋体" w:hAnsi="宋体"/>
          <w:color w:val="auto"/>
          <w:sz w:val="30"/>
          <w:szCs w:val="30"/>
          <w:u w:val="none"/>
        </w:rPr>
      </w:pPr>
      <w:r>
        <w:rPr>
          <w:rFonts w:hint="eastAsia" w:ascii="宋体" w:hAnsi="宋体"/>
          <w:color w:val="auto"/>
          <w:sz w:val="30"/>
          <w:lang w:eastAsia="zh-CN"/>
        </w:rPr>
        <w:t>服务</w:t>
      </w:r>
      <w:r>
        <w:rPr>
          <w:rFonts w:hint="eastAsia" w:ascii="宋体" w:hAnsi="宋体"/>
          <w:color w:val="auto"/>
          <w:sz w:val="30"/>
        </w:rPr>
        <w:t>名称</w:t>
      </w:r>
      <w:r>
        <w:rPr>
          <w:rFonts w:hint="eastAsia" w:ascii="宋体" w:hAnsi="宋体"/>
          <w:b/>
          <w:bCs/>
          <w:color w:val="auto"/>
          <w:sz w:val="30"/>
          <w:szCs w:val="30"/>
          <w:u w:val="none"/>
        </w:rPr>
        <w:t>：</w:t>
      </w:r>
      <w:r>
        <w:rPr>
          <w:rFonts w:hint="eastAsia" w:ascii="宋体" w:hAnsi="宋体"/>
          <w:b/>
          <w:bCs/>
          <w:color w:val="auto"/>
          <w:sz w:val="30"/>
          <w:szCs w:val="30"/>
          <w:u w:val="single"/>
          <w:lang w:val="en-US" w:eastAsia="zh-CN"/>
        </w:rPr>
        <w:t xml:space="preserve">                        </w:t>
      </w: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szCs w:val="30"/>
        </w:rPr>
      </w:pPr>
      <w:r>
        <w:rPr>
          <w:rFonts w:hint="eastAsia" w:ascii="宋体" w:hAnsi="宋体"/>
          <w:color w:val="auto"/>
          <w:sz w:val="30"/>
          <w:lang w:eastAsia="zh-CN"/>
        </w:rPr>
        <w:t>甲</w:t>
      </w:r>
      <w:r>
        <w:rPr>
          <w:rFonts w:hint="eastAsia" w:ascii="宋体" w:hAnsi="宋体"/>
          <w:color w:val="auto"/>
          <w:sz w:val="30"/>
        </w:rPr>
        <w:t xml:space="preserve">    方：</w:t>
      </w:r>
      <w:r>
        <w:rPr>
          <w:rFonts w:hint="eastAsia" w:ascii="宋体" w:hAnsi="宋体"/>
          <w:color w:val="auto"/>
          <w:sz w:val="30"/>
          <w:u w:val="single"/>
          <w:lang w:val="en-US" w:eastAsia="zh-CN"/>
        </w:rPr>
        <w:t xml:space="preserve">                             </w:t>
      </w:r>
      <w:r>
        <w:rPr>
          <w:rFonts w:hint="eastAsia" w:ascii="宋体" w:hAnsi="宋体"/>
          <w:color w:val="auto"/>
          <w:sz w:val="30"/>
          <w:lang w:val="en-US" w:eastAsia="zh-CN"/>
        </w:rPr>
        <w:t xml:space="preserve">    </w:t>
      </w:r>
    </w:p>
    <w:p>
      <w:pPr>
        <w:rPr>
          <w:rFonts w:hint="eastAsia" w:ascii="宋体" w:hAnsi="宋体"/>
          <w:color w:val="auto"/>
          <w:sz w:val="30"/>
          <w:u w:val="single"/>
        </w:rPr>
      </w:pPr>
    </w:p>
    <w:p>
      <w:pPr>
        <w:rPr>
          <w:rFonts w:hint="eastAsia" w:ascii="宋体" w:hAnsi="宋体"/>
          <w:color w:val="auto"/>
          <w:sz w:val="30"/>
          <w:szCs w:val="30"/>
        </w:rPr>
      </w:pPr>
      <w:r>
        <w:rPr>
          <w:rFonts w:hint="eastAsia" w:ascii="宋体" w:hAnsi="宋体"/>
          <w:color w:val="auto"/>
          <w:sz w:val="30"/>
          <w:lang w:eastAsia="zh-CN"/>
        </w:rPr>
        <w:t>乙</w:t>
      </w:r>
      <w:r>
        <w:rPr>
          <w:rFonts w:hint="eastAsia" w:ascii="宋体" w:hAnsi="宋体"/>
          <w:color w:val="auto"/>
          <w:sz w:val="30"/>
        </w:rPr>
        <w:tab/>
      </w:r>
      <w:r>
        <w:rPr>
          <w:rFonts w:hint="eastAsia" w:ascii="宋体" w:hAnsi="宋体"/>
          <w:color w:val="auto"/>
          <w:sz w:val="30"/>
        </w:rPr>
        <w:t xml:space="preserve">   方</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pStyle w:val="4"/>
        <w:ind w:left="0" w:leftChars="0" w:firstLine="0" w:firstLineChars="0"/>
        <w:rPr>
          <w:rFonts w:hint="eastAsia" w:ascii="宋体" w:hAnsi="宋体"/>
          <w:b w:val="0"/>
          <w:bCs w:val="0"/>
          <w:color w:val="auto"/>
          <w:sz w:val="30"/>
        </w:rPr>
      </w:pPr>
      <w:r>
        <w:rPr>
          <w:rFonts w:hint="eastAsia" w:ascii="宋体" w:hAnsi="宋体"/>
          <w:b w:val="0"/>
          <w:bCs w:val="0"/>
          <w:color w:val="auto"/>
          <w:sz w:val="30"/>
        </w:rPr>
        <w:t>签署日期：</w:t>
      </w:r>
      <w:r>
        <w:rPr>
          <w:rFonts w:hint="eastAsia" w:ascii="宋体" w:hAnsi="宋体"/>
          <w:b w:val="0"/>
          <w:bCs w:val="0"/>
          <w:color w:val="auto"/>
          <w:sz w:val="30"/>
          <w:lang w:val="en-US" w:eastAsia="zh-CN"/>
        </w:rPr>
        <w:t xml:space="preserve">   </w:t>
      </w:r>
      <w:r>
        <w:rPr>
          <w:rFonts w:hint="eastAsia" w:ascii="宋体" w:hAnsi="宋体"/>
          <w:b w:val="0"/>
          <w:bCs w:val="0"/>
          <w:color w:val="auto"/>
          <w:sz w:val="30"/>
        </w:rPr>
        <w:t>年</w:t>
      </w:r>
      <w:r>
        <w:rPr>
          <w:rFonts w:hint="eastAsia" w:ascii="宋体" w:hAnsi="宋体"/>
          <w:b w:val="0"/>
          <w:bCs w:val="0"/>
          <w:color w:val="auto"/>
          <w:sz w:val="30"/>
          <w:lang w:val="en-US" w:eastAsia="zh-CN"/>
        </w:rPr>
        <w:t xml:space="preserve">  </w:t>
      </w:r>
      <w:r>
        <w:rPr>
          <w:rFonts w:hint="eastAsia" w:ascii="宋体" w:hAnsi="宋体"/>
          <w:b w:val="0"/>
          <w:bCs w:val="0"/>
          <w:color w:val="auto"/>
          <w:sz w:val="30"/>
        </w:rPr>
        <w:t>月</w:t>
      </w:r>
      <w:r>
        <w:rPr>
          <w:rFonts w:hint="eastAsia" w:ascii="宋体" w:hAnsi="宋体"/>
          <w:b w:val="0"/>
          <w:bCs w:val="0"/>
          <w:color w:val="auto"/>
          <w:sz w:val="30"/>
          <w:lang w:val="en-US" w:eastAsia="zh-CN"/>
        </w:rPr>
        <w:t xml:space="preserve"> </w:t>
      </w:r>
      <w:r>
        <w:rPr>
          <w:rFonts w:hint="eastAsia" w:ascii="宋体" w:hAnsi="宋体"/>
          <w:b w:val="0"/>
          <w:bCs w:val="0"/>
          <w:color w:val="FF0000"/>
          <w:sz w:val="30"/>
          <w:lang w:val="en-US" w:eastAsia="zh-CN"/>
        </w:rPr>
        <w:t xml:space="preserve"> </w:t>
      </w:r>
      <w:r>
        <w:rPr>
          <w:rFonts w:hint="eastAsia" w:ascii="宋体" w:hAnsi="宋体"/>
          <w:b w:val="0"/>
          <w:bCs w:val="0"/>
          <w:color w:val="auto"/>
          <w:sz w:val="30"/>
        </w:rPr>
        <w:t>日</w:t>
      </w: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   同  书</w:t>
      </w:r>
    </w:p>
    <w:p>
      <w:pPr>
        <w:keepNext w:val="0"/>
        <w:keepLines w:val="0"/>
        <w:pageBreakBefore w:val="0"/>
        <w:widowControl w:val="0"/>
        <w:kinsoku/>
        <w:wordWrap/>
        <w:overflowPunct/>
        <w:topLinePunct w:val="0"/>
        <w:autoSpaceDE/>
        <w:autoSpaceDN/>
        <w:bidi w:val="0"/>
        <w:adjustRightInd/>
        <w:snapToGrid/>
        <w:spacing w:line="360" w:lineRule="auto"/>
        <w:ind w:left="22" w:leftChars="9" w:right="0" w:rightChars="0" w:firstLine="818" w:firstLineChars="341"/>
        <w:textAlignment w:val="auto"/>
        <w:outlineLvl w:val="9"/>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  （甲方）   </w:t>
      </w:r>
      <w:r>
        <w:rPr>
          <w:rFonts w:hint="eastAsia" w:ascii="宋体" w:hAnsi="宋体" w:eastAsia="宋体" w:cs="宋体"/>
          <w:color w:val="auto"/>
          <w:sz w:val="24"/>
          <w:szCs w:val="24"/>
        </w:rPr>
        <w:t>在</w:t>
      </w:r>
      <w:r>
        <w:rPr>
          <w:rFonts w:hint="eastAsia" w:ascii="宋体" w:hAnsi="宋体" w:eastAsia="宋体" w:cs="宋体"/>
          <w:bCs/>
          <w:color w:val="auto"/>
          <w:sz w:val="24"/>
          <w:szCs w:val="24"/>
          <w:u w:val="single"/>
          <w:lang w:val="en-US" w:eastAsia="zh-CN"/>
        </w:rPr>
        <w:t xml:space="preserve">   （项目名称）  </w:t>
      </w:r>
      <w:r>
        <w:rPr>
          <w:rFonts w:hint="eastAsia" w:ascii="宋体" w:hAnsi="宋体" w:eastAsia="宋体" w:cs="宋体"/>
          <w:color w:val="auto"/>
          <w:sz w:val="24"/>
          <w:szCs w:val="24"/>
        </w:rPr>
        <w:t>中所需</w:t>
      </w:r>
      <w:r>
        <w:rPr>
          <w:rFonts w:hint="eastAsia" w:ascii="宋体" w:hAnsi="宋体" w:eastAsia="宋体" w:cs="宋体"/>
          <w:bCs/>
          <w:color w:val="auto"/>
          <w:sz w:val="24"/>
          <w:szCs w:val="24"/>
          <w:u w:val="single"/>
          <w:lang w:val="en-US" w:eastAsia="zh-CN"/>
        </w:rPr>
        <w:t>（服务名称）</w:t>
      </w:r>
      <w:r>
        <w:rPr>
          <w:rFonts w:hint="eastAsia" w:ascii="宋体" w:hAnsi="宋体" w:eastAsia="宋体" w:cs="宋体"/>
          <w:color w:val="auto"/>
          <w:sz w:val="24"/>
          <w:szCs w:val="24"/>
        </w:rPr>
        <w:t>经北京市石景山区政府采购中心以</w:t>
      </w:r>
      <w:r>
        <w:rPr>
          <w:rFonts w:hint="eastAsia" w:ascii="宋体" w:hAnsi="宋体" w:eastAsia="宋体" w:cs="宋体"/>
          <w:color w:val="auto"/>
          <w:sz w:val="24"/>
          <w:szCs w:val="24"/>
          <w:u w:val="single"/>
          <w:lang w:val="en-US" w:eastAsia="zh-CN"/>
        </w:rPr>
        <w:t xml:space="preserve"> （项目编号）</w:t>
      </w:r>
      <w:r>
        <w:rPr>
          <w:rFonts w:hint="eastAsia" w:ascii="宋体" w:hAnsi="宋体" w:eastAsia="宋体" w:cs="宋体"/>
          <w:color w:val="auto"/>
          <w:sz w:val="24"/>
          <w:szCs w:val="24"/>
          <w:u w:val="single"/>
        </w:rPr>
        <w:t>号</w:t>
      </w:r>
      <w:r>
        <w:rPr>
          <w:rFonts w:hint="eastAsia" w:ascii="宋体" w:hAnsi="宋体" w:eastAsia="宋体" w:cs="宋体"/>
          <w:color w:val="auto"/>
          <w:sz w:val="24"/>
          <w:szCs w:val="24"/>
        </w:rPr>
        <w:t>招标文件在国内公开招标。经评标委员会评定</w:t>
      </w:r>
      <w:r>
        <w:rPr>
          <w:rFonts w:hint="eastAsia" w:ascii="宋体" w:hAnsi="宋体" w:eastAsia="宋体" w:cs="宋体"/>
          <w:color w:val="auto"/>
          <w:sz w:val="24"/>
          <w:szCs w:val="24"/>
          <w:u w:val="single"/>
          <w:lang w:val="en-US" w:eastAsia="zh-CN"/>
        </w:rPr>
        <w:t xml:space="preserve">  （乙方）  </w:t>
      </w:r>
      <w:r>
        <w:rPr>
          <w:rFonts w:hint="eastAsia" w:ascii="宋体" w:hAnsi="宋体" w:eastAsia="宋体" w:cs="宋体"/>
          <w:color w:val="auto"/>
          <w:sz w:val="24"/>
          <w:szCs w:val="24"/>
        </w:rPr>
        <w:t>为中标人。</w:t>
      </w:r>
      <w:r>
        <w:rPr>
          <w:rFonts w:hint="eastAsia" w:ascii="宋体" w:hAnsi="宋体" w:eastAsia="宋体" w:cs="宋体"/>
          <w:color w:val="auto"/>
          <w:sz w:val="24"/>
          <w:szCs w:val="24"/>
          <w:lang w:eastAsia="zh-CN"/>
        </w:rPr>
        <w:t>甲、乙</w:t>
      </w:r>
      <w:r>
        <w:rPr>
          <w:rFonts w:hint="eastAsia" w:ascii="宋体" w:hAnsi="宋体" w:eastAsia="宋体" w:cs="宋体"/>
          <w:color w:val="auto"/>
          <w:sz w:val="24"/>
          <w:szCs w:val="24"/>
        </w:rPr>
        <w:t>双方同意按照下面的条款和条件，签署本合同。</w:t>
      </w:r>
    </w:p>
    <w:p>
      <w:pPr>
        <w:spacing w:line="360" w:lineRule="auto"/>
        <w:ind w:left="410" w:leftChars="171" w:firstLine="480" w:firstLineChars="200"/>
        <w:rPr>
          <w:rFonts w:hint="eastAsia" w:ascii="宋体" w:hAnsi="宋体" w:eastAsia="宋体" w:cs="宋体"/>
          <w:color w:val="auto"/>
          <w:sz w:val="24"/>
          <w:szCs w:val="24"/>
        </w:rPr>
      </w:pPr>
    </w:p>
    <w:p>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sz w:val="24"/>
          <w:szCs w:val="24"/>
        </w:rPr>
        <w:t>合同文件：</w:t>
      </w:r>
      <w:r>
        <w:rPr>
          <w:rFonts w:hint="eastAsia" w:ascii="宋体" w:hAnsi="宋体" w:eastAsia="宋体" w:cs="宋体"/>
          <w:color w:val="auto"/>
          <w:sz w:val="24"/>
          <w:szCs w:val="24"/>
        </w:rPr>
        <w:t>下列文件构成本合同的组成部分，应该认为是一个整体，彼此相互解释，相互补充。为便于解释，组成合同的多个文件的优先支配地位的次序如下：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本合同书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中标通知书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补充</w:t>
      </w:r>
      <w:r>
        <w:rPr>
          <w:rFonts w:hint="eastAsia" w:ascii="宋体" w:hAnsi="宋体" w:eastAsia="宋体" w:cs="宋体"/>
          <w:color w:val="auto"/>
          <w:sz w:val="24"/>
          <w:szCs w:val="24"/>
        </w:rPr>
        <w:t>协议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投标文件       （含澄清文件）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招标文件       （含招标文件补充通知）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服务清单</w:t>
      </w:r>
      <w:r>
        <w:rPr>
          <w:rFonts w:hint="eastAsia" w:ascii="宋体" w:hAnsi="宋体" w:eastAsia="宋体" w:cs="宋体"/>
          <w:color w:val="auto"/>
          <w:sz w:val="24"/>
          <w:szCs w:val="24"/>
        </w:rPr>
        <w:t xml:space="preserve">       （附合同后）</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二、定义：本合同中的下列术语应解释为：</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1、“合同”系指甲乙双方签署的,合同格式中载明双方所达成的协议,包括构成合同的所有的附件、附录和构成合同的所有文件。</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2、“合同价”系指根据合同规定,在乙方正确、完全履行合同义务后，甲方应付的价格。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eastAsia="zh-CN"/>
        </w:rPr>
        <w:t>服务</w:t>
      </w:r>
      <w:r>
        <w:rPr>
          <w:rFonts w:hint="eastAsia" w:ascii="宋体" w:hAnsi="宋体" w:eastAsia="宋体" w:cs="宋体"/>
          <w:sz w:val="24"/>
          <w:szCs w:val="24"/>
        </w:rPr>
        <w:t>”系指乙方根据合同规定须向甲方提供的</w:t>
      </w:r>
      <w:r>
        <w:rPr>
          <w:rFonts w:hint="eastAsia" w:ascii="宋体" w:hAnsi="宋体" w:eastAsia="宋体" w:cs="宋体"/>
          <w:sz w:val="24"/>
          <w:szCs w:val="24"/>
          <w:lang w:eastAsia="zh-CN"/>
        </w:rPr>
        <w:t>本次招标采购</w:t>
      </w:r>
      <w:r>
        <w:rPr>
          <w:rFonts w:hint="eastAsia" w:ascii="宋体" w:hAnsi="宋体" w:eastAsia="宋体" w:cs="宋体"/>
          <w:sz w:val="24"/>
          <w:szCs w:val="24"/>
        </w:rPr>
        <w:t>所有</w:t>
      </w:r>
      <w:r>
        <w:rPr>
          <w:rFonts w:hint="eastAsia" w:ascii="宋体" w:hAnsi="宋体" w:eastAsia="宋体" w:cs="宋体"/>
          <w:sz w:val="24"/>
          <w:szCs w:val="24"/>
          <w:lang w:eastAsia="zh-CN"/>
        </w:rPr>
        <w:t>服务内容</w:t>
      </w:r>
      <w:r>
        <w:rPr>
          <w:rFonts w:hint="eastAsia" w:ascii="宋体" w:hAnsi="宋体" w:eastAsia="宋体" w:cs="宋体"/>
          <w:sz w:val="24"/>
          <w:szCs w:val="24"/>
        </w:rPr>
        <w:t>、技术资料及其它材料。</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三、采购</w:t>
      </w:r>
      <w:r>
        <w:rPr>
          <w:rFonts w:hint="eastAsia" w:ascii="宋体" w:hAnsi="宋体" w:eastAsia="宋体" w:cs="宋体"/>
          <w:sz w:val="24"/>
          <w:szCs w:val="24"/>
          <w:lang w:eastAsia="zh-CN"/>
        </w:rPr>
        <w:t>服务内容</w:t>
      </w:r>
      <w:r>
        <w:rPr>
          <w:rFonts w:hint="eastAsia" w:ascii="宋体" w:hAnsi="宋体" w:eastAsia="宋体" w:cs="宋体"/>
          <w:sz w:val="24"/>
          <w:szCs w:val="24"/>
        </w:rPr>
        <w:t>及数量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服务</w:t>
      </w:r>
      <w:r>
        <w:rPr>
          <w:rFonts w:hint="eastAsia" w:ascii="宋体" w:hAnsi="宋体" w:eastAsia="宋体" w:cs="宋体"/>
          <w:sz w:val="24"/>
          <w:szCs w:val="24"/>
        </w:rPr>
        <w:t xml:space="preserve">名称： </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u w:val="single"/>
        </w:rPr>
      </w:pPr>
      <w:r>
        <w:rPr>
          <w:rFonts w:hint="eastAsia" w:ascii="宋体" w:hAnsi="宋体" w:eastAsia="宋体" w:cs="宋体"/>
          <w:sz w:val="24"/>
          <w:szCs w:val="24"/>
        </w:rPr>
        <w:t xml:space="preserve">    采购数量： </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价格：</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四、技术规格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1、乙方提供的</w:t>
      </w:r>
      <w:r>
        <w:rPr>
          <w:rFonts w:hint="eastAsia" w:ascii="宋体" w:hAnsi="宋体" w:eastAsia="宋体" w:cs="宋体"/>
          <w:sz w:val="24"/>
          <w:szCs w:val="24"/>
          <w:lang w:eastAsia="zh-CN"/>
        </w:rPr>
        <w:t>服务</w:t>
      </w:r>
      <w:r>
        <w:rPr>
          <w:rFonts w:hint="eastAsia" w:ascii="宋体" w:hAnsi="宋体" w:eastAsia="宋体" w:cs="宋体"/>
          <w:sz w:val="24"/>
          <w:szCs w:val="24"/>
        </w:rPr>
        <w:t>的技术规格、功能</w:t>
      </w:r>
      <w:r>
        <w:rPr>
          <w:rFonts w:hint="eastAsia" w:ascii="宋体" w:hAnsi="宋体" w:eastAsia="宋体" w:cs="宋体"/>
          <w:sz w:val="24"/>
          <w:szCs w:val="24"/>
          <w:lang w:eastAsia="zh-CN"/>
        </w:rPr>
        <w:t>架</w:t>
      </w:r>
      <w:r>
        <w:rPr>
          <w:rFonts w:hint="eastAsia" w:ascii="宋体" w:hAnsi="宋体" w:eastAsia="宋体" w:cs="宋体"/>
          <w:sz w:val="24"/>
          <w:szCs w:val="24"/>
        </w:rPr>
        <w:t>构等应与其投标文件中的相关内容及技术资料等相关内容一致。</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2、当所供</w:t>
      </w:r>
      <w:r>
        <w:rPr>
          <w:rFonts w:hint="eastAsia" w:ascii="宋体" w:hAnsi="宋体" w:eastAsia="宋体" w:cs="宋体"/>
          <w:sz w:val="24"/>
          <w:szCs w:val="24"/>
          <w:lang w:eastAsia="zh-CN"/>
        </w:rPr>
        <w:t>服务内容</w:t>
      </w:r>
      <w:r>
        <w:rPr>
          <w:rFonts w:hint="eastAsia" w:ascii="宋体" w:hAnsi="宋体" w:eastAsia="宋体" w:cs="宋体"/>
          <w:sz w:val="24"/>
          <w:szCs w:val="24"/>
        </w:rPr>
        <w:t>、价格、</w:t>
      </w:r>
      <w:r>
        <w:rPr>
          <w:rFonts w:hint="eastAsia" w:ascii="宋体" w:hAnsi="宋体" w:eastAsia="宋体" w:cs="宋体"/>
          <w:sz w:val="24"/>
          <w:szCs w:val="24"/>
          <w:lang w:eastAsia="zh-CN"/>
        </w:rPr>
        <w:t>售后</w:t>
      </w:r>
      <w:r>
        <w:rPr>
          <w:rFonts w:hint="eastAsia" w:ascii="宋体" w:hAnsi="宋体" w:eastAsia="宋体" w:cs="宋体"/>
          <w:sz w:val="24"/>
          <w:szCs w:val="24"/>
        </w:rPr>
        <w:t>服务等与</w:t>
      </w:r>
      <w:r>
        <w:rPr>
          <w:rFonts w:hint="eastAsia" w:ascii="宋体" w:hAnsi="宋体" w:eastAsia="宋体" w:cs="宋体"/>
          <w:sz w:val="24"/>
          <w:szCs w:val="24"/>
          <w:lang w:eastAsia="zh-CN"/>
        </w:rPr>
        <w:t>投标文件</w:t>
      </w:r>
      <w:r>
        <w:rPr>
          <w:rFonts w:hint="eastAsia" w:ascii="宋体" w:hAnsi="宋体" w:eastAsia="宋体" w:cs="宋体"/>
          <w:sz w:val="24"/>
          <w:szCs w:val="24"/>
        </w:rPr>
        <w:t>不一致时,</w:t>
      </w:r>
      <w:r>
        <w:rPr>
          <w:rFonts w:hint="eastAsia" w:ascii="宋体" w:hAnsi="宋体" w:eastAsia="宋体" w:cs="宋体"/>
          <w:color w:val="000000"/>
          <w:sz w:val="24"/>
          <w:szCs w:val="24"/>
          <w:lang w:eastAsia="zh-CN"/>
        </w:rPr>
        <w:t>乙</w:t>
      </w:r>
      <w:r>
        <w:rPr>
          <w:rFonts w:hint="eastAsia" w:ascii="宋体" w:hAnsi="宋体" w:eastAsia="宋体" w:cs="宋体"/>
          <w:color w:val="000000"/>
          <w:sz w:val="24"/>
          <w:szCs w:val="24"/>
        </w:rPr>
        <w:t>方</w:t>
      </w:r>
      <w:r>
        <w:rPr>
          <w:rFonts w:hint="eastAsia" w:ascii="宋体" w:hAnsi="宋体" w:eastAsia="宋体" w:cs="宋体"/>
          <w:sz w:val="24"/>
          <w:szCs w:val="24"/>
        </w:rPr>
        <w:t>应提出书面申请。</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3、乙方承诺投标文件中有关技术资料的正偏离</w:t>
      </w:r>
      <w:r>
        <w:rPr>
          <w:rFonts w:hint="eastAsia" w:ascii="宋体" w:hAnsi="宋体" w:eastAsia="宋体" w:cs="宋体"/>
          <w:sz w:val="24"/>
          <w:szCs w:val="24"/>
          <w:lang w:eastAsia="zh-CN"/>
        </w:rPr>
        <w:t>指标</w:t>
      </w:r>
      <w:r>
        <w:rPr>
          <w:rFonts w:hint="eastAsia" w:ascii="宋体" w:hAnsi="宋体" w:eastAsia="宋体" w:cs="宋体"/>
          <w:sz w:val="24"/>
          <w:szCs w:val="24"/>
        </w:rPr>
        <w:t>具有向下指标的兼容性。</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五、权利保证</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1、乙方应保证对其提供的</w:t>
      </w:r>
      <w:r>
        <w:rPr>
          <w:rFonts w:hint="eastAsia" w:ascii="宋体" w:hAnsi="宋体" w:eastAsia="宋体" w:cs="宋体"/>
          <w:sz w:val="24"/>
          <w:szCs w:val="24"/>
          <w:lang w:eastAsia="zh-CN"/>
        </w:rPr>
        <w:t>服务</w:t>
      </w:r>
      <w:r>
        <w:rPr>
          <w:rFonts w:hint="eastAsia" w:ascii="宋体" w:hAnsi="宋体" w:eastAsia="宋体" w:cs="宋体"/>
          <w:sz w:val="24"/>
          <w:szCs w:val="24"/>
        </w:rPr>
        <w:t>拥有合法的所有权。</w:t>
      </w:r>
      <w:r>
        <w:rPr>
          <w:rFonts w:hint="eastAsia" w:ascii="宋体" w:hAnsi="宋体" w:eastAsia="宋体" w:cs="宋体"/>
          <w:color w:val="000000"/>
          <w:sz w:val="24"/>
          <w:szCs w:val="24"/>
        </w:rPr>
        <w:t>若乙</w:t>
      </w:r>
      <w:r>
        <w:rPr>
          <w:rFonts w:hint="eastAsia" w:ascii="宋体" w:hAnsi="宋体" w:eastAsia="宋体" w:cs="宋体"/>
          <w:sz w:val="24"/>
          <w:szCs w:val="24"/>
        </w:rPr>
        <w:t>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包含任何知识产权，乙方应保证不侵犯任何第三方的知识产权。对乙方所交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引起的任何所有权、知识产权纠纷，乙方应以自己的费用解决，同时乙方要赔偿甲方因此而遭受的经济损失（包括但不限于法院诉讼的费用、律师费、损害赔偿费、罚款等）。</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乙方保证在</w:t>
      </w:r>
      <w:r>
        <w:rPr>
          <w:rFonts w:hint="eastAsia" w:ascii="宋体" w:hAnsi="宋体" w:eastAsia="宋体" w:cs="宋体"/>
          <w:color w:val="000000"/>
          <w:sz w:val="24"/>
          <w:szCs w:val="24"/>
          <w:lang w:eastAsia="zh-CN"/>
        </w:rPr>
        <w:t>服务内容</w:t>
      </w:r>
      <w:r>
        <w:rPr>
          <w:rFonts w:hint="eastAsia" w:ascii="宋体" w:hAnsi="宋体" w:eastAsia="宋体" w:cs="宋体"/>
          <w:color w:val="000000"/>
          <w:sz w:val="24"/>
          <w:szCs w:val="24"/>
        </w:rPr>
        <w:t>上不存在其他任何第三人的担保物权。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3、乙方保证</w:t>
      </w:r>
      <w:r>
        <w:rPr>
          <w:rFonts w:hint="eastAsia" w:ascii="宋体" w:hAnsi="宋体" w:eastAsia="宋体" w:cs="宋体"/>
          <w:sz w:val="24"/>
          <w:szCs w:val="24"/>
          <w:lang w:eastAsia="zh-CN"/>
        </w:rPr>
        <w:t>服务内容</w:t>
      </w:r>
      <w:r>
        <w:rPr>
          <w:rFonts w:hint="eastAsia" w:ascii="宋体" w:hAnsi="宋体" w:eastAsia="宋体" w:cs="宋体"/>
          <w:sz w:val="24"/>
          <w:szCs w:val="24"/>
        </w:rPr>
        <w:t>不侵犯任何第三人的姓名权、名称权、肖像权、荣誉权等人身权。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4、如上所述的诉讼或其他法律程序禁止甲方使用</w:t>
      </w:r>
      <w:r>
        <w:rPr>
          <w:rFonts w:hint="eastAsia" w:ascii="宋体" w:hAnsi="宋体" w:eastAsia="宋体" w:cs="宋体"/>
          <w:sz w:val="24"/>
          <w:szCs w:val="24"/>
          <w:lang w:eastAsia="zh-CN"/>
        </w:rPr>
        <w:t>服务内容</w:t>
      </w:r>
      <w:r>
        <w:rPr>
          <w:rFonts w:hint="eastAsia" w:ascii="宋体" w:hAnsi="宋体" w:eastAsia="宋体" w:cs="宋体"/>
          <w:sz w:val="24"/>
          <w:szCs w:val="24"/>
        </w:rPr>
        <w:t>，乙方应赔偿甲方因此而受到的损失。对于甲方购买的</w:t>
      </w:r>
      <w:r>
        <w:rPr>
          <w:rFonts w:hint="eastAsia" w:ascii="宋体" w:hAnsi="宋体" w:eastAsia="宋体" w:cs="宋体"/>
          <w:sz w:val="24"/>
          <w:szCs w:val="24"/>
          <w:lang w:eastAsia="zh-CN"/>
        </w:rPr>
        <w:t>服务</w:t>
      </w:r>
      <w:r>
        <w:rPr>
          <w:rFonts w:hint="eastAsia" w:ascii="宋体" w:hAnsi="宋体" w:eastAsia="宋体" w:cs="宋体"/>
          <w:sz w:val="24"/>
          <w:szCs w:val="24"/>
        </w:rPr>
        <w:t>，乙方应当：</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1）自付费用向销售人取得使用</w:t>
      </w:r>
      <w:r>
        <w:rPr>
          <w:rFonts w:hint="eastAsia" w:ascii="宋体" w:hAnsi="宋体" w:eastAsia="宋体" w:cs="宋体"/>
          <w:sz w:val="24"/>
          <w:szCs w:val="24"/>
          <w:lang w:eastAsia="zh-CN"/>
        </w:rPr>
        <w:t>服务</w:t>
      </w:r>
      <w:r>
        <w:rPr>
          <w:rFonts w:hint="eastAsia" w:ascii="宋体" w:hAnsi="宋体" w:eastAsia="宋体" w:cs="宋体"/>
          <w:sz w:val="24"/>
          <w:szCs w:val="24"/>
        </w:rPr>
        <w:t>的许可。</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2）自负风险及费用并退回甲方已支付的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六、</w:t>
      </w:r>
      <w:r>
        <w:rPr>
          <w:rFonts w:hint="eastAsia" w:ascii="宋体" w:hAnsi="宋体" w:eastAsia="宋体" w:cs="宋体"/>
          <w:sz w:val="24"/>
          <w:szCs w:val="24"/>
          <w:lang w:eastAsia="zh-CN"/>
        </w:rPr>
        <w:t>服务交付</w:t>
      </w:r>
      <w:r>
        <w:rPr>
          <w:rFonts w:hint="eastAsia" w:ascii="宋体" w:hAnsi="宋体" w:eastAsia="宋体" w:cs="宋体"/>
          <w:sz w:val="24"/>
          <w:szCs w:val="24"/>
        </w:rPr>
        <w:t>时间</w:t>
      </w:r>
      <w:r>
        <w:rPr>
          <w:rFonts w:hint="eastAsia" w:ascii="宋体" w:hAnsi="宋体" w:eastAsia="宋体" w:cs="宋体"/>
          <w:sz w:val="24"/>
          <w:szCs w:val="24"/>
          <w:lang w:eastAsia="zh-CN"/>
        </w:rPr>
        <w:t>及交付地点</w:t>
      </w:r>
    </w:p>
    <w:p>
      <w:pPr>
        <w:spacing w:line="360" w:lineRule="auto"/>
        <w:ind w:right="113" w:rightChars="47" w:firstLine="717" w:firstLineChars="299"/>
        <w:rPr>
          <w:rFonts w:hint="eastAsia" w:ascii="宋体" w:hAnsi="宋体" w:eastAsia="宋体" w:cs="宋体"/>
          <w:sz w:val="24"/>
          <w:szCs w:val="24"/>
        </w:rPr>
      </w:pPr>
      <w:r>
        <w:rPr>
          <w:rFonts w:hint="eastAsia" w:ascii="宋体" w:hAnsi="宋体" w:eastAsia="宋体" w:cs="宋体"/>
          <w:sz w:val="24"/>
          <w:szCs w:val="24"/>
          <w:lang w:eastAsia="zh-CN"/>
        </w:rPr>
        <w:t>服务交付</w:t>
      </w:r>
      <w:r>
        <w:rPr>
          <w:rFonts w:hint="eastAsia" w:ascii="宋体" w:hAnsi="宋体" w:eastAsia="宋体" w:cs="宋体"/>
          <w:sz w:val="24"/>
          <w:szCs w:val="24"/>
        </w:rPr>
        <w:t>时间自合同签订之日起不超过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个日历日。供货商应将</w:t>
      </w:r>
      <w:r>
        <w:rPr>
          <w:rFonts w:hint="eastAsia" w:ascii="宋体" w:hAnsi="宋体" w:eastAsia="宋体" w:cs="宋体"/>
          <w:sz w:val="24"/>
          <w:szCs w:val="24"/>
          <w:lang w:eastAsia="zh-CN"/>
        </w:rPr>
        <w:t>所有服务按</w:t>
      </w:r>
      <w:r>
        <w:rPr>
          <w:rFonts w:hint="eastAsia" w:ascii="宋体" w:hAnsi="宋体" w:eastAsia="宋体" w:cs="宋体"/>
          <w:sz w:val="24"/>
          <w:szCs w:val="24"/>
        </w:rPr>
        <w:t>甲方</w:t>
      </w:r>
      <w:r>
        <w:rPr>
          <w:rFonts w:hint="eastAsia" w:ascii="宋体" w:hAnsi="宋体" w:eastAsia="宋体" w:cs="宋体"/>
          <w:sz w:val="24"/>
          <w:szCs w:val="24"/>
          <w:lang w:eastAsia="zh-CN"/>
        </w:rPr>
        <w:t>指定地点交付，</w:t>
      </w:r>
      <w:r>
        <w:rPr>
          <w:rFonts w:hint="eastAsia" w:ascii="宋体" w:hAnsi="宋体" w:eastAsia="宋体" w:cs="宋体"/>
          <w:sz w:val="24"/>
          <w:szCs w:val="24"/>
        </w:rPr>
        <w:t>涉及的全部费用均由乙方承担。</w:t>
      </w:r>
    </w:p>
    <w:p>
      <w:pPr>
        <w:spacing w:line="360" w:lineRule="auto"/>
        <w:ind w:right="113" w:rightChars="47" w:firstLine="477" w:firstLineChars="199"/>
        <w:rPr>
          <w:rFonts w:hint="eastAsia" w:ascii="宋体" w:hAnsi="宋体" w:eastAsia="宋体" w:cs="宋体"/>
          <w:color w:val="FF9900"/>
          <w:sz w:val="24"/>
          <w:szCs w:val="24"/>
        </w:rPr>
      </w:pPr>
      <w:r>
        <w:rPr>
          <w:rFonts w:hint="eastAsia" w:ascii="宋体" w:hAnsi="宋体" w:eastAsia="宋体" w:cs="宋体"/>
          <w:sz w:val="24"/>
          <w:szCs w:val="24"/>
          <w:lang w:eastAsia="zh-CN"/>
        </w:rPr>
        <w:t>七</w:t>
      </w:r>
      <w:r>
        <w:rPr>
          <w:rFonts w:hint="eastAsia" w:ascii="宋体" w:hAnsi="宋体" w:eastAsia="宋体" w:cs="宋体"/>
          <w:sz w:val="24"/>
          <w:szCs w:val="24"/>
        </w:rPr>
        <w:t>、</w:t>
      </w:r>
      <w:r>
        <w:rPr>
          <w:rFonts w:hint="eastAsia" w:ascii="宋体" w:hAnsi="宋体" w:eastAsia="宋体" w:cs="宋体"/>
          <w:sz w:val="24"/>
          <w:szCs w:val="24"/>
          <w:lang w:eastAsia="zh-CN"/>
        </w:rPr>
        <w:t>款项</w:t>
      </w:r>
      <w:r>
        <w:rPr>
          <w:rFonts w:hint="eastAsia" w:ascii="宋体" w:hAnsi="宋体" w:eastAsia="宋体" w:cs="宋体"/>
          <w:sz w:val="24"/>
          <w:szCs w:val="24"/>
        </w:rPr>
        <w:t>支付：</w:t>
      </w:r>
    </w:p>
    <w:p>
      <w:pPr>
        <w:spacing w:line="560" w:lineRule="exact"/>
        <w:ind w:firstLine="480"/>
        <w:rPr>
          <w:rFonts w:hint="eastAsia" w:ascii="宋体" w:hAnsi="宋体"/>
          <w:color w:val="auto"/>
          <w:sz w:val="24"/>
        </w:rPr>
      </w:pPr>
      <w:r>
        <w:rPr>
          <w:rFonts w:hint="eastAsia" w:ascii="宋体" w:hAnsi="宋体"/>
          <w:color w:val="auto"/>
          <w:sz w:val="24"/>
        </w:rPr>
        <w:t>本合同的付款方式为：</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p>
      <w:pPr>
        <w:spacing w:line="360" w:lineRule="auto"/>
        <w:ind w:right="113" w:rightChars="47" w:firstLine="477" w:firstLineChars="19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八</w:t>
      </w:r>
      <w:r>
        <w:rPr>
          <w:rFonts w:hint="eastAsia" w:ascii="宋体" w:hAnsi="宋体" w:eastAsia="宋体" w:cs="宋体"/>
          <w:sz w:val="24"/>
          <w:szCs w:val="24"/>
        </w:rPr>
        <w:t>、技术资料</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服务交付</w:t>
      </w:r>
      <w:r>
        <w:rPr>
          <w:rFonts w:hint="eastAsia" w:ascii="宋体" w:hAnsi="宋体" w:eastAsia="宋体" w:cs="宋体"/>
          <w:sz w:val="24"/>
          <w:szCs w:val="24"/>
        </w:rPr>
        <w:t>时，乙方应将</w:t>
      </w:r>
      <w:r>
        <w:rPr>
          <w:rFonts w:hint="eastAsia" w:ascii="宋体" w:hAnsi="宋体" w:eastAsia="宋体" w:cs="宋体"/>
          <w:sz w:val="24"/>
          <w:szCs w:val="24"/>
          <w:lang w:eastAsia="zh-CN"/>
        </w:rPr>
        <w:t>所提供服务</w:t>
      </w:r>
      <w:r>
        <w:rPr>
          <w:rFonts w:hint="eastAsia" w:ascii="宋体" w:hAnsi="宋体" w:eastAsia="宋体" w:cs="宋体"/>
          <w:sz w:val="24"/>
          <w:szCs w:val="24"/>
        </w:rPr>
        <w:t>的完整技术资料、售后服务承诺书等材料交给甲方指定单位，技术资料、售后服务承诺书应该与投标文件相一致。以上材料构成乙方是否正确履行合同的依据之一。</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2、甲方因使用需要，有翻译成其它文字和复印的权利。</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九</w:t>
      </w:r>
      <w:r>
        <w:rPr>
          <w:rFonts w:hint="eastAsia" w:ascii="宋体" w:hAnsi="宋体" w:eastAsia="宋体" w:cs="宋体"/>
          <w:sz w:val="24"/>
          <w:szCs w:val="24"/>
        </w:rPr>
        <w:t>、质量保证</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1、乙方应保证</w:t>
      </w:r>
      <w:r>
        <w:rPr>
          <w:rFonts w:hint="eastAsia" w:ascii="宋体" w:hAnsi="宋体" w:eastAsia="宋体" w:cs="宋体"/>
          <w:sz w:val="24"/>
          <w:szCs w:val="24"/>
          <w:lang w:eastAsia="zh-CN"/>
        </w:rPr>
        <w:t>所提供的服务</w:t>
      </w:r>
      <w:r>
        <w:rPr>
          <w:rFonts w:hint="eastAsia" w:ascii="宋体" w:hAnsi="宋体" w:eastAsia="宋体" w:cs="宋体"/>
          <w:sz w:val="24"/>
          <w:szCs w:val="24"/>
        </w:rPr>
        <w:t>是完全符合合同规定的规格和性能等要求。在最终验收后的质量保证期之内，乙方应对由于设计</w:t>
      </w:r>
      <w:r>
        <w:rPr>
          <w:rFonts w:hint="eastAsia" w:ascii="宋体" w:hAnsi="宋体" w:eastAsia="宋体" w:cs="宋体"/>
          <w:sz w:val="24"/>
          <w:szCs w:val="24"/>
          <w:lang w:eastAsia="zh-CN"/>
        </w:rPr>
        <w:t>、功能等</w:t>
      </w:r>
      <w:r>
        <w:rPr>
          <w:rFonts w:hint="eastAsia" w:ascii="宋体" w:hAnsi="宋体" w:eastAsia="宋体" w:cs="宋体"/>
          <w:sz w:val="24"/>
          <w:szCs w:val="24"/>
        </w:rPr>
        <w:t>缺陷而产生的任何不足或故障负责，费用由乙方负担。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2、本合同涉及质量保证以招标文件为准。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3、本合同涉及质量保证期以投标</w:t>
      </w:r>
      <w:r>
        <w:rPr>
          <w:rFonts w:hint="eastAsia" w:ascii="宋体" w:hAnsi="宋体" w:eastAsia="宋体" w:cs="宋体"/>
          <w:sz w:val="24"/>
          <w:szCs w:val="24"/>
          <w:lang w:eastAsia="zh-CN"/>
        </w:rPr>
        <w:t>文件</w:t>
      </w:r>
      <w:r>
        <w:rPr>
          <w:rFonts w:hint="eastAsia" w:ascii="宋体" w:hAnsi="宋体" w:eastAsia="宋体" w:cs="宋体"/>
          <w:sz w:val="24"/>
          <w:szCs w:val="24"/>
        </w:rPr>
        <w:t>中“售后服务承诺</w:t>
      </w:r>
      <w:r>
        <w:rPr>
          <w:rFonts w:hint="eastAsia" w:ascii="宋体" w:hAnsi="宋体" w:eastAsia="宋体" w:cs="宋体"/>
          <w:sz w:val="24"/>
          <w:szCs w:val="24"/>
          <w:lang w:eastAsia="zh-CN"/>
        </w:rPr>
        <w:t>书</w:t>
      </w:r>
      <w:r>
        <w:rPr>
          <w:rFonts w:hint="eastAsia" w:ascii="宋体" w:hAnsi="宋体" w:eastAsia="宋体" w:cs="宋体"/>
          <w:sz w:val="24"/>
          <w:szCs w:val="24"/>
        </w:rPr>
        <w:t>”为准。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4、若乙方违反上述担保，</w:t>
      </w:r>
      <w:r>
        <w:rPr>
          <w:rFonts w:hint="eastAsia" w:ascii="宋体" w:hAnsi="宋体" w:eastAsia="宋体" w:cs="宋体"/>
          <w:sz w:val="24"/>
          <w:szCs w:val="24"/>
          <w:lang w:eastAsia="zh-CN"/>
        </w:rPr>
        <w:t>所提供的服务</w:t>
      </w:r>
      <w:r>
        <w:rPr>
          <w:rFonts w:hint="eastAsia" w:ascii="宋体" w:hAnsi="宋体" w:eastAsia="宋体" w:cs="宋体"/>
          <w:sz w:val="24"/>
          <w:szCs w:val="24"/>
        </w:rPr>
        <w:t>被禁止使用，乙方应自负风险和费用</w:t>
      </w:r>
      <w:r>
        <w:rPr>
          <w:rFonts w:hint="eastAsia" w:ascii="宋体" w:hAnsi="宋体" w:eastAsia="宋体" w:cs="宋体"/>
          <w:sz w:val="24"/>
          <w:szCs w:val="24"/>
          <w:lang w:eastAsia="zh-CN"/>
        </w:rPr>
        <w:t>并</w:t>
      </w:r>
      <w:r>
        <w:rPr>
          <w:rFonts w:hint="eastAsia" w:ascii="宋体" w:hAnsi="宋体" w:eastAsia="宋体" w:cs="宋体"/>
          <w:sz w:val="24"/>
          <w:szCs w:val="24"/>
        </w:rPr>
        <w:t>退还甲方已支付的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十、售后服务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质量保证期内乙方应</w:t>
      </w:r>
      <w:r>
        <w:rPr>
          <w:rFonts w:hint="eastAsia" w:ascii="宋体" w:hAnsi="宋体" w:cs="宋体"/>
          <w:kern w:val="2"/>
          <w:sz w:val="24"/>
          <w:szCs w:val="24"/>
        </w:rPr>
        <w:t>提供7*24小时远程技术支持服务。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2、质量保证期内乙方应</w:t>
      </w:r>
      <w:r>
        <w:rPr>
          <w:rFonts w:hint="eastAsia" w:ascii="宋体" w:hAnsi="宋体" w:eastAsia="宋体" w:cs="宋体"/>
          <w:sz w:val="24"/>
          <w:szCs w:val="24"/>
          <w:lang w:eastAsia="zh-CN"/>
        </w:rPr>
        <w:t>提供</w:t>
      </w:r>
      <w:r>
        <w:rPr>
          <w:rFonts w:hint="eastAsia" w:ascii="宋体" w:hAnsi="宋体" w:eastAsia="宋体" w:cs="宋体"/>
          <w:sz w:val="24"/>
          <w:szCs w:val="24"/>
        </w:rPr>
        <w:t>免费上门服务。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、乙方应兑现投标文件中“质量保证和售后服务承诺书”中承诺的其它各项售后服务。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一</w:t>
      </w:r>
      <w:r>
        <w:rPr>
          <w:rFonts w:hint="eastAsia" w:ascii="宋体" w:hAnsi="宋体" w:eastAsia="宋体" w:cs="宋体"/>
          <w:sz w:val="24"/>
          <w:szCs w:val="24"/>
        </w:rPr>
        <w:t>、</w:t>
      </w:r>
      <w:r>
        <w:rPr>
          <w:rFonts w:hint="eastAsia" w:ascii="宋体" w:hAnsi="宋体" w:eastAsia="宋体" w:cs="宋体"/>
          <w:sz w:val="24"/>
          <w:szCs w:val="24"/>
          <w:lang w:eastAsia="zh-CN"/>
        </w:rPr>
        <w:t>验收</w:t>
      </w:r>
    </w:p>
    <w:p>
      <w:pPr>
        <w:spacing w:line="360" w:lineRule="auto"/>
        <w:ind w:right="113" w:rightChars="47" w:firstLine="477" w:firstLineChars="199"/>
        <w:rPr>
          <w:rFonts w:hint="eastAsia" w:ascii="宋体" w:hAnsi="宋体" w:eastAsia="宋体" w:cs="宋体"/>
          <w:sz w:val="24"/>
          <w:szCs w:val="24"/>
          <w:lang w:eastAsia="zh-CN"/>
        </w:rPr>
      </w:pPr>
      <w:r>
        <w:rPr>
          <w:rFonts w:hint="eastAsia" w:ascii="宋体" w:hAnsi="宋体" w:eastAsia="宋体" w:cs="宋体"/>
          <w:sz w:val="24"/>
          <w:szCs w:val="24"/>
          <w:lang w:eastAsia="zh-CN"/>
        </w:rPr>
        <w:t>服务交付使用后，按招标文件要求对项目进行验收。</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二</w:t>
      </w:r>
      <w:r>
        <w:rPr>
          <w:rFonts w:hint="eastAsia" w:ascii="宋体" w:hAnsi="宋体" w:eastAsia="宋体" w:cs="宋体"/>
          <w:sz w:val="24"/>
          <w:szCs w:val="24"/>
        </w:rPr>
        <w:t>、索赔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1、若验收不合格，延误</w:t>
      </w:r>
      <w:r>
        <w:rPr>
          <w:rFonts w:hint="eastAsia" w:ascii="宋体" w:hAnsi="宋体" w:eastAsia="宋体" w:cs="宋体"/>
          <w:sz w:val="24"/>
          <w:szCs w:val="24"/>
          <w:lang w:eastAsia="zh-CN"/>
        </w:rPr>
        <w:t>工期</w:t>
      </w:r>
      <w:r>
        <w:rPr>
          <w:rFonts w:hint="eastAsia" w:ascii="宋体" w:hAnsi="宋体" w:eastAsia="宋体" w:cs="宋体"/>
          <w:sz w:val="24"/>
          <w:szCs w:val="24"/>
        </w:rPr>
        <w:t>，甲方以书面形式通知乙方，提出索赔。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2、在质量保证期内，如果存在规格、</w:t>
      </w:r>
      <w:r>
        <w:rPr>
          <w:rFonts w:hint="eastAsia" w:ascii="宋体" w:hAnsi="宋体" w:eastAsia="宋体" w:cs="宋体"/>
          <w:sz w:val="24"/>
          <w:szCs w:val="24"/>
          <w:lang w:eastAsia="zh-CN"/>
        </w:rPr>
        <w:t>功</w:t>
      </w:r>
      <w:r>
        <w:rPr>
          <w:rFonts w:hint="eastAsia" w:ascii="宋体" w:hAnsi="宋体" w:eastAsia="宋体" w:cs="宋体"/>
          <w:sz w:val="24"/>
          <w:szCs w:val="24"/>
        </w:rPr>
        <w:t>能等方面与合同不符，或证实是有缺陷的，甲方以书面形式通知乙方，提出索赔。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3、当甲方与乙方对性能和技术</w:t>
      </w:r>
      <w:r>
        <w:rPr>
          <w:rFonts w:hint="eastAsia" w:ascii="宋体" w:hAnsi="宋体" w:eastAsia="宋体" w:cs="宋体"/>
          <w:sz w:val="24"/>
          <w:szCs w:val="24"/>
          <w:lang w:eastAsia="zh-CN"/>
        </w:rPr>
        <w:t>指标</w:t>
      </w:r>
      <w:r>
        <w:rPr>
          <w:rFonts w:hint="eastAsia" w:ascii="宋体" w:hAnsi="宋体" w:eastAsia="宋体" w:cs="宋体"/>
          <w:sz w:val="24"/>
          <w:szCs w:val="24"/>
        </w:rPr>
        <w:t>等存在的问题认知不一致时,可</w:t>
      </w:r>
      <w:r>
        <w:rPr>
          <w:rFonts w:hint="eastAsia" w:ascii="宋体" w:hAnsi="宋体" w:eastAsia="宋体" w:cs="宋体"/>
          <w:sz w:val="24"/>
          <w:szCs w:val="24"/>
          <w:lang w:eastAsia="zh-CN"/>
        </w:rPr>
        <w:t>委托第三方检测机构</w:t>
      </w:r>
      <w:r>
        <w:rPr>
          <w:rFonts w:hint="eastAsia" w:ascii="宋体" w:hAnsi="宋体" w:eastAsia="宋体" w:cs="宋体"/>
          <w:sz w:val="24"/>
          <w:szCs w:val="24"/>
        </w:rPr>
        <w:t>进行检验，并出具检验证书。检验费用由责任方负担。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4、如果乙方对甲方提出的索赔负有责任，乙方应按照甲方同意的下列一种方式解决索赔事宜：</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若检验不合格，乙方承担由此发生的一切损失和费用。</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如验收不合格，延误工期，乙方应承担甲方所遭受的一切经济损失。</w:t>
      </w:r>
    </w:p>
    <w:p>
      <w:pPr>
        <w:spacing w:line="360" w:lineRule="auto"/>
        <w:ind w:right="113" w:rightChars="47"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如果在甲方发出索赔通知后十天内,乙方未作答复，上述索赔应视为已被乙方接受；如乙方未能在甲方提出索赔通知后十天内或甲方同意的更长时间内，按照合同条款规定的任何的一种方法解决索赔事宜，甲方有权从</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保证金中扣出索赔金额，如果</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保证金不足以补偿给甲方造成的损失或已</w:t>
      </w:r>
      <w:r>
        <w:rPr>
          <w:rFonts w:hint="eastAsia" w:ascii="宋体" w:hAnsi="宋体" w:eastAsia="宋体" w:cs="宋体"/>
          <w:color w:val="000000"/>
          <w:sz w:val="24"/>
          <w:szCs w:val="24"/>
          <w:lang w:eastAsia="zh-CN"/>
        </w:rPr>
        <w:t>支付</w:t>
      </w:r>
      <w:r>
        <w:rPr>
          <w:rFonts w:hint="eastAsia" w:ascii="宋体" w:hAnsi="宋体" w:eastAsia="宋体" w:cs="宋体"/>
          <w:color w:val="000000"/>
          <w:sz w:val="24"/>
          <w:szCs w:val="24"/>
        </w:rPr>
        <w:t>乙方，乙方另外赔偿相应的损失。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三</w:t>
      </w:r>
      <w:r>
        <w:rPr>
          <w:rFonts w:hint="eastAsia" w:ascii="宋体" w:hAnsi="宋体" w:eastAsia="宋体" w:cs="宋体"/>
          <w:sz w:val="24"/>
          <w:szCs w:val="24"/>
        </w:rPr>
        <w:t>、争议解决方式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1、甲乙双方通过友好协商，解决在执行合同中所发生的或与本合同有关的一切争端，如从协商开始十日内仍得不到解决，甲乙方双方将争端提交</w:t>
      </w:r>
      <w:r>
        <w:rPr>
          <w:rFonts w:hint="eastAsia" w:ascii="宋体" w:hAnsi="宋体" w:eastAsia="宋体" w:cs="宋体"/>
          <w:sz w:val="24"/>
          <w:szCs w:val="24"/>
          <w:lang w:eastAsia="zh-CN"/>
        </w:rPr>
        <w:t>石景山区政府采购管理科</w:t>
      </w:r>
      <w:r>
        <w:rPr>
          <w:rFonts w:hint="eastAsia" w:ascii="宋体" w:hAnsi="宋体" w:eastAsia="宋体" w:cs="宋体"/>
          <w:sz w:val="24"/>
          <w:szCs w:val="24"/>
        </w:rPr>
        <w:t>进行调解。</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2、如调解不成，双方可以到合同签署地人民法院提请诉讼。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3、诉讼的费用应由败诉方负担。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4、在诉讼期间，除正在进行诉讼的部分外，本合同其它部分应继续执行。</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四</w:t>
      </w:r>
      <w:r>
        <w:rPr>
          <w:rFonts w:hint="eastAsia" w:ascii="宋体" w:hAnsi="宋体" w:eastAsia="宋体" w:cs="宋体"/>
          <w:sz w:val="24"/>
          <w:szCs w:val="24"/>
        </w:rPr>
        <w:t>、不可抗力</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1、由于自然灾害、社会因素、政府行为及其他经双方同意的原因，导致本合同不能全部或部分履行，甲乙双方互不承担违约责任，善后事宜由双方协商。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2、受事故影响的一方应在事故发生后叁日内以书面形式通知另一方，并将有关部门出具的证明文件提交给另一方。</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五</w:t>
      </w:r>
      <w:r>
        <w:rPr>
          <w:rFonts w:hint="eastAsia" w:ascii="宋体" w:hAnsi="宋体" w:eastAsia="宋体" w:cs="宋体"/>
          <w:sz w:val="24"/>
          <w:szCs w:val="24"/>
        </w:rPr>
        <w:t>、税费</w:t>
      </w:r>
    </w:p>
    <w:p>
      <w:pPr>
        <w:spacing w:line="360" w:lineRule="auto"/>
        <w:ind w:right="113" w:rightChars="47"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1、中国政府根据现行税法对甲方征收的与本合同有关的一切税费均由甲方负担。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color w:val="000000"/>
          <w:sz w:val="24"/>
          <w:szCs w:val="24"/>
        </w:rPr>
        <w:t>2、中国政府根据现行税法对乙方征收的与本合同有关的一切税费均由</w:t>
      </w:r>
      <w:r>
        <w:rPr>
          <w:rFonts w:hint="eastAsia" w:ascii="宋体" w:hAnsi="宋体" w:eastAsia="宋体" w:cs="宋体"/>
          <w:sz w:val="24"/>
          <w:szCs w:val="24"/>
        </w:rPr>
        <w:t>乙方负担。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六</w:t>
      </w:r>
      <w:r>
        <w:rPr>
          <w:rFonts w:hint="eastAsia" w:ascii="宋体" w:hAnsi="宋体" w:eastAsia="宋体" w:cs="宋体"/>
          <w:sz w:val="24"/>
          <w:szCs w:val="24"/>
        </w:rPr>
        <w:t>、合同解除和终止</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1、合同解除：</w:t>
      </w:r>
      <w:r>
        <w:rPr>
          <w:rFonts w:hint="eastAsia" w:ascii="宋体" w:hAnsi="宋体" w:eastAsia="宋体" w:cs="宋体"/>
          <w:color w:val="000000"/>
          <w:sz w:val="24"/>
          <w:szCs w:val="24"/>
        </w:rPr>
        <w:t>在甲方对乙方违约而采取的任何补救措施不受影响的情况下，</w:t>
      </w:r>
      <w:r>
        <w:rPr>
          <w:rFonts w:hint="eastAsia" w:ascii="宋体" w:hAnsi="宋体" w:eastAsia="宋体" w:cs="宋体"/>
          <w:sz w:val="24"/>
          <w:szCs w:val="24"/>
        </w:rPr>
        <w:t>出现下列情况，甲方可向乙方发出书面通知，提出解除合同，并要求返款。</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乙方未能在规定的期限或甲方同意延长的期限内交</w:t>
      </w:r>
      <w:r>
        <w:rPr>
          <w:rFonts w:hint="eastAsia" w:ascii="宋体" w:hAnsi="宋体" w:eastAsia="宋体" w:cs="宋体"/>
          <w:sz w:val="24"/>
          <w:szCs w:val="24"/>
          <w:lang w:eastAsia="zh-CN"/>
        </w:rPr>
        <w:t>付</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乙方使用假冒、伪劣产品，或达不到合同规定的质量、性能。</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乙方其它严重违反合同规定的行为。</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2、提前终止合同：如果乙方在合同履行期间破产，甲方可在任何时候以书面形式通知乙方即时终止合同，不予退还</w:t>
      </w:r>
      <w:r>
        <w:rPr>
          <w:rFonts w:hint="eastAsia" w:ascii="宋体" w:hAnsi="宋体" w:eastAsia="宋体" w:cs="宋体"/>
          <w:sz w:val="24"/>
          <w:szCs w:val="24"/>
          <w:lang w:eastAsia="zh-CN"/>
        </w:rPr>
        <w:t>质量</w:t>
      </w:r>
      <w:r>
        <w:rPr>
          <w:rFonts w:hint="eastAsia" w:ascii="宋体" w:hAnsi="宋体" w:eastAsia="宋体" w:cs="宋体"/>
          <w:sz w:val="24"/>
          <w:szCs w:val="24"/>
        </w:rPr>
        <w:t>保证金，并保留甲方已经采取或将要采取的补救措施的权利。</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七</w:t>
      </w:r>
      <w:r>
        <w:rPr>
          <w:rFonts w:hint="eastAsia" w:ascii="宋体" w:hAnsi="宋体" w:eastAsia="宋体" w:cs="宋体"/>
          <w:sz w:val="24"/>
          <w:szCs w:val="24"/>
        </w:rPr>
        <w:t>、违约责任</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1、因乙方原因（包括乙方提供的货物未达到验收标准）使</w:t>
      </w:r>
      <w:r>
        <w:rPr>
          <w:rFonts w:hint="eastAsia" w:ascii="宋体" w:hAnsi="宋体" w:eastAsia="宋体" w:cs="宋体"/>
          <w:sz w:val="24"/>
          <w:szCs w:val="24"/>
          <w:lang w:eastAsia="zh-CN"/>
        </w:rPr>
        <w:t>服务</w:t>
      </w:r>
      <w:r>
        <w:rPr>
          <w:rFonts w:hint="eastAsia" w:ascii="宋体" w:hAnsi="宋体" w:eastAsia="宋体" w:cs="宋体"/>
          <w:sz w:val="24"/>
          <w:szCs w:val="24"/>
        </w:rPr>
        <w:t>未按规定</w:t>
      </w:r>
      <w:r>
        <w:rPr>
          <w:rFonts w:hint="eastAsia" w:ascii="宋体" w:hAnsi="宋体" w:eastAsia="宋体" w:cs="宋体"/>
          <w:sz w:val="24"/>
          <w:szCs w:val="24"/>
          <w:lang w:eastAsia="zh-CN"/>
        </w:rPr>
        <w:t>交付</w:t>
      </w:r>
      <w:r>
        <w:rPr>
          <w:rFonts w:hint="eastAsia" w:ascii="宋体" w:hAnsi="宋体" w:eastAsia="宋体" w:cs="宋体"/>
          <w:sz w:val="24"/>
          <w:szCs w:val="24"/>
        </w:rPr>
        <w:t>甲方指定地点，每延迟一日，乙方应按逾期所涉金额的1‰向甲方支付违约金，违约金最多不得超过逾期所涉金额的5%。若乙方延迟超过50天，甲方有权解除合同，并要求乙方全部退还所收费用，赔偿经济损失。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2、乙方所提供的货物质量不符合本合同约定标准时，乙方应负责及时更换、维修，甲方有权拒绝付款，并追究乙方违约责任。</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3、因产品缺陷而产生的的直接费用，如检验费、保险费，均由乙方承担。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4、因产品质量缺陷造成第三方损害而要求甲方赔偿的，甲方有权随时向乙方追索费用。</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5、如乙方出现严重违反合同条款并给甲方带来损失时，甲方可视情况采取以下一种或多种方式：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在</w:t>
      </w:r>
      <w:r>
        <w:rPr>
          <w:rFonts w:hint="eastAsia" w:ascii="宋体" w:hAnsi="宋体" w:eastAsia="宋体" w:cs="宋体"/>
          <w:sz w:val="24"/>
          <w:szCs w:val="24"/>
          <w:lang w:eastAsia="zh-CN"/>
        </w:rPr>
        <w:t>质量</w:t>
      </w:r>
      <w:r>
        <w:rPr>
          <w:rFonts w:hint="eastAsia" w:ascii="宋体" w:hAnsi="宋体" w:eastAsia="宋体" w:cs="宋体"/>
          <w:sz w:val="24"/>
          <w:szCs w:val="24"/>
        </w:rPr>
        <w:t>保证金中扣除直接损失和间接损失。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解除合同。</w:t>
      </w:r>
    </w:p>
    <w:p>
      <w:pPr>
        <w:tabs>
          <w:tab w:val="left" w:pos="1050"/>
          <w:tab w:val="left" w:pos="1260"/>
        </w:tabs>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将违约行为上报政府采购办公室，由政府采购办公室对违反合同行为做出处理，在政府采购网上公布。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十八</w:t>
      </w:r>
      <w:r>
        <w:rPr>
          <w:rFonts w:hint="eastAsia" w:ascii="宋体" w:hAnsi="宋体" w:eastAsia="宋体" w:cs="宋体"/>
          <w:sz w:val="24"/>
          <w:szCs w:val="24"/>
        </w:rPr>
        <w:t>、转让：未经甲方事先书面同意，乙方不得部分转让或全部转让其应履行的合同义务。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十九</w:t>
      </w:r>
      <w:r>
        <w:rPr>
          <w:rFonts w:hint="eastAsia" w:ascii="宋体" w:hAnsi="宋体" w:eastAsia="宋体" w:cs="宋体"/>
          <w:sz w:val="24"/>
          <w:szCs w:val="24"/>
        </w:rPr>
        <w:t>、适用法律</w:t>
      </w:r>
      <w:r>
        <w:rPr>
          <w:rFonts w:hint="eastAsia" w:ascii="宋体" w:hAnsi="宋体" w:eastAsia="宋体" w:cs="宋体"/>
          <w:sz w:val="24"/>
          <w:szCs w:val="24"/>
          <w:lang w:val="en-US" w:eastAsia="zh-CN"/>
        </w:rPr>
        <w:t>:</w:t>
      </w:r>
      <w:r>
        <w:rPr>
          <w:rFonts w:hint="eastAsia" w:ascii="宋体" w:hAnsi="宋体" w:eastAsia="宋体" w:cs="宋体"/>
          <w:sz w:val="24"/>
          <w:szCs w:val="24"/>
        </w:rPr>
        <w:t>本合同应按照中华人民共和国的相关法律进行解释。</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二十、合同生效及其它：合同在甲乙双方签字盖章后开始生效。本合同一式</w:t>
      </w:r>
      <w:r>
        <w:rPr>
          <w:rFonts w:hint="eastAsia" w:ascii="宋体" w:hAnsi="宋体" w:eastAsia="宋体" w:cs="宋体"/>
          <w:sz w:val="24"/>
          <w:szCs w:val="24"/>
          <w:lang w:eastAsia="zh-CN"/>
        </w:rPr>
        <w:t>三</w:t>
      </w:r>
      <w:r>
        <w:rPr>
          <w:rFonts w:hint="eastAsia" w:ascii="宋体" w:hAnsi="宋体" w:eastAsia="宋体" w:cs="宋体"/>
          <w:sz w:val="24"/>
          <w:szCs w:val="24"/>
        </w:rPr>
        <w:t>份，</w:t>
      </w:r>
      <w:r>
        <w:rPr>
          <w:rFonts w:hint="eastAsia" w:ascii="宋体" w:hAnsi="宋体" w:eastAsia="宋体" w:cs="宋体"/>
          <w:sz w:val="24"/>
          <w:szCs w:val="24"/>
          <w:lang w:eastAsia="zh-CN"/>
        </w:rPr>
        <w:t>甲乙双方各执一份，石景山区政府采购中心备案一份</w:t>
      </w:r>
      <w:r>
        <w:rPr>
          <w:rFonts w:hint="eastAsia" w:ascii="宋体" w:hAnsi="宋体" w:eastAsia="宋体" w:cs="宋体"/>
          <w:sz w:val="24"/>
          <w:szCs w:val="24"/>
        </w:rPr>
        <w:t>。如需修改或补充合同内容，经协商，双方应签署书面修改或补充协议</w:t>
      </w:r>
      <w:r>
        <w:rPr>
          <w:rFonts w:hint="eastAsia" w:ascii="宋体" w:hAnsi="宋体" w:eastAsia="宋体" w:cs="宋体"/>
          <w:sz w:val="24"/>
          <w:szCs w:val="24"/>
          <w:lang w:eastAsia="zh-CN"/>
        </w:rPr>
        <w:t>，</w:t>
      </w:r>
      <w:r>
        <w:rPr>
          <w:rFonts w:hint="eastAsia" w:ascii="宋体" w:hAnsi="宋体" w:eastAsia="宋体" w:cs="宋体"/>
          <w:sz w:val="24"/>
          <w:szCs w:val="24"/>
        </w:rPr>
        <w:t>该协议作为本合同的一个组成部分。</w:t>
      </w:r>
    </w:p>
    <w:p>
      <w:pPr>
        <w:spacing w:line="360" w:lineRule="auto"/>
        <w:ind w:right="113" w:rightChars="47" w:firstLine="477" w:firstLineChars="199"/>
        <w:rPr>
          <w:rFonts w:hint="eastAsia" w:ascii="宋体" w:hAnsi="宋体" w:eastAsia="宋体" w:cs="宋体"/>
          <w:sz w:val="24"/>
          <w:szCs w:val="24"/>
        </w:rPr>
      </w:pPr>
    </w:p>
    <w:p>
      <w:pPr>
        <w:ind w:left="5366" w:leftChars="-114" w:hanging="5640" w:hangingChars="2350"/>
        <w:rPr>
          <w:rFonts w:hint="eastAsia" w:ascii="宋体" w:hAnsi="宋体"/>
          <w:color w:val="auto"/>
          <w:sz w:val="24"/>
        </w:rPr>
      </w:pPr>
    </w:p>
    <w:p>
      <w:pPr>
        <w:ind w:left="5362" w:leftChars="484" w:right="-838" w:rightChars="-349" w:hanging="4200" w:hangingChars="1750"/>
        <w:rPr>
          <w:rFonts w:hint="eastAsia" w:ascii="宋体" w:hAnsi="宋体"/>
          <w:color w:val="auto"/>
          <w:sz w:val="24"/>
        </w:rPr>
      </w:pPr>
      <w:r>
        <w:rPr>
          <w:rFonts w:hint="eastAsia" w:ascii="宋体" w:hAnsi="宋体"/>
          <w:color w:val="auto"/>
          <w:sz w:val="24"/>
          <w:lang w:eastAsia="zh-CN"/>
        </w:rPr>
        <w:t>甲</w:t>
      </w:r>
      <w:r>
        <w:rPr>
          <w:rFonts w:hint="eastAsia" w:ascii="宋体" w:hAnsi="宋体"/>
          <w:color w:val="auto"/>
          <w:sz w:val="24"/>
        </w:rPr>
        <w:t>方</w:t>
      </w:r>
      <w:r>
        <w:rPr>
          <w:rFonts w:hint="eastAsia" w:ascii="宋体" w:hAnsi="宋体"/>
          <w:color w:val="auto"/>
          <w:sz w:val="24"/>
          <w:u w:val="none"/>
        </w:rPr>
        <w:t>：</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lang w:eastAsia="zh-CN"/>
        </w:rPr>
        <w:t>乙</w:t>
      </w:r>
      <w:r>
        <w:rPr>
          <w:rFonts w:hint="eastAsia" w:ascii="宋体" w:hAnsi="宋体"/>
          <w:color w:val="auto"/>
          <w:sz w:val="24"/>
        </w:rPr>
        <w:t>方：</w:t>
      </w:r>
    </w:p>
    <w:p>
      <w:pPr>
        <w:ind w:left="5632" w:leftChars="86" w:hanging="5426" w:hangingChars="2261"/>
        <w:rPr>
          <w:rFonts w:hint="eastAsia" w:ascii="宋体" w:hAnsi="宋体"/>
          <w:color w:val="auto"/>
          <w:sz w:val="24"/>
        </w:rPr>
      </w:pPr>
      <w:r>
        <w:rPr>
          <w:rFonts w:hint="eastAsia" w:ascii="宋体" w:hAnsi="宋体"/>
          <w:color w:val="auto"/>
          <w:sz w:val="24"/>
        </w:rPr>
        <w:t xml:space="preserve">                         </w:t>
      </w:r>
    </w:p>
    <w:p>
      <w:pPr>
        <w:rPr>
          <w:rFonts w:hint="eastAsia" w:ascii="宋体" w:hAnsi="宋体"/>
          <w:color w:val="auto"/>
          <w:sz w:val="24"/>
          <w:u w:val="single"/>
        </w:rPr>
      </w:pPr>
    </w:p>
    <w:p>
      <w:pPr>
        <w:spacing w:before="624" w:beforeLines="200"/>
        <w:ind w:firstLine="573"/>
        <w:rPr>
          <w:rFonts w:hint="eastAsia" w:ascii="宋体" w:hAnsi="宋体"/>
          <w:color w:val="auto"/>
          <w:sz w:val="24"/>
        </w:rPr>
      </w:pPr>
      <w:r>
        <w:rPr>
          <w:rFonts w:hint="eastAsia" w:ascii="宋体" w:hAnsi="宋体"/>
          <w:color w:val="auto"/>
          <w:sz w:val="24"/>
        </w:rPr>
        <w:t>名称：（印章）                        名称：（印章）</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FF0000"/>
          <w:sz w:val="24"/>
          <w:lang w:val="en-US" w:eastAsia="zh-CN"/>
        </w:rPr>
        <w:t xml:space="preserve">  </w:t>
      </w:r>
      <w:r>
        <w:rPr>
          <w:rFonts w:hint="eastAsia" w:ascii="宋体" w:hAnsi="宋体"/>
          <w:color w:val="auto"/>
          <w:sz w:val="24"/>
        </w:rPr>
        <w:t xml:space="preserve">日                   </w:t>
      </w:r>
      <w:r>
        <w:rPr>
          <w:rFonts w:hint="eastAsia" w:ascii="宋体" w:hAnsi="宋体"/>
          <w:color w:val="auto"/>
          <w:sz w:val="24"/>
          <w:lang w:val="en-US" w:eastAsia="zh-CN"/>
        </w:rPr>
        <w:t xml:space="preserve">      </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FF0000"/>
          <w:sz w:val="24"/>
          <w:lang w:val="en-US" w:eastAsia="zh-CN"/>
        </w:rPr>
        <w:t xml:space="preserve">  </w:t>
      </w:r>
      <w:r>
        <w:rPr>
          <w:rFonts w:hint="eastAsia" w:ascii="宋体" w:hAnsi="宋体"/>
          <w:color w:val="auto"/>
          <w:sz w:val="24"/>
        </w:rPr>
        <w:t>日</w:t>
      </w:r>
    </w:p>
    <w:p>
      <w:pPr>
        <w:spacing w:before="312" w:beforeLines="100"/>
        <w:ind w:firstLine="573"/>
        <w:rPr>
          <w:rFonts w:hint="eastAsia" w:ascii="宋体" w:hAnsi="宋体"/>
          <w:color w:val="auto"/>
          <w:sz w:val="24"/>
          <w:u w:val="single"/>
        </w:rPr>
      </w:pPr>
      <w:r>
        <w:rPr>
          <w:rFonts w:hint="eastAsia" w:ascii="宋体" w:hAnsi="宋体"/>
          <w:color w:val="auto"/>
          <w:sz w:val="24"/>
        </w:rPr>
        <w:t>授权代理（签字）：</w:t>
      </w:r>
      <w:r>
        <w:rPr>
          <w:rFonts w:hint="eastAsia" w:ascii="宋体" w:hAnsi="宋体"/>
          <w:color w:val="auto"/>
          <w:sz w:val="24"/>
          <w:u w:val="single"/>
        </w:rPr>
        <w:t xml:space="preserve">             </w:t>
      </w:r>
      <w:r>
        <w:rPr>
          <w:rFonts w:hint="eastAsia" w:ascii="宋体" w:hAnsi="宋体"/>
          <w:color w:val="auto"/>
          <w:sz w:val="24"/>
        </w:rPr>
        <w:t xml:space="preserve">        授权代理（签字）</w:t>
      </w:r>
      <w:r>
        <w:rPr>
          <w:rFonts w:hint="eastAsia" w:ascii="宋体" w:hAnsi="宋体"/>
          <w:color w:val="auto"/>
          <w:sz w:val="24"/>
          <w:u w:val="single"/>
        </w:rPr>
        <w:t xml:space="preserve">              </w:t>
      </w:r>
    </w:p>
    <w:p>
      <w:pPr>
        <w:ind w:firstLine="570"/>
        <w:rPr>
          <w:rFonts w:hint="eastAsia" w:ascii="宋体" w:hAnsi="宋体"/>
          <w:color w:val="auto"/>
          <w:sz w:val="24"/>
        </w:rPr>
      </w:pPr>
      <w:r>
        <w:rPr>
          <w:rFonts w:hint="eastAsia" w:ascii="宋体" w:hAnsi="宋体"/>
          <w:color w:val="auto"/>
          <w:sz w:val="24"/>
        </w:rPr>
        <w:t xml:space="preserve"> </w:t>
      </w:r>
    </w:p>
    <w:p>
      <w:pPr>
        <w:ind w:left="5808" w:leftChars="270" w:hanging="5160" w:hangingChars="2150"/>
        <w:rPr>
          <w:rFonts w:hint="eastAsia" w:ascii="宋体" w:hAnsi="宋体"/>
          <w:color w:val="auto"/>
          <w:sz w:val="24"/>
          <w:u w:val="single"/>
        </w:rPr>
      </w:pPr>
      <w:r>
        <w:rPr>
          <w:rFonts w:hint="eastAsia" w:ascii="宋体" w:hAnsi="宋体"/>
          <w:color w:val="auto"/>
          <w:sz w:val="24"/>
        </w:rPr>
        <w:t xml:space="preserve">地    址：                            地    址： </w:t>
      </w:r>
    </w:p>
    <w:p>
      <w:pPr>
        <w:ind w:firstLine="1680" w:firstLineChars="700"/>
        <w:rPr>
          <w:rFonts w:hint="eastAsia" w:ascii="宋体" w:hAnsi="宋体"/>
          <w:color w:val="auto"/>
          <w:sz w:val="24"/>
          <w:u w:val="single"/>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u w:val="single"/>
        </w:rPr>
      </w:pPr>
      <w:r>
        <w:rPr>
          <w:rFonts w:hint="eastAsia" w:ascii="宋体" w:hAnsi="宋体"/>
          <w:color w:val="auto"/>
          <w:sz w:val="24"/>
        </w:rPr>
        <w:t xml:space="preserve">邮政编码：                            邮政编码： </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电    话：                            电     话：  </w:t>
      </w:r>
    </w:p>
    <w:p>
      <w:pPr>
        <w:ind w:firstLine="570"/>
        <w:rPr>
          <w:rFonts w:hint="eastAsia" w:ascii="宋体" w:hAnsi="宋体"/>
          <w:color w:val="auto"/>
          <w:sz w:val="24"/>
        </w:rPr>
      </w:pPr>
    </w:p>
    <w:p>
      <w:pPr>
        <w:ind w:firstLine="570"/>
        <w:rPr>
          <w:rFonts w:hint="eastAsia" w:ascii="宋体" w:hAnsi="宋体"/>
          <w:color w:val="auto"/>
          <w:sz w:val="24"/>
          <w:u w:val="single"/>
        </w:rPr>
      </w:pPr>
      <w:r>
        <w:rPr>
          <w:rFonts w:hint="eastAsia" w:ascii="宋体" w:hAnsi="宋体"/>
          <w:color w:val="auto"/>
          <w:sz w:val="24"/>
        </w:rPr>
        <w:t>开户银行：                            开户银行：</w:t>
      </w:r>
    </w:p>
    <w:p>
      <w:pPr>
        <w:ind w:firstLine="570"/>
        <w:rPr>
          <w:rFonts w:hint="eastAsia" w:ascii="宋体" w:hAnsi="宋体"/>
          <w:color w:val="auto"/>
          <w:sz w:val="24"/>
        </w:rPr>
      </w:pPr>
    </w:p>
    <w:p>
      <w:pPr>
        <w:ind w:firstLine="570"/>
        <w:rPr>
          <w:rFonts w:hint="eastAsia" w:ascii="宋体" w:hAnsi="宋体"/>
          <w:color w:val="auto"/>
          <w:sz w:val="24"/>
        </w:rPr>
      </w:pPr>
      <w:r>
        <w:rPr>
          <w:rFonts w:hint="eastAsia" w:ascii="宋体" w:hAnsi="宋体"/>
          <w:color w:val="auto"/>
          <w:sz w:val="24"/>
        </w:rPr>
        <w:t>帐    号：                            帐     号：</w:t>
      </w:r>
    </w:p>
    <w:p>
      <w:pPr>
        <w:rPr>
          <w:rFonts w:hint="eastAsia" w:ascii="宋体" w:hAnsi="宋体"/>
          <w:color w:val="auto"/>
          <w:sz w:val="24"/>
        </w:rPr>
      </w:pPr>
    </w:p>
    <w:p/>
    <w:p>
      <w:pPr>
        <w:pStyle w:val="7"/>
        <w:tabs>
          <w:tab w:val="left" w:pos="900"/>
          <w:tab w:val="clear" w:pos="1260"/>
        </w:tabs>
        <w:spacing w:before="0" w:after="0" w:line="480" w:lineRule="exact"/>
        <w:ind w:left="720" w:hanging="720"/>
        <w:jc w:val="center"/>
        <w:rPr>
          <w:rFonts w:hint="eastAsia" w:ascii="宋体" w:hAnsi="宋体" w:cs="宋体"/>
          <w:b/>
          <w:color w:val="auto"/>
          <w:sz w:val="21"/>
          <w:szCs w:val="21"/>
        </w:rPr>
      </w:pPr>
    </w:p>
    <w:p>
      <w:pPr>
        <w:rPr>
          <w:rFonts w:hint="eastAsia" w:ascii="宋体" w:hAnsi="宋体" w:cs="宋体"/>
          <w:b/>
          <w:color w:val="auto"/>
          <w:sz w:val="21"/>
          <w:szCs w:val="21"/>
        </w:rPr>
      </w:pPr>
    </w:p>
    <w:p>
      <w:pPr>
        <w:pStyle w:val="2"/>
        <w:rPr>
          <w:rFonts w:hint="eastAsia" w:ascii="宋体" w:hAnsi="宋体" w:cs="宋体"/>
          <w:b/>
          <w:color w:val="auto"/>
          <w:sz w:val="21"/>
          <w:szCs w:val="21"/>
        </w:rPr>
      </w:pPr>
    </w:p>
    <w:p>
      <w:pPr>
        <w:pStyle w:val="2"/>
        <w:rPr>
          <w:rFonts w:hint="eastAsia" w:ascii="宋体" w:hAnsi="宋体" w:cs="宋体"/>
          <w:b/>
          <w:color w:val="auto"/>
          <w:sz w:val="21"/>
          <w:szCs w:val="21"/>
        </w:rPr>
      </w:pPr>
    </w:p>
    <w:p>
      <w:pPr>
        <w:pStyle w:val="2"/>
        <w:rPr>
          <w:rFonts w:hint="eastAsia" w:ascii="宋体" w:hAnsi="宋体" w:cs="宋体"/>
          <w:b/>
          <w:color w:val="auto"/>
          <w:sz w:val="21"/>
          <w:szCs w:val="21"/>
        </w:rPr>
      </w:pPr>
    </w:p>
    <w:p>
      <w:pPr>
        <w:pStyle w:val="2"/>
        <w:rPr>
          <w:rFonts w:hint="eastAsia" w:ascii="宋体" w:hAnsi="宋体" w:cs="宋体"/>
          <w:b/>
          <w:color w:val="auto"/>
          <w:sz w:val="21"/>
          <w:szCs w:val="21"/>
        </w:rPr>
      </w:pPr>
    </w:p>
    <w:p>
      <w:pPr>
        <w:pStyle w:val="2"/>
        <w:rPr>
          <w:rFonts w:hint="eastAsia" w:ascii="宋体" w:hAnsi="宋体" w:cs="宋体"/>
          <w:b/>
          <w:color w:val="auto"/>
          <w:sz w:val="21"/>
          <w:szCs w:val="21"/>
        </w:rPr>
      </w:pPr>
    </w:p>
    <w:p>
      <w:pPr>
        <w:pStyle w:val="2"/>
        <w:rPr>
          <w:rFonts w:hint="eastAsia" w:ascii="宋体" w:hAnsi="宋体" w:cs="宋体"/>
          <w:b/>
          <w:color w:val="auto"/>
          <w:sz w:val="21"/>
          <w:szCs w:val="21"/>
        </w:rPr>
      </w:pPr>
    </w:p>
    <w:p>
      <w:pPr>
        <w:adjustRightInd w:val="0"/>
        <w:snapToGrid w:val="0"/>
        <w:rPr>
          <w:rFonts w:ascii="宋体" w:hAnsi="宋体"/>
          <w:b/>
          <w:color w:val="auto"/>
        </w:rPr>
      </w:pPr>
      <w:r>
        <w:rPr>
          <w:rFonts w:hint="eastAsia" w:ascii="宋体" w:hAnsi="宋体"/>
          <w:color w:val="auto"/>
          <w:kern w:val="44"/>
          <w:sz w:val="28"/>
          <w:szCs w:val="28"/>
        </w:rPr>
        <w:t xml:space="preserve">           </w:t>
      </w:r>
    </w:p>
    <w:p>
      <w:pPr>
        <w:pStyle w:val="49"/>
        <w:snapToGrid w:val="0"/>
        <w:spacing w:before="0" w:after="0"/>
        <w:ind w:left="0"/>
        <w:rPr>
          <w:color w:val="auto"/>
        </w:rPr>
      </w:pPr>
      <w:bookmarkStart w:id="76" w:name="_Toc466015317"/>
      <w:r>
        <w:rPr>
          <w:rFonts w:hint="eastAsia" w:ascii="宋体" w:hAnsi="宋体"/>
          <w:color w:val="auto"/>
          <w:lang w:val="en-US" w:eastAsia="zh-CN"/>
        </w:rPr>
        <w:t xml:space="preserve"> </w:t>
      </w:r>
      <w:r>
        <w:rPr>
          <w:rFonts w:hint="eastAsia" w:ascii="宋体" w:hAnsi="宋体"/>
          <w:color w:val="auto"/>
        </w:rPr>
        <w:t>投标文件格式</w:t>
      </w:r>
      <w:bookmarkEnd w:id="72"/>
      <w:bookmarkEnd w:id="73"/>
      <w:bookmarkEnd w:id="74"/>
      <w:bookmarkEnd w:id="75"/>
      <w:bookmarkEnd w:id="76"/>
    </w:p>
    <w:p>
      <w:pPr>
        <w:spacing w:before="312" w:beforeLines="100" w:after="156" w:afterLines="50"/>
        <w:ind w:firstLine="482" w:firstLineChars="200"/>
        <w:outlineLvl w:val="1"/>
        <w:rPr>
          <w:rFonts w:hint="eastAsia" w:ascii="宋体" w:hAnsi="宋体"/>
          <w:b/>
          <w:color w:val="auto"/>
          <w:sz w:val="24"/>
          <w:szCs w:val="24"/>
        </w:rPr>
      </w:pPr>
      <w:bookmarkStart w:id="77" w:name="_Toc341716002"/>
      <w:bookmarkStart w:id="78" w:name="_Toc134067010"/>
      <w:bookmarkStart w:id="79" w:name="_Toc146544227"/>
      <w:bookmarkStart w:id="80" w:name="_Toc129190753"/>
      <w:bookmarkStart w:id="81" w:name="_Toc192444818"/>
      <w:r>
        <w:rPr>
          <w:rFonts w:hint="eastAsia" w:ascii="宋体" w:hAnsi="宋体"/>
          <w:b/>
          <w:color w:val="auto"/>
          <w:sz w:val="24"/>
          <w:szCs w:val="24"/>
        </w:rPr>
        <w:t>一、投标人提交文件须知</w:t>
      </w:r>
      <w:bookmarkEnd w:id="77"/>
      <w:bookmarkEnd w:id="78"/>
      <w:bookmarkEnd w:id="79"/>
      <w:bookmarkEnd w:id="80"/>
      <w:bookmarkEnd w:id="81"/>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8"/>
        </w:numPr>
        <w:spacing w:before="312" w:beforeLines="100" w:after="156" w:afterLines="50"/>
        <w:ind w:firstLine="482" w:firstLineChars="200"/>
        <w:outlineLvl w:val="1"/>
        <w:rPr>
          <w:rFonts w:hint="eastAsia" w:ascii="宋体" w:hAnsi="宋体"/>
          <w:b/>
          <w:color w:val="auto"/>
          <w:sz w:val="24"/>
          <w:szCs w:val="24"/>
        </w:rPr>
      </w:pPr>
      <w:bookmarkStart w:id="82" w:name="_投标文件组成_1"/>
      <w:bookmarkEnd w:id="82"/>
      <w:bookmarkStart w:id="83" w:name="_Toc146544228"/>
      <w:bookmarkStart w:id="84" w:name="_Toc129190754"/>
      <w:bookmarkStart w:id="85" w:name="_Toc192444819"/>
      <w:bookmarkStart w:id="86" w:name="_Toc134067011"/>
      <w:bookmarkStart w:id="87" w:name="_Toc341716003"/>
      <w:r>
        <w:rPr>
          <w:rFonts w:hint="eastAsia" w:ascii="宋体" w:hAnsi="宋体"/>
          <w:b/>
          <w:color w:val="auto"/>
          <w:sz w:val="24"/>
          <w:szCs w:val="24"/>
        </w:rPr>
        <w:t>投标文件</w:t>
      </w:r>
      <w:bookmarkEnd w:id="83"/>
      <w:bookmarkEnd w:id="84"/>
      <w:bookmarkEnd w:id="85"/>
      <w:bookmarkEnd w:id="86"/>
      <w:bookmarkEnd w:id="87"/>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2"/>
        <w:rPr>
          <w:rFonts w:hint="eastAsia"/>
          <w:color w:val="auto"/>
        </w:rPr>
      </w:pPr>
    </w:p>
    <w:p>
      <w:pPr>
        <w:pStyle w:val="7"/>
        <w:rPr>
          <w:color w:val="auto"/>
        </w:rPr>
      </w:pPr>
    </w:p>
    <w:p>
      <w:pPr>
        <w:jc w:val="center"/>
        <w:rPr>
          <w:rFonts w:hint="eastAsia"/>
          <w:b/>
          <w:color w:val="auto"/>
          <w:sz w:val="72"/>
          <w:szCs w:val="72"/>
        </w:rPr>
      </w:pPr>
      <w:bookmarkStart w:id="88" w:name="_Toc26431"/>
      <w:r>
        <w:rPr>
          <w:rFonts w:hint="eastAsia"/>
          <w:b/>
          <w:color w:val="auto"/>
          <w:sz w:val="72"/>
          <w:szCs w:val="72"/>
        </w:rPr>
        <w:t>投标文件</w:t>
      </w:r>
      <w:bookmarkEnd w:id="88"/>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89"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89"/>
    </w:p>
    <w:p>
      <w:pPr>
        <w:pStyle w:val="12"/>
        <w:rPr>
          <w:rFonts w:hint="eastAsia" w:eastAsia="宋体"/>
          <w:b/>
          <w:bCs/>
          <w:sz w:val="32"/>
          <w:szCs w:val="32"/>
          <w:lang w:val="en-US" w:eastAsia="zh-CN"/>
        </w:rPr>
      </w:pPr>
      <w:r>
        <w:rPr>
          <w:rFonts w:hint="eastAsia"/>
          <w:b/>
          <w:bCs/>
          <w:sz w:val="32"/>
          <w:szCs w:val="32"/>
          <w:lang w:val="en-US" w:eastAsia="zh-CN"/>
        </w:rPr>
        <w:t>投标包号及包名称：</w:t>
      </w:r>
    </w:p>
    <w:p>
      <w:pPr>
        <w:jc w:val="center"/>
        <w:rPr>
          <w:color w:val="auto"/>
        </w:rPr>
      </w:pPr>
    </w:p>
    <w:p>
      <w:pPr>
        <w:pStyle w:val="13"/>
        <w:jc w:val="both"/>
        <w:rPr>
          <w:color w:val="auto"/>
        </w:rPr>
      </w:pPr>
    </w:p>
    <w:p>
      <w:pPr>
        <w:pStyle w:val="13"/>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90" w:name="_Toc12572"/>
      <w:r>
        <w:rPr>
          <w:rFonts w:hint="eastAsia"/>
          <w:b/>
          <w:color w:val="auto"/>
          <w:sz w:val="32"/>
          <w:szCs w:val="32"/>
        </w:rPr>
        <w:t>投标单位（电子签章）：</w:t>
      </w:r>
      <w:bookmarkEnd w:id="90"/>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91" w:name="_Toc519087074"/>
      <w:bookmarkStart w:id="92" w:name="_Toc492299632"/>
      <w:bookmarkStart w:id="93" w:name="_Toc466014528"/>
      <w:bookmarkStart w:id="94" w:name="_Toc32490"/>
      <w:bookmarkStart w:id="95"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91"/>
      <w:bookmarkEnd w:id="92"/>
      <w:bookmarkEnd w:id="93"/>
      <w:bookmarkEnd w:id="94"/>
      <w:bookmarkEnd w:id="95"/>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w:t>
      </w:r>
      <w:r>
        <w:rPr>
          <w:rFonts w:hint="eastAsia" w:ascii="宋体" w:hAnsi="宋体"/>
          <w:b/>
          <w:color w:val="auto"/>
          <w:sz w:val="24"/>
          <w:szCs w:val="24"/>
          <w:lang w:eastAsia="zh-CN"/>
        </w:rPr>
        <w:t>授权委托书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w:t>
      </w:r>
      <w:r>
        <w:rPr>
          <w:rFonts w:hint="eastAsia" w:hAnsi="宋体"/>
          <w:b/>
          <w:color w:val="auto"/>
          <w:kern w:val="0"/>
          <w:sz w:val="24"/>
          <w:szCs w:val="24"/>
          <w:lang w:eastAsia="zh-CN"/>
        </w:rPr>
        <w:t>出具</w:t>
      </w:r>
      <w:r>
        <w:rPr>
          <w:rFonts w:hint="eastAsia" w:hAnsi="宋体"/>
          <w:b/>
          <w:color w:val="auto"/>
          <w:kern w:val="0"/>
          <w:sz w:val="24"/>
          <w:szCs w:val="24"/>
        </w:rPr>
        <w:t>法定代表人声明</w:t>
      </w:r>
    </w:p>
    <w:p>
      <w:pPr>
        <w:pStyle w:val="2"/>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2"/>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2"/>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2"/>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1-2-2法定代表人授权书（法定代表人不能参与投标时须出具法定代表人授权书）</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9"/>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9"/>
        </w:numPr>
        <w:spacing w:line="360" w:lineRule="auto"/>
        <w:ind w:left="1134"/>
        <w:rPr>
          <w:sz w:val="24"/>
          <w:szCs w:val="22"/>
        </w:rPr>
      </w:pPr>
      <w:r>
        <w:rPr>
          <w:sz w:val="24"/>
          <w:szCs w:val="22"/>
        </w:rPr>
        <w:t>具有良好的商业信誉和健全的财务会计制度；</w:t>
      </w:r>
    </w:p>
    <w:p>
      <w:pPr>
        <w:numPr>
          <w:ilvl w:val="0"/>
          <w:numId w:val="29"/>
        </w:numPr>
        <w:spacing w:line="360" w:lineRule="auto"/>
        <w:ind w:left="1134"/>
        <w:rPr>
          <w:sz w:val="24"/>
          <w:szCs w:val="22"/>
        </w:rPr>
      </w:pPr>
      <w:r>
        <w:rPr>
          <w:sz w:val="24"/>
          <w:szCs w:val="22"/>
        </w:rPr>
        <w:t>具有履行合同所必需的设备和专业技术能力；</w:t>
      </w:r>
    </w:p>
    <w:p>
      <w:pPr>
        <w:numPr>
          <w:ilvl w:val="0"/>
          <w:numId w:val="29"/>
        </w:numPr>
        <w:spacing w:line="360" w:lineRule="auto"/>
        <w:ind w:left="1134"/>
        <w:rPr>
          <w:sz w:val="24"/>
          <w:szCs w:val="22"/>
        </w:rPr>
      </w:pPr>
      <w:r>
        <w:rPr>
          <w:sz w:val="24"/>
          <w:szCs w:val="22"/>
        </w:rPr>
        <w:t>有依法缴纳税收和社会保障资金的良好记录；</w:t>
      </w:r>
    </w:p>
    <w:p>
      <w:pPr>
        <w:numPr>
          <w:ilvl w:val="0"/>
          <w:numId w:val="2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30"/>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5"/>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5"/>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5"/>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5"/>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5"/>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5"/>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5"/>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5"/>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5"/>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5"/>
              <w:tabs>
                <w:tab w:val="left" w:pos="5580"/>
              </w:tabs>
              <w:spacing w:line="300" w:lineRule="auto"/>
              <w:rPr>
                <w:rFonts w:hAnsi="宋体"/>
                <w:color w:val="auto"/>
                <w:sz w:val="24"/>
                <w:szCs w:val="24"/>
              </w:rPr>
            </w:pPr>
          </w:p>
        </w:tc>
      </w:tr>
    </w:tbl>
    <w:p>
      <w:pPr>
        <w:pStyle w:val="15"/>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968"/>
        <w:gridCol w:w="3384"/>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96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olor w:val="auto"/>
                <w:sz w:val="24"/>
                <w:szCs w:val="24"/>
                <w:lang w:eastAsia="zh-CN"/>
              </w:rPr>
            </w:pPr>
            <w:r>
              <w:rPr>
                <w:rFonts w:hint="eastAsia" w:ascii="宋体" w:hAnsi="宋体"/>
                <w:color w:val="auto"/>
                <w:sz w:val="24"/>
                <w:szCs w:val="24"/>
                <w:lang w:eastAsia="zh-CN"/>
              </w:rPr>
              <w:t>包号</w:t>
            </w:r>
          </w:p>
        </w:tc>
        <w:tc>
          <w:tcPr>
            <w:tcW w:w="338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968" w:type="dxa"/>
            <w:tcBorders>
              <w:top w:val="single" w:color="auto" w:sz="4" w:space="0"/>
              <w:left w:val="single" w:color="auto" w:sz="6" w:space="0"/>
              <w:bottom w:val="single" w:color="auto" w:sz="6" w:space="0"/>
              <w:right w:val="single" w:color="auto" w:sz="4" w:space="0"/>
            </w:tcBorders>
            <w:vAlign w:val="center"/>
          </w:tcPr>
          <w:p>
            <w:pPr>
              <w:widowControl/>
              <w:jc w:val="center"/>
              <w:rPr>
                <w:rFonts w:hint="eastAsia" w:ascii="宋体" w:hAnsi="宋体"/>
                <w:color w:val="auto"/>
                <w:sz w:val="24"/>
                <w:szCs w:val="24"/>
              </w:rPr>
            </w:pPr>
          </w:p>
        </w:tc>
        <w:tc>
          <w:tcPr>
            <w:tcW w:w="3384" w:type="dxa"/>
            <w:tcBorders>
              <w:top w:val="single" w:color="auto" w:sz="4" w:space="0"/>
              <w:left w:val="single" w:color="auto" w:sz="4"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2"/>
              <w:rPr>
                <w:rFonts w:hint="eastAsia"/>
                <w:color w:val="auto"/>
              </w:rPr>
            </w:pPr>
          </w:p>
          <w:p>
            <w:pPr>
              <w:pStyle w:val="2"/>
              <w:rPr>
                <w:rFonts w:hint="eastAsia"/>
                <w:color w:val="auto"/>
              </w:rPr>
            </w:pPr>
          </w:p>
          <w:p>
            <w:pPr>
              <w:pStyle w:val="2"/>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5"/>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7"/>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数量须与第四部分采购清单列明的项目、数量一致，投标分项报价表汇总总价须与投标一览表的总价一致。</w:t>
      </w:r>
    </w:p>
    <w:p>
      <w:pPr>
        <w:pStyle w:val="15"/>
        <w:spacing w:line="360" w:lineRule="auto"/>
        <w:ind w:left="274" w:leftChars="114" w:firstLine="0" w:firstLineChars="0"/>
        <w:rPr>
          <w:rFonts w:hint="eastAsia" w:cs="微软雅黑"/>
          <w:color w:val="auto"/>
          <w:sz w:val="24"/>
          <w:szCs w:val="24"/>
        </w:rPr>
      </w:pPr>
    </w:p>
    <w:p>
      <w:pPr>
        <w:pStyle w:val="15"/>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spacing w:before="117" w:line="220" w:lineRule="auto"/>
        <w:ind w:left="3400"/>
        <w:outlineLvl w:val="2"/>
        <w:rPr>
          <w:rFonts w:ascii="宋体" w:hAnsi="宋体" w:eastAsia="宋体" w:cs="宋体"/>
          <w:sz w:val="36"/>
          <w:szCs w:val="36"/>
        </w:rPr>
      </w:pPr>
      <w:r>
        <w:rPr>
          <w:rFonts w:ascii="宋体" w:hAnsi="宋体" w:eastAsia="宋体" w:cs="宋体"/>
          <w:spacing w:val="-1"/>
          <w:sz w:val="24"/>
          <w:szCs w:val="24"/>
          <w14:textOutline w14:w="6537" w14:cap="flat" w14:cmpd="sng">
            <w14:solidFill>
              <w14:srgbClr w14:val="000000"/>
            </w14:solidFill>
            <w14:prstDash w14:val="solid"/>
            <w14:miter w14:val="0"/>
          </w14:textOutline>
        </w:rPr>
        <w:t>合同条款偏离表</w:t>
      </w:r>
    </w:p>
    <w:p>
      <w:pPr>
        <w:spacing w:line="297" w:lineRule="auto"/>
        <w:rPr>
          <w:rFonts w:ascii="Arial"/>
          <w:sz w:val="21"/>
        </w:rPr>
      </w:pPr>
    </w:p>
    <w:p>
      <w:pPr>
        <w:spacing w:before="78" w:line="220" w:lineRule="auto"/>
        <w:ind w:left="486"/>
        <w:rPr>
          <w:rFonts w:ascii="宋体" w:hAnsi="宋体" w:eastAsia="宋体" w:cs="宋体"/>
          <w:spacing w:val="-13"/>
          <w:sz w:val="24"/>
          <w:szCs w:val="24"/>
        </w:rPr>
      </w:pPr>
      <w:r>
        <w:rPr>
          <w:rFonts w:ascii="宋体" w:hAnsi="宋体" w:eastAsia="宋体" w:cs="宋体"/>
          <w:spacing w:val="-13"/>
          <w:sz w:val="24"/>
          <w:szCs w:val="24"/>
        </w:rPr>
        <w:t>项目编号：</w:t>
      </w:r>
    </w:p>
    <w:p>
      <w:pPr>
        <w:spacing w:before="78" w:line="220" w:lineRule="auto"/>
        <w:ind w:left="486"/>
        <w:rPr>
          <w:rFonts w:ascii="宋体" w:hAnsi="宋体" w:eastAsia="宋体" w:cs="宋体"/>
          <w:sz w:val="24"/>
          <w:szCs w:val="24"/>
        </w:rPr>
      </w:pPr>
      <w:r>
        <w:rPr>
          <w:rFonts w:ascii="宋体" w:hAnsi="宋体" w:eastAsia="宋体" w:cs="宋体"/>
          <w:spacing w:val="-13"/>
          <w:sz w:val="24"/>
          <w:szCs w:val="24"/>
        </w:rPr>
        <w:t>项目名</w:t>
      </w:r>
      <w:r>
        <w:rPr>
          <w:rFonts w:ascii="宋体" w:hAnsi="宋体" w:eastAsia="宋体" w:cs="宋体"/>
          <w:spacing w:val="-14"/>
          <w:sz w:val="24"/>
          <w:szCs w:val="24"/>
        </w:rPr>
        <w:t xml:space="preserve">称： </w:t>
      </w:r>
    </w:p>
    <w:p>
      <w:pPr>
        <w:spacing w:line="143" w:lineRule="exact"/>
      </w:pPr>
    </w:p>
    <w:tbl>
      <w:tblPr>
        <w:tblStyle w:val="79"/>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1"/>
              <w:spacing w:line="270" w:lineRule="auto"/>
            </w:pPr>
          </w:p>
          <w:p>
            <w:pPr>
              <w:spacing w:before="78" w:line="222" w:lineRule="auto"/>
              <w:ind w:left="344"/>
              <w:rPr>
                <w:rFonts w:ascii="宋体" w:hAnsi="宋体" w:eastAsia="宋体" w:cs="宋体"/>
                <w:sz w:val="24"/>
                <w:szCs w:val="24"/>
              </w:rPr>
            </w:pPr>
            <w:r>
              <w:rPr>
                <w:rFonts w:ascii="宋体" w:hAnsi="宋体" w:eastAsia="宋体" w:cs="宋体"/>
                <w:spacing w:val="-3"/>
                <w:sz w:val="24"/>
                <w:szCs w:val="24"/>
              </w:rPr>
              <w:t>序号</w:t>
            </w:r>
          </w:p>
        </w:tc>
        <w:tc>
          <w:tcPr>
            <w:tcW w:w="1771" w:type="dxa"/>
            <w:vAlign w:val="top"/>
          </w:tcPr>
          <w:p>
            <w:pPr>
              <w:spacing w:before="194" w:line="220" w:lineRule="auto"/>
              <w:ind w:left="172"/>
              <w:rPr>
                <w:rFonts w:ascii="宋体" w:hAnsi="宋体" w:eastAsia="宋体" w:cs="宋体"/>
                <w:sz w:val="24"/>
                <w:szCs w:val="24"/>
              </w:rPr>
            </w:pPr>
            <w:r>
              <w:rPr>
                <w:rFonts w:ascii="宋体" w:hAnsi="宋体" w:eastAsia="宋体" w:cs="宋体"/>
                <w:spacing w:val="-2"/>
                <w:sz w:val="24"/>
                <w:szCs w:val="24"/>
              </w:rPr>
              <w:t>招标文件条目</w:t>
            </w:r>
          </w:p>
          <w:p>
            <w:pPr>
              <w:spacing w:before="25" w:line="222" w:lineRule="auto"/>
              <w:ind w:left="297"/>
              <w:rPr>
                <w:rFonts w:ascii="宋体" w:hAnsi="宋体" w:eastAsia="宋体" w:cs="宋体"/>
                <w:sz w:val="24"/>
                <w:szCs w:val="24"/>
              </w:rPr>
            </w:pPr>
            <w:r>
              <w:rPr>
                <w:rFonts w:ascii="宋体" w:hAnsi="宋体" w:eastAsia="宋体" w:cs="宋体"/>
                <w:spacing w:val="-5"/>
                <w:sz w:val="24"/>
                <w:szCs w:val="24"/>
              </w:rPr>
              <w:t>号（页码）</w:t>
            </w:r>
          </w:p>
        </w:tc>
        <w:tc>
          <w:tcPr>
            <w:tcW w:w="1675" w:type="dxa"/>
            <w:vAlign w:val="top"/>
          </w:tcPr>
          <w:p>
            <w:pPr>
              <w:pStyle w:val="81"/>
              <w:spacing w:line="270" w:lineRule="auto"/>
            </w:pPr>
          </w:p>
          <w:p>
            <w:pPr>
              <w:spacing w:before="78" w:line="220" w:lineRule="auto"/>
              <w:ind w:left="124"/>
              <w:rPr>
                <w:rFonts w:ascii="宋体" w:hAnsi="宋体" w:eastAsia="宋体" w:cs="宋体"/>
                <w:sz w:val="24"/>
                <w:szCs w:val="24"/>
              </w:rPr>
            </w:pPr>
            <w:r>
              <w:rPr>
                <w:rFonts w:ascii="宋体" w:hAnsi="宋体" w:eastAsia="宋体" w:cs="宋体"/>
                <w:spacing w:val="-2"/>
                <w:sz w:val="24"/>
                <w:szCs w:val="24"/>
              </w:rPr>
              <w:t>招标文件要求</w:t>
            </w:r>
          </w:p>
        </w:tc>
        <w:tc>
          <w:tcPr>
            <w:tcW w:w="1675" w:type="dxa"/>
            <w:vAlign w:val="top"/>
          </w:tcPr>
          <w:p>
            <w:pPr>
              <w:pStyle w:val="81"/>
              <w:spacing w:line="270" w:lineRule="auto"/>
            </w:pPr>
          </w:p>
          <w:p>
            <w:pPr>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投标文件内容</w:t>
            </w:r>
          </w:p>
        </w:tc>
        <w:tc>
          <w:tcPr>
            <w:tcW w:w="1876" w:type="dxa"/>
            <w:vAlign w:val="top"/>
          </w:tcPr>
          <w:p>
            <w:pPr>
              <w:pStyle w:val="81"/>
              <w:spacing w:line="270" w:lineRule="auto"/>
            </w:pPr>
          </w:p>
          <w:p>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138" w:type="dxa"/>
            <w:vAlign w:val="top"/>
          </w:tcPr>
          <w:p>
            <w:pPr>
              <w:pStyle w:val="81"/>
              <w:spacing w:line="270" w:lineRule="auto"/>
            </w:pPr>
          </w:p>
          <w:p>
            <w:pPr>
              <w:spacing w:before="78" w:line="220" w:lineRule="auto"/>
              <w:ind w:left="33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560" w:hRule="atLeast"/>
        </w:trPr>
        <w:tc>
          <w:tcPr>
            <w:tcW w:w="9293" w:type="dxa"/>
            <w:gridSpan w:val="6"/>
            <w:vAlign w:val="top"/>
          </w:tcPr>
          <w:p>
            <w:pPr>
              <w:spacing w:before="38" w:line="219" w:lineRule="auto"/>
              <w:ind w:left="116"/>
              <w:rPr>
                <w:rFonts w:ascii="宋体" w:hAnsi="宋体" w:eastAsia="宋体" w:cs="宋体"/>
                <w:sz w:val="24"/>
                <w:szCs w:val="24"/>
              </w:rPr>
            </w:pPr>
            <w:r>
              <w:rPr>
                <w:rFonts w:ascii="宋体" w:hAnsi="宋体" w:eastAsia="宋体" w:cs="宋体"/>
                <w:sz w:val="24"/>
                <w:szCs w:val="24"/>
                <w14:textOutline w14:w="4359" w14:cap="flat" w14:cmpd="sng">
                  <w14:solidFill>
                    <w14:srgbClr w14:val="000000"/>
                  </w14:solidFill>
                  <w14:prstDash w14:val="solid"/>
                  <w14:miter w14:val="0"/>
                </w14:textOutline>
              </w:rPr>
              <w:t>对本项目合同条款的偏离情况</w:t>
            </w:r>
            <w:r>
              <w:rPr>
                <w:rFonts w:ascii="宋体" w:hAnsi="宋体" w:eastAsia="宋体" w:cs="宋体"/>
                <w:sz w:val="24"/>
                <w:szCs w:val="24"/>
              </w:rPr>
              <w:t>（应进行选择，未选择</w:t>
            </w:r>
            <w:r>
              <w:rPr>
                <w:rFonts w:ascii="宋体" w:hAnsi="宋体" w:eastAsia="宋体" w:cs="宋体"/>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63"/>
                <w:w w:val="98"/>
                <w:sz w:val="24"/>
                <w:szCs w:val="24"/>
              </w:rPr>
              <w:t>）：</w:t>
            </w:r>
          </w:p>
          <w:p>
            <w:pPr>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14:textOutline w14:w="4359" w14:cap="flat" w14:cmpd="sng">
                  <w14:solidFill>
                    <w14:srgbClr w14:val="000000"/>
                  </w14:solidFill>
                  <w14:prstDash w14:val="solid"/>
                  <w14:miter w14:val="0"/>
                </w14:textOutline>
              </w:rPr>
              <w:t>无偏离</w:t>
            </w:r>
            <w:r>
              <w:rPr>
                <w:rFonts w:ascii="宋体" w:hAnsi="宋体" w:eastAsia="宋体" w:cs="宋体"/>
                <w:spacing w:val="-16"/>
                <w:sz w:val="24"/>
                <w:szCs w:val="24"/>
              </w:rPr>
              <w:t>（如无偏离，仅选择无偏离即可；无偏离即为对合同条款中的所有要求，均视</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14:textOutline w14:w="4359" w14:cap="flat" w14:cmpd="sng">
                  <w14:solidFill>
                    <w14:srgbClr w14:val="000000"/>
                  </w14:solidFill>
                  <w14:prstDash w14:val="solid"/>
                  <w14:miter w14:val="0"/>
                </w14:textOutline>
              </w:rPr>
              <w:t>有偏离</w:t>
            </w:r>
            <w:r>
              <w:rPr>
                <w:rFonts w:ascii="宋体" w:hAnsi="宋体" w:eastAsia="宋体" w:cs="宋体"/>
                <w:spacing w:val="-10"/>
                <w:sz w:val="24"/>
                <w:szCs w:val="24"/>
              </w:rPr>
              <w:t>（如有偏离，则应在本表中对偏离项逐一列明，否则</w:t>
            </w:r>
            <w:r>
              <w:rPr>
                <w:rFonts w:ascii="宋体" w:hAnsi="宋体" w:eastAsia="宋体" w:cs="宋体"/>
                <w:spacing w:val="-10"/>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0"/>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1"/>
            </w:pPr>
          </w:p>
        </w:tc>
        <w:tc>
          <w:tcPr>
            <w:tcW w:w="1771" w:type="dxa"/>
            <w:vAlign w:val="top"/>
          </w:tcPr>
          <w:p>
            <w:pPr>
              <w:pStyle w:val="81"/>
            </w:pPr>
          </w:p>
        </w:tc>
        <w:tc>
          <w:tcPr>
            <w:tcW w:w="1675" w:type="dxa"/>
            <w:vAlign w:val="top"/>
          </w:tcPr>
          <w:p>
            <w:pPr>
              <w:pStyle w:val="81"/>
            </w:pPr>
          </w:p>
        </w:tc>
        <w:tc>
          <w:tcPr>
            <w:tcW w:w="1675" w:type="dxa"/>
            <w:vAlign w:val="top"/>
          </w:tcPr>
          <w:p>
            <w:pPr>
              <w:pStyle w:val="81"/>
            </w:pPr>
          </w:p>
        </w:tc>
        <w:tc>
          <w:tcPr>
            <w:tcW w:w="1876" w:type="dxa"/>
            <w:vAlign w:val="top"/>
          </w:tcPr>
          <w:p>
            <w:pPr>
              <w:pStyle w:val="81"/>
            </w:pPr>
          </w:p>
        </w:tc>
        <w:tc>
          <w:tcPr>
            <w:tcW w:w="1138" w:type="dxa"/>
            <w:vAlign w:val="top"/>
          </w:tcPr>
          <w:p>
            <w:pPr>
              <w:pStyle w:val="8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1"/>
            </w:pPr>
          </w:p>
        </w:tc>
        <w:tc>
          <w:tcPr>
            <w:tcW w:w="1771" w:type="dxa"/>
            <w:vAlign w:val="top"/>
          </w:tcPr>
          <w:p>
            <w:pPr>
              <w:pStyle w:val="81"/>
            </w:pPr>
          </w:p>
        </w:tc>
        <w:tc>
          <w:tcPr>
            <w:tcW w:w="1675" w:type="dxa"/>
            <w:vAlign w:val="top"/>
          </w:tcPr>
          <w:p>
            <w:pPr>
              <w:pStyle w:val="81"/>
            </w:pPr>
          </w:p>
        </w:tc>
        <w:tc>
          <w:tcPr>
            <w:tcW w:w="1675" w:type="dxa"/>
            <w:vAlign w:val="top"/>
          </w:tcPr>
          <w:p>
            <w:pPr>
              <w:pStyle w:val="81"/>
            </w:pPr>
          </w:p>
        </w:tc>
        <w:tc>
          <w:tcPr>
            <w:tcW w:w="1876" w:type="dxa"/>
            <w:vAlign w:val="top"/>
          </w:tcPr>
          <w:p>
            <w:pPr>
              <w:pStyle w:val="81"/>
            </w:pPr>
          </w:p>
        </w:tc>
        <w:tc>
          <w:tcPr>
            <w:tcW w:w="1138" w:type="dxa"/>
            <w:vAlign w:val="top"/>
          </w:tcPr>
          <w:p>
            <w:pPr>
              <w:pStyle w:val="8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1"/>
            </w:pPr>
          </w:p>
        </w:tc>
        <w:tc>
          <w:tcPr>
            <w:tcW w:w="1771" w:type="dxa"/>
            <w:vAlign w:val="top"/>
          </w:tcPr>
          <w:p>
            <w:pPr>
              <w:pStyle w:val="81"/>
            </w:pPr>
          </w:p>
        </w:tc>
        <w:tc>
          <w:tcPr>
            <w:tcW w:w="1675" w:type="dxa"/>
            <w:vAlign w:val="top"/>
          </w:tcPr>
          <w:p>
            <w:pPr>
              <w:pStyle w:val="81"/>
            </w:pPr>
          </w:p>
        </w:tc>
        <w:tc>
          <w:tcPr>
            <w:tcW w:w="1675" w:type="dxa"/>
            <w:vAlign w:val="top"/>
          </w:tcPr>
          <w:p>
            <w:pPr>
              <w:pStyle w:val="81"/>
            </w:pPr>
          </w:p>
        </w:tc>
        <w:tc>
          <w:tcPr>
            <w:tcW w:w="1876" w:type="dxa"/>
            <w:vAlign w:val="top"/>
          </w:tcPr>
          <w:p>
            <w:pPr>
              <w:pStyle w:val="81"/>
            </w:pPr>
          </w:p>
        </w:tc>
        <w:tc>
          <w:tcPr>
            <w:tcW w:w="1138" w:type="dxa"/>
            <w:vAlign w:val="top"/>
          </w:tcPr>
          <w:p>
            <w:pPr>
              <w:pStyle w:val="81"/>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1"/>
            </w:pPr>
          </w:p>
        </w:tc>
        <w:tc>
          <w:tcPr>
            <w:tcW w:w="1771" w:type="dxa"/>
            <w:vAlign w:val="top"/>
          </w:tcPr>
          <w:p>
            <w:pPr>
              <w:pStyle w:val="81"/>
            </w:pPr>
          </w:p>
        </w:tc>
        <w:tc>
          <w:tcPr>
            <w:tcW w:w="1675" w:type="dxa"/>
            <w:vAlign w:val="top"/>
          </w:tcPr>
          <w:p>
            <w:pPr>
              <w:pStyle w:val="81"/>
            </w:pPr>
          </w:p>
        </w:tc>
        <w:tc>
          <w:tcPr>
            <w:tcW w:w="1675" w:type="dxa"/>
            <w:vAlign w:val="top"/>
          </w:tcPr>
          <w:p>
            <w:pPr>
              <w:pStyle w:val="81"/>
            </w:pPr>
          </w:p>
        </w:tc>
        <w:tc>
          <w:tcPr>
            <w:tcW w:w="1876" w:type="dxa"/>
            <w:vAlign w:val="top"/>
          </w:tcPr>
          <w:p>
            <w:pPr>
              <w:pStyle w:val="81"/>
            </w:pPr>
          </w:p>
        </w:tc>
        <w:tc>
          <w:tcPr>
            <w:tcW w:w="1138" w:type="dxa"/>
            <w:vAlign w:val="top"/>
          </w:tcPr>
          <w:p>
            <w:pPr>
              <w:pStyle w:val="81"/>
            </w:pPr>
          </w:p>
        </w:tc>
      </w:tr>
    </w:tbl>
    <w:p>
      <w:pPr>
        <w:pStyle w:val="15"/>
        <w:spacing w:line="360" w:lineRule="auto"/>
        <w:rPr>
          <w:rFonts w:ascii="宋体" w:hAnsi="宋体" w:eastAsia="宋体" w:cs="宋体"/>
          <w:spacing w:val="4"/>
          <w:sz w:val="24"/>
          <w:szCs w:val="24"/>
        </w:rPr>
      </w:pPr>
      <w:r>
        <w:rPr>
          <w:rFonts w:ascii="宋体" w:hAnsi="宋体" w:eastAsia="宋体" w:cs="宋体"/>
          <w:spacing w:val="4"/>
          <w:sz w:val="24"/>
          <w:szCs w:val="24"/>
        </w:rPr>
        <w:t xml:space="preserve">注： </w:t>
      </w:r>
      <w:r>
        <w:rPr>
          <w:rFonts w:ascii="Arial" w:hAnsi="Arial" w:eastAsia="Arial" w:cs="Arial"/>
          <w:spacing w:val="4"/>
          <w:sz w:val="24"/>
          <w:szCs w:val="24"/>
        </w:rPr>
        <w:t>“</w:t>
      </w:r>
      <w:r>
        <w:rPr>
          <w:rFonts w:ascii="宋体" w:hAnsi="宋体" w:eastAsia="宋体" w:cs="宋体"/>
          <w:spacing w:val="4"/>
          <w:sz w:val="24"/>
          <w:szCs w:val="24"/>
        </w:rPr>
        <w:t>偏离情况</w:t>
      </w:r>
      <w:r>
        <w:rPr>
          <w:rFonts w:ascii="Arial" w:hAnsi="Arial" w:eastAsia="Arial" w:cs="Arial"/>
          <w:spacing w:val="4"/>
          <w:sz w:val="24"/>
          <w:szCs w:val="24"/>
        </w:rPr>
        <w:t>”</w:t>
      </w:r>
      <w:r>
        <w:rPr>
          <w:rFonts w:ascii="宋体" w:hAnsi="宋体" w:eastAsia="宋体" w:cs="宋体"/>
          <w:spacing w:val="4"/>
          <w:sz w:val="24"/>
          <w:szCs w:val="24"/>
        </w:rPr>
        <w:t>列应据实填写</w:t>
      </w:r>
      <w:r>
        <w:rPr>
          <w:rFonts w:ascii="Arial" w:hAnsi="Arial" w:eastAsia="Arial" w:cs="Arial"/>
          <w:spacing w:val="4"/>
          <w:sz w:val="24"/>
          <w:szCs w:val="24"/>
        </w:rPr>
        <w:t>“</w:t>
      </w:r>
      <w:r>
        <w:rPr>
          <w:rFonts w:ascii="宋体" w:hAnsi="宋体" w:eastAsia="宋体" w:cs="宋体"/>
          <w:spacing w:val="4"/>
          <w:sz w:val="24"/>
          <w:szCs w:val="24"/>
        </w:rPr>
        <w:t>正偏离</w:t>
      </w:r>
      <w:r>
        <w:rPr>
          <w:rFonts w:ascii="Arial" w:hAnsi="Arial" w:eastAsia="Arial" w:cs="Arial"/>
          <w:spacing w:val="4"/>
          <w:sz w:val="24"/>
          <w:szCs w:val="24"/>
        </w:rPr>
        <w:t>”</w:t>
      </w:r>
      <w:r>
        <w:rPr>
          <w:rFonts w:ascii="宋体" w:hAnsi="宋体" w:eastAsia="宋体" w:cs="宋体"/>
          <w:spacing w:val="4"/>
          <w:sz w:val="24"/>
          <w:szCs w:val="24"/>
        </w:rPr>
        <w:t>或</w:t>
      </w:r>
      <w:r>
        <w:rPr>
          <w:rFonts w:ascii="Arial" w:hAnsi="Arial" w:eastAsia="Arial" w:cs="Arial"/>
          <w:spacing w:val="4"/>
          <w:sz w:val="24"/>
          <w:szCs w:val="24"/>
        </w:rPr>
        <w:t>“</w:t>
      </w:r>
      <w:r>
        <w:rPr>
          <w:rFonts w:ascii="Arial" w:hAnsi="Arial" w:eastAsia="Arial" w:cs="Arial"/>
          <w:spacing w:val="-42"/>
          <w:sz w:val="24"/>
          <w:szCs w:val="24"/>
        </w:rPr>
        <w:t xml:space="preserve"> </w:t>
      </w:r>
      <w:r>
        <w:rPr>
          <w:rFonts w:ascii="宋体" w:hAnsi="宋体" w:eastAsia="宋体" w:cs="宋体"/>
          <w:spacing w:val="4"/>
          <w:sz w:val="24"/>
          <w:szCs w:val="24"/>
        </w:rPr>
        <w:t>负偏离</w:t>
      </w:r>
      <w:r>
        <w:rPr>
          <w:rFonts w:ascii="Arial" w:hAnsi="Arial" w:eastAsia="Arial" w:cs="Arial"/>
          <w:spacing w:val="4"/>
          <w:sz w:val="24"/>
          <w:szCs w:val="24"/>
        </w:rPr>
        <w:t>”</w:t>
      </w:r>
      <w:r>
        <w:rPr>
          <w:rFonts w:ascii="宋体" w:hAnsi="宋体" w:eastAsia="宋体" w:cs="宋体"/>
          <w:spacing w:val="4"/>
          <w:sz w:val="24"/>
          <w:szCs w:val="24"/>
        </w:rPr>
        <w:t>。</w:t>
      </w:r>
    </w:p>
    <w:p>
      <w:pPr>
        <w:pStyle w:val="15"/>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lang w:eastAsia="zh-CN"/>
        </w:rPr>
        <w:t>运维服务方案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sz w:val="24"/>
          <w:szCs w:val="24"/>
          <w:u w:val="none"/>
          <w:lang w:eastAsia="zh-CN"/>
        </w:rPr>
        <w:t>二级、三级节点完整网络拓扑图</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position w:val="-1"/>
          <w:sz w:val="24"/>
          <w:szCs w:val="24"/>
          <w:u w:val="none"/>
          <w:lang w:eastAsia="zh-CN"/>
        </w:rPr>
        <w:t>二级、三级节点完整基础子网路由规划图</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lang w:eastAsia="zh-CN"/>
        </w:rPr>
        <w:t>响应时间</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hint="eastAsia" w:ascii="宋体" w:hAnsi="宋体"/>
          <w:sz w:val="24"/>
          <w:szCs w:val="24"/>
          <w:u w:val="none"/>
          <w:lang w:eastAsia="zh-CN"/>
        </w:rPr>
        <w:t>驻场服务人员情况。</w:t>
      </w:r>
    </w:p>
    <w:p>
      <w:pPr>
        <w:pStyle w:val="11"/>
        <w:rPr>
          <w:rFonts w:hint="eastAsia"/>
        </w:rPr>
      </w:pPr>
    </w:p>
    <w:p>
      <w:pPr>
        <w:pStyle w:val="2"/>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pStyle w:val="12"/>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7</w:t>
      </w:r>
      <w:r>
        <w:rPr>
          <w:rFonts w:hint="eastAsia"/>
          <w:b/>
          <w:color w:val="auto"/>
          <w:sz w:val="24"/>
          <w:szCs w:val="24"/>
        </w:rPr>
        <w:t xml:space="preserve"> </w:t>
      </w:r>
      <w:r>
        <w:rPr>
          <w:rFonts w:hint="eastAsia"/>
          <w:b/>
          <w:color w:val="auto"/>
          <w:sz w:val="24"/>
          <w:szCs w:val="24"/>
          <w:lang w:eastAsia="zh-CN"/>
        </w:rPr>
        <w:t>履约能力</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spacing w:line="360" w:lineRule="auto"/>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7.1投标人相关证书（按招标文件要求提供证书复印件并加盖投标人公章）</w:t>
      </w:r>
    </w:p>
    <w:p>
      <w:pPr>
        <w:spacing w:line="360" w:lineRule="auto"/>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7.2项目相关人员情况（按招标文件要求提供人员配备情况及相关证书并加盖投标人公章）</w:t>
      </w:r>
    </w:p>
    <w:p>
      <w:pPr>
        <w:spacing w:line="360" w:lineRule="auto"/>
        <w:rPr>
          <w:rFonts w:hint="eastAsia" w:hAnsi="宋体"/>
          <w:color w:val="000000"/>
          <w:sz w:val="24"/>
          <w:szCs w:val="24"/>
        </w:rPr>
      </w:pPr>
      <w:r>
        <w:rPr>
          <w:rFonts w:hint="eastAsia" w:ascii="宋体" w:hAnsi="宋体" w:cs="宋体"/>
          <w:b w:val="0"/>
          <w:bCs/>
          <w:sz w:val="24"/>
          <w:szCs w:val="24"/>
          <w:lang w:val="en-US" w:eastAsia="zh-CN"/>
        </w:rPr>
        <w:t>7</w:t>
      </w:r>
      <w:r>
        <w:rPr>
          <w:rFonts w:hint="eastAsia" w:ascii="宋体" w:hAnsi="宋体" w:eastAsia="宋体" w:cs="宋体"/>
          <w:b w:val="0"/>
          <w:bCs/>
          <w:sz w:val="24"/>
          <w:szCs w:val="24"/>
          <w:lang w:val="en-US" w:eastAsia="zh-CN"/>
        </w:rPr>
        <w:t>.3</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w:t>
      </w:r>
      <w:r>
        <w:rPr>
          <w:rFonts w:hint="eastAsia" w:hAnsi="宋体"/>
          <w:b w:val="0"/>
          <w:bCs/>
          <w:color w:val="000000"/>
          <w:sz w:val="24"/>
          <w:szCs w:val="24"/>
          <w:lang w:eastAsia="zh-CN"/>
        </w:rPr>
        <w:t>提供</w:t>
      </w:r>
      <w:r>
        <w:rPr>
          <w:rFonts w:hint="eastAsia" w:hAnsi="宋体"/>
          <w:b w:val="0"/>
          <w:bCs/>
          <w:color w:val="000000"/>
          <w:sz w:val="24"/>
          <w:szCs w:val="24"/>
        </w:rPr>
        <w:t>合同首页、签字盖章页、合同标的项所在页复印件并加盖</w:t>
      </w:r>
      <w:r>
        <w:rPr>
          <w:rFonts w:hint="eastAsia" w:hAnsi="宋体"/>
          <w:b w:val="0"/>
          <w:bCs/>
          <w:color w:val="000000"/>
          <w:sz w:val="24"/>
          <w:szCs w:val="24"/>
          <w:lang w:eastAsia="zh-CN"/>
        </w:rPr>
        <w:t>投标人</w:t>
      </w:r>
      <w:r>
        <w:rPr>
          <w:rFonts w:hint="eastAsia" w:hAnsi="宋体"/>
          <w:b w:val="0"/>
          <w:bCs/>
          <w:color w:val="000000"/>
          <w:sz w:val="24"/>
          <w:szCs w:val="24"/>
        </w:rPr>
        <w:t>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5"/>
        <w:rPr>
          <w:rFonts w:hAnsi="宋体"/>
          <w:color w:val="auto"/>
          <w:sz w:val="24"/>
        </w:rPr>
      </w:pP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2.证明材料请附后。</w:t>
      </w: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15"/>
        <w:tabs>
          <w:tab w:val="left" w:pos="5220"/>
        </w:tabs>
        <w:spacing w:line="360" w:lineRule="auto"/>
        <w:rPr>
          <w:rFonts w:hint="eastAsia" w:hAnsi="宋体"/>
          <w:b w:val="0"/>
          <w:bCs/>
          <w:color w:val="auto"/>
          <w:sz w:val="24"/>
          <w:szCs w:val="24"/>
          <w:lang w:val="en-US" w:eastAsia="zh-CN"/>
        </w:rPr>
      </w:pPr>
    </w:p>
    <w:p>
      <w:pPr>
        <w:pStyle w:val="15"/>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8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8</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2"/>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3"/>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8</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8</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w:t>
      </w:r>
      <w:r>
        <w:rPr>
          <w:rFonts w:hint="eastAsia" w:hAnsi="宋体"/>
          <w:b/>
          <w:color w:val="auto"/>
          <w:sz w:val="24"/>
          <w:szCs w:val="24"/>
          <w:lang w:val="en-US" w:eastAsia="zh-CN"/>
        </w:rPr>
        <w:t>9</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仿宋_GB2312">
    <w:altName w:val="仿宋"/>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五">
    <w:altName w:val="黑体"/>
    <w:panose1 w:val="00000000000000000000"/>
    <w:charset w:val="86"/>
    <w:family w:val="auto"/>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Book Antiqua">
    <w:altName w:val="Segoe Print"/>
    <w:panose1 w:val="02040602050305030304"/>
    <w:charset w:val="00"/>
    <w:family w:val="roman"/>
    <w:pitch w:val="default"/>
    <w:sig w:usb0="00000000" w:usb1="00000000" w:usb2="00000000" w:usb3="00000000" w:csb0="0000009F" w:csb1="00000000"/>
  </w:font>
  <w:font w:name="Helvetica-Light">
    <w:altName w:val="Malgun Gothic"/>
    <w:panose1 w:val="020B0403020202020204"/>
    <w:charset w:val="00"/>
    <w:family w:val="swiss"/>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Palatino">
    <w:altName w:val="Palatino Linotype"/>
    <w:panose1 w:val="00000000000000000000"/>
    <w:charset w:val="00"/>
    <w:family w:val="roman"/>
    <w:pitch w:val="default"/>
    <w:sig w:usb0="00000000" w:usb1="00000000" w:usb2="00000000" w:usb3="00000000" w:csb0="00000093"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Align="top"/>
    </w:pPr>
  </w:p>
  <w:p>
    <w:pPr>
      <w:pStyle w:val="18"/>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28"/>
      </w:rPr>
    </w:pPr>
    <w:r>
      <w:fldChar w:fldCharType="begin"/>
    </w:r>
    <w:r>
      <w:rPr>
        <w:rStyle w:val="28"/>
      </w:rPr>
      <w:instrText xml:space="preserve">PAGE  </w:instrText>
    </w:r>
    <w:r>
      <w:fldChar w:fldCharType="separate"/>
    </w:r>
    <w:r>
      <w:rPr>
        <w:rStyle w:val="28"/>
      </w:rPr>
      <w:t>10</w:t>
    </w:r>
    <w:r>
      <w:fldChar w:fldCharType="end"/>
    </w:r>
  </w:p>
  <w:p>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CA732C"/>
    <w:multiLevelType w:val="singleLevel"/>
    <w:tmpl w:val="BDCA732C"/>
    <w:lvl w:ilvl="0" w:tentative="0">
      <w:start w:val="1"/>
      <w:numFmt w:val="decimal"/>
      <w:lvlText w:val="(%1)"/>
      <w:lvlJc w:val="left"/>
      <w:pPr>
        <w:ind w:left="425" w:hanging="425"/>
      </w:pPr>
      <w:rPr>
        <w:rFonts w:hint="default"/>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5"/>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8"/>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4">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7">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5"/>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110774E9"/>
    <w:multiLevelType w:val="singleLevel"/>
    <w:tmpl w:val="110774E9"/>
    <w:lvl w:ilvl="0" w:tentative="0">
      <w:start w:val="1"/>
      <w:numFmt w:val="bullet"/>
      <w:lvlText w:val=""/>
      <w:lvlJc w:val="left"/>
      <w:pPr>
        <w:ind w:left="420" w:hanging="420"/>
      </w:pPr>
      <w:rPr>
        <w:rFonts w:hint="default" w:ascii="Wingdings" w:hAnsi="Wingdings"/>
      </w:rPr>
    </w:lvl>
  </w:abstractNum>
  <w:abstractNum w:abstractNumId="9">
    <w:nsid w:val="11464CCC"/>
    <w:multiLevelType w:val="singleLevel"/>
    <w:tmpl w:val="11464CCC"/>
    <w:lvl w:ilvl="0" w:tentative="0">
      <w:start w:val="1"/>
      <w:numFmt w:val="decimal"/>
      <w:lvlText w:val="(%1)"/>
      <w:lvlJc w:val="left"/>
      <w:pPr>
        <w:ind w:left="425" w:hanging="425"/>
      </w:pPr>
      <w:rPr>
        <w:rFonts w:hint="default"/>
      </w:rPr>
    </w:lvl>
  </w:abstractNum>
  <w:abstractNum w:abstractNumId="10">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010AC2E"/>
    <w:multiLevelType w:val="singleLevel"/>
    <w:tmpl w:val="2010AC2E"/>
    <w:lvl w:ilvl="0" w:tentative="0">
      <w:start w:val="1"/>
      <w:numFmt w:val="decimal"/>
      <w:lvlText w:val="%1."/>
      <w:lvlJc w:val="left"/>
      <w:pPr>
        <w:ind w:left="425" w:hanging="425"/>
      </w:pPr>
      <w:rPr>
        <w:rFonts w:hint="default"/>
      </w:rPr>
    </w:lvl>
  </w:abstractNum>
  <w:abstractNum w:abstractNumId="12">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3">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4">
    <w:nsid w:val="2C998009"/>
    <w:multiLevelType w:val="singleLevel"/>
    <w:tmpl w:val="2C998009"/>
    <w:lvl w:ilvl="0" w:tentative="0">
      <w:start w:val="1"/>
      <w:numFmt w:val="decimal"/>
      <w:lvlText w:val="(%1)"/>
      <w:lvlJc w:val="left"/>
      <w:pPr>
        <w:ind w:left="425" w:hanging="425"/>
      </w:pPr>
      <w:rPr>
        <w:rFonts w:hint="default"/>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2B35302"/>
    <w:multiLevelType w:val="multilevel"/>
    <w:tmpl w:val="52B3530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9">
    <w:nsid w:val="5370639A"/>
    <w:multiLevelType w:val="singleLevel"/>
    <w:tmpl w:val="5370639A"/>
    <w:lvl w:ilvl="0" w:tentative="0">
      <w:start w:val="1"/>
      <w:numFmt w:val="decimal"/>
      <w:lvlText w:val="%1."/>
      <w:lvlJc w:val="left"/>
      <w:pPr>
        <w:ind w:left="425" w:hanging="425"/>
      </w:pPr>
      <w:rPr>
        <w:rFonts w:hint="default"/>
      </w:rPr>
    </w:lvl>
  </w:abstractNum>
  <w:abstractNum w:abstractNumId="20">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2">
    <w:nsid w:val="5FD1DD5E"/>
    <w:multiLevelType w:val="singleLevel"/>
    <w:tmpl w:val="5FD1DD5E"/>
    <w:lvl w:ilvl="0" w:tentative="0">
      <w:start w:val="2"/>
      <w:numFmt w:val="chineseCounting"/>
      <w:suff w:val="nothing"/>
      <w:lvlText w:val="%1、"/>
      <w:lvlJc w:val="left"/>
    </w:lvl>
  </w:abstractNum>
  <w:abstractNum w:abstractNumId="23">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4">
    <w:nsid w:val="604FBB24"/>
    <w:multiLevelType w:val="singleLevel"/>
    <w:tmpl w:val="604FBB24"/>
    <w:lvl w:ilvl="0" w:tentative="0">
      <w:start w:val="1"/>
      <w:numFmt w:val="chineseCounting"/>
      <w:suff w:val="nothing"/>
      <w:lvlText w:val="%1、"/>
      <w:lvlJc w:val="left"/>
      <w:pPr>
        <w:ind w:left="0" w:firstLine="420"/>
      </w:pPr>
      <w:rPr>
        <w:rFonts w:hint="eastAsia"/>
      </w:rPr>
    </w:lvl>
  </w:abstractNum>
  <w:abstractNum w:abstractNumId="25">
    <w:nsid w:val="60D2DDBF"/>
    <w:multiLevelType w:val="singleLevel"/>
    <w:tmpl w:val="60D2DDBF"/>
    <w:lvl w:ilvl="0" w:tentative="0">
      <w:start w:val="1"/>
      <w:numFmt w:val="chineseCounting"/>
      <w:suff w:val="nothing"/>
      <w:lvlText w:val="%1、"/>
      <w:lvlJc w:val="left"/>
    </w:lvl>
  </w:abstractNum>
  <w:abstractNum w:abstractNumId="26">
    <w:nsid w:val="64DB4281"/>
    <w:multiLevelType w:val="singleLevel"/>
    <w:tmpl w:val="64DB4281"/>
    <w:lvl w:ilvl="0" w:tentative="0">
      <w:start w:val="2"/>
      <w:numFmt w:val="chineseCounting"/>
      <w:suff w:val="nothing"/>
      <w:lvlText w:val="%1、"/>
      <w:lvlJc w:val="left"/>
    </w:lvl>
  </w:abstractNum>
  <w:abstractNum w:abstractNumId="27">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8">
    <w:nsid w:val="69856366"/>
    <w:multiLevelType w:val="multilevel"/>
    <w:tmpl w:val="69856366"/>
    <w:lvl w:ilvl="0" w:tentative="0">
      <w:start w:val="2"/>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9">
    <w:nsid w:val="72ADBE76"/>
    <w:multiLevelType w:val="singleLevel"/>
    <w:tmpl w:val="72ADBE76"/>
    <w:lvl w:ilvl="0" w:tentative="0">
      <w:start w:val="1"/>
      <w:numFmt w:val="chineseCounting"/>
      <w:suff w:val="nothing"/>
      <w:lvlText w:val="%1、"/>
      <w:lvlJc w:val="left"/>
      <w:pPr>
        <w:ind w:left="0" w:firstLine="420"/>
      </w:pPr>
      <w:rPr>
        <w:rFonts w:hint="eastAsia"/>
      </w:rPr>
    </w:lvl>
  </w:abstractNum>
  <w:num w:numId="1">
    <w:abstractNumId w:val="2"/>
  </w:num>
  <w:num w:numId="2">
    <w:abstractNumId w:val="7"/>
  </w:num>
  <w:num w:numId="3">
    <w:abstractNumId w:val="5"/>
  </w:num>
  <w:num w:numId="4">
    <w:abstractNumId w:val="3"/>
  </w:num>
  <w:num w:numId="5">
    <w:abstractNumId w:val="13"/>
  </w:num>
  <w:num w:numId="6">
    <w:abstractNumId w:val="10"/>
  </w:num>
  <w:num w:numId="7">
    <w:abstractNumId w:val="6"/>
  </w:num>
  <w:num w:numId="8">
    <w:abstractNumId w:val="1"/>
  </w:num>
  <w:num w:numId="9">
    <w:abstractNumId w:val="20"/>
  </w:num>
  <w:num w:numId="10">
    <w:abstractNumId w:val="12"/>
  </w:num>
  <w:num w:numId="11">
    <w:abstractNumId w:val="21"/>
  </w:num>
  <w:num w:numId="12">
    <w:abstractNumId w:val="27"/>
  </w:num>
  <w:num w:numId="13">
    <w:abstractNumId w:val="16"/>
  </w:num>
  <w:num w:numId="14">
    <w:abstractNumId w:val="23"/>
  </w:num>
  <w:num w:numId="15">
    <w:abstractNumId w:val="24"/>
  </w:num>
  <w:num w:numId="16">
    <w:abstractNumId w:val="28"/>
  </w:num>
  <w:num w:numId="17">
    <w:abstractNumId w:val="18"/>
  </w:num>
  <w:num w:numId="18">
    <w:abstractNumId w:val="14"/>
  </w:num>
  <w:num w:numId="19">
    <w:abstractNumId w:val="29"/>
  </w:num>
  <w:num w:numId="20">
    <w:abstractNumId w:val="19"/>
  </w:num>
  <w:num w:numId="21">
    <w:abstractNumId w:val="11"/>
  </w:num>
  <w:num w:numId="22">
    <w:abstractNumId w:val="8"/>
  </w:num>
  <w:num w:numId="23">
    <w:abstractNumId w:val="0"/>
  </w:num>
  <w:num w:numId="24">
    <w:abstractNumId w:val="9"/>
  </w:num>
  <w:num w:numId="25">
    <w:abstractNumId w:val="26"/>
  </w:num>
  <w:num w:numId="26">
    <w:abstractNumId w:val="25"/>
  </w:num>
  <w:num w:numId="27">
    <w:abstractNumId w:val="4"/>
  </w:num>
  <w:num w:numId="28">
    <w:abstractNumId w:val="22"/>
  </w:num>
  <w:num w:numId="29">
    <w:abstractNumId w:val="15"/>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NotTrackMove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4798E"/>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5E52"/>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67D07"/>
    <w:rsid w:val="010A478A"/>
    <w:rsid w:val="0117427B"/>
    <w:rsid w:val="012B78BC"/>
    <w:rsid w:val="012D09F2"/>
    <w:rsid w:val="01426FA5"/>
    <w:rsid w:val="015703E2"/>
    <w:rsid w:val="015754AF"/>
    <w:rsid w:val="01615FE6"/>
    <w:rsid w:val="016E2E7C"/>
    <w:rsid w:val="01787E62"/>
    <w:rsid w:val="01815F64"/>
    <w:rsid w:val="0182731F"/>
    <w:rsid w:val="01911DD2"/>
    <w:rsid w:val="01B143EC"/>
    <w:rsid w:val="01C16309"/>
    <w:rsid w:val="01C34939"/>
    <w:rsid w:val="01CA5EE6"/>
    <w:rsid w:val="01E631E6"/>
    <w:rsid w:val="02351D7D"/>
    <w:rsid w:val="0241242E"/>
    <w:rsid w:val="024A763D"/>
    <w:rsid w:val="024E54EF"/>
    <w:rsid w:val="02634F58"/>
    <w:rsid w:val="02713CE9"/>
    <w:rsid w:val="027A0FAC"/>
    <w:rsid w:val="027B0645"/>
    <w:rsid w:val="02937392"/>
    <w:rsid w:val="02986BAE"/>
    <w:rsid w:val="02B822EE"/>
    <w:rsid w:val="02BA1A1C"/>
    <w:rsid w:val="02BC151D"/>
    <w:rsid w:val="02EB7951"/>
    <w:rsid w:val="032256B2"/>
    <w:rsid w:val="032636BA"/>
    <w:rsid w:val="032D3BA7"/>
    <w:rsid w:val="03313C23"/>
    <w:rsid w:val="034C3183"/>
    <w:rsid w:val="03517B13"/>
    <w:rsid w:val="037E4131"/>
    <w:rsid w:val="03B923A1"/>
    <w:rsid w:val="03C509B8"/>
    <w:rsid w:val="03F1268D"/>
    <w:rsid w:val="03FA653E"/>
    <w:rsid w:val="040855F0"/>
    <w:rsid w:val="043B1FBA"/>
    <w:rsid w:val="044364E6"/>
    <w:rsid w:val="044846B6"/>
    <w:rsid w:val="0490525E"/>
    <w:rsid w:val="04A079A1"/>
    <w:rsid w:val="04B8684A"/>
    <w:rsid w:val="04BD3082"/>
    <w:rsid w:val="04C95821"/>
    <w:rsid w:val="04D9313E"/>
    <w:rsid w:val="04E20BB2"/>
    <w:rsid w:val="0501271B"/>
    <w:rsid w:val="052517AC"/>
    <w:rsid w:val="052A2F37"/>
    <w:rsid w:val="05577082"/>
    <w:rsid w:val="05675B6F"/>
    <w:rsid w:val="05784ADB"/>
    <w:rsid w:val="059B7190"/>
    <w:rsid w:val="05A932FF"/>
    <w:rsid w:val="05C979C9"/>
    <w:rsid w:val="05DB66F5"/>
    <w:rsid w:val="05E30809"/>
    <w:rsid w:val="06015038"/>
    <w:rsid w:val="0617564E"/>
    <w:rsid w:val="0642759D"/>
    <w:rsid w:val="06586BA0"/>
    <w:rsid w:val="06775908"/>
    <w:rsid w:val="06984252"/>
    <w:rsid w:val="06AC5BCC"/>
    <w:rsid w:val="06B21116"/>
    <w:rsid w:val="06B33245"/>
    <w:rsid w:val="06CD4011"/>
    <w:rsid w:val="06EE4233"/>
    <w:rsid w:val="06F37945"/>
    <w:rsid w:val="06F45CB8"/>
    <w:rsid w:val="06FC4D63"/>
    <w:rsid w:val="072247F2"/>
    <w:rsid w:val="07763533"/>
    <w:rsid w:val="07770811"/>
    <w:rsid w:val="077A51BB"/>
    <w:rsid w:val="07C908D5"/>
    <w:rsid w:val="07C9117E"/>
    <w:rsid w:val="07CA4C10"/>
    <w:rsid w:val="07DF365D"/>
    <w:rsid w:val="08077D08"/>
    <w:rsid w:val="08237E68"/>
    <w:rsid w:val="08430A88"/>
    <w:rsid w:val="08496751"/>
    <w:rsid w:val="087B3586"/>
    <w:rsid w:val="08AF5928"/>
    <w:rsid w:val="093551A2"/>
    <w:rsid w:val="094B72FF"/>
    <w:rsid w:val="094B7FFD"/>
    <w:rsid w:val="09792C3C"/>
    <w:rsid w:val="09C20B11"/>
    <w:rsid w:val="09DB0B7A"/>
    <w:rsid w:val="09E162A4"/>
    <w:rsid w:val="0A0A0F37"/>
    <w:rsid w:val="0A0D4CAC"/>
    <w:rsid w:val="0A4E5009"/>
    <w:rsid w:val="0A5B6057"/>
    <w:rsid w:val="0AA66820"/>
    <w:rsid w:val="0AA94995"/>
    <w:rsid w:val="0AB013DD"/>
    <w:rsid w:val="0ABA780E"/>
    <w:rsid w:val="0AD76E09"/>
    <w:rsid w:val="0ADB5D98"/>
    <w:rsid w:val="0AEB20CF"/>
    <w:rsid w:val="0B0F44B4"/>
    <w:rsid w:val="0B250207"/>
    <w:rsid w:val="0B307A1F"/>
    <w:rsid w:val="0B3A40CE"/>
    <w:rsid w:val="0B3D750A"/>
    <w:rsid w:val="0B600003"/>
    <w:rsid w:val="0BDE5C2C"/>
    <w:rsid w:val="0BEF2A51"/>
    <w:rsid w:val="0BFE5057"/>
    <w:rsid w:val="0C0F7B53"/>
    <w:rsid w:val="0C177F3B"/>
    <w:rsid w:val="0C5431E9"/>
    <w:rsid w:val="0CA82A26"/>
    <w:rsid w:val="0CB51378"/>
    <w:rsid w:val="0CB71E7B"/>
    <w:rsid w:val="0CD25A11"/>
    <w:rsid w:val="0CDC4917"/>
    <w:rsid w:val="0CEA36C2"/>
    <w:rsid w:val="0CF673F5"/>
    <w:rsid w:val="0D156991"/>
    <w:rsid w:val="0D677F7A"/>
    <w:rsid w:val="0D7D1AB0"/>
    <w:rsid w:val="0DCA36B5"/>
    <w:rsid w:val="0DE41272"/>
    <w:rsid w:val="0E2249CA"/>
    <w:rsid w:val="0E2A5ED5"/>
    <w:rsid w:val="0E2B4ADB"/>
    <w:rsid w:val="0E2C1227"/>
    <w:rsid w:val="0E387D94"/>
    <w:rsid w:val="0E64689F"/>
    <w:rsid w:val="0E652AC5"/>
    <w:rsid w:val="0E680D42"/>
    <w:rsid w:val="0E6C0832"/>
    <w:rsid w:val="0E817AE0"/>
    <w:rsid w:val="0E870CBE"/>
    <w:rsid w:val="0EFD4A48"/>
    <w:rsid w:val="0F0A277D"/>
    <w:rsid w:val="0F391816"/>
    <w:rsid w:val="0F3E1D0C"/>
    <w:rsid w:val="0F3F3AC3"/>
    <w:rsid w:val="0F563291"/>
    <w:rsid w:val="0F7B6063"/>
    <w:rsid w:val="0F886821"/>
    <w:rsid w:val="0F95677E"/>
    <w:rsid w:val="0FB8500D"/>
    <w:rsid w:val="0FDA6761"/>
    <w:rsid w:val="0FE04855"/>
    <w:rsid w:val="0FF94533"/>
    <w:rsid w:val="101747CE"/>
    <w:rsid w:val="10185130"/>
    <w:rsid w:val="10580897"/>
    <w:rsid w:val="10613C9B"/>
    <w:rsid w:val="106C3F27"/>
    <w:rsid w:val="107B5232"/>
    <w:rsid w:val="10990D12"/>
    <w:rsid w:val="10BA4CBF"/>
    <w:rsid w:val="10CB554B"/>
    <w:rsid w:val="10CC70B6"/>
    <w:rsid w:val="10CE1D2A"/>
    <w:rsid w:val="10DF40B7"/>
    <w:rsid w:val="10EF74F9"/>
    <w:rsid w:val="10F938D2"/>
    <w:rsid w:val="11441B2D"/>
    <w:rsid w:val="11461138"/>
    <w:rsid w:val="1151259A"/>
    <w:rsid w:val="116A7FC2"/>
    <w:rsid w:val="11765355"/>
    <w:rsid w:val="118A1148"/>
    <w:rsid w:val="118A68B1"/>
    <w:rsid w:val="118F5C26"/>
    <w:rsid w:val="119E12CC"/>
    <w:rsid w:val="11C049F1"/>
    <w:rsid w:val="11F0089D"/>
    <w:rsid w:val="11FB7A83"/>
    <w:rsid w:val="120378A4"/>
    <w:rsid w:val="12094873"/>
    <w:rsid w:val="125536E3"/>
    <w:rsid w:val="125A67F4"/>
    <w:rsid w:val="12617F82"/>
    <w:rsid w:val="12704568"/>
    <w:rsid w:val="127101E3"/>
    <w:rsid w:val="129150D0"/>
    <w:rsid w:val="12CD0BFB"/>
    <w:rsid w:val="12EF2557"/>
    <w:rsid w:val="12F41CDD"/>
    <w:rsid w:val="12FF1165"/>
    <w:rsid w:val="13006381"/>
    <w:rsid w:val="13097A34"/>
    <w:rsid w:val="13332CF5"/>
    <w:rsid w:val="134C61E9"/>
    <w:rsid w:val="134D3EA2"/>
    <w:rsid w:val="13663A21"/>
    <w:rsid w:val="137D0D2E"/>
    <w:rsid w:val="13A1778B"/>
    <w:rsid w:val="13AA0B20"/>
    <w:rsid w:val="13B27EDA"/>
    <w:rsid w:val="13B71816"/>
    <w:rsid w:val="13BC5C96"/>
    <w:rsid w:val="13C61423"/>
    <w:rsid w:val="13FC4A12"/>
    <w:rsid w:val="14561C65"/>
    <w:rsid w:val="14C34F24"/>
    <w:rsid w:val="14D3589E"/>
    <w:rsid w:val="14FC75D1"/>
    <w:rsid w:val="14FE501D"/>
    <w:rsid w:val="15106B27"/>
    <w:rsid w:val="15316BDD"/>
    <w:rsid w:val="15466E04"/>
    <w:rsid w:val="15511500"/>
    <w:rsid w:val="155F756F"/>
    <w:rsid w:val="15711180"/>
    <w:rsid w:val="15A008CA"/>
    <w:rsid w:val="15A36D6C"/>
    <w:rsid w:val="15E41E5C"/>
    <w:rsid w:val="160573B3"/>
    <w:rsid w:val="1626204C"/>
    <w:rsid w:val="162A3979"/>
    <w:rsid w:val="164A6BB9"/>
    <w:rsid w:val="166C4E7A"/>
    <w:rsid w:val="167509E2"/>
    <w:rsid w:val="16847B7C"/>
    <w:rsid w:val="16944868"/>
    <w:rsid w:val="16D2320F"/>
    <w:rsid w:val="16D60F60"/>
    <w:rsid w:val="16DD1EB6"/>
    <w:rsid w:val="172455CA"/>
    <w:rsid w:val="17356B9A"/>
    <w:rsid w:val="173A0609"/>
    <w:rsid w:val="177F4747"/>
    <w:rsid w:val="17943C20"/>
    <w:rsid w:val="179B01DE"/>
    <w:rsid w:val="17F1252D"/>
    <w:rsid w:val="17F82E70"/>
    <w:rsid w:val="182D0176"/>
    <w:rsid w:val="18491501"/>
    <w:rsid w:val="18605D1D"/>
    <w:rsid w:val="18725542"/>
    <w:rsid w:val="1874317C"/>
    <w:rsid w:val="188F709B"/>
    <w:rsid w:val="189B41E7"/>
    <w:rsid w:val="18C95438"/>
    <w:rsid w:val="18F72AED"/>
    <w:rsid w:val="18FF07D3"/>
    <w:rsid w:val="19061443"/>
    <w:rsid w:val="191F4712"/>
    <w:rsid w:val="1929529A"/>
    <w:rsid w:val="192A0D10"/>
    <w:rsid w:val="193E101D"/>
    <w:rsid w:val="195F32C8"/>
    <w:rsid w:val="196828FD"/>
    <w:rsid w:val="196B3057"/>
    <w:rsid w:val="196C76F2"/>
    <w:rsid w:val="19745DD5"/>
    <w:rsid w:val="19755B12"/>
    <w:rsid w:val="198B4825"/>
    <w:rsid w:val="199A5AB5"/>
    <w:rsid w:val="19BC0115"/>
    <w:rsid w:val="19EB12C9"/>
    <w:rsid w:val="19FE255B"/>
    <w:rsid w:val="1A383CBF"/>
    <w:rsid w:val="1A4A2927"/>
    <w:rsid w:val="1AD357F0"/>
    <w:rsid w:val="1AFF1EB8"/>
    <w:rsid w:val="1B0336FC"/>
    <w:rsid w:val="1B4B6EDB"/>
    <w:rsid w:val="1B5B0B3A"/>
    <w:rsid w:val="1B821EB6"/>
    <w:rsid w:val="1B83304F"/>
    <w:rsid w:val="1B8F7888"/>
    <w:rsid w:val="1BDA2A75"/>
    <w:rsid w:val="1BDC2E40"/>
    <w:rsid w:val="1BF7712A"/>
    <w:rsid w:val="1BFF54A2"/>
    <w:rsid w:val="1C025C32"/>
    <w:rsid w:val="1C0415F0"/>
    <w:rsid w:val="1C3E53C4"/>
    <w:rsid w:val="1C797B34"/>
    <w:rsid w:val="1C860CEA"/>
    <w:rsid w:val="1C9D1FFD"/>
    <w:rsid w:val="1CC260CF"/>
    <w:rsid w:val="1CC54963"/>
    <w:rsid w:val="1CCF4041"/>
    <w:rsid w:val="1CF606CD"/>
    <w:rsid w:val="1CFB3021"/>
    <w:rsid w:val="1CFD0826"/>
    <w:rsid w:val="1D2771C0"/>
    <w:rsid w:val="1D456CB0"/>
    <w:rsid w:val="1D473AE2"/>
    <w:rsid w:val="1D4B3AF6"/>
    <w:rsid w:val="1D570900"/>
    <w:rsid w:val="1D85546D"/>
    <w:rsid w:val="1DED7DA0"/>
    <w:rsid w:val="1E05742B"/>
    <w:rsid w:val="1E206BFF"/>
    <w:rsid w:val="1E3E04E2"/>
    <w:rsid w:val="1E3E386E"/>
    <w:rsid w:val="1E5921FA"/>
    <w:rsid w:val="1E716B1B"/>
    <w:rsid w:val="1E7E3C6A"/>
    <w:rsid w:val="1E853A13"/>
    <w:rsid w:val="1EC743DC"/>
    <w:rsid w:val="1ED05381"/>
    <w:rsid w:val="1EF328AA"/>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A73C6F"/>
    <w:rsid w:val="20CB1075"/>
    <w:rsid w:val="20FD44F0"/>
    <w:rsid w:val="21030101"/>
    <w:rsid w:val="211672A3"/>
    <w:rsid w:val="211B6291"/>
    <w:rsid w:val="21204D3F"/>
    <w:rsid w:val="213E4D7F"/>
    <w:rsid w:val="2145260E"/>
    <w:rsid w:val="21602967"/>
    <w:rsid w:val="21605572"/>
    <w:rsid w:val="21905354"/>
    <w:rsid w:val="21C73079"/>
    <w:rsid w:val="21CF5A99"/>
    <w:rsid w:val="21D5365F"/>
    <w:rsid w:val="21E4518E"/>
    <w:rsid w:val="21FD64A6"/>
    <w:rsid w:val="2203624D"/>
    <w:rsid w:val="220C3334"/>
    <w:rsid w:val="222D60EE"/>
    <w:rsid w:val="22301A93"/>
    <w:rsid w:val="223713BA"/>
    <w:rsid w:val="22AB78E4"/>
    <w:rsid w:val="22E00D33"/>
    <w:rsid w:val="231006CB"/>
    <w:rsid w:val="23273500"/>
    <w:rsid w:val="23274DB9"/>
    <w:rsid w:val="232E30DA"/>
    <w:rsid w:val="234B21CA"/>
    <w:rsid w:val="234C7465"/>
    <w:rsid w:val="23646218"/>
    <w:rsid w:val="236B13B6"/>
    <w:rsid w:val="23894B60"/>
    <w:rsid w:val="23942388"/>
    <w:rsid w:val="23982A23"/>
    <w:rsid w:val="23CE0DDD"/>
    <w:rsid w:val="23DF6A26"/>
    <w:rsid w:val="23E2153B"/>
    <w:rsid w:val="23FE086B"/>
    <w:rsid w:val="24047132"/>
    <w:rsid w:val="243B11DC"/>
    <w:rsid w:val="245470F0"/>
    <w:rsid w:val="246F6B0B"/>
    <w:rsid w:val="2478539C"/>
    <w:rsid w:val="24862234"/>
    <w:rsid w:val="2489188E"/>
    <w:rsid w:val="249B304D"/>
    <w:rsid w:val="24A47ECF"/>
    <w:rsid w:val="24E126D5"/>
    <w:rsid w:val="24E63ED3"/>
    <w:rsid w:val="2519615C"/>
    <w:rsid w:val="254379B8"/>
    <w:rsid w:val="254A22E7"/>
    <w:rsid w:val="256047D1"/>
    <w:rsid w:val="25847246"/>
    <w:rsid w:val="25871511"/>
    <w:rsid w:val="25CF3592"/>
    <w:rsid w:val="25DC5277"/>
    <w:rsid w:val="25E532A9"/>
    <w:rsid w:val="25F71879"/>
    <w:rsid w:val="26130B48"/>
    <w:rsid w:val="26241156"/>
    <w:rsid w:val="26291C14"/>
    <w:rsid w:val="266A72D0"/>
    <w:rsid w:val="26786155"/>
    <w:rsid w:val="26B17EFA"/>
    <w:rsid w:val="26BE6A18"/>
    <w:rsid w:val="26F57C1E"/>
    <w:rsid w:val="26F92506"/>
    <w:rsid w:val="26FD7A09"/>
    <w:rsid w:val="27012B4B"/>
    <w:rsid w:val="27091BE1"/>
    <w:rsid w:val="27277E78"/>
    <w:rsid w:val="27307041"/>
    <w:rsid w:val="273719DF"/>
    <w:rsid w:val="2741654A"/>
    <w:rsid w:val="27494371"/>
    <w:rsid w:val="27AE73F2"/>
    <w:rsid w:val="27CD4D3B"/>
    <w:rsid w:val="27E66B3F"/>
    <w:rsid w:val="27ED09B0"/>
    <w:rsid w:val="280A089B"/>
    <w:rsid w:val="281140CC"/>
    <w:rsid w:val="2825437D"/>
    <w:rsid w:val="282D2BAB"/>
    <w:rsid w:val="28365C66"/>
    <w:rsid w:val="2889743D"/>
    <w:rsid w:val="289E3E27"/>
    <w:rsid w:val="28A84332"/>
    <w:rsid w:val="28B952DF"/>
    <w:rsid w:val="28F20873"/>
    <w:rsid w:val="28FD00AC"/>
    <w:rsid w:val="29111B82"/>
    <w:rsid w:val="292B6ADD"/>
    <w:rsid w:val="293533C6"/>
    <w:rsid w:val="29361D56"/>
    <w:rsid w:val="295A4B3A"/>
    <w:rsid w:val="29733B1D"/>
    <w:rsid w:val="2998368C"/>
    <w:rsid w:val="299A244F"/>
    <w:rsid w:val="299B6445"/>
    <w:rsid w:val="29AA39B4"/>
    <w:rsid w:val="29C9144C"/>
    <w:rsid w:val="29F17D42"/>
    <w:rsid w:val="29F5561A"/>
    <w:rsid w:val="29F6324E"/>
    <w:rsid w:val="29F83EBD"/>
    <w:rsid w:val="2A17701F"/>
    <w:rsid w:val="2A2E12EA"/>
    <w:rsid w:val="2A2E53F8"/>
    <w:rsid w:val="2A636507"/>
    <w:rsid w:val="2A7C5C13"/>
    <w:rsid w:val="2A913237"/>
    <w:rsid w:val="2AB43705"/>
    <w:rsid w:val="2B245C7A"/>
    <w:rsid w:val="2B270C0B"/>
    <w:rsid w:val="2B355B0C"/>
    <w:rsid w:val="2B3B6428"/>
    <w:rsid w:val="2B423772"/>
    <w:rsid w:val="2B441109"/>
    <w:rsid w:val="2B6304FF"/>
    <w:rsid w:val="2B6921EB"/>
    <w:rsid w:val="2BC85B84"/>
    <w:rsid w:val="2BCE474A"/>
    <w:rsid w:val="2BFE4D84"/>
    <w:rsid w:val="2C0C457B"/>
    <w:rsid w:val="2C1F56E9"/>
    <w:rsid w:val="2C3E22B4"/>
    <w:rsid w:val="2C57234B"/>
    <w:rsid w:val="2C5A7420"/>
    <w:rsid w:val="2C9B1839"/>
    <w:rsid w:val="2CD01A89"/>
    <w:rsid w:val="2CD34B81"/>
    <w:rsid w:val="2CD4301B"/>
    <w:rsid w:val="2CDE03EA"/>
    <w:rsid w:val="2D044258"/>
    <w:rsid w:val="2D3735E9"/>
    <w:rsid w:val="2D3A5A79"/>
    <w:rsid w:val="2D543F27"/>
    <w:rsid w:val="2D807BE3"/>
    <w:rsid w:val="2D935498"/>
    <w:rsid w:val="2D960FD0"/>
    <w:rsid w:val="2D9929F9"/>
    <w:rsid w:val="2DB37DDF"/>
    <w:rsid w:val="2DC7118A"/>
    <w:rsid w:val="2DC91A5F"/>
    <w:rsid w:val="2DEE1EC6"/>
    <w:rsid w:val="2E0A163E"/>
    <w:rsid w:val="2E1A1DAE"/>
    <w:rsid w:val="2E4423BC"/>
    <w:rsid w:val="2E934D7B"/>
    <w:rsid w:val="2E992BE6"/>
    <w:rsid w:val="2EA9088F"/>
    <w:rsid w:val="2EB21E3A"/>
    <w:rsid w:val="2EB47722"/>
    <w:rsid w:val="2EB575F2"/>
    <w:rsid w:val="2ED931F5"/>
    <w:rsid w:val="2EE20D3B"/>
    <w:rsid w:val="2F0D5D4F"/>
    <w:rsid w:val="2F313DF3"/>
    <w:rsid w:val="2F9C209A"/>
    <w:rsid w:val="2FA76C88"/>
    <w:rsid w:val="2FB40DAA"/>
    <w:rsid w:val="2FB71626"/>
    <w:rsid w:val="2FC00586"/>
    <w:rsid w:val="2FC35981"/>
    <w:rsid w:val="2FEC176B"/>
    <w:rsid w:val="2FFD6655"/>
    <w:rsid w:val="300B7014"/>
    <w:rsid w:val="302B275E"/>
    <w:rsid w:val="303005E5"/>
    <w:rsid w:val="3037489E"/>
    <w:rsid w:val="30554E29"/>
    <w:rsid w:val="3062616A"/>
    <w:rsid w:val="3063327C"/>
    <w:rsid w:val="30671DB9"/>
    <w:rsid w:val="30684B84"/>
    <w:rsid w:val="30A65EE6"/>
    <w:rsid w:val="30BD6874"/>
    <w:rsid w:val="30EB3AD8"/>
    <w:rsid w:val="310B4D1C"/>
    <w:rsid w:val="310E7433"/>
    <w:rsid w:val="31235BFC"/>
    <w:rsid w:val="31311196"/>
    <w:rsid w:val="313D0E42"/>
    <w:rsid w:val="31484C88"/>
    <w:rsid w:val="315316A2"/>
    <w:rsid w:val="31662AC1"/>
    <w:rsid w:val="31777FE1"/>
    <w:rsid w:val="31802F03"/>
    <w:rsid w:val="31927DDB"/>
    <w:rsid w:val="3221380D"/>
    <w:rsid w:val="32246947"/>
    <w:rsid w:val="32276546"/>
    <w:rsid w:val="322F37A1"/>
    <w:rsid w:val="324C3ABF"/>
    <w:rsid w:val="328F1F00"/>
    <w:rsid w:val="32904F00"/>
    <w:rsid w:val="32915BE5"/>
    <w:rsid w:val="32A418C0"/>
    <w:rsid w:val="32DF7714"/>
    <w:rsid w:val="32FA6C75"/>
    <w:rsid w:val="330E35C3"/>
    <w:rsid w:val="330E59C5"/>
    <w:rsid w:val="332B21BB"/>
    <w:rsid w:val="3343134C"/>
    <w:rsid w:val="334A5787"/>
    <w:rsid w:val="334B181A"/>
    <w:rsid w:val="334F550D"/>
    <w:rsid w:val="33616C08"/>
    <w:rsid w:val="336976ED"/>
    <w:rsid w:val="33801B76"/>
    <w:rsid w:val="33E81489"/>
    <w:rsid w:val="341A48C4"/>
    <w:rsid w:val="34414D13"/>
    <w:rsid w:val="34430EF3"/>
    <w:rsid w:val="34545604"/>
    <w:rsid w:val="345C0152"/>
    <w:rsid w:val="348646EF"/>
    <w:rsid w:val="34920256"/>
    <w:rsid w:val="34A120D5"/>
    <w:rsid w:val="34A80CEF"/>
    <w:rsid w:val="34AF4725"/>
    <w:rsid w:val="34BD007C"/>
    <w:rsid w:val="34D42DED"/>
    <w:rsid w:val="34DD4776"/>
    <w:rsid w:val="35423F62"/>
    <w:rsid w:val="35451B97"/>
    <w:rsid w:val="354C558D"/>
    <w:rsid w:val="355C053A"/>
    <w:rsid w:val="356F360E"/>
    <w:rsid w:val="35841DE5"/>
    <w:rsid w:val="358A2FFA"/>
    <w:rsid w:val="359F5D0C"/>
    <w:rsid w:val="35A2365E"/>
    <w:rsid w:val="35A34CC6"/>
    <w:rsid w:val="35B96F78"/>
    <w:rsid w:val="35BD4BE3"/>
    <w:rsid w:val="35C36A78"/>
    <w:rsid w:val="35C92BC0"/>
    <w:rsid w:val="35CE3E0E"/>
    <w:rsid w:val="35E97A18"/>
    <w:rsid w:val="35F07042"/>
    <w:rsid w:val="35F553C2"/>
    <w:rsid w:val="35F676A4"/>
    <w:rsid w:val="360F5D3A"/>
    <w:rsid w:val="361909F0"/>
    <w:rsid w:val="36414B7D"/>
    <w:rsid w:val="36662A95"/>
    <w:rsid w:val="36774E08"/>
    <w:rsid w:val="3684230E"/>
    <w:rsid w:val="368F6A3C"/>
    <w:rsid w:val="36D94581"/>
    <w:rsid w:val="36F131B8"/>
    <w:rsid w:val="370449D4"/>
    <w:rsid w:val="370C2F1F"/>
    <w:rsid w:val="37140389"/>
    <w:rsid w:val="371B55C8"/>
    <w:rsid w:val="37326316"/>
    <w:rsid w:val="37456982"/>
    <w:rsid w:val="37494B97"/>
    <w:rsid w:val="374D596A"/>
    <w:rsid w:val="375048D6"/>
    <w:rsid w:val="376252FC"/>
    <w:rsid w:val="379428AD"/>
    <w:rsid w:val="37C76741"/>
    <w:rsid w:val="380866F8"/>
    <w:rsid w:val="38384EC4"/>
    <w:rsid w:val="38741F0E"/>
    <w:rsid w:val="387939C8"/>
    <w:rsid w:val="387D0FB6"/>
    <w:rsid w:val="38A04AB1"/>
    <w:rsid w:val="38A26254"/>
    <w:rsid w:val="38AB7291"/>
    <w:rsid w:val="38AC120B"/>
    <w:rsid w:val="38CB5C07"/>
    <w:rsid w:val="38D93792"/>
    <w:rsid w:val="38DD462D"/>
    <w:rsid w:val="38E45351"/>
    <w:rsid w:val="38FD2294"/>
    <w:rsid w:val="39022F42"/>
    <w:rsid w:val="390E59CE"/>
    <w:rsid w:val="392A4BA7"/>
    <w:rsid w:val="392E07A0"/>
    <w:rsid w:val="395F1C1F"/>
    <w:rsid w:val="396401D4"/>
    <w:rsid w:val="398110EB"/>
    <w:rsid w:val="398C3730"/>
    <w:rsid w:val="398D3D61"/>
    <w:rsid w:val="399C2C96"/>
    <w:rsid w:val="39A1705E"/>
    <w:rsid w:val="39A6467A"/>
    <w:rsid w:val="39CB6A59"/>
    <w:rsid w:val="39CD48C1"/>
    <w:rsid w:val="39D8285D"/>
    <w:rsid w:val="39E074AA"/>
    <w:rsid w:val="39F07CBA"/>
    <w:rsid w:val="39FC3D96"/>
    <w:rsid w:val="3A0E401B"/>
    <w:rsid w:val="3A257C48"/>
    <w:rsid w:val="3A5179F7"/>
    <w:rsid w:val="3A6313E0"/>
    <w:rsid w:val="3A8024DE"/>
    <w:rsid w:val="3AAA00CF"/>
    <w:rsid w:val="3ABD59FD"/>
    <w:rsid w:val="3B021C51"/>
    <w:rsid w:val="3B0E3B19"/>
    <w:rsid w:val="3B172655"/>
    <w:rsid w:val="3B232C47"/>
    <w:rsid w:val="3B293484"/>
    <w:rsid w:val="3B2C2418"/>
    <w:rsid w:val="3B580612"/>
    <w:rsid w:val="3B9F326E"/>
    <w:rsid w:val="3BA26B7C"/>
    <w:rsid w:val="3BCD6ABE"/>
    <w:rsid w:val="3BFE7E54"/>
    <w:rsid w:val="3C020661"/>
    <w:rsid w:val="3C0352EF"/>
    <w:rsid w:val="3C096364"/>
    <w:rsid w:val="3C1D503F"/>
    <w:rsid w:val="3C447E49"/>
    <w:rsid w:val="3C4D4764"/>
    <w:rsid w:val="3C850B8E"/>
    <w:rsid w:val="3CB6189E"/>
    <w:rsid w:val="3CC25D1C"/>
    <w:rsid w:val="3CDD2778"/>
    <w:rsid w:val="3CF67BCC"/>
    <w:rsid w:val="3D0E0543"/>
    <w:rsid w:val="3D51799F"/>
    <w:rsid w:val="3D610C15"/>
    <w:rsid w:val="3D7C58E6"/>
    <w:rsid w:val="3D9259DF"/>
    <w:rsid w:val="3D9C48AB"/>
    <w:rsid w:val="3DA13081"/>
    <w:rsid w:val="3DC919C4"/>
    <w:rsid w:val="3DFC052E"/>
    <w:rsid w:val="3E0C2BE9"/>
    <w:rsid w:val="3E1A5B21"/>
    <w:rsid w:val="3E3A570E"/>
    <w:rsid w:val="3E646581"/>
    <w:rsid w:val="3E785D63"/>
    <w:rsid w:val="3E8B58E8"/>
    <w:rsid w:val="3EB733D7"/>
    <w:rsid w:val="3EC7161E"/>
    <w:rsid w:val="3ECA6635"/>
    <w:rsid w:val="3ECE4CD1"/>
    <w:rsid w:val="3EDF7B84"/>
    <w:rsid w:val="3EE31389"/>
    <w:rsid w:val="3EEE5831"/>
    <w:rsid w:val="3EF36EC9"/>
    <w:rsid w:val="3F214E40"/>
    <w:rsid w:val="3F2A29BD"/>
    <w:rsid w:val="3F3B001F"/>
    <w:rsid w:val="3F533322"/>
    <w:rsid w:val="3F535748"/>
    <w:rsid w:val="3F6C11FF"/>
    <w:rsid w:val="3F736418"/>
    <w:rsid w:val="3F7C4603"/>
    <w:rsid w:val="3F7F4867"/>
    <w:rsid w:val="3F8F1D2B"/>
    <w:rsid w:val="3F9424D8"/>
    <w:rsid w:val="3F9D71A8"/>
    <w:rsid w:val="3FA75447"/>
    <w:rsid w:val="3FAE3DA4"/>
    <w:rsid w:val="3FB30BCA"/>
    <w:rsid w:val="3FCD2881"/>
    <w:rsid w:val="3FDB6D34"/>
    <w:rsid w:val="3FE2480C"/>
    <w:rsid w:val="3FE377A4"/>
    <w:rsid w:val="3FF4720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853409"/>
    <w:rsid w:val="41C0302D"/>
    <w:rsid w:val="41C81F56"/>
    <w:rsid w:val="42270E8D"/>
    <w:rsid w:val="423431D2"/>
    <w:rsid w:val="423C09AD"/>
    <w:rsid w:val="424B1F31"/>
    <w:rsid w:val="42623B80"/>
    <w:rsid w:val="42850D8C"/>
    <w:rsid w:val="42902103"/>
    <w:rsid w:val="42CD0475"/>
    <w:rsid w:val="42D11320"/>
    <w:rsid w:val="42D24813"/>
    <w:rsid w:val="431201F0"/>
    <w:rsid w:val="431547EF"/>
    <w:rsid w:val="43426B5C"/>
    <w:rsid w:val="434A08B7"/>
    <w:rsid w:val="434B74D4"/>
    <w:rsid w:val="4376760C"/>
    <w:rsid w:val="43802418"/>
    <w:rsid w:val="43B6698F"/>
    <w:rsid w:val="43BC37E0"/>
    <w:rsid w:val="43C70ADF"/>
    <w:rsid w:val="43DB3108"/>
    <w:rsid w:val="4411785C"/>
    <w:rsid w:val="444E0F23"/>
    <w:rsid w:val="447076CD"/>
    <w:rsid w:val="44811BEB"/>
    <w:rsid w:val="449A2CFC"/>
    <w:rsid w:val="44A2589B"/>
    <w:rsid w:val="44DD0E93"/>
    <w:rsid w:val="44F10822"/>
    <w:rsid w:val="44F30BFC"/>
    <w:rsid w:val="44F42B6B"/>
    <w:rsid w:val="45126F77"/>
    <w:rsid w:val="45207CC0"/>
    <w:rsid w:val="45251A95"/>
    <w:rsid w:val="452D3066"/>
    <w:rsid w:val="45380308"/>
    <w:rsid w:val="454B4C1A"/>
    <w:rsid w:val="45611062"/>
    <w:rsid w:val="45924B79"/>
    <w:rsid w:val="459F7F54"/>
    <w:rsid w:val="45BB1189"/>
    <w:rsid w:val="45C90441"/>
    <w:rsid w:val="45EA1272"/>
    <w:rsid w:val="45F37598"/>
    <w:rsid w:val="46436783"/>
    <w:rsid w:val="46564538"/>
    <w:rsid w:val="466277F0"/>
    <w:rsid w:val="469D73C6"/>
    <w:rsid w:val="46A7188F"/>
    <w:rsid w:val="46BE00A9"/>
    <w:rsid w:val="46C13DE4"/>
    <w:rsid w:val="46FD163A"/>
    <w:rsid w:val="470C6C0F"/>
    <w:rsid w:val="473B6897"/>
    <w:rsid w:val="473E556C"/>
    <w:rsid w:val="474E7DCE"/>
    <w:rsid w:val="47537FBD"/>
    <w:rsid w:val="47664124"/>
    <w:rsid w:val="47812013"/>
    <w:rsid w:val="479E0D55"/>
    <w:rsid w:val="47A763E7"/>
    <w:rsid w:val="47AF714D"/>
    <w:rsid w:val="47E0351C"/>
    <w:rsid w:val="47F738C9"/>
    <w:rsid w:val="4828103B"/>
    <w:rsid w:val="48592A3D"/>
    <w:rsid w:val="487218EC"/>
    <w:rsid w:val="48726BB5"/>
    <w:rsid w:val="4877042B"/>
    <w:rsid w:val="48825825"/>
    <w:rsid w:val="48A031DD"/>
    <w:rsid w:val="48D146CB"/>
    <w:rsid w:val="49035AF9"/>
    <w:rsid w:val="493064D3"/>
    <w:rsid w:val="493E0AD5"/>
    <w:rsid w:val="493E65E0"/>
    <w:rsid w:val="494F312B"/>
    <w:rsid w:val="495565E9"/>
    <w:rsid w:val="49660ABE"/>
    <w:rsid w:val="4979120A"/>
    <w:rsid w:val="498D7A6A"/>
    <w:rsid w:val="499E0CB1"/>
    <w:rsid w:val="49AB7605"/>
    <w:rsid w:val="49B1438C"/>
    <w:rsid w:val="49B72190"/>
    <w:rsid w:val="49B95055"/>
    <w:rsid w:val="49BD3AE7"/>
    <w:rsid w:val="49C246BC"/>
    <w:rsid w:val="49DF0FCF"/>
    <w:rsid w:val="49E55D1C"/>
    <w:rsid w:val="49FF630A"/>
    <w:rsid w:val="4A004AF7"/>
    <w:rsid w:val="4A653F55"/>
    <w:rsid w:val="4A7370AF"/>
    <w:rsid w:val="4A7D3E3D"/>
    <w:rsid w:val="4A82670C"/>
    <w:rsid w:val="4A886A5A"/>
    <w:rsid w:val="4AA34CB9"/>
    <w:rsid w:val="4AA91EEB"/>
    <w:rsid w:val="4AAA7B9C"/>
    <w:rsid w:val="4AAF6DD6"/>
    <w:rsid w:val="4AB663E2"/>
    <w:rsid w:val="4AC650AB"/>
    <w:rsid w:val="4ADD266F"/>
    <w:rsid w:val="4ADF590D"/>
    <w:rsid w:val="4AEE3533"/>
    <w:rsid w:val="4B08214C"/>
    <w:rsid w:val="4B105006"/>
    <w:rsid w:val="4B127524"/>
    <w:rsid w:val="4B1E7093"/>
    <w:rsid w:val="4B420D56"/>
    <w:rsid w:val="4B605F73"/>
    <w:rsid w:val="4B667DDC"/>
    <w:rsid w:val="4B741975"/>
    <w:rsid w:val="4B781928"/>
    <w:rsid w:val="4B7A3386"/>
    <w:rsid w:val="4B7C1AC1"/>
    <w:rsid w:val="4B99115F"/>
    <w:rsid w:val="4BB00ED0"/>
    <w:rsid w:val="4BC53E28"/>
    <w:rsid w:val="4C122434"/>
    <w:rsid w:val="4C203A05"/>
    <w:rsid w:val="4C261ED1"/>
    <w:rsid w:val="4C334DF4"/>
    <w:rsid w:val="4C3C4A99"/>
    <w:rsid w:val="4C420B26"/>
    <w:rsid w:val="4C514FE0"/>
    <w:rsid w:val="4C5C23B6"/>
    <w:rsid w:val="4C72438A"/>
    <w:rsid w:val="4C774CB5"/>
    <w:rsid w:val="4C891FD4"/>
    <w:rsid w:val="4C9270D5"/>
    <w:rsid w:val="4C9463A6"/>
    <w:rsid w:val="4CBB5D6E"/>
    <w:rsid w:val="4CC81199"/>
    <w:rsid w:val="4CE74185"/>
    <w:rsid w:val="4D114264"/>
    <w:rsid w:val="4D1571E9"/>
    <w:rsid w:val="4D337EC4"/>
    <w:rsid w:val="4D4B180F"/>
    <w:rsid w:val="4D6950DC"/>
    <w:rsid w:val="4D695C2A"/>
    <w:rsid w:val="4D6B0078"/>
    <w:rsid w:val="4D705E50"/>
    <w:rsid w:val="4D7F4F8B"/>
    <w:rsid w:val="4D972CDD"/>
    <w:rsid w:val="4D9856DE"/>
    <w:rsid w:val="4D986461"/>
    <w:rsid w:val="4DE8370E"/>
    <w:rsid w:val="4E1711FD"/>
    <w:rsid w:val="4E207C43"/>
    <w:rsid w:val="4E294FBA"/>
    <w:rsid w:val="4E7A5105"/>
    <w:rsid w:val="4E863E1D"/>
    <w:rsid w:val="4EA74541"/>
    <w:rsid w:val="4EBE3118"/>
    <w:rsid w:val="4EE374B2"/>
    <w:rsid w:val="4EE40A96"/>
    <w:rsid w:val="4EE80B08"/>
    <w:rsid w:val="4EE96DA4"/>
    <w:rsid w:val="4EF02AC4"/>
    <w:rsid w:val="4F1226F6"/>
    <w:rsid w:val="4F3C04B1"/>
    <w:rsid w:val="4F624D5E"/>
    <w:rsid w:val="4F936382"/>
    <w:rsid w:val="4F956DDB"/>
    <w:rsid w:val="4FAC0FFA"/>
    <w:rsid w:val="4FC20E0E"/>
    <w:rsid w:val="4FD42E36"/>
    <w:rsid w:val="50157FE1"/>
    <w:rsid w:val="502704A1"/>
    <w:rsid w:val="5029039B"/>
    <w:rsid w:val="505375D6"/>
    <w:rsid w:val="50550928"/>
    <w:rsid w:val="5058507B"/>
    <w:rsid w:val="505A6720"/>
    <w:rsid w:val="505A7507"/>
    <w:rsid w:val="507549F7"/>
    <w:rsid w:val="508C68D5"/>
    <w:rsid w:val="50D86394"/>
    <w:rsid w:val="50FA2116"/>
    <w:rsid w:val="511D4DBE"/>
    <w:rsid w:val="516E79EA"/>
    <w:rsid w:val="517E5064"/>
    <w:rsid w:val="5184095B"/>
    <w:rsid w:val="51865AAC"/>
    <w:rsid w:val="519B39BE"/>
    <w:rsid w:val="51A71151"/>
    <w:rsid w:val="51CE05B8"/>
    <w:rsid w:val="51DC37C9"/>
    <w:rsid w:val="5268236B"/>
    <w:rsid w:val="526A04AF"/>
    <w:rsid w:val="526C7AA2"/>
    <w:rsid w:val="52852D73"/>
    <w:rsid w:val="52993D17"/>
    <w:rsid w:val="52A46327"/>
    <w:rsid w:val="52B21B59"/>
    <w:rsid w:val="52D14873"/>
    <w:rsid w:val="52D42B8C"/>
    <w:rsid w:val="52EF6AB7"/>
    <w:rsid w:val="52F85837"/>
    <w:rsid w:val="530628E5"/>
    <w:rsid w:val="53070591"/>
    <w:rsid w:val="53292404"/>
    <w:rsid w:val="5344713B"/>
    <w:rsid w:val="534521C1"/>
    <w:rsid w:val="535D4153"/>
    <w:rsid w:val="5371574B"/>
    <w:rsid w:val="538B4884"/>
    <w:rsid w:val="5399127C"/>
    <w:rsid w:val="53A05D2E"/>
    <w:rsid w:val="53B24BD6"/>
    <w:rsid w:val="53C133D7"/>
    <w:rsid w:val="53F32E05"/>
    <w:rsid w:val="53FE7A79"/>
    <w:rsid w:val="540A18BE"/>
    <w:rsid w:val="541666E0"/>
    <w:rsid w:val="54225499"/>
    <w:rsid w:val="543B2438"/>
    <w:rsid w:val="543C792C"/>
    <w:rsid w:val="54420CBA"/>
    <w:rsid w:val="544805F0"/>
    <w:rsid w:val="545028F4"/>
    <w:rsid w:val="547E7D82"/>
    <w:rsid w:val="54925294"/>
    <w:rsid w:val="54A80D36"/>
    <w:rsid w:val="54BF5C62"/>
    <w:rsid w:val="55035B5C"/>
    <w:rsid w:val="554B6518"/>
    <w:rsid w:val="554F40AA"/>
    <w:rsid w:val="555F2FD8"/>
    <w:rsid w:val="555F5CDC"/>
    <w:rsid w:val="558A6630"/>
    <w:rsid w:val="55A56760"/>
    <w:rsid w:val="55BE5E06"/>
    <w:rsid w:val="55C06E40"/>
    <w:rsid w:val="55C940D8"/>
    <w:rsid w:val="55D45E19"/>
    <w:rsid w:val="55D933B8"/>
    <w:rsid w:val="55DC7AB5"/>
    <w:rsid w:val="55DD3C01"/>
    <w:rsid w:val="55DE4B1F"/>
    <w:rsid w:val="55E3217E"/>
    <w:rsid w:val="56103FD9"/>
    <w:rsid w:val="56161787"/>
    <w:rsid w:val="562653EC"/>
    <w:rsid w:val="56441FB7"/>
    <w:rsid w:val="5657557D"/>
    <w:rsid w:val="56777341"/>
    <w:rsid w:val="56855625"/>
    <w:rsid w:val="569D5512"/>
    <w:rsid w:val="56B0432C"/>
    <w:rsid w:val="56C510F7"/>
    <w:rsid w:val="56CA7E9F"/>
    <w:rsid w:val="56CF5706"/>
    <w:rsid w:val="56D82212"/>
    <w:rsid w:val="56E00119"/>
    <w:rsid w:val="56F0341F"/>
    <w:rsid w:val="56F050EB"/>
    <w:rsid w:val="57062C29"/>
    <w:rsid w:val="572B3ADE"/>
    <w:rsid w:val="574F7A44"/>
    <w:rsid w:val="575F2037"/>
    <w:rsid w:val="576323B4"/>
    <w:rsid w:val="57850C24"/>
    <w:rsid w:val="579438B1"/>
    <w:rsid w:val="57AC7C44"/>
    <w:rsid w:val="57B51814"/>
    <w:rsid w:val="57B60A5D"/>
    <w:rsid w:val="57B7759E"/>
    <w:rsid w:val="57C43B5F"/>
    <w:rsid w:val="57C66FF7"/>
    <w:rsid w:val="57CC5DB9"/>
    <w:rsid w:val="57D12A65"/>
    <w:rsid w:val="57D20798"/>
    <w:rsid w:val="57FD7A56"/>
    <w:rsid w:val="580B2608"/>
    <w:rsid w:val="582B3688"/>
    <w:rsid w:val="58346E3E"/>
    <w:rsid w:val="585671BF"/>
    <w:rsid w:val="5874672D"/>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A40EA5"/>
    <w:rsid w:val="59A92211"/>
    <w:rsid w:val="59D439E0"/>
    <w:rsid w:val="59DA7D20"/>
    <w:rsid w:val="59E7033A"/>
    <w:rsid w:val="59E85E60"/>
    <w:rsid w:val="59F815E4"/>
    <w:rsid w:val="5A144EA7"/>
    <w:rsid w:val="5A330053"/>
    <w:rsid w:val="5A481E8F"/>
    <w:rsid w:val="5A572069"/>
    <w:rsid w:val="5A5F25C6"/>
    <w:rsid w:val="5A900A67"/>
    <w:rsid w:val="5AB93F01"/>
    <w:rsid w:val="5AB9529C"/>
    <w:rsid w:val="5ADC3C17"/>
    <w:rsid w:val="5B2101A2"/>
    <w:rsid w:val="5B286F6F"/>
    <w:rsid w:val="5B461718"/>
    <w:rsid w:val="5B4C7CDF"/>
    <w:rsid w:val="5B534B96"/>
    <w:rsid w:val="5B796E68"/>
    <w:rsid w:val="5B7D3A5E"/>
    <w:rsid w:val="5BA46D10"/>
    <w:rsid w:val="5BBB1A0C"/>
    <w:rsid w:val="5BD51C54"/>
    <w:rsid w:val="5BDD4B5F"/>
    <w:rsid w:val="5BFC56D7"/>
    <w:rsid w:val="5C0D7342"/>
    <w:rsid w:val="5C0F6259"/>
    <w:rsid w:val="5C1262B8"/>
    <w:rsid w:val="5C1B0AFE"/>
    <w:rsid w:val="5C3D34EF"/>
    <w:rsid w:val="5C585916"/>
    <w:rsid w:val="5C6253C3"/>
    <w:rsid w:val="5C625735"/>
    <w:rsid w:val="5C74581F"/>
    <w:rsid w:val="5CA9400C"/>
    <w:rsid w:val="5CD672FC"/>
    <w:rsid w:val="5CEC5419"/>
    <w:rsid w:val="5D0B3198"/>
    <w:rsid w:val="5D3D7A1C"/>
    <w:rsid w:val="5D454EA7"/>
    <w:rsid w:val="5D4C4FBD"/>
    <w:rsid w:val="5D5E519F"/>
    <w:rsid w:val="5D5F4DAD"/>
    <w:rsid w:val="5D7A50D8"/>
    <w:rsid w:val="5D7D3450"/>
    <w:rsid w:val="5D8B03FA"/>
    <w:rsid w:val="5D8E455A"/>
    <w:rsid w:val="5D9B3E4D"/>
    <w:rsid w:val="5D9E1711"/>
    <w:rsid w:val="5DB35958"/>
    <w:rsid w:val="5DD201A0"/>
    <w:rsid w:val="5DDB6365"/>
    <w:rsid w:val="5DE60909"/>
    <w:rsid w:val="5DFF0876"/>
    <w:rsid w:val="5E060677"/>
    <w:rsid w:val="5E0E64C7"/>
    <w:rsid w:val="5E22645A"/>
    <w:rsid w:val="5E462279"/>
    <w:rsid w:val="5E557F89"/>
    <w:rsid w:val="5E7A25EA"/>
    <w:rsid w:val="5E7B5886"/>
    <w:rsid w:val="5E7C29E8"/>
    <w:rsid w:val="5E7E4934"/>
    <w:rsid w:val="5E860AE0"/>
    <w:rsid w:val="5E9345EC"/>
    <w:rsid w:val="5E9B1B0D"/>
    <w:rsid w:val="5EA6763D"/>
    <w:rsid w:val="5EC92704"/>
    <w:rsid w:val="5EF70414"/>
    <w:rsid w:val="5F062C90"/>
    <w:rsid w:val="5F1F45C5"/>
    <w:rsid w:val="5F2F04DF"/>
    <w:rsid w:val="5F5E44FF"/>
    <w:rsid w:val="5F6006F4"/>
    <w:rsid w:val="5F7F2527"/>
    <w:rsid w:val="5F84452E"/>
    <w:rsid w:val="5F88259C"/>
    <w:rsid w:val="5F941B29"/>
    <w:rsid w:val="5F9E32FE"/>
    <w:rsid w:val="5FB26D36"/>
    <w:rsid w:val="5FBD740B"/>
    <w:rsid w:val="5FDF08AF"/>
    <w:rsid w:val="603C4566"/>
    <w:rsid w:val="60437999"/>
    <w:rsid w:val="60440571"/>
    <w:rsid w:val="60651FD2"/>
    <w:rsid w:val="606F6CFA"/>
    <w:rsid w:val="60815F18"/>
    <w:rsid w:val="608E3CD6"/>
    <w:rsid w:val="60A97B22"/>
    <w:rsid w:val="60B106B5"/>
    <w:rsid w:val="60B44CEE"/>
    <w:rsid w:val="60ED3BFC"/>
    <w:rsid w:val="60F4434E"/>
    <w:rsid w:val="610220DC"/>
    <w:rsid w:val="61086DB8"/>
    <w:rsid w:val="614167FD"/>
    <w:rsid w:val="61560FED"/>
    <w:rsid w:val="616F0686"/>
    <w:rsid w:val="6183367F"/>
    <w:rsid w:val="61D5109C"/>
    <w:rsid w:val="61E77C15"/>
    <w:rsid w:val="61F23447"/>
    <w:rsid w:val="621039FB"/>
    <w:rsid w:val="62193202"/>
    <w:rsid w:val="62202D17"/>
    <w:rsid w:val="622D6B2A"/>
    <w:rsid w:val="62481B92"/>
    <w:rsid w:val="624E15D7"/>
    <w:rsid w:val="62501E0F"/>
    <w:rsid w:val="62551BDE"/>
    <w:rsid w:val="625D0519"/>
    <w:rsid w:val="62B86EE1"/>
    <w:rsid w:val="62D12FFF"/>
    <w:rsid w:val="62DC0CDB"/>
    <w:rsid w:val="62DE0472"/>
    <w:rsid w:val="62F301FF"/>
    <w:rsid w:val="62F80320"/>
    <w:rsid w:val="630A5178"/>
    <w:rsid w:val="632C670F"/>
    <w:rsid w:val="6349512F"/>
    <w:rsid w:val="635108D3"/>
    <w:rsid w:val="637852A4"/>
    <w:rsid w:val="638A51F0"/>
    <w:rsid w:val="63940B27"/>
    <w:rsid w:val="639B22CD"/>
    <w:rsid w:val="63BB40B1"/>
    <w:rsid w:val="63C01882"/>
    <w:rsid w:val="63D40990"/>
    <w:rsid w:val="63D83E73"/>
    <w:rsid w:val="63DF3CDE"/>
    <w:rsid w:val="63F65D65"/>
    <w:rsid w:val="63FD3805"/>
    <w:rsid w:val="641A5C2E"/>
    <w:rsid w:val="641E629C"/>
    <w:rsid w:val="642C687F"/>
    <w:rsid w:val="643D64BD"/>
    <w:rsid w:val="64485E45"/>
    <w:rsid w:val="647B5D32"/>
    <w:rsid w:val="647B774D"/>
    <w:rsid w:val="647C6908"/>
    <w:rsid w:val="64A66F17"/>
    <w:rsid w:val="64AA591A"/>
    <w:rsid w:val="64D60BC4"/>
    <w:rsid w:val="64D760F9"/>
    <w:rsid w:val="64DB73F4"/>
    <w:rsid w:val="64DD14C9"/>
    <w:rsid w:val="64F62677"/>
    <w:rsid w:val="64FF247A"/>
    <w:rsid w:val="651D5FEE"/>
    <w:rsid w:val="65292F5B"/>
    <w:rsid w:val="653A3988"/>
    <w:rsid w:val="65460650"/>
    <w:rsid w:val="65485685"/>
    <w:rsid w:val="654D3BD4"/>
    <w:rsid w:val="656061BF"/>
    <w:rsid w:val="6560642A"/>
    <w:rsid w:val="65831BBB"/>
    <w:rsid w:val="658C7A7F"/>
    <w:rsid w:val="65B05E2D"/>
    <w:rsid w:val="65C31A9E"/>
    <w:rsid w:val="65C724A8"/>
    <w:rsid w:val="65D34A5D"/>
    <w:rsid w:val="65E106DD"/>
    <w:rsid w:val="66200AE7"/>
    <w:rsid w:val="66260CF7"/>
    <w:rsid w:val="663F228B"/>
    <w:rsid w:val="6656373A"/>
    <w:rsid w:val="665F6454"/>
    <w:rsid w:val="666A4E40"/>
    <w:rsid w:val="66946174"/>
    <w:rsid w:val="66A606C5"/>
    <w:rsid w:val="66A74F2A"/>
    <w:rsid w:val="66AB7A0C"/>
    <w:rsid w:val="66C540FF"/>
    <w:rsid w:val="66D80108"/>
    <w:rsid w:val="66E10385"/>
    <w:rsid w:val="66E81753"/>
    <w:rsid w:val="66F56090"/>
    <w:rsid w:val="673E6A98"/>
    <w:rsid w:val="677046E9"/>
    <w:rsid w:val="67827F1C"/>
    <w:rsid w:val="678D1C87"/>
    <w:rsid w:val="67A333A9"/>
    <w:rsid w:val="67C353E3"/>
    <w:rsid w:val="67CD227C"/>
    <w:rsid w:val="68173617"/>
    <w:rsid w:val="682D3D27"/>
    <w:rsid w:val="683065F6"/>
    <w:rsid w:val="68603BF5"/>
    <w:rsid w:val="68814BFC"/>
    <w:rsid w:val="68C11E20"/>
    <w:rsid w:val="68CE2DD5"/>
    <w:rsid w:val="693D0CC2"/>
    <w:rsid w:val="6945292D"/>
    <w:rsid w:val="694E2501"/>
    <w:rsid w:val="695E486A"/>
    <w:rsid w:val="698267A4"/>
    <w:rsid w:val="698C4A5A"/>
    <w:rsid w:val="69981A40"/>
    <w:rsid w:val="699D210A"/>
    <w:rsid w:val="69A86236"/>
    <w:rsid w:val="69AA434C"/>
    <w:rsid w:val="69C0056F"/>
    <w:rsid w:val="69E343CF"/>
    <w:rsid w:val="69E976DE"/>
    <w:rsid w:val="6A051875"/>
    <w:rsid w:val="6A0E1F92"/>
    <w:rsid w:val="6A22153C"/>
    <w:rsid w:val="6A3716E6"/>
    <w:rsid w:val="6A63128D"/>
    <w:rsid w:val="6A68020C"/>
    <w:rsid w:val="6A903094"/>
    <w:rsid w:val="6AAF535F"/>
    <w:rsid w:val="6AC105EC"/>
    <w:rsid w:val="6AD37F27"/>
    <w:rsid w:val="6AF807A4"/>
    <w:rsid w:val="6B083054"/>
    <w:rsid w:val="6B085CCB"/>
    <w:rsid w:val="6B315A3D"/>
    <w:rsid w:val="6B354B1B"/>
    <w:rsid w:val="6B384843"/>
    <w:rsid w:val="6B402768"/>
    <w:rsid w:val="6B774DF2"/>
    <w:rsid w:val="6B90040C"/>
    <w:rsid w:val="6B9561D7"/>
    <w:rsid w:val="6B9D2DD2"/>
    <w:rsid w:val="6BFD644C"/>
    <w:rsid w:val="6C055EB0"/>
    <w:rsid w:val="6C101C5E"/>
    <w:rsid w:val="6C26248C"/>
    <w:rsid w:val="6C337DD6"/>
    <w:rsid w:val="6C45178D"/>
    <w:rsid w:val="6C537E9E"/>
    <w:rsid w:val="6C860F9C"/>
    <w:rsid w:val="6C913029"/>
    <w:rsid w:val="6C960327"/>
    <w:rsid w:val="6C9D77EE"/>
    <w:rsid w:val="6CAD79AB"/>
    <w:rsid w:val="6CC54754"/>
    <w:rsid w:val="6CFD61EB"/>
    <w:rsid w:val="6D043A59"/>
    <w:rsid w:val="6D2147B0"/>
    <w:rsid w:val="6D4A7767"/>
    <w:rsid w:val="6D56630E"/>
    <w:rsid w:val="6D742E05"/>
    <w:rsid w:val="6D81230A"/>
    <w:rsid w:val="6D9429DA"/>
    <w:rsid w:val="6D9F2594"/>
    <w:rsid w:val="6DA53D56"/>
    <w:rsid w:val="6DAA4153"/>
    <w:rsid w:val="6DB649D1"/>
    <w:rsid w:val="6DC572F5"/>
    <w:rsid w:val="6DF37591"/>
    <w:rsid w:val="6DFA3DB4"/>
    <w:rsid w:val="6DFC6E63"/>
    <w:rsid w:val="6DFE0066"/>
    <w:rsid w:val="6E011A61"/>
    <w:rsid w:val="6E1C4318"/>
    <w:rsid w:val="6E20099F"/>
    <w:rsid w:val="6E2F3079"/>
    <w:rsid w:val="6E5337E0"/>
    <w:rsid w:val="6E7674F5"/>
    <w:rsid w:val="6E865586"/>
    <w:rsid w:val="6EB72579"/>
    <w:rsid w:val="6ECE657E"/>
    <w:rsid w:val="6EF114BE"/>
    <w:rsid w:val="6F1D2ABB"/>
    <w:rsid w:val="6F590C69"/>
    <w:rsid w:val="6F792010"/>
    <w:rsid w:val="6F7C7B05"/>
    <w:rsid w:val="6F8B2A39"/>
    <w:rsid w:val="6F8F50CC"/>
    <w:rsid w:val="6FA917A7"/>
    <w:rsid w:val="6FF460AD"/>
    <w:rsid w:val="6FF46EB5"/>
    <w:rsid w:val="70402100"/>
    <w:rsid w:val="70490779"/>
    <w:rsid w:val="7056568C"/>
    <w:rsid w:val="7057451A"/>
    <w:rsid w:val="705B2B23"/>
    <w:rsid w:val="705C303D"/>
    <w:rsid w:val="70616804"/>
    <w:rsid w:val="70693BED"/>
    <w:rsid w:val="70694180"/>
    <w:rsid w:val="70984EB2"/>
    <w:rsid w:val="70FA6F35"/>
    <w:rsid w:val="710D0F27"/>
    <w:rsid w:val="711B1147"/>
    <w:rsid w:val="71514804"/>
    <w:rsid w:val="7179608C"/>
    <w:rsid w:val="718030F6"/>
    <w:rsid w:val="7196011C"/>
    <w:rsid w:val="71A544BB"/>
    <w:rsid w:val="71E23A55"/>
    <w:rsid w:val="71E81C15"/>
    <w:rsid w:val="7216185B"/>
    <w:rsid w:val="72173C7E"/>
    <w:rsid w:val="721A0E69"/>
    <w:rsid w:val="721B6C05"/>
    <w:rsid w:val="721F4CE3"/>
    <w:rsid w:val="723A72A4"/>
    <w:rsid w:val="728173B8"/>
    <w:rsid w:val="729A2A61"/>
    <w:rsid w:val="729A74B7"/>
    <w:rsid w:val="72A60B98"/>
    <w:rsid w:val="72DD7FC1"/>
    <w:rsid w:val="72F17BCD"/>
    <w:rsid w:val="72F35EED"/>
    <w:rsid w:val="72FC5426"/>
    <w:rsid w:val="72FC597A"/>
    <w:rsid w:val="730C1639"/>
    <w:rsid w:val="73363B4B"/>
    <w:rsid w:val="733817C1"/>
    <w:rsid w:val="736D1576"/>
    <w:rsid w:val="73937A59"/>
    <w:rsid w:val="73A72705"/>
    <w:rsid w:val="73BE04D1"/>
    <w:rsid w:val="73C44F3C"/>
    <w:rsid w:val="73D17528"/>
    <w:rsid w:val="73DA135F"/>
    <w:rsid w:val="740667E8"/>
    <w:rsid w:val="7408229C"/>
    <w:rsid w:val="741F1C9D"/>
    <w:rsid w:val="74545723"/>
    <w:rsid w:val="7456606E"/>
    <w:rsid w:val="746937B1"/>
    <w:rsid w:val="74C04CBF"/>
    <w:rsid w:val="74C2573E"/>
    <w:rsid w:val="74CD5076"/>
    <w:rsid w:val="74DC560A"/>
    <w:rsid w:val="74E940B3"/>
    <w:rsid w:val="74F905E2"/>
    <w:rsid w:val="7508356B"/>
    <w:rsid w:val="75294D89"/>
    <w:rsid w:val="752D51CA"/>
    <w:rsid w:val="75435DB2"/>
    <w:rsid w:val="75617A50"/>
    <w:rsid w:val="757549C3"/>
    <w:rsid w:val="75941C2C"/>
    <w:rsid w:val="75A07779"/>
    <w:rsid w:val="75A12280"/>
    <w:rsid w:val="75A82B8A"/>
    <w:rsid w:val="75AA589C"/>
    <w:rsid w:val="75C60818"/>
    <w:rsid w:val="75CA6844"/>
    <w:rsid w:val="75CB3949"/>
    <w:rsid w:val="75CB7978"/>
    <w:rsid w:val="75EE306A"/>
    <w:rsid w:val="75FD7F46"/>
    <w:rsid w:val="760433C6"/>
    <w:rsid w:val="76126694"/>
    <w:rsid w:val="7624754A"/>
    <w:rsid w:val="762A7217"/>
    <w:rsid w:val="7653487D"/>
    <w:rsid w:val="765F007A"/>
    <w:rsid w:val="765F4642"/>
    <w:rsid w:val="766E3524"/>
    <w:rsid w:val="7675462C"/>
    <w:rsid w:val="767D559C"/>
    <w:rsid w:val="767F44D7"/>
    <w:rsid w:val="76C61A97"/>
    <w:rsid w:val="775D2F89"/>
    <w:rsid w:val="778F750F"/>
    <w:rsid w:val="77AD0A3F"/>
    <w:rsid w:val="77C41078"/>
    <w:rsid w:val="77CB1F90"/>
    <w:rsid w:val="77CB74DE"/>
    <w:rsid w:val="77CD0717"/>
    <w:rsid w:val="77E459CD"/>
    <w:rsid w:val="77E92FD7"/>
    <w:rsid w:val="77E968C6"/>
    <w:rsid w:val="77F02658"/>
    <w:rsid w:val="78197AA1"/>
    <w:rsid w:val="782F2675"/>
    <w:rsid w:val="7832223C"/>
    <w:rsid w:val="78602963"/>
    <w:rsid w:val="78914E95"/>
    <w:rsid w:val="78B3424F"/>
    <w:rsid w:val="78C0051C"/>
    <w:rsid w:val="78CC26C0"/>
    <w:rsid w:val="78E7453C"/>
    <w:rsid w:val="78F76920"/>
    <w:rsid w:val="7901105A"/>
    <w:rsid w:val="79353AF8"/>
    <w:rsid w:val="79447453"/>
    <w:rsid w:val="79652436"/>
    <w:rsid w:val="797601E9"/>
    <w:rsid w:val="7990182B"/>
    <w:rsid w:val="79945C17"/>
    <w:rsid w:val="799C2485"/>
    <w:rsid w:val="799D5973"/>
    <w:rsid w:val="79B6321E"/>
    <w:rsid w:val="79BD7416"/>
    <w:rsid w:val="7A042E10"/>
    <w:rsid w:val="7A05013D"/>
    <w:rsid w:val="7A0A402A"/>
    <w:rsid w:val="7A1F5C63"/>
    <w:rsid w:val="7A2F3CD3"/>
    <w:rsid w:val="7A3003B2"/>
    <w:rsid w:val="7A396538"/>
    <w:rsid w:val="7A3B0340"/>
    <w:rsid w:val="7A3E6D5E"/>
    <w:rsid w:val="7A404920"/>
    <w:rsid w:val="7A5C0DA7"/>
    <w:rsid w:val="7A6155FB"/>
    <w:rsid w:val="7A7F3000"/>
    <w:rsid w:val="7A88399A"/>
    <w:rsid w:val="7A9F592F"/>
    <w:rsid w:val="7AB83F98"/>
    <w:rsid w:val="7ABF0E73"/>
    <w:rsid w:val="7AC02612"/>
    <w:rsid w:val="7AD2397E"/>
    <w:rsid w:val="7AEA6460"/>
    <w:rsid w:val="7AF67F85"/>
    <w:rsid w:val="7AF7076E"/>
    <w:rsid w:val="7B051D7F"/>
    <w:rsid w:val="7B170708"/>
    <w:rsid w:val="7B1B3593"/>
    <w:rsid w:val="7B2C1BF9"/>
    <w:rsid w:val="7B4A3665"/>
    <w:rsid w:val="7B502250"/>
    <w:rsid w:val="7B6C23BE"/>
    <w:rsid w:val="7B7474F7"/>
    <w:rsid w:val="7B8A09CC"/>
    <w:rsid w:val="7BBA79C5"/>
    <w:rsid w:val="7BDB1595"/>
    <w:rsid w:val="7BE67B49"/>
    <w:rsid w:val="7BED6056"/>
    <w:rsid w:val="7BF85632"/>
    <w:rsid w:val="7C072E13"/>
    <w:rsid w:val="7C447F44"/>
    <w:rsid w:val="7C5623B0"/>
    <w:rsid w:val="7C6953F6"/>
    <w:rsid w:val="7C6A5C8B"/>
    <w:rsid w:val="7C77262C"/>
    <w:rsid w:val="7C8974D7"/>
    <w:rsid w:val="7C9B3CC1"/>
    <w:rsid w:val="7C9C6662"/>
    <w:rsid w:val="7CA929A8"/>
    <w:rsid w:val="7CC557C8"/>
    <w:rsid w:val="7CCB6E79"/>
    <w:rsid w:val="7CF17DE7"/>
    <w:rsid w:val="7D270886"/>
    <w:rsid w:val="7D384DC0"/>
    <w:rsid w:val="7D641B1E"/>
    <w:rsid w:val="7D7B1365"/>
    <w:rsid w:val="7DA261A2"/>
    <w:rsid w:val="7DD62B3D"/>
    <w:rsid w:val="7DD722F0"/>
    <w:rsid w:val="7DD81DCF"/>
    <w:rsid w:val="7DF452E9"/>
    <w:rsid w:val="7DFC65B3"/>
    <w:rsid w:val="7E264195"/>
    <w:rsid w:val="7E3332A1"/>
    <w:rsid w:val="7E8E5466"/>
    <w:rsid w:val="7EA9551E"/>
    <w:rsid w:val="7EBF4E05"/>
    <w:rsid w:val="7EF165B4"/>
    <w:rsid w:val="7F083AD9"/>
    <w:rsid w:val="7F0E6ADE"/>
    <w:rsid w:val="7F221E49"/>
    <w:rsid w:val="7F2257ED"/>
    <w:rsid w:val="7F2C4ACE"/>
    <w:rsid w:val="7F3A472C"/>
    <w:rsid w:val="7F426B36"/>
    <w:rsid w:val="7F445629"/>
    <w:rsid w:val="7F5F001A"/>
    <w:rsid w:val="7F68109F"/>
    <w:rsid w:val="7F844E8C"/>
    <w:rsid w:val="7F8932DC"/>
    <w:rsid w:val="7FAE52D2"/>
    <w:rsid w:val="7FDB3AF0"/>
    <w:rsid w:val="7FE41772"/>
    <w:rsid w:val="7FE76E80"/>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4">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5">
    <w:name w:val="heading 2"/>
    <w:basedOn w:val="1"/>
    <w:next w:val="6"/>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7">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8">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3">
    <w:name w:val="Body Text Indent"/>
    <w:basedOn w:val="1"/>
    <w:link w:val="37"/>
    <w:qFormat/>
    <w:uiPriority w:val="0"/>
    <w:pPr>
      <w:spacing w:after="120"/>
      <w:ind w:left="420" w:leftChars="200"/>
    </w:pPr>
  </w:style>
  <w:style w:type="paragraph" w:customStyle="1" w:styleId="6">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paragraph" w:styleId="9">
    <w:name w:val="annotation subject"/>
    <w:basedOn w:val="10"/>
    <w:next w:val="10"/>
    <w:link w:val="41"/>
    <w:qFormat/>
    <w:uiPriority w:val="0"/>
    <w:rPr>
      <w:b/>
      <w:bCs/>
    </w:rPr>
  </w:style>
  <w:style w:type="paragraph" w:styleId="10">
    <w:name w:val="annotation text"/>
    <w:basedOn w:val="1"/>
    <w:link w:val="35"/>
    <w:qFormat/>
    <w:uiPriority w:val="99"/>
  </w:style>
  <w:style w:type="paragraph" w:styleId="11">
    <w:name w:val="Body Text First Indent"/>
    <w:basedOn w:val="12"/>
    <w:qFormat/>
    <w:uiPriority w:val="0"/>
    <w:pPr>
      <w:ind w:firstLine="420" w:firstLineChars="100"/>
    </w:pPr>
  </w:style>
  <w:style w:type="paragraph" w:styleId="12">
    <w:name w:val="Body Text"/>
    <w:basedOn w:val="1"/>
    <w:link w:val="36"/>
    <w:qFormat/>
    <w:uiPriority w:val="0"/>
    <w:pPr>
      <w:spacing w:after="120"/>
    </w:pPr>
  </w:style>
  <w:style w:type="paragraph" w:styleId="13">
    <w:name w:val="Normal Indent"/>
    <w:basedOn w:val="1"/>
    <w:qFormat/>
    <w:uiPriority w:val="0"/>
    <w:pPr>
      <w:autoSpaceDE w:val="0"/>
      <w:autoSpaceDN w:val="0"/>
      <w:ind w:firstLine="420"/>
    </w:pPr>
    <w:rPr>
      <w:rFonts w:ascii="宋体"/>
    </w:rPr>
  </w:style>
  <w:style w:type="paragraph" w:styleId="14">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5">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6">
    <w:name w:val="Body Text Indent 2"/>
    <w:basedOn w:val="1"/>
    <w:link w:val="39"/>
    <w:qFormat/>
    <w:uiPriority w:val="0"/>
    <w:pPr>
      <w:spacing w:after="120" w:line="480" w:lineRule="auto"/>
      <w:ind w:left="420" w:leftChars="200"/>
    </w:pPr>
  </w:style>
  <w:style w:type="paragraph" w:styleId="17">
    <w:name w:val="Balloon Text"/>
    <w:basedOn w:val="1"/>
    <w:semiHidden/>
    <w:qFormat/>
    <w:uiPriority w:val="0"/>
    <w:rPr>
      <w:sz w:val="18"/>
      <w:szCs w:val="18"/>
    </w:rPr>
  </w:style>
  <w:style w:type="paragraph" w:styleId="18">
    <w:name w:val="footer"/>
    <w:basedOn w:val="1"/>
    <w:qFormat/>
    <w:uiPriority w:val="0"/>
    <w:pPr>
      <w:tabs>
        <w:tab w:val="center" w:pos="4153"/>
        <w:tab w:val="right" w:pos="8306"/>
      </w:tabs>
      <w:spacing w:line="240" w:lineRule="atLeast"/>
    </w:pPr>
    <w:rPr>
      <w:sz w:val="18"/>
    </w:rPr>
  </w:style>
  <w:style w:type="paragraph" w:styleId="19">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20">
    <w:name w:val="toc 1"/>
    <w:basedOn w:val="1"/>
    <w:next w:val="1"/>
    <w:qFormat/>
    <w:uiPriority w:val="39"/>
  </w:style>
  <w:style w:type="paragraph" w:styleId="21">
    <w:name w:val="Body Text Indent 3"/>
    <w:basedOn w:val="1"/>
    <w:link w:val="40"/>
    <w:qFormat/>
    <w:uiPriority w:val="0"/>
    <w:pPr>
      <w:spacing w:after="120"/>
      <w:ind w:left="420" w:leftChars="200"/>
    </w:pPr>
    <w:rPr>
      <w:sz w:val="16"/>
      <w:szCs w:val="16"/>
    </w:rPr>
  </w:style>
  <w:style w:type="paragraph" w:styleId="22">
    <w:name w:val="Body Text 2"/>
    <w:basedOn w:val="1"/>
    <w:qFormat/>
    <w:uiPriority w:val="0"/>
    <w:pPr>
      <w:suppressAutoHyphens/>
      <w:jc w:val="left"/>
    </w:pPr>
    <w:rPr>
      <w:rFonts w:ascii="Calibri" w:hAnsi="Calibri" w:eastAsia="宋体" w:cs="Times New Roman"/>
      <w:color w:val="000000"/>
      <w:sz w:val="28"/>
      <w:szCs w:val="28"/>
    </w:rPr>
  </w:style>
  <w:style w:type="paragraph" w:styleId="23">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4">
    <w:name w:val="index 1"/>
    <w:basedOn w:val="1"/>
    <w:next w:val="1"/>
    <w:qFormat/>
    <w:uiPriority w:val="0"/>
    <w:rPr>
      <w:szCs w:val="20"/>
    </w:rPr>
  </w:style>
  <w:style w:type="paragraph" w:styleId="25">
    <w:name w:val="Title"/>
    <w:basedOn w:val="6"/>
    <w:next w:val="1"/>
    <w:qFormat/>
    <w:uiPriority w:val="0"/>
    <w:pPr>
      <w:numPr>
        <w:ilvl w:val="1"/>
        <w:numId w:val="2"/>
      </w:numPr>
      <w:spacing w:line="560" w:lineRule="exact"/>
      <w:outlineLvl w:val="1"/>
    </w:pPr>
    <w:rPr>
      <w:rFonts w:ascii="楷体_GB2312" w:eastAsia="楷体_GB2312"/>
      <w:kern w:val="2"/>
      <w:sz w:val="32"/>
      <w:szCs w:val="32"/>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10"/>
    <w:qFormat/>
    <w:uiPriority w:val="99"/>
    <w:rPr>
      <w:sz w:val="24"/>
      <w:szCs w:val="22"/>
    </w:rPr>
  </w:style>
  <w:style w:type="character" w:customStyle="1" w:styleId="36">
    <w:name w:val="正文文本 Char"/>
    <w:link w:val="12"/>
    <w:qFormat/>
    <w:uiPriority w:val="0"/>
    <w:rPr>
      <w:sz w:val="24"/>
      <w:szCs w:val="22"/>
    </w:rPr>
  </w:style>
  <w:style w:type="character" w:customStyle="1" w:styleId="37">
    <w:name w:val="正文文本缩进 Char"/>
    <w:link w:val="3"/>
    <w:qFormat/>
    <w:uiPriority w:val="0"/>
    <w:rPr>
      <w:sz w:val="24"/>
      <w:szCs w:val="22"/>
    </w:rPr>
  </w:style>
  <w:style w:type="character" w:customStyle="1" w:styleId="38">
    <w:name w:val="纯文本 Char"/>
    <w:link w:val="15"/>
    <w:qFormat/>
    <w:uiPriority w:val="0"/>
    <w:rPr>
      <w:rFonts w:ascii="宋体" w:hAnsi="Courier New" w:eastAsia="宋体"/>
      <w:kern w:val="2"/>
      <w:sz w:val="21"/>
      <w:szCs w:val="21"/>
      <w:lang w:val="en-US" w:eastAsia="zh-CN" w:bidi="ar-SA"/>
    </w:rPr>
  </w:style>
  <w:style w:type="character" w:customStyle="1" w:styleId="39">
    <w:name w:val="正文文本缩进 2 Char"/>
    <w:link w:val="16"/>
    <w:qFormat/>
    <w:uiPriority w:val="0"/>
    <w:rPr>
      <w:sz w:val="24"/>
      <w:szCs w:val="22"/>
    </w:rPr>
  </w:style>
  <w:style w:type="character" w:customStyle="1" w:styleId="40">
    <w:name w:val="正文文本缩进 3 Char"/>
    <w:link w:val="21"/>
    <w:qFormat/>
    <w:uiPriority w:val="0"/>
    <w:rPr>
      <w:sz w:val="16"/>
      <w:szCs w:val="16"/>
    </w:rPr>
  </w:style>
  <w:style w:type="character" w:customStyle="1" w:styleId="41">
    <w:name w:val="批注主题 Char"/>
    <w:link w:val="9"/>
    <w:qFormat/>
    <w:uiPriority w:val="0"/>
    <w:rPr>
      <w:b/>
      <w:bCs/>
      <w:sz w:val="24"/>
      <w:szCs w:val="22"/>
    </w:rPr>
  </w:style>
  <w:style w:type="character" w:customStyle="1" w:styleId="42">
    <w:name w:val="正文首行缩进 2 Char"/>
    <w:link w:val="2"/>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5"/>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7"/>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8"/>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4"/>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列出段落21"/>
    <w:basedOn w:val="1"/>
    <w:qFormat/>
    <w:uiPriority w:val="34"/>
    <w:pPr>
      <w:spacing w:line="360" w:lineRule="auto"/>
      <w:ind w:firstLine="420" w:firstLineChars="200"/>
    </w:pPr>
    <w:rPr>
      <w:sz w:val="24"/>
    </w:rPr>
  </w:style>
  <w:style w:type="paragraph" w:customStyle="1" w:styleId="81">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2025-02-18T09:24:15Z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