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both"/>
        <w:textAlignment w:val="auto"/>
        <w:rPr>
          <w:rFonts w:hint="eastAsia" w:ascii="宋体" w:hAnsi="宋体" w:eastAsia="宋体" w:cs="宋体"/>
          <w:b w:val="0"/>
          <w:bCs/>
          <w:sz w:val="36"/>
          <w:szCs w:val="36"/>
          <w:highlight w:val="none"/>
        </w:rPr>
      </w:pPr>
      <w:bookmarkStart w:id="0" w:name="_Toc28109"/>
      <w:bookmarkStart w:id="1" w:name="_Toc25013"/>
      <w:bookmarkStart w:id="2" w:name="_Toc99301418"/>
      <w:bookmarkStart w:id="3" w:name="_Toc3783"/>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z w:val="36"/>
          <w:szCs w:val="36"/>
          <w:highlight w:val="none"/>
        </w:rPr>
      </w:pP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z w:val="36"/>
          <w:szCs w:val="36"/>
          <w:highlight w:val="none"/>
        </w:rPr>
      </w:pP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52"/>
          <w:szCs w:val="52"/>
          <w:highlight w:val="none"/>
        </w:rPr>
      </w:pPr>
      <w:r>
        <w:rPr>
          <w:rFonts w:hint="eastAsia" w:ascii="宋体" w:hAnsi="宋体" w:eastAsia="宋体" w:cs="宋体"/>
          <w:b w:val="0"/>
          <w:bCs/>
          <w:sz w:val="52"/>
          <w:szCs w:val="52"/>
          <w:highlight w:val="none"/>
        </w:rPr>
        <w:t>招标文件</w:t>
      </w: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t>项目名称：天竺镇网格巡查及运营服务项目</w:t>
      </w: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t>项目编号：11011323210200012057-XM001</w:t>
      </w: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t>采 购 人：北京市顺义区天竺镇人民政府</w:t>
      </w:r>
    </w:p>
    <w:p>
      <w:pPr>
        <w:keepNext w:val="0"/>
        <w:keepLines w:val="0"/>
        <w:pageBreakBefore w:val="0"/>
        <w:widowControl w:val="0"/>
        <w:tabs>
          <w:tab w:val="left" w:pos="3240"/>
          <w:tab w:val="left" w:pos="3420"/>
        </w:tabs>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t>采购代理机构：北京中盛宇工程管理有限公司</w:t>
      </w:r>
    </w:p>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val="0"/>
          <w:bCs/>
          <w:sz w:val="36"/>
          <w:szCs w:val="36"/>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val="en-US" w:eastAsia="zh-CN"/>
        </w:rPr>
        <w:sectPr>
          <w:headerReference r:id="rId4" w:type="first"/>
          <w:footerReference r:id="rId6" w:type="first"/>
          <w:headerReference r:id="rId3" w:type="default"/>
          <w:footerReference r:id="rId5" w:type="default"/>
          <w:pgSz w:w="11907" w:h="16840"/>
          <w:pgMar w:top="1418" w:right="946" w:bottom="1418" w:left="1501" w:header="851" w:footer="851" w:gutter="0"/>
          <w:pgNumType w:fmt="decimal" w:start="1"/>
          <w:cols w:space="720" w:num="1"/>
          <w:titlePg/>
          <w:docGrid w:linePitch="462" w:charSpace="0"/>
        </w:sectPr>
      </w:pPr>
    </w:p>
    <w:p>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8"/>
          <w:szCs w:val="28"/>
          <w:highlight w:val="none"/>
        </w:rPr>
      </w:pPr>
      <w:bookmarkStart w:id="4" w:name="_Toc29394"/>
      <w:r>
        <w:rPr>
          <w:rFonts w:hint="eastAsia" w:ascii="宋体" w:hAnsi="宋体" w:eastAsia="宋体" w:cs="宋体"/>
          <w:b w:val="0"/>
          <w:bCs/>
          <w:sz w:val="28"/>
          <w:szCs w:val="28"/>
          <w:highlight w:val="none"/>
        </w:rPr>
        <w:t>目      录</w:t>
      </w:r>
      <w:bookmarkEnd w:id="0"/>
      <w:bookmarkEnd w:id="1"/>
      <w:bookmarkEnd w:id="2"/>
      <w:bookmarkEnd w:id="3"/>
      <w:bookmarkEnd w:id="4"/>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TOC \o "1-1" \h \z \u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_Toc980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第一章   投标邀请</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_Toc980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2</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_Toc28511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第二章   投标人须知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_Toc28511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6</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_Toc14455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第三章   资格审查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_Toc14455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20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_Toc17339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第四章   评标程序、评标方法和评标标准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_Toc17339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23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_Toc4410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第五章   采购需求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_Toc4410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31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_Toc12809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第六章   拟签订的合同文本</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_Toc12809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34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tabs>
          <w:tab w:val="right" w:leader="dot" w:pos="9072"/>
          <w:tab w:val="clear" w:pos="1050"/>
          <w:tab w:val="clear" w:pos="8937"/>
        </w:tabs>
        <w:kinsoku/>
        <w:wordWrap w:val="0"/>
        <w:overflowPunct/>
        <w:topLinePunct/>
        <w:autoSpaceDE/>
        <w:autoSpaceDN/>
        <w:bidi w:val="0"/>
        <w:spacing w:line="360" w:lineRule="auto"/>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_Toc28199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第七章   投标文件格式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_Toc28199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42</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p>
    <w:p>
      <w:pPr>
        <w:pStyle w:val="31"/>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8"/>
          <w:szCs w:val="28"/>
          <w:highlight w:val="none"/>
        </w:rPr>
        <w:fldChar w:fldCharType="end"/>
      </w:r>
    </w:p>
    <w:p>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bookmarkStart w:id="5" w:name="_Toc980"/>
      <w:r>
        <w:rPr>
          <w:rFonts w:hint="eastAsia" w:ascii="宋体" w:hAnsi="宋体" w:eastAsia="宋体" w:cs="宋体"/>
          <w:b w:val="0"/>
          <w:bCs/>
          <w:sz w:val="21"/>
          <w:szCs w:val="21"/>
          <w:highlight w:val="none"/>
        </w:rPr>
        <w:t>第一章   投标邀请</w:t>
      </w:r>
      <w:bookmarkEnd w:id="5"/>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p>
    <w:p>
      <w:pPr>
        <w:pStyle w:val="3"/>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sz w:val="21"/>
          <w:szCs w:val="21"/>
          <w:highlight w:val="none"/>
        </w:rPr>
      </w:pPr>
      <w:bookmarkStart w:id="6" w:name="_Toc35393790"/>
      <w:bookmarkStart w:id="7" w:name="_Toc28359002"/>
      <w:bookmarkStart w:id="8" w:name="_Toc35393621"/>
      <w:bookmarkStart w:id="9" w:name="_Toc28359079"/>
      <w:bookmarkStart w:id="10" w:name="_Hlk24379207"/>
      <w:r>
        <w:rPr>
          <w:rFonts w:hint="eastAsia" w:ascii="宋体" w:hAnsi="宋体" w:eastAsia="宋体" w:cs="宋体"/>
          <w:b w:val="0"/>
          <w:bCs/>
          <w:sz w:val="21"/>
          <w:szCs w:val="21"/>
          <w:highlight w:val="none"/>
        </w:rPr>
        <w:t>一、项目基本情况</w:t>
      </w:r>
      <w:bookmarkEnd w:id="6"/>
      <w:bookmarkEnd w:id="7"/>
      <w:bookmarkEnd w:id="8"/>
      <w:bookmarkEnd w:id="9"/>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sz w:val="21"/>
          <w:szCs w:val="21"/>
          <w:highlight w:val="none"/>
        </w:rPr>
        <w:t>1.项目编号：11011323210200012057-XM001</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2.项目名称：</w:t>
      </w:r>
      <w:r>
        <w:rPr>
          <w:rFonts w:hint="eastAsia" w:ascii="宋体" w:hAnsi="宋体" w:eastAsia="宋体" w:cs="宋体"/>
          <w:b w:val="0"/>
          <w:bCs/>
          <w:sz w:val="21"/>
          <w:szCs w:val="21"/>
          <w:highlight w:val="none"/>
          <w:lang w:eastAsia="zh-CN"/>
        </w:rPr>
        <w:t>天竺镇网格巡查及运营服务项目</w:t>
      </w:r>
    </w:p>
    <w:bookmarkEnd w:id="10"/>
    <w:p>
      <w:pPr>
        <w:keepNext w:val="0"/>
        <w:keepLines w:val="0"/>
        <w:pageBreakBefore w:val="0"/>
        <w:widowControl w:val="0"/>
        <w:kinsoku/>
        <w:wordWrap w:val="0"/>
        <w:overflowPunct/>
        <w:topLinePunct/>
        <w:autoSpaceDE/>
        <w:autoSpaceDN/>
        <w:bidi w:val="0"/>
        <w:spacing w:line="360" w:lineRule="auto"/>
        <w:ind w:right="-168" w:rightChars="-8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3.项目预算金额：</w:t>
      </w:r>
      <w:r>
        <w:rPr>
          <w:rFonts w:hint="eastAsia" w:ascii="宋体" w:hAnsi="宋体" w:eastAsia="宋体" w:cs="宋体"/>
          <w:b w:val="0"/>
          <w:bCs/>
          <w:sz w:val="21"/>
          <w:szCs w:val="21"/>
          <w:highlight w:val="none"/>
          <w:u w:val="single"/>
          <w:lang w:val="en-US" w:eastAsia="zh-CN"/>
        </w:rPr>
        <w:t>2400</w:t>
      </w:r>
      <w:r>
        <w:rPr>
          <w:rFonts w:hint="eastAsia" w:ascii="宋体" w:hAnsi="宋体" w:eastAsia="宋体" w:cs="宋体"/>
          <w:b w:val="0"/>
          <w:bCs/>
          <w:sz w:val="21"/>
          <w:szCs w:val="21"/>
          <w:highlight w:val="none"/>
        </w:rPr>
        <w:t>万元、项目最高限价（如有）：</w:t>
      </w:r>
      <w:r>
        <w:rPr>
          <w:rFonts w:hint="eastAsia" w:ascii="宋体" w:hAnsi="宋体" w:eastAsia="宋体" w:cs="宋体"/>
          <w:b w:val="0"/>
          <w:bCs/>
          <w:sz w:val="21"/>
          <w:szCs w:val="21"/>
          <w:highlight w:val="none"/>
          <w:u w:val="single"/>
          <w:lang w:val="en-US" w:eastAsia="zh-CN"/>
        </w:rPr>
        <w:t>2128.378155</w:t>
      </w:r>
      <w:r>
        <w:rPr>
          <w:rFonts w:hint="eastAsia" w:ascii="宋体" w:hAnsi="宋体" w:eastAsia="宋体" w:cs="宋体"/>
          <w:b w:val="0"/>
          <w:bCs/>
          <w:sz w:val="21"/>
          <w:szCs w:val="21"/>
          <w:highlight w:val="none"/>
        </w:rPr>
        <w:t>万元</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4.采购需求：</w:t>
      </w:r>
    </w:p>
    <w:tbl>
      <w:tblPr>
        <w:tblStyle w:val="46"/>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774"/>
        <w:gridCol w:w="791"/>
        <w:gridCol w:w="1201"/>
        <w:gridCol w:w="4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5"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vertAlign w:val="baseline"/>
                <w:lang w:eastAsia="zh-CN"/>
              </w:rPr>
            </w:pPr>
            <w:r>
              <w:rPr>
                <w:rFonts w:hint="eastAsia" w:ascii="宋体" w:hAnsi="宋体" w:eastAsia="宋体" w:cs="宋体"/>
                <w:b w:val="0"/>
                <w:bCs/>
                <w:sz w:val="21"/>
                <w:szCs w:val="21"/>
                <w:highlight w:val="none"/>
                <w:lang w:eastAsia="zh-CN"/>
              </w:rPr>
              <w:t>项目名称</w:t>
            </w:r>
          </w:p>
        </w:tc>
        <w:tc>
          <w:tcPr>
            <w:tcW w:w="1774" w:type="dxa"/>
            <w:vAlign w:val="center"/>
          </w:tcPr>
          <w:p>
            <w:pPr>
              <w:keepNext w:val="0"/>
              <w:keepLines w:val="0"/>
              <w:pageBreakBefore w:val="0"/>
              <w:widowControl w:val="0"/>
              <w:shd w:val="clear"/>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vertAlign w:val="baseline"/>
              </w:rPr>
            </w:pPr>
            <w:r>
              <w:rPr>
                <w:rFonts w:hint="eastAsia" w:ascii="宋体" w:hAnsi="宋体" w:eastAsia="宋体" w:cs="宋体"/>
                <w:b w:val="0"/>
                <w:bCs/>
                <w:sz w:val="21"/>
                <w:szCs w:val="21"/>
                <w:highlight w:val="none"/>
              </w:rPr>
              <w:t>采购包预算金额</w:t>
            </w:r>
          </w:p>
        </w:tc>
        <w:tc>
          <w:tcPr>
            <w:tcW w:w="79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vertAlign w:val="baseline"/>
              </w:rPr>
            </w:pPr>
            <w:r>
              <w:rPr>
                <w:rFonts w:hint="eastAsia" w:ascii="宋体" w:hAnsi="宋体" w:eastAsia="宋体" w:cs="宋体"/>
                <w:b w:val="0"/>
                <w:bCs/>
                <w:sz w:val="21"/>
                <w:szCs w:val="21"/>
                <w:highlight w:val="none"/>
              </w:rPr>
              <w:t>数量</w:t>
            </w:r>
          </w:p>
        </w:tc>
        <w:tc>
          <w:tcPr>
            <w:tcW w:w="12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服务地点</w:t>
            </w:r>
          </w:p>
        </w:tc>
        <w:tc>
          <w:tcPr>
            <w:tcW w:w="4683" w:type="dxa"/>
            <w:shd w:val="clear" w:color="auto" w:fill="auto"/>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vertAlign w:val="baseline"/>
              </w:rPr>
            </w:pPr>
            <w:r>
              <w:rPr>
                <w:rFonts w:hint="eastAsia" w:ascii="宋体" w:hAnsi="宋体" w:eastAsia="宋体" w:cs="宋体"/>
                <w:b w:val="0"/>
                <w:bCs/>
                <w:sz w:val="21"/>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5" w:type="dxa"/>
            <w:vAlign w:val="center"/>
          </w:tcPr>
          <w:p>
            <w:pPr>
              <w:keepNext w:val="0"/>
              <w:keepLines w:val="0"/>
              <w:pageBreakBefore w:val="0"/>
              <w:widowControl w:val="0"/>
              <w:shd w:val="clear"/>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天竺镇网格巡查及运营服务项目</w:t>
            </w:r>
          </w:p>
        </w:tc>
        <w:tc>
          <w:tcPr>
            <w:tcW w:w="1774" w:type="dxa"/>
            <w:vAlign w:val="center"/>
          </w:tcPr>
          <w:p>
            <w:pPr>
              <w:keepNext w:val="0"/>
              <w:keepLines w:val="0"/>
              <w:pageBreakBefore w:val="0"/>
              <w:widowControl w:val="0"/>
              <w:shd w:val="clear"/>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2400万元</w:t>
            </w:r>
          </w:p>
        </w:tc>
        <w:tc>
          <w:tcPr>
            <w:tcW w:w="791" w:type="dxa"/>
            <w:vAlign w:val="center"/>
          </w:tcPr>
          <w:p>
            <w:pPr>
              <w:keepNext w:val="0"/>
              <w:keepLines w:val="0"/>
              <w:pageBreakBefore w:val="0"/>
              <w:widowControl w:val="0"/>
              <w:shd w:val="clear"/>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lang w:val="en-US" w:eastAsia="zh-CN"/>
              </w:rPr>
              <w:t>1项</w:t>
            </w:r>
          </w:p>
        </w:tc>
        <w:tc>
          <w:tcPr>
            <w:tcW w:w="1201" w:type="dxa"/>
            <w:vAlign w:val="center"/>
          </w:tcPr>
          <w:p>
            <w:pPr>
              <w:keepNext w:val="0"/>
              <w:keepLines w:val="0"/>
              <w:pageBreakBefore w:val="0"/>
              <w:widowControl w:val="0"/>
              <w:shd w:val="clear"/>
              <w:kinsoku/>
              <w:wordWrap w:val="0"/>
              <w:overflowPunct/>
              <w:topLinePunct/>
              <w:autoSpaceDE/>
              <w:autoSpaceDN/>
              <w:bidi w:val="0"/>
              <w:spacing w:line="360" w:lineRule="auto"/>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北京市顺义区天竺镇</w:t>
            </w:r>
          </w:p>
        </w:tc>
        <w:tc>
          <w:tcPr>
            <w:tcW w:w="4683" w:type="dxa"/>
            <w:shd w:val="clear" w:color="auto" w:fill="auto"/>
            <w:vAlign w:val="center"/>
          </w:tcPr>
          <w:p>
            <w:pPr>
              <w:keepNext w:val="0"/>
              <w:keepLines w:val="0"/>
              <w:pageBreakBefore w:val="0"/>
              <w:widowControl w:val="0"/>
              <w:shd w:val="clear"/>
              <w:kinsoku/>
              <w:wordWrap w:val="0"/>
              <w:overflowPunct/>
              <w:topLinePunct/>
              <w:autoSpaceDE/>
              <w:autoSpaceDN/>
              <w:bidi w:val="0"/>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通过专业的运营服务和管理，为镇政府提供网格巡查管理服务、社会管理辅助服务、重要时刻保障、日常保障等工作，提升地区服务群众水平。在项目服务期限内，为我镇提供满足居民需要的网格巡查管理、社会面防控辅助、就业辅助、法律咨询、文化宣传辅助、垃圾分类治理、城市管理辅助等服务，所需人员不少于104人，服务时间为1年。</w:t>
            </w:r>
          </w:p>
        </w:tc>
      </w:tr>
    </w:tbl>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5.合同履行期限：</w:t>
      </w:r>
      <w:r>
        <w:rPr>
          <w:rFonts w:hint="eastAsia" w:ascii="宋体" w:hAnsi="宋体" w:eastAsia="宋体" w:cs="宋体"/>
          <w:b w:val="0"/>
          <w:bCs/>
          <w:color w:val="auto"/>
          <w:sz w:val="21"/>
          <w:szCs w:val="21"/>
          <w:highlight w:val="none"/>
          <w:lang w:val="en-US" w:eastAsia="zh-CN"/>
        </w:rPr>
        <w:t>1年（具体以合同签订时间为准）</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6.本项目是否接受联合体投标：</w:t>
      </w:r>
      <w:r>
        <w:rPr>
          <w:rFonts w:hint="eastAsia" w:ascii="宋体" w:hAnsi="宋体" w:eastAsia="宋体" w:cs="宋体"/>
          <w:b w:val="0"/>
          <w:bCs/>
          <w:color w:val="auto"/>
          <w:sz w:val="21"/>
          <w:szCs w:val="21"/>
          <w:highlight w:val="none"/>
        </w:rPr>
        <w:sym w:font="Wingdings 2" w:char="00A3"/>
      </w:r>
      <w:r>
        <w:rPr>
          <w:rFonts w:hint="eastAsia" w:ascii="宋体" w:hAnsi="宋体" w:eastAsia="宋体" w:cs="宋体"/>
          <w:b w:val="0"/>
          <w:bCs/>
          <w:color w:val="auto"/>
          <w:sz w:val="21"/>
          <w:szCs w:val="21"/>
          <w:highlight w:val="none"/>
        </w:rPr>
        <w:t>是  ■否。</w:t>
      </w:r>
    </w:p>
    <w:p>
      <w:pPr>
        <w:pStyle w:val="3"/>
        <w:keepNext w:val="0"/>
        <w:keepLines w:val="0"/>
        <w:pageBreakBefore w:val="0"/>
        <w:widowControl w:val="0"/>
        <w:shd w:val="clear"/>
        <w:kinsoku/>
        <w:wordWrap w:val="0"/>
        <w:overflowPunct/>
        <w:topLinePunct/>
        <w:autoSpaceDE/>
        <w:autoSpaceDN/>
        <w:bidi w:val="0"/>
        <w:spacing w:before="0" w:line="360" w:lineRule="auto"/>
        <w:jc w:val="left"/>
        <w:textAlignment w:val="auto"/>
        <w:rPr>
          <w:rFonts w:hint="eastAsia" w:ascii="宋体" w:hAnsi="宋体" w:eastAsia="宋体" w:cs="宋体"/>
          <w:b w:val="0"/>
          <w:bCs/>
          <w:color w:val="auto"/>
          <w:sz w:val="21"/>
          <w:szCs w:val="21"/>
          <w:highlight w:val="none"/>
        </w:rPr>
      </w:pPr>
      <w:bookmarkStart w:id="11" w:name="_Toc28359003"/>
      <w:bookmarkStart w:id="12" w:name="_Toc35393791"/>
      <w:bookmarkStart w:id="13" w:name="_Toc35393622"/>
      <w:bookmarkStart w:id="14" w:name="_Toc28359080"/>
      <w:r>
        <w:rPr>
          <w:rFonts w:hint="eastAsia" w:ascii="宋体" w:hAnsi="宋体" w:eastAsia="宋体" w:cs="宋体"/>
          <w:b w:val="0"/>
          <w:bCs/>
          <w:color w:val="auto"/>
          <w:sz w:val="21"/>
          <w:szCs w:val="21"/>
          <w:highlight w:val="none"/>
        </w:rPr>
        <w:t>二、申请人的资格要求（须同时满足）</w:t>
      </w:r>
      <w:bookmarkEnd w:id="11"/>
      <w:bookmarkEnd w:id="12"/>
      <w:bookmarkEnd w:id="13"/>
      <w:bookmarkEnd w:id="14"/>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1.满足《中华人民共和国政府采购法》第二十二条规定；</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bookmarkStart w:id="15" w:name="_Toc28359004"/>
      <w:bookmarkStart w:id="16" w:name="_Toc28359081"/>
      <w:r>
        <w:rPr>
          <w:rFonts w:hint="eastAsia" w:ascii="宋体" w:hAnsi="宋体" w:eastAsia="宋体" w:cs="宋体"/>
          <w:b w:val="0"/>
          <w:bCs/>
          <w:color w:val="auto"/>
          <w:sz w:val="21"/>
          <w:szCs w:val="21"/>
          <w:highlight w:val="none"/>
        </w:rPr>
        <w:t>2.落实政府采购政策需满足的资格要求：</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bookmarkStart w:id="940" w:name="_GoBack"/>
      <w:r>
        <w:rPr>
          <w:rFonts w:hint="eastAsia" w:ascii="宋体" w:hAnsi="宋体" w:eastAsia="宋体" w:cs="宋体"/>
          <w:b w:val="0"/>
          <w:bCs/>
          <w:color w:val="auto"/>
          <w:sz w:val="21"/>
          <w:szCs w:val="21"/>
          <w:highlight w:val="none"/>
        </w:rPr>
        <w:t>2.1 中小企业政策</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val="0"/>
          <w:bCs/>
          <w:color w:val="auto"/>
          <w:sz w:val="21"/>
          <w:szCs w:val="21"/>
          <w:highlight w:val="none"/>
        </w:rPr>
        <w:t>本项目不专门面向中小企业预留采购份额。</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■本项目专门面向  </w:t>
      </w:r>
      <w:r>
        <w:rPr>
          <w:rFonts w:hint="eastAsia" w:ascii="宋体" w:hAnsi="宋体" w:eastAsia="宋体" w:cs="宋体"/>
          <w:color w:val="auto"/>
          <w:sz w:val="21"/>
          <w:szCs w:val="21"/>
          <w:highlight w:val="none"/>
        </w:rPr>
        <w:t>□</w:t>
      </w:r>
      <w:r>
        <w:rPr>
          <w:rFonts w:hint="eastAsia" w:ascii="宋体" w:hAnsi="宋体" w:eastAsia="宋体" w:cs="宋体"/>
          <w:b w:val="0"/>
          <w:bCs/>
          <w:color w:val="auto"/>
          <w:sz w:val="21"/>
          <w:szCs w:val="21"/>
          <w:highlight w:val="none"/>
        </w:rPr>
        <w:t xml:space="preserve">中小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■小微企业  采购。即：提供的货物全部由符合政策要求的中小/小微企业制造、服务全部由符合政策要求的中小/小微企业承接。</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val="0"/>
          <w:bCs/>
          <w:color w:val="auto"/>
          <w:sz w:val="21"/>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2.2 其它落实政府采购政策的资格要求（如有）：</w:t>
      </w:r>
      <w:r>
        <w:rPr>
          <w:rFonts w:hint="eastAsia" w:ascii="宋体" w:hAnsi="宋体" w:eastAsia="宋体" w:cs="宋体"/>
          <w:b w:val="0"/>
          <w:bCs/>
          <w:color w:val="auto"/>
          <w:sz w:val="21"/>
          <w:szCs w:val="21"/>
          <w:highlight w:val="none"/>
          <w:u w:val="single"/>
          <w:lang w:val="en-US" w:eastAsia="zh-CN"/>
        </w:rPr>
        <w:t xml:space="preserve">  /  </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3.本项目的特定资格要求：</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本项目是否属于政府购买服务：</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val="0"/>
          <w:bCs/>
          <w:color w:val="auto"/>
          <w:sz w:val="21"/>
          <w:szCs w:val="21"/>
          <w:highlight w:val="none"/>
        </w:rPr>
        <w:t>否</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■是，公益一类事业单位、使用事业编制且由财政拨款保障的群团组织，不得作为承接主体；</w:t>
      </w:r>
    </w:p>
    <w:p>
      <w:pPr>
        <w:pStyle w:val="255"/>
        <w:keepNext w:val="0"/>
        <w:keepLines w:val="0"/>
        <w:pageBreakBefore w:val="0"/>
        <w:widowControl w:val="0"/>
        <w:kinsoku/>
        <w:wordWrap w:val="0"/>
        <w:overflowPunct/>
        <w:topLinePunct/>
        <w:autoSpaceDE/>
        <w:autoSpaceDN/>
        <w:bidi w:val="0"/>
        <w:spacing w:line="360" w:lineRule="auto"/>
        <w:ind w:left="418" w:leftChars="199" w:firstLine="60" w:firstLineChars="29"/>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其他</w:t>
      </w:r>
      <w:r>
        <w:rPr>
          <w:rFonts w:hint="eastAsia" w:ascii="宋体" w:hAnsi="宋体" w:eastAsia="宋体" w:cs="宋体"/>
          <w:b w:val="0"/>
          <w:bCs/>
          <w:color w:val="auto"/>
          <w:sz w:val="21"/>
          <w:szCs w:val="21"/>
          <w:highlight w:val="none"/>
          <w:lang w:val="en-US" w:eastAsia="zh-CN"/>
        </w:rPr>
        <w:t>特定资格要求：</w:t>
      </w:r>
    </w:p>
    <w:bookmarkEnd w:id="940"/>
    <w:p>
      <w:pPr>
        <w:pStyle w:val="255"/>
        <w:keepNext w:val="0"/>
        <w:keepLines w:val="0"/>
        <w:pageBreakBefore w:val="0"/>
        <w:widowControl w:val="0"/>
        <w:kinsoku/>
        <w:wordWrap w:val="0"/>
        <w:overflowPunct/>
        <w:topLinePunct/>
        <w:autoSpaceDE/>
        <w:autoSpaceDN/>
        <w:bidi w:val="0"/>
        <w:spacing w:line="360" w:lineRule="auto"/>
        <w:ind w:left="418" w:leftChars="199" w:firstLine="60" w:firstLineChars="29"/>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3.2.1投标人、法定代表人未被中国裁判文书网列入行贿犯罪行为。</w:t>
      </w:r>
    </w:p>
    <w:bookmarkEnd w:id="15"/>
    <w:bookmarkEnd w:id="16"/>
    <w:p>
      <w:pPr>
        <w:pStyle w:val="3"/>
        <w:keepNext w:val="0"/>
        <w:keepLines w:val="0"/>
        <w:pageBreakBefore w:val="0"/>
        <w:widowControl w:val="0"/>
        <w:shd w:val="clear"/>
        <w:kinsoku/>
        <w:wordWrap w:val="0"/>
        <w:overflowPunct/>
        <w:topLinePunct/>
        <w:autoSpaceDE/>
        <w:autoSpaceDN/>
        <w:bidi w:val="0"/>
        <w:spacing w:before="0" w:line="360" w:lineRule="auto"/>
        <w:jc w:val="left"/>
        <w:textAlignment w:val="auto"/>
        <w:rPr>
          <w:rFonts w:hint="eastAsia" w:ascii="宋体" w:hAnsi="宋体" w:eastAsia="宋体" w:cs="宋体"/>
          <w:b w:val="0"/>
          <w:bCs/>
          <w:color w:val="auto"/>
          <w:sz w:val="21"/>
          <w:szCs w:val="21"/>
          <w:highlight w:val="none"/>
        </w:rPr>
      </w:pPr>
      <w:bookmarkStart w:id="17" w:name="_Toc35393623"/>
      <w:bookmarkStart w:id="18" w:name="_Toc35393792"/>
      <w:r>
        <w:rPr>
          <w:rFonts w:hint="eastAsia" w:ascii="宋体" w:hAnsi="宋体" w:eastAsia="宋体" w:cs="宋体"/>
          <w:b w:val="0"/>
          <w:bCs/>
          <w:color w:val="auto"/>
          <w:sz w:val="21"/>
          <w:szCs w:val="21"/>
          <w:highlight w:val="none"/>
        </w:rPr>
        <w:t>三、获取招标文件</w:t>
      </w:r>
      <w:bookmarkEnd w:id="17"/>
      <w:bookmarkEnd w:id="18"/>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1.时间：</w:t>
      </w:r>
      <w:r>
        <w:rPr>
          <w:rFonts w:hint="eastAsia" w:ascii="宋体" w:hAnsi="宋体" w:eastAsia="宋体" w:cs="宋体"/>
          <w:b w:val="0"/>
          <w:bCs/>
          <w:color w:val="auto"/>
          <w:sz w:val="21"/>
          <w:szCs w:val="21"/>
          <w:highlight w:val="none"/>
          <w:lang w:val="en-US" w:eastAsia="zh-CN"/>
        </w:rPr>
        <w:t>2023</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日至</w:t>
      </w:r>
      <w:r>
        <w:rPr>
          <w:rFonts w:hint="eastAsia" w:ascii="宋体" w:hAnsi="宋体" w:eastAsia="宋体" w:cs="宋体"/>
          <w:b w:val="0"/>
          <w:bCs/>
          <w:color w:val="auto"/>
          <w:sz w:val="21"/>
          <w:szCs w:val="21"/>
          <w:highlight w:val="none"/>
          <w:lang w:val="en-US" w:eastAsia="zh-CN"/>
        </w:rPr>
        <w:t>2023</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日，每天上午</w:t>
      </w:r>
      <w:r>
        <w:rPr>
          <w:rFonts w:hint="eastAsia" w:ascii="宋体" w:hAnsi="宋体" w:eastAsia="宋体" w:cs="宋体"/>
          <w:b w:val="0"/>
          <w:bCs/>
          <w:color w:val="auto"/>
          <w:sz w:val="21"/>
          <w:szCs w:val="21"/>
          <w:highlight w:val="none"/>
          <w:lang w:val="en-US" w:eastAsia="zh-CN"/>
        </w:rPr>
        <w:t>09：00</w:t>
      </w:r>
      <w:r>
        <w:rPr>
          <w:rFonts w:hint="eastAsia" w:ascii="宋体" w:hAnsi="宋体" w:eastAsia="宋体" w:cs="宋体"/>
          <w:b w:val="0"/>
          <w:bCs/>
          <w:color w:val="auto"/>
          <w:sz w:val="21"/>
          <w:szCs w:val="21"/>
          <w:highlight w:val="none"/>
        </w:rPr>
        <w:t>至</w:t>
      </w:r>
      <w:r>
        <w:rPr>
          <w:rFonts w:hint="eastAsia" w:ascii="宋体" w:hAnsi="宋体" w:eastAsia="宋体" w:cs="宋体"/>
          <w:b w:val="0"/>
          <w:bCs/>
          <w:color w:val="auto"/>
          <w:sz w:val="21"/>
          <w:szCs w:val="21"/>
          <w:highlight w:val="none"/>
          <w:lang w:val="en-US" w:eastAsia="zh-CN"/>
        </w:rPr>
        <w:t>12：00</w:t>
      </w:r>
      <w:r>
        <w:rPr>
          <w:rFonts w:hint="eastAsia" w:ascii="宋体" w:hAnsi="宋体" w:eastAsia="宋体" w:cs="宋体"/>
          <w:b w:val="0"/>
          <w:bCs/>
          <w:color w:val="auto"/>
          <w:sz w:val="21"/>
          <w:szCs w:val="21"/>
          <w:highlight w:val="none"/>
        </w:rPr>
        <w:t>，下午</w:t>
      </w:r>
      <w:r>
        <w:rPr>
          <w:rFonts w:hint="eastAsia" w:ascii="宋体" w:hAnsi="宋体" w:eastAsia="宋体" w:cs="宋体"/>
          <w:b w:val="0"/>
          <w:bCs/>
          <w:color w:val="auto"/>
          <w:sz w:val="21"/>
          <w:szCs w:val="21"/>
          <w:highlight w:val="none"/>
          <w:lang w:val="en-US" w:eastAsia="zh-CN"/>
        </w:rPr>
        <w:t>12：00</w:t>
      </w:r>
      <w:r>
        <w:rPr>
          <w:rFonts w:hint="eastAsia" w:ascii="宋体" w:hAnsi="宋体" w:eastAsia="宋体" w:cs="宋体"/>
          <w:b w:val="0"/>
          <w:bCs/>
          <w:color w:val="auto"/>
          <w:sz w:val="21"/>
          <w:szCs w:val="21"/>
          <w:highlight w:val="none"/>
        </w:rPr>
        <w:t>至</w:t>
      </w:r>
      <w:r>
        <w:rPr>
          <w:rFonts w:hint="eastAsia" w:ascii="宋体" w:hAnsi="宋体" w:eastAsia="宋体" w:cs="宋体"/>
          <w:b w:val="0"/>
          <w:bCs/>
          <w:color w:val="auto"/>
          <w:sz w:val="21"/>
          <w:szCs w:val="21"/>
          <w:highlight w:val="none"/>
          <w:lang w:val="en-US" w:eastAsia="zh-CN"/>
        </w:rPr>
        <w:t>17：00</w:t>
      </w:r>
      <w:r>
        <w:rPr>
          <w:rFonts w:hint="eastAsia" w:ascii="宋体" w:hAnsi="宋体" w:eastAsia="宋体" w:cs="宋体"/>
          <w:b w:val="0"/>
          <w:bCs/>
          <w:color w:val="auto"/>
          <w:sz w:val="21"/>
          <w:szCs w:val="21"/>
          <w:highlight w:val="none"/>
        </w:rPr>
        <w:t>（北京时间，法定节假日除外）。</w:t>
      </w:r>
    </w:p>
    <w:p>
      <w:pPr>
        <w:keepNext w:val="0"/>
        <w:keepLines w:val="0"/>
        <w:pageBreakBefore w:val="0"/>
        <w:widowControl w:val="0"/>
        <w:shd w:val="clear"/>
        <w:kinsoku/>
        <w:wordWrap w:val="0"/>
        <w:overflowPunct/>
        <w:topLinePunct/>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2.地点：北京市政府采购电子交易平台（http://zbcg-bjzc.zhongcy.com/bjczj-portal-site/#/home）。</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bookmarkStart w:id="19" w:name="_Toc28359005"/>
      <w:bookmarkStart w:id="20" w:name="_Toc28359082"/>
      <w:bookmarkStart w:id="21" w:name="_Toc35393624"/>
      <w:bookmarkStart w:id="22" w:name="_Toc35393793"/>
      <w:r>
        <w:rPr>
          <w:rFonts w:hint="eastAsia" w:ascii="宋体" w:hAnsi="宋体" w:eastAsia="宋体" w:cs="宋体"/>
          <w:b w:val="0"/>
          <w:bCs/>
          <w:color w:val="auto"/>
          <w:sz w:val="21"/>
          <w:szCs w:val="21"/>
          <w:highlight w:val="none"/>
        </w:rPr>
        <w:t>3.方式：供应商使用CA数字证书或电子营业执照登录北京市政府采购电子交易平台（http://zbcg-bjzc.zhongcy.com/bjczj-portal-site/index.html#/home）获取电子版招标文件。</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售价：0元。</w:t>
      </w:r>
    </w:p>
    <w:p>
      <w:pPr>
        <w:pStyle w:val="3"/>
        <w:keepNext w:val="0"/>
        <w:keepLines w:val="0"/>
        <w:pageBreakBefore w:val="0"/>
        <w:widowControl w:val="0"/>
        <w:shd w:val="clear"/>
        <w:kinsoku/>
        <w:wordWrap w:val="0"/>
        <w:overflowPunct/>
        <w:topLinePunct/>
        <w:autoSpaceDE/>
        <w:autoSpaceDN/>
        <w:bidi w:val="0"/>
        <w:spacing w:before="0"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四、提交投标文件</w:t>
      </w:r>
      <w:bookmarkEnd w:id="19"/>
      <w:bookmarkEnd w:id="20"/>
      <w:r>
        <w:rPr>
          <w:rFonts w:hint="eastAsia" w:ascii="宋体" w:hAnsi="宋体" w:eastAsia="宋体" w:cs="宋体"/>
          <w:b w:val="0"/>
          <w:bCs/>
          <w:color w:val="auto"/>
          <w:sz w:val="21"/>
          <w:szCs w:val="21"/>
          <w:highlight w:val="none"/>
        </w:rPr>
        <w:t>截止时间、开标时间和地点</w:t>
      </w:r>
      <w:bookmarkEnd w:id="21"/>
      <w:bookmarkEnd w:id="22"/>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投标截止时间、开标时间：</w:t>
      </w:r>
      <w:r>
        <w:rPr>
          <w:rFonts w:hint="eastAsia" w:ascii="宋体" w:hAnsi="宋体" w:cs="宋体"/>
          <w:b w:val="0"/>
          <w:bCs/>
          <w:color w:val="auto"/>
          <w:sz w:val="21"/>
          <w:szCs w:val="21"/>
          <w:highlight w:val="none"/>
          <w:lang w:val="en-US" w:eastAsia="zh-CN"/>
        </w:rPr>
        <w:t>2024年01月15日09点30分</w:t>
      </w:r>
      <w:r>
        <w:rPr>
          <w:rFonts w:hint="eastAsia" w:ascii="宋体" w:hAnsi="宋体" w:eastAsia="宋体" w:cs="宋体"/>
          <w:b w:val="0"/>
          <w:bCs/>
          <w:color w:val="auto"/>
          <w:sz w:val="21"/>
          <w:szCs w:val="21"/>
          <w:highlight w:val="none"/>
        </w:rPr>
        <w:t>（北京时间）。</w:t>
      </w:r>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lang w:val="zh-TW" w:bidi="ar"/>
        </w:rPr>
      </w:pPr>
      <w:r>
        <w:rPr>
          <w:rFonts w:hint="eastAsia" w:ascii="宋体" w:hAnsi="宋体" w:eastAsia="宋体" w:cs="宋体"/>
          <w:b w:val="0"/>
          <w:bCs/>
          <w:color w:val="auto"/>
          <w:sz w:val="21"/>
          <w:szCs w:val="21"/>
          <w:highlight w:val="none"/>
          <w:lang w:bidi="ar"/>
        </w:rPr>
        <w:t>地点：北京市顺义区复兴东街3号院顺义区政务服务中心6号电梯厅二层开标</w:t>
      </w:r>
      <w:r>
        <w:rPr>
          <w:rFonts w:hint="eastAsia" w:ascii="宋体" w:hAnsi="宋体" w:eastAsia="宋体" w:cs="宋体"/>
          <w:b w:val="0"/>
          <w:bCs/>
          <w:color w:val="auto"/>
          <w:sz w:val="21"/>
          <w:szCs w:val="21"/>
          <w:highlight w:val="none"/>
          <w:lang w:val="en-US" w:eastAsia="zh-CN" w:bidi="ar"/>
        </w:rPr>
        <w:t>区（具</w:t>
      </w:r>
      <w:r>
        <w:rPr>
          <w:rFonts w:hint="eastAsia" w:ascii="宋体" w:hAnsi="宋体" w:eastAsia="宋体" w:cs="宋体"/>
          <w:b w:val="0"/>
          <w:bCs/>
          <w:sz w:val="21"/>
          <w:szCs w:val="21"/>
          <w:highlight w:val="none"/>
          <w:lang w:val="en-US" w:eastAsia="zh-CN" w:bidi="ar"/>
        </w:rPr>
        <w:t>体开标室见当日大屏幕）</w:t>
      </w:r>
      <w:r>
        <w:rPr>
          <w:rFonts w:hint="eastAsia" w:ascii="宋体" w:hAnsi="宋体" w:eastAsia="宋体" w:cs="宋体"/>
          <w:b w:val="0"/>
          <w:bCs/>
          <w:sz w:val="21"/>
          <w:szCs w:val="21"/>
          <w:highlight w:val="none"/>
          <w:lang w:val="zh-TW" w:bidi="ar"/>
        </w:rPr>
        <w:t>。</w:t>
      </w:r>
    </w:p>
    <w:p>
      <w:pPr>
        <w:pStyle w:val="3"/>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sz w:val="21"/>
          <w:szCs w:val="21"/>
          <w:highlight w:val="none"/>
        </w:rPr>
      </w:pPr>
      <w:bookmarkStart w:id="23" w:name="_Toc28359007"/>
      <w:bookmarkStart w:id="24" w:name="_Toc28359084"/>
      <w:bookmarkStart w:id="25" w:name="_Toc35393794"/>
      <w:bookmarkStart w:id="26" w:name="_Toc35393625"/>
      <w:r>
        <w:rPr>
          <w:rFonts w:hint="eastAsia" w:ascii="宋体" w:hAnsi="宋体" w:eastAsia="宋体" w:cs="宋体"/>
          <w:b w:val="0"/>
          <w:bCs/>
          <w:sz w:val="21"/>
          <w:szCs w:val="21"/>
          <w:highlight w:val="none"/>
        </w:rPr>
        <w:t>五、公告期限</w:t>
      </w:r>
      <w:bookmarkEnd w:id="23"/>
      <w:bookmarkEnd w:id="24"/>
      <w:bookmarkEnd w:id="25"/>
      <w:bookmarkEnd w:id="26"/>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自本公告发布之日起5个工作日。</w:t>
      </w:r>
    </w:p>
    <w:p>
      <w:pPr>
        <w:pStyle w:val="3"/>
        <w:keepNext w:val="0"/>
        <w:keepLines w:val="0"/>
        <w:pageBreakBefore w:val="0"/>
        <w:widowControl w:val="0"/>
        <w:numPr>
          <w:ilvl w:val="0"/>
          <w:numId w:val="0"/>
        </w:numPr>
        <w:kinsoku/>
        <w:wordWrap w:val="0"/>
        <w:overflowPunct/>
        <w:topLinePunct/>
        <w:autoSpaceDE/>
        <w:autoSpaceDN/>
        <w:bidi w:val="0"/>
        <w:spacing w:before="0" w:line="360" w:lineRule="auto"/>
        <w:jc w:val="left"/>
        <w:textAlignment w:val="auto"/>
        <w:rPr>
          <w:rFonts w:hint="eastAsia" w:ascii="宋体" w:hAnsi="宋体" w:eastAsia="宋体" w:cs="宋体"/>
          <w:b w:val="0"/>
          <w:bCs/>
          <w:sz w:val="21"/>
          <w:szCs w:val="21"/>
          <w:highlight w:val="none"/>
        </w:rPr>
      </w:pPr>
      <w:bookmarkStart w:id="27" w:name="_Toc35393626"/>
      <w:bookmarkStart w:id="28" w:name="_Toc35393795"/>
      <w:r>
        <w:rPr>
          <w:rFonts w:hint="eastAsia" w:ascii="宋体" w:hAnsi="宋体" w:eastAsia="宋体" w:cs="宋体"/>
          <w:b w:val="0"/>
          <w:bCs/>
          <w:sz w:val="21"/>
          <w:szCs w:val="21"/>
          <w:highlight w:val="none"/>
          <w:lang w:val="en-US" w:eastAsia="zh-CN"/>
        </w:rPr>
        <w:t>六</w:t>
      </w:r>
      <w:r>
        <w:rPr>
          <w:rFonts w:hint="eastAsia" w:ascii="宋体" w:hAnsi="宋体" w:eastAsia="宋体" w:cs="宋体"/>
          <w:b w:val="0"/>
          <w:bCs/>
          <w:sz w:val="21"/>
          <w:szCs w:val="21"/>
          <w:highlight w:val="none"/>
        </w:rPr>
        <w:t>、其他补充事宜</w:t>
      </w:r>
      <w:bookmarkEnd w:id="27"/>
      <w:bookmarkEnd w:id="28"/>
    </w:p>
    <w:p>
      <w:pPr>
        <w:keepNext w:val="0"/>
        <w:keepLines w:val="0"/>
        <w:pageBreakBefore w:val="0"/>
        <w:widowControl w:val="0"/>
        <w:shd w:val="clear"/>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lang w:bidi="ar"/>
        </w:rPr>
      </w:pPr>
      <w:bookmarkStart w:id="29" w:name="_Toc28359008"/>
      <w:bookmarkStart w:id="30" w:name="_Toc35393796"/>
      <w:bookmarkStart w:id="31" w:name="_Toc35393627"/>
      <w:bookmarkStart w:id="32" w:name="_Toc28359085"/>
      <w:r>
        <w:rPr>
          <w:rFonts w:hint="eastAsia" w:ascii="宋体" w:hAnsi="宋体" w:eastAsia="宋体" w:cs="宋体"/>
          <w:b w:val="0"/>
          <w:bCs/>
          <w:color w:val="auto"/>
          <w:sz w:val="21"/>
          <w:szCs w:val="21"/>
          <w:highlight w:val="none"/>
        </w:rPr>
        <w:t>1、本项目需要落实的政府采购政策：</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1）执行《财政部发展改革委关于印发《节能产品政府采购品目清单》的通知》（财库[2019]19号）；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2）执行《财政部生态环境部关于印发《环境标志产品政府采购品目清单》的通知（财库[2019]18号）；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3）执行财政部、工业和信息化部关于印发《政府采购促进中小企业发展管理办法》的通知财库〔2020〕46号；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4）执行《财政部关于开展政府采购信用担保试点工作方案》（财库[2011]124号）；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5）执行《财政部、司法部关于政府采购支持监狱企业发展有关问题的通知》（财库[2014]68号）；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6）执行《关于促进残疾人就业政府采购政策的通知》（财库〔2017〕141号）；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7）执行《财政部关于在政府采购活动中查询及使用信用记录有关问题的通知》（财库[2016]125号）等相关政策。</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8）执行《北京市财政局关于落实好政府采购支持中小企业发展的通知》（京财〔2022〕1143号）。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9）执行《关于进一步加大政府采购支持中小企业力度的通知》（财库〔2022〕19号）。</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2、供应商需递交电子投标文件1份。</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w:t>
      </w:r>
      <w:r>
        <w:rPr>
          <w:rFonts w:hint="eastAsia" w:ascii="宋体" w:hAnsi="宋体" w:eastAsia="宋体" w:cs="宋体"/>
          <w:b w:val="0"/>
          <w:bCs/>
          <w:color w:val="auto"/>
          <w:sz w:val="21"/>
          <w:szCs w:val="21"/>
          <w:highlight w:val="none"/>
          <w:shd w:val="clear" w:color="auto" w:fill="FFFFFF"/>
          <w:lang w:val="en-US" w:eastAsia="zh-CN"/>
        </w:rPr>
        <w:t>1</w:t>
      </w:r>
      <w:r>
        <w:rPr>
          <w:rFonts w:hint="eastAsia" w:ascii="宋体" w:hAnsi="宋体" w:eastAsia="宋体" w:cs="宋体"/>
          <w:b w:val="0"/>
          <w:bCs/>
          <w:color w:val="auto"/>
          <w:sz w:val="21"/>
          <w:szCs w:val="21"/>
          <w:highlight w:val="none"/>
          <w:shd w:val="clear" w:color="auto" w:fill="FFFFFF"/>
        </w:rPr>
        <w:t>）供应商的法定代表人或其委托代理人，应携带加密电子投标文件相对应的移动数字证书CA</w:t>
      </w:r>
      <w:r>
        <w:rPr>
          <w:rFonts w:hint="eastAsia" w:ascii="宋体" w:hAnsi="宋体" w:eastAsia="宋体" w:cs="宋体"/>
          <w:b w:val="0"/>
          <w:bCs/>
          <w:color w:val="auto"/>
          <w:sz w:val="21"/>
          <w:szCs w:val="21"/>
          <w:highlight w:val="none"/>
          <w:shd w:val="clear" w:color="auto" w:fill="FFFFFF"/>
          <w:lang w:eastAsia="zh-CN"/>
        </w:rPr>
        <w:t>，</w:t>
      </w:r>
      <w:r>
        <w:rPr>
          <w:rFonts w:hint="eastAsia" w:ascii="宋体" w:hAnsi="宋体" w:eastAsia="宋体" w:cs="宋体"/>
          <w:b w:val="0"/>
          <w:bCs/>
          <w:color w:val="auto"/>
          <w:sz w:val="21"/>
          <w:szCs w:val="21"/>
          <w:highlight w:val="none"/>
          <w:shd w:val="clear" w:color="auto" w:fill="FFFFFF"/>
        </w:rPr>
        <w:t>准时到现场参加开标。</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w:t>
      </w:r>
      <w:r>
        <w:rPr>
          <w:rFonts w:hint="eastAsia" w:ascii="宋体" w:hAnsi="宋体" w:eastAsia="宋体" w:cs="宋体"/>
          <w:b w:val="0"/>
          <w:bCs/>
          <w:color w:val="auto"/>
          <w:sz w:val="21"/>
          <w:szCs w:val="21"/>
          <w:highlight w:val="none"/>
          <w:shd w:val="clear" w:color="auto" w:fill="FFFFFF"/>
          <w:lang w:val="en-US" w:eastAsia="zh-CN"/>
        </w:rPr>
        <w:t>2</w:t>
      </w:r>
      <w:r>
        <w:rPr>
          <w:rFonts w:hint="eastAsia" w:ascii="宋体" w:hAnsi="宋体" w:eastAsia="宋体" w:cs="宋体"/>
          <w:b w:val="0"/>
          <w:bCs/>
          <w:color w:val="auto"/>
          <w:sz w:val="21"/>
          <w:szCs w:val="21"/>
          <w:highlight w:val="none"/>
          <w:shd w:val="clear" w:color="auto" w:fill="FFFFFF"/>
        </w:rPr>
        <w:t xml:space="preserve">）不按照文件要求递交电子投标文件的，采购人及该授权采购代理均不予受理。 </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3、电子标相关说明及注意事项</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val="en-US" w:eastAsia="zh-CN"/>
        </w:rPr>
      </w:pPr>
      <w:r>
        <w:rPr>
          <w:rFonts w:hint="eastAsia" w:ascii="宋体" w:hAnsi="宋体" w:eastAsia="宋体" w:cs="宋体"/>
          <w:b w:val="0"/>
          <w:bCs/>
          <w:color w:val="auto"/>
          <w:sz w:val="21"/>
          <w:szCs w:val="21"/>
          <w:highlight w:val="none"/>
          <w:shd w:val="clear" w:color="auto" w:fill="FFFFFF"/>
          <w:lang w:val="en-US" w:eastAsia="zh-CN"/>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val="en-US" w:eastAsia="zh-CN"/>
        </w:rPr>
      </w:pPr>
      <w:r>
        <w:rPr>
          <w:rFonts w:hint="eastAsia" w:ascii="宋体" w:hAnsi="宋体" w:eastAsia="宋体" w:cs="宋体"/>
          <w:b w:val="0"/>
          <w:bCs/>
          <w:color w:val="auto"/>
          <w:sz w:val="21"/>
          <w:szCs w:val="21"/>
          <w:highlight w:val="none"/>
          <w:shd w:val="clear" w:color="auto" w:fill="FFFFFF"/>
          <w:lang w:val="en-US" w:eastAsia="zh-CN"/>
        </w:rPr>
        <w:t>CA数字证书服务热线010-58511086</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val="en-US" w:eastAsia="zh-CN"/>
        </w:rPr>
      </w:pPr>
      <w:r>
        <w:rPr>
          <w:rFonts w:hint="eastAsia" w:ascii="宋体" w:hAnsi="宋体" w:eastAsia="宋体" w:cs="宋体"/>
          <w:b w:val="0"/>
          <w:bCs/>
          <w:color w:val="auto"/>
          <w:sz w:val="21"/>
          <w:szCs w:val="21"/>
          <w:highlight w:val="none"/>
          <w:shd w:val="clear" w:color="auto" w:fill="FFFFFF"/>
          <w:lang w:val="en-US" w:eastAsia="zh-CN"/>
        </w:rPr>
        <w:t>电子营业执照服务热线400-699-7000</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技术支持服务热线010-86483801</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3.1办理CA数字证书或电子营业执照</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供应商登录北京市政府采购电子交易平台查阅用户指南—操作指南—市场主体CA办理操作流程指引/电子营业执照使用指南，按照程序要求办理。</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3.2注册</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供应商登录北京市政府采购电子交易平台用户指南—操作指南—市场主体注册入库操作流程指引进行自助注册绑定。</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3.3驱动、客户端下载</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供应商登录北京市政府采购电子交易平台用户指南—工具下载—招标采购系统文件驱动安装包下载相关驱动。</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供应商登录北京市政府采购电子交易平台用户指南—工具下载—投标文件编制工具下载相关客户端。</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3.4获取电子招标文件</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供应商使用CA数字证书或电子营业执照登录北京市政府采购电子交易平台获取电子招标文件。</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3.5编制电子投标文件</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3.6提交电子投标文件</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供应商应于投标截止时间前在北京市政府采购电子交易平台提交电子投标文件，上传电子投标文件过程中请保持与互联网的连接畅通。</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3.7电子开标</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val="en-US" w:eastAsia="zh-CN"/>
        </w:rPr>
      </w:pPr>
      <w:r>
        <w:rPr>
          <w:rFonts w:hint="eastAsia" w:ascii="宋体" w:hAnsi="宋体" w:eastAsia="宋体" w:cs="宋体"/>
          <w:b w:val="0"/>
          <w:bCs/>
          <w:color w:val="auto"/>
          <w:sz w:val="21"/>
          <w:szCs w:val="21"/>
          <w:highlight w:val="none"/>
          <w:shd w:val="clear" w:color="auto" w:fill="FFFFFF"/>
          <w:lang w:val="en-US" w:eastAsia="zh-CN"/>
        </w:rPr>
        <w:t>（1）供应商</w:t>
      </w:r>
      <w:r>
        <w:rPr>
          <w:rFonts w:hint="eastAsia" w:ascii="宋体" w:hAnsi="宋体" w:eastAsia="宋体" w:cs="宋体"/>
          <w:b w:val="0"/>
          <w:bCs/>
          <w:color w:val="auto"/>
          <w:sz w:val="21"/>
          <w:szCs w:val="21"/>
          <w:highlight w:val="none"/>
          <w:shd w:val="clear" w:color="auto" w:fill="FFFFFF"/>
        </w:rPr>
        <w:t>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w:t>
      </w:r>
      <w:r>
        <w:rPr>
          <w:rFonts w:hint="eastAsia" w:ascii="宋体" w:hAnsi="宋体" w:eastAsia="宋体" w:cs="宋体"/>
          <w:b w:val="0"/>
          <w:bCs/>
          <w:color w:val="auto"/>
          <w:sz w:val="21"/>
          <w:szCs w:val="21"/>
          <w:highlight w:val="none"/>
          <w:shd w:val="clear" w:color="auto" w:fill="FFFFFF"/>
          <w:lang w:eastAsia="zh-CN"/>
        </w:rPr>
        <w:t>，</w:t>
      </w:r>
      <w:r>
        <w:rPr>
          <w:rFonts w:hint="eastAsia" w:ascii="宋体" w:hAnsi="宋体" w:eastAsia="宋体" w:cs="宋体"/>
          <w:b w:val="0"/>
          <w:bCs/>
          <w:color w:val="auto"/>
          <w:sz w:val="21"/>
          <w:szCs w:val="21"/>
          <w:highlight w:val="none"/>
          <w:shd w:val="clear" w:color="auto" w:fill="FFFFFF"/>
          <w:lang w:val="en-US" w:eastAsia="zh-CN"/>
        </w:rPr>
        <w:t>在指定开标地点进行开标。</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val="en-US" w:eastAsia="zh-CN"/>
        </w:rPr>
      </w:pPr>
      <w:r>
        <w:rPr>
          <w:rFonts w:hint="eastAsia" w:ascii="宋体" w:hAnsi="宋体" w:eastAsia="宋体" w:cs="宋体"/>
          <w:b w:val="0"/>
          <w:bCs/>
          <w:color w:val="auto"/>
          <w:sz w:val="21"/>
          <w:szCs w:val="21"/>
          <w:highlight w:val="none"/>
          <w:shd w:val="clear" w:color="auto" w:fill="FFFFFF"/>
        </w:rPr>
        <w:t>（2）在开标当天供应商签到完成且开标时间到达之后对已在系统中递交且完成签到的供应商</w:t>
      </w:r>
      <w:r>
        <w:rPr>
          <w:rFonts w:hint="eastAsia" w:ascii="宋体" w:hAnsi="宋体" w:eastAsia="宋体" w:cs="宋体"/>
          <w:b w:val="0"/>
          <w:bCs/>
          <w:color w:val="auto"/>
          <w:sz w:val="21"/>
          <w:szCs w:val="21"/>
          <w:highlight w:val="none"/>
          <w:shd w:val="clear" w:color="auto" w:fill="FFFFFF"/>
          <w:lang w:val="en-US" w:eastAsia="zh-CN"/>
        </w:rPr>
        <w:t>的投标</w:t>
      </w:r>
      <w:r>
        <w:rPr>
          <w:rFonts w:hint="eastAsia" w:ascii="宋体" w:hAnsi="宋体" w:eastAsia="宋体" w:cs="宋体"/>
          <w:b w:val="0"/>
          <w:bCs/>
          <w:color w:val="auto"/>
          <w:sz w:val="21"/>
          <w:szCs w:val="21"/>
          <w:highlight w:val="none"/>
          <w:shd w:val="clear" w:color="auto" w:fill="FFFFFF"/>
        </w:rPr>
        <w:t>文件</w:t>
      </w:r>
      <w:r>
        <w:rPr>
          <w:rFonts w:hint="eastAsia" w:ascii="宋体" w:hAnsi="宋体" w:eastAsia="宋体" w:cs="宋体"/>
          <w:b w:val="0"/>
          <w:bCs/>
          <w:color w:val="auto"/>
          <w:sz w:val="21"/>
          <w:szCs w:val="21"/>
          <w:highlight w:val="none"/>
          <w:shd w:val="clear" w:color="auto" w:fill="FFFFFF"/>
          <w:lang w:val="en-US" w:eastAsia="zh-CN"/>
        </w:rPr>
        <w:t>进行</w:t>
      </w:r>
      <w:r>
        <w:rPr>
          <w:rFonts w:hint="eastAsia" w:ascii="宋体" w:hAnsi="宋体" w:eastAsia="宋体" w:cs="宋体"/>
          <w:b w:val="0"/>
          <w:bCs/>
          <w:color w:val="auto"/>
          <w:sz w:val="21"/>
          <w:szCs w:val="21"/>
          <w:highlight w:val="none"/>
          <w:shd w:val="clear" w:color="auto" w:fill="FFFFFF"/>
        </w:rPr>
        <w:t>解密</w:t>
      </w:r>
      <w:r>
        <w:rPr>
          <w:rFonts w:hint="eastAsia" w:ascii="宋体" w:hAnsi="宋体" w:eastAsia="宋体" w:cs="宋体"/>
          <w:b w:val="0"/>
          <w:bCs/>
          <w:color w:val="auto"/>
          <w:sz w:val="21"/>
          <w:szCs w:val="21"/>
          <w:highlight w:val="none"/>
          <w:shd w:val="clear" w:color="auto" w:fill="FFFFFF"/>
          <w:lang w:eastAsia="zh-CN"/>
        </w:rPr>
        <w:t>，</w:t>
      </w:r>
      <w:r>
        <w:rPr>
          <w:rFonts w:hint="eastAsia" w:ascii="宋体" w:hAnsi="宋体" w:eastAsia="宋体" w:cs="宋体"/>
          <w:b w:val="0"/>
          <w:bCs/>
          <w:color w:val="auto"/>
          <w:sz w:val="21"/>
          <w:szCs w:val="21"/>
          <w:highlight w:val="none"/>
          <w:shd w:val="clear" w:color="auto" w:fill="FFFFFF"/>
          <w:lang w:val="en-US" w:eastAsia="zh-CN"/>
        </w:rPr>
        <w:t>解密需使用CA数字证书。</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w:t>
      </w:r>
      <w:r>
        <w:rPr>
          <w:rFonts w:hint="eastAsia" w:ascii="宋体" w:hAnsi="宋体" w:eastAsia="宋体" w:cs="宋体"/>
          <w:b w:val="0"/>
          <w:bCs/>
          <w:color w:val="auto"/>
          <w:sz w:val="21"/>
          <w:szCs w:val="21"/>
          <w:highlight w:val="none"/>
          <w:shd w:val="clear" w:color="auto" w:fill="FFFFFF"/>
          <w:lang w:val="en-US" w:eastAsia="zh-CN"/>
        </w:rPr>
        <w:t>3</w:t>
      </w:r>
      <w:r>
        <w:rPr>
          <w:rFonts w:hint="eastAsia" w:ascii="宋体" w:hAnsi="宋体" w:eastAsia="宋体" w:cs="宋体"/>
          <w:b w:val="0"/>
          <w:bCs/>
          <w:color w:val="auto"/>
          <w:sz w:val="21"/>
          <w:szCs w:val="21"/>
          <w:highlight w:val="none"/>
          <w:shd w:val="clear" w:color="auto" w:fill="FFFFFF"/>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w:t>
      </w:r>
      <w:r>
        <w:rPr>
          <w:rFonts w:hint="eastAsia" w:ascii="宋体" w:hAnsi="宋体" w:eastAsia="宋体" w:cs="宋体"/>
          <w:b w:val="0"/>
          <w:bCs/>
          <w:color w:val="auto"/>
          <w:sz w:val="21"/>
          <w:szCs w:val="21"/>
          <w:highlight w:val="none"/>
          <w:shd w:val="clear" w:color="auto" w:fill="FFFFFF"/>
          <w:lang w:val="en-US" w:eastAsia="zh-CN"/>
        </w:rPr>
        <w:t>4</w:t>
      </w:r>
      <w:r>
        <w:rPr>
          <w:rFonts w:hint="eastAsia" w:ascii="宋体" w:hAnsi="宋体" w:eastAsia="宋体" w:cs="宋体"/>
          <w:b w:val="0"/>
          <w:bCs/>
          <w:color w:val="auto"/>
          <w:sz w:val="21"/>
          <w:szCs w:val="21"/>
          <w:highlight w:val="none"/>
          <w:shd w:val="clear" w:color="auto" w:fill="FFFFFF"/>
        </w:rPr>
        <w:t>）若供应商已申请多把数字证书，请注意使用差别，确保制作的投标文件和开标解密时使用的数字证书一致，造成解密失败的，由供应商负责。</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w:t>
      </w:r>
      <w:r>
        <w:rPr>
          <w:rFonts w:hint="eastAsia" w:ascii="宋体" w:hAnsi="宋体" w:eastAsia="宋体" w:cs="宋体"/>
          <w:b w:val="0"/>
          <w:bCs/>
          <w:color w:val="auto"/>
          <w:sz w:val="21"/>
          <w:szCs w:val="21"/>
          <w:highlight w:val="none"/>
          <w:shd w:val="clear" w:color="auto" w:fill="FFFFFF"/>
          <w:lang w:val="en-US" w:eastAsia="zh-CN"/>
        </w:rPr>
        <w:t>5</w:t>
      </w:r>
      <w:r>
        <w:rPr>
          <w:rFonts w:hint="eastAsia" w:ascii="宋体" w:hAnsi="宋体" w:eastAsia="宋体" w:cs="宋体"/>
          <w:b w:val="0"/>
          <w:bCs/>
          <w:color w:val="auto"/>
          <w:sz w:val="21"/>
          <w:szCs w:val="21"/>
          <w:highlight w:val="none"/>
          <w:shd w:val="clear" w:color="auto" w:fill="FFFFFF"/>
        </w:rPr>
        <w:t>）供应商应充分考虑到网络及系统平台可能存在的非正常情况，在投标文件递交截止时间之前完成上传。</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rPr>
        <w:t>4、公告媒体：本公告在中国政府采购网、北京市政府采购网发布。</w:t>
      </w:r>
    </w:p>
    <w:p>
      <w:pPr>
        <w:pStyle w:val="39"/>
        <w:keepNext w:val="0"/>
        <w:keepLines w:val="0"/>
        <w:pageBreakBefore w:val="0"/>
        <w:widowControl w:val="0"/>
        <w:shd w:val="clear" w:color="auto"/>
        <w:kinsoku/>
        <w:wordWrap w:val="0"/>
        <w:overflowPunct/>
        <w:topLinePunct/>
        <w:autoSpaceDE/>
        <w:autoSpaceDN/>
        <w:bidi w:val="0"/>
        <w:spacing w:before="0" w:beforeAutospacing="0" w:after="0" w:afterAutospacing="0" w:line="360" w:lineRule="auto"/>
        <w:ind w:firstLine="420" w:firstLineChars="200"/>
        <w:textAlignment w:val="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5</w:t>
      </w:r>
      <w:r>
        <w:rPr>
          <w:rFonts w:hint="eastAsia" w:ascii="宋体" w:hAnsi="宋体" w:eastAsia="宋体" w:cs="宋体"/>
          <w:b w:val="0"/>
          <w:bCs/>
          <w:color w:val="auto"/>
          <w:sz w:val="21"/>
          <w:szCs w:val="21"/>
          <w:highlight w:val="none"/>
          <w:shd w:val="clear" w:color="auto" w:fill="FFFFFF"/>
        </w:rPr>
        <w:t>、中标人在领取中标通知书的当日，需提供加盖单位公章的纸质版投标文件一正一副。（须与上传电子交易平台的电子文件内容保持一致）</w:t>
      </w:r>
    </w:p>
    <w:p>
      <w:pPr>
        <w:pStyle w:val="3"/>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七、对本次招标提出询问，请按以下方式联系。</w:t>
      </w:r>
      <w:bookmarkEnd w:id="29"/>
      <w:bookmarkEnd w:id="30"/>
      <w:bookmarkEnd w:id="31"/>
      <w:bookmarkEnd w:id="32"/>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1.采购人信息</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lang w:eastAsia="zh-CN"/>
        </w:rPr>
      </w:pPr>
      <w:bookmarkStart w:id="33" w:name="_Toc28359086"/>
      <w:bookmarkStart w:id="34" w:name="_Toc28359009"/>
      <w:r>
        <w:rPr>
          <w:rFonts w:hint="eastAsia" w:ascii="宋体" w:hAnsi="宋体" w:eastAsia="宋体" w:cs="宋体"/>
          <w:b w:val="0"/>
          <w:bCs/>
          <w:sz w:val="21"/>
          <w:szCs w:val="21"/>
          <w:highlight w:val="none"/>
        </w:rPr>
        <w:t xml:space="preserve">名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称：</w:t>
      </w:r>
      <w:r>
        <w:rPr>
          <w:rFonts w:hint="eastAsia" w:ascii="宋体" w:hAnsi="宋体" w:eastAsia="宋体" w:cs="宋体"/>
          <w:b w:val="0"/>
          <w:bCs/>
          <w:sz w:val="21"/>
          <w:szCs w:val="21"/>
          <w:highlight w:val="none"/>
          <w:lang w:eastAsia="zh-CN"/>
        </w:rPr>
        <w:t>北京市顺义区天竺镇人民政府</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地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址：</w:t>
      </w:r>
      <w:r>
        <w:rPr>
          <w:rFonts w:hint="eastAsia" w:ascii="宋体" w:hAnsi="宋体" w:eastAsia="宋体" w:cs="宋体"/>
          <w:b w:val="0"/>
          <w:bCs/>
          <w:sz w:val="21"/>
          <w:szCs w:val="21"/>
          <w:highlight w:val="none"/>
          <w:u w:val="none"/>
          <w:lang w:eastAsia="zh-CN"/>
        </w:rPr>
        <w:t>北京市顺义区天竺镇府右街6号</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联系方式</w:t>
      </w:r>
      <w:r>
        <w:rPr>
          <w:rFonts w:hint="eastAsia" w:ascii="宋体" w:hAnsi="宋体" w:eastAsia="宋体" w:cs="宋体"/>
          <w:b w:val="0"/>
          <w:bCs/>
          <w:sz w:val="21"/>
          <w:szCs w:val="21"/>
          <w:highlight w:val="none"/>
          <w:lang w:val="en-US" w:eastAsia="zh-CN"/>
        </w:rPr>
        <w:t>：刘博/80463066</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2.采购代理机构信息</w:t>
      </w:r>
      <w:bookmarkEnd w:id="33"/>
      <w:bookmarkEnd w:id="34"/>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bookmarkStart w:id="35" w:name="_Toc28359087"/>
      <w:bookmarkStart w:id="36" w:name="_Toc28359010"/>
      <w:r>
        <w:rPr>
          <w:rFonts w:hint="eastAsia" w:ascii="宋体" w:hAnsi="宋体" w:eastAsia="宋体" w:cs="宋体"/>
          <w:b w:val="0"/>
          <w:bCs/>
          <w:sz w:val="21"/>
          <w:szCs w:val="21"/>
          <w:highlight w:val="none"/>
        </w:rPr>
        <w:t xml:space="preserve">名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称：北京中盛宇工程管理有限公司</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地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 址：</w:t>
      </w:r>
      <w:r>
        <w:rPr>
          <w:rFonts w:hint="eastAsia" w:ascii="宋体" w:hAnsi="宋体" w:eastAsia="宋体" w:cs="宋体"/>
          <w:b w:val="0"/>
          <w:bCs/>
          <w:sz w:val="21"/>
          <w:szCs w:val="21"/>
          <w:highlight w:val="none"/>
          <w:lang w:eastAsia="zh-CN"/>
        </w:rPr>
        <w:t>北京市顺义区双丰街道顺安南路12号一区26号楼北侧三层</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联系方式：段金磊</w:t>
      </w:r>
      <w:r>
        <w:rPr>
          <w:rFonts w:hint="eastAsia" w:ascii="宋体" w:hAnsi="宋体" w:eastAsia="宋体" w:cs="宋体"/>
          <w:b w:val="0"/>
          <w:bCs/>
          <w:sz w:val="21"/>
          <w:szCs w:val="21"/>
          <w:highlight w:val="none"/>
          <w:lang w:val="en-US" w:eastAsia="zh-CN"/>
        </w:rPr>
        <w:t>/</w:t>
      </w:r>
      <w:r>
        <w:rPr>
          <w:rFonts w:hint="eastAsia" w:ascii="宋体" w:hAnsi="宋体" w:eastAsia="宋体" w:cs="宋体"/>
          <w:b w:val="0"/>
          <w:bCs/>
          <w:sz w:val="21"/>
          <w:szCs w:val="21"/>
          <w:highlight w:val="none"/>
          <w:lang w:eastAsia="zh-CN"/>
        </w:rPr>
        <w:t>69415773</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3.项目联系方式</w:t>
      </w:r>
      <w:bookmarkEnd w:id="35"/>
      <w:bookmarkEnd w:id="36"/>
    </w:p>
    <w:p>
      <w:pPr>
        <w:keepNext w:val="0"/>
        <w:keepLines w:val="0"/>
        <w:pageBreakBefore w:val="0"/>
        <w:widowControl w:val="0"/>
        <w:kinsoku/>
        <w:wordWrap w:val="0"/>
        <w:overflowPunct/>
        <w:topLinePunct/>
        <w:autoSpaceDE/>
        <w:autoSpaceDN/>
        <w:bidi w:val="0"/>
        <w:spacing w:line="360" w:lineRule="auto"/>
        <w:ind w:firstLine="420" w:firstLineChars="200"/>
        <w:jc w:val="both"/>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项目联系人：段金磊</w:t>
      </w:r>
    </w:p>
    <w:p>
      <w:pPr>
        <w:keepNext w:val="0"/>
        <w:keepLines w:val="0"/>
        <w:pageBreakBefore w:val="0"/>
        <w:widowControl w:val="0"/>
        <w:kinsoku/>
        <w:wordWrap w:val="0"/>
        <w:overflowPunct/>
        <w:topLinePunct/>
        <w:autoSpaceDE/>
        <w:autoSpaceDN/>
        <w:bidi w:val="0"/>
        <w:spacing w:line="360" w:lineRule="auto"/>
        <w:ind w:firstLine="420" w:firstLineChars="200"/>
        <w:jc w:val="both"/>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电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话：</w:t>
      </w:r>
      <w:r>
        <w:rPr>
          <w:rFonts w:hint="eastAsia" w:ascii="宋体" w:hAnsi="宋体" w:eastAsia="宋体" w:cs="宋体"/>
          <w:b w:val="0"/>
          <w:bCs/>
          <w:sz w:val="21"/>
          <w:szCs w:val="21"/>
          <w:highlight w:val="none"/>
          <w:lang w:eastAsia="zh-CN"/>
        </w:rPr>
        <w:t>69415773</w:t>
      </w:r>
    </w:p>
    <w:p>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bookmarkStart w:id="37" w:name="_Toc305158854"/>
      <w:bookmarkStart w:id="38" w:name="_Toc226965856"/>
      <w:bookmarkStart w:id="39" w:name="_Toc305158928"/>
      <w:bookmarkStart w:id="40" w:name="_Toc150774783"/>
      <w:bookmarkStart w:id="41" w:name="_Toc28511"/>
      <w:bookmarkStart w:id="42" w:name="_Toc353873938"/>
      <w:bookmarkStart w:id="43" w:name="_Toc264969275"/>
      <w:bookmarkStart w:id="44" w:name="_Toc127161488"/>
      <w:bookmarkStart w:id="45" w:name="_Toc512937850"/>
      <w:bookmarkStart w:id="46" w:name="_Toc265228423"/>
      <w:bookmarkStart w:id="47" w:name="_Toc195842950"/>
      <w:bookmarkStart w:id="48" w:name="_Toc353825548"/>
      <w:bookmarkStart w:id="49" w:name="_Toc127151777"/>
      <w:r>
        <w:rPr>
          <w:rFonts w:hint="eastAsia" w:ascii="宋体" w:hAnsi="宋体" w:eastAsia="宋体" w:cs="宋体"/>
          <w:b w:val="0"/>
          <w:bCs/>
          <w:sz w:val="21"/>
          <w:szCs w:val="21"/>
          <w:highlight w:val="none"/>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pPr>
        <w:pStyle w:val="3"/>
        <w:keepNext w:val="0"/>
        <w:keepLines w:val="0"/>
        <w:pageBreakBefore w:val="0"/>
        <w:widowControl w:val="0"/>
        <w:tabs>
          <w:tab w:val="center" w:pos="4592"/>
          <w:tab w:val="left" w:pos="7860"/>
        </w:tabs>
        <w:kinsoku/>
        <w:wordWrap w:val="0"/>
        <w:overflowPunct/>
        <w:topLinePunct/>
        <w:autoSpaceDE/>
        <w:autoSpaceDN/>
        <w:bidi w:val="0"/>
        <w:spacing w:before="0" w:line="360" w:lineRule="auto"/>
        <w:textAlignment w:val="auto"/>
        <w:rPr>
          <w:rFonts w:hint="eastAsia" w:ascii="宋体" w:hAnsi="宋体" w:eastAsia="宋体" w:cs="宋体"/>
          <w:b w:val="0"/>
          <w:bCs/>
          <w:sz w:val="21"/>
          <w:szCs w:val="21"/>
          <w:highlight w:val="none"/>
        </w:rPr>
      </w:pPr>
      <w:bookmarkStart w:id="50" w:name="_Toc142311021"/>
      <w:bookmarkStart w:id="51" w:name="_Toc151193761"/>
      <w:bookmarkStart w:id="52" w:name="_Toc127161433"/>
      <w:bookmarkStart w:id="53" w:name="_Toc226965709"/>
      <w:bookmarkStart w:id="54" w:name="_Toc226309763"/>
      <w:bookmarkStart w:id="55" w:name="_Toc164229360"/>
      <w:bookmarkStart w:id="56" w:name="_Toc164351613"/>
      <w:bookmarkStart w:id="57" w:name="_Toc127151720"/>
      <w:bookmarkStart w:id="58" w:name="_Toc150774619"/>
      <w:bookmarkStart w:id="59" w:name="_Toc150509270"/>
      <w:bookmarkStart w:id="60" w:name="_Toc151193617"/>
      <w:bookmarkStart w:id="61" w:name="_Toc149720812"/>
      <w:bookmarkStart w:id="62" w:name="_Toc150774724"/>
      <w:bookmarkStart w:id="63" w:name="_Toc151193689"/>
      <w:bookmarkStart w:id="64" w:name="_Toc195842884"/>
      <w:bookmarkStart w:id="65" w:name="_Toc151193833"/>
      <w:bookmarkStart w:id="66" w:name="_Toc226965792"/>
      <w:bookmarkStart w:id="67" w:name="_Toc151190146"/>
      <w:bookmarkStart w:id="68" w:name="_Toc127151519"/>
      <w:bookmarkStart w:id="69" w:name="_Toc150480757"/>
      <w:bookmarkStart w:id="70" w:name="_Toc226337215"/>
      <w:bookmarkStart w:id="71" w:name="_Toc151193907"/>
      <w:bookmarkStart w:id="72" w:name="_Toc164229214"/>
      <w:bookmarkStart w:id="73" w:name="_Toc164608633"/>
      <w:bookmarkStart w:id="74" w:name="_Toc164608788"/>
      <w:bookmarkStart w:id="75" w:name="_Toc520356144"/>
      <w:r>
        <w:rPr>
          <w:rFonts w:hint="eastAsia" w:ascii="宋体" w:hAnsi="宋体" w:eastAsia="宋体" w:cs="宋体"/>
          <w:b w:val="0"/>
          <w:bCs/>
          <w:sz w:val="21"/>
          <w:szCs w:val="21"/>
          <w:highlight w:val="none"/>
        </w:rPr>
        <w:t>投标人须知资料表</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48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本表是对投标人须知的具体补充和修改，如有矛盾，均以本资料表为准。标记</w:t>
      </w: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条款号</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条目</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2.2</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项目属性</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项目属性：</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服务</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2.3</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科研仪器设备</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是否属于科研仪器设备采购项目：</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□是</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2.4</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核心产品</w:t>
            </w:r>
          </w:p>
        </w:tc>
        <w:tc>
          <w:tcPr>
            <w:tcW w:w="7540"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■关于核心产品本项目</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包不适用。</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□本项目</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包为单一产品采购项目。</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□本项目</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包为非单一产品采购项目，核心产品为：</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3.1</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现场考察</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不组织</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□组织，考察时间：</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年</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月</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日</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点</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分</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考察地点：</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开标前答疑会</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不召开</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□召开，召开时间：</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年</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月</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日</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点</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召开地点：</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4.1</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样品</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投标样品递交：</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不需要</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□需要，具体要求如下：</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（1）样品制作的标准和要求：</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（2）是否需要随样品提交相关检测报告：</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□不需要</w:t>
            </w:r>
          </w:p>
          <w:p>
            <w:pPr>
              <w:keepNext w:val="0"/>
              <w:keepLines w:val="0"/>
              <w:pageBreakBefore w:val="0"/>
              <w:widowControl w:val="0"/>
              <w:kinsoku/>
              <w:wordWrap w:val="0"/>
              <w:overflowPunct/>
              <w:topLinePunct/>
              <w:autoSpaceDE/>
              <w:autoSpaceDN/>
              <w:bidi w:val="0"/>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□需要</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（3）样品递交要求：</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（4）未中标人样品退还：</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（5）中标人样品保管、封存及退还：</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（6）其他要求（如有）：</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5.2.5</w:t>
            </w:r>
          </w:p>
        </w:tc>
        <w:tc>
          <w:tcPr>
            <w:tcW w:w="1701" w:type="dxa"/>
            <w:shd w:val="clear" w:color="auto" w:fill="auto"/>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标的所属行业</w:t>
            </w:r>
          </w:p>
        </w:tc>
        <w:tc>
          <w:tcPr>
            <w:tcW w:w="7540" w:type="dxa"/>
            <w:shd w:val="clear" w:color="auto" w:fill="auto"/>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vertAlign w:val="baseline"/>
                      <w:lang w:eastAsia="zh-CN"/>
                    </w:rPr>
                    <w:t>天竺镇网格巡查及运营服务项目</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kern w:val="0"/>
                      <w:sz w:val="21"/>
                      <w:szCs w:val="21"/>
                      <w:highlight w:val="none"/>
                      <w:lang w:val="en-US" w:eastAsia="zh-CN"/>
                    </w:rPr>
                  </w:pPr>
                  <w:r>
                    <w:rPr>
                      <w:rFonts w:hint="eastAsia" w:ascii="宋体" w:hAnsi="宋体" w:eastAsia="宋体" w:cs="宋体"/>
                      <w:b w:val="0"/>
                      <w:bCs/>
                      <w:kern w:val="0"/>
                      <w:sz w:val="21"/>
                      <w:szCs w:val="21"/>
                      <w:highlight w:val="none"/>
                      <w:shd w:val="clear"/>
                      <w:lang w:val="en-US" w:eastAsia="zh-CN"/>
                    </w:rPr>
                    <w:t>其他未列明行业</w:t>
                  </w:r>
                </w:p>
              </w:tc>
            </w:tr>
          </w:tbl>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11.2</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投标报价的特殊规定：</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无</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□有，具体情形：</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12.1</w:t>
            </w:r>
          </w:p>
        </w:tc>
        <w:tc>
          <w:tcPr>
            <w:tcW w:w="1701" w:type="dxa"/>
            <w:vMerge w:val="restart"/>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w:t>
            </w:r>
            <w:r>
              <w:rPr>
                <w:rFonts w:hint="eastAsia" w:ascii="宋体" w:hAnsi="宋体" w:eastAsia="宋体" w:cs="宋体"/>
                <w:b w:val="0"/>
                <w:bCs/>
                <w:sz w:val="21"/>
                <w:szCs w:val="21"/>
                <w:highlight w:val="none"/>
                <w:u w:val="single"/>
              </w:rPr>
              <w:t>需要提交</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提交投标保证金的要求如下：</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投标保证金金额：</w:t>
            </w:r>
            <w:r>
              <w:rPr>
                <w:rFonts w:hint="eastAsia" w:ascii="宋体" w:hAnsi="宋体" w:eastAsia="宋体" w:cs="宋体"/>
                <w:b w:val="0"/>
                <w:bCs/>
                <w:sz w:val="21"/>
                <w:szCs w:val="21"/>
                <w:highlight w:val="none"/>
                <w:u w:val="single"/>
              </w:rPr>
              <w:t>小写：50000元（大写：伍万元整）</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投标保证金形式：</w:t>
            </w:r>
            <w:r>
              <w:rPr>
                <w:rFonts w:hint="eastAsia" w:ascii="宋体" w:hAnsi="宋体" w:eastAsia="宋体" w:cs="宋体"/>
                <w:b w:val="0"/>
                <w:bCs/>
                <w:sz w:val="21"/>
                <w:szCs w:val="21"/>
                <w:highlight w:val="none"/>
                <w:u w:val="single"/>
              </w:rPr>
              <w:t>银行转账</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账户名称：</w:t>
            </w:r>
            <w:r>
              <w:rPr>
                <w:rFonts w:hint="eastAsia" w:ascii="宋体" w:hAnsi="宋体" w:eastAsia="宋体" w:cs="宋体"/>
                <w:b w:val="0"/>
                <w:bCs/>
                <w:sz w:val="21"/>
                <w:szCs w:val="21"/>
                <w:highlight w:val="none"/>
                <w:u w:val="single"/>
              </w:rPr>
              <w:t>北京中盛宇工程管理有限公司</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银行账号：</w:t>
            </w:r>
            <w:r>
              <w:rPr>
                <w:rFonts w:hint="eastAsia" w:ascii="宋体" w:hAnsi="宋体" w:eastAsia="宋体" w:cs="宋体"/>
                <w:b w:val="0"/>
                <w:bCs/>
                <w:sz w:val="21"/>
                <w:szCs w:val="21"/>
                <w:highlight w:val="none"/>
                <w:u w:val="single"/>
              </w:rPr>
              <w:t>1101040160001514602</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开户行：</w:t>
            </w:r>
            <w:r>
              <w:rPr>
                <w:rFonts w:hint="eastAsia" w:ascii="宋体" w:hAnsi="宋体" w:eastAsia="宋体" w:cs="宋体"/>
                <w:b w:val="0"/>
                <w:bCs/>
                <w:sz w:val="21"/>
                <w:szCs w:val="21"/>
                <w:highlight w:val="none"/>
                <w:u w:val="single"/>
              </w:rPr>
              <w:t>杭州银行北京顺义支行</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投标保证金递交截止日期：</w:t>
            </w:r>
            <w:r>
              <w:rPr>
                <w:rFonts w:hint="eastAsia" w:ascii="宋体" w:hAnsi="宋体" w:cs="宋体"/>
                <w:b w:val="0"/>
                <w:bCs/>
                <w:sz w:val="21"/>
                <w:szCs w:val="21"/>
                <w:highlight w:val="none"/>
                <w:u w:val="single"/>
                <w:lang w:eastAsia="zh-CN"/>
              </w:rPr>
              <w:t>2024年01月15日09点30分</w:t>
            </w:r>
            <w:r>
              <w:rPr>
                <w:rFonts w:hint="eastAsia" w:ascii="宋体" w:hAnsi="宋体" w:eastAsia="宋体" w:cs="宋体"/>
                <w:b w:val="0"/>
                <w:bCs/>
                <w:sz w:val="21"/>
                <w:szCs w:val="21"/>
                <w:highlight w:val="none"/>
                <w:u w:val="single"/>
              </w:rPr>
              <w:t>（以到账时间为准）</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有效期：</w:t>
            </w:r>
            <w:r>
              <w:rPr>
                <w:rFonts w:hint="eastAsia" w:ascii="宋体" w:hAnsi="宋体" w:eastAsia="宋体" w:cs="宋体"/>
                <w:b w:val="0"/>
                <w:bCs/>
                <w:sz w:val="21"/>
                <w:szCs w:val="21"/>
                <w:highlight w:val="none"/>
                <w:u w:val="single"/>
              </w:rPr>
              <w:t>与投标有效期一致</w:t>
            </w:r>
            <w:r>
              <w:rPr>
                <w:rFonts w:hint="eastAsia" w:ascii="宋体" w:hAnsi="宋体" w:eastAsia="宋体" w:cs="宋体"/>
                <w:b w:val="0"/>
                <w:bCs/>
                <w:sz w:val="21"/>
                <w:szCs w:val="21"/>
                <w:highlight w:val="none"/>
              </w:rPr>
              <w:t>；</w:t>
            </w: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注：投标保证金必须于投标截止时间以前到达上述指定账户；投标保证金必须为投标人基本账户转出。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12.7.2</w:t>
            </w:r>
          </w:p>
        </w:tc>
        <w:tc>
          <w:tcPr>
            <w:tcW w:w="1701" w:type="dxa"/>
            <w:vMerge w:val="continue"/>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投标保证金可以不予退还的其他情形：</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□无</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■有，具体情形：</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（1）除因不可抗力或招标文件认可的情形以外，中标人放弃中标或者不按本须知的规定与采购人签订合同的；</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w:t>
            </w:r>
            <w:r>
              <w:rPr>
                <w:rFonts w:hint="eastAsia" w:ascii="宋体" w:hAnsi="宋体" w:eastAsia="宋体" w:cs="宋体"/>
                <w:b w:val="0"/>
                <w:bCs/>
                <w:color w:val="auto"/>
                <w:sz w:val="21"/>
                <w:szCs w:val="21"/>
                <w:highlight w:val="none"/>
                <w:u w:val="none"/>
                <w:lang w:val="en-US" w:eastAsia="zh-CN"/>
              </w:rPr>
              <w:t>2</w:t>
            </w:r>
            <w:r>
              <w:rPr>
                <w:rFonts w:hint="eastAsia" w:ascii="宋体" w:hAnsi="宋体" w:eastAsia="宋体" w:cs="宋体"/>
                <w:b w:val="0"/>
                <w:bCs/>
                <w:color w:val="auto"/>
                <w:sz w:val="21"/>
                <w:szCs w:val="21"/>
                <w:highlight w:val="none"/>
                <w:u w:val="none"/>
              </w:rPr>
              <w:t>）提供虚假材料的；</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w:t>
            </w:r>
            <w:r>
              <w:rPr>
                <w:rFonts w:hint="eastAsia" w:ascii="宋体" w:hAnsi="宋体" w:eastAsia="宋体" w:cs="宋体"/>
                <w:b w:val="0"/>
                <w:bCs/>
                <w:color w:val="auto"/>
                <w:sz w:val="21"/>
                <w:szCs w:val="21"/>
                <w:highlight w:val="none"/>
                <w:u w:val="none"/>
                <w:lang w:val="en-US" w:eastAsia="zh-CN"/>
              </w:rPr>
              <w:t>3</w:t>
            </w:r>
            <w:r>
              <w:rPr>
                <w:rFonts w:hint="eastAsia" w:ascii="宋体" w:hAnsi="宋体" w:eastAsia="宋体" w:cs="宋体"/>
                <w:b w:val="0"/>
                <w:bCs/>
                <w:color w:val="auto"/>
                <w:sz w:val="21"/>
                <w:szCs w:val="21"/>
                <w:highlight w:val="none"/>
                <w:u w:val="none"/>
              </w:rPr>
              <w:t>）投标人与其他投标人恶意串通的；</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FF0000"/>
                <w:sz w:val="21"/>
                <w:szCs w:val="21"/>
                <w:highlight w:val="none"/>
                <w:u w:val="single"/>
                <w:lang w:eastAsia="zh-CN"/>
              </w:rPr>
            </w:pPr>
            <w:r>
              <w:rPr>
                <w:rFonts w:hint="eastAsia" w:ascii="宋体" w:hAnsi="宋体" w:eastAsia="宋体" w:cs="宋体"/>
                <w:b w:val="0"/>
                <w:bCs/>
                <w:color w:val="auto"/>
                <w:sz w:val="21"/>
                <w:szCs w:val="21"/>
                <w:highlight w:val="none"/>
                <w:u w:val="none"/>
                <w:lang w:eastAsia="zh-CN"/>
              </w:rPr>
              <w:t>（</w:t>
            </w:r>
            <w:r>
              <w:rPr>
                <w:rFonts w:hint="eastAsia" w:ascii="宋体" w:hAnsi="宋体" w:eastAsia="宋体" w:cs="宋体"/>
                <w:b w:val="0"/>
                <w:bCs/>
                <w:color w:val="auto"/>
                <w:sz w:val="21"/>
                <w:szCs w:val="21"/>
                <w:highlight w:val="none"/>
                <w:u w:val="none"/>
                <w:lang w:val="en-US" w:eastAsia="zh-CN"/>
              </w:rPr>
              <w:t>4</w:t>
            </w:r>
            <w:r>
              <w:rPr>
                <w:rFonts w:hint="eastAsia" w:ascii="宋体" w:hAnsi="宋体" w:eastAsia="宋体" w:cs="宋体"/>
                <w:b w:val="0"/>
                <w:bCs/>
                <w:color w:val="auto"/>
                <w:sz w:val="21"/>
                <w:szCs w:val="21"/>
                <w:highlight w:val="none"/>
                <w:u w:val="none"/>
                <w:lang w:eastAsia="zh-CN"/>
              </w:rPr>
              <w:t>）招标文件规定的其他情形。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13.1</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投标有效期</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自提交投标文件的截止之日起算</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18.2</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lang w:val="en-US" w:eastAsia="zh-CN"/>
              </w:rPr>
              <w:t>开标会携带资料</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22.1</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确定中标人</w:t>
            </w:r>
          </w:p>
        </w:tc>
        <w:tc>
          <w:tcPr>
            <w:tcW w:w="7540"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中标候选人并列的，采购人是否委托评标委员会确定中标人：</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■否</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□是</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中标候选人并列的，按照以下方式确定中标人： </w:t>
            </w:r>
          </w:p>
          <w:p>
            <w:pPr>
              <w:pStyle w:val="23"/>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■得分且投标报价均相同的，以</w:t>
            </w:r>
            <w:r>
              <w:rPr>
                <w:rFonts w:hint="eastAsia" w:ascii="宋体" w:hAnsi="宋体" w:eastAsia="宋体" w:cs="宋体"/>
                <w:b w:val="0"/>
                <w:bCs/>
                <w:sz w:val="21"/>
                <w:szCs w:val="21"/>
                <w:highlight w:val="none"/>
                <w:u w:val="single"/>
                <w:lang w:val="en-US" w:eastAsia="zh-CN"/>
              </w:rPr>
              <w:t>技术评审</w:t>
            </w:r>
            <w:r>
              <w:rPr>
                <w:rFonts w:hint="eastAsia" w:ascii="宋体" w:hAnsi="宋体" w:eastAsia="宋体" w:cs="宋体"/>
                <w:b w:val="0"/>
                <w:bCs/>
                <w:sz w:val="21"/>
                <w:szCs w:val="21"/>
                <w:highlight w:val="none"/>
              </w:rPr>
              <w:t>得分高者为中标人</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25.5</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分包</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本项目的非主体、非关键性工作是否允许分包： </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■不允许</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□允许，具体要求：</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（1）可以分包履行的具体内容：</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（2）允许分包的金额或者比例：</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（3）其他要求：</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26.1.1</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询问</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询问送达形式：</w:t>
            </w:r>
            <w:r>
              <w:rPr>
                <w:rFonts w:hint="eastAsia" w:ascii="宋体" w:hAnsi="宋体" w:eastAsia="宋体" w:cs="宋体"/>
                <w:b w:val="0"/>
                <w:bCs/>
                <w:sz w:val="21"/>
                <w:szCs w:val="21"/>
                <w:highlight w:val="none"/>
                <w:u w:val="single"/>
                <w:lang w:val="en-US" w:eastAsia="zh-CN"/>
              </w:rPr>
              <w:t>纸质</w:t>
            </w:r>
            <w:r>
              <w:rPr>
                <w:rFonts w:hint="eastAsia" w:ascii="宋体" w:hAnsi="宋体" w:eastAsia="宋体" w:cs="宋体"/>
                <w:b w:val="0"/>
                <w:bCs/>
                <w:sz w:val="21"/>
                <w:szCs w:val="21"/>
                <w:highlight w:val="none"/>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26.3</w:t>
            </w:r>
          </w:p>
        </w:tc>
        <w:tc>
          <w:tcPr>
            <w:tcW w:w="170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联系方式</w:t>
            </w:r>
          </w:p>
        </w:tc>
        <w:tc>
          <w:tcPr>
            <w:tcW w:w="7540"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接收询问和质疑的联系方式</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联系部门：</w:t>
            </w:r>
            <w:r>
              <w:rPr>
                <w:rFonts w:hint="eastAsia" w:ascii="宋体" w:hAnsi="宋体" w:eastAsia="宋体" w:cs="宋体"/>
                <w:b w:val="0"/>
                <w:bCs/>
                <w:sz w:val="21"/>
                <w:szCs w:val="21"/>
                <w:highlight w:val="none"/>
                <w:u w:val="single"/>
              </w:rPr>
              <w:t>北京中盛宇工程管理有限公司</w:t>
            </w:r>
            <w:r>
              <w:rPr>
                <w:rFonts w:hint="eastAsia" w:ascii="宋体" w:hAnsi="宋体" w:eastAsia="宋体" w:cs="宋体"/>
                <w:b w:val="0"/>
                <w:bCs/>
                <w:sz w:val="21"/>
                <w:szCs w:val="21"/>
                <w:highlight w:val="none"/>
                <w:u w:val="single"/>
                <w:lang w:val="en-US" w:eastAsia="zh-CN"/>
              </w:rPr>
              <w:t>招标部</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联系电话：</w:t>
            </w:r>
            <w:r>
              <w:rPr>
                <w:rFonts w:hint="eastAsia" w:ascii="宋体" w:hAnsi="宋体" w:eastAsia="宋体" w:cs="宋体"/>
                <w:b w:val="0"/>
                <w:bCs/>
                <w:sz w:val="21"/>
                <w:szCs w:val="21"/>
                <w:highlight w:val="none"/>
                <w:u w:val="single"/>
                <w:lang w:val="en-US" w:eastAsia="zh-CN"/>
              </w:rPr>
              <w:t>段金磊/</w:t>
            </w:r>
            <w:r>
              <w:rPr>
                <w:rFonts w:hint="eastAsia" w:ascii="宋体" w:hAnsi="宋体" w:eastAsia="宋体" w:cs="宋体"/>
                <w:b w:val="0"/>
                <w:bCs/>
                <w:sz w:val="21"/>
                <w:szCs w:val="21"/>
                <w:highlight w:val="none"/>
                <w:u w:val="single"/>
                <w:lang w:eastAsia="zh-CN"/>
              </w:rPr>
              <w:t>69415773</w:t>
            </w:r>
            <w:r>
              <w:rPr>
                <w:rFonts w:hint="eastAsia" w:ascii="宋体" w:hAnsi="宋体" w:eastAsia="宋体" w:cs="宋体"/>
                <w:b w:val="0"/>
                <w:bCs/>
                <w:sz w:val="21"/>
                <w:szCs w:val="21"/>
                <w:highlight w:val="none"/>
              </w:rPr>
              <w:t>；</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通讯地址：</w:t>
            </w:r>
            <w:r>
              <w:rPr>
                <w:rFonts w:hint="eastAsia" w:ascii="宋体" w:hAnsi="宋体" w:eastAsia="宋体" w:cs="宋体"/>
                <w:b w:val="0"/>
                <w:bCs/>
                <w:sz w:val="21"/>
                <w:szCs w:val="21"/>
                <w:highlight w:val="none"/>
                <w:u w:val="single"/>
                <w:lang w:eastAsia="zh-CN"/>
              </w:rPr>
              <w:t>北京市顺义区双丰街道顺安南路12号一区26号楼北侧三层</w:t>
            </w:r>
            <w:r>
              <w:rPr>
                <w:rFonts w:hint="eastAsia" w:ascii="宋体" w:hAnsi="宋体" w:eastAsia="宋体" w:cs="宋体"/>
                <w:b w:val="0"/>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收费对象：</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■采购人</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□中标人</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收费标准：</w:t>
            </w:r>
            <w:r>
              <w:rPr>
                <w:rFonts w:hint="eastAsia" w:ascii="宋体" w:hAnsi="宋体" w:eastAsia="宋体" w:cs="宋体"/>
                <w:b w:val="0"/>
                <w:bCs/>
                <w:sz w:val="21"/>
                <w:szCs w:val="21"/>
                <w:highlight w:val="none"/>
                <w:u w:val="single"/>
              </w:rPr>
              <w:t>根据《国家发展改革委关于进一步放开建设项目专业服务价格的通知》“发改价格【2015】299号”文件，按照下表招标代理服务收费标准，以中标价计取，采用差额定率累进法计算，代理费最终下浮20%，打8折。</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缴纳时间：</w:t>
            </w:r>
            <w:r>
              <w:rPr>
                <w:rFonts w:hint="eastAsia" w:ascii="宋体" w:hAnsi="宋体" w:eastAsia="宋体" w:cs="宋体"/>
                <w:b w:val="0"/>
                <w:bCs/>
                <w:sz w:val="21"/>
                <w:szCs w:val="21"/>
                <w:highlight w:val="none"/>
                <w:u w:val="single"/>
              </w:rPr>
              <w:t>招标代理机构将全部业务完成且移交招标汇编资料后。</w:t>
            </w:r>
          </w:p>
          <w:p>
            <w:pPr>
              <w:keepNext w:val="0"/>
              <w:keepLines w:val="0"/>
              <w:pageBreakBefore w:val="0"/>
              <w:widowControl w:val="0"/>
              <w:kinsoku/>
              <w:wordWrap w:val="0"/>
              <w:overflowPunct/>
              <w:topLinePunct/>
              <w:autoSpaceDE/>
              <w:autoSpaceDN/>
              <w:bidi w:val="0"/>
              <w:spacing w:line="360" w:lineRule="auto"/>
              <w:ind w:firstLine="2100" w:firstLineChars="1000"/>
              <w:textAlignment w:val="auto"/>
              <w:outlineLvl w:val="2"/>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招标代理服务收费标准</w:t>
            </w:r>
          </w:p>
          <w:tbl>
            <w:tblPr>
              <w:tblStyle w:val="45"/>
              <w:tblW w:w="0" w:type="auto"/>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066"/>
              <w:gridCol w:w="2467"/>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81" w:hRule="atLeast"/>
                <w:tblHeader/>
                <w:tblCellSpacing w:w="0" w:type="dxa"/>
                <w:jc w:val="center"/>
              </w:trPr>
              <w:tc>
                <w:tcPr>
                  <w:tcW w:w="3066" w:type="dxa"/>
                  <w:tcBorders>
                    <w:top w:val="outset" w:color="auto" w:sz="6" w:space="0"/>
                    <w:left w:val="outset" w:color="auto" w:sz="6" w:space="0"/>
                    <w:bottom w:val="outset" w:color="auto" w:sz="6" w:space="0"/>
                    <w:right w:val="outset" w:color="auto" w:sz="6" w:space="0"/>
                    <w:tl2br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jc w:val="center"/>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服务类型</w:t>
                  </w:r>
                </w:p>
                <w:p>
                  <w:pPr>
                    <w:keepNext w:val="0"/>
                    <w:keepLines w:val="0"/>
                    <w:pageBreakBefore w:val="0"/>
                    <w:widowControl w:val="0"/>
                    <w:kinsoku/>
                    <w:wordWrap w:val="0"/>
                    <w:overflowPunct/>
                    <w:topLinePunct/>
                    <w:autoSpaceDE/>
                    <w:autoSpaceDN/>
                    <w:bidi w:val="0"/>
                    <w:adjustRightInd w:val="0"/>
                    <w:spacing w:line="360" w:lineRule="auto"/>
                    <w:ind w:firstLine="170" w:firstLineChars="1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rPr>
                    <w:t>中标</w:t>
                  </w:r>
                  <w:r>
                    <w:rPr>
                      <w:rFonts w:hint="eastAsia" w:ascii="宋体" w:hAnsi="宋体" w:eastAsia="宋体" w:cs="宋体"/>
                      <w:b w:val="0"/>
                      <w:bCs/>
                      <w:spacing w:val="-20"/>
                      <w:sz w:val="21"/>
                      <w:szCs w:val="21"/>
                      <w:highlight w:val="none"/>
                      <w:lang w:val="zh-CN"/>
                    </w:rPr>
                    <w:t>金额</w:t>
                  </w:r>
                </w:p>
                <w:p>
                  <w:pPr>
                    <w:keepNext w:val="0"/>
                    <w:keepLines w:val="0"/>
                    <w:pageBreakBefore w:val="0"/>
                    <w:widowControl w:val="0"/>
                    <w:kinsoku/>
                    <w:wordWrap w:val="0"/>
                    <w:overflowPunct/>
                    <w:topLinePunct/>
                    <w:autoSpaceDE/>
                    <w:autoSpaceDN/>
                    <w:bidi w:val="0"/>
                    <w:adjustRightInd w:val="0"/>
                    <w:spacing w:line="360" w:lineRule="auto"/>
                    <w:ind w:firstLine="255" w:firstLineChars="15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（万元）</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服务招标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100以下</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100—500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500—1000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0.45％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1000—5000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0.25％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5000—10000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10000——50000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50000——100000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0.035％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100000——500000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0.008％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500000——1000000</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0.006％</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1000000以上</w:t>
                  </w:r>
                </w:p>
              </w:tc>
              <w:tc>
                <w:tcPr>
                  <w:tcW w:w="2467" w:type="dxa"/>
                  <w:tcBorders>
                    <w:top w:val="outset" w:color="auto" w:sz="6" w:space="0"/>
                    <w:left w:val="outset" w:color="auto" w:sz="6" w:space="0"/>
                    <w:bottom w:val="outset" w:color="auto" w:sz="6" w:space="0"/>
                    <w:right w:val="outset" w:color="auto" w:sz="6" w:space="0"/>
                  </w:tcBorders>
                  <w:vAlign w:val="center"/>
                </w:tcPr>
                <w:p>
                  <w:pPr>
                    <w:keepNext w:val="0"/>
                    <w:keepLines w:val="0"/>
                    <w:pageBreakBefore w:val="0"/>
                    <w:widowControl w:val="0"/>
                    <w:kinsoku/>
                    <w:wordWrap w:val="0"/>
                    <w:overflowPunct/>
                    <w:topLinePunct/>
                    <w:autoSpaceDE/>
                    <w:autoSpaceDN/>
                    <w:bidi w:val="0"/>
                    <w:adjustRightInd w:val="0"/>
                    <w:spacing w:line="360" w:lineRule="auto"/>
                    <w:ind w:firstLine="340" w:firstLineChars="200"/>
                    <w:textAlignment w:val="auto"/>
                    <w:rPr>
                      <w:rFonts w:hint="eastAsia" w:ascii="宋体" w:hAnsi="宋体" w:eastAsia="宋体" w:cs="宋体"/>
                      <w:b w:val="0"/>
                      <w:bCs/>
                      <w:spacing w:val="-20"/>
                      <w:sz w:val="21"/>
                      <w:szCs w:val="21"/>
                      <w:highlight w:val="none"/>
                      <w:lang w:val="zh-CN"/>
                    </w:rPr>
                  </w:pPr>
                  <w:r>
                    <w:rPr>
                      <w:rFonts w:hint="eastAsia" w:ascii="宋体" w:hAnsi="宋体" w:eastAsia="宋体" w:cs="宋体"/>
                      <w:b w:val="0"/>
                      <w:bCs/>
                      <w:spacing w:val="-20"/>
                      <w:sz w:val="21"/>
                      <w:szCs w:val="21"/>
                      <w:highlight w:val="none"/>
                      <w:lang w:val="zh-CN"/>
                    </w:rPr>
                    <w:t>0.004％</w:t>
                  </w:r>
                </w:p>
              </w:tc>
            </w:tr>
          </w:tbl>
          <w:p>
            <w:pPr>
              <w:pStyle w:val="43"/>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28</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其它要求</w:t>
            </w:r>
          </w:p>
        </w:tc>
        <w:tc>
          <w:tcPr>
            <w:tcW w:w="7540" w:type="dxa"/>
            <w:tcBorders>
              <w:top w:val="single" w:color="auto" w:sz="4" w:space="0"/>
              <w:left w:val="single" w:color="auto" w:sz="4" w:space="0"/>
              <w:bottom w:val="single" w:color="auto" w:sz="4" w:space="0"/>
              <w:right w:val="single" w:color="auto" w:sz="4" w:space="0"/>
            </w:tcBorders>
            <w:vAlign w:val="center"/>
          </w:tcPr>
          <w:p>
            <w:pPr>
              <w:pStyle w:val="43"/>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中标人在领取中标通知书的当日，需提供加盖单位公章的纸质版投标文件一正一副。（须与上传电子交易平台的电子文件内容保持一致）</w:t>
            </w:r>
          </w:p>
        </w:tc>
      </w:tr>
    </w:tbl>
    <w:p>
      <w:pPr>
        <w:keepNext w:val="0"/>
        <w:keepLines w:val="0"/>
        <w:pageBreakBefore w:val="0"/>
        <w:widowControl w:val="0"/>
        <w:tabs>
          <w:tab w:val="left" w:pos="5580"/>
        </w:tabs>
        <w:kinsoku/>
        <w:wordWrap w:val="0"/>
        <w:overflowPunct/>
        <w:topLinePunct/>
        <w:autoSpaceDE/>
        <w:autoSpaceDN/>
        <w:bidi w:val="0"/>
        <w:adjustRightInd w:val="0"/>
        <w:spacing w:line="360" w:lineRule="auto"/>
        <w:jc w:val="distribute"/>
        <w:textAlignment w:val="auto"/>
        <w:rPr>
          <w:rFonts w:hint="eastAsia" w:ascii="宋体" w:hAnsi="宋体" w:eastAsia="宋体" w:cs="宋体"/>
          <w:b w:val="0"/>
          <w:bCs/>
          <w:sz w:val="21"/>
          <w:szCs w:val="21"/>
          <w:highlight w:val="none"/>
        </w:rPr>
        <w:sectPr>
          <w:pgSz w:w="11907" w:h="16840"/>
          <w:pgMar w:top="1418" w:right="946" w:bottom="1418" w:left="1501" w:header="851" w:footer="851" w:gutter="0"/>
          <w:pgNumType w:fmt="decimal" w:start="1"/>
          <w:cols w:space="720" w:num="1"/>
          <w:titlePg/>
          <w:docGrid w:linePitch="462" w:charSpace="0"/>
        </w:sectPr>
      </w:pPr>
    </w:p>
    <w:p>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sz w:val="21"/>
          <w:szCs w:val="21"/>
          <w:highlight w:val="none"/>
        </w:rPr>
      </w:pPr>
      <w:bookmarkStart w:id="76" w:name="_Toc353825542"/>
      <w:bookmarkStart w:id="77" w:name="_Toc226337213"/>
      <w:bookmarkStart w:id="78" w:name="_Toc150774722"/>
      <w:bookmarkStart w:id="79" w:name="_Toc127151517"/>
      <w:bookmarkStart w:id="80" w:name="_Toc226965790"/>
      <w:bookmarkStart w:id="81" w:name="_Toc265228355"/>
      <w:bookmarkStart w:id="82" w:name="_Toc353873932"/>
      <w:bookmarkStart w:id="83" w:name="_Toc195842882"/>
      <w:bookmarkStart w:id="84" w:name="_Toc305158785"/>
      <w:bookmarkStart w:id="85" w:name="_Toc150480755"/>
      <w:bookmarkStart w:id="86" w:name="_Toc305158859"/>
      <w:bookmarkStart w:id="87" w:name="_Toc264969207"/>
      <w:bookmarkStart w:id="88" w:name="_Toc142311019"/>
      <w:bookmarkStart w:id="89" w:name="_Toc353873662"/>
      <w:r>
        <w:rPr>
          <w:rFonts w:hint="eastAsia" w:ascii="宋体" w:hAnsi="宋体" w:eastAsia="宋体" w:cs="宋体"/>
          <w:b w:val="0"/>
          <w:bCs/>
          <w:sz w:val="21"/>
          <w:szCs w:val="21"/>
          <w:highlight w:val="none"/>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3"/>
        <w:keepNext w:val="0"/>
        <w:keepLines w:val="0"/>
        <w:pageBreakBefore w:val="0"/>
        <w:widowControl w:val="0"/>
        <w:tabs>
          <w:tab w:val="center" w:pos="4592"/>
          <w:tab w:val="left" w:pos="7860"/>
        </w:tabs>
        <w:kinsoku/>
        <w:wordWrap w:val="0"/>
        <w:overflowPunct/>
        <w:topLinePunct/>
        <w:autoSpaceDE/>
        <w:autoSpaceDN/>
        <w:bidi w:val="0"/>
        <w:spacing w:before="0" w:line="360" w:lineRule="auto"/>
        <w:jc w:val="left"/>
        <w:textAlignment w:val="auto"/>
        <w:rPr>
          <w:rFonts w:hint="eastAsia" w:ascii="宋体" w:hAnsi="宋体" w:eastAsia="宋体" w:cs="宋体"/>
          <w:b w:val="0"/>
          <w:bCs/>
          <w:color w:val="auto"/>
          <w:sz w:val="21"/>
          <w:szCs w:val="21"/>
          <w:highlight w:val="none"/>
        </w:rPr>
      </w:pPr>
      <w:bookmarkStart w:id="90" w:name="_Toc127151518"/>
      <w:bookmarkStart w:id="91" w:name="_Toc520356143"/>
      <w:r>
        <w:rPr>
          <w:rFonts w:hint="eastAsia" w:ascii="宋体" w:hAnsi="宋体" w:eastAsia="宋体" w:cs="宋体"/>
          <w:b w:val="0"/>
          <w:bCs/>
          <w:sz w:val="21"/>
          <w:szCs w:val="21"/>
          <w:highlight w:val="none"/>
        </w:rPr>
        <w:tab/>
      </w:r>
      <w:bookmarkEnd w:id="90"/>
      <w:bookmarkEnd w:id="91"/>
      <w:bookmarkStart w:id="92" w:name="_Toc195842883"/>
      <w:bookmarkStart w:id="93" w:name="_Toc226309762"/>
      <w:bookmarkStart w:id="94" w:name="_Toc151190145"/>
      <w:bookmarkStart w:id="95" w:name="_Toc226965791"/>
      <w:bookmarkStart w:id="96" w:name="_Toc142311020"/>
      <w:bookmarkStart w:id="97" w:name="_Toc151193832"/>
      <w:bookmarkStart w:id="98" w:name="_Toc150774618"/>
      <w:bookmarkStart w:id="99" w:name="_Toc305158786"/>
      <w:bookmarkStart w:id="100" w:name="_Toc226965708"/>
      <w:bookmarkStart w:id="101" w:name="_Toc150480756"/>
      <w:bookmarkStart w:id="102" w:name="_Toc151193760"/>
      <w:bookmarkStart w:id="103" w:name="_Toc151193906"/>
      <w:bookmarkStart w:id="104" w:name="_Toc150509269"/>
      <w:bookmarkStart w:id="105" w:name="_Toc151193688"/>
      <w:bookmarkStart w:id="106" w:name="_Toc151193616"/>
      <w:bookmarkStart w:id="107" w:name="_Toc264969208"/>
      <w:bookmarkStart w:id="108" w:name="_Toc305158860"/>
      <w:bookmarkStart w:id="109" w:name="_Toc150774723"/>
      <w:bookmarkStart w:id="110" w:name="_Toc226337214"/>
      <w:bookmarkStart w:id="111" w:name="_Toc265228356"/>
      <w:r>
        <w:rPr>
          <w:rFonts w:hint="eastAsia" w:ascii="宋体" w:hAnsi="宋体" w:eastAsia="宋体" w:cs="宋体"/>
          <w:b w:val="0"/>
          <w:bCs/>
          <w:color w:val="auto"/>
          <w:sz w:val="21"/>
          <w:szCs w:val="21"/>
          <w:highlight w:val="none"/>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hint="eastAsia" w:ascii="宋体" w:hAnsi="宋体" w:eastAsia="宋体" w:cs="宋体"/>
          <w:b w:val="0"/>
          <w:bCs/>
          <w:color w:val="auto"/>
          <w:sz w:val="21"/>
          <w:szCs w:val="21"/>
          <w:highlight w:val="none"/>
        </w:rPr>
        <w:tab/>
      </w:r>
    </w:p>
    <w:p>
      <w:pPr>
        <w:keepNext w:val="0"/>
        <w:keepLines w:val="0"/>
        <w:pageBreakBefore w:val="0"/>
        <w:widowControl w:val="0"/>
        <w:numPr>
          <w:ilvl w:val="0"/>
          <w:numId w:val="8"/>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112" w:name="_Toc265228357"/>
      <w:bookmarkStart w:id="113" w:name="_Toc264969209"/>
      <w:bookmarkStart w:id="114" w:name="_Toc305158787"/>
      <w:bookmarkStart w:id="115" w:name="_Toc305158861"/>
      <w:r>
        <w:rPr>
          <w:rFonts w:hint="eastAsia" w:ascii="宋体" w:hAnsi="宋体" w:eastAsia="宋体" w:cs="宋体"/>
          <w:b w:val="0"/>
          <w:bCs/>
          <w:color w:val="auto"/>
          <w:sz w:val="21"/>
          <w:szCs w:val="21"/>
          <w:highlight w:val="none"/>
        </w:rPr>
        <w:t>采购人、采购代理机构、投标人</w:t>
      </w:r>
      <w:bookmarkEnd w:id="112"/>
      <w:bookmarkEnd w:id="113"/>
      <w:bookmarkEnd w:id="114"/>
      <w:bookmarkEnd w:id="115"/>
      <w:r>
        <w:rPr>
          <w:rFonts w:hint="eastAsia" w:ascii="宋体" w:hAnsi="宋体" w:eastAsia="宋体" w:cs="宋体"/>
          <w:b w:val="0"/>
          <w:bCs/>
          <w:color w:val="auto"/>
          <w:sz w:val="21"/>
          <w:szCs w:val="21"/>
          <w:highlight w:val="none"/>
        </w:rPr>
        <w:t>、联合体</w:t>
      </w:r>
    </w:p>
    <w:p>
      <w:pPr>
        <w:keepNext w:val="0"/>
        <w:keepLines w:val="0"/>
        <w:pageBreakBefore w:val="0"/>
        <w:widowControl w:val="0"/>
        <w:numPr>
          <w:ilvl w:val="1"/>
          <w:numId w:val="8"/>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采购人、采购代理机构：指依法进行政府采购的国家机关、事业单位、团体组织，及其委托的采购代理机构。本项目采购人、采购代理机构见第一章《投标邀请》。</w:t>
      </w:r>
    </w:p>
    <w:p>
      <w:pPr>
        <w:keepNext w:val="0"/>
        <w:keepLines w:val="0"/>
        <w:pageBreakBefore w:val="0"/>
        <w:widowControl w:val="0"/>
        <w:numPr>
          <w:ilvl w:val="1"/>
          <w:numId w:val="8"/>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投标人（也称“供应商”、“申请人”）：指向采购人提供货物、工程或者服务的法人、其他组织或者自然人。</w:t>
      </w:r>
    </w:p>
    <w:p>
      <w:pPr>
        <w:keepNext w:val="0"/>
        <w:keepLines w:val="0"/>
        <w:pageBreakBefore w:val="0"/>
        <w:widowControl w:val="0"/>
        <w:numPr>
          <w:ilvl w:val="1"/>
          <w:numId w:val="8"/>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联合体：指两个以上的自然人、法人或者其他组织组成一个联合体，以一个供应商的身份共同参加政府采购。</w:t>
      </w:r>
    </w:p>
    <w:p>
      <w:pPr>
        <w:keepNext w:val="0"/>
        <w:keepLines w:val="0"/>
        <w:pageBreakBefore w:val="0"/>
        <w:widowControl w:val="0"/>
        <w:numPr>
          <w:ilvl w:val="0"/>
          <w:numId w:val="8"/>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116" w:name="_Toc226309764"/>
      <w:bookmarkStart w:id="117" w:name="_Toc150774620"/>
      <w:bookmarkStart w:id="118" w:name="_Toc265228358"/>
      <w:bookmarkStart w:id="119" w:name="_Toc305158788"/>
      <w:bookmarkStart w:id="120" w:name="_Toc151193618"/>
      <w:bookmarkStart w:id="121" w:name="_Toc151193690"/>
      <w:bookmarkStart w:id="122" w:name="_Toc164608789"/>
      <w:bookmarkStart w:id="123" w:name="_Toc127161434"/>
      <w:bookmarkStart w:id="124" w:name="_Toc151190147"/>
      <w:bookmarkStart w:id="125" w:name="_Toc127151520"/>
      <w:bookmarkStart w:id="126" w:name="_Toc127151721"/>
      <w:bookmarkStart w:id="127" w:name="_Toc164229361"/>
      <w:bookmarkStart w:id="128" w:name="_Toc142311022"/>
      <w:bookmarkStart w:id="129" w:name="_Toc264969210"/>
      <w:bookmarkStart w:id="130" w:name="_Toc151193834"/>
      <w:bookmarkStart w:id="131" w:name="_Toc226965793"/>
      <w:bookmarkStart w:id="132" w:name="_Toc151193762"/>
      <w:bookmarkStart w:id="133" w:name="_Toc150509271"/>
      <w:bookmarkStart w:id="134" w:name="_Toc226337216"/>
      <w:bookmarkStart w:id="135" w:name="_Toc164608634"/>
      <w:bookmarkStart w:id="136" w:name="_Toc164351614"/>
      <w:bookmarkStart w:id="137" w:name="_Toc195842885"/>
      <w:bookmarkStart w:id="138" w:name="_Toc164229215"/>
      <w:bookmarkStart w:id="139" w:name="_Toc150480758"/>
      <w:bookmarkStart w:id="140" w:name="_Toc149720813"/>
      <w:bookmarkStart w:id="141" w:name="_Toc150774725"/>
      <w:bookmarkStart w:id="142" w:name="_Toc305158862"/>
      <w:bookmarkStart w:id="143" w:name="_Toc226965710"/>
      <w:bookmarkStart w:id="144" w:name="_Toc151193908"/>
      <w:r>
        <w:rPr>
          <w:rFonts w:hint="eastAsia" w:ascii="宋体" w:hAnsi="宋体" w:eastAsia="宋体" w:cs="宋体"/>
          <w:b w:val="0"/>
          <w:bCs/>
          <w:color w:val="auto"/>
          <w:sz w:val="21"/>
          <w:szCs w:val="21"/>
          <w:highlight w:val="none"/>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ascii="宋体" w:hAnsi="宋体" w:eastAsia="宋体" w:cs="宋体"/>
          <w:b w:val="0"/>
          <w:bCs/>
          <w:color w:val="auto"/>
          <w:sz w:val="21"/>
          <w:szCs w:val="21"/>
          <w:highlight w:val="none"/>
        </w:rPr>
        <w:t>、项目属性、科研仪器设备采购、核心产品</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资金来源为财政性资金和/或本项目采购中无法与财政性资金分割的非财政性资金。</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项目属性见《投标人须知资料表》。</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是否属于科研仪器设备采购见《投标人须知资料表》。</w:t>
      </w:r>
    </w:p>
    <w:p>
      <w:pPr>
        <w:keepNext w:val="0"/>
        <w:keepLines w:val="0"/>
        <w:pageBreakBefore w:val="0"/>
        <w:widowControl w:val="0"/>
        <w:numPr>
          <w:ilvl w:val="1"/>
          <w:numId w:val="8"/>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核心产品见《投标人须知资料表》。</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现场考察、开标前答疑会</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若《投标人须知资料表》中规定了组织现场考察、召开开标前答疑会，则投标人应按要求在规定的时间和地点参加。</w:t>
      </w:r>
      <w:bookmarkStart w:id="145" w:name="_Toc226965795"/>
      <w:bookmarkStart w:id="146" w:name="_Toc265228360"/>
      <w:bookmarkStart w:id="147" w:name="_Toc127151522"/>
      <w:bookmarkStart w:id="148" w:name="_Toc151193764"/>
      <w:bookmarkStart w:id="149" w:name="_Toc150480760"/>
      <w:bookmarkStart w:id="150" w:name="_Toc142311024"/>
      <w:bookmarkStart w:id="151" w:name="_Toc151190149"/>
      <w:bookmarkStart w:id="152" w:name="_Toc151193620"/>
      <w:bookmarkStart w:id="153" w:name="_Toc520356146"/>
      <w:bookmarkStart w:id="154" w:name="_Toc264969212"/>
      <w:bookmarkStart w:id="155" w:name="_Toc150774727"/>
      <w:bookmarkStart w:id="156" w:name="_Toc226337218"/>
      <w:bookmarkStart w:id="157" w:name="_Toc305158864"/>
      <w:bookmarkStart w:id="158" w:name="_Toc226965712"/>
      <w:bookmarkStart w:id="159" w:name="_Toc150774622"/>
      <w:bookmarkStart w:id="160" w:name="_Toc151193910"/>
      <w:bookmarkStart w:id="161" w:name="_Toc226309766"/>
      <w:bookmarkStart w:id="162" w:name="_Toc151193692"/>
      <w:bookmarkStart w:id="163" w:name="_Toc195842887"/>
      <w:bookmarkStart w:id="164" w:name="_Toc151193836"/>
      <w:bookmarkStart w:id="165" w:name="_Toc150509273"/>
      <w:bookmarkStart w:id="166" w:name="_Toc305158790"/>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由于未参加现场考察或开标前答疑会而导致对项目实际情况不了解，影响投标文件编制、投标报价准确性、综合因素响应不全面等问题的，由投标人自行承担不利评审后果。</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样品</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本项目是否要求投标人提供样品，以及样品制作的标准和要求、是否需要随样品提交相关检测报告、样品的递交与退还等要求见《投标人须知资料表》。</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样品的评审方法以及评审标准等内容见第四章《评标方法和评标标准》。</w:t>
      </w:r>
    </w:p>
    <w:p>
      <w:pPr>
        <w:keepNext w:val="0"/>
        <w:keepLines w:val="0"/>
        <w:pageBreakBefore w:val="0"/>
        <w:widowControl w:val="0"/>
        <w:numPr>
          <w:ilvl w:val="0"/>
          <w:numId w:val="8"/>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政府采购政策（包括但不限于下列具体政策要求）</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spacing w:val="1"/>
          <w:sz w:val="21"/>
          <w:szCs w:val="21"/>
          <w:highlight w:val="none"/>
        </w:rPr>
        <w:t>采购本国货物、工程和服务</w:t>
      </w:r>
    </w:p>
    <w:p>
      <w:pPr>
        <w:keepNext w:val="0"/>
        <w:keepLines w:val="0"/>
        <w:pageBreakBefore w:val="0"/>
        <w:widowControl w:val="0"/>
        <w:numPr>
          <w:ilvl w:val="2"/>
          <w:numId w:val="8"/>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政府采购应当采购本国货物、工程和服务。但有《中华人民共和国政府采购法》第十条规定情形的除外。</w:t>
      </w:r>
    </w:p>
    <w:p>
      <w:pPr>
        <w:keepNext w:val="0"/>
        <w:keepLines w:val="0"/>
        <w:pageBreakBefore w:val="0"/>
        <w:widowControl w:val="0"/>
        <w:numPr>
          <w:ilvl w:val="2"/>
          <w:numId w:val="8"/>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本项目如接受非本国货物、工程、服务参与投标， 则具体要求见第四章《采购需求》。</w:t>
      </w:r>
    </w:p>
    <w:p>
      <w:pPr>
        <w:keepNext w:val="0"/>
        <w:keepLines w:val="0"/>
        <w:pageBreakBefore w:val="0"/>
        <w:widowControl w:val="0"/>
        <w:numPr>
          <w:ilvl w:val="2"/>
          <w:numId w:val="8"/>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中小企业、监狱企业及残疾人福利性单位</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中小企业定义：</w:t>
      </w:r>
    </w:p>
    <w:p>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5.2.1.1</w:t>
      </w:r>
      <w:r>
        <w:rPr>
          <w:rFonts w:hint="eastAsia" w:ascii="宋体" w:hAnsi="宋体" w:eastAsia="宋体" w:cs="宋体"/>
          <w:b w:val="0"/>
          <w:bCs/>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5.2.1.2</w:t>
      </w:r>
      <w:r>
        <w:rPr>
          <w:rFonts w:hint="eastAsia" w:ascii="宋体" w:hAnsi="宋体" w:eastAsia="宋体" w:cs="宋体"/>
          <w:b w:val="0"/>
          <w:bCs/>
          <w:color w:val="auto"/>
          <w:sz w:val="21"/>
          <w:szCs w:val="21"/>
          <w:highlight w:val="none"/>
        </w:rPr>
        <w:t>供应商提供的货物、工程或者服务符合下列情形的，享受中小企业扶持政策：</w:t>
      </w:r>
    </w:p>
    <w:p>
      <w:pPr>
        <w:keepNext w:val="0"/>
        <w:keepLines w:val="0"/>
        <w:pageBreakBefore w:val="0"/>
        <w:widowControl w:val="0"/>
        <w:tabs>
          <w:tab w:val="left" w:pos="1980"/>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（1）在货物采购项目中，货物由中小企业制造，即货物由中小企业生产且使用该中小企业商号或者注册商标；</w:t>
      </w:r>
    </w:p>
    <w:p>
      <w:pPr>
        <w:keepNext w:val="0"/>
        <w:keepLines w:val="0"/>
        <w:pageBreakBefore w:val="0"/>
        <w:widowControl w:val="0"/>
        <w:tabs>
          <w:tab w:val="left" w:pos="1980"/>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（2）在工程采购项目中，工程由中小企业承建，即工程施工单位为中小企业；</w:t>
      </w:r>
    </w:p>
    <w:p>
      <w:pPr>
        <w:keepNext w:val="0"/>
        <w:keepLines w:val="0"/>
        <w:pageBreakBefore w:val="0"/>
        <w:widowControl w:val="0"/>
        <w:tabs>
          <w:tab w:val="left" w:pos="1980"/>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（3）在服务采购项目中，服务由中小企业承接，即提供服务的人员为中小企业依照《中华人民共和国劳动合同法》订立劳动合同的从业人员。</w:t>
      </w:r>
    </w:p>
    <w:p>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5.2.1.3</w:t>
      </w:r>
      <w:r>
        <w:rPr>
          <w:rFonts w:hint="eastAsia" w:ascii="宋体" w:hAnsi="宋体" w:eastAsia="宋体" w:cs="宋体"/>
          <w:b w:val="0"/>
          <w:bCs/>
          <w:color w:val="auto"/>
          <w:sz w:val="21"/>
          <w:szCs w:val="21"/>
          <w:highlight w:val="none"/>
        </w:rPr>
        <w:t>在货物采购项目中，供应商提供的货物既有中小企业制造货物，也有大型企业制造货物的，不享受中小企业扶持政策。</w:t>
      </w:r>
    </w:p>
    <w:p>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5.2.1.4</w:t>
      </w:r>
      <w:r>
        <w:rPr>
          <w:rFonts w:hint="eastAsia" w:ascii="宋体" w:hAnsi="宋体" w:eastAsia="宋体" w:cs="宋体"/>
          <w:b w:val="0"/>
          <w:bCs/>
          <w:color w:val="auto"/>
          <w:sz w:val="21"/>
          <w:szCs w:val="21"/>
          <w:highlight w:val="none"/>
        </w:rPr>
        <w:t>以联合体形式参加政府采购活动，联合体各方均为中小企业的，联合体视同中小企业。其中，联合体各方均为小微企业的，联合体视同小微企业。</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eastAsia="宋体" w:cs="宋体"/>
          <w:b w:val="0"/>
          <w:bCs/>
          <w:color w:val="auto"/>
          <w:sz w:val="21"/>
          <w:szCs w:val="21"/>
          <w:highlight w:val="none"/>
          <w:lang w:eastAsia="zh-CN"/>
        </w:rPr>
        <w:t>提</w:t>
      </w:r>
      <w:r>
        <w:rPr>
          <w:rFonts w:hint="eastAsia" w:ascii="宋体" w:hAnsi="宋体" w:eastAsia="宋体" w:cs="宋体"/>
          <w:b w:val="0"/>
          <w:bCs/>
          <w:color w:val="auto"/>
          <w:sz w:val="21"/>
          <w:szCs w:val="21"/>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5.2.3.1 安置的残疾人占本单位在职职工人数的比例不低于25%（含25%），并且安置的残疾人人数不少于10人（含10人）；</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5.2.3.2 依法与安置的每位残疾人签订了一年以上（含一年）的劳动合同或服务协议；</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5.2.3.3 为安置的每位残疾人按月足额缴纳了基本养老保险、基本医疗保险、失业保险、工伤保险和生育保险等社会保险费；</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5.2.3.4 通过银行等金融机构向安置的每位残疾人，按月支付了不低于单位所在区县适用的经省级人民政府批准的月最低工资标准的工资；</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5.2.3.5 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5.2.4 本项目是否专门面向中小企业预留采购份额见第一章《投标邀请》。</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5.2.5 采购标的对应的中小企业划分标准所属行业见《投标人须知资料表》。</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5.2.6 小微企业价格评审优惠的政策调整：见第四章《评标程序、评标方法</w:t>
      </w:r>
    </w:p>
    <w:p>
      <w:pPr>
        <w:keepNext w:val="0"/>
        <w:keepLines w:val="0"/>
        <w:pageBreakBefore w:val="0"/>
        <w:widowControl w:val="0"/>
        <w:numPr>
          <w:ilvl w:val="0"/>
          <w:numId w:val="0"/>
        </w:numPr>
        <w:tabs>
          <w:tab w:val="left" w:pos="840"/>
          <w:tab w:val="left" w:pos="2035"/>
        </w:tabs>
        <w:kinsoku/>
        <w:wordWrap w:val="0"/>
        <w:overflowPunct/>
        <w:topLinePunct/>
        <w:autoSpaceDE/>
        <w:autoSpaceDN/>
        <w:bidi w:val="0"/>
        <w:snapToGrid w:val="0"/>
        <w:spacing w:line="360" w:lineRule="auto"/>
        <w:ind w:left="1080" w:left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和评标标准》。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政府采购节能产品、环境标志产品</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val="0"/>
          <w:bCs/>
          <w:color w:val="auto"/>
          <w:kern w:val="0"/>
          <w:sz w:val="21"/>
          <w:szCs w:val="21"/>
          <w:highlight w:val="none"/>
        </w:rPr>
        <w:t>否则投标无效</w:t>
      </w:r>
      <w:r>
        <w:rPr>
          <w:rFonts w:hint="eastAsia" w:ascii="宋体" w:hAnsi="宋体" w:eastAsia="宋体" w:cs="宋体"/>
          <w:b w:val="0"/>
          <w:bCs/>
          <w:color w:val="auto"/>
          <w:sz w:val="21"/>
          <w:szCs w:val="21"/>
          <w:highlight w:val="none"/>
        </w:rPr>
        <w:t>；</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非政府强制采购的节能产品或环境标志产品，依据品目清单和认证证书实施政府优先采购。优先采购的具体规定见第四章《评标方法和评标标准》（如涉及）。</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正版软件</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宋体" w:hAnsi="宋体" w:eastAsia="宋体" w:cs="宋体"/>
          <w:b w:val="0"/>
          <w:bCs/>
          <w:color w:val="auto"/>
          <w:kern w:val="0"/>
          <w:sz w:val="21"/>
          <w:szCs w:val="21"/>
          <w:highlight w:val="none"/>
        </w:rPr>
        <w:t>否则投标无效</w:t>
      </w:r>
      <w:r>
        <w:rPr>
          <w:rFonts w:hint="eastAsia" w:ascii="宋体" w:hAnsi="宋体" w:eastAsia="宋体" w:cs="宋体"/>
          <w:b w:val="0"/>
          <w:bCs/>
          <w:color w:val="auto"/>
          <w:sz w:val="21"/>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信息安全产品</w:t>
      </w:r>
    </w:p>
    <w:p>
      <w:pPr>
        <w:keepNext w:val="0"/>
        <w:keepLines w:val="0"/>
        <w:pageBreakBefore w:val="0"/>
        <w:widowControl w:val="0"/>
        <w:numPr>
          <w:ilvl w:val="0"/>
          <w:numId w:val="0"/>
        </w:numPr>
        <w:tabs>
          <w:tab w:val="left" w:pos="1080"/>
          <w:tab w:val="left" w:pos="2014"/>
        </w:tabs>
        <w:kinsoku/>
        <w:wordWrap w:val="0"/>
        <w:overflowPunct/>
        <w:topLinePunct/>
        <w:autoSpaceDE/>
        <w:autoSpaceDN/>
        <w:bidi w:val="0"/>
        <w:snapToGrid w:val="0"/>
        <w:spacing w:line="360" w:lineRule="auto"/>
        <w:ind w:left="1741" w:leftChars="529" w:hanging="630" w:hangingChars="3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推广使用低挥发性有机化合物（VOCs）</w:t>
      </w:r>
    </w:p>
    <w:p>
      <w:pPr>
        <w:keepNext w:val="0"/>
        <w:keepLines w:val="0"/>
        <w:pageBreakBefore w:val="0"/>
        <w:widowControl w:val="0"/>
        <w:numPr>
          <w:ilvl w:val="2"/>
          <w:numId w:val="8"/>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eastAsia="宋体" w:cs="宋体"/>
          <w:b w:val="0"/>
          <w:bCs/>
          <w:color w:val="auto"/>
          <w:kern w:val="0"/>
          <w:sz w:val="21"/>
          <w:szCs w:val="21"/>
          <w:highlight w:val="none"/>
        </w:rPr>
        <w:t>否则投标无效</w:t>
      </w:r>
      <w:r>
        <w:rPr>
          <w:rFonts w:hint="eastAsia" w:ascii="宋体" w:hAnsi="宋体" w:eastAsia="宋体" w:cs="宋体"/>
          <w:b w:val="0"/>
          <w:bCs/>
          <w:color w:val="auto"/>
          <w:sz w:val="21"/>
          <w:szCs w:val="21"/>
          <w:highlight w:val="none"/>
        </w:rPr>
        <w:t>；属于推荐性标准的，优先采购，具体见第四章《评标方法和评标标准》。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采购需求标准</w:t>
      </w:r>
    </w:p>
    <w:p>
      <w:pPr>
        <w:keepNext w:val="0"/>
        <w:keepLines w:val="0"/>
        <w:pageBreakBefore w:val="0"/>
        <w:widowControl w:val="0"/>
        <w:numPr>
          <w:ilvl w:val="0"/>
          <w:numId w:val="0"/>
        </w:numPr>
        <w:tabs>
          <w:tab w:val="left" w:pos="1080"/>
          <w:tab w:val="left" w:pos="2014"/>
        </w:tabs>
        <w:kinsoku/>
        <w:wordWrap w:val="0"/>
        <w:overflowPunct/>
        <w:topLinePunct/>
        <w:autoSpaceDE/>
        <w:autoSpaceDN/>
        <w:bidi w:val="0"/>
        <w:snapToGrid w:val="0"/>
        <w:spacing w:line="360" w:lineRule="auto"/>
        <w:ind w:left="633"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5.7.1商品包装、快递包装政府采购需求标准（试行）</w:t>
      </w:r>
    </w:p>
    <w:p>
      <w:pPr>
        <w:keepNext w:val="0"/>
        <w:keepLines w:val="0"/>
        <w:pageBreakBefore w:val="0"/>
        <w:widowControl w:val="0"/>
        <w:numPr>
          <w:ilvl w:val="0"/>
          <w:numId w:val="0"/>
        </w:numPr>
        <w:tabs>
          <w:tab w:val="left" w:pos="1080"/>
          <w:tab w:val="left" w:pos="2014"/>
        </w:tabs>
        <w:kinsoku/>
        <w:wordWrap w:val="0"/>
        <w:overflowPunct/>
        <w:topLinePunct/>
        <w:autoSpaceDE/>
        <w:autoSpaceDN/>
        <w:bidi w:val="0"/>
        <w:snapToGrid w:val="0"/>
        <w:spacing w:line="360" w:lineRule="auto"/>
        <w:ind w:left="1829" w:leftChars="871"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keepNext w:val="0"/>
        <w:keepLines w:val="0"/>
        <w:pageBreakBefore w:val="0"/>
        <w:widowControl w:val="0"/>
        <w:numPr>
          <w:ilvl w:val="0"/>
          <w:numId w:val="0"/>
        </w:numPr>
        <w:tabs>
          <w:tab w:val="left" w:pos="1080"/>
          <w:tab w:val="left" w:pos="2014"/>
        </w:tabs>
        <w:kinsoku/>
        <w:wordWrap w:val="0"/>
        <w:overflowPunct/>
        <w:topLinePunct/>
        <w:autoSpaceDE/>
        <w:autoSpaceDN/>
        <w:bidi w:val="0"/>
        <w:snapToGrid w:val="0"/>
        <w:spacing w:line="360" w:lineRule="auto"/>
        <w:ind w:left="633"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5.7.2绿色数据中心政府采购需求标准（试行）</w:t>
      </w:r>
    </w:p>
    <w:p>
      <w:pPr>
        <w:keepNext w:val="0"/>
        <w:keepLines w:val="0"/>
        <w:pageBreakBefore w:val="0"/>
        <w:widowControl w:val="0"/>
        <w:numPr>
          <w:ilvl w:val="0"/>
          <w:numId w:val="0"/>
        </w:numPr>
        <w:tabs>
          <w:tab w:val="left" w:pos="1080"/>
          <w:tab w:val="left" w:pos="2014"/>
        </w:tabs>
        <w:kinsoku/>
        <w:wordWrap w:val="0"/>
        <w:overflowPunct/>
        <w:topLinePunct/>
        <w:autoSpaceDE/>
        <w:autoSpaceDN/>
        <w:bidi w:val="0"/>
        <w:snapToGrid w:val="0"/>
        <w:spacing w:line="360" w:lineRule="auto"/>
        <w:ind w:left="1829" w:leftChars="871"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为加快数据中心绿色转型，根据财政部 生态环境部 工业和信息化部关于印发《绿色数据中心政府采购需求标准（试行）》的通知（财库〔2023〕7号），本项目如涉及绿色数据中心，则具体要求见第五章《采购需求》。</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投标费用</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投标人应自行承担所有与准备和参加投标有关的费用，无论投标的结果如何，采购人或采购代理机构在任何情况下均无承担这些费用的义务和责任。</w:t>
      </w:r>
      <w:bookmarkStart w:id="167" w:name="_1.8_计量单位"/>
      <w:bookmarkEnd w:id="167"/>
    </w:p>
    <w:p>
      <w:pPr>
        <w:pStyle w:val="3"/>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168" w:name="_Toc142311025"/>
      <w:bookmarkStart w:id="169" w:name="_Toc195842888"/>
      <w:bookmarkStart w:id="170" w:name="_Toc150774623"/>
      <w:bookmarkStart w:id="171" w:name="_Toc164608637"/>
      <w:bookmarkStart w:id="172" w:name="_Toc226337219"/>
      <w:bookmarkStart w:id="173" w:name="_Toc305158865"/>
      <w:bookmarkStart w:id="174" w:name="_Toc151190150"/>
      <w:bookmarkStart w:id="175" w:name="_Toc264969213"/>
      <w:bookmarkStart w:id="176" w:name="_Toc149720816"/>
      <w:bookmarkStart w:id="177" w:name="_Toc127151523"/>
      <w:bookmarkStart w:id="178" w:name="_Toc151193621"/>
      <w:bookmarkStart w:id="179" w:name="_Toc226965796"/>
      <w:bookmarkStart w:id="180" w:name="_Toc127151724"/>
      <w:bookmarkStart w:id="181" w:name="_Toc151193911"/>
      <w:bookmarkStart w:id="182" w:name="_Toc127161437"/>
      <w:bookmarkStart w:id="183" w:name="_Toc226965713"/>
      <w:bookmarkStart w:id="184" w:name="_Toc520356147"/>
      <w:bookmarkStart w:id="185" w:name="_Toc164229364"/>
      <w:bookmarkStart w:id="186" w:name="_Toc151193693"/>
      <w:bookmarkStart w:id="187" w:name="_Toc150509274"/>
      <w:bookmarkStart w:id="188" w:name="_Toc305158791"/>
      <w:bookmarkStart w:id="189" w:name="_Toc164608792"/>
      <w:bookmarkStart w:id="190" w:name="_Toc150480761"/>
      <w:bookmarkStart w:id="191" w:name="_Toc265228361"/>
      <w:bookmarkStart w:id="192" w:name="_Toc164351617"/>
      <w:bookmarkStart w:id="193" w:name="_Toc226309767"/>
      <w:bookmarkStart w:id="194" w:name="_Toc151193765"/>
      <w:bookmarkStart w:id="195" w:name="_Toc150774728"/>
      <w:bookmarkStart w:id="196" w:name="_Toc164229218"/>
      <w:bookmarkStart w:id="197" w:name="_Toc151193837"/>
      <w:r>
        <w:rPr>
          <w:rFonts w:hint="eastAsia" w:ascii="宋体" w:hAnsi="宋体" w:eastAsia="宋体" w:cs="宋体"/>
          <w:b w:val="0"/>
          <w:bCs/>
          <w:color w:val="auto"/>
          <w:sz w:val="21"/>
          <w:szCs w:val="21"/>
          <w:highlight w:val="none"/>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eastAsia="宋体" w:cs="宋体"/>
          <w:b w:val="0"/>
          <w:bCs/>
          <w:color w:val="auto"/>
          <w:sz w:val="21"/>
          <w:szCs w:val="21"/>
          <w:highlight w:val="none"/>
        </w:rPr>
        <w:t>成</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招标文件包括以下部分：</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投标邀请</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投标人须知</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资格审查</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评标程序、评标方法和评标标准</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采购需求</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拟签订的合同文本</w:t>
      </w:r>
    </w:p>
    <w:p>
      <w:pPr>
        <w:keepNext w:val="0"/>
        <w:keepLines w:val="0"/>
        <w:pageBreakBefore w:val="0"/>
        <w:widowControl w:val="0"/>
        <w:numPr>
          <w:ilvl w:val="0"/>
          <w:numId w:val="9"/>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投标文件格式</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投标人应认真阅读招标文件的全部内容。投标人应按照招标文件要求提交投标文件并保证所提供的全部资料的真实性，并对招标文件做出实质性响应，否则投标无效。</w:t>
      </w:r>
    </w:p>
    <w:p>
      <w:pPr>
        <w:keepNext w:val="0"/>
        <w:keepLines w:val="0"/>
        <w:pageBreakBefore w:val="0"/>
        <w:widowControl w:val="0"/>
        <w:numPr>
          <w:ilvl w:val="0"/>
          <w:numId w:val="8"/>
        </w:numPr>
        <w:tabs>
          <w:tab w:val="left" w:pos="1080"/>
          <w:tab w:val="left" w:pos="2014"/>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对招标文件的澄清或修改</w:t>
      </w:r>
    </w:p>
    <w:p>
      <w:pPr>
        <w:keepNext w:val="0"/>
        <w:keepLines w:val="0"/>
        <w:pageBreakBefore w:val="0"/>
        <w:widowControl w:val="0"/>
        <w:numPr>
          <w:ilvl w:val="1"/>
          <w:numId w:val="8"/>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采购人或采购代理机构对已发出的招标文件进行必要澄清或者修改的，将在原公告发布媒体上发布更正公告，并以书面形式通知所有获取招标文件的潜在投标人。</w:t>
      </w:r>
    </w:p>
    <w:p>
      <w:pPr>
        <w:keepNext w:val="0"/>
        <w:keepLines w:val="0"/>
        <w:pageBreakBefore w:val="0"/>
        <w:widowControl w:val="0"/>
        <w:numPr>
          <w:ilvl w:val="1"/>
          <w:numId w:val="8"/>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上述书面通知，按照获取招标文件的潜在投标人提供的联系方式发出，因提供的信息有误导致通知延迟或无法通知的，采购人或采购代理机构不承担责任。</w:t>
      </w:r>
    </w:p>
    <w:p>
      <w:pPr>
        <w:keepNext w:val="0"/>
        <w:keepLines w:val="0"/>
        <w:pageBreakBefore w:val="0"/>
        <w:widowControl w:val="0"/>
        <w:numPr>
          <w:ilvl w:val="1"/>
          <w:numId w:val="8"/>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3"/>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color w:val="auto"/>
          <w:sz w:val="21"/>
          <w:szCs w:val="21"/>
          <w:highlight w:val="none"/>
        </w:rPr>
      </w:pPr>
      <w:bookmarkStart w:id="198" w:name="_Toc516367020"/>
      <w:bookmarkStart w:id="199" w:name="_Toc305158868"/>
      <w:bookmarkStart w:id="200" w:name="_Toc150774731"/>
      <w:bookmarkStart w:id="201" w:name="_Toc226309770"/>
      <w:bookmarkStart w:id="202" w:name="_Toc150509277"/>
      <w:bookmarkStart w:id="203" w:name="_Toc195842891"/>
      <w:bookmarkStart w:id="204" w:name="_Toc151190153"/>
      <w:bookmarkStart w:id="205" w:name="_Toc151193696"/>
      <w:bookmarkStart w:id="206" w:name="_Toc150774626"/>
      <w:bookmarkStart w:id="207" w:name="_Toc226337222"/>
      <w:bookmarkStart w:id="208" w:name="_Toc142311028"/>
      <w:bookmarkStart w:id="209" w:name="_Toc151193768"/>
      <w:bookmarkStart w:id="210" w:name="_Toc226965799"/>
      <w:bookmarkStart w:id="211" w:name="_Toc127151526"/>
      <w:bookmarkStart w:id="212" w:name="_Toc264969216"/>
      <w:bookmarkStart w:id="213" w:name="_Toc305158794"/>
      <w:bookmarkStart w:id="214" w:name="_Toc520356150"/>
      <w:bookmarkStart w:id="215" w:name="_Toc151193624"/>
      <w:bookmarkStart w:id="216" w:name="_Toc151193840"/>
      <w:bookmarkStart w:id="217" w:name="_Toc265228364"/>
      <w:bookmarkStart w:id="218" w:name="_Toc226965716"/>
      <w:bookmarkStart w:id="219" w:name="_Toc150480764"/>
      <w:bookmarkStart w:id="220" w:name="_Toc151193914"/>
      <w:r>
        <w:rPr>
          <w:rFonts w:hint="eastAsia" w:ascii="宋体" w:hAnsi="宋体" w:eastAsia="宋体" w:cs="宋体"/>
          <w:b w:val="0"/>
          <w:bCs/>
          <w:color w:val="auto"/>
          <w:sz w:val="21"/>
          <w:szCs w:val="21"/>
          <w:highlight w:val="none"/>
        </w:rPr>
        <w:t>三   投标文件</w:t>
      </w:r>
      <w:bookmarkEnd w:id="198"/>
      <w:r>
        <w:rPr>
          <w:rFonts w:hint="eastAsia" w:ascii="宋体" w:hAnsi="宋体" w:eastAsia="宋体" w:cs="宋体"/>
          <w:b w:val="0"/>
          <w:bCs/>
          <w:color w:val="auto"/>
          <w:sz w:val="21"/>
          <w:szCs w:val="21"/>
          <w:highlight w:val="none"/>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221" w:name="_Toc151193697"/>
      <w:bookmarkStart w:id="222" w:name="_Toc226965800"/>
      <w:bookmarkStart w:id="223" w:name="_Toc151193769"/>
      <w:bookmarkStart w:id="224" w:name="_Toc127151527"/>
      <w:bookmarkStart w:id="225" w:name="_Toc226965717"/>
      <w:bookmarkStart w:id="226" w:name="_Toc149720820"/>
      <w:bookmarkStart w:id="227" w:name="_Toc265228365"/>
      <w:bookmarkStart w:id="228" w:name="_Toc516367021"/>
      <w:bookmarkStart w:id="229" w:name="_Toc195842892"/>
      <w:bookmarkStart w:id="230" w:name="_Toc264969217"/>
      <w:bookmarkStart w:id="231" w:name="_Toc150480765"/>
      <w:bookmarkStart w:id="232" w:name="_Toc164351621"/>
      <w:bookmarkStart w:id="233" w:name="_Toc151193915"/>
      <w:bookmarkStart w:id="234" w:name="_Toc150774627"/>
      <w:bookmarkStart w:id="235" w:name="_Toc305158869"/>
      <w:bookmarkStart w:id="236" w:name="_Toc305158795"/>
      <w:bookmarkStart w:id="237" w:name="_Toc150509278"/>
      <w:bookmarkStart w:id="238" w:name="_Toc151193841"/>
      <w:bookmarkStart w:id="239" w:name="_Toc127151728"/>
      <w:bookmarkStart w:id="240" w:name="_Toc164608641"/>
      <w:bookmarkStart w:id="241" w:name="_Toc164229222"/>
      <w:bookmarkStart w:id="242" w:name="_Toc226337223"/>
      <w:bookmarkStart w:id="243" w:name="_Toc150774732"/>
      <w:bookmarkStart w:id="244" w:name="_Toc127161441"/>
      <w:bookmarkStart w:id="245" w:name="_Toc142311029"/>
      <w:bookmarkStart w:id="246" w:name="_Toc164608796"/>
      <w:bookmarkStart w:id="247" w:name="_Toc151193625"/>
      <w:bookmarkStart w:id="248" w:name="_Toc151190154"/>
      <w:bookmarkStart w:id="249" w:name="_Toc520356151"/>
      <w:bookmarkStart w:id="250" w:name="_Toc226309771"/>
      <w:bookmarkStart w:id="251" w:name="_Toc164229368"/>
      <w:r>
        <w:rPr>
          <w:rFonts w:hint="eastAsia" w:ascii="宋体" w:hAnsi="宋体" w:eastAsia="宋体" w:cs="宋体"/>
          <w:b w:val="0"/>
          <w:bCs/>
          <w:color w:val="auto"/>
          <w:sz w:val="21"/>
          <w:szCs w:val="21"/>
          <w:highlight w:val="none"/>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eastAsia="宋体" w:cs="宋体"/>
          <w:b w:val="0"/>
          <w:bCs/>
          <w:color w:val="auto"/>
          <w:sz w:val="21"/>
          <w:szCs w:val="21"/>
          <w:highlight w:val="none"/>
        </w:rPr>
        <w:t>及投标语言</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除招标文件有特殊要求外，本项目投标所使用的计量单位，应采用中华人民共和国法定计量单位。</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252" w:name="_Toc516367022"/>
      <w:bookmarkStart w:id="253" w:name="_Ref467306195"/>
      <w:bookmarkStart w:id="254" w:name="_Ref467306676"/>
      <w:bookmarkStart w:id="255" w:name="_Toc150480766"/>
      <w:bookmarkStart w:id="256" w:name="_Toc226965718"/>
      <w:bookmarkStart w:id="257" w:name="_Toc164608797"/>
      <w:bookmarkStart w:id="258" w:name="_Toc305158870"/>
      <w:bookmarkStart w:id="259" w:name="_Toc142311030"/>
      <w:bookmarkStart w:id="260" w:name="_Toc195842893"/>
      <w:bookmarkStart w:id="261" w:name="_Toc149720821"/>
      <w:bookmarkStart w:id="262" w:name="_Toc264969218"/>
      <w:bookmarkStart w:id="263" w:name="_Toc127151528"/>
      <w:bookmarkStart w:id="264" w:name="_Toc265228366"/>
      <w:bookmarkStart w:id="265" w:name="_Toc226965801"/>
      <w:bookmarkStart w:id="266" w:name="_Toc151193842"/>
      <w:bookmarkStart w:id="267" w:name="_Toc151193698"/>
      <w:bookmarkStart w:id="268" w:name="_Toc164351622"/>
      <w:bookmarkStart w:id="269" w:name="_Toc151193770"/>
      <w:bookmarkStart w:id="270" w:name="_Toc150509279"/>
      <w:bookmarkStart w:id="271" w:name="_Toc226309772"/>
      <w:bookmarkStart w:id="272" w:name="_Toc164229223"/>
      <w:bookmarkStart w:id="273" w:name="_Toc164608642"/>
      <w:bookmarkStart w:id="274" w:name="_Toc226337224"/>
      <w:bookmarkStart w:id="275" w:name="_Toc151193916"/>
      <w:bookmarkStart w:id="276" w:name="_Toc150774733"/>
      <w:bookmarkStart w:id="277" w:name="_Toc151190155"/>
      <w:bookmarkStart w:id="278" w:name="_Toc127161442"/>
      <w:bookmarkStart w:id="279" w:name="_Toc151193626"/>
      <w:bookmarkStart w:id="280" w:name="_Toc164229369"/>
      <w:bookmarkStart w:id="281" w:name="_Toc150774628"/>
      <w:bookmarkStart w:id="282" w:name="_Toc305158796"/>
      <w:bookmarkStart w:id="283" w:name="_Toc127151729"/>
      <w:bookmarkStart w:id="284" w:name="_Toc520356152"/>
      <w:r>
        <w:rPr>
          <w:rFonts w:hint="eastAsia" w:ascii="宋体" w:hAnsi="宋体" w:eastAsia="宋体" w:cs="宋体"/>
          <w:b w:val="0"/>
          <w:bCs/>
          <w:color w:val="auto"/>
          <w:sz w:val="21"/>
          <w:szCs w:val="21"/>
          <w:highlight w:val="none"/>
        </w:rPr>
        <w:t>投标文件</w:t>
      </w:r>
      <w:bookmarkEnd w:id="252"/>
      <w:bookmarkEnd w:id="253"/>
      <w:bookmarkEnd w:id="254"/>
      <w:r>
        <w:rPr>
          <w:rFonts w:hint="eastAsia" w:ascii="宋体" w:hAnsi="宋体" w:eastAsia="宋体" w:cs="宋体"/>
          <w:b w:val="0"/>
          <w:bCs/>
          <w:color w:val="auto"/>
          <w:sz w:val="21"/>
          <w:szCs w:val="21"/>
          <w:highlight w:val="none"/>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bookmarkStart w:id="285" w:name="_Ref467052588"/>
      <w:r>
        <w:rPr>
          <w:rFonts w:hint="eastAsia" w:ascii="宋体" w:hAnsi="宋体" w:eastAsia="宋体" w:cs="宋体"/>
          <w:b w:val="0"/>
          <w:bCs/>
          <w:color w:val="auto"/>
          <w:sz w:val="21"/>
          <w:szCs w:val="21"/>
          <w:highlight w:val="none"/>
        </w:rPr>
        <w:t>投标人应当按照招标文件的要求编制投标文件。投标文件应由《资格证明文件》、《商务技术文件》两部分构成。投标文件的部分格式要求，见第七章《投标文件格式》。</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对于招标文件中标记了“实质性格式”文件的，</w:t>
      </w:r>
      <w:r>
        <w:rPr>
          <w:rFonts w:hint="eastAsia" w:ascii="宋体" w:hAnsi="宋体" w:eastAsia="宋体" w:cs="宋体"/>
          <w:b w:val="0"/>
          <w:bCs/>
          <w:color w:val="auto"/>
          <w:sz w:val="21"/>
          <w:szCs w:val="21"/>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val="0"/>
          <w:bCs/>
          <w:color w:val="auto"/>
          <w:kern w:val="0"/>
          <w:sz w:val="21"/>
          <w:szCs w:val="21"/>
          <w:highlight w:val="none"/>
        </w:rPr>
        <w:t>否则投标无效。未标记“实质性格式”的文件和招标文件未提供格式的内容，可由投标人自行编写。</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第四章《评标程序、评标方法和评标标准》中涉及的证明文件。</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投标人认为应附的其他材料。</w:t>
      </w:r>
      <w:bookmarkEnd w:id="285"/>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286" w:name="_Toc149720823"/>
      <w:bookmarkStart w:id="287" w:name="_Toc164229371"/>
      <w:bookmarkStart w:id="288" w:name="_Toc150774735"/>
      <w:bookmarkStart w:id="289" w:name="_Toc164608644"/>
      <w:bookmarkStart w:id="290" w:name="_Toc151193772"/>
      <w:bookmarkStart w:id="291" w:name="_Toc151190157"/>
      <w:bookmarkStart w:id="292" w:name="_Toc520356155"/>
      <w:bookmarkStart w:id="293" w:name="_Toc151193918"/>
      <w:bookmarkStart w:id="294" w:name="_Toc150480768"/>
      <w:bookmarkStart w:id="295" w:name="_Toc164608799"/>
      <w:bookmarkStart w:id="296" w:name="_Toc150509281"/>
      <w:bookmarkStart w:id="297" w:name="_Toc151193700"/>
      <w:bookmarkStart w:id="298" w:name="_Toc150774630"/>
      <w:bookmarkStart w:id="299" w:name="_Toc127151530"/>
      <w:bookmarkStart w:id="300" w:name="_Toc142311032"/>
      <w:bookmarkStart w:id="301" w:name="_Toc164229225"/>
      <w:bookmarkStart w:id="302" w:name="_Toc127151731"/>
      <w:bookmarkStart w:id="303" w:name="_Toc164351624"/>
      <w:bookmarkStart w:id="304" w:name="_Toc151193844"/>
      <w:bookmarkStart w:id="305" w:name="_Toc195842895"/>
      <w:bookmarkStart w:id="306" w:name="_Toc151193628"/>
      <w:bookmarkStart w:id="307" w:name="_Toc127161444"/>
      <w:r>
        <w:rPr>
          <w:rFonts w:hint="eastAsia" w:ascii="宋体" w:hAnsi="宋体" w:eastAsia="宋体" w:cs="宋体"/>
          <w:b w:val="0"/>
          <w:bCs/>
          <w:color w:val="auto"/>
          <w:sz w:val="21"/>
          <w:szCs w:val="21"/>
          <w:highlight w:val="none"/>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所有投标均以人民币报价。</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投标人的报价应包括为完成本项目所发生的一切费用和税费，招标人将不再支付报价以外的任何费用。投标人的报价应包括但不限于下列内容，《投标人须知资料表》中有特殊规定的，从其规定。</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按照招标文件要求完成本项目的全部相关服务费用。</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采购人不得向供应商索要或者接受其给予的赠品、回扣或者与采购无关的其他商品、服务。</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投标人不能提供任何有选择性或可调整的报价，否则其投标无效。</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308" w:name="_Toc150774631"/>
      <w:bookmarkStart w:id="309" w:name="_Toc264969221"/>
      <w:bookmarkStart w:id="310" w:name="_Toc226965804"/>
      <w:bookmarkStart w:id="311" w:name="_Toc164608645"/>
      <w:bookmarkStart w:id="312" w:name="_Toc151193629"/>
      <w:bookmarkStart w:id="313" w:name="_Toc127161445"/>
      <w:bookmarkStart w:id="314" w:name="_Toc164351625"/>
      <w:bookmarkStart w:id="315" w:name="_Toc142311033"/>
      <w:bookmarkStart w:id="316" w:name="_Toc150480769"/>
      <w:bookmarkStart w:id="317" w:name="_Toc226337227"/>
      <w:bookmarkStart w:id="318" w:name="_Toc305158873"/>
      <w:bookmarkStart w:id="319" w:name="_Toc127151732"/>
      <w:bookmarkStart w:id="320" w:name="_Toc226309775"/>
      <w:bookmarkStart w:id="321" w:name="_Toc520356156"/>
      <w:bookmarkStart w:id="322" w:name="_Toc265228369"/>
      <w:bookmarkStart w:id="323" w:name="_Toc149720824"/>
      <w:bookmarkStart w:id="324" w:name="_Toc151193919"/>
      <w:bookmarkStart w:id="325" w:name="_Toc127151531"/>
      <w:bookmarkStart w:id="326" w:name="_Toc151190158"/>
      <w:bookmarkStart w:id="327" w:name="_Toc164608800"/>
      <w:bookmarkStart w:id="328" w:name="_Toc164229226"/>
      <w:bookmarkStart w:id="329" w:name="_Toc151193701"/>
      <w:bookmarkStart w:id="330" w:name="_Toc150774736"/>
      <w:bookmarkStart w:id="331" w:name="_Toc151193773"/>
      <w:bookmarkStart w:id="332" w:name="_Toc164229372"/>
      <w:bookmarkStart w:id="333" w:name="_Toc150509282"/>
      <w:bookmarkStart w:id="334" w:name="_Toc195842896"/>
      <w:bookmarkStart w:id="335" w:name="_Toc151193845"/>
      <w:bookmarkStart w:id="336" w:name="_Toc226965721"/>
      <w:bookmarkStart w:id="337" w:name="_Ref467306513"/>
      <w:bookmarkStart w:id="338" w:name="_Toc305158799"/>
      <w:r>
        <w:rPr>
          <w:rFonts w:hint="eastAsia" w:ascii="宋体" w:hAnsi="宋体" w:eastAsia="宋体" w:cs="宋体"/>
          <w:b w:val="0"/>
          <w:bCs/>
          <w:color w:val="auto"/>
          <w:sz w:val="21"/>
          <w:szCs w:val="21"/>
          <w:highlight w:val="none"/>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bookmarkStart w:id="339" w:name="_Ref467306302"/>
      <w:r>
        <w:rPr>
          <w:rFonts w:hint="eastAsia" w:ascii="宋体" w:hAnsi="宋体" w:eastAsia="宋体" w:cs="宋体"/>
          <w:b w:val="0"/>
          <w:bCs/>
          <w:color w:val="auto"/>
          <w:sz w:val="21"/>
          <w:szCs w:val="21"/>
          <w:highlight w:val="none"/>
        </w:rPr>
        <w:t>投标人应按《投标人须知资料表》中规定的金额及要求交纳投标保证金</w:t>
      </w:r>
      <w:bookmarkEnd w:id="339"/>
      <w:r>
        <w:rPr>
          <w:rFonts w:hint="eastAsia" w:ascii="宋体" w:hAnsi="宋体" w:eastAsia="宋体" w:cs="宋体"/>
          <w:b w:val="0"/>
          <w:bCs/>
          <w:color w:val="auto"/>
          <w:sz w:val="21"/>
          <w:szCs w:val="21"/>
          <w:highlight w:val="none"/>
        </w:rPr>
        <w:t>，并作为其投标的一部分。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交纳投标保证金可采用的形式：政府采购法律法规接受的网上银行支付或者金融机构、担保机构出具的保函等非现金形式。</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保证金到账（保函提交）截止时间同投标截止时间。以网上银行支付等形式提交投标保证金的，应在投标截止时间前到账；以金融机构、担保机构出具的保函等形式提交投标保证金的，应在投标截止时间前递交至系统规定指定地点。由于到账时间晚于投标截止时间的，或者票据错误、印鉴不清等原因导致不能到账的，其投标无效。</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投标保证金（保函）有效期同投标有效期。</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联合体投标的，可以由联合体中的一方或者共同提交投标保证金，以一方名义提交投标保证金的，对联合体各方均具有约束力。</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投标人在投标截止时间前撤回已提交的投标文件的，自收到投标人书面撤回通知之日起5个工作日内退还已收取的投标保证金；</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中标人的投标保证金，自采购合同签订之日起5个工作日内退还中标人；</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未中标投标人的投标保证金，自中标通知书发出之日起5个工作日内退还未中标人；</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终止招标项目已经收取投标保证金的，自终止采购活动后5个工作日内退还已收取的投标保证金及其在银行产生的孳息。</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有下列情形之一的，采购人或采购代理机构可以不予退还投标保证金：</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投标有效期内投标人撤销投标文件的；</w:t>
      </w:r>
    </w:p>
    <w:p>
      <w:pPr>
        <w:keepNext w:val="0"/>
        <w:keepLines w:val="0"/>
        <w:pageBreakBefore w:val="0"/>
        <w:widowControl w:val="0"/>
        <w:numPr>
          <w:ilvl w:val="2"/>
          <w:numId w:val="8"/>
        </w:numPr>
        <w:tabs>
          <w:tab w:val="left" w:pos="900"/>
          <w:tab w:val="left" w:pos="1080"/>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《投标人须知资料表》中规定的其他情形。</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340" w:name="_Toc142311034"/>
      <w:bookmarkStart w:id="341" w:name="_Toc151193630"/>
      <w:bookmarkStart w:id="342" w:name="_Toc520356157"/>
      <w:bookmarkStart w:id="343" w:name="_Toc150774632"/>
      <w:bookmarkStart w:id="344" w:name="_Toc127151733"/>
      <w:bookmarkStart w:id="345" w:name="_Toc164229373"/>
      <w:bookmarkStart w:id="346" w:name="_Toc164608801"/>
      <w:bookmarkStart w:id="347" w:name="_Toc151193920"/>
      <w:bookmarkStart w:id="348" w:name="_Toc149720825"/>
      <w:bookmarkStart w:id="349" w:name="_Toc226337228"/>
      <w:bookmarkStart w:id="350" w:name="_Toc150774737"/>
      <w:bookmarkStart w:id="351" w:name="_Toc305158800"/>
      <w:bookmarkStart w:id="352" w:name="_Toc151193846"/>
      <w:bookmarkStart w:id="353" w:name="_Toc150509283"/>
      <w:bookmarkStart w:id="354" w:name="_Toc151190159"/>
      <w:bookmarkStart w:id="355" w:name="_Toc164351626"/>
      <w:bookmarkStart w:id="356" w:name="_Toc150480770"/>
      <w:bookmarkStart w:id="357" w:name="_Toc226965805"/>
      <w:bookmarkStart w:id="358" w:name="_Toc226965722"/>
      <w:bookmarkStart w:id="359" w:name="_Toc151193702"/>
      <w:bookmarkStart w:id="360" w:name="_Toc226309776"/>
      <w:bookmarkStart w:id="361" w:name="_Toc195842897"/>
      <w:bookmarkStart w:id="362" w:name="_Toc164608646"/>
      <w:bookmarkStart w:id="363" w:name="_Toc127161446"/>
      <w:bookmarkStart w:id="364" w:name="_Toc264969222"/>
      <w:bookmarkStart w:id="365" w:name="_Toc164229227"/>
      <w:bookmarkStart w:id="366" w:name="_Toc305158874"/>
      <w:bookmarkStart w:id="367" w:name="_Toc265228370"/>
      <w:bookmarkStart w:id="368" w:name="_Toc151193774"/>
      <w:bookmarkStart w:id="369" w:name="_Toc127151532"/>
      <w:r>
        <w:rPr>
          <w:rFonts w:hint="eastAsia" w:ascii="宋体" w:hAnsi="宋体" w:eastAsia="宋体" w:cs="宋体"/>
          <w:b w:val="0"/>
          <w:bCs/>
          <w:color w:val="auto"/>
          <w:sz w:val="21"/>
          <w:szCs w:val="21"/>
          <w:highlight w:val="none"/>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投标文件应在本招标文件《投标人须知资料表》中规定的投标有效期内保持有效，投标有效期少于招标文件规定期限的，其投标无效。</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370" w:name="_Toc127151533"/>
      <w:bookmarkStart w:id="371" w:name="_Toc164229374"/>
      <w:bookmarkStart w:id="372" w:name="_Toc151193921"/>
      <w:bookmarkStart w:id="373" w:name="_Toc127151734"/>
      <w:bookmarkStart w:id="374" w:name="_Toc142311035"/>
      <w:bookmarkStart w:id="375" w:name="_Toc520356158"/>
      <w:bookmarkStart w:id="376" w:name="_Toc164351627"/>
      <w:bookmarkStart w:id="377" w:name="_Toc150480771"/>
      <w:bookmarkStart w:id="378" w:name="_Toc226337229"/>
      <w:bookmarkStart w:id="379" w:name="_Toc151193847"/>
      <w:bookmarkStart w:id="380" w:name="_Toc149720826"/>
      <w:bookmarkStart w:id="381" w:name="_Toc265228371"/>
      <w:bookmarkStart w:id="382" w:name="_Toc151193631"/>
      <w:bookmarkStart w:id="383" w:name="_Toc164229228"/>
      <w:bookmarkStart w:id="384" w:name="_Toc164608647"/>
      <w:bookmarkStart w:id="385" w:name="_Toc164608802"/>
      <w:bookmarkStart w:id="386" w:name="_Toc264969223"/>
      <w:bookmarkStart w:id="387" w:name="_Toc150509284"/>
      <w:bookmarkStart w:id="388" w:name="_Toc127161447"/>
      <w:bookmarkStart w:id="389" w:name="_Toc151193775"/>
      <w:bookmarkStart w:id="390" w:name="_Toc150774633"/>
      <w:bookmarkStart w:id="391" w:name="_Toc151193703"/>
      <w:bookmarkStart w:id="392" w:name="_Toc305158801"/>
      <w:bookmarkStart w:id="393" w:name="_Toc151190160"/>
      <w:bookmarkStart w:id="394" w:name="_Toc305158875"/>
      <w:bookmarkStart w:id="395" w:name="_Toc226309777"/>
      <w:bookmarkStart w:id="396" w:name="_Toc226965723"/>
      <w:bookmarkStart w:id="397" w:name="_Toc226965806"/>
      <w:bookmarkStart w:id="398" w:name="_Toc150774738"/>
      <w:bookmarkStart w:id="399" w:name="_Toc195842898"/>
      <w:r>
        <w:rPr>
          <w:rFonts w:hint="eastAsia" w:ascii="宋体" w:hAnsi="宋体" w:eastAsia="宋体" w:cs="宋体"/>
          <w:b w:val="0"/>
          <w:bCs/>
          <w:color w:val="auto"/>
          <w:sz w:val="21"/>
          <w:szCs w:val="21"/>
          <w:highlight w:val="none"/>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hint="eastAsia" w:ascii="宋体" w:hAnsi="宋体" w:eastAsia="宋体" w:cs="宋体"/>
          <w:b w:val="0"/>
          <w:bCs/>
          <w:color w:val="auto"/>
          <w:sz w:val="21"/>
          <w:szCs w:val="21"/>
          <w:highlight w:val="none"/>
        </w:rPr>
        <w:t>、盖章</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bookmarkStart w:id="400" w:name="_Toc151193632"/>
      <w:bookmarkStart w:id="401" w:name="_Toc520356159"/>
      <w:bookmarkStart w:id="402" w:name="_Toc151190161"/>
      <w:bookmarkStart w:id="403" w:name="_Toc150774739"/>
      <w:bookmarkStart w:id="404" w:name="_Toc226965807"/>
      <w:bookmarkStart w:id="405" w:name="_Toc305158802"/>
      <w:bookmarkStart w:id="406" w:name="_Toc150774634"/>
      <w:bookmarkStart w:id="407" w:name="_Toc305158876"/>
      <w:bookmarkStart w:id="408" w:name="_Toc226337230"/>
      <w:bookmarkStart w:id="409" w:name="_Toc195842899"/>
      <w:bookmarkStart w:id="410" w:name="_Toc150480772"/>
      <w:bookmarkStart w:id="411" w:name="_Toc151193704"/>
      <w:bookmarkStart w:id="412" w:name="_Toc151193848"/>
      <w:bookmarkStart w:id="413" w:name="_Toc226309778"/>
      <w:bookmarkStart w:id="414" w:name="_Toc127151534"/>
      <w:bookmarkStart w:id="415" w:name="_Toc226965724"/>
      <w:bookmarkStart w:id="416" w:name="_Toc150509285"/>
      <w:bookmarkStart w:id="417" w:name="_Toc151193776"/>
      <w:bookmarkStart w:id="418" w:name="_Toc265228372"/>
      <w:bookmarkStart w:id="419" w:name="_Toc151193922"/>
      <w:bookmarkStart w:id="420" w:name="_Toc142311036"/>
      <w:bookmarkStart w:id="421" w:name="_Toc264969224"/>
      <w:r>
        <w:rPr>
          <w:rFonts w:hint="eastAsia" w:ascii="宋体" w:hAnsi="宋体" w:eastAsia="宋体" w:cs="宋体"/>
          <w:b w:val="0"/>
          <w:bCs/>
          <w:color w:val="auto"/>
          <w:sz w:val="21"/>
          <w:szCs w:val="21"/>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招标文件要求盖章的内容，一般通过投标文件编制工具加盖电子签章。</w:t>
      </w:r>
    </w:p>
    <w:p>
      <w:pPr>
        <w:pStyle w:val="3"/>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422" w:name="_Toc127151535"/>
      <w:bookmarkStart w:id="423" w:name="_Toc151193777"/>
      <w:bookmarkStart w:id="424" w:name="_Toc305158803"/>
      <w:bookmarkStart w:id="425" w:name="_Toc164229230"/>
      <w:bookmarkStart w:id="426" w:name="_Toc127161449"/>
      <w:bookmarkStart w:id="427" w:name="_Toc226337231"/>
      <w:bookmarkStart w:id="428" w:name="_Toc305158877"/>
      <w:bookmarkStart w:id="429" w:name="_Toc265228373"/>
      <w:bookmarkStart w:id="430" w:name="_Toc150480773"/>
      <w:bookmarkStart w:id="431" w:name="_Toc264969225"/>
      <w:bookmarkStart w:id="432" w:name="_Toc142311037"/>
      <w:bookmarkStart w:id="433" w:name="_Toc164229376"/>
      <w:bookmarkStart w:id="434" w:name="_Toc127151736"/>
      <w:bookmarkStart w:id="435" w:name="_Toc520356160"/>
      <w:bookmarkStart w:id="436" w:name="_Toc226965725"/>
      <w:bookmarkStart w:id="437" w:name="_Toc164608804"/>
      <w:bookmarkStart w:id="438" w:name="_Toc151193705"/>
      <w:bookmarkStart w:id="439" w:name="_Toc150774635"/>
      <w:bookmarkStart w:id="440" w:name="_Toc150509286"/>
      <w:bookmarkStart w:id="441" w:name="_Toc226309779"/>
      <w:bookmarkStart w:id="442" w:name="_Toc151190162"/>
      <w:bookmarkStart w:id="443" w:name="_Toc150774740"/>
      <w:bookmarkStart w:id="444" w:name="_Toc151193633"/>
      <w:bookmarkStart w:id="445" w:name="_Toc226965808"/>
      <w:bookmarkStart w:id="446" w:name="_Toc151193849"/>
      <w:bookmarkStart w:id="447" w:name="_Toc151193923"/>
      <w:bookmarkStart w:id="448" w:name="_Toc149720828"/>
      <w:bookmarkStart w:id="449" w:name="_Toc164608649"/>
      <w:bookmarkStart w:id="450" w:name="_Toc164351629"/>
      <w:bookmarkStart w:id="451" w:name="_Toc195842900"/>
      <w:r>
        <w:rPr>
          <w:rFonts w:hint="eastAsia" w:ascii="宋体" w:hAnsi="宋体" w:eastAsia="宋体" w:cs="宋体"/>
          <w:b w:val="0"/>
          <w:bCs/>
          <w:color w:val="auto"/>
          <w:sz w:val="21"/>
          <w:szCs w:val="21"/>
          <w:highlight w:val="none"/>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hint="eastAsia" w:ascii="宋体" w:hAnsi="宋体" w:eastAsia="宋体" w:cs="宋体"/>
          <w:b w:val="0"/>
          <w:bCs/>
          <w:color w:val="auto"/>
          <w:sz w:val="21"/>
          <w:szCs w:val="21"/>
          <w:highlight w:val="none"/>
        </w:rPr>
        <w:t>提交</w:t>
      </w:r>
    </w:p>
    <w:p>
      <w:pPr>
        <w:keepNext w:val="0"/>
        <w:keepLines w:val="0"/>
        <w:pageBreakBefore w:val="0"/>
        <w:widowControl w:val="0"/>
        <w:kinsoku/>
        <w:wordWrap w:val="0"/>
        <w:overflowPunct/>
        <w:topLinePunct/>
        <w:autoSpaceDE/>
        <w:autoSpaceDN/>
        <w:bidi w:val="0"/>
        <w:spacing w:line="360" w:lineRule="auto"/>
        <w:ind w:left="638" w:leftChars="304"/>
        <w:textAlignment w:val="auto"/>
        <w:rPr>
          <w:rFonts w:hint="eastAsia" w:ascii="宋体" w:hAnsi="宋体" w:eastAsia="宋体" w:cs="宋体"/>
          <w:b w:val="0"/>
          <w:bCs/>
          <w:color w:val="auto"/>
          <w:sz w:val="21"/>
          <w:szCs w:val="21"/>
          <w:highlight w:val="none"/>
        </w:rPr>
      </w:pPr>
      <w:bookmarkStart w:id="452" w:name="_Toc150509288"/>
      <w:bookmarkStart w:id="453" w:name="_Toc164229232"/>
      <w:bookmarkStart w:id="454" w:name="_Toc226337233"/>
      <w:bookmarkStart w:id="455" w:name="_Toc151193779"/>
      <w:bookmarkStart w:id="456" w:name="_Toc520356162"/>
      <w:bookmarkStart w:id="457" w:name="_Toc305158805"/>
      <w:bookmarkStart w:id="458" w:name="_Toc164351631"/>
      <w:bookmarkStart w:id="459" w:name="_Toc226965727"/>
      <w:bookmarkStart w:id="460" w:name="_Toc127151738"/>
      <w:bookmarkStart w:id="461" w:name="_Toc264969227"/>
      <w:bookmarkStart w:id="462" w:name="_Toc127161451"/>
      <w:bookmarkStart w:id="463" w:name="_Toc150774742"/>
      <w:bookmarkStart w:id="464" w:name="_Toc127151537"/>
      <w:bookmarkStart w:id="465" w:name="_Toc195842902"/>
      <w:bookmarkStart w:id="466" w:name="_Toc164229378"/>
      <w:bookmarkStart w:id="467" w:name="_Toc151193925"/>
      <w:bookmarkStart w:id="468" w:name="_Toc164608651"/>
      <w:bookmarkStart w:id="469" w:name="_Toc151193635"/>
      <w:bookmarkStart w:id="470" w:name="_Toc149720830"/>
      <w:bookmarkStart w:id="471" w:name="_Toc150480775"/>
      <w:bookmarkStart w:id="472" w:name="_Toc305158879"/>
      <w:bookmarkStart w:id="473" w:name="_Toc151193851"/>
      <w:bookmarkStart w:id="474" w:name="_Toc226309781"/>
      <w:bookmarkStart w:id="475" w:name="_Toc151190164"/>
      <w:bookmarkStart w:id="476" w:name="_Toc265228375"/>
      <w:bookmarkStart w:id="477" w:name="_Toc150774637"/>
      <w:bookmarkStart w:id="478" w:name="_Toc142311039"/>
      <w:bookmarkStart w:id="479" w:name="_Toc151193707"/>
      <w:bookmarkStart w:id="480" w:name="_Toc226965810"/>
      <w:bookmarkStart w:id="481" w:name="_Toc164608806"/>
      <w:r>
        <w:rPr>
          <w:rFonts w:hint="eastAsia" w:ascii="宋体" w:hAnsi="宋体" w:eastAsia="宋体" w:cs="宋体"/>
          <w:b w:val="0"/>
          <w:bCs/>
          <w:color w:val="auto"/>
          <w:sz w:val="21"/>
          <w:szCs w:val="21"/>
          <w:highlight w:val="none"/>
        </w:rPr>
        <w:t>15.1本项目使用北京市政府采购电子交易平台。投标人根据招标文件及电子交易平台供应商操作手册要求编制、生成并</w:t>
      </w:r>
      <w:r>
        <w:rPr>
          <w:rFonts w:hint="eastAsia" w:ascii="宋体" w:hAnsi="宋体" w:eastAsia="宋体" w:cs="宋体"/>
          <w:b w:val="0"/>
          <w:bCs/>
          <w:color w:val="auto"/>
          <w:sz w:val="21"/>
          <w:szCs w:val="21"/>
          <w:highlight w:val="none"/>
          <w:lang w:val="en-US" w:eastAsia="zh-CN"/>
        </w:rPr>
        <w:t>提</w:t>
      </w:r>
      <w:r>
        <w:rPr>
          <w:rFonts w:hint="eastAsia" w:ascii="宋体" w:hAnsi="宋体" w:eastAsia="宋体" w:cs="宋体"/>
          <w:b w:val="0"/>
          <w:bCs/>
          <w:color w:val="auto"/>
          <w:sz w:val="21"/>
          <w:szCs w:val="21"/>
          <w:highlight w:val="none"/>
        </w:rPr>
        <w:t>交电子投标文件。</w:t>
      </w:r>
    </w:p>
    <w:p>
      <w:pPr>
        <w:keepNext w:val="0"/>
        <w:keepLines w:val="0"/>
        <w:pageBreakBefore w:val="0"/>
        <w:widowControl w:val="0"/>
        <w:kinsoku/>
        <w:wordWrap w:val="0"/>
        <w:overflowPunct/>
        <w:topLinePunct/>
        <w:autoSpaceDE/>
        <w:autoSpaceDN/>
        <w:bidi w:val="0"/>
        <w:spacing w:line="360" w:lineRule="auto"/>
        <w:ind w:left="638" w:leftChars="304"/>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15.2</w:t>
      </w:r>
      <w:r>
        <w:rPr>
          <w:rFonts w:hint="eastAsia" w:ascii="宋体" w:hAnsi="宋体" w:eastAsia="宋体" w:cs="宋体"/>
          <w:b w:val="0"/>
          <w:bCs/>
          <w:color w:val="auto"/>
          <w:sz w:val="21"/>
          <w:szCs w:val="21"/>
          <w:highlight w:val="none"/>
        </w:rPr>
        <w:t xml:space="preserve"> 采购人及采购代理机构拒绝接受通过电子交易平台以外任何形式</w:t>
      </w:r>
      <w:r>
        <w:rPr>
          <w:rFonts w:hint="eastAsia" w:ascii="宋体" w:hAnsi="宋体" w:eastAsia="宋体" w:cs="宋体"/>
          <w:b w:val="0"/>
          <w:bCs/>
          <w:color w:val="auto"/>
          <w:sz w:val="21"/>
          <w:szCs w:val="21"/>
          <w:highlight w:val="none"/>
          <w:lang w:val="en-US" w:eastAsia="zh-CN"/>
        </w:rPr>
        <w:t>提</w:t>
      </w:r>
      <w:r>
        <w:rPr>
          <w:rFonts w:hint="eastAsia" w:ascii="宋体" w:hAnsi="宋体" w:eastAsia="宋体" w:cs="宋体"/>
          <w:b w:val="0"/>
          <w:bCs/>
          <w:color w:val="auto"/>
          <w:sz w:val="21"/>
          <w:szCs w:val="21"/>
          <w:highlight w:val="none"/>
        </w:rPr>
        <w:t>交的投标文件，投标保证金除外。</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482" w:name="_Toc164229377"/>
      <w:bookmarkStart w:id="483" w:name="_Toc127151737"/>
      <w:bookmarkStart w:id="484" w:name="_Toc142311038"/>
      <w:bookmarkStart w:id="485" w:name="_Toc305158804"/>
      <w:bookmarkStart w:id="486" w:name="_Toc195842901"/>
      <w:bookmarkStart w:id="487" w:name="_Toc151193850"/>
      <w:bookmarkStart w:id="488" w:name="_Toc226965726"/>
      <w:bookmarkStart w:id="489" w:name="_Toc149720829"/>
      <w:bookmarkStart w:id="490" w:name="_Toc151193778"/>
      <w:bookmarkStart w:id="491" w:name="_Toc150774741"/>
      <w:bookmarkStart w:id="492" w:name="_Toc127151536"/>
      <w:bookmarkStart w:id="493" w:name="_Toc226965809"/>
      <w:bookmarkStart w:id="494" w:name="_Toc164608805"/>
      <w:bookmarkStart w:id="495" w:name="_Toc150774636"/>
      <w:bookmarkStart w:id="496" w:name="_Toc151193634"/>
      <w:bookmarkStart w:id="497" w:name="_Toc264969226"/>
      <w:bookmarkStart w:id="498" w:name="_Toc164351630"/>
      <w:bookmarkStart w:id="499" w:name="_Toc151193924"/>
      <w:bookmarkStart w:id="500" w:name="_Toc151193706"/>
      <w:bookmarkStart w:id="501" w:name="_Toc305158878"/>
      <w:bookmarkStart w:id="502" w:name="_Toc226337232"/>
      <w:bookmarkStart w:id="503" w:name="_Toc150480774"/>
      <w:bookmarkStart w:id="504" w:name="_Toc164229231"/>
      <w:bookmarkStart w:id="505" w:name="_Toc164608650"/>
      <w:bookmarkStart w:id="506" w:name="_Toc127161450"/>
      <w:bookmarkStart w:id="507" w:name="_Toc265228374"/>
      <w:bookmarkStart w:id="508" w:name="_Toc150509287"/>
      <w:bookmarkStart w:id="509" w:name="_Toc226309780"/>
      <w:bookmarkStart w:id="510" w:name="_Toc151190163"/>
      <w:r>
        <w:rPr>
          <w:rFonts w:hint="eastAsia" w:ascii="宋体" w:hAnsi="宋体" w:eastAsia="宋体" w:cs="宋体"/>
          <w:b w:val="0"/>
          <w:bCs/>
          <w:color w:val="auto"/>
          <w:sz w:val="21"/>
          <w:szCs w:val="21"/>
          <w:highlight w:val="none"/>
        </w:rPr>
        <w:t>投标截止</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hint="eastAsia" w:ascii="宋体" w:hAnsi="宋体" w:eastAsia="宋体" w:cs="宋体"/>
          <w:b w:val="0"/>
          <w:bCs/>
          <w:color w:val="auto"/>
          <w:sz w:val="21"/>
          <w:szCs w:val="21"/>
          <w:highlight w:val="none"/>
        </w:rPr>
        <w:t>时间</w:t>
      </w:r>
    </w:p>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16.1投标人应在招标文件要求</w:t>
      </w:r>
      <w:r>
        <w:rPr>
          <w:rFonts w:hint="eastAsia" w:ascii="宋体" w:hAnsi="宋体" w:eastAsia="宋体" w:cs="宋体"/>
          <w:b w:val="0"/>
          <w:bCs/>
          <w:color w:val="auto"/>
          <w:sz w:val="21"/>
          <w:szCs w:val="21"/>
          <w:highlight w:val="none"/>
          <w:lang w:eastAsia="zh-CN"/>
        </w:rPr>
        <w:t>提</w:t>
      </w:r>
      <w:r>
        <w:rPr>
          <w:rFonts w:hint="eastAsia" w:ascii="宋体" w:hAnsi="宋体" w:eastAsia="宋体" w:cs="宋体"/>
          <w:b w:val="0"/>
          <w:bCs/>
          <w:color w:val="auto"/>
          <w:sz w:val="21"/>
          <w:szCs w:val="21"/>
          <w:highlight w:val="none"/>
        </w:rPr>
        <w:t>交投标文件截止时间前，将电子投标文件</w:t>
      </w:r>
      <w:r>
        <w:rPr>
          <w:rFonts w:hint="eastAsia" w:ascii="宋体" w:hAnsi="宋体" w:eastAsia="宋体" w:cs="宋体"/>
          <w:b w:val="0"/>
          <w:bCs/>
          <w:color w:val="auto"/>
          <w:sz w:val="21"/>
          <w:szCs w:val="21"/>
          <w:highlight w:val="none"/>
          <w:lang w:val="en-US" w:eastAsia="zh-CN"/>
        </w:rPr>
        <w:t>提</w:t>
      </w:r>
      <w:r>
        <w:rPr>
          <w:rFonts w:hint="eastAsia" w:ascii="宋体" w:hAnsi="宋体" w:eastAsia="宋体" w:cs="宋体"/>
          <w:b w:val="0"/>
          <w:bCs/>
          <w:color w:val="auto"/>
          <w:sz w:val="21"/>
          <w:szCs w:val="21"/>
          <w:highlight w:val="none"/>
        </w:rPr>
        <w:t>交至电子交易平台。</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投标文件的修改与撤回</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投标截止时间前，投标人可以通过电子交易平台对所</w:t>
      </w:r>
      <w:r>
        <w:rPr>
          <w:rFonts w:hint="eastAsia" w:ascii="宋体" w:hAnsi="宋体" w:eastAsia="宋体" w:cs="宋体"/>
          <w:b w:val="0"/>
          <w:bCs/>
          <w:color w:val="auto"/>
          <w:sz w:val="21"/>
          <w:szCs w:val="21"/>
          <w:highlight w:val="none"/>
          <w:lang w:val="en-US" w:eastAsia="zh-CN"/>
        </w:rPr>
        <w:t>提</w:t>
      </w:r>
      <w:r>
        <w:rPr>
          <w:rFonts w:hint="eastAsia" w:ascii="宋体" w:hAnsi="宋体" w:eastAsia="宋体" w:cs="宋体"/>
          <w:b w:val="0"/>
          <w:bCs/>
          <w:color w:val="auto"/>
          <w:sz w:val="21"/>
          <w:szCs w:val="21"/>
          <w:highlight w:val="none"/>
        </w:rPr>
        <w:t>交的投标文件进行补充、修改或者撤回。投标保证金的补充、修改或者撤回无需通过电子交易平台，但应就其补充、修改或者撤回通知采购人或采购代理机构。</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投标人对投标文件的补充、修改的内容应当按照招标文件要求签署、盖章，作为投标文件的组成部分。</w:t>
      </w:r>
    </w:p>
    <w:p>
      <w:pPr>
        <w:pStyle w:val="3"/>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color w:val="auto"/>
          <w:sz w:val="21"/>
          <w:szCs w:val="21"/>
          <w:highlight w:val="none"/>
        </w:rPr>
      </w:pPr>
      <w:bookmarkStart w:id="511" w:name="_Toc151193636"/>
      <w:bookmarkStart w:id="512" w:name="_Toc150480776"/>
      <w:bookmarkStart w:id="513" w:name="_Toc127151538"/>
      <w:bookmarkStart w:id="514" w:name="_Toc195842903"/>
      <w:bookmarkStart w:id="515" w:name="_Toc151193926"/>
      <w:bookmarkStart w:id="516" w:name="_Toc150774743"/>
      <w:bookmarkStart w:id="517" w:name="_Toc305158880"/>
      <w:bookmarkStart w:id="518" w:name="_Toc305158806"/>
      <w:bookmarkStart w:id="519" w:name="_Toc151190165"/>
      <w:bookmarkStart w:id="520" w:name="_Toc226337234"/>
      <w:bookmarkStart w:id="521" w:name="_Toc226309782"/>
      <w:bookmarkStart w:id="522" w:name="_Toc150509289"/>
      <w:bookmarkStart w:id="523" w:name="_Toc226965811"/>
      <w:bookmarkStart w:id="524" w:name="_Toc264969228"/>
      <w:bookmarkStart w:id="525" w:name="_Toc151193708"/>
      <w:bookmarkStart w:id="526" w:name="_Toc150774638"/>
      <w:bookmarkStart w:id="527" w:name="_Toc226965728"/>
      <w:bookmarkStart w:id="528" w:name="_Toc151193852"/>
      <w:bookmarkStart w:id="529" w:name="_Toc151193780"/>
      <w:bookmarkStart w:id="530" w:name="_Toc520356163"/>
      <w:bookmarkStart w:id="531" w:name="_Toc265228376"/>
      <w:bookmarkStart w:id="532" w:name="_Toc142311040"/>
      <w:r>
        <w:rPr>
          <w:rFonts w:hint="eastAsia" w:ascii="宋体" w:hAnsi="宋体" w:eastAsia="宋体" w:cs="宋体"/>
          <w:b w:val="0"/>
          <w:bCs/>
          <w:color w:val="auto"/>
          <w:sz w:val="21"/>
          <w:szCs w:val="21"/>
          <w:highlight w:val="none"/>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533" w:name="_Toc226309783"/>
      <w:bookmarkStart w:id="534" w:name="_Toc150509290"/>
      <w:bookmarkStart w:id="535" w:name="_Toc164229380"/>
      <w:bookmarkStart w:id="536" w:name="_Toc127151740"/>
      <w:bookmarkStart w:id="537" w:name="_Toc151193853"/>
      <w:bookmarkStart w:id="538" w:name="_Toc151193927"/>
      <w:bookmarkStart w:id="539" w:name="_Toc520356164"/>
      <w:bookmarkStart w:id="540" w:name="_Toc164229234"/>
      <w:bookmarkStart w:id="541" w:name="_Toc164608653"/>
      <w:bookmarkStart w:id="542" w:name="_Toc164608808"/>
      <w:bookmarkStart w:id="543" w:name="_Toc226965729"/>
      <w:bookmarkStart w:id="544" w:name="_Toc226965812"/>
      <w:bookmarkStart w:id="545" w:name="_Toc305158807"/>
      <w:bookmarkStart w:id="546" w:name="_Toc226337235"/>
      <w:bookmarkStart w:id="547" w:name="_Toc264969229"/>
      <w:bookmarkStart w:id="548" w:name="_Toc265228377"/>
      <w:bookmarkStart w:id="549" w:name="_Toc142311041"/>
      <w:bookmarkStart w:id="550" w:name="_Toc151193781"/>
      <w:bookmarkStart w:id="551" w:name="_Toc127161453"/>
      <w:bookmarkStart w:id="552" w:name="_Toc151190166"/>
      <w:bookmarkStart w:id="553" w:name="_Toc151193637"/>
      <w:bookmarkStart w:id="554" w:name="_Toc151193709"/>
      <w:bookmarkStart w:id="555" w:name="_Toc305158881"/>
      <w:bookmarkStart w:id="556" w:name="_Toc127151539"/>
      <w:bookmarkStart w:id="557" w:name="_Toc150480777"/>
      <w:bookmarkStart w:id="558" w:name="_Toc150774639"/>
      <w:bookmarkStart w:id="559" w:name="_Toc150774744"/>
      <w:bookmarkStart w:id="560" w:name="_Toc149720832"/>
      <w:bookmarkStart w:id="561" w:name="_Toc164351633"/>
      <w:bookmarkStart w:id="562" w:name="_Toc195842904"/>
      <w:r>
        <w:rPr>
          <w:rFonts w:hint="eastAsia" w:ascii="宋体" w:hAnsi="宋体" w:eastAsia="宋体" w:cs="宋体"/>
          <w:b w:val="0"/>
          <w:bCs/>
          <w:color w:val="auto"/>
          <w:sz w:val="21"/>
          <w:szCs w:val="21"/>
          <w:highlight w:val="none"/>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Start w:id="563" w:name="_Toc520356169"/>
    </w:p>
    <w:p>
      <w:pPr>
        <w:keepNext w:val="0"/>
        <w:keepLines w:val="0"/>
        <w:pageBreakBefore w:val="0"/>
        <w:widowControl w:val="0"/>
        <w:numPr>
          <w:ilvl w:val="1"/>
          <w:numId w:val="8"/>
        </w:numPr>
        <w:tabs>
          <w:tab w:val="left" w:pos="360"/>
          <w:tab w:val="clear" w:pos="1589"/>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采购人或采购代理机构将按招标文件的规定，在投标截止时间的同一时间和招标文件预先确定的地点组织开标。</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开标过程将使用电子系统宣布投标人名称、投标价格和招标文件规定的需要宣布的其他内容并进行记录，并由参加开标的各投标人代表确认</w:t>
      </w:r>
      <w:bookmarkStart w:id="564" w:name="_Toc520356165"/>
      <w:r>
        <w:rPr>
          <w:rFonts w:hint="eastAsia" w:ascii="宋体" w:hAnsi="宋体" w:eastAsia="宋体" w:cs="宋体"/>
          <w:b w:val="0"/>
          <w:bCs/>
          <w:color w:val="auto"/>
          <w:sz w:val="21"/>
          <w:szCs w:val="21"/>
          <w:highlight w:val="none"/>
        </w:rPr>
        <w:t>。</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投标人不足3家的，不予开标。</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资格审查</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见第三章《资格审查》。</w:t>
      </w:r>
    </w:p>
    <w:bookmarkEnd w:id="564"/>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565" w:name="_Toc127161454"/>
      <w:bookmarkStart w:id="566" w:name="_Toc142311042"/>
      <w:bookmarkStart w:id="567" w:name="_Toc164229235"/>
      <w:bookmarkStart w:id="568" w:name="_Toc151193710"/>
      <w:bookmarkStart w:id="569" w:name="_Toc150480778"/>
      <w:bookmarkStart w:id="570" w:name="_Toc151193928"/>
      <w:bookmarkStart w:id="571" w:name="_Toc151193854"/>
      <w:bookmarkStart w:id="572" w:name="_Toc150774640"/>
      <w:bookmarkStart w:id="573" w:name="_Toc164608654"/>
      <w:bookmarkStart w:id="574" w:name="_Toc195842905"/>
      <w:bookmarkStart w:id="575" w:name="_Toc265228378"/>
      <w:bookmarkStart w:id="576" w:name="_Toc264969230"/>
      <w:bookmarkStart w:id="577" w:name="_Toc164351634"/>
      <w:bookmarkStart w:id="578" w:name="_Toc150509291"/>
      <w:bookmarkStart w:id="579" w:name="_Toc151190167"/>
      <w:bookmarkStart w:id="580" w:name="_Toc226965813"/>
      <w:bookmarkStart w:id="581" w:name="_Toc305158808"/>
      <w:bookmarkStart w:id="582" w:name="_Toc164608809"/>
      <w:bookmarkStart w:id="583" w:name="_Toc226965730"/>
      <w:bookmarkStart w:id="584" w:name="_Toc305158882"/>
      <w:bookmarkStart w:id="585" w:name="_Toc127151540"/>
      <w:bookmarkStart w:id="586" w:name="_Toc149720833"/>
      <w:bookmarkStart w:id="587" w:name="_Toc151193782"/>
      <w:bookmarkStart w:id="588" w:name="_Toc226309784"/>
      <w:bookmarkStart w:id="589" w:name="_Toc226337236"/>
      <w:bookmarkStart w:id="590" w:name="_Toc150774745"/>
      <w:bookmarkStart w:id="591" w:name="_Toc151193638"/>
      <w:bookmarkStart w:id="592" w:name="_Toc127151741"/>
      <w:bookmarkStart w:id="593" w:name="_Toc164229381"/>
      <w:r>
        <w:rPr>
          <w:rFonts w:hint="eastAsia" w:ascii="宋体" w:hAnsi="宋体" w:eastAsia="宋体" w:cs="宋体"/>
          <w:b w:val="0"/>
          <w:bCs/>
          <w:color w:val="auto"/>
          <w:sz w:val="21"/>
          <w:szCs w:val="21"/>
          <w:highlight w:val="none"/>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评标委员会根据政府采购有关规定和本次招标采购项目的特点进行组建，并负责具体评标事务，独立履行职责。</w:t>
      </w:r>
      <w:bookmarkStart w:id="594" w:name="_Toc520356166"/>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4"/>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评标程序、评标方法和评标标准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见第四章《评标程序、评标方法和评标标准》。</w:t>
      </w:r>
    </w:p>
    <w:p>
      <w:pPr>
        <w:pStyle w:val="3"/>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color w:val="auto"/>
          <w:sz w:val="21"/>
          <w:szCs w:val="21"/>
          <w:highlight w:val="none"/>
        </w:rPr>
      </w:pPr>
      <w:bookmarkStart w:id="595" w:name="_Toc305158813"/>
      <w:bookmarkStart w:id="596" w:name="_Toc151193715"/>
      <w:bookmarkStart w:id="597" w:name="_Toc150480783"/>
      <w:bookmarkStart w:id="598" w:name="_Toc265228383"/>
      <w:bookmarkStart w:id="599" w:name="_Toc195842910"/>
      <w:bookmarkStart w:id="600" w:name="_Toc226965735"/>
      <w:bookmarkStart w:id="601" w:name="_Toc127151545"/>
      <w:bookmarkStart w:id="602" w:name="_Toc226337241"/>
      <w:bookmarkStart w:id="603" w:name="_Toc151193643"/>
      <w:bookmarkStart w:id="604" w:name="_Toc151190172"/>
      <w:bookmarkStart w:id="605" w:name="_Toc142311047"/>
      <w:bookmarkStart w:id="606" w:name="_Toc150774750"/>
      <w:bookmarkStart w:id="607" w:name="_Toc264969235"/>
      <w:bookmarkStart w:id="608" w:name="_Toc151193859"/>
      <w:bookmarkStart w:id="609" w:name="_Toc151193787"/>
      <w:bookmarkStart w:id="610" w:name="_Toc151193933"/>
      <w:bookmarkStart w:id="611" w:name="_Toc226309789"/>
      <w:bookmarkStart w:id="612" w:name="_Toc305158887"/>
      <w:bookmarkStart w:id="613" w:name="_Toc226965818"/>
      <w:bookmarkStart w:id="614" w:name="_Toc150509296"/>
      <w:bookmarkStart w:id="615" w:name="_Toc150774645"/>
      <w:r>
        <w:rPr>
          <w:rFonts w:hint="eastAsia" w:ascii="宋体" w:hAnsi="宋体" w:eastAsia="宋体" w:cs="宋体"/>
          <w:b w:val="0"/>
          <w:bCs/>
          <w:color w:val="auto"/>
          <w:sz w:val="21"/>
          <w:szCs w:val="21"/>
          <w:highlight w:val="none"/>
        </w:rPr>
        <w:t xml:space="preserve">六   </w:t>
      </w:r>
      <w:bookmarkEnd w:id="563"/>
      <w:r>
        <w:rPr>
          <w:rFonts w:hint="eastAsia" w:ascii="宋体" w:hAnsi="宋体" w:eastAsia="宋体" w:cs="宋体"/>
          <w:b w:val="0"/>
          <w:bCs/>
          <w:color w:val="auto"/>
          <w:sz w:val="21"/>
          <w:szCs w:val="21"/>
          <w:highlight w:val="none"/>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27151547"/>
      <w:bookmarkStart w:id="617" w:name="_Toc305158815"/>
      <w:bookmarkStart w:id="618" w:name="_Toc127161461"/>
      <w:bookmarkStart w:id="619" w:name="_Toc142311049"/>
      <w:bookmarkStart w:id="620" w:name="_Toc150509298"/>
      <w:bookmarkStart w:id="621" w:name="_Toc164608816"/>
      <w:bookmarkStart w:id="622" w:name="_Toc151193861"/>
      <w:bookmarkStart w:id="623" w:name="_Toc151193717"/>
      <w:bookmarkStart w:id="624" w:name="_Toc226965737"/>
      <w:bookmarkStart w:id="625" w:name="_Toc150774752"/>
      <w:bookmarkStart w:id="626" w:name="_Toc150480785"/>
      <w:bookmarkStart w:id="627" w:name="_Toc195842912"/>
      <w:bookmarkStart w:id="628" w:name="_Toc164229388"/>
      <w:bookmarkStart w:id="629" w:name="_Toc164229242"/>
      <w:bookmarkStart w:id="630" w:name="_Toc164608661"/>
      <w:bookmarkStart w:id="631" w:name="_Toc164351641"/>
      <w:bookmarkStart w:id="632" w:name="_Toc305158889"/>
      <w:bookmarkStart w:id="633" w:name="_Toc226965820"/>
      <w:bookmarkStart w:id="634" w:name="_Toc151193789"/>
      <w:bookmarkStart w:id="635" w:name="_Toc265228385"/>
      <w:bookmarkStart w:id="636" w:name="_Toc151193935"/>
      <w:bookmarkStart w:id="637" w:name="_Toc264969237"/>
      <w:bookmarkStart w:id="638" w:name="_Toc150774647"/>
      <w:bookmarkStart w:id="639" w:name="_Toc151193645"/>
      <w:bookmarkStart w:id="640" w:name="_Toc149720840"/>
      <w:bookmarkStart w:id="641" w:name="_Toc127151748"/>
      <w:bookmarkStart w:id="642" w:name="_Toc226337243"/>
      <w:bookmarkStart w:id="643" w:name="_Toc226309791"/>
      <w:bookmarkStart w:id="644" w:name="_Toc151190174"/>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ascii="宋体" w:hAnsi="宋体" w:eastAsia="宋体" w:cs="宋体"/>
          <w:b w:val="0"/>
          <w:bCs/>
          <w:color w:val="auto"/>
          <w:sz w:val="21"/>
          <w:szCs w:val="21"/>
          <w:highlight w:val="none"/>
          <w:lang w:val="en-US" w:eastAsia="zh-CN"/>
        </w:rPr>
        <w:t>中标人</w:t>
      </w:r>
      <w:r>
        <w:rPr>
          <w:rFonts w:hint="eastAsia" w:ascii="宋体" w:hAnsi="宋体" w:eastAsia="宋体" w:cs="宋体"/>
          <w:b w:val="0"/>
          <w:bCs/>
          <w:color w:val="auto"/>
          <w:sz w:val="21"/>
          <w:szCs w:val="21"/>
          <w:highlight w:val="none"/>
        </w:rPr>
        <w:t>。</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645" w:name="_Toc305158891"/>
      <w:bookmarkStart w:id="646" w:name="_Toc305158817"/>
      <w:bookmarkStart w:id="647" w:name="_Toc127161463"/>
      <w:bookmarkStart w:id="648" w:name="_Toc127151549"/>
      <w:bookmarkStart w:id="649" w:name="_Toc226965822"/>
      <w:bookmarkStart w:id="650" w:name="_Toc164229390"/>
      <w:bookmarkStart w:id="651" w:name="_Toc151193719"/>
      <w:bookmarkStart w:id="652" w:name="_Toc226337245"/>
      <w:bookmarkStart w:id="653" w:name="_Toc149720842"/>
      <w:bookmarkStart w:id="654" w:name="_Toc195842914"/>
      <w:bookmarkStart w:id="655" w:name="_Toc151190176"/>
      <w:bookmarkStart w:id="656" w:name="_Toc164608663"/>
      <w:bookmarkStart w:id="657" w:name="_Toc226309793"/>
      <w:bookmarkStart w:id="658" w:name="_Toc127151750"/>
      <w:bookmarkStart w:id="659" w:name="_Toc150774649"/>
      <w:bookmarkStart w:id="660" w:name="_Toc151193647"/>
      <w:bookmarkStart w:id="661" w:name="_Toc226965739"/>
      <w:bookmarkStart w:id="662" w:name="_Toc150774754"/>
      <w:bookmarkStart w:id="663" w:name="_Toc151193863"/>
      <w:bookmarkStart w:id="664" w:name="_Toc150509300"/>
      <w:bookmarkStart w:id="665" w:name="_Toc264969239"/>
      <w:bookmarkStart w:id="666" w:name="_Toc142311051"/>
      <w:bookmarkStart w:id="667" w:name="_Toc265228387"/>
      <w:bookmarkStart w:id="668" w:name="_Toc151193937"/>
      <w:bookmarkStart w:id="669" w:name="_Toc151193791"/>
      <w:bookmarkStart w:id="670" w:name="_Toc164229244"/>
      <w:bookmarkStart w:id="671" w:name="_Toc150480787"/>
      <w:bookmarkStart w:id="672" w:name="_Toc164351643"/>
      <w:bookmarkStart w:id="673" w:name="_Toc164608818"/>
      <w:bookmarkStart w:id="674" w:name="_Ref467306425"/>
      <w:bookmarkStart w:id="675" w:name="_Ref467307090"/>
      <w:bookmarkStart w:id="676" w:name="_Toc520356176"/>
      <w:r>
        <w:rPr>
          <w:rFonts w:hint="eastAsia" w:ascii="宋体" w:hAnsi="宋体" w:eastAsia="宋体" w:cs="宋体"/>
          <w:b w:val="0"/>
          <w:bCs/>
          <w:color w:val="auto"/>
          <w:sz w:val="21"/>
          <w:szCs w:val="21"/>
          <w:highlight w:val="none"/>
        </w:rPr>
        <w:t>中标公告与中标通知书</w:t>
      </w:r>
      <w:bookmarkEnd w:id="645"/>
      <w:bookmarkEnd w:id="646"/>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采购人或采购代理机构自中标人确定之日起2个工作日内，</w:t>
      </w:r>
      <w:r>
        <w:rPr>
          <w:rFonts w:hint="eastAsia" w:ascii="宋体" w:hAnsi="宋体" w:eastAsia="宋体" w:cs="宋体"/>
          <w:b w:val="0"/>
          <w:bCs/>
          <w:color w:val="auto"/>
          <w:kern w:val="0"/>
          <w:sz w:val="21"/>
          <w:szCs w:val="21"/>
          <w:highlight w:val="none"/>
        </w:rPr>
        <w:t>在北京市政府采购网、中国政府采购网公告中标结果</w:t>
      </w:r>
      <w:r>
        <w:rPr>
          <w:rFonts w:hint="eastAsia" w:ascii="宋体" w:hAnsi="宋体" w:eastAsia="宋体" w:cs="宋体"/>
          <w:b w:val="0"/>
          <w:bCs/>
          <w:color w:val="auto"/>
          <w:sz w:val="21"/>
          <w:szCs w:val="21"/>
          <w:highlight w:val="none"/>
        </w:rPr>
        <w:t>，同时向中标人发出中标通知书，中标公告期限为1个工作日。</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中标通知书对采购人和中标供应商均具有法律效力。中标通知书发出后，采购人改变中标结果的，或者中标供应商放弃中标项目的，应当依法承担法律责任。</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废标</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在招标采购中，出现下列情形之一的，应予废标：</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符合专业条件的供应商或者对招标文件作实质响应的供应商不足三家的；</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出现影响采购公正的违法、违规行为的；</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投标人的报价均超过了采购预算，采购人不能支付的；</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因重大变故，采购任务取消的。</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废标后，采购人将废标理由通知所有投标人。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bookmarkStart w:id="677" w:name="_Toc265228388"/>
      <w:bookmarkStart w:id="678" w:name="_Toc164608819"/>
      <w:bookmarkStart w:id="679" w:name="_Toc127151550"/>
      <w:bookmarkStart w:id="680" w:name="_Toc142311052"/>
      <w:bookmarkStart w:id="681" w:name="_Toc151193938"/>
      <w:bookmarkStart w:id="682" w:name="_Toc305158892"/>
      <w:bookmarkStart w:id="683" w:name="_Toc195842915"/>
      <w:bookmarkStart w:id="684" w:name="_Toc164229391"/>
      <w:bookmarkStart w:id="685" w:name="_Toc151193720"/>
      <w:bookmarkStart w:id="686" w:name="_Toc164351644"/>
      <w:bookmarkStart w:id="687" w:name="_Toc520356175"/>
      <w:bookmarkStart w:id="688" w:name="_Toc150509301"/>
      <w:bookmarkStart w:id="689" w:name="_Toc264969240"/>
      <w:bookmarkStart w:id="690" w:name="_Toc151190177"/>
      <w:bookmarkStart w:id="691" w:name="_Toc150774650"/>
      <w:bookmarkStart w:id="692" w:name="_Ref467307062"/>
      <w:bookmarkStart w:id="693" w:name="_Toc226965823"/>
      <w:bookmarkStart w:id="694" w:name="_Ref467307204"/>
      <w:bookmarkStart w:id="695" w:name="_Toc151193792"/>
      <w:bookmarkStart w:id="696" w:name="_Toc305158818"/>
      <w:bookmarkStart w:id="697" w:name="_Ref467306377"/>
      <w:bookmarkStart w:id="698" w:name="_Toc226337246"/>
      <w:bookmarkStart w:id="699" w:name="_Toc151193864"/>
      <w:bookmarkStart w:id="700" w:name="_Toc164229245"/>
      <w:bookmarkStart w:id="701" w:name="_Toc127151751"/>
      <w:bookmarkStart w:id="702" w:name="_Toc226309794"/>
      <w:bookmarkStart w:id="703" w:name="_Toc226965740"/>
      <w:bookmarkStart w:id="704" w:name="_Toc151193648"/>
      <w:bookmarkStart w:id="705" w:name="_Toc149720843"/>
      <w:bookmarkStart w:id="706" w:name="_Toc150774755"/>
      <w:bookmarkStart w:id="707" w:name="_Toc164608664"/>
      <w:bookmarkStart w:id="708" w:name="_Ref467306978"/>
      <w:bookmarkStart w:id="709" w:name="_Toc127161464"/>
      <w:bookmarkStart w:id="710" w:name="_Toc150480788"/>
      <w:r>
        <w:rPr>
          <w:rFonts w:hint="eastAsia" w:ascii="宋体" w:hAnsi="宋体" w:eastAsia="宋体" w:cs="宋体"/>
          <w:b w:val="0"/>
          <w:bCs/>
          <w:color w:val="auto"/>
          <w:sz w:val="21"/>
          <w:szCs w:val="21"/>
          <w:highlight w:val="none"/>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中标人、采购人应当自中标通知书发出之日起30日内，按照招标文件和中标人投标文件的规定签订书面合同。所签订的合同不得对招标文件确定的事项和中标人投标文件作实质性修改。</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中标人拒绝与采购人签订合同的，采购人可以按照评标报告推荐的中标候选人名单排序，确定下一候选人为中标人，也可以重新开展政府采购活动。</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联合体中标的，联合体各方应当共同与采购人签订合同，就中标项目向采购人承担连带责任。</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政府采购合同不能转包。</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bookmarkEnd w:id="674"/>
    <w:bookmarkEnd w:id="675"/>
    <w:bookmarkEnd w:id="676"/>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询问与质疑</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询问</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投标人对政府采购活动事项有疑问的，可依法提出询问，并按《投标人须知资料表》载明的形式送达采购人或采购代理机构。</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采购人或采购代理机构对供应商依法提出的询问，在3个工作日内作出答复，但答复的内容不得涉及商业秘密。</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质疑</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质疑函须使用财政部制定的范本文件。</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投标人为自然人的，应当由本人签字；投标人为法人或者其他组织的，应当由法定代表人、主要负责人，或者其授权代表签字或者盖章，并加盖公章。</w:t>
      </w:r>
    </w:p>
    <w:p>
      <w:pPr>
        <w:keepNext w:val="0"/>
        <w:keepLines w:val="0"/>
        <w:pageBreakBefore w:val="0"/>
        <w:widowControl w:val="0"/>
        <w:numPr>
          <w:ilvl w:val="2"/>
          <w:numId w:val="8"/>
        </w:numPr>
        <w:kinsoku/>
        <w:wordWrap w:val="0"/>
        <w:overflowPunct/>
        <w:topLinePunct/>
        <w:autoSpaceDE/>
        <w:autoSpaceDN/>
        <w:bidi w:val="0"/>
        <w:snapToGrid w:val="0"/>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投标人应在法定质疑期内一次性提出针对同一采购程序环节的质疑，法定质疑期内针对同一采购程序环节再次提出的质疑，采购人、采购代理机构有权不予答复。</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接收询问和质疑的联系部门、联系电话和通讯地址见《投标人须知资料表》。</w:t>
      </w:r>
    </w:p>
    <w:p>
      <w:pPr>
        <w:keepNext w:val="0"/>
        <w:keepLines w:val="0"/>
        <w:pageBreakBefore w:val="0"/>
        <w:widowControl w:val="0"/>
        <w:numPr>
          <w:ilvl w:val="0"/>
          <w:numId w:val="8"/>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代理费</w:t>
      </w:r>
    </w:p>
    <w:p>
      <w:pPr>
        <w:keepNext w:val="0"/>
        <w:keepLines w:val="0"/>
        <w:pageBreakBefore w:val="0"/>
        <w:widowControl w:val="0"/>
        <w:numPr>
          <w:ilvl w:val="1"/>
          <w:numId w:val="8"/>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color w:val="auto"/>
          <w:sz w:val="21"/>
          <w:szCs w:val="21"/>
          <w:highlight w:val="none"/>
        </w:rPr>
        <w:t>收费对象、收费标准及缴纳时间见《投标人须知资料表》。由中标人支付的，中标人须一次性向采购代理机构缴纳代理费，投标报价应包含代理费用。</w:t>
      </w:r>
    </w:p>
    <w:p>
      <w:pPr>
        <w:keepNext w:val="0"/>
        <w:keepLines w:val="0"/>
        <w:pageBreakBefore w:val="0"/>
        <w:widowControl w:val="0"/>
        <w:numPr>
          <w:ilvl w:val="0"/>
          <w:numId w:val="10"/>
        </w:numPr>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1"/>
          <w:szCs w:val="21"/>
          <w:highlight w:val="none"/>
        </w:rPr>
      </w:pPr>
      <w:bookmarkStart w:id="711" w:name="_Toc127151554"/>
      <w:bookmarkStart w:id="712" w:name="_Toc353873664"/>
      <w:bookmarkStart w:id="713" w:name="_Toc264969244"/>
      <w:bookmarkStart w:id="714" w:name="_Toc226965827"/>
      <w:bookmarkStart w:id="715" w:name="_Toc150480792"/>
      <w:bookmarkStart w:id="716" w:name="_Toc353873934"/>
      <w:bookmarkStart w:id="717" w:name="_Toc265228392"/>
      <w:bookmarkStart w:id="718" w:name="_Toc305158896"/>
      <w:bookmarkStart w:id="719" w:name="_Toc226337250"/>
      <w:bookmarkStart w:id="720" w:name="_Toc150774759"/>
      <w:bookmarkStart w:id="721" w:name="_Toc305158822"/>
      <w:bookmarkStart w:id="722" w:name="_Toc142311056"/>
      <w:bookmarkStart w:id="723" w:name="_Toc353825544"/>
      <w:r>
        <w:rPr>
          <w:rFonts w:hint="eastAsia" w:ascii="宋体" w:hAnsi="宋体" w:eastAsia="宋体" w:cs="宋体"/>
          <w:b w:val="0"/>
          <w:bCs/>
          <w:sz w:val="21"/>
          <w:szCs w:val="21"/>
          <w:highlight w:val="none"/>
        </w:rPr>
        <w:br w:type="page"/>
      </w:r>
      <w:bookmarkStart w:id="724" w:name="_Toc14455"/>
      <w:r>
        <w:rPr>
          <w:rFonts w:hint="eastAsia" w:ascii="宋体" w:hAnsi="宋体" w:eastAsia="宋体" w:cs="宋体"/>
          <w:b w:val="0"/>
          <w:bCs/>
          <w:sz w:val="21"/>
          <w:szCs w:val="21"/>
          <w:highlight w:val="none"/>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rFonts w:hint="eastAsia" w:ascii="宋体" w:hAnsi="宋体" w:eastAsia="宋体" w:cs="宋体"/>
          <w:b w:val="0"/>
          <w:bCs/>
          <w:sz w:val="21"/>
          <w:szCs w:val="21"/>
          <w:highlight w:val="none"/>
        </w:rPr>
        <w:t>资格审查</w:t>
      </w:r>
      <w:bookmarkEnd w:id="724"/>
      <w:bookmarkStart w:id="725" w:name="_Toc487900382"/>
    </w:p>
    <w:p>
      <w:pPr>
        <w:pStyle w:val="56"/>
        <w:keepNext w:val="0"/>
        <w:keepLines w:val="0"/>
        <w:pageBreakBefore w:val="0"/>
        <w:widowControl w:val="0"/>
        <w:numPr>
          <w:ilvl w:val="0"/>
          <w:numId w:val="0"/>
        </w:numPr>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sz w:val="21"/>
          <w:szCs w:val="21"/>
          <w:highlight w:val="none"/>
        </w:rPr>
      </w:pPr>
      <w:bookmarkStart w:id="726" w:name="_Toc99301422"/>
      <w:r>
        <w:rPr>
          <w:rFonts w:hint="eastAsia" w:ascii="宋体" w:hAnsi="宋体" w:eastAsia="宋体" w:cs="宋体"/>
          <w:b w:val="0"/>
          <w:bCs/>
          <w:sz w:val="21"/>
          <w:szCs w:val="21"/>
          <w:highlight w:val="none"/>
        </w:rPr>
        <w:t>一、资格审查程序</w:t>
      </w:r>
      <w:bookmarkEnd w:id="726"/>
    </w:p>
    <w:p>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开标结束后，采购人或采购代理机构将根据《资格审查要求》中的规定，对投标人进行资格审查，并形成资格审查结果。</w:t>
      </w:r>
    </w:p>
    <w:p>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《资格审查要求》中对格式有要求的，除招标文件另有规定外，均为“实质性格式”文件。</w:t>
      </w:r>
    </w:p>
    <w:p>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投标人《资格证明文件》有任何一项不符合《资格审查要求》的，资格审查不合格，其投标无效。</w:t>
      </w:r>
    </w:p>
    <w:p>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资格审查合格的投标人不足3家的，不进行评标。</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二、资格审查要求</w:t>
      </w:r>
    </w:p>
    <w:tbl>
      <w:tblPr>
        <w:tblStyle w:val="45"/>
        <w:tblW w:w="9399"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707"/>
        <w:gridCol w:w="5505"/>
        <w:gridCol w:w="14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bookmarkStart w:id="727" w:name="_Hlt487972895"/>
            <w:bookmarkEnd w:id="727"/>
            <w:r>
              <w:rPr>
                <w:rFonts w:hint="eastAsia" w:ascii="宋体" w:hAnsi="宋体" w:eastAsia="宋体" w:cs="宋体"/>
                <w:b w:val="0"/>
                <w:bCs/>
                <w:sz w:val="21"/>
                <w:szCs w:val="21"/>
                <w:highlight w:val="none"/>
              </w:rPr>
              <w:t>序号</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审查因素</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审查内容</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满足《中华人民共和国政府采购法》第二十二条规定及法律法规的其他规定</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具体规定见第一章《投标邀请》</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1-1</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营业执照等证明文件</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投标人为企业（包括合伙企业）的，应提供有效的“营业执照”；</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投标人为事业单位的，应提供有效的“事业单位法人证书”；</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投标人是非企业机构的，应提供有效的“执业许可证”、“登记证书”等证明文件；</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投标人是个体工商户的，应提供有效的“个体工商户营业执照”；</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投标人是自然人的，应提供有效的自然人身份证明。</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若本项目允许分支机构参加投标，则分支机构参加投标的，此处可提供该分支机构或其所属法人或其他组织的相应证明文件。</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提供证明文件的电子件或电子证照</w:t>
            </w:r>
            <w:r>
              <w:rPr>
                <w:rFonts w:hint="eastAsia" w:ascii="宋体" w:hAnsi="宋体" w:eastAsia="宋体" w:cs="宋体"/>
                <w:b w:val="0"/>
                <w:bCs/>
                <w:sz w:val="21"/>
                <w:szCs w:val="21"/>
                <w:highlight w:val="none"/>
                <w:lang w:val="en-US" w:eastAsia="zh-CN"/>
              </w:rPr>
              <w:t>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1-2</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投标人资格声明书</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提供了符合招标文件要求的《投标人资格声明书》。</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1-3</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投标人信用记录</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查询渠道：信用中国网站和中国政府采购网（www.creditchina.gov.cn、www.ccgp.gov.cn）；</w:t>
            </w: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截止时点：投标截止时间以后、资格审查阶段采购人或采购代理机构的实际查询时间；</w:t>
            </w: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信用信息查询记录和证据留存具体方式：查询结果网页打印页作为查询记录和证据，与其他采购文件一并保存；</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信用信息的使用原则：经认定的被列入失信被执行人、</w:t>
            </w:r>
            <w:r>
              <w:rPr>
                <w:rFonts w:hint="eastAsia" w:ascii="宋体" w:hAnsi="宋体" w:eastAsia="宋体" w:cs="宋体"/>
                <w:b w:val="0"/>
                <w:bCs/>
                <w:sz w:val="21"/>
                <w:szCs w:val="21"/>
                <w:highlight w:val="none"/>
                <w:lang w:val="en-US" w:eastAsia="zh-CN"/>
              </w:rPr>
              <w:t>重大税收违法失信主体</w:t>
            </w:r>
            <w:r>
              <w:rPr>
                <w:rFonts w:hint="eastAsia" w:ascii="宋体" w:hAnsi="宋体" w:eastAsia="宋体" w:cs="宋体"/>
                <w:b w:val="0"/>
                <w:bCs/>
                <w:sz w:val="21"/>
                <w:szCs w:val="21"/>
                <w:highlight w:val="none"/>
              </w:rPr>
              <w:t>、政府采购严重违法失信行为记录名单的投标人，其投标无效。联合体形式投标的，联合体成员存在不良信用记录，视同联合体存在不良信用记录。</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无须投标人提供，由采购代理机构查询。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1-4</w:t>
            </w:r>
          </w:p>
        </w:tc>
        <w:tc>
          <w:tcPr>
            <w:tcW w:w="1707" w:type="dxa"/>
            <w:vAlign w:val="center"/>
          </w:tcPr>
          <w:p>
            <w:pPr>
              <w:keepNext w:val="0"/>
              <w:keepLines w:val="0"/>
              <w:pageBreakBefore w:val="0"/>
              <w:widowControl w:val="0"/>
              <w:suppressLineNumbers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kern w:val="0"/>
                <w:sz w:val="21"/>
                <w:szCs w:val="21"/>
                <w:highlight w:val="none"/>
                <w:lang w:val="en-US" w:eastAsia="zh-CN" w:bidi="ar"/>
              </w:rPr>
              <w:t>法律、行政法规</w:t>
            </w:r>
          </w:p>
          <w:p>
            <w:pPr>
              <w:keepNext w:val="0"/>
              <w:keepLines w:val="0"/>
              <w:pageBreakBefore w:val="0"/>
              <w:widowControl w:val="0"/>
              <w:suppressLineNumbers w:val="0"/>
              <w:kinsoku/>
              <w:wordWrap w:val="0"/>
              <w:overflowPunct/>
              <w:topLinePunct/>
              <w:autoSpaceDE/>
              <w:autoSpaceDN/>
              <w:bidi w:val="0"/>
              <w:spacing w:line="360" w:lineRule="auto"/>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000000"/>
                <w:kern w:val="0"/>
                <w:sz w:val="21"/>
                <w:szCs w:val="21"/>
                <w:highlight w:val="none"/>
                <w:lang w:val="en-US" w:eastAsia="zh-CN" w:bidi="ar"/>
              </w:rPr>
              <w:t>规定的其他条件</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法律、行政法规规定的其他条件</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color w:val="auto"/>
                <w:kern w:val="2"/>
                <w:sz w:val="21"/>
                <w:szCs w:val="21"/>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落实政府采购政策需满足的资格要求</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具体要求见第一章《投标邀请》</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2-1</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中小企业声明函</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当本项目（包）涉及预留份额专门面向中小企业采购，此时建议在《资格证明文件》中提供。</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1、投标人单独投标的，应提供中小企业声明函；如为监狱企业或残疾人福利性单位，不必提供中小企业声明函，但须按注1或注2要求提供证明材料。</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注1：监狱企业须提供由省级以上监狱管理局（北京市含教育矫治局）、戒毒管理局（含新疆生产建设兵团）出具的属于监狱企业的证明文件。</w:t>
            </w:r>
          </w:p>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注2：残疾人福利性单位须按招标文件要求提供</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《残疾人福利性单位声明函》。</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本项目的特定资格要求</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如有，见第一章《投标邀请》</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3-1</w:t>
            </w:r>
          </w:p>
        </w:tc>
        <w:tc>
          <w:tcPr>
            <w:tcW w:w="1707" w:type="dxa"/>
            <w:vAlign w:val="center"/>
          </w:tcPr>
          <w:p>
            <w:pPr>
              <w:keepNext w:val="0"/>
              <w:keepLines w:val="0"/>
              <w:pageBreakBefore w:val="0"/>
              <w:widowControl w:val="0"/>
              <w:suppressLineNumbers w:val="0"/>
              <w:kinsoku/>
              <w:wordWrap w:val="0"/>
              <w:overflowPunct/>
              <w:topLinePunct/>
              <w:autoSpaceDE/>
              <w:autoSpaceDN/>
              <w:bidi w:val="0"/>
              <w:spacing w:line="360" w:lineRule="auto"/>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000000"/>
                <w:kern w:val="0"/>
                <w:sz w:val="21"/>
                <w:szCs w:val="21"/>
                <w:highlight w:val="none"/>
                <w:lang w:val="en-US" w:eastAsia="zh-CN" w:bidi="ar"/>
              </w:rPr>
              <w:t>政府购买服务承接主体的要求</w:t>
            </w:r>
          </w:p>
        </w:tc>
        <w:tc>
          <w:tcPr>
            <w:tcW w:w="5505" w:type="dxa"/>
            <w:vAlign w:val="center"/>
          </w:tcPr>
          <w:p>
            <w:pPr>
              <w:keepNext w:val="0"/>
              <w:keepLines w:val="0"/>
              <w:pageBreakBefore w:val="0"/>
              <w:widowControl w:val="0"/>
              <w:suppressLineNumbers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000000"/>
                <w:kern w:val="0"/>
                <w:sz w:val="21"/>
                <w:szCs w:val="21"/>
                <w:highlight w:val="none"/>
                <w:lang w:val="en-US" w:eastAsia="zh-CN" w:bidi="ar"/>
              </w:rPr>
              <w:t>如本项目属于政府购买服务，投标人不属于公益一类事业单位、使用事业编制且由财政拨款保障的群团组织。</w:t>
            </w:r>
          </w:p>
        </w:tc>
        <w:tc>
          <w:tcPr>
            <w:tcW w:w="1479" w:type="dxa"/>
            <w:vAlign w:val="center"/>
          </w:tcPr>
          <w:p>
            <w:pPr>
              <w:keepNext w:val="0"/>
              <w:keepLines w:val="0"/>
              <w:pageBreakBefore w:val="0"/>
              <w:widowControl w:val="0"/>
              <w:suppressLineNumbers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000000"/>
                <w:kern w:val="0"/>
                <w:sz w:val="21"/>
                <w:szCs w:val="21"/>
                <w:highlight w:val="none"/>
                <w:lang w:val="en-US" w:eastAsia="zh-CN" w:bidi="ar"/>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8"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3-2</w:t>
            </w:r>
          </w:p>
        </w:tc>
        <w:tc>
          <w:tcPr>
            <w:tcW w:w="1707"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其他特定资格要求</w:t>
            </w:r>
          </w:p>
        </w:tc>
        <w:tc>
          <w:tcPr>
            <w:tcW w:w="5505"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投标人、法定代表人未被中国裁判文书网列入行贿犯罪行为。</w:t>
            </w:r>
          </w:p>
        </w:tc>
        <w:tc>
          <w:tcPr>
            <w:tcW w:w="1479" w:type="dxa"/>
            <w:vAlign w:val="center"/>
          </w:tcPr>
          <w:p>
            <w:pPr>
              <w:keepNext w:val="0"/>
              <w:keepLines w:val="0"/>
              <w:pageBreakBefore w:val="0"/>
              <w:widowControl w:val="0"/>
              <w:tabs>
                <w:tab w:val="left" w:pos="1080"/>
              </w:tabs>
              <w:kinsoku/>
              <w:wordWrap w:val="0"/>
              <w:overflowPunct/>
              <w:topLinePunct/>
              <w:autoSpaceDE/>
              <w:autoSpaceDN/>
              <w:bidi w:val="0"/>
              <w:snapToGrid w:val="0"/>
              <w:spacing w:line="360" w:lineRule="auto"/>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无须投标人提供，由采购代理机构查询。</w:t>
            </w: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5"/>
    </w:tbl>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bookmarkStart w:id="728" w:name="_Toc127161490"/>
      <w:bookmarkStart w:id="729" w:name="_Toc226965858"/>
      <w:bookmarkStart w:id="730" w:name="_Toc353873940"/>
      <w:bookmarkStart w:id="731" w:name="_Toc127151779"/>
      <w:bookmarkStart w:id="732" w:name="_Toc353825550"/>
      <w:r>
        <w:rPr>
          <w:rFonts w:hint="eastAsia" w:ascii="宋体" w:hAnsi="宋体" w:eastAsia="宋体" w:cs="宋体"/>
          <w:b w:val="0"/>
          <w:bCs/>
          <w:sz w:val="21"/>
          <w:szCs w:val="21"/>
          <w:highlight w:val="none"/>
        </w:rPr>
        <w:br w:type="page"/>
      </w:r>
    </w:p>
    <w:p>
      <w:pPr>
        <w:keepNext w:val="0"/>
        <w:keepLines w:val="0"/>
        <w:pageBreakBefore w:val="0"/>
        <w:widowControl w:val="0"/>
        <w:numPr>
          <w:ilvl w:val="0"/>
          <w:numId w:val="12"/>
        </w:numPr>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1"/>
          <w:szCs w:val="21"/>
          <w:highlight w:val="none"/>
        </w:rPr>
      </w:pPr>
      <w:bookmarkStart w:id="733" w:name="_Toc17339"/>
      <w:r>
        <w:rPr>
          <w:rFonts w:hint="eastAsia" w:ascii="宋体" w:hAnsi="宋体" w:eastAsia="宋体" w:cs="宋体"/>
          <w:b w:val="0"/>
          <w:bCs/>
          <w:sz w:val="21"/>
          <w:szCs w:val="21"/>
          <w:highlight w:val="none"/>
        </w:rPr>
        <w:t xml:space="preserve">  </w:t>
      </w:r>
      <w:bookmarkEnd w:id="728"/>
      <w:bookmarkEnd w:id="729"/>
      <w:bookmarkEnd w:id="730"/>
      <w:bookmarkEnd w:id="731"/>
      <w:bookmarkEnd w:id="732"/>
      <w:bookmarkStart w:id="734" w:name="_Hlt164229061"/>
      <w:bookmarkEnd w:id="734"/>
      <w:r>
        <w:rPr>
          <w:rFonts w:hint="eastAsia" w:ascii="宋体" w:hAnsi="宋体" w:eastAsia="宋体" w:cs="宋体"/>
          <w:b w:val="0"/>
          <w:bCs/>
          <w:sz w:val="21"/>
          <w:szCs w:val="21"/>
          <w:highlight w:val="none"/>
        </w:rPr>
        <w:t>评标程序、评标方法和评标标准</w:t>
      </w:r>
      <w:bookmarkEnd w:id="733"/>
    </w:p>
    <w:p>
      <w:pPr>
        <w:pStyle w:val="56"/>
        <w:keepNext w:val="0"/>
        <w:keepLines w:val="0"/>
        <w:pageBreakBefore w:val="0"/>
        <w:widowControl w:val="0"/>
        <w:numPr>
          <w:ilvl w:val="0"/>
          <w:numId w:val="0"/>
        </w:numPr>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一、评标方法</w:t>
      </w:r>
    </w:p>
    <w:p>
      <w:pPr>
        <w:keepNext w:val="0"/>
        <w:keepLines w:val="0"/>
        <w:pageBreakBefore w:val="0"/>
        <w:widowControl w:val="0"/>
        <w:numPr>
          <w:ilvl w:val="0"/>
          <w:numId w:val="13"/>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sz w:val="21"/>
          <w:szCs w:val="21"/>
          <w:highlight w:val="none"/>
        </w:rPr>
      </w:pPr>
      <w:bookmarkStart w:id="735" w:name="_Toc127151742"/>
      <w:bookmarkStart w:id="736" w:name="_Toc305158883"/>
      <w:bookmarkStart w:id="737" w:name="_Toc151190168"/>
      <w:bookmarkStart w:id="738" w:name="_Toc151193711"/>
      <w:bookmarkStart w:id="739" w:name="_Toc226965731"/>
      <w:bookmarkStart w:id="740" w:name="_Toc127151541"/>
      <w:bookmarkStart w:id="741" w:name="_Toc151193639"/>
      <w:bookmarkStart w:id="742" w:name="_Toc164229382"/>
      <w:bookmarkStart w:id="743" w:name="_Toc151193783"/>
      <w:bookmarkStart w:id="744" w:name="_Toc265228379"/>
      <w:bookmarkStart w:id="745" w:name="_Toc164351635"/>
      <w:bookmarkStart w:id="746" w:name="_Toc305158809"/>
      <w:bookmarkStart w:id="747" w:name="_Toc264969231"/>
      <w:bookmarkStart w:id="748" w:name="_Toc151193855"/>
      <w:bookmarkStart w:id="749" w:name="_Toc164608810"/>
      <w:bookmarkStart w:id="750" w:name="_Toc127161455"/>
      <w:bookmarkStart w:id="751" w:name="_Toc164229236"/>
      <w:bookmarkStart w:id="752" w:name="_Toc164608655"/>
      <w:bookmarkStart w:id="753" w:name="_Toc150509292"/>
      <w:bookmarkStart w:id="754" w:name="_Toc150774746"/>
      <w:bookmarkStart w:id="755" w:name="_Toc151193929"/>
      <w:bookmarkStart w:id="756" w:name="_Toc226309785"/>
      <w:bookmarkStart w:id="757" w:name="_Toc142311043"/>
      <w:bookmarkStart w:id="758" w:name="_Toc226337237"/>
      <w:bookmarkStart w:id="759" w:name="_Toc149720834"/>
      <w:bookmarkStart w:id="760" w:name="_Toc150774641"/>
      <w:bookmarkStart w:id="761" w:name="_Toc226965814"/>
      <w:bookmarkStart w:id="762" w:name="_Toc195842906"/>
      <w:bookmarkStart w:id="763" w:name="_Toc150480779"/>
      <w:bookmarkStart w:id="764" w:name="_Toc353873941"/>
      <w:bookmarkStart w:id="765" w:name="_Toc353825551"/>
      <w:bookmarkStart w:id="766" w:name="_Toc305158823"/>
      <w:bookmarkStart w:id="767" w:name="_Toc226965828"/>
      <w:bookmarkStart w:id="768" w:name="_Toc195842920"/>
      <w:bookmarkStart w:id="769" w:name="_Toc353825545"/>
      <w:bookmarkStart w:id="770" w:name="_Toc150480793"/>
      <w:bookmarkStart w:id="771" w:name="_Toc353873935"/>
      <w:bookmarkStart w:id="772" w:name="_Toc264969245"/>
      <w:bookmarkStart w:id="773" w:name="_Toc226337251"/>
      <w:bookmarkStart w:id="774" w:name="_Toc305158897"/>
      <w:bookmarkStart w:id="775" w:name="_Toc127151555"/>
      <w:bookmarkStart w:id="776" w:name="_Toc265228393"/>
      <w:bookmarkStart w:id="777" w:name="_Toc150774760"/>
      <w:bookmarkStart w:id="778" w:name="_Toc353873665"/>
      <w:bookmarkStart w:id="779" w:name="_Toc142311057"/>
      <w:r>
        <w:rPr>
          <w:rFonts w:hint="eastAsia" w:ascii="宋体" w:hAnsi="宋体" w:eastAsia="宋体" w:cs="宋体"/>
          <w:b w:val="0"/>
          <w:bCs/>
          <w:sz w:val="21"/>
          <w:szCs w:val="21"/>
          <w:highlight w:val="none"/>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评标委员会对资格审查合格的投标人的投标文件进行符合性审查，以确定其是否满足招标文件的实质性要求。</w:t>
      </w:r>
      <w:bookmarkStart w:id="780" w:name="_Toc520356167"/>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0"/>
      <w:r>
        <w:rPr>
          <w:rFonts w:hint="eastAsia" w:ascii="宋体" w:hAnsi="宋体" w:eastAsia="宋体" w:cs="宋体"/>
          <w:b w:val="0"/>
          <w:bCs/>
          <w:sz w:val="21"/>
          <w:szCs w:val="21"/>
          <w:highlight w:val="none"/>
        </w:rPr>
        <w:t>要求的，投标无效。</w:t>
      </w:r>
    </w:p>
    <w:p>
      <w:pPr>
        <w:keepNext w:val="0"/>
        <w:keepLines w:val="0"/>
        <w:pageBreakBefore w:val="0"/>
        <w:widowControl w:val="0"/>
        <w:tabs>
          <w:tab w:val="left" w:pos="900"/>
          <w:tab w:val="left" w:pos="1080"/>
          <w:tab w:val="left" w:pos="1589"/>
        </w:tabs>
        <w:kinsoku/>
        <w:wordWrap w:val="0"/>
        <w:overflowPunct/>
        <w:topLinePunct/>
        <w:autoSpaceDE/>
        <w:autoSpaceDN/>
        <w:bidi w:val="0"/>
        <w:snapToGrid w:val="0"/>
        <w:spacing w:line="360" w:lineRule="auto"/>
        <w:ind w:leftChars="-170" w:hanging="310" w:hangingChars="148"/>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sz w:val="21"/>
          <w:szCs w:val="21"/>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序号</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审查因素</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授权委托书</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2</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投标完整性</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3</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投标报价</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投标报价未</w:t>
            </w:r>
            <w:r>
              <w:rPr>
                <w:rFonts w:hint="eastAsia" w:ascii="宋体" w:hAnsi="宋体" w:eastAsia="宋体" w:cs="宋体"/>
                <w:b w:val="0"/>
                <w:bCs/>
                <w:color w:val="auto"/>
                <w:sz w:val="21"/>
                <w:szCs w:val="21"/>
                <w:highlight w:val="none"/>
              </w:rPr>
              <w:t>超过招标文件中规定的项目/采购包最高限价</w:t>
            </w:r>
            <w:r>
              <w:rPr>
                <w:rFonts w:hint="eastAsia" w:ascii="宋体" w:hAnsi="宋体" w:eastAsia="宋体" w:cs="宋体"/>
                <w:b w:val="0"/>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4</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报价唯一性</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投标文件未</w:t>
            </w:r>
            <w:r>
              <w:rPr>
                <w:rFonts w:hint="eastAsia" w:ascii="宋体" w:hAnsi="宋体" w:eastAsia="宋体" w:cs="宋体"/>
                <w:b w:val="0"/>
                <w:bCs/>
                <w:color w:val="auto"/>
                <w:sz w:val="21"/>
                <w:szCs w:val="21"/>
                <w:highlight w:val="none"/>
              </w:rPr>
              <w:t>出现可选择性或可调整的报价（招标文件另有规定的除外）</w:t>
            </w:r>
            <w:r>
              <w:rPr>
                <w:rFonts w:hint="eastAsia" w:ascii="宋体" w:hAnsi="宋体" w:eastAsia="宋体" w:cs="宋体"/>
                <w:b w:val="0"/>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5</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投标有效期</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6</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实质性格式</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标记为实质性格式的文件均按招标文件要求</w:t>
            </w:r>
            <w:r>
              <w:rPr>
                <w:rFonts w:hint="eastAsia" w:ascii="宋体" w:hAnsi="宋体" w:eastAsia="宋体" w:cs="宋体"/>
                <w:b w:val="0"/>
                <w:bCs/>
                <w:color w:val="auto"/>
                <w:kern w:val="0"/>
                <w:sz w:val="21"/>
                <w:szCs w:val="21"/>
                <w:highlight w:val="none"/>
                <w:lang w:val="en-US" w:eastAsia="zh-CN"/>
              </w:rPr>
              <w:t>提</w:t>
            </w:r>
            <w:r>
              <w:rPr>
                <w:rFonts w:hint="eastAsia" w:ascii="宋体" w:hAnsi="宋体" w:eastAsia="宋体" w:cs="宋体"/>
                <w:b w:val="0"/>
                <w:bCs/>
                <w:color w:val="auto"/>
                <w:kern w:val="0"/>
                <w:sz w:val="21"/>
                <w:szCs w:val="21"/>
                <w:highlight w:val="none"/>
              </w:rPr>
              <w:t>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7</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★号条款响应</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投标文件满足招标文件</w:t>
            </w:r>
            <w:r>
              <w:rPr>
                <w:rFonts w:hint="eastAsia" w:ascii="宋体" w:hAnsi="宋体" w:eastAsia="宋体" w:cs="宋体"/>
                <w:b w:val="0"/>
                <w:bCs/>
                <w:color w:val="auto"/>
                <w:sz w:val="21"/>
                <w:szCs w:val="21"/>
                <w:highlight w:val="none"/>
              </w:rPr>
              <w:t>第五章《采购需求》</w:t>
            </w:r>
            <w:r>
              <w:rPr>
                <w:rFonts w:hint="eastAsia" w:ascii="宋体" w:hAnsi="宋体" w:eastAsia="宋体" w:cs="宋体"/>
                <w:b w:val="0"/>
                <w:bCs/>
                <w:color w:val="auto"/>
                <w:kern w:val="0"/>
                <w:sz w:val="21"/>
                <w:szCs w:val="21"/>
                <w:highlight w:val="none"/>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8</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lang w:val="en-US" w:eastAsia="zh-CN" w:bidi="ar-SA"/>
              </w:rPr>
              <w:t>拟分包情况说明（如有）</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lang w:val="en-US" w:eastAsia="zh-CN" w:bidi="ar-SA"/>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9</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lang w:val="en-US" w:eastAsia="zh-CN" w:bidi="ar-SA"/>
              </w:rPr>
              <w:t>分包其他要求（如有）</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分包履行的内容、金额或者比例未超出《投标人须知资料表》中的规定；</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lang w:val="en-US" w:eastAsia="zh-CN" w:bidi="ar-SA"/>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10</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报价的修正（如有）</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11</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报价合理性</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报价合理，或</w:t>
            </w:r>
            <w:r>
              <w:rPr>
                <w:rFonts w:hint="eastAsia" w:ascii="宋体" w:hAnsi="宋体" w:eastAsia="宋体" w:cs="宋体"/>
                <w:b w:val="0"/>
                <w:bCs/>
                <w:color w:val="auto"/>
                <w:sz w:val="21"/>
                <w:szCs w:val="21"/>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b w:val="0"/>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12</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进口产品</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（如有）</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13</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国家有关部门对投标人的投标产品有强制性规定或要求的</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国家有关部门对投标人的投标产品有强制性规定或要求的（如相应技术、安全、节能和环保等），投标人的投标产品应符合相应规定或要求，并提供证明文件电子件：</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1）采购的产品若属于《节能产品政府采购品目清单》范围中政府强制采购产品，则投标人所报产品必须获得国家确定的认证机构出具的、处于有效期之内的节能产品认证证书；</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2）投标产品如涉及计算机信息系统安全专用产品的，须提供公安部颁发的计算机信息系统安全专用产品销售许可证；</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3）投标产品如有属于开展国家信息安全产品认证产品范围的，须提供由中国网络安全审查技术与认证中心（原中国信息安全认证中心）按国家标准认证颁发的有效认证证书等）；</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14</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公平竞争</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15</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串通投标</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16</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附加条件</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000000"/>
                <w:kern w:val="0"/>
                <w:sz w:val="21"/>
                <w:szCs w:val="21"/>
                <w:highlight w:val="none"/>
              </w:rPr>
              <w:t>17</w:t>
            </w:r>
          </w:p>
        </w:tc>
        <w:tc>
          <w:tcPr>
            <w:tcW w:w="2014"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kern w:val="0"/>
                <w:sz w:val="21"/>
                <w:szCs w:val="21"/>
                <w:highlight w:val="none"/>
              </w:rPr>
              <w:t>其他无效情形</w:t>
            </w:r>
          </w:p>
        </w:tc>
        <w:tc>
          <w:tcPr>
            <w:tcW w:w="6527" w:type="dxa"/>
            <w:vAlign w:val="center"/>
          </w:tcPr>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kern w:val="0"/>
                <w:sz w:val="21"/>
                <w:szCs w:val="21"/>
                <w:highlight w:val="none"/>
              </w:rPr>
            </w:pPr>
            <w:r>
              <w:rPr>
                <w:rFonts w:hint="eastAsia" w:ascii="宋体" w:hAnsi="宋体" w:eastAsia="宋体" w:cs="宋体"/>
                <w:b w:val="0"/>
                <w:bCs/>
                <w:color w:val="auto"/>
                <w:sz w:val="21"/>
                <w:szCs w:val="21"/>
                <w:highlight w:val="none"/>
              </w:rPr>
              <w:t>投标人、投标文件不存在不符合法律、法规和招标文件规定的其他无效情形。</w:t>
            </w:r>
          </w:p>
        </w:tc>
      </w:tr>
    </w:tbl>
    <w:p>
      <w:pPr>
        <w:keepNext w:val="0"/>
        <w:keepLines w:val="0"/>
        <w:pageBreakBefore w:val="0"/>
        <w:widowControl w:val="0"/>
        <w:numPr>
          <w:ilvl w:val="0"/>
          <w:numId w:val="14"/>
        </w:numPr>
        <w:tabs>
          <w:tab w:val="left" w:pos="1080"/>
          <w:tab w:val="left" w:pos="1589"/>
        </w:tabs>
        <w:kinsoku/>
        <w:wordWrap w:val="0"/>
        <w:overflowPunct/>
        <w:topLinePunct/>
        <w:autoSpaceDE/>
        <w:autoSpaceDN/>
        <w:bidi w:val="0"/>
        <w:snapToGrid w:val="0"/>
        <w:spacing w:line="360" w:lineRule="auto"/>
        <w:textAlignment w:val="auto"/>
        <w:rPr>
          <w:rFonts w:hint="eastAsia" w:ascii="宋体" w:hAnsi="宋体" w:eastAsia="宋体" w:cs="宋体"/>
          <w:b w:val="0"/>
          <w:bCs/>
          <w:sz w:val="21"/>
          <w:szCs w:val="21"/>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pgNumType w:fmt="decimal"/>
          <w:cols w:space="720" w:num="1"/>
          <w:docGrid w:linePitch="462" w:charSpace="0"/>
        </w:sectPr>
      </w:pPr>
    </w:p>
    <w:p>
      <w:pPr>
        <w:keepNext w:val="0"/>
        <w:keepLines w:val="0"/>
        <w:pageBreakBefore w:val="0"/>
        <w:widowControl w:val="0"/>
        <w:numPr>
          <w:ilvl w:val="0"/>
          <w:numId w:val="13"/>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投标文件有关事项的澄清或者说明</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投标无效。</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投标文件报价出现前后不一致的，按照下列规定修正：</w:t>
      </w:r>
    </w:p>
    <w:p>
      <w:pPr>
        <w:keepNext w:val="0"/>
        <w:keepLines w:val="0"/>
        <w:pageBreakBefore w:val="0"/>
        <w:widowControl w:val="0"/>
        <w:numPr>
          <w:ilvl w:val="2"/>
          <w:numId w:val="13"/>
        </w:numPr>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招标文件对于报价修正是否另有规定：</w:t>
      </w:r>
    </w:p>
    <w:p>
      <w:pPr>
        <w:keepNext w:val="0"/>
        <w:keepLines w:val="0"/>
        <w:pageBreakBefore w:val="0"/>
        <w:widowControl w:val="0"/>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u w:val="single"/>
          <w:lang w:val="en-US" w:eastAsia="zh-CN"/>
        </w:rPr>
      </w:pPr>
      <w:r>
        <w:rPr>
          <w:rFonts w:hint="eastAsia" w:ascii="宋体" w:hAnsi="宋体" w:eastAsia="宋体" w:cs="宋体"/>
          <w:b w:val="0"/>
          <w:bCs/>
          <w:sz w:val="21"/>
          <w:szCs w:val="21"/>
          <w:highlight w:val="none"/>
        </w:rPr>
        <w:t>□有，具体规定为：</w:t>
      </w:r>
      <w:r>
        <w:rPr>
          <w:rFonts w:hint="eastAsia" w:ascii="宋体" w:hAnsi="宋体" w:eastAsia="宋体" w:cs="宋体"/>
          <w:b w:val="0"/>
          <w:bCs/>
          <w:sz w:val="21"/>
          <w:szCs w:val="21"/>
          <w:highlight w:val="none"/>
          <w:u w:val="single"/>
          <w:lang w:val="en-US" w:eastAsia="zh-CN"/>
        </w:rPr>
        <w:t xml:space="preserve">  /  </w:t>
      </w:r>
    </w:p>
    <w:p>
      <w:pPr>
        <w:keepNext w:val="0"/>
        <w:keepLines w:val="0"/>
        <w:pageBreakBefore w:val="0"/>
        <w:widowControl w:val="0"/>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无，按下述2.4.2-2.4.7项规定修正。</w:t>
      </w:r>
    </w:p>
    <w:p>
      <w:pPr>
        <w:keepNext w:val="0"/>
        <w:keepLines w:val="0"/>
        <w:pageBreakBefore w:val="0"/>
        <w:widowControl w:val="0"/>
        <w:numPr>
          <w:ilvl w:val="2"/>
          <w:numId w:val="13"/>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开标时，系统自动生成的开标一览表</w:t>
      </w:r>
      <w:r>
        <w:rPr>
          <w:rFonts w:hint="eastAsia" w:ascii="宋体" w:hAnsi="宋体" w:eastAsia="宋体" w:cs="宋体"/>
          <w:b w:val="0"/>
          <w:bCs/>
          <w:color w:val="000000"/>
          <w:sz w:val="21"/>
          <w:szCs w:val="21"/>
          <w:highlight w:val="none"/>
        </w:rPr>
        <w:t>（报价表）与投标文件中开标一览表（报价表）内容不一致的，以</w:t>
      </w:r>
      <w:r>
        <w:rPr>
          <w:rFonts w:hint="eastAsia" w:ascii="宋体" w:hAnsi="宋体" w:eastAsia="宋体" w:cs="宋体"/>
          <w:b w:val="0"/>
          <w:bCs/>
          <w:color w:val="000000"/>
          <w:sz w:val="21"/>
          <w:szCs w:val="21"/>
          <w:highlight w:val="none"/>
          <w:lang w:eastAsia="zh-CN"/>
        </w:rPr>
        <w:t>开标时，系统自动生成的开标一览表</w:t>
      </w:r>
      <w:r>
        <w:rPr>
          <w:rFonts w:hint="eastAsia" w:ascii="宋体" w:hAnsi="宋体" w:eastAsia="宋体" w:cs="宋体"/>
          <w:b w:val="0"/>
          <w:bCs/>
          <w:color w:val="000000"/>
          <w:sz w:val="21"/>
          <w:szCs w:val="21"/>
          <w:highlight w:val="none"/>
        </w:rPr>
        <w:t>（报价表）为准；</w:t>
      </w:r>
    </w:p>
    <w:p>
      <w:pPr>
        <w:keepNext w:val="0"/>
        <w:keepLines w:val="0"/>
        <w:pageBreakBefore w:val="0"/>
        <w:widowControl w:val="0"/>
        <w:numPr>
          <w:ilvl w:val="2"/>
          <w:numId w:val="13"/>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投标文件中开标一览表（报价表）内容与投标文件中相应内容不一致的，以开标一览表（报价表）为准；</w:t>
      </w:r>
    </w:p>
    <w:p>
      <w:pPr>
        <w:keepNext w:val="0"/>
        <w:keepLines w:val="0"/>
        <w:pageBreakBefore w:val="0"/>
        <w:widowControl w:val="0"/>
        <w:numPr>
          <w:ilvl w:val="2"/>
          <w:numId w:val="13"/>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大写金额和小写金额不一致的，以大写金额为准；</w:t>
      </w:r>
    </w:p>
    <w:p>
      <w:pPr>
        <w:keepNext w:val="0"/>
        <w:keepLines w:val="0"/>
        <w:pageBreakBefore w:val="0"/>
        <w:widowControl w:val="0"/>
        <w:numPr>
          <w:ilvl w:val="2"/>
          <w:numId w:val="13"/>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单价金额小数点或者百分比有明显错位的，以开标一览表的总价为准，并修改单价；</w:t>
      </w:r>
    </w:p>
    <w:p>
      <w:pPr>
        <w:keepNext w:val="0"/>
        <w:keepLines w:val="0"/>
        <w:pageBreakBefore w:val="0"/>
        <w:widowControl w:val="0"/>
        <w:numPr>
          <w:ilvl w:val="2"/>
          <w:numId w:val="13"/>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总价金额与按单价汇总金额不一致的，以单价金额计算结果为准。</w:t>
      </w:r>
    </w:p>
    <w:p>
      <w:pPr>
        <w:keepNext w:val="0"/>
        <w:keepLines w:val="0"/>
        <w:pageBreakBefore w:val="0"/>
        <w:widowControl w:val="0"/>
        <w:numPr>
          <w:ilvl w:val="2"/>
          <w:numId w:val="13"/>
        </w:numPr>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同时出现两种以上不一致的，按照前款规定的顺序修正。修正后的报价经投标人书面确认后产生约束力，投标人不确认的，其投标无效。</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落实政府采购政策的价格调整：只有符合第二章《投标人须知》5.2条规定情形的，可以享受中小企业扶持政策，用扣除后的价格参加评审；否则，评标时价格不予扣除。</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对于未预留份额专门面向中小企业采购的采购项目，以及预留份额项目中的非预留部分采购包，对小微企业报价给予</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%的扣除，用扣除后的价格参加评审。</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%的扣除，用扣除后的价格参加评审。</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组成联合体或者接受分包的小微企业与联合体内其他企业、分包企业之间存在直接控股、管理关系的，不享受价格扣除优惠政策。</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价格扣除比例对小型企业和微型企业同等对待，不作区分。</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中小企业参加政府采购活动，应当按照招标文件给定的格式出具《中小企业声明函》，否则不得享受相关中小企业扶持政策。</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监狱企业提供了由省级以上监狱管理局（北京市含教育矫治局）、戒毒管理局（含新疆生产建设兵团）出具的属于监狱企业的证明文件的，视同小微企业。</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残疾人福利性单位按招标文件要求提供了《残疾人福利性单位声明函》（见附件）的，视同小微企业。</w:t>
      </w:r>
    </w:p>
    <w:p>
      <w:pPr>
        <w:keepNext w:val="0"/>
        <w:keepLines w:val="0"/>
        <w:pageBreakBefore w:val="0"/>
        <w:widowControl w:val="0"/>
        <w:numPr>
          <w:ilvl w:val="2"/>
          <w:numId w:val="13"/>
        </w:numPr>
        <w:tabs>
          <w:tab w:val="left" w:pos="1080"/>
          <w:tab w:val="left" w:pos="1589"/>
          <w:tab w:val="left" w:pos="2014"/>
          <w:tab w:val="clear" w:pos="1980"/>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若投标人同时属于小型或微型企业、监狱企业、残疾人福利性单位中的两种及以上，将不重复享受小微企业价格扣减的优惠政策。</w:t>
      </w:r>
    </w:p>
    <w:p>
      <w:pPr>
        <w:keepNext w:val="0"/>
        <w:keepLines w:val="0"/>
        <w:pageBreakBefore w:val="0"/>
        <w:widowControl w:val="0"/>
        <w:numPr>
          <w:ilvl w:val="0"/>
          <w:numId w:val="13"/>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投标文件的比较和评价</w:t>
      </w:r>
      <w:bookmarkEnd w:id="764"/>
      <w:bookmarkEnd w:id="765"/>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评标委员会将按照招标文件中规定的评标方法和标准，对符合性审查合格的投标文件进行商务和技术评估，综合比较与评价；未通过符合性审查的投标文件不得进入比较与评价。</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评标方法和评标标准</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本项目采用的评标方法为：</w:t>
      </w:r>
    </w:p>
    <w:p>
      <w:pPr>
        <w:keepNext w:val="0"/>
        <w:keepLines w:val="0"/>
        <w:pageBreakBefore w:val="0"/>
        <w:widowControl w:val="0"/>
        <w:tabs>
          <w:tab w:val="left" w:pos="900"/>
          <w:tab w:val="left" w:pos="1589"/>
          <w:tab w:val="left" w:pos="1701"/>
        </w:tabs>
        <w:kinsoku/>
        <w:wordWrap w:val="0"/>
        <w:overflowPunct/>
        <w:topLinePunct/>
        <w:autoSpaceDE/>
        <w:autoSpaceDN/>
        <w:bidi w:val="0"/>
        <w:snapToGrid w:val="0"/>
        <w:spacing w:line="360" w:lineRule="auto"/>
        <w:ind w:left="1985"/>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w:t>
      </w:r>
      <w:r>
        <w:rPr>
          <w:rFonts w:hint="eastAsia" w:ascii="宋体" w:hAnsi="宋体" w:eastAsia="宋体" w:cs="宋体"/>
          <w:b w:val="0"/>
          <w:bCs/>
          <w:sz w:val="21"/>
          <w:szCs w:val="21"/>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keepNext w:val="0"/>
        <w:keepLines w:val="0"/>
        <w:pageBreakBefore w:val="0"/>
        <w:widowControl w:val="0"/>
        <w:tabs>
          <w:tab w:val="left" w:pos="900"/>
          <w:tab w:val="left" w:pos="1589"/>
          <w:tab w:val="left" w:pos="1701"/>
        </w:tabs>
        <w:kinsoku/>
        <w:wordWrap w:val="0"/>
        <w:overflowPunct/>
        <w:topLinePunct/>
        <w:autoSpaceDE/>
        <w:autoSpaceDN/>
        <w:bidi w:val="0"/>
        <w:snapToGrid w:val="0"/>
        <w:spacing w:line="360" w:lineRule="auto"/>
        <w:ind w:left="198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□最低评标价法，指投标文件满足招标文件全部实质性要求，且投标报价最低的投标人为中标候选人的评标方法。</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pPr>
        <w:keepNext w:val="0"/>
        <w:keepLines w:val="0"/>
        <w:pageBreakBefore w:val="0"/>
        <w:widowControl w:val="0"/>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□随机抽取</w:t>
      </w:r>
    </w:p>
    <w:p>
      <w:pPr>
        <w:keepNext w:val="0"/>
        <w:keepLines w:val="0"/>
        <w:pageBreakBefore w:val="0"/>
        <w:widowControl w:val="0"/>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rPr>
        <w:t>□其他方式，具体要求：</w:t>
      </w:r>
      <w:r>
        <w:rPr>
          <w:rFonts w:hint="eastAsia" w:ascii="宋体" w:hAnsi="宋体" w:eastAsia="宋体" w:cs="宋体"/>
          <w:b w:val="0"/>
          <w:bCs/>
          <w:sz w:val="21"/>
          <w:szCs w:val="21"/>
          <w:highlight w:val="none"/>
          <w:u w:val="single"/>
          <w:lang w:val="en-US" w:eastAsia="zh-CN"/>
        </w:rPr>
        <w:t xml:space="preserve">  /  </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非政府强制采购的节能产品或环境标志产品，依据品目清单和认证证书实施政府优先采购。优先采购的具体规定（如涉及）</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numPr>
          <w:ilvl w:val="2"/>
          <w:numId w:val="13"/>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关于无线局域网认证产品政府采购清单中的产品，优先采购的具体规定（如涉及）</w:t>
      </w:r>
      <w:r>
        <w:rPr>
          <w:rFonts w:hint="eastAsia" w:ascii="宋体" w:hAnsi="宋体" w:eastAsia="宋体" w:cs="宋体"/>
          <w:b w:val="0"/>
          <w:bCs/>
          <w:sz w:val="21"/>
          <w:szCs w:val="21"/>
          <w:highlight w:val="none"/>
          <w:u w:val="single"/>
          <w:lang w:val="en-US" w:eastAsia="zh-CN"/>
        </w:rPr>
        <w:t xml:space="preserve">  /  </w:t>
      </w:r>
      <w:r>
        <w:rPr>
          <w:rFonts w:hint="eastAsia" w:ascii="宋体" w:hAnsi="宋体" w:eastAsia="宋体" w:cs="宋体"/>
          <w:b w:val="0"/>
          <w:bCs/>
          <w:sz w:val="21"/>
          <w:szCs w:val="21"/>
          <w:highlight w:val="none"/>
        </w:rPr>
        <w:t>。</w:t>
      </w:r>
    </w:p>
    <w:p>
      <w:pPr>
        <w:keepNext w:val="0"/>
        <w:keepLines w:val="0"/>
        <w:pageBreakBefore w:val="0"/>
        <w:widowControl w:val="0"/>
        <w:numPr>
          <w:ilvl w:val="0"/>
          <w:numId w:val="13"/>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确定</w:t>
      </w:r>
      <w:bookmarkStart w:id="781" w:name="_Toc150509297"/>
      <w:bookmarkStart w:id="782" w:name="_Toc142311048"/>
      <w:bookmarkStart w:id="783" w:name="_Toc150774751"/>
      <w:bookmarkStart w:id="784" w:name="_Toc164351640"/>
      <w:bookmarkStart w:id="785" w:name="_Ref467307010"/>
      <w:bookmarkStart w:id="786" w:name="_Toc195842911"/>
      <w:bookmarkStart w:id="787" w:name="_Toc520356170"/>
      <w:bookmarkStart w:id="788" w:name="_Toc305158888"/>
      <w:bookmarkStart w:id="789" w:name="_Toc226337242"/>
      <w:bookmarkStart w:id="790" w:name="_Toc226965819"/>
      <w:bookmarkStart w:id="791" w:name="_Toc151193788"/>
      <w:bookmarkStart w:id="792" w:name="_Toc127151546"/>
      <w:bookmarkStart w:id="793" w:name="_Toc151193860"/>
      <w:bookmarkStart w:id="794" w:name="_Toc265228384"/>
      <w:bookmarkStart w:id="795" w:name="_Toc226965736"/>
      <w:bookmarkStart w:id="796" w:name="_Toc164229241"/>
      <w:bookmarkStart w:id="797" w:name="_Toc151193644"/>
      <w:bookmarkStart w:id="798" w:name="_Toc151193716"/>
      <w:bookmarkStart w:id="799" w:name="_Toc305158814"/>
      <w:bookmarkStart w:id="800" w:name="_Toc150774646"/>
      <w:bookmarkStart w:id="801" w:name="_Toc164608660"/>
      <w:bookmarkStart w:id="802" w:name="_Toc164229387"/>
      <w:bookmarkStart w:id="803" w:name="_Toc149720839"/>
      <w:bookmarkStart w:id="804" w:name="_Toc226309790"/>
      <w:bookmarkStart w:id="805" w:name="_Toc264969236"/>
      <w:bookmarkStart w:id="806" w:name="_Toc150480784"/>
      <w:bookmarkStart w:id="807" w:name="_Toc164608815"/>
      <w:bookmarkStart w:id="808" w:name="_Toc151190173"/>
      <w:bookmarkStart w:id="809" w:name="_Toc127151747"/>
      <w:bookmarkStart w:id="810" w:name="_Toc151193934"/>
      <w:bookmarkStart w:id="811" w:name="_Toc127161460"/>
      <w:r>
        <w:rPr>
          <w:rFonts w:hint="eastAsia" w:ascii="宋体" w:hAnsi="宋体" w:eastAsia="宋体" w:cs="宋体"/>
          <w:b w:val="0"/>
          <w:bCs/>
          <w:sz w:val="21"/>
          <w:szCs w:val="21"/>
          <w:highlight w:val="none"/>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keepNext w:val="0"/>
        <w:keepLines w:val="0"/>
        <w:pageBreakBefore w:val="0"/>
        <w:widowControl w:val="0"/>
        <w:tabs>
          <w:tab w:val="left" w:pos="900"/>
          <w:tab w:val="left" w:pos="2127"/>
        </w:tabs>
        <w:kinsoku/>
        <w:wordWrap w:val="0"/>
        <w:overflowPunct/>
        <w:topLinePunct/>
        <w:autoSpaceDE/>
        <w:autoSpaceDN/>
        <w:bidi w:val="0"/>
        <w:adjustRightInd w:val="0"/>
        <w:snapToGrid w:val="0"/>
        <w:spacing w:line="360" w:lineRule="auto"/>
        <w:ind w:left="993" w:firstLine="119" w:firstLineChars="57"/>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□随机抽取</w:t>
      </w:r>
    </w:p>
    <w:p>
      <w:pPr>
        <w:pStyle w:val="23"/>
        <w:keepNext w:val="0"/>
        <w:keepLines w:val="0"/>
        <w:pageBreakBefore w:val="0"/>
        <w:widowControl w:val="0"/>
        <w:tabs>
          <w:tab w:val="left" w:pos="900"/>
          <w:tab w:val="left" w:pos="2127"/>
        </w:tabs>
        <w:kinsoku/>
        <w:wordWrap w:val="0"/>
        <w:overflowPunct/>
        <w:topLinePunct/>
        <w:autoSpaceDE/>
        <w:autoSpaceDN/>
        <w:bidi w:val="0"/>
        <w:adjustRightInd w:val="0"/>
        <w:snapToGrid w:val="0"/>
        <w:spacing w:line="360" w:lineRule="auto"/>
        <w:ind w:left="993" w:firstLine="119" w:firstLineChars="57"/>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□其他方式，具体要求：</w:t>
      </w:r>
      <w:r>
        <w:rPr>
          <w:rFonts w:hint="eastAsia" w:ascii="宋体" w:hAnsi="宋体" w:eastAsia="宋体" w:cs="宋体"/>
          <w:b w:val="0"/>
          <w:bCs/>
          <w:sz w:val="21"/>
          <w:szCs w:val="21"/>
          <w:highlight w:val="none"/>
          <w:u w:val="single"/>
          <w:lang w:val="en-US" w:eastAsia="zh-CN"/>
        </w:rPr>
        <w:t xml:space="preserve">  /  </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评标委员会要对评分汇总情况进行复核，特别是对排名第一的、报价最低的、投标或</w:t>
      </w:r>
      <w:r>
        <w:rPr>
          <w:rFonts w:hint="eastAsia" w:ascii="宋体" w:hAnsi="宋体" w:eastAsia="宋体" w:cs="宋体"/>
          <w:b w:val="0"/>
          <w:bCs/>
          <w:sz w:val="21"/>
          <w:szCs w:val="21"/>
          <w:highlight w:val="none"/>
          <w:lang w:eastAsia="zh-CN"/>
        </w:rPr>
        <w:t>投标文件</w:t>
      </w:r>
      <w:r>
        <w:rPr>
          <w:rFonts w:hint="eastAsia" w:ascii="宋体" w:hAnsi="宋体" w:eastAsia="宋体" w:cs="宋体"/>
          <w:b w:val="0"/>
          <w:bCs/>
          <w:sz w:val="21"/>
          <w:szCs w:val="21"/>
          <w:highlight w:val="none"/>
        </w:rPr>
        <w:t>被认定为无效的情形进行重点复核。</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b w:val="0"/>
          <w:bCs/>
          <w:sz w:val="21"/>
          <w:szCs w:val="21"/>
          <w:highlight w:val="none"/>
          <w:u w:val="single"/>
          <w:lang w:val="en-US" w:eastAsia="zh-CN"/>
        </w:rPr>
        <w:t>3</w:t>
      </w:r>
      <w:r>
        <w:rPr>
          <w:rFonts w:hint="eastAsia" w:ascii="宋体" w:hAnsi="宋体" w:eastAsia="宋体" w:cs="宋体"/>
          <w:b w:val="0"/>
          <w:bCs/>
          <w:sz w:val="21"/>
          <w:szCs w:val="21"/>
          <w:highlight w:val="none"/>
        </w:rPr>
        <w:t>名中标候选人。</w:t>
      </w:r>
    </w:p>
    <w:p>
      <w:pPr>
        <w:keepNext w:val="0"/>
        <w:keepLines w:val="0"/>
        <w:pageBreakBefore w:val="0"/>
        <w:widowControl w:val="0"/>
        <w:numPr>
          <w:ilvl w:val="0"/>
          <w:numId w:val="13"/>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报告违法行为</w:t>
      </w:r>
    </w:p>
    <w:p>
      <w:pPr>
        <w:keepNext w:val="0"/>
        <w:keepLines w:val="0"/>
        <w:pageBreakBefore w:val="0"/>
        <w:widowControl w:val="0"/>
        <w:numPr>
          <w:ilvl w:val="1"/>
          <w:numId w:val="13"/>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评标委员会在评标过程中发现投标人有行贿、提供虚假材料或者串通等违法行为时，有向采购人、采购代理机构或者有关部门报告的职责。</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p>
    <w:p>
      <w:pPr>
        <w:keepNext w:val="0"/>
        <w:keepLines w:val="0"/>
        <w:pageBreakBefore w:val="0"/>
        <w:widowControl w:val="0"/>
        <w:tabs>
          <w:tab w:val="left" w:pos="360"/>
          <w:tab w:val="left" w:pos="900"/>
        </w:tabs>
        <w:kinsoku/>
        <w:wordWrap w:val="0"/>
        <w:overflowPunct/>
        <w:topLinePunct/>
        <w:autoSpaceDE/>
        <w:autoSpaceDN/>
        <w:bidi w:val="0"/>
        <w:adjustRightInd/>
        <w:snapToGrid w:val="0"/>
        <w:spacing w:line="360" w:lineRule="auto"/>
        <w:jc w:val="center"/>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二、评标标准</w:t>
      </w:r>
    </w:p>
    <w:p>
      <w:pPr>
        <w:keepNext w:val="0"/>
        <w:keepLines w:val="0"/>
        <w:pageBreakBefore w:val="0"/>
        <w:widowControl w:val="0"/>
        <w:tabs>
          <w:tab w:val="left" w:pos="360"/>
          <w:tab w:val="left" w:pos="900"/>
          <w:tab w:val="left" w:pos="1080"/>
          <w:tab w:val="left" w:pos="2014"/>
        </w:tabs>
        <w:kinsoku/>
        <w:wordWrap w:val="0"/>
        <w:overflowPunct/>
        <w:topLinePunct/>
        <w:autoSpaceDE/>
        <w:autoSpaceDN/>
        <w:bidi w:val="0"/>
        <w:adjustRightInd/>
        <w:snapToGrid w:val="0"/>
        <w:spacing w:line="360" w:lineRule="auto"/>
        <w:textAlignment w:val="auto"/>
        <w:rPr>
          <w:rFonts w:hint="eastAsia" w:ascii="宋体" w:hAnsi="宋体" w:eastAsia="宋体" w:cs="宋体"/>
          <w:b w:val="0"/>
          <w:bCs/>
          <w:sz w:val="21"/>
          <w:szCs w:val="21"/>
          <w:highlight w:val="none"/>
        </w:rPr>
      </w:pPr>
    </w:p>
    <w:tbl>
      <w:tblPr>
        <w:tblStyle w:val="45"/>
        <w:tblW w:w="10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245"/>
        <w:gridCol w:w="1320"/>
        <w:gridCol w:w="780"/>
        <w:gridCol w:w="4511"/>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序号</w:t>
            </w:r>
          </w:p>
        </w:tc>
        <w:tc>
          <w:tcPr>
            <w:tcW w:w="1245"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评审</w:t>
            </w:r>
          </w:p>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部分</w:t>
            </w: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评分</w:t>
            </w:r>
          </w:p>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因素</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分值</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评分标准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2"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1245" w:type="dxa"/>
            <w:vMerge w:val="restart"/>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技术</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部分</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70</w:t>
            </w:r>
            <w:r>
              <w:rPr>
                <w:rFonts w:hint="eastAsia" w:ascii="宋体" w:hAnsi="宋体" w:eastAsia="宋体" w:cs="宋体"/>
                <w:b w:val="0"/>
                <w:bCs/>
                <w:sz w:val="21"/>
                <w:szCs w:val="21"/>
                <w:highlight w:val="none"/>
              </w:rPr>
              <w:t>分）</w:t>
            </w: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服务方案</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15</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0-15</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1、服务方案内容完整、透彻、理解认知度高，科学合理可行，有很强的针对性，完全符合项目要求得</w:t>
            </w:r>
            <w:r>
              <w:rPr>
                <w:rFonts w:hint="eastAsia" w:ascii="宋体" w:hAnsi="宋体" w:eastAsia="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服务方案内容</w:t>
            </w:r>
            <w:r>
              <w:rPr>
                <w:rFonts w:hint="eastAsia" w:ascii="宋体" w:hAnsi="宋体" w:eastAsia="宋体" w:cs="宋体"/>
                <w:b w:val="0"/>
                <w:bCs/>
                <w:color w:val="auto"/>
                <w:sz w:val="21"/>
                <w:szCs w:val="21"/>
                <w:highlight w:val="none"/>
              </w:rPr>
              <w:t>较完整、理解认知度较高，科学合理，满足项目要求得</w:t>
            </w:r>
            <w:r>
              <w:rPr>
                <w:rFonts w:hint="eastAsia" w:ascii="宋体" w:hAnsi="宋体" w:eastAsia="宋体" w:cs="宋体"/>
                <w:b w:val="0"/>
                <w:bCs/>
                <w:color w:val="auto"/>
                <w:sz w:val="21"/>
                <w:szCs w:val="21"/>
                <w:highlight w:val="none"/>
                <w:lang w:val="en-US" w:eastAsia="zh-CN"/>
              </w:rPr>
              <w:t>11</w:t>
            </w:r>
            <w:r>
              <w:rPr>
                <w:rFonts w:hint="eastAsia" w:ascii="宋体" w:hAnsi="宋体" w:eastAsia="宋体" w:cs="宋体"/>
                <w:b w:val="0"/>
                <w:bCs/>
                <w:color w:val="auto"/>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服务方案内容</w:t>
            </w:r>
            <w:r>
              <w:rPr>
                <w:rFonts w:hint="eastAsia" w:ascii="宋体" w:hAnsi="宋体" w:eastAsia="宋体" w:cs="宋体"/>
                <w:b w:val="0"/>
                <w:bCs/>
                <w:color w:val="auto"/>
                <w:sz w:val="21"/>
                <w:szCs w:val="21"/>
                <w:highlight w:val="none"/>
              </w:rPr>
              <w:t>简单、理解认知度</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，基本满足项目要求得</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r>
              <w:rPr>
                <w:rFonts w:hint="eastAsia" w:ascii="宋体" w:hAnsi="宋体" w:eastAsia="宋体" w:cs="宋体"/>
                <w:b w:val="0"/>
                <w:bCs/>
                <w:color w:val="auto"/>
                <w:sz w:val="21"/>
                <w:szCs w:val="21"/>
                <w:highlight w:val="none"/>
                <w:lang w:val="en-US" w:eastAsia="zh-CN"/>
              </w:rPr>
              <w:t>服务方案内容</w:t>
            </w:r>
            <w:r>
              <w:rPr>
                <w:rFonts w:hint="eastAsia" w:ascii="宋体" w:hAnsi="宋体" w:eastAsia="宋体" w:cs="宋体"/>
                <w:b w:val="0"/>
                <w:bCs/>
                <w:color w:val="auto"/>
                <w:sz w:val="21"/>
                <w:szCs w:val="21"/>
                <w:highlight w:val="none"/>
              </w:rPr>
              <w:t>较</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、理解认知度</w:t>
            </w:r>
            <w:r>
              <w:rPr>
                <w:rFonts w:hint="eastAsia" w:ascii="宋体" w:hAnsi="宋体" w:eastAsia="宋体" w:cs="宋体"/>
                <w:b w:val="0"/>
                <w:bCs/>
                <w:color w:val="auto"/>
                <w:sz w:val="21"/>
                <w:szCs w:val="21"/>
                <w:highlight w:val="none"/>
                <w:lang w:val="en-US" w:eastAsia="zh-CN"/>
              </w:rPr>
              <w:t>较差</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对本</w:t>
            </w:r>
            <w:r>
              <w:rPr>
                <w:rFonts w:hint="eastAsia" w:ascii="宋体" w:hAnsi="宋体" w:eastAsia="宋体" w:cs="宋体"/>
                <w:b w:val="0"/>
                <w:bCs/>
                <w:color w:val="auto"/>
                <w:sz w:val="21"/>
                <w:szCs w:val="21"/>
                <w:highlight w:val="none"/>
              </w:rPr>
              <w:t>项目要求</w:t>
            </w:r>
            <w:r>
              <w:rPr>
                <w:rFonts w:hint="eastAsia" w:ascii="宋体" w:hAnsi="宋体" w:eastAsia="宋体" w:cs="宋体"/>
                <w:b w:val="0"/>
                <w:bCs/>
                <w:color w:val="auto"/>
                <w:sz w:val="21"/>
                <w:szCs w:val="21"/>
                <w:highlight w:val="none"/>
                <w:lang w:val="en-US" w:eastAsia="zh-CN"/>
              </w:rPr>
              <w:t>的内容有欠缺</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、未提供的得0分</w:t>
            </w:r>
            <w:r>
              <w:rPr>
                <w:rFonts w:hint="eastAsia" w:ascii="宋体" w:hAnsi="宋体" w:eastAsia="宋体" w:cs="宋体"/>
                <w:b w:val="0"/>
                <w:bCs/>
                <w:sz w:val="21"/>
                <w:szCs w:val="21"/>
                <w:highlight w:val="none"/>
              </w:rPr>
              <w:t>；</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2"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2</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实施计划及应急管理预案</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0</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1、实施计划及应急管理预案完整、可行性、实用性好，得1</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2、实施计划及应急管理预案合理、可行性、实用性一般，得</w:t>
            </w:r>
            <w:r>
              <w:rPr>
                <w:rFonts w:hint="eastAsia" w:ascii="宋体" w:hAnsi="宋体" w:eastAsia="宋体" w:cs="宋体"/>
                <w:b w:val="0"/>
                <w:bCs/>
                <w:sz w:val="21"/>
                <w:szCs w:val="21"/>
                <w:highlight w:val="none"/>
                <w:lang w:val="en-US" w:eastAsia="zh-CN"/>
              </w:rPr>
              <w:t>7</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3、实施计划及应急管理预案</w:t>
            </w:r>
            <w:r>
              <w:rPr>
                <w:rFonts w:hint="eastAsia" w:ascii="宋体" w:hAnsi="宋体" w:eastAsia="宋体" w:cs="宋体"/>
                <w:b w:val="0"/>
                <w:bCs/>
                <w:sz w:val="21"/>
                <w:szCs w:val="21"/>
                <w:highlight w:val="none"/>
                <w:lang w:val="en-US" w:eastAsia="zh-CN"/>
              </w:rPr>
              <w:t>较合理</w:t>
            </w:r>
            <w:r>
              <w:rPr>
                <w:rFonts w:hint="eastAsia" w:ascii="宋体" w:hAnsi="宋体" w:eastAsia="宋体" w:cs="宋体"/>
                <w:b w:val="0"/>
                <w:bCs/>
                <w:sz w:val="21"/>
                <w:szCs w:val="21"/>
                <w:highlight w:val="none"/>
              </w:rPr>
              <w:t>、可行性、实用性较差，得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实施计划及应急管理预案</w:t>
            </w:r>
            <w:r>
              <w:rPr>
                <w:rFonts w:hint="eastAsia" w:ascii="宋体" w:hAnsi="宋体" w:eastAsia="宋体" w:cs="宋体"/>
                <w:b w:val="0"/>
                <w:bCs/>
                <w:sz w:val="21"/>
                <w:szCs w:val="21"/>
                <w:highlight w:val="none"/>
                <w:lang w:val="en-US" w:eastAsia="zh-CN"/>
              </w:rPr>
              <w:t>较差、可行性、实用性差，得1分；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5</w:t>
            </w:r>
            <w:r>
              <w:rPr>
                <w:rFonts w:hint="eastAsia" w:ascii="宋体" w:hAnsi="宋体" w:eastAsia="宋体" w:cs="宋体"/>
                <w:b w:val="0"/>
                <w:bCs/>
                <w:sz w:val="21"/>
                <w:szCs w:val="21"/>
                <w:highlight w:val="none"/>
              </w:rPr>
              <w:t>、未提供的得0分；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2"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安全</w:t>
            </w:r>
            <w:r>
              <w:rPr>
                <w:rFonts w:hint="eastAsia" w:ascii="宋体" w:hAnsi="宋体" w:eastAsia="宋体" w:cs="宋体"/>
                <w:b w:val="0"/>
                <w:bCs/>
                <w:sz w:val="21"/>
                <w:szCs w:val="21"/>
                <w:highlight w:val="none"/>
                <w:lang w:val="en-US" w:eastAsia="zh-CN"/>
              </w:rPr>
              <w:t>管理及</w:t>
            </w:r>
            <w:r>
              <w:rPr>
                <w:rFonts w:hint="eastAsia" w:ascii="宋体" w:hAnsi="宋体" w:eastAsia="宋体" w:cs="宋体"/>
                <w:b w:val="0"/>
                <w:bCs/>
                <w:sz w:val="21"/>
                <w:szCs w:val="21"/>
                <w:highlight w:val="none"/>
              </w:rPr>
              <w:t>保障措施</w:t>
            </w:r>
          </w:p>
          <w:p>
            <w:pPr>
              <w:keepNext w:val="0"/>
              <w:keepLines w:val="0"/>
              <w:pageBreakBefore w:val="0"/>
              <w:widowControl w:val="0"/>
              <w:kinsoku/>
              <w:wordWrap w:val="0"/>
              <w:overflowPunct/>
              <w:topLinePunct/>
              <w:autoSpaceDE/>
              <w:autoSpaceDN/>
              <w:bidi w:val="0"/>
              <w:adjustRightInd/>
              <w:spacing w:line="360" w:lineRule="auto"/>
              <w:ind w:firstLine="28" w:firstLineChars="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pacing w:line="360" w:lineRule="auto"/>
              <w:ind w:firstLine="28" w:firstLineChars="0"/>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0-</w:t>
            </w:r>
            <w:r>
              <w:rPr>
                <w:rFonts w:hint="eastAsia" w:ascii="宋体" w:hAnsi="宋体" w:eastAsia="宋体" w:cs="宋体"/>
                <w:b w:val="0"/>
                <w:bCs/>
                <w:sz w:val="21"/>
                <w:szCs w:val="21"/>
                <w:highlight w:val="none"/>
                <w:lang w:val="en-US" w:eastAsia="zh-CN"/>
              </w:rPr>
              <w:t>10</w:t>
            </w:r>
          </w:p>
        </w:tc>
        <w:tc>
          <w:tcPr>
            <w:tcW w:w="4511" w:type="dxa"/>
            <w:vAlign w:val="center"/>
          </w:tcPr>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1、</w:t>
            </w:r>
            <w:r>
              <w:rPr>
                <w:rFonts w:hint="eastAsia" w:ascii="宋体" w:hAnsi="宋体" w:eastAsia="宋体" w:cs="宋体"/>
                <w:b w:val="0"/>
                <w:bCs/>
                <w:sz w:val="21"/>
                <w:szCs w:val="21"/>
                <w:highlight w:val="none"/>
              </w:rPr>
              <w:t>措施</w:t>
            </w:r>
            <w:r>
              <w:rPr>
                <w:rFonts w:hint="eastAsia" w:ascii="宋体" w:hAnsi="宋体" w:eastAsia="宋体" w:cs="宋体"/>
                <w:b w:val="0"/>
                <w:bCs/>
                <w:kern w:val="2"/>
                <w:sz w:val="21"/>
                <w:szCs w:val="21"/>
                <w:highlight w:val="none"/>
                <w:lang w:val="en-US" w:eastAsia="zh-CN" w:bidi="ar-SA"/>
              </w:rPr>
              <w:t>内容完整、合理，可操作性强的得10分；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w:t>
            </w:r>
            <w:r>
              <w:rPr>
                <w:rFonts w:hint="eastAsia" w:ascii="宋体" w:hAnsi="宋体" w:eastAsia="宋体" w:cs="宋体"/>
                <w:b w:val="0"/>
                <w:bCs/>
                <w:sz w:val="21"/>
                <w:szCs w:val="21"/>
                <w:highlight w:val="none"/>
              </w:rPr>
              <w:t>措施</w:t>
            </w:r>
            <w:r>
              <w:rPr>
                <w:rFonts w:hint="eastAsia" w:ascii="宋体" w:hAnsi="宋体" w:eastAsia="宋体" w:cs="宋体"/>
                <w:b w:val="0"/>
                <w:bCs/>
                <w:kern w:val="2"/>
                <w:sz w:val="21"/>
                <w:szCs w:val="21"/>
                <w:highlight w:val="none"/>
                <w:lang w:val="en-US" w:eastAsia="zh-CN" w:bidi="ar-SA"/>
              </w:rPr>
              <w:t>内容较完整、较合理，有可操作性较好的得7分；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3、</w:t>
            </w:r>
            <w:r>
              <w:rPr>
                <w:rFonts w:hint="eastAsia" w:ascii="宋体" w:hAnsi="宋体" w:eastAsia="宋体" w:cs="宋体"/>
                <w:b w:val="0"/>
                <w:bCs/>
                <w:sz w:val="21"/>
                <w:szCs w:val="21"/>
                <w:highlight w:val="none"/>
              </w:rPr>
              <w:t>措施</w:t>
            </w:r>
            <w:r>
              <w:rPr>
                <w:rFonts w:hint="eastAsia" w:ascii="宋体" w:hAnsi="宋体" w:eastAsia="宋体" w:cs="宋体"/>
                <w:b w:val="0"/>
                <w:bCs/>
                <w:kern w:val="2"/>
                <w:sz w:val="21"/>
                <w:szCs w:val="21"/>
                <w:highlight w:val="none"/>
                <w:lang w:val="en-US" w:eastAsia="zh-CN" w:bidi="ar-SA"/>
              </w:rPr>
              <w:t>内容有欠缺、合理性一般，具有一定可操作性的得4分；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4、</w:t>
            </w:r>
            <w:r>
              <w:rPr>
                <w:rFonts w:hint="eastAsia" w:ascii="宋体" w:hAnsi="宋体" w:eastAsia="宋体" w:cs="宋体"/>
                <w:b w:val="0"/>
                <w:bCs/>
                <w:sz w:val="21"/>
                <w:szCs w:val="21"/>
                <w:highlight w:val="none"/>
              </w:rPr>
              <w:t>措施</w:t>
            </w:r>
            <w:r>
              <w:rPr>
                <w:rFonts w:hint="eastAsia" w:ascii="宋体" w:hAnsi="宋体" w:eastAsia="宋体" w:cs="宋体"/>
                <w:b w:val="0"/>
                <w:bCs/>
                <w:kern w:val="2"/>
                <w:sz w:val="21"/>
                <w:szCs w:val="21"/>
                <w:highlight w:val="none"/>
                <w:lang w:val="en-US" w:eastAsia="zh-CN" w:bidi="ar-SA"/>
              </w:rPr>
              <w:t>内容有欠缺、合理性差，可操作性差的得1分；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5、未提供的得0分；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4</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培训方案</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（10分）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0-10</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1、培训的服务方案健全、合理的，得10分；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2、培训的服务方案较健全、较合理的，得7分；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3、培训的服务方案较一般、基本合理的，得4分；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4、培训的服务方案较差的，得1分；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5、未提供的得0分；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4"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5</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pacing w:line="360" w:lineRule="auto"/>
              <w:ind w:firstLine="28" w:firstLineChars="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质量保证与质量控制措施</w:t>
            </w:r>
          </w:p>
          <w:p>
            <w:pPr>
              <w:keepNext w:val="0"/>
              <w:keepLines w:val="0"/>
              <w:pageBreakBefore w:val="0"/>
              <w:widowControl w:val="0"/>
              <w:kinsoku/>
              <w:wordWrap w:val="0"/>
              <w:overflowPunct/>
              <w:topLinePunct/>
              <w:autoSpaceDE/>
              <w:autoSpaceDN/>
              <w:bidi w:val="0"/>
              <w:adjustRightInd/>
              <w:spacing w:line="360" w:lineRule="auto"/>
              <w:ind w:firstLine="28" w:firstLineChars="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pacing w:line="360" w:lineRule="auto"/>
              <w:ind w:firstLine="28" w:firstLineChars="0"/>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0-</w:t>
            </w:r>
            <w:r>
              <w:rPr>
                <w:rFonts w:hint="eastAsia" w:ascii="宋体" w:hAnsi="宋体" w:eastAsia="宋体" w:cs="宋体"/>
                <w:b w:val="0"/>
                <w:bCs/>
                <w:sz w:val="21"/>
                <w:szCs w:val="21"/>
                <w:highlight w:val="none"/>
                <w:lang w:val="en-US" w:eastAsia="zh-CN"/>
              </w:rPr>
              <w:t>10</w:t>
            </w:r>
          </w:p>
        </w:tc>
        <w:tc>
          <w:tcPr>
            <w:tcW w:w="4511" w:type="dxa"/>
            <w:vAlign w:val="center"/>
          </w:tcPr>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1、措施内容完整、合理，可操作性强的得10分；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2、措施内容较完整、较合理，有可操作性较好的得7分；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3、措施内容有欠缺、合理性一般，具有一定可操作性的得4分；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4、措施内容有欠缺、合理性差，可操作性差的得1分；</w:t>
            </w:r>
          </w:p>
          <w:p>
            <w:pPr>
              <w:keepNext w:val="0"/>
              <w:keepLines w:val="0"/>
              <w:pageBreakBefore w:val="0"/>
              <w:widowControl w:val="0"/>
              <w:kinsoku/>
              <w:wordWrap w:val="0"/>
              <w:overflowPunct/>
              <w:topLinePunct/>
              <w:autoSpaceDE/>
              <w:autoSpaceDN/>
              <w:bidi w:val="0"/>
              <w:adjustRightInd/>
              <w:spacing w:line="360" w:lineRule="auto"/>
              <w:ind w:firstLine="28"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5、未提供的得0分；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6</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人员管理规章制度</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0-10</w:t>
            </w:r>
          </w:p>
        </w:tc>
        <w:tc>
          <w:tcPr>
            <w:tcW w:w="4511" w:type="dxa"/>
            <w:vAlign w:val="center"/>
          </w:tcPr>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1、</w:t>
            </w:r>
            <w:r>
              <w:rPr>
                <w:rFonts w:hint="eastAsia" w:ascii="宋体" w:hAnsi="宋体" w:eastAsia="宋体" w:cs="宋体"/>
                <w:b w:val="0"/>
                <w:bCs/>
                <w:sz w:val="21"/>
                <w:szCs w:val="21"/>
                <w:highlight w:val="none"/>
              </w:rPr>
              <w:t>人员管理规章制度全面，针对性强得</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pPr>
              <w:pStyle w:val="33"/>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人员管理规章制度</w:t>
            </w:r>
            <w:r>
              <w:rPr>
                <w:rFonts w:hint="eastAsia" w:ascii="宋体" w:hAnsi="宋体" w:eastAsia="宋体" w:cs="宋体"/>
                <w:b w:val="0"/>
                <w:bCs/>
                <w:sz w:val="21"/>
                <w:szCs w:val="21"/>
                <w:highlight w:val="none"/>
                <w:lang w:val="en-US" w:eastAsia="zh-CN"/>
              </w:rPr>
              <w:t>较</w:t>
            </w:r>
            <w:r>
              <w:rPr>
                <w:rFonts w:hint="eastAsia" w:ascii="宋体" w:hAnsi="宋体" w:eastAsia="宋体" w:cs="宋体"/>
                <w:b w:val="0"/>
                <w:bCs/>
                <w:sz w:val="21"/>
                <w:szCs w:val="21"/>
                <w:highlight w:val="none"/>
              </w:rPr>
              <w:t>全面</w:t>
            </w:r>
            <w:r>
              <w:rPr>
                <w:rFonts w:hint="eastAsia" w:ascii="宋体" w:hAnsi="宋体" w:eastAsia="宋体" w:cs="宋体"/>
                <w:b w:val="0"/>
                <w:bCs/>
                <w:sz w:val="21"/>
                <w:szCs w:val="21"/>
                <w:highlight w:val="none"/>
                <w:lang w:val="en-US" w:eastAsia="zh-CN"/>
              </w:rPr>
              <w:t>的</w:t>
            </w:r>
            <w:r>
              <w:rPr>
                <w:rFonts w:hint="eastAsia" w:ascii="宋体" w:hAnsi="宋体" w:eastAsia="宋体" w:cs="宋体"/>
                <w:b w:val="0"/>
                <w:bCs/>
                <w:sz w:val="21"/>
                <w:szCs w:val="21"/>
                <w:highlight w:val="none"/>
              </w:rPr>
              <w:t>得</w:t>
            </w:r>
            <w:r>
              <w:rPr>
                <w:rFonts w:hint="eastAsia" w:ascii="宋体" w:hAnsi="宋体" w:eastAsia="宋体" w:cs="宋体"/>
                <w:b w:val="0"/>
                <w:bCs/>
                <w:sz w:val="21"/>
                <w:szCs w:val="21"/>
                <w:highlight w:val="none"/>
                <w:lang w:val="en-US" w:eastAsia="zh-CN"/>
              </w:rPr>
              <w:t>7</w:t>
            </w:r>
            <w:r>
              <w:rPr>
                <w:rFonts w:hint="eastAsia" w:ascii="宋体" w:hAnsi="宋体" w:eastAsia="宋体" w:cs="宋体"/>
                <w:b w:val="0"/>
                <w:bCs/>
                <w:sz w:val="21"/>
                <w:szCs w:val="21"/>
                <w:highlight w:val="none"/>
              </w:rPr>
              <w:t>分</w:t>
            </w:r>
            <w:r>
              <w:rPr>
                <w:rFonts w:hint="eastAsia" w:ascii="宋体" w:hAnsi="宋体" w:eastAsia="宋体" w:cs="宋体"/>
                <w:b w:val="0"/>
                <w:bCs/>
                <w:sz w:val="21"/>
                <w:szCs w:val="21"/>
                <w:highlight w:val="none"/>
                <w:lang w:eastAsia="zh-CN"/>
              </w:rPr>
              <w:t>；</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人员管理规章制度</w:t>
            </w:r>
            <w:r>
              <w:rPr>
                <w:rFonts w:hint="eastAsia" w:ascii="宋体" w:hAnsi="宋体" w:eastAsia="宋体" w:cs="宋体"/>
                <w:b w:val="0"/>
                <w:bCs/>
                <w:sz w:val="21"/>
                <w:szCs w:val="21"/>
                <w:highlight w:val="none"/>
                <w:lang w:val="en-US" w:eastAsia="zh-CN"/>
              </w:rPr>
              <w:t>一般的得4分；</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4、人员管理规章制度</w:t>
            </w:r>
            <w:r>
              <w:rPr>
                <w:rFonts w:hint="eastAsia" w:ascii="宋体" w:hAnsi="宋体" w:eastAsia="宋体" w:cs="宋体"/>
                <w:b w:val="0"/>
                <w:bCs/>
                <w:sz w:val="21"/>
                <w:szCs w:val="21"/>
                <w:highlight w:val="none"/>
              </w:rPr>
              <w:t>存在欠缺或不足</w:t>
            </w:r>
            <w:r>
              <w:rPr>
                <w:rFonts w:hint="eastAsia" w:ascii="宋体" w:hAnsi="宋体" w:eastAsia="宋体" w:cs="宋体"/>
                <w:b w:val="0"/>
                <w:bCs/>
                <w:sz w:val="21"/>
                <w:szCs w:val="21"/>
                <w:highlight w:val="none"/>
                <w:lang w:val="en-US" w:eastAsia="zh-CN"/>
              </w:rPr>
              <w:t>的</w:t>
            </w:r>
            <w:r>
              <w:rPr>
                <w:rFonts w:hint="eastAsia" w:ascii="宋体" w:hAnsi="宋体" w:eastAsia="宋体" w:cs="宋体"/>
                <w:b w:val="0"/>
                <w:bCs/>
                <w:sz w:val="21"/>
                <w:szCs w:val="21"/>
                <w:highlight w:val="none"/>
              </w:rPr>
              <w:t>得</w:t>
            </w:r>
            <w:r>
              <w:rPr>
                <w:rFonts w:hint="eastAsia" w:ascii="宋体" w:hAnsi="宋体" w:eastAsia="宋体" w:cs="宋体"/>
                <w:b w:val="0"/>
                <w:bCs/>
                <w:sz w:val="21"/>
                <w:szCs w:val="21"/>
                <w:highlight w:val="none"/>
                <w:lang w:val="en-US" w:eastAsia="zh-CN"/>
              </w:rPr>
              <w:t>1</w:t>
            </w:r>
            <w:r>
              <w:rPr>
                <w:rFonts w:hint="eastAsia" w:ascii="宋体" w:hAnsi="宋体" w:eastAsia="宋体" w:cs="宋体"/>
                <w:b w:val="0"/>
                <w:bCs/>
                <w:sz w:val="21"/>
                <w:szCs w:val="21"/>
                <w:highlight w:val="none"/>
              </w:rPr>
              <w:t>分；</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5、</w:t>
            </w:r>
            <w:r>
              <w:rPr>
                <w:rFonts w:hint="eastAsia" w:ascii="宋体" w:hAnsi="宋体" w:eastAsia="宋体" w:cs="宋体"/>
                <w:b w:val="0"/>
                <w:bCs/>
                <w:color w:val="auto"/>
                <w:sz w:val="21"/>
                <w:szCs w:val="21"/>
                <w:highlight w:val="none"/>
              </w:rPr>
              <w:t>未提供的得0分</w:t>
            </w:r>
            <w:r>
              <w:rPr>
                <w:rFonts w:hint="eastAsia" w:ascii="宋体" w:hAnsi="宋体" w:eastAsia="宋体" w:cs="宋体"/>
                <w:b w:val="0"/>
                <w:bCs/>
                <w:sz w:val="21"/>
                <w:szCs w:val="21"/>
                <w:highlight w:val="none"/>
              </w:rPr>
              <w:t>。</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7</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服务承诺</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5</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0-5</w:t>
            </w:r>
          </w:p>
        </w:tc>
        <w:tc>
          <w:tcPr>
            <w:tcW w:w="4511" w:type="dxa"/>
            <w:vAlign w:val="center"/>
          </w:tcPr>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1、</w:t>
            </w:r>
            <w:r>
              <w:rPr>
                <w:rFonts w:hint="eastAsia" w:ascii="宋体" w:hAnsi="宋体" w:eastAsia="宋体" w:cs="宋体"/>
                <w:b w:val="0"/>
                <w:bCs/>
                <w:sz w:val="21"/>
                <w:szCs w:val="21"/>
                <w:highlight w:val="none"/>
              </w:rPr>
              <w:t>服务承诺全面，针对性强得</w:t>
            </w:r>
            <w:r>
              <w:rPr>
                <w:rFonts w:hint="eastAsia" w:ascii="宋体" w:hAnsi="宋体" w:eastAsia="宋体" w:cs="宋体"/>
                <w:b w:val="0"/>
                <w:bCs/>
                <w:sz w:val="21"/>
                <w:szCs w:val="21"/>
                <w:highlight w:val="none"/>
                <w:lang w:val="en-US" w:eastAsia="zh-CN"/>
              </w:rPr>
              <w:t>5</w:t>
            </w:r>
            <w:r>
              <w:rPr>
                <w:rFonts w:hint="eastAsia" w:ascii="宋体" w:hAnsi="宋体" w:eastAsia="宋体" w:cs="宋体"/>
                <w:b w:val="0"/>
                <w:bCs/>
                <w:sz w:val="21"/>
                <w:szCs w:val="21"/>
                <w:highlight w:val="none"/>
              </w:rPr>
              <w:t>分；</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服务承诺</w:t>
            </w:r>
            <w:r>
              <w:rPr>
                <w:rFonts w:hint="eastAsia" w:ascii="宋体" w:hAnsi="宋体" w:eastAsia="宋体" w:cs="宋体"/>
                <w:b w:val="0"/>
                <w:bCs/>
                <w:sz w:val="21"/>
                <w:szCs w:val="21"/>
                <w:highlight w:val="none"/>
                <w:lang w:val="en-US" w:eastAsia="zh-CN"/>
              </w:rPr>
              <w:t>一般的得3分；</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服务承诺存在欠缺或不足</w:t>
            </w:r>
            <w:r>
              <w:rPr>
                <w:rFonts w:hint="eastAsia" w:ascii="宋体" w:hAnsi="宋体" w:eastAsia="宋体" w:cs="宋体"/>
                <w:b w:val="0"/>
                <w:bCs/>
                <w:sz w:val="21"/>
                <w:szCs w:val="21"/>
                <w:highlight w:val="none"/>
                <w:lang w:val="en-US" w:eastAsia="zh-CN"/>
              </w:rPr>
              <w:t>的</w:t>
            </w:r>
            <w:r>
              <w:rPr>
                <w:rFonts w:hint="eastAsia" w:ascii="宋体" w:hAnsi="宋体" w:eastAsia="宋体" w:cs="宋体"/>
                <w:b w:val="0"/>
                <w:bCs/>
                <w:sz w:val="21"/>
                <w:szCs w:val="21"/>
                <w:highlight w:val="none"/>
              </w:rPr>
              <w:t>得</w:t>
            </w:r>
            <w:r>
              <w:rPr>
                <w:rFonts w:hint="eastAsia" w:ascii="宋体" w:hAnsi="宋体" w:eastAsia="宋体" w:cs="宋体"/>
                <w:b w:val="0"/>
                <w:bCs/>
                <w:sz w:val="21"/>
                <w:szCs w:val="21"/>
                <w:highlight w:val="none"/>
                <w:lang w:val="en-US" w:eastAsia="zh-CN"/>
              </w:rPr>
              <w:t>1</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color w:val="auto"/>
                <w:sz w:val="21"/>
                <w:szCs w:val="21"/>
                <w:highlight w:val="none"/>
              </w:rPr>
              <w:t>未提供的得0分</w:t>
            </w:r>
            <w:r>
              <w:rPr>
                <w:rFonts w:hint="eastAsia" w:ascii="宋体" w:hAnsi="宋体" w:eastAsia="宋体" w:cs="宋体"/>
                <w:b w:val="0"/>
                <w:bCs/>
                <w:sz w:val="21"/>
                <w:szCs w:val="21"/>
                <w:highlight w:val="none"/>
              </w:rPr>
              <w:t>。</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8</w:t>
            </w:r>
          </w:p>
        </w:tc>
        <w:tc>
          <w:tcPr>
            <w:tcW w:w="1245" w:type="dxa"/>
            <w:vMerge w:val="restart"/>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商务部分</w:t>
            </w:r>
          </w:p>
          <w:p>
            <w:pPr>
              <w:pStyle w:val="33"/>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（20分）</w:t>
            </w: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人员配备</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0-4</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1、配备团队成员，组织架构完整，成员职责划分明确，经验丰富，年龄结构合理得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2、配备团队成员，组织架构较完整，成员职责划分较明确，综合对比一般、年龄结构一般得</w:t>
            </w: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3、配备团队成员，组织架构基本完整，成员职责划分基本明确，综合对比差，年龄结构较差得</w:t>
            </w: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分。</w:t>
            </w:r>
          </w:p>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4、无组织架构，成员职责划分的得0分。</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10</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体系建设</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0-8</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投标人提供有效的ISO9001质量管理体系认证证书、有效的ISO45001职业健康安全管理体系认证证书、有效的IEC27001信息安全管理体系认证证书、有效的ISO14001环境管理体系认证证书，每提供</w:t>
            </w:r>
            <w:r>
              <w:rPr>
                <w:rFonts w:hint="eastAsia" w:ascii="宋体" w:hAnsi="宋体" w:eastAsia="宋体" w:cs="宋体"/>
                <w:b w:val="0"/>
                <w:bCs/>
                <w:sz w:val="21"/>
                <w:szCs w:val="21"/>
                <w:highlight w:val="none"/>
                <w:lang w:val="en-US" w:eastAsia="zh-CN"/>
              </w:rPr>
              <w:t>一个</w:t>
            </w:r>
            <w:r>
              <w:rPr>
                <w:rFonts w:hint="eastAsia" w:ascii="宋体" w:hAnsi="宋体" w:eastAsia="宋体" w:cs="宋体"/>
                <w:b w:val="0"/>
                <w:bCs/>
                <w:sz w:val="21"/>
                <w:szCs w:val="21"/>
                <w:highlight w:val="none"/>
              </w:rPr>
              <w:t>得2分，满分</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r>
              <w:rPr>
                <w:rFonts w:hint="eastAsia" w:ascii="宋体" w:hAnsi="宋体" w:eastAsia="宋体" w:cs="宋体"/>
                <w:b w:val="0"/>
                <w:bCs/>
                <w:sz w:val="21"/>
                <w:szCs w:val="21"/>
                <w:highlight w:val="none"/>
                <w:lang w:eastAsia="zh-CN"/>
              </w:rPr>
              <w:t>需附</w:t>
            </w:r>
            <w:r>
              <w:rPr>
                <w:rFonts w:hint="eastAsia" w:ascii="宋体" w:hAnsi="宋体" w:eastAsia="宋体" w:cs="宋体"/>
                <w:b w:val="0"/>
                <w:bCs/>
                <w:sz w:val="21"/>
                <w:szCs w:val="21"/>
                <w:highlight w:val="none"/>
                <w:lang w:val="en-US" w:eastAsia="zh-CN"/>
              </w:rPr>
              <w:t>相关证书</w:t>
            </w:r>
            <w:r>
              <w:rPr>
                <w:rFonts w:hint="eastAsia" w:ascii="宋体" w:hAnsi="宋体" w:eastAsia="宋体" w:cs="宋体"/>
                <w:b w:val="0"/>
                <w:bCs/>
                <w:sz w:val="21"/>
                <w:szCs w:val="21"/>
                <w:highlight w:val="none"/>
                <w:lang w:eastAsia="zh-CN"/>
              </w:rPr>
              <w:t>电子件加盖本单位公章</w:t>
            </w:r>
            <w:r>
              <w:rPr>
                <w:rFonts w:hint="eastAsia" w:ascii="宋体" w:hAnsi="宋体" w:eastAsia="宋体" w:cs="宋体"/>
                <w:b w:val="0"/>
                <w:bCs/>
                <w:sz w:val="21"/>
                <w:szCs w:val="21"/>
                <w:highlight w:val="none"/>
              </w:rPr>
              <w:t>）</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11</w:t>
            </w:r>
          </w:p>
        </w:tc>
        <w:tc>
          <w:tcPr>
            <w:tcW w:w="1245" w:type="dxa"/>
            <w:vMerge w:val="continue"/>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p>
        </w:tc>
        <w:tc>
          <w:tcPr>
            <w:tcW w:w="132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类似</w:t>
            </w:r>
            <w:r>
              <w:rPr>
                <w:rFonts w:hint="eastAsia" w:ascii="宋体" w:hAnsi="宋体" w:eastAsia="宋体" w:cs="宋体"/>
                <w:b w:val="0"/>
                <w:bCs/>
                <w:sz w:val="21"/>
                <w:szCs w:val="21"/>
                <w:highlight w:val="none"/>
              </w:rPr>
              <w:t>业绩</w:t>
            </w:r>
          </w:p>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0-8</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投标人近3年</w:t>
            </w:r>
            <w:r>
              <w:rPr>
                <w:rFonts w:hint="eastAsia" w:ascii="宋体" w:hAnsi="宋体" w:eastAsia="宋体" w:cs="宋体"/>
                <w:b w:val="0"/>
                <w:bCs/>
                <w:sz w:val="21"/>
                <w:szCs w:val="21"/>
                <w:highlight w:val="none"/>
                <w:lang w:eastAsia="zh-CN"/>
              </w:rPr>
              <w:t>（</w:t>
            </w:r>
            <w:r>
              <w:rPr>
                <w:rFonts w:hint="eastAsia" w:ascii="宋体" w:hAnsi="宋体" w:cs="宋体"/>
                <w:b w:val="0"/>
                <w:bCs/>
                <w:sz w:val="21"/>
                <w:szCs w:val="21"/>
                <w:highlight w:val="none"/>
                <w:lang w:eastAsia="zh-CN"/>
              </w:rPr>
              <w:t>2020年12月20日至2023年12月19日</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的</w:t>
            </w:r>
            <w:r>
              <w:rPr>
                <w:rFonts w:hint="eastAsia" w:ascii="宋体" w:hAnsi="宋体" w:eastAsia="宋体" w:cs="宋体"/>
                <w:b w:val="0"/>
                <w:bCs/>
                <w:sz w:val="21"/>
                <w:szCs w:val="21"/>
                <w:highlight w:val="none"/>
                <w:lang w:val="en-US" w:eastAsia="zh-CN"/>
              </w:rPr>
              <w:t>与本项目采购内容类似的项目业绩</w:t>
            </w: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eastAsia="zh-CN"/>
              </w:rPr>
              <w:t>需附合同关键页或中标/成交通知书电子件加盖本单位公章</w:t>
            </w:r>
            <w:r>
              <w:rPr>
                <w:rFonts w:hint="eastAsia" w:ascii="宋体" w:hAnsi="宋体" w:eastAsia="宋体" w:cs="宋体"/>
                <w:b w:val="0"/>
                <w:bCs/>
                <w:sz w:val="21"/>
                <w:szCs w:val="21"/>
                <w:highlight w:val="none"/>
              </w:rPr>
              <w:t>）每提供</w:t>
            </w:r>
            <w:r>
              <w:rPr>
                <w:rFonts w:hint="eastAsia" w:ascii="宋体" w:hAnsi="宋体" w:eastAsia="宋体" w:cs="宋体"/>
                <w:b w:val="0"/>
                <w:bCs/>
                <w:sz w:val="21"/>
                <w:szCs w:val="21"/>
                <w:highlight w:val="none"/>
                <w:lang w:val="en-US" w:eastAsia="zh-CN"/>
              </w:rPr>
              <w:t>一个</w:t>
            </w:r>
            <w:r>
              <w:rPr>
                <w:rFonts w:hint="eastAsia" w:ascii="宋体" w:hAnsi="宋体" w:eastAsia="宋体" w:cs="宋体"/>
                <w:b w:val="0"/>
                <w:bCs/>
                <w:sz w:val="21"/>
                <w:szCs w:val="21"/>
                <w:highlight w:val="none"/>
              </w:rPr>
              <w:t>得2分，满分</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r>
              <w:rPr>
                <w:rFonts w:hint="eastAsia" w:ascii="宋体" w:hAnsi="宋体" w:eastAsia="宋体" w:cs="宋体"/>
                <w:b w:val="0"/>
                <w:bCs/>
                <w:sz w:val="21"/>
                <w:szCs w:val="21"/>
                <w:highlight w:val="none"/>
                <w:lang w:eastAsia="zh-CN"/>
              </w:rPr>
              <w:t>。</w:t>
            </w:r>
          </w:p>
        </w:tc>
        <w:tc>
          <w:tcPr>
            <w:tcW w:w="1354" w:type="dxa"/>
            <w:vAlign w:val="center"/>
          </w:tcPr>
          <w:p>
            <w:pPr>
              <w:pStyle w:val="250"/>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12</w:t>
            </w:r>
          </w:p>
        </w:tc>
        <w:tc>
          <w:tcPr>
            <w:tcW w:w="2565" w:type="dxa"/>
            <w:gridSpan w:val="2"/>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w:t>
            </w:r>
          </w:p>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0-1</w:t>
            </w:r>
            <w:r>
              <w:rPr>
                <w:rFonts w:hint="eastAsia" w:ascii="宋体" w:hAnsi="宋体" w:eastAsia="宋体" w:cs="宋体"/>
                <w:b w:val="0"/>
                <w:bCs/>
                <w:sz w:val="21"/>
                <w:szCs w:val="21"/>
                <w:highlight w:val="none"/>
              </w:rPr>
              <w:t>0</w:t>
            </w:r>
          </w:p>
        </w:tc>
        <w:tc>
          <w:tcPr>
            <w:tcW w:w="4511" w:type="dxa"/>
            <w:vAlign w:val="center"/>
          </w:tcPr>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满足招标文件要求且投标价格最低的投标报价为评标基准价，其价格分为满分。其他投标人的价格分统一按照下列公式计算：</w:t>
            </w:r>
          </w:p>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投标报价得分＝（评标基准价/投标报价）×分值。</w:t>
            </w:r>
          </w:p>
        </w:tc>
        <w:tc>
          <w:tcPr>
            <w:tcW w:w="1354" w:type="dxa"/>
            <w:vAlign w:val="center"/>
          </w:tcPr>
          <w:p>
            <w:pPr>
              <w:keepNext w:val="0"/>
              <w:keepLines w:val="0"/>
              <w:pageBreakBefore w:val="0"/>
              <w:widowControl w:val="0"/>
              <w:kinsoku/>
              <w:wordWrap w:val="0"/>
              <w:overflowPunct/>
              <w:topLinePunct/>
              <w:autoSpaceDE/>
              <w:autoSpaceDN/>
              <w:bidi w:val="0"/>
              <w:adjustRightInd/>
              <w:snapToGrid/>
              <w:spacing w:line="360" w:lineRule="auto"/>
              <w:ind w:left="-38"/>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p>
        </w:tc>
        <w:tc>
          <w:tcPr>
            <w:tcW w:w="2565" w:type="dxa"/>
            <w:gridSpan w:val="2"/>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w:t>
            </w:r>
          </w:p>
        </w:tc>
        <w:tc>
          <w:tcPr>
            <w:tcW w:w="780" w:type="dxa"/>
            <w:vAlign w:val="center"/>
          </w:tcPr>
          <w:p>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100</w:t>
            </w:r>
          </w:p>
        </w:tc>
        <w:tc>
          <w:tcPr>
            <w:tcW w:w="5865" w:type="dxa"/>
            <w:gridSpan w:val="2"/>
            <w:vAlign w:val="center"/>
          </w:tcPr>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val="0"/>
                <w:bCs/>
                <w:sz w:val="21"/>
                <w:szCs w:val="21"/>
                <w:highlight w:val="none"/>
              </w:rPr>
            </w:pPr>
          </w:p>
        </w:tc>
      </w:tr>
    </w:tbl>
    <w:p>
      <w:pPr>
        <w:keepNext w:val="0"/>
        <w:keepLines w:val="0"/>
        <w:pageBreakBefore w:val="0"/>
        <w:widowControl w:val="0"/>
        <w:kinsoku/>
        <w:wordWrap w:val="0"/>
        <w:overflowPunct/>
        <w:topLinePunct/>
        <w:autoSpaceDE/>
        <w:autoSpaceDN/>
        <w:bidi w:val="0"/>
        <w:adjustRightInd/>
        <w:snapToGrid/>
        <w:spacing w:line="360" w:lineRule="auto"/>
        <w:jc w:val="center"/>
        <w:textAlignment w:val="auto"/>
        <w:outlineLvl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bookmarkStart w:id="812" w:name="_Toc4410"/>
      <w:r>
        <w:rPr>
          <w:rFonts w:hint="eastAsia" w:ascii="宋体" w:hAnsi="宋体" w:eastAsia="宋体" w:cs="宋体"/>
          <w:b w:val="0"/>
          <w:bCs/>
          <w:sz w:val="21"/>
          <w:szCs w:val="21"/>
          <w:highlight w:val="none"/>
        </w:rPr>
        <w:t>第五章   采购需求</w:t>
      </w:r>
      <w:bookmarkEnd w:id="812"/>
    </w:p>
    <w:p>
      <w:pPr>
        <w:pStyle w:val="101"/>
        <w:keepNext w:val="0"/>
        <w:keepLines w:val="0"/>
        <w:pageBreakBefore w:val="0"/>
        <w:widowControl w:val="0"/>
        <w:numPr>
          <w:ilvl w:val="0"/>
          <w:numId w:val="0"/>
        </w:numPr>
        <w:kinsoku/>
        <w:wordWrap w:val="0"/>
        <w:overflowPunct/>
        <w:topLinePunct/>
        <w:autoSpaceDE/>
        <w:autoSpaceDN/>
        <w:bidi w:val="0"/>
        <w:snapToGrid/>
        <w:spacing w:line="360" w:lineRule="auto"/>
        <w:ind w:leftChars="0"/>
        <w:contextualSpacing/>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一、</w:t>
      </w:r>
      <w:r>
        <w:rPr>
          <w:rFonts w:hint="eastAsia" w:ascii="宋体" w:hAnsi="宋体" w:eastAsia="宋体" w:cs="宋体"/>
          <w:b w:val="0"/>
          <w:bCs/>
          <w:sz w:val="21"/>
          <w:szCs w:val="21"/>
          <w:highlight w:val="none"/>
        </w:rPr>
        <w:t>采购标的</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1.总体要求</w:t>
      </w:r>
      <w:r>
        <w:rPr>
          <w:rFonts w:hint="eastAsia" w:ascii="宋体" w:hAnsi="宋体" w:cs="宋体"/>
          <w:b w:val="0"/>
          <w:bCs/>
          <w:sz w:val="21"/>
          <w:szCs w:val="21"/>
          <w:highlight w:val="none"/>
          <w:lang w:eastAsia="zh-CN"/>
        </w:rPr>
        <w:t>：</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1.1.</w:t>
      </w:r>
      <w:r>
        <w:rPr>
          <w:rFonts w:hint="eastAsia" w:ascii="宋体" w:hAnsi="宋体" w:eastAsia="宋体" w:cs="宋体"/>
          <w:b w:val="0"/>
          <w:bCs/>
          <w:sz w:val="21"/>
          <w:szCs w:val="21"/>
          <w:highlight w:val="none"/>
        </w:rPr>
        <w:t>本项目按照推动地区高质量发展的要求，为夯实基层社会治理基础，提升地区服务群众水平，打造高水平精细化的城市管理，开展网格巡查及运营服务项目。</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1.2.</w:t>
      </w:r>
      <w:r>
        <w:rPr>
          <w:rFonts w:hint="eastAsia" w:ascii="宋体" w:hAnsi="宋体" w:eastAsia="宋体" w:cs="宋体"/>
          <w:b w:val="0"/>
          <w:bCs/>
          <w:sz w:val="21"/>
          <w:szCs w:val="21"/>
          <w:highlight w:val="none"/>
        </w:rPr>
        <w:t>网格巡查及运营服务项目共包含网格巡查管理服务、社会面防控辅助服务、就业辅助服务、法律咨询服务、文化宣传辅助服务、垃圾分类治理服务、城市管理辅助服务、违建整治辅助服务、日常工作保障、应急值守服务。为提升地区服务群众水平，协助天竺镇人民政府提供网格巡查管理服务、社会管理辅助服务、重要时刻保障、日常保障等工作。</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1.3.</w:t>
      </w:r>
      <w:r>
        <w:rPr>
          <w:rFonts w:hint="eastAsia" w:ascii="宋体" w:hAnsi="宋体" w:eastAsia="宋体" w:cs="宋体"/>
          <w:b w:val="0"/>
          <w:bCs/>
          <w:sz w:val="21"/>
          <w:szCs w:val="21"/>
          <w:highlight w:val="none"/>
        </w:rPr>
        <w:t>项目服务期限要求：服务期为1年。</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w:t>
      </w:r>
      <w:r>
        <w:rPr>
          <w:rFonts w:hint="eastAsia" w:ascii="宋体" w:hAnsi="宋体" w:eastAsia="宋体" w:cs="宋体"/>
          <w:b w:val="0"/>
          <w:bCs/>
          <w:sz w:val="21"/>
          <w:szCs w:val="21"/>
          <w:highlight w:val="none"/>
        </w:rPr>
        <w:t>项目岗位共包含：</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1.4.1.</w:t>
      </w:r>
      <w:r>
        <w:rPr>
          <w:rFonts w:hint="eastAsia" w:ascii="宋体" w:hAnsi="宋体" w:eastAsia="宋体" w:cs="宋体"/>
          <w:b w:val="0"/>
          <w:bCs/>
          <w:sz w:val="21"/>
          <w:szCs w:val="21"/>
          <w:highlight w:val="none"/>
        </w:rPr>
        <w:t>网格巡查管理服务，13人，在规定工作时间和负责的工作区域内进行巡查、城市管理问题进行收集和上报；接受镇市民诉求处置中心指令，对各事件相关问题进行核实；对各部门处置后事件进行确认并反馈至市民诉求处置中心。</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1.4.2.</w:t>
      </w:r>
      <w:r>
        <w:rPr>
          <w:rFonts w:hint="eastAsia" w:ascii="宋体" w:hAnsi="宋体" w:eastAsia="宋体" w:cs="宋体"/>
          <w:b w:val="0"/>
          <w:bCs/>
          <w:sz w:val="21"/>
          <w:szCs w:val="21"/>
          <w:highlight w:val="none"/>
        </w:rPr>
        <w:t>社会面防控辅助服务，12人，协助检查治安安保、交通、出租大院、各类安全隐患等；对小区内私拉电线、高空抛物等行为进行检查、制止。</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1.4.3.</w:t>
      </w:r>
      <w:r>
        <w:rPr>
          <w:rFonts w:hint="eastAsia" w:ascii="宋体" w:hAnsi="宋体" w:eastAsia="宋体" w:cs="宋体"/>
          <w:b w:val="0"/>
          <w:bCs/>
          <w:sz w:val="21"/>
          <w:szCs w:val="21"/>
          <w:highlight w:val="none"/>
        </w:rPr>
        <w:t>就业辅助服务，10人，对镇域内村居民就业、社保工作等辅助性事务。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1.4.4.</w:t>
      </w:r>
      <w:r>
        <w:rPr>
          <w:rFonts w:hint="eastAsia" w:ascii="宋体" w:hAnsi="宋体" w:eastAsia="宋体" w:cs="宋体"/>
          <w:b w:val="0"/>
          <w:bCs/>
          <w:sz w:val="21"/>
          <w:szCs w:val="21"/>
          <w:highlight w:val="none"/>
        </w:rPr>
        <w:t>法律咨询服务，5人，对镇域内企业职工、村居民进行法律法规特别是劳动法律法规的宣传教育与培训；为企业职工、村居民提供法律法规咨询服务。</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1.4.5.</w:t>
      </w:r>
      <w:r>
        <w:rPr>
          <w:rFonts w:hint="eastAsia" w:ascii="宋体" w:hAnsi="宋体" w:eastAsia="宋体" w:cs="宋体"/>
          <w:b w:val="0"/>
          <w:bCs/>
          <w:sz w:val="21"/>
          <w:szCs w:val="21"/>
          <w:highlight w:val="none"/>
        </w:rPr>
        <w:t>文化宣传辅助服务，8人，围绕全镇工作重点进行选题策划，及时对全镇亮点工作进行宣传报道，完成镇重要会议、重要活动等日常重大工作的报道和宣传内容的发布工作；协助开展镇域内群众文化活动。</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1.4.6.</w:t>
      </w:r>
      <w:r>
        <w:rPr>
          <w:rFonts w:hint="eastAsia" w:ascii="宋体" w:hAnsi="宋体" w:eastAsia="宋体" w:cs="宋体"/>
          <w:b w:val="0"/>
          <w:bCs/>
          <w:sz w:val="21"/>
          <w:szCs w:val="21"/>
          <w:highlight w:val="none"/>
        </w:rPr>
        <w:t>垃圾分类治理服务，10人，协助监督镇域内垃圾分类治理情况；协助检查镇域内垃圾分类亭、公示牌、指引牌等硬件设施情况。</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1.4.7.</w:t>
      </w:r>
      <w:r>
        <w:rPr>
          <w:rFonts w:hint="eastAsia" w:ascii="宋体" w:hAnsi="宋体" w:eastAsia="宋体" w:cs="宋体"/>
          <w:b w:val="0"/>
          <w:bCs/>
          <w:sz w:val="21"/>
          <w:szCs w:val="21"/>
          <w:highlight w:val="none"/>
        </w:rPr>
        <w:t>城市管理辅助服务，12人，在规定的工作时间和负责工作区域内与城管执法人员一起参与执法，配合执法人员从事宣传教育、巡查、信息收集、违法行为劝阻等辅助性事务。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1.4.8.</w:t>
      </w:r>
      <w:r>
        <w:rPr>
          <w:rFonts w:hint="eastAsia" w:ascii="宋体" w:hAnsi="宋体" w:eastAsia="宋体" w:cs="宋体"/>
          <w:b w:val="0"/>
          <w:bCs/>
          <w:sz w:val="21"/>
          <w:szCs w:val="21"/>
          <w:highlight w:val="none"/>
        </w:rPr>
        <w:t>违建整治辅助服务，7人，协助巡查镇域违规建筑、违规圈占等情况进行劝阻等辅助性事务。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1.4.9.</w:t>
      </w:r>
      <w:r>
        <w:rPr>
          <w:rFonts w:hint="eastAsia" w:ascii="宋体" w:hAnsi="宋体" w:eastAsia="宋体" w:cs="宋体"/>
          <w:b w:val="0"/>
          <w:bCs/>
          <w:sz w:val="21"/>
          <w:szCs w:val="21"/>
          <w:highlight w:val="none"/>
        </w:rPr>
        <w:t>日常工作保障，12人，负责每月区级下发台账进行小镇、协调处理问题，撰写科室内各类工作报告；协助科室处理网格化平台案卷结案工作；负责科室安排的其他临时工作。</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1.4.10.</w:t>
      </w:r>
      <w:r>
        <w:rPr>
          <w:rFonts w:hint="eastAsia" w:ascii="宋体" w:hAnsi="宋体" w:eastAsia="宋体" w:cs="宋体"/>
          <w:b w:val="0"/>
          <w:bCs/>
          <w:sz w:val="21"/>
          <w:szCs w:val="21"/>
          <w:highlight w:val="none"/>
        </w:rPr>
        <w:t>应急值守服务，15人，参加镇内日常值班工作，配合镇领导在镇域内进行夜间检查；遇重度污染天气时参与24小时值班。</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lang w:val="en-US" w:eastAsia="zh-CN"/>
        </w:rPr>
        <w:t>1.5.</w:t>
      </w:r>
      <w:r>
        <w:rPr>
          <w:rFonts w:hint="eastAsia" w:ascii="宋体" w:hAnsi="宋体" w:eastAsia="宋体" w:cs="宋体"/>
          <w:b w:val="0"/>
          <w:bCs/>
          <w:sz w:val="21"/>
          <w:szCs w:val="21"/>
          <w:highlight w:val="none"/>
        </w:rPr>
        <w:t>招聘条件</w:t>
      </w:r>
      <w:r>
        <w:rPr>
          <w:rFonts w:hint="eastAsia" w:ascii="宋体" w:hAnsi="宋体" w:cs="宋体"/>
          <w:b w:val="0"/>
          <w:bCs/>
          <w:sz w:val="21"/>
          <w:szCs w:val="21"/>
          <w:highlight w:val="none"/>
          <w:lang w:eastAsia="zh-CN"/>
        </w:rPr>
        <w:t>：</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应聘人员应具备以下基本条件</w:t>
      </w:r>
      <w:r>
        <w:rPr>
          <w:rFonts w:hint="eastAsia" w:ascii="宋体" w:hAnsi="宋体" w:cs="宋体"/>
          <w:b w:val="0"/>
          <w:bCs/>
          <w:sz w:val="21"/>
          <w:szCs w:val="21"/>
          <w:highlight w:val="none"/>
          <w:lang w:eastAsia="zh-CN"/>
        </w:rPr>
        <w:t>：</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1.5.1.1.</w:t>
      </w:r>
      <w:r>
        <w:rPr>
          <w:rFonts w:hint="eastAsia" w:ascii="宋体" w:hAnsi="宋体" w:eastAsia="宋体" w:cs="宋体"/>
          <w:b w:val="0"/>
          <w:bCs/>
          <w:sz w:val="21"/>
          <w:szCs w:val="21"/>
          <w:highlight w:val="none"/>
        </w:rPr>
        <w:t>拥护中国共产党的领导，政治立场坚定、政治素质过硬，坚决捍卫“两个确立”，增强“四个意识”、坚定“四个自信”、做到“两个维护”；</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2.具有中华人民共和国国籍，遵纪守法，爱岗敬业，品行端正，诚信廉洁，保守秘密，有强烈的事业心责任感和突出的工作业绩，无犯罪记录，无重大失信记录；</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3.熟悉现代企业管理运行机制及相关规则，具有较强的组织管理、团队领导、协调沟通能力和开拓创新精神；</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4.具有相关岗位所必需的专业知识和管理技能，熟悉行业现状，洞察行业发展趋势，具有较强的业务能力；</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5.具备国家相关行业管理部门要求的任职资格，符合有关法律法规规定的资格要求。</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1.5.1.</w:t>
      </w:r>
      <w:r>
        <w:rPr>
          <w:rFonts w:hint="eastAsia" w:ascii="宋体" w:hAnsi="宋体" w:eastAsia="宋体" w:cs="宋体"/>
          <w:b w:val="0"/>
          <w:bCs/>
          <w:sz w:val="21"/>
          <w:szCs w:val="21"/>
          <w:highlight w:val="none"/>
        </w:rPr>
        <w:t>6.服务人员条件：具有大专以上学历，年龄不限，政治面貌不限，能熟练使用Office办公软件且具有一定公文写作、沟通协调、应急处置能力，按照地区实际工作情况随时加班、值班，按国家有关规定缴纳社会保险及住房公积金。</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2.运营考核</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2.1.考核评估</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w:t>
      </w:r>
      <w:r>
        <w:rPr>
          <w:rFonts w:hint="eastAsia" w:ascii="宋体" w:hAnsi="宋体" w:cs="宋体"/>
          <w:b w:val="0"/>
          <w:bCs/>
          <w:sz w:val="21"/>
          <w:szCs w:val="21"/>
          <w:highlight w:val="none"/>
          <w:lang w:val="en-US" w:eastAsia="zh-CN"/>
        </w:rPr>
        <w:t>1.1.</w:t>
      </w:r>
      <w:r>
        <w:rPr>
          <w:rFonts w:hint="eastAsia" w:ascii="宋体" w:hAnsi="宋体" w:eastAsia="宋体" w:cs="宋体"/>
          <w:b w:val="0"/>
          <w:bCs/>
          <w:sz w:val="21"/>
          <w:szCs w:val="21"/>
          <w:highlight w:val="none"/>
        </w:rPr>
        <w:t>在运营期间（包括一方提出终止服务时），天竺镇人民政府有权自己组织或者委托独立的第三方评估机构对中心运行情况及运维服务进行考核评估，以检验服务提供方是否严格履行需求以及服务提供方的服务质量水平是否符合需求要求和满足天竺镇人民政府要求。该考核评估标准为项目相关技术性能要求及项目运维服务相关要求，并作为天竺镇人民政府向服务提供方支付费用的基本条件。考核评估结果不达标，则按双方签署的相关需求、协议规定的条款处理。考核的形式及考核办法可由天竺镇人民政府视情况确定，但天竺镇人民政府应在考核（本需求已规定的日常考核除外）前不少于5个工作日，将不涉及保密的相关内容告知服务提供方，以保证考核的公平、公正、公开。对于天竺镇人民政府及其委托方的考核评估活动，服务提供方应无条件同意并完全给予配合，允许评估人员进入服务提供方的工作地点，查看服务记录以及设备管理系统中的信息。</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2.2.每季度考核</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2.2.1.</w:t>
      </w:r>
      <w:r>
        <w:rPr>
          <w:rFonts w:hint="eastAsia" w:ascii="宋体" w:hAnsi="宋体" w:eastAsia="宋体" w:cs="宋体"/>
          <w:b w:val="0"/>
          <w:bCs/>
          <w:sz w:val="21"/>
          <w:szCs w:val="21"/>
          <w:highlight w:val="none"/>
        </w:rPr>
        <w:t>每季度考核主要考核服务提供方的故障完成率、运营管理资料完整性、服务质量、服务态度投诉率、考勤记录、服务满意度等指标，从签订合同后第2个考核季度起，在每考核季度前10天将上一季度每个月考核评估结果进行综合评定和处罚，作为上一季度的季度考核成绩，并作为计算季度实际应支付费用的依据。</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2.3.考核程序</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2.3.1.</w:t>
      </w:r>
      <w:r>
        <w:rPr>
          <w:rFonts w:hint="eastAsia" w:ascii="宋体" w:hAnsi="宋体" w:eastAsia="宋体" w:cs="宋体"/>
          <w:b w:val="0"/>
          <w:bCs/>
          <w:sz w:val="21"/>
          <w:szCs w:val="21"/>
          <w:highlight w:val="none"/>
        </w:rPr>
        <w:t>自签订合同后的服务期内，天竺镇人民政府在每三个月（作为考核季度）结束后10天内将本季度服务提供方的季度考核评分及依据书面告知服务提供方。服务提供方对季度考核评分或依据有异议时，应在5个工作日内向天竺镇人民政府申请重新评分或确认依据，并提供必要证据，天竺镇人民政府根据重新评分申请及其证据材料进行最终评定，若服务提供方逾期未提出意见则视为无异议。</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3.其他要求</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rPr>
        <w:t>1.当服务提供方未经天竺镇人民政府同意，有将合同规定的人员、备件、工具等抽离运维项目组的，每发现一次给予服务提供方警告1次处理。</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rPr>
        <w:t>2.在非天竺镇人民政府原因或非客观因素情况下，若服务提供方没有按照合同内容要求履行服务的，天竺镇人民政府可对服务提供方处以合同总额2%的扣罚，造成严重后果的由服务方承担所有责任。</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rPr>
        <w:t>3.工资发放不及时或者达不到工资额度的（随意扣除服务费），第一次给予警告处理，从第2次起，天竺镇人民政府可对服务违约处以合同总额10%的扣罚。</w:t>
      </w:r>
    </w:p>
    <w:p>
      <w:pPr>
        <w:keepNext w:val="0"/>
        <w:keepLines w:val="0"/>
        <w:pageBreakBefore w:val="0"/>
        <w:widowControl w:val="0"/>
        <w:kinsoku/>
        <w:wordWrap w:val="0"/>
        <w:overflowPunct/>
        <w:topLinePunct/>
        <w:autoSpaceDE/>
        <w:autoSpaceDN/>
        <w:bidi w:val="0"/>
        <w:snapToGrid/>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rPr>
        <w:t>4.每月发放工资时必须经过甲方考核满意后为准。</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二、商务要求</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1.交付（实施）的时间（期限）和地点（范围）</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1.1合同履行期限：1年（具体以合同签订时间为准）</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1.2服务地点：北京市顺义区天竺镇</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2.付款条件（进度和方式）</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2.1付款进度：合同签订后10个工作日内，甲方向乙方支付运营服务费总额的20%；自合同服务期第三个月起至合同期结束，甲方按月向乙方支付运营服务费，于每月30日之前，支付运营服务费的8%。</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2.2付款条件：甲方有权根据招投标文件中考核条款、本合同约定的绩效评价、本合同第六条和第八条约定扣罚费用，且有权在服务费中直接扣减。如乙方存在违约情形给甲方造成损失，甲方也有权在服务费中直接扣减相应费用，最终支付以实际考核为准。</w:t>
      </w:r>
    </w:p>
    <w:p>
      <w:pPr>
        <w:pStyle w:val="10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contextualSpacing/>
        <w:textAlignment w:val="auto"/>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bookmarkStart w:id="813" w:name="_Toc12809"/>
      <w:r>
        <w:rPr>
          <w:rFonts w:hint="eastAsia" w:ascii="宋体" w:hAnsi="宋体" w:eastAsia="宋体" w:cs="宋体"/>
          <w:b w:val="0"/>
          <w:bCs/>
          <w:sz w:val="21"/>
          <w:szCs w:val="21"/>
          <w:highlight w:val="none"/>
        </w:rPr>
        <w:t>第六章   拟签订的合同文本</w:t>
      </w:r>
      <w:bookmarkEnd w:id="813"/>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sectPr>
          <w:footerReference r:id="rId11" w:type="default"/>
          <w:pgSz w:w="11907" w:h="16840"/>
          <w:pgMar w:top="1418" w:right="1134" w:bottom="1418" w:left="1701" w:header="851" w:footer="851" w:gutter="0"/>
          <w:pgNumType w:fmt="decimal"/>
          <w:cols w:space="720" w:num="1"/>
          <w:docGrid w:linePitch="462" w:charSpace="0"/>
        </w:sectPr>
      </w:pPr>
    </w:p>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color w:val="auto"/>
          <w:sz w:val="21"/>
          <w:szCs w:val="21"/>
          <w:highlight w:val="none"/>
        </w:rPr>
      </w:pPr>
      <w:bookmarkStart w:id="814" w:name="_Toc174185201"/>
      <w:bookmarkStart w:id="815" w:name="_Toc15708"/>
      <w:bookmarkStart w:id="816" w:name="_Toc186274124"/>
      <w:r>
        <w:rPr>
          <w:rFonts w:hint="eastAsia" w:ascii="宋体" w:hAnsi="宋体" w:eastAsia="宋体" w:cs="宋体"/>
          <w:b w:val="0"/>
          <w:bCs/>
          <w:color w:val="auto"/>
          <w:sz w:val="21"/>
          <w:szCs w:val="21"/>
          <w:highlight w:val="none"/>
        </w:rPr>
        <w:t>天竺镇网格巡查及运营服务项目</w:t>
      </w:r>
    </w:p>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政府采购合同</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rPr>
      </w:pP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甲方：</w:t>
      </w:r>
      <w:r>
        <w:rPr>
          <w:rFonts w:hint="eastAsia" w:ascii="宋体" w:hAnsi="宋体" w:eastAsia="宋体" w:cs="宋体"/>
          <w:b w:val="0"/>
          <w:bCs/>
          <w:color w:val="auto"/>
          <w:sz w:val="21"/>
          <w:szCs w:val="21"/>
          <w:highlight w:val="none"/>
          <w:u w:val="single"/>
        </w:rPr>
        <w:t>北京市顺义区天竺镇人民政府</w:t>
      </w:r>
      <w:r>
        <w:rPr>
          <w:rFonts w:hint="eastAsia" w:ascii="宋体" w:hAnsi="宋体" w:eastAsia="宋体" w:cs="宋体"/>
          <w:b w:val="0"/>
          <w:bCs/>
          <w:color w:val="auto"/>
          <w:sz w:val="21"/>
          <w:szCs w:val="21"/>
          <w:highlight w:val="none"/>
        </w:rPr>
        <w:t>（以及简称“甲方”）</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乙方：</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（以及简称“乙方”）</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为明确甲乙双方的权利义务，依照《中华人民共和国民法典》及其他有关法律、法规的规定，根据天竺镇网格巡查及运营服务项目招标文件</w:t>
      </w:r>
      <w:r>
        <w:rPr>
          <w:rFonts w:hint="eastAsia" w:ascii="宋体" w:hAnsi="宋体" w:eastAsia="宋体" w:cs="宋体"/>
          <w:b w:val="0"/>
          <w:bCs/>
          <w:color w:val="auto"/>
          <w:sz w:val="21"/>
          <w:szCs w:val="21"/>
          <w:highlight w:val="none"/>
          <w:lang w:eastAsia="zh-CN"/>
        </w:rPr>
        <w:t>的要求</w:t>
      </w:r>
      <w:r>
        <w:rPr>
          <w:rFonts w:hint="eastAsia" w:ascii="宋体" w:hAnsi="宋体" w:eastAsia="宋体" w:cs="宋体"/>
          <w:b w:val="0"/>
          <w:bCs/>
          <w:color w:val="auto"/>
          <w:sz w:val="21"/>
          <w:szCs w:val="21"/>
          <w:highlight w:val="none"/>
        </w:rPr>
        <w:t>和</w:t>
      </w:r>
      <w:r>
        <w:rPr>
          <w:rFonts w:hint="eastAsia" w:ascii="宋体" w:hAnsi="宋体" w:eastAsia="宋体" w:cs="宋体"/>
          <w:b w:val="0"/>
          <w:bCs/>
          <w:color w:val="auto"/>
          <w:sz w:val="21"/>
          <w:szCs w:val="21"/>
          <w:highlight w:val="none"/>
          <w:lang w:eastAsia="zh-CN"/>
        </w:rPr>
        <w:t>投标文件的标准，</w:t>
      </w:r>
      <w:r>
        <w:rPr>
          <w:rFonts w:hint="eastAsia" w:ascii="宋体" w:hAnsi="宋体" w:eastAsia="宋体" w:cs="宋体"/>
          <w:b w:val="0"/>
          <w:bCs/>
          <w:color w:val="auto"/>
          <w:sz w:val="21"/>
          <w:szCs w:val="21"/>
          <w:highlight w:val="none"/>
        </w:rPr>
        <w:t>遵循平等</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自愿、互利</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公平和诚实合作的原则，甲、乙双方现经友好协商，特订立本合同。</w:t>
      </w:r>
    </w:p>
    <w:p>
      <w:pPr>
        <w:pStyle w:val="41"/>
        <w:keepNext w:val="0"/>
        <w:keepLines w:val="0"/>
        <w:pageBreakBefore w:val="0"/>
        <w:widowControl w:val="0"/>
        <w:kinsoku/>
        <w:wordWrap w:val="0"/>
        <w:overflowPunct/>
        <w:topLinePunct/>
        <w:autoSpaceDE/>
        <w:autoSpaceDN/>
        <w:bidi w:val="0"/>
        <w:snapToGrid/>
        <w:spacing w:line="36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一、合同组成部分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本合同书；</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中标通知书；</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采购需求；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在实施过程中双方共同签署的补充与修正文件。</w:t>
      </w:r>
    </w:p>
    <w:p>
      <w:pPr>
        <w:keepNext w:val="0"/>
        <w:keepLines w:val="0"/>
        <w:pageBreakBefore w:val="0"/>
        <w:widowControl w:val="0"/>
        <w:kinsoku/>
        <w:wordWrap w:val="0"/>
        <w:overflowPunct/>
        <w:topLinePunct/>
        <w:autoSpaceDE/>
        <w:autoSpaceDN/>
        <w:bidi w:val="0"/>
        <w:snapToGrid/>
        <w:spacing w:line="360" w:lineRule="auto"/>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二、项目概况</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1.项目名称：</w:t>
      </w:r>
      <w:r>
        <w:rPr>
          <w:rFonts w:hint="eastAsia" w:ascii="宋体" w:hAnsi="宋体" w:eastAsia="宋体" w:cs="宋体"/>
          <w:b w:val="0"/>
          <w:bCs/>
          <w:color w:val="auto"/>
          <w:sz w:val="21"/>
          <w:szCs w:val="21"/>
          <w:highlight w:val="none"/>
          <w:lang w:eastAsia="zh-CN"/>
        </w:rPr>
        <w:t>天竺镇网格巡查及运营服务项目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FF0000"/>
          <w:sz w:val="21"/>
          <w:szCs w:val="21"/>
          <w:highlight w:val="none"/>
          <w:lang w:eastAsia="zh-CN"/>
        </w:rPr>
      </w:pPr>
      <w:r>
        <w:rPr>
          <w:rFonts w:hint="eastAsia" w:ascii="宋体" w:hAnsi="宋体" w:eastAsia="宋体" w:cs="宋体"/>
          <w:b w:val="0"/>
          <w:bCs/>
          <w:color w:val="auto"/>
          <w:sz w:val="21"/>
          <w:szCs w:val="21"/>
          <w:highlight w:val="none"/>
        </w:rPr>
        <w:t>2.项目地点：</w:t>
      </w:r>
      <w:r>
        <w:rPr>
          <w:rFonts w:hint="eastAsia" w:ascii="宋体" w:hAnsi="宋体" w:eastAsia="宋体" w:cs="宋体"/>
          <w:b w:val="0"/>
          <w:bCs/>
          <w:color w:val="auto"/>
          <w:sz w:val="21"/>
          <w:szCs w:val="21"/>
          <w:highlight w:val="none"/>
          <w:lang w:eastAsia="zh-CN"/>
        </w:rPr>
        <w:t>北京市顺义区天竺镇</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3.服务期限：</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日至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日</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4.项目内容：</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为推动地区高质量发展，提升地区服务群众水平，开展网格巡查及运营服务项目。在项目服务期限内，甲方应提供以下服务：</w:t>
      </w:r>
    </w:p>
    <w:p>
      <w:pPr>
        <w:keepNext w:val="0"/>
        <w:keepLines w:val="0"/>
        <w:pageBreakBefore w:val="0"/>
        <w:widowControl w:val="0"/>
        <w:numPr>
          <w:ilvl w:val="0"/>
          <w:numId w:val="0"/>
        </w:numPr>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网格巡查管理服务，13人，在规定工作时间和负责的工作区域内进行巡查、城市管理问题进行收集和上报；接受镇市民诉求处置中心指令，对各事件相关问题进行核实；对各部门处置后事件进行确认并反馈至市民诉求处置中心。</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（2）社会面防控辅助服务，12人，协助检查治安安保、交通、出租大院、各类安全隐患等；对小区内私拉电线、高空抛物等行为进行检查、制止。</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）就业辅助服务，10人，对镇域内村居民就业、社保工作等辅助性事务。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eastAsia="zh-CN"/>
        </w:rPr>
        <w:t>）法律咨询服务，5人，对镇域内企业职工、村居民进行法律法规特别是劳动法律法规的宣传教育与培训；为企业职工、村居民提供法律法规咨询服务。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eastAsia="zh-CN"/>
        </w:rPr>
        <w:t>）文化宣传辅助服务，8人，围绕全镇工作重点进行选题策划，及时对全镇亮点工作进行宣传报道，完成镇重要会议、重要活动等日常重大工作的报道和宣传内容的发布工作；协助开展镇域内群众文化活动。</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eastAsia="zh-CN"/>
        </w:rPr>
        <w:t>）垃圾分类治理服务，10人，协助监督镇域内垃圾分类治理情况；协助检查镇域内垃圾分类亭、公示牌、指引牌等硬件设施情况。</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）城市管理辅助服务，12人，在规定的工作时间和负责工作区域内与城管执法人员一起参与执法，配合执法人员从事宣传教育、巡查、信息收集、违法行为劝阻等辅助性事务。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eastAsia="zh-CN"/>
        </w:rPr>
        <w:t>）违建整治辅助服务，7人，协助巡查镇域违规建筑、违规圈占等情况进行劝阻等辅助性事务。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eastAsia="zh-CN"/>
        </w:rPr>
        <w:t>）日常工作保障，12人，负责每月区级下发台账进行小镇、协调处理问题，撰写科室内各类工作报告；协助科室处理网格化平台案卷结案工作；负责科室安排的其他临时工作。</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eastAsia="zh-CN"/>
        </w:rPr>
        <w:t>）应急值守服务，15人，参加镇内日常值班工作，配合镇领导在镇域内进行夜间检查；遇重度污染天气时参与24小时值班。</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项目工作标准及要求：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5.1</w:t>
      </w:r>
      <w:r>
        <w:rPr>
          <w:rFonts w:hint="eastAsia" w:ascii="宋体" w:hAnsi="宋体" w:eastAsia="宋体" w:cs="宋体"/>
          <w:b w:val="0"/>
          <w:bCs/>
          <w:color w:val="auto"/>
          <w:sz w:val="21"/>
          <w:szCs w:val="21"/>
          <w:highlight w:val="none"/>
          <w:lang w:eastAsia="zh-CN"/>
        </w:rPr>
        <w:t>总体要求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本项目按照推动地区高质量发展的要求，为夯实基层社会治理基础，提升地区服务群众水平，打造高水平精细化的城市管理，开展网格巡查及运营服务项目。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网格巡查及运营服务项目共包含网格巡查管理服务、社会面防控辅助服务、就业辅助服务、法律咨询服务、文化宣传辅助服务、垃圾分类治理服务、城市管理辅助服务、违建整治辅助服务、日常工作保障、应急值守服务。为提升地区服务群众水平，协助天竺镇人民政府提供网格巡查管理服务、社会管理辅助服务、重要时刻保障、日常保障等工作。</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5.2</w:t>
      </w:r>
      <w:r>
        <w:rPr>
          <w:rFonts w:hint="eastAsia" w:ascii="宋体" w:hAnsi="宋体" w:eastAsia="宋体" w:cs="宋体"/>
          <w:b w:val="0"/>
          <w:bCs/>
          <w:color w:val="auto"/>
          <w:sz w:val="21"/>
          <w:szCs w:val="21"/>
          <w:highlight w:val="none"/>
          <w:lang w:eastAsia="zh-CN"/>
        </w:rPr>
        <w:t>项目服务期限要求：服务期为1年。</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5.3服务方式：驻场服务、电话远程等服务方式。</w:t>
      </w:r>
    </w:p>
    <w:p>
      <w:pPr>
        <w:keepNext w:val="0"/>
        <w:keepLines w:val="0"/>
        <w:pageBreakBefore w:val="0"/>
        <w:widowControl w:val="0"/>
        <w:kinsoku/>
        <w:wordWrap w:val="0"/>
        <w:overflowPunct/>
        <w:topLinePunct/>
        <w:autoSpaceDE/>
        <w:autoSpaceDN/>
        <w:bidi w:val="0"/>
        <w:snapToGrid/>
        <w:spacing w:line="360" w:lineRule="auto"/>
        <w:ind w:left="420" w:leftChars="200"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5.4项目人数</w:t>
      </w:r>
      <w:r>
        <w:rPr>
          <w:rFonts w:hint="eastAsia" w:ascii="宋体" w:hAnsi="宋体" w:cs="宋体"/>
          <w:b w:val="0"/>
          <w:bCs/>
          <w:color w:val="auto"/>
          <w:sz w:val="21"/>
          <w:szCs w:val="21"/>
          <w:highlight w:val="none"/>
          <w:lang w:val="en-US" w:eastAsia="zh-CN"/>
        </w:rPr>
        <w:t>应</w:t>
      </w:r>
      <w:r>
        <w:rPr>
          <w:rFonts w:hint="eastAsia" w:ascii="宋体" w:hAnsi="宋体" w:eastAsia="宋体" w:cs="宋体"/>
          <w:b w:val="0"/>
          <w:bCs/>
          <w:color w:val="auto"/>
          <w:sz w:val="21"/>
          <w:szCs w:val="21"/>
          <w:highlight w:val="none"/>
          <w:lang w:val="en-US" w:eastAsia="zh-CN"/>
        </w:rPr>
        <w:t>不少于104人，</w:t>
      </w:r>
      <w:r>
        <w:rPr>
          <w:rFonts w:hint="eastAsia" w:ascii="宋体" w:hAnsi="宋体" w:cs="宋体"/>
          <w:b w:val="0"/>
          <w:bCs/>
          <w:color w:val="auto"/>
          <w:sz w:val="21"/>
          <w:szCs w:val="21"/>
          <w:highlight w:val="none"/>
          <w:lang w:val="en-US" w:eastAsia="zh-CN"/>
        </w:rPr>
        <w:t>如有特殊情况导致服务</w:t>
      </w:r>
      <w:r>
        <w:rPr>
          <w:rFonts w:hint="eastAsia" w:ascii="宋体" w:hAnsi="宋体" w:eastAsia="宋体" w:cs="宋体"/>
          <w:b w:val="0"/>
          <w:bCs/>
          <w:color w:val="auto"/>
          <w:sz w:val="21"/>
          <w:szCs w:val="21"/>
          <w:highlight w:val="none"/>
          <w:lang w:val="en-US" w:eastAsia="zh-CN"/>
        </w:rPr>
        <w:t>人员增加</w:t>
      </w:r>
      <w:r>
        <w:rPr>
          <w:rFonts w:hint="eastAsia" w:ascii="宋体" w:hAnsi="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根据实际服务情况</w:t>
      </w:r>
      <w:r>
        <w:rPr>
          <w:rFonts w:hint="eastAsia" w:ascii="宋体" w:hAnsi="宋体" w:cs="宋体"/>
          <w:b w:val="0"/>
          <w:bCs/>
          <w:color w:val="auto"/>
          <w:sz w:val="21"/>
          <w:szCs w:val="21"/>
          <w:highlight w:val="none"/>
          <w:lang w:val="en-US" w:eastAsia="zh-CN"/>
        </w:rPr>
        <w:t>及</w:t>
      </w:r>
      <w:r>
        <w:rPr>
          <w:rFonts w:hint="eastAsia" w:ascii="宋体" w:hAnsi="宋体" w:eastAsia="宋体" w:cs="宋体"/>
          <w:b w:val="0"/>
          <w:bCs/>
          <w:color w:val="auto"/>
          <w:sz w:val="21"/>
          <w:szCs w:val="21"/>
          <w:highlight w:val="none"/>
          <w:lang w:val="en-US" w:eastAsia="zh-CN"/>
        </w:rPr>
        <w:t>增加人员</w:t>
      </w:r>
      <w:r>
        <w:rPr>
          <w:rFonts w:hint="eastAsia" w:ascii="宋体" w:hAnsi="宋体" w:cs="宋体"/>
          <w:b w:val="0"/>
          <w:bCs/>
          <w:color w:val="auto"/>
          <w:sz w:val="21"/>
          <w:szCs w:val="21"/>
          <w:highlight w:val="none"/>
          <w:lang w:val="en-US" w:eastAsia="zh-CN"/>
        </w:rPr>
        <w:t>的数量进行结算</w:t>
      </w:r>
      <w:r>
        <w:rPr>
          <w:rFonts w:hint="eastAsia" w:ascii="宋体" w:hAnsi="宋体" w:eastAsia="宋体" w:cs="宋体"/>
          <w:b w:val="0"/>
          <w:bCs/>
          <w:color w:val="auto"/>
          <w:sz w:val="21"/>
          <w:szCs w:val="21"/>
          <w:highlight w:val="none"/>
          <w:lang w:val="en-US" w:eastAsia="zh-CN"/>
        </w:rPr>
        <w:t>。</w:t>
      </w:r>
    </w:p>
    <w:p>
      <w:pPr>
        <w:keepNext w:val="0"/>
        <w:keepLines w:val="0"/>
        <w:pageBreakBefore w:val="0"/>
        <w:widowControl w:val="0"/>
        <w:kinsoku/>
        <w:wordWrap w:val="0"/>
        <w:overflowPunct/>
        <w:topLinePunct/>
        <w:autoSpaceDE/>
        <w:autoSpaceDN/>
        <w:bidi w:val="0"/>
        <w:snapToGrid/>
        <w:spacing w:line="360" w:lineRule="auto"/>
        <w:ind w:left="420" w:leftChars="200" w:firstLine="0" w:firstLineChars="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5.5</w:t>
      </w:r>
      <w:r>
        <w:rPr>
          <w:rFonts w:hint="eastAsia" w:ascii="宋体" w:hAnsi="宋体" w:eastAsia="宋体" w:cs="宋体"/>
          <w:b w:val="0"/>
          <w:bCs/>
          <w:color w:val="auto"/>
          <w:sz w:val="21"/>
          <w:szCs w:val="21"/>
          <w:highlight w:val="none"/>
          <w:lang w:eastAsia="zh-CN"/>
        </w:rPr>
        <w:t>招聘要求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乙方从事本项目的工作人员应具备以下基本条件：</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）拥护中国共产党的领导，政治立场坚定、政治素质过硬，坚决捍卫“两个确立”，增强“四个意识”、坚定“四个自信”、做到“两个维护”；</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）具有中华人民共和国国籍，遵纪守法，爱岗敬业，品行端正，诚信廉洁，保守秘密，有强烈的事业心责任感和突出的工作业绩，无犯罪记录，无重大失信记录；</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）熟悉现代企业管理运行机制及相关规则，具有较强的组织管理、团队领导、协调沟通能力和开拓创新精神；</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eastAsia="zh-CN"/>
        </w:rPr>
        <w:t>）具有相关岗位所必需的专业知识和管理技能，熟悉行业现状，洞察行业发展趋势，具有较强的业务能力；</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eastAsia="zh-CN"/>
        </w:rPr>
        <w:t>）具备国家相关行业管理部门要求的任职资格，符合有关法律法规规定的资格要求。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eastAsia="zh-CN"/>
        </w:rPr>
        <w:t>）服务人员条件：具有大专以上学历，年龄不限，政治面貌不限，能熟练使用Office办公软件且具有一定公文写作、沟通协调、应急处置能力，按照地区实际工作情况随时加班、值班，按国家有关规定缴纳社会保险及住房公积金。</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三、合同价款及支付方式：</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合同价款：本项目合同总金额（含税）为（大写）人民币</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元，（小写）¥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lang w:val="en-US" w:eastAsia="zh-CN"/>
        </w:rPr>
        <w:t>元</w:t>
      </w:r>
      <w:r>
        <w:rPr>
          <w:rFonts w:hint="eastAsia" w:ascii="宋体" w:hAnsi="宋体" w:eastAsia="宋体" w:cs="宋体"/>
          <w:b w:val="0"/>
          <w:bCs/>
          <w:color w:val="auto"/>
          <w:sz w:val="21"/>
          <w:szCs w:val="21"/>
          <w:highlight w:val="none"/>
        </w:rPr>
        <w:t>，最终</w:t>
      </w:r>
      <w:r>
        <w:rPr>
          <w:rFonts w:hint="eastAsia" w:ascii="宋体" w:hAnsi="宋体" w:eastAsia="宋体" w:cs="宋体"/>
          <w:b w:val="0"/>
          <w:bCs/>
          <w:color w:val="auto"/>
          <w:sz w:val="21"/>
          <w:szCs w:val="21"/>
          <w:highlight w:val="none"/>
          <w:lang w:eastAsia="zh-CN"/>
        </w:rPr>
        <w:t>支付</w:t>
      </w:r>
      <w:r>
        <w:rPr>
          <w:rFonts w:hint="eastAsia" w:ascii="宋体" w:hAnsi="宋体" w:eastAsia="宋体" w:cs="宋体"/>
          <w:b w:val="0"/>
          <w:bCs/>
          <w:color w:val="auto"/>
          <w:sz w:val="21"/>
          <w:szCs w:val="21"/>
          <w:highlight w:val="none"/>
        </w:rPr>
        <w:t>金额以据实结算金额为准。</w:t>
      </w:r>
    </w:p>
    <w:p>
      <w:pPr>
        <w:pStyle w:val="255"/>
        <w:keepNext w:val="0"/>
        <w:keepLines w:val="0"/>
        <w:pageBreakBefore w:val="0"/>
        <w:widowControl w:val="0"/>
        <w:kinsoku/>
        <w:wordWrap w:val="0"/>
        <w:overflowPunct/>
        <w:topLinePunct/>
        <w:autoSpaceDE/>
        <w:autoSpaceDN/>
        <w:bidi w:val="0"/>
        <w:snapToGrid/>
        <w:spacing w:line="360" w:lineRule="auto"/>
        <w:ind w:left="210" w:leftChars="100" w:firstLine="210" w:firstLineChars="1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2.支付方式：</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（1）合同签订后10个工作日内，甲方向乙方支付运营服务费总额的20%，即人民币</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lang w:val="en-US" w:eastAsia="zh-CN"/>
        </w:rPr>
        <w:t>元整（小写¥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lang w:val="en-US" w:eastAsia="zh-CN"/>
        </w:rPr>
        <w:t>元）；</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（2）自合同服务期第三个月起至合同期结束（即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lang w:val="en-US" w:eastAsia="zh-CN"/>
        </w:rPr>
        <w:t>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lang w:val="en-US" w:eastAsia="zh-CN"/>
        </w:rPr>
        <w:t>月至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lang w:val="en-US" w:eastAsia="zh-CN"/>
        </w:rPr>
        <w:t>月），甲方按月向乙方支付运营服务费，于每月30日之前，支付运营服务费的8%。</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甲方有权根据招投标文件中考核条款、本合同约定的绩效评价、本合同第六条和第八条约定扣罚费用，且有权在服务费中直接扣减。如乙方存在违约情形给甲方造成损失，甲方也有权在服务费中直接扣减相应费用，最终支付以实际考核为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lang w:val="en-US" w:eastAsia="zh-CN"/>
        </w:rPr>
        <w:t>乙方开户银行名称、地址和账号为：</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开户银行：</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地    址：</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账    号：</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其他要求：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乙方须在甲方付款前出具正规合格的等额增值税发票，否则不视为甲方延期付款。甲方系财政拨款单位，如因财政或有关部门就本项目资金未能及时拨款到位， 待本项目资金到位后向乙方付款，而不视为甲方付款违约，甲方亦不承担任何违约责任。但乙方不得拒绝或延期履行义务，否则应按照本协议约定承担违约责任。</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FF0000"/>
          <w:sz w:val="21"/>
          <w:szCs w:val="21"/>
          <w:highlight w:val="none"/>
        </w:rPr>
      </w:pPr>
      <w:r>
        <w:rPr>
          <w:rFonts w:hint="eastAsia" w:ascii="宋体" w:hAnsi="宋体" w:eastAsia="宋体" w:cs="宋体"/>
          <w:b w:val="0"/>
          <w:bCs/>
          <w:color w:val="auto"/>
          <w:sz w:val="21"/>
          <w:szCs w:val="21"/>
          <w:highlight w:val="none"/>
          <w:lang w:eastAsia="zh-CN"/>
        </w:rPr>
        <w:t>四</w:t>
      </w:r>
      <w:r>
        <w:rPr>
          <w:rFonts w:hint="eastAsia" w:ascii="宋体" w:hAnsi="宋体" w:eastAsia="宋体" w:cs="宋体"/>
          <w:b w:val="0"/>
          <w:bCs/>
          <w:color w:val="auto"/>
          <w:sz w:val="21"/>
          <w:szCs w:val="21"/>
          <w:highlight w:val="none"/>
        </w:rPr>
        <w:t>、甲乙双方的权利和义务：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（一）甲方权利及义务：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甲方的权利</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1.1甲方有权就以下事件对乙方进行监督：</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甲方有权对发现的问题要求乙方立即整改。有权要求调换不适合在甲方工作的工作人员，乙方应在接到甲方书面要求后一周内更换经甲方认可的工作人员。</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甲方有对乙方履行合同情况进行检查的权利，甲方可根据需要，随时抽查乙方项目执行情况，乙方应予以配合。</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甲方有权对</w:t>
      </w:r>
      <w:r>
        <w:rPr>
          <w:rFonts w:hint="eastAsia" w:ascii="宋体" w:hAnsi="宋体" w:eastAsia="宋体" w:cs="宋体"/>
          <w:b w:val="0"/>
          <w:bCs/>
          <w:color w:val="auto"/>
          <w:sz w:val="21"/>
          <w:szCs w:val="21"/>
          <w:highlight w:val="none"/>
          <w:lang w:eastAsia="zh-CN"/>
        </w:rPr>
        <w:t>网格巡查及运营服务</w:t>
      </w:r>
      <w:r>
        <w:rPr>
          <w:rFonts w:hint="eastAsia" w:ascii="宋体" w:hAnsi="宋体" w:eastAsia="宋体" w:cs="宋体"/>
          <w:b w:val="0"/>
          <w:bCs/>
          <w:color w:val="auto"/>
          <w:sz w:val="21"/>
          <w:szCs w:val="21"/>
          <w:highlight w:val="none"/>
        </w:rPr>
        <w:t>进行技术指导考核、验收、奖惩，制定考核标准，并有权修改考核标准。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如因乙方工作人员因工作失职或其他自身过错原</w:t>
      </w:r>
      <w:r>
        <w:rPr>
          <w:rFonts w:hint="eastAsia" w:ascii="宋体" w:hAnsi="宋体" w:eastAsia="宋体" w:cs="宋体"/>
          <w:b w:val="0"/>
          <w:bCs/>
          <w:color w:val="auto"/>
          <w:sz w:val="21"/>
          <w:szCs w:val="21"/>
          <w:highlight w:val="none"/>
          <w:lang w:eastAsia="zh-CN"/>
        </w:rPr>
        <w:t>因</w:t>
      </w:r>
      <w:r>
        <w:rPr>
          <w:rFonts w:hint="eastAsia" w:ascii="宋体" w:hAnsi="宋体" w:eastAsia="宋体" w:cs="宋体"/>
          <w:b w:val="0"/>
          <w:bCs/>
          <w:color w:val="auto"/>
          <w:sz w:val="21"/>
          <w:szCs w:val="21"/>
          <w:highlight w:val="none"/>
        </w:rPr>
        <w:t>给甲方造成经济损</w:t>
      </w:r>
      <w:r>
        <w:rPr>
          <w:rFonts w:hint="eastAsia" w:ascii="宋体" w:hAnsi="宋体" w:eastAsia="宋体" w:cs="宋体"/>
          <w:b w:val="0"/>
          <w:bCs/>
          <w:color w:val="auto"/>
          <w:sz w:val="21"/>
          <w:szCs w:val="21"/>
          <w:highlight w:val="none"/>
          <w:lang w:eastAsia="zh-CN"/>
        </w:rPr>
        <w:t>失</w:t>
      </w:r>
      <w:r>
        <w:rPr>
          <w:rFonts w:hint="eastAsia" w:ascii="宋体" w:hAnsi="宋体" w:eastAsia="宋体" w:cs="宋体"/>
          <w:b w:val="0"/>
          <w:bCs/>
          <w:color w:val="auto"/>
          <w:sz w:val="21"/>
          <w:szCs w:val="21"/>
          <w:highlight w:val="none"/>
        </w:rPr>
        <w:t>的，甲方有权要求乙方予以赔偿。</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对乙方收到的本项目资金的使用情况进行监督。</w:t>
      </w:r>
    </w:p>
    <w:p>
      <w:pPr>
        <w:pStyle w:val="255"/>
        <w:keepNext w:val="0"/>
        <w:keepLines w:val="0"/>
        <w:pageBreakBefore w:val="0"/>
        <w:widowControl w:val="0"/>
        <w:kinsoku/>
        <w:wordWrap w:val="0"/>
        <w:overflowPunct/>
        <w:topLinePunct/>
        <w:autoSpaceDE/>
        <w:autoSpaceDN/>
        <w:bidi w:val="0"/>
        <w:snapToGrid/>
        <w:spacing w:line="360" w:lineRule="auto"/>
        <w:ind w:left="210" w:leftChars="100" w:firstLine="210" w:firstLineChars="1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甲方的义务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2.1乙方按甲方要求完成各项服务内容的，甲方有及时按合同约定向乙方核拨项目服务费用的义务。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w:t>
      </w:r>
      <w:r>
        <w:rPr>
          <w:rFonts w:hint="eastAsia" w:ascii="宋体" w:hAnsi="宋体" w:eastAsia="宋体" w:cs="宋体"/>
          <w:b w:val="0"/>
          <w:bCs/>
          <w:color w:val="auto"/>
          <w:sz w:val="21"/>
          <w:szCs w:val="21"/>
          <w:highlight w:val="none"/>
          <w:lang w:val="en-US" w:eastAsia="zh-CN"/>
        </w:rPr>
        <w:t>除非乙方同意，在本合同范围内乙方为甲方编制的任何文件，甲方不得将这些文件作为商业用途。</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（二）乙方权利及义务</w:t>
      </w:r>
    </w:p>
    <w:p>
      <w:pPr>
        <w:pStyle w:val="255"/>
        <w:keepNext w:val="0"/>
        <w:keepLines w:val="0"/>
        <w:pageBreakBefore w:val="0"/>
        <w:widowControl w:val="0"/>
        <w:kinsoku/>
        <w:wordWrap w:val="0"/>
        <w:overflowPunct/>
        <w:topLinePunct/>
        <w:autoSpaceDE/>
        <w:autoSpaceDN/>
        <w:bidi w:val="0"/>
        <w:snapToGrid/>
        <w:spacing w:line="360" w:lineRule="auto"/>
        <w:ind w:left="210" w:leftChars="100" w:firstLine="210" w:firstLineChars="1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乙方的权利</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1.1在按甲方要求完成各项服务内容后，乙方有要求甲方及时按合同约定向其核拨项目服务费用的权利。</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1.2乙方有权拒绝提供合同约定范围以外的服务，有权拒绝甲方指定负责人以外人员的直接指挥。</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2.乙方的义务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乙方需严格按照双方所共同制定各项作业标准，指派人员为甲方提供服务，并严格组织安全生产教育、培训和管理，遵守甲方所订规章制度，保持良好的生活环境和秩序，爱护甲方的财产，维护甲方良好的形象。</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乙方在工作时间内不得随意离开其工作岗位。</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未经甲方许可，乙方及其员工不得擅自为甲方提供其他服务，不得介绍他人为甲方提供其他服务，不得有拾荒等其他未经允许的行为。</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乙方积极听取甲方对整个工作的意见，认真配合并完成其他特殊事项。</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如遇有关部门的工作检查，乙方必须配合搞好工作并保证检查合格。</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乙方在收到甲方关于服务质量问题的通知后应迅速查处并立即整改。</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乙方收到的项目服务资金应专款专用、专账管理。该项资金应首先保证项目工作人员的工资支出，防止因拖欠工作人员工资而引起的群体闹事事件（如讨薪示威等），若发生此类事件，视为乙方违约。</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乙方需为其投入到本项目中的工作人员购买意外险，上述保险费用已包含在合同总价中。</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乙方应承诺中标后有能力独立完成项目相关工作，不得分包或非法转包本项目。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w:t>
      </w:r>
      <w:r>
        <w:rPr>
          <w:rFonts w:hint="eastAsia" w:ascii="宋体" w:hAnsi="宋体" w:eastAsia="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rPr>
        <w:t>乙方应完全遵守《中华人民共和国妇女权益保障法》中关于“劳动和社会保障权益”的有关要求。</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乙方就本合同项下的所有债权不得以任何形式（包括但不限于债权转让、质押、赠与等等）转让给第三人，如有违反，乙方应向甲方支付合同总价</w:t>
      </w:r>
      <w:r>
        <w:rPr>
          <w:rFonts w:hint="eastAsia" w:ascii="宋体" w:hAnsi="宋体" w:eastAsia="宋体" w:cs="宋体"/>
          <w:b w:val="0"/>
          <w:bCs/>
          <w:color w:val="auto"/>
          <w:sz w:val="21"/>
          <w:szCs w:val="21"/>
          <w:highlight w:val="none"/>
          <w:lang w:val="en-US" w:eastAsia="zh-CN"/>
        </w:rPr>
        <w:t>30</w:t>
      </w:r>
      <w:r>
        <w:rPr>
          <w:rFonts w:hint="eastAsia" w:ascii="宋体" w:hAnsi="宋体" w:eastAsia="宋体" w:cs="宋体"/>
          <w:b w:val="0"/>
          <w:bCs/>
          <w:color w:val="auto"/>
          <w:sz w:val="21"/>
          <w:szCs w:val="21"/>
          <w:highlight w:val="none"/>
        </w:rPr>
        <w:t>%的违约金，</w:t>
      </w:r>
      <w:r>
        <w:rPr>
          <w:rFonts w:hint="eastAsia" w:ascii="宋体" w:hAnsi="宋体" w:eastAsia="宋体" w:cs="宋体"/>
          <w:b w:val="0"/>
          <w:bCs/>
          <w:color w:val="auto"/>
          <w:sz w:val="21"/>
          <w:szCs w:val="21"/>
          <w:highlight w:val="none"/>
          <w:lang w:eastAsia="zh-CN"/>
        </w:rPr>
        <w:t>甲方</w:t>
      </w:r>
      <w:r>
        <w:rPr>
          <w:rFonts w:hint="eastAsia" w:ascii="宋体" w:hAnsi="宋体" w:eastAsia="宋体" w:cs="宋体"/>
          <w:b w:val="0"/>
          <w:bCs/>
          <w:color w:val="auto"/>
          <w:sz w:val="21"/>
          <w:szCs w:val="21"/>
          <w:highlight w:val="none"/>
        </w:rPr>
        <w:t>有权单方面解除本项目合同。</w:t>
      </w:r>
    </w:p>
    <w:p>
      <w:pPr>
        <w:pStyle w:val="179"/>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auto"/>
          <w:sz w:val="21"/>
          <w:szCs w:val="21"/>
          <w:highlight w:val="none"/>
          <w:lang w:eastAsia="zh-CN"/>
        </w:rPr>
        <w:t>五</w:t>
      </w:r>
      <w:r>
        <w:rPr>
          <w:rFonts w:hint="eastAsia" w:ascii="宋体" w:hAnsi="宋体" w:eastAsia="宋体" w:cs="宋体"/>
          <w:b w:val="0"/>
          <w:bCs/>
          <w:color w:val="auto"/>
          <w:sz w:val="21"/>
          <w:szCs w:val="21"/>
          <w:highlight w:val="none"/>
        </w:rPr>
        <w:t>、不可抗力</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合同执行期间发生不可抗力原因，导致协议部分或全部不能履行，双方可以按以下各项执行：</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甲、乙双方的任何一方由于不可抗力的原因不能履行本协议时，应及时向对方通报不能履行或不能完全履行的理由，在提供相关书面证明材料后，可以延期履行、部分履行或解除协议，双方对此均不承担违约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不可抗力导致协议终止，并不影响任何一方对不可抗力发生之前的违约行为进行责任追究。</w:t>
      </w:r>
    </w:p>
    <w:p>
      <w:pPr>
        <w:keepNext w:val="0"/>
        <w:keepLines w:val="0"/>
        <w:pageBreakBefore w:val="0"/>
        <w:widowControl w:val="0"/>
        <w:numPr>
          <w:ilvl w:val="0"/>
          <w:numId w:val="15"/>
        </w:numPr>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特别约定</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本协议项下甲方与乙方之间的法律关系为委托服务关系，乙方在协议期内与甲方之外的第三方发生的一切债权、债务纠纷均与甲方无关。</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在协议期内，乙方员工的工资由乙方支付，乙方员工所发生的医疗、工伤等费用，均由乙方自行承担。甲方与乙方的员工之间不具有任何劳动或雇佣关系。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乙方人员发生盗窃等违法行为，由乙方负责向甲方赔偿。甲方有权保留法律处置权。</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甲、乙双方对于因本协议而交换的各类涉密信息和资料，均负有保密义务。任何一方未经对方书面许可，不得向任何第三方披露上述涉密信息和资料，或将其用于其他目的。</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因客观情况发生变化，需变更或解除本协议的，需提前30天书面通知对方，经双方协商一致后，变更或解除本协议。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eastAsia="zh-CN"/>
        </w:rPr>
        <w:t>若乙方未经甲方同意，有将合同规定的人员、备件、工具等抽离运维项目组的，每发现一次给予服务提供方警告1次处理。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在非甲方原因或非客观因素情况下，若乙方没有按照合同内容要求履行服务的，甲方对乙方处以合同总额2%的扣罚，造成严重后果的由乙方承担所有责任。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eastAsia="zh-CN"/>
        </w:rPr>
        <w:t>工资发放不及时或者达不到工资额度的（随意扣除服务费），第一次给予警告处理，从第2次起，甲方可对服务违约处以合同总额10%的扣罚。</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eastAsia="zh-CN"/>
        </w:rPr>
        <w:t>每月发放工资时必须经过甲方考核，考核合格后方可发放。</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10.本协议履行期间，因乙方或乙方工作人员产生的一切人员伤亡及财产损失，后果及责任均由乙方自行承担，与甲方无涉，如因此导致甲方损失，乙方全额赔偿。</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11.</w:t>
      </w:r>
      <w:r>
        <w:rPr>
          <w:rFonts w:hint="eastAsia" w:ascii="宋体" w:hAnsi="宋体" w:eastAsia="宋体" w:cs="宋体"/>
          <w:b w:val="0"/>
          <w:bCs/>
          <w:color w:val="auto"/>
          <w:sz w:val="21"/>
          <w:szCs w:val="21"/>
          <w:highlight w:val="none"/>
        </w:rPr>
        <w:t>本协议期满即终止。</w:t>
      </w:r>
    </w:p>
    <w:p>
      <w:pPr>
        <w:keepNext w:val="0"/>
        <w:keepLines w:val="0"/>
        <w:pageBreakBefore w:val="0"/>
        <w:widowControl w:val="0"/>
        <w:numPr>
          <w:ilvl w:val="0"/>
          <w:numId w:val="16"/>
        </w:numPr>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考核及验收：</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1.考核</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1.1考核评估</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在运营期间（包括一方提出终止服务时），甲方有权自己组织或者委托独立的第三方评估机构对中心运行情况及运维服务进行考核评估，以检验乙方是否严格履行需求以及乙方的服务质量水平是否符合需求要求和满足甲方要求。该考核评估标准为项目相关技术性能要求及项目运维服务相关要求，并作为甲方向乙方支付费用的基本条件。考核评估结果不达标，则按双方签署的相关需求、协议规定的条款处理。考核的形式及考核办法可由甲方视情况确定，但甲方应在考核（本需求已规定的日常考核除外）前不少于5个工作日，将不涉及保密的相关内容告知乙方，以保证考核的公平、公正、公开。对于甲方及其委托方的考核评估活动，乙方应无条件同意并完全给予配合，允许评估人员进入服务提供方的工作地点，查看服务记录以及设备管理系统中的信息。</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1.2每季度考核</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每季度考核主要考核乙方的故障完成率、运营管理资料完整性、服务质量、服务态度投诉率、考勤记录、服务满意度等指标，从签订合同后第2个考核季度起，在每考核季度前10天将上一季度每个月考核评估结果进行综合评定和处罚，作为上一季度的季度考核成绩，并作为计算季度实际应支付费用的依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1.3考核程序</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自签订合同后的服务期内，甲方在每三个月（作为考核季度）结束后10天内将本季度乙方的季度考核评分及依据书面告知乙方。乙方对季度考核评分或依据有异议时，应在5个工作日内向甲方申请重新评分或确认依据，并提供必要证据，甲方根据重新评分申请及其证据材料进行最终评定，若乙方逾期未提出意见则视为无异议。</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2.验收</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双方确定以下列标准和方式对乙方的服务工作成果进行验收：</w:t>
      </w:r>
    </w:p>
    <w:p>
      <w:pPr>
        <w:keepNext w:val="0"/>
        <w:keepLines w:val="0"/>
        <w:pageBreakBefore w:val="0"/>
        <w:widowControl w:val="0"/>
        <w:numPr>
          <w:ilvl w:val="0"/>
          <w:numId w:val="17"/>
        </w:numPr>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乙方完成服务工作的形式：定期与不定期的项目报告。</w:t>
      </w:r>
    </w:p>
    <w:p>
      <w:pPr>
        <w:keepNext w:val="0"/>
        <w:keepLines w:val="0"/>
        <w:pageBreakBefore w:val="0"/>
        <w:widowControl w:val="0"/>
        <w:numPr>
          <w:ilvl w:val="0"/>
          <w:numId w:val="17"/>
        </w:numPr>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服务工作成果的验收标准：绩效评价。</w:t>
      </w:r>
    </w:p>
    <w:p>
      <w:pPr>
        <w:keepNext w:val="0"/>
        <w:keepLines w:val="0"/>
        <w:pageBreakBefore w:val="0"/>
        <w:widowControl w:val="0"/>
        <w:numPr>
          <w:ilvl w:val="0"/>
          <w:numId w:val="17"/>
        </w:numPr>
        <w:kinsoku/>
        <w:wordWrap w:val="0"/>
        <w:overflowPunct/>
        <w:topLinePunct/>
        <w:autoSpaceDE/>
        <w:autoSpaceDN/>
        <w:bidi w:val="0"/>
        <w:snapToGrid/>
        <w:spacing w:line="360" w:lineRule="auto"/>
        <w:ind w:firstLine="420" w:firstLineChars="200"/>
        <w:rPr>
          <w:rFonts w:hint="eastAsia" w:ascii="宋体" w:hAnsi="宋体" w:eastAsia="宋体" w:cs="宋体"/>
          <w:b w:val="0"/>
          <w:bCs/>
          <w:sz w:val="21"/>
          <w:szCs w:val="21"/>
          <w:highlight w:val="none"/>
          <w:lang w:val="en-US" w:eastAsia="zh-CN"/>
        </w:rPr>
      </w:pPr>
      <w:r>
        <w:rPr>
          <w:rFonts w:hint="eastAsia" w:ascii="宋体" w:hAnsi="宋体" w:eastAsia="宋体" w:cs="宋体"/>
          <w:b w:val="0"/>
          <w:bCs/>
          <w:color w:val="auto"/>
          <w:sz w:val="21"/>
          <w:szCs w:val="21"/>
          <w:highlight w:val="none"/>
          <w:lang w:val="en-US" w:eastAsia="zh-CN"/>
        </w:rPr>
        <w:t>服务工作成果的验收方法：绩效评价结果作为结算项目经费的依据，评估结果为“优秀”和“良好”等次并完全履行了购买服务合同要求的，可支付结算尾款费用；评估结果“一般”或“较差”，按项目实际完成情况扣减相应费用并按合同约定追究违约责任。</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八</w:t>
      </w:r>
      <w:r>
        <w:rPr>
          <w:rFonts w:hint="eastAsia" w:ascii="宋体" w:hAnsi="宋体" w:eastAsia="宋体" w:cs="宋体"/>
          <w:b w:val="0"/>
          <w:bCs/>
          <w:color w:val="auto"/>
          <w:sz w:val="21"/>
          <w:szCs w:val="21"/>
          <w:highlight w:val="none"/>
        </w:rPr>
        <w:t>、违约责任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1.乙方应遵守国家法律、法规的有关规定，严格按照本合同条款履行相关义务，否则甲方有权终止本合同，乙方应承担相应的违约责任。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2.因乙方服务失误造成的损失应由乙方赔偿全部损失。乙方指派工作人员从事本合同约定以外工作，由此造成对甲方的经济赔偿责任，由乙方承担。</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3.如合同履行过程中发现乙方提供虚假资质证明材料，不具备履行本合同的合法资质的，甲方有权立即终止本合同，给甲方造成损失的，乙方应承担赔偿责任。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4.乙方有违反本合同约定事项情况的，甲方可决定委托事项终止，并终止与乙方的所有委托事项，并不承担违约责任。</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5.在合同期内，乙方因非因法定或约定事由单方解除合同，应承担违约责任，向对方一次性支付违约金。违约金数额为本合同金额（含税金）的30%。</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乙方提供服务不符合合同约定标准，甲方有权要求乙方限期整改或更换工作人员，乙方无正当理由拒绝整改或更换工作人员，甲方有权单方解除本合同，乙方应向甲方支付本合同金额（含税金）30%的违约金，并赔偿因此给甲方造成的全部损失。</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7.如乙方违反本协议其他任何一约定或服务不达标（由甲方判定是否达标），或导致甲方损失的，乙方全额赔偿甲方损失，按合同总价款的百分之三十支付违约金，甲方有权随时单方解除本协议。</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九、合同的变更和解除</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1.本合同执行期内，除出现法定或约定情形外，双方不得随意变更和解除合同，如有未尽事宜，应由双方共同协商，作出补充规定与本合同具有同等效力。</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2.本合同项下双方权利和（或）义务不得转让予第三方。</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十、争议解决</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本协议对双方均具有法律效力。如执行中发生争议，双方可协商解决，协商不成任何一方都可向北京市顺义区人民法院提起诉讼。</w:t>
      </w:r>
    </w:p>
    <w:p>
      <w:pPr>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十一、附则</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ab/>
      </w:r>
      <w:r>
        <w:rPr>
          <w:rFonts w:hint="eastAsia" w:ascii="宋体" w:hAnsi="宋体" w:eastAsia="宋体" w:cs="宋体"/>
          <w:b w:val="0"/>
          <w:bCs/>
          <w:color w:val="auto"/>
          <w:sz w:val="21"/>
          <w:szCs w:val="21"/>
          <w:highlight w:val="none"/>
          <w:lang w:val="en-US" w:eastAsia="zh-CN"/>
        </w:rPr>
        <w:t>未尽事宜由双方依法另行协商。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ab/>
      </w:r>
      <w:r>
        <w:rPr>
          <w:rFonts w:hint="eastAsia" w:ascii="宋体" w:hAnsi="宋体" w:eastAsia="宋体" w:cs="宋体"/>
          <w:b w:val="0"/>
          <w:bCs/>
          <w:color w:val="auto"/>
          <w:sz w:val="21"/>
          <w:szCs w:val="21"/>
          <w:highlight w:val="none"/>
          <w:lang w:val="en-US" w:eastAsia="zh-CN"/>
        </w:rPr>
        <w:t>本合同一式六份，甲方持三份、乙方三份。</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ab/>
      </w:r>
      <w:r>
        <w:rPr>
          <w:rFonts w:hint="eastAsia" w:ascii="宋体" w:hAnsi="宋体" w:eastAsia="宋体" w:cs="宋体"/>
          <w:b w:val="0"/>
          <w:bCs/>
          <w:color w:val="auto"/>
          <w:sz w:val="21"/>
          <w:szCs w:val="21"/>
          <w:highlight w:val="none"/>
          <w:lang w:val="en-US" w:eastAsia="zh-CN"/>
        </w:rPr>
        <w:t>本合同经双方签字（盖章）生效。</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ab/>
      </w:r>
      <w:r>
        <w:rPr>
          <w:rFonts w:hint="eastAsia" w:ascii="宋体" w:hAnsi="宋体" w:eastAsia="宋体" w:cs="宋体"/>
          <w:b w:val="0"/>
          <w:bCs/>
          <w:color w:val="auto"/>
          <w:sz w:val="21"/>
          <w:szCs w:val="21"/>
          <w:highlight w:val="none"/>
          <w:lang w:val="en-US" w:eastAsia="zh-CN"/>
        </w:rPr>
        <w:t>本合同所有附件均为本合同不可分割的组成部分。</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（以下无正文）</w:t>
      </w:r>
    </w:p>
    <w:bookmarkEnd w:id="814"/>
    <w:bookmarkEnd w:id="815"/>
    <w:bookmarkEnd w:id="816"/>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甲方（盖章）：                           乙方（盖章）：</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法定代表人                               法定代表人</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或其委托代理人签字或盖章：               或其委托代理人签字或盖章：</w:t>
      </w:r>
    </w:p>
    <w:p>
      <w:pPr>
        <w:keepNext w:val="0"/>
        <w:keepLines w:val="0"/>
        <w:pageBreakBefore w:val="0"/>
        <w:widowControl w:val="0"/>
        <w:kinsoku/>
        <w:wordWrap w:val="0"/>
        <w:overflowPunct/>
        <w:topLinePunct/>
        <w:autoSpaceDE/>
        <w:autoSpaceDN/>
        <w:bidi w:val="0"/>
        <w:snapToGrid/>
        <w:spacing w:line="360" w:lineRule="auto"/>
        <w:ind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日期：     年   月   日                  日期：     年   月   日</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sectPr>
          <w:pgSz w:w="11907" w:h="16840"/>
          <w:pgMar w:top="1418" w:right="1134" w:bottom="1418" w:left="1701" w:header="851" w:footer="851" w:gutter="0"/>
          <w:pgNumType w:fmt="decimal"/>
          <w:cols w:space="720" w:num="1"/>
          <w:docGrid w:linePitch="462" w:charSpace="0"/>
        </w:sectPr>
      </w:pPr>
    </w:p>
    <w:p>
      <w:pPr>
        <w:pStyle w:val="2"/>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bookmarkStart w:id="817" w:name="_Toc28199"/>
      <w:r>
        <w:rPr>
          <w:rFonts w:hint="eastAsia" w:ascii="宋体" w:hAnsi="宋体" w:eastAsia="宋体" w:cs="宋体"/>
          <w:b w:val="0"/>
          <w:bCs/>
          <w:sz w:val="21"/>
          <w:szCs w:val="21"/>
          <w:highlight w:val="none"/>
        </w:rPr>
        <w:t>第七章   投标文件格式</w:t>
      </w:r>
      <w:bookmarkEnd w:id="817"/>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投标人编制文件须知</w:t>
      </w: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1、投标人按照本部分的顺序编制投标文件（资格证明文件）、投标文件（商务技术文件），编制中涉及格式资料的，应按照本部分提供的内容和格式（所有表格的格式可扩展）填写提交。</w:t>
      </w: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sz w:val="21"/>
          <w:szCs w:val="21"/>
          <w:highlight w:val="none"/>
        </w:rPr>
        <w:t>2、</w:t>
      </w:r>
      <w:r>
        <w:rPr>
          <w:rFonts w:hint="eastAsia" w:ascii="宋体" w:hAnsi="宋体" w:eastAsia="宋体" w:cs="宋体"/>
          <w:b w:val="0"/>
          <w:bCs/>
          <w:kern w:val="0"/>
          <w:sz w:val="21"/>
          <w:szCs w:val="21"/>
          <w:highlight w:val="none"/>
        </w:rPr>
        <w:t>对于招标文件中标记了“实质性格式”文件的，</w:t>
      </w:r>
      <w:r>
        <w:rPr>
          <w:rFonts w:hint="eastAsia" w:ascii="宋体" w:hAnsi="宋体" w:eastAsia="宋体" w:cs="宋体"/>
          <w:b w:val="0"/>
          <w:bCs/>
          <w:sz w:val="21"/>
          <w:szCs w:val="21"/>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val="0"/>
          <w:bCs/>
          <w:kern w:val="0"/>
          <w:sz w:val="21"/>
          <w:szCs w:val="21"/>
          <w:highlight w:val="none"/>
        </w:rPr>
        <w:t>否则投标无效。未标记“实质性格式”的文件和招标文件未提供格式的内容，可由投标人自行编写。</w:t>
      </w:r>
    </w:p>
    <w:p>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3、全部声明和问题的回答及所附材料必须是真实的、准确的和完整的。</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Pr>
        <w:keepNext w:val="0"/>
        <w:keepLines w:val="0"/>
        <w:pageBreakBefore w:val="0"/>
        <w:widowControl w:val="0"/>
        <w:kinsoku/>
        <w:wordWrap w:val="0"/>
        <w:overflowPunct/>
        <w:topLinePunct/>
        <w:autoSpaceDE/>
        <w:autoSpaceDN/>
        <w:bidi w:val="0"/>
        <w:adjustRightInd w:val="0"/>
        <w:spacing w:before="120" w:line="360" w:lineRule="auto"/>
        <w:jc w:val="left"/>
        <w:textAlignment w:val="auto"/>
        <w:outlineLvl w:val="1"/>
        <w:rPr>
          <w:rFonts w:hint="eastAsia" w:ascii="宋体" w:hAnsi="宋体" w:eastAsia="宋体" w:cs="宋体"/>
          <w:b w:val="0"/>
          <w:bCs/>
          <w:kern w:val="0"/>
          <w:sz w:val="21"/>
          <w:szCs w:val="21"/>
          <w:highlight w:val="none"/>
        </w:rPr>
      </w:pPr>
      <w:r>
        <w:rPr>
          <w:rFonts w:hint="eastAsia" w:ascii="宋体" w:hAnsi="宋体" w:eastAsia="宋体" w:cs="宋体"/>
          <w:b w:val="0"/>
          <w:bCs/>
          <w:spacing w:val="20"/>
          <w:sz w:val="21"/>
          <w:szCs w:val="21"/>
          <w:highlight w:val="none"/>
        </w:rPr>
        <w:t>一、资格证明文件格式</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20"/>
          <w:sz w:val="30"/>
          <w:szCs w:val="30"/>
          <w:highlight w:val="none"/>
        </w:rPr>
      </w:pP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30"/>
          <w:szCs w:val="30"/>
          <w:highlight w:val="none"/>
        </w:rPr>
      </w:pPr>
      <w:r>
        <w:rPr>
          <w:rFonts w:hint="eastAsia" w:ascii="宋体" w:hAnsi="宋体" w:eastAsia="宋体" w:cs="宋体"/>
          <w:b w:val="0"/>
          <w:bCs/>
          <w:spacing w:val="20"/>
          <w:sz w:val="30"/>
          <w:szCs w:val="30"/>
          <w:highlight w:val="none"/>
        </w:rPr>
        <w:t>投标文件（资格证明文件）</w:t>
      </w:r>
      <w:r>
        <w:rPr>
          <w:rFonts w:hint="eastAsia" w:ascii="宋体" w:hAnsi="宋体" w:eastAsia="宋体" w:cs="宋体"/>
          <w:b w:val="0"/>
          <w:bCs/>
          <w:sz w:val="30"/>
          <w:szCs w:val="30"/>
          <w:highlight w:val="none"/>
        </w:rPr>
        <w:t>封面（非实质性格式）</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44"/>
          <w:szCs w:val="44"/>
          <w:highlight w:val="none"/>
        </w:rPr>
      </w:pPr>
      <w:r>
        <w:rPr>
          <w:rFonts w:hint="eastAsia" w:ascii="宋体" w:hAnsi="宋体" w:eastAsia="宋体" w:cs="宋体"/>
          <w:b w:val="0"/>
          <w:bCs/>
          <w:spacing w:val="60"/>
          <w:sz w:val="44"/>
          <w:szCs w:val="44"/>
          <w:highlight w:val="none"/>
        </w:rPr>
        <w:t>投 标 文 件</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44"/>
          <w:szCs w:val="44"/>
          <w:highlight w:val="none"/>
        </w:rPr>
      </w:pPr>
      <w:r>
        <w:rPr>
          <w:rFonts w:hint="eastAsia" w:ascii="宋体" w:hAnsi="宋体" w:eastAsia="宋体" w:cs="宋体"/>
          <w:b w:val="0"/>
          <w:bCs/>
          <w:spacing w:val="60"/>
          <w:sz w:val="44"/>
          <w:szCs w:val="44"/>
          <w:highlight w:val="none"/>
        </w:rPr>
        <w:t>（资格证明文件）</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pStyle w:val="56"/>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spacing w:val="20"/>
          <w:sz w:val="30"/>
          <w:szCs w:val="30"/>
          <w:highlight w:val="none"/>
        </w:rPr>
      </w:pP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pacing w:val="20"/>
          <w:sz w:val="30"/>
          <w:szCs w:val="30"/>
          <w:highlight w:val="none"/>
          <w:lang w:eastAsia="zh-CN"/>
        </w:rPr>
      </w:pPr>
      <w:r>
        <w:rPr>
          <w:rFonts w:hint="eastAsia" w:ascii="宋体" w:hAnsi="宋体" w:eastAsia="宋体" w:cs="宋体"/>
          <w:b w:val="0"/>
          <w:bCs/>
          <w:spacing w:val="20"/>
          <w:sz w:val="30"/>
          <w:szCs w:val="30"/>
          <w:highlight w:val="none"/>
        </w:rPr>
        <w:t>项目名称</w:t>
      </w:r>
      <w:r>
        <w:rPr>
          <w:rFonts w:hint="eastAsia" w:ascii="宋体" w:hAnsi="宋体" w:eastAsia="宋体" w:cs="宋体"/>
          <w:b w:val="0"/>
          <w:bCs/>
          <w:spacing w:val="20"/>
          <w:sz w:val="30"/>
          <w:szCs w:val="30"/>
          <w:highlight w:val="none"/>
          <w:lang w:eastAsia="zh-CN"/>
        </w:rPr>
        <w:t>：</w:t>
      </w: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pacing w:val="20"/>
          <w:sz w:val="30"/>
          <w:szCs w:val="30"/>
          <w:highlight w:val="none"/>
        </w:rPr>
      </w:pPr>
      <w:r>
        <w:rPr>
          <w:rFonts w:hint="eastAsia" w:ascii="宋体" w:hAnsi="宋体" w:eastAsia="宋体" w:cs="宋体"/>
          <w:b w:val="0"/>
          <w:bCs/>
          <w:spacing w:val="20"/>
          <w:sz w:val="30"/>
          <w:szCs w:val="30"/>
          <w:highlight w:val="none"/>
        </w:rPr>
        <w:t>项目编号：</w:t>
      </w: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z w:val="30"/>
          <w:szCs w:val="30"/>
          <w:highlight w:val="none"/>
        </w:rPr>
      </w:pPr>
      <w:r>
        <w:rPr>
          <w:rFonts w:hint="eastAsia" w:ascii="宋体" w:hAnsi="宋体" w:eastAsia="宋体" w:cs="宋体"/>
          <w:b w:val="0"/>
          <w:bCs/>
          <w:spacing w:val="20"/>
          <w:sz w:val="30"/>
          <w:szCs w:val="30"/>
          <w:highlight w:val="none"/>
        </w:rPr>
        <w:t>投标人名称：</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20"/>
          <w:sz w:val="21"/>
          <w:szCs w:val="21"/>
          <w:highlight w:val="none"/>
        </w:rPr>
        <w:br w:type="page"/>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 xml:space="preserve">1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sz w:val="21"/>
          <w:szCs w:val="21"/>
          <w:highlight w:val="none"/>
        </w:rPr>
        <w:t>满足《中华人民共和国政府采购法》第二十二条规定及法律法规的其他规定</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1-1</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营业执照等证明文件</w:t>
      </w:r>
    </w:p>
    <w:p>
      <w:pPr>
        <w:keepNext w:val="0"/>
        <w:keepLines w:val="0"/>
        <w:pageBreakBefore w:val="0"/>
        <w:widowControl w:val="0"/>
        <w:tabs>
          <w:tab w:val="left" w:pos="1080"/>
        </w:tabs>
        <w:kinsoku/>
        <w:wordWrap w:val="0"/>
        <w:overflowPunct/>
        <w:topLinePunct/>
        <w:autoSpaceDE/>
        <w:autoSpaceDN/>
        <w:bidi w:val="0"/>
        <w:snapToGrid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r>
    </w:p>
    <w:p>
      <w:pPr>
        <w:pStyle w:val="4"/>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u w:val="none"/>
        </w:rPr>
      </w:pPr>
      <w:r>
        <w:rPr>
          <w:rFonts w:hint="eastAsia" w:ascii="宋体" w:hAnsi="宋体" w:eastAsia="宋体" w:cs="宋体"/>
          <w:b w:val="0"/>
          <w:bCs/>
          <w:color w:val="000000"/>
          <w:sz w:val="21"/>
          <w:szCs w:val="21"/>
          <w:highlight w:val="none"/>
          <w:u w:val="none"/>
        </w:rPr>
        <w:t>1-2 投标人资格声明书（实质性格式）</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投标人资格声明书</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致：</w:t>
      </w:r>
      <w:r>
        <w:rPr>
          <w:rFonts w:hint="eastAsia" w:ascii="宋体" w:hAnsi="宋体" w:eastAsia="宋体" w:cs="宋体"/>
          <w:b w:val="0"/>
          <w:bCs/>
          <w:color w:val="000000"/>
          <w:sz w:val="21"/>
          <w:szCs w:val="21"/>
          <w:highlight w:val="none"/>
          <w:u w:val="single"/>
        </w:rPr>
        <w:t>（采购人）</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在参与本次项目投标中，我单位承诺：</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具有良好的商业信誉和健全的财务会计制度；</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具有履行合同所必需的设备和专业技术能力；</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有依法缴纳税收和社会保障资金的良好记录；</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我单位不属于政府采购法律、行政法规规定的公益一类事业单位、或使用事业编制且由财政拨款保障的群团组织（仅适用于政府购买服务项目）；</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我单位不存在为采购项目提供整体设计、规范编制或者项目管理、监理、检测等服务后，再参加该采购项目的其他采购活动的情形（单一来源采购项目除外）；</w:t>
      </w:r>
    </w:p>
    <w:p>
      <w:pPr>
        <w:keepNext w:val="0"/>
        <w:keepLines w:val="0"/>
        <w:pageBreakBefore w:val="0"/>
        <w:widowControl w:val="0"/>
        <w:numPr>
          <w:ilvl w:val="0"/>
          <w:numId w:val="18"/>
        </w:numPr>
        <w:kinsoku/>
        <w:wordWrap w:val="0"/>
        <w:overflowPunct/>
        <w:topLinePunct/>
        <w:autoSpaceDE/>
        <w:autoSpaceDN/>
        <w:bidi w:val="0"/>
        <w:spacing w:line="360" w:lineRule="auto"/>
        <w:ind w:left="1134"/>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与我单位存在“单位负责人为同一人或者存在直接控股、管理关系”的其他法人单位信息如下（如有，不论其是否参加同一合同项下的政府采购活动均须填写）：</w:t>
      </w:r>
    </w:p>
    <w:tbl>
      <w:tblPr>
        <w:tblStyle w:val="45"/>
        <w:tblW w:w="8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3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50"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序号</w:t>
            </w:r>
          </w:p>
        </w:tc>
        <w:tc>
          <w:tcPr>
            <w:tcW w:w="457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单位名称</w:t>
            </w:r>
          </w:p>
        </w:tc>
        <w:tc>
          <w:tcPr>
            <w:tcW w:w="339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50"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457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339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50"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w:t>
            </w:r>
          </w:p>
        </w:tc>
        <w:tc>
          <w:tcPr>
            <w:tcW w:w="457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339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50"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p>
        </w:tc>
        <w:tc>
          <w:tcPr>
            <w:tcW w:w="457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3391"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bl>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上述声明真实有效，否则我方负全部责任。</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说明：供应商承诺不实的，依据《政府采购法》第七十七条“提供虚假材料谋取中标、成交的”有关规定予以处理。</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sectPr>
          <w:pgSz w:w="11907" w:h="16840"/>
          <w:pgMar w:top="1418" w:right="1134" w:bottom="1418" w:left="1701" w:header="851" w:footer="851" w:gutter="0"/>
          <w:pgNumType w:fmt="decimal"/>
          <w:cols w:space="720" w:num="1"/>
          <w:docGrid w:linePitch="462" w:charSpace="0"/>
        </w:sect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落实政府采购政策需满足的资格要求</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2-1</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中小企业声明函</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说明：</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（1）如本项目（包）不专门面向中小企业预留采购份额，资格证明文件部分无需提供《中小企业声明函》。</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（2）如本项目（包）专门面向中小/小微企业采购，须提供《中小企业声明函》</w:t>
      </w:r>
      <w:r>
        <w:rPr>
          <w:rFonts w:hint="eastAsia" w:ascii="宋体" w:hAnsi="宋体" w:eastAsia="宋体" w:cs="宋体"/>
          <w:b w:val="0"/>
          <w:bCs/>
          <w:color w:val="000000"/>
          <w:sz w:val="21"/>
          <w:szCs w:val="21"/>
          <w:highlight w:val="none"/>
        </w:rPr>
        <w:t>（实质性格式）</w:t>
      </w:r>
      <w:r>
        <w:rPr>
          <w:rFonts w:hint="eastAsia" w:ascii="宋体" w:hAnsi="宋体" w:eastAsia="宋体" w:cs="宋体"/>
          <w:b w:val="0"/>
          <w:bCs/>
          <w:sz w:val="21"/>
          <w:szCs w:val="21"/>
          <w:highlight w:val="none"/>
        </w:rPr>
        <w:t>。</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（4）其他</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1）中小企业参加政府采购活动，应当出具此格式文件。《中小企业声明函》由参加政府采购活动的投标人出具。联合体投标的，《中小企业声明函》由牵头人出具。</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3）对于多标的的采购项目，投标人应充分、准确地了解所投产品制造企业信息。对相关情况了解不清楚的，不建议填报本声明函。</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中小企业声明函（工程、服务）格式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1.</w:t>
      </w:r>
      <w:r>
        <w:rPr>
          <w:rFonts w:hint="eastAsia" w:ascii="宋体" w:hAnsi="宋体" w:eastAsia="宋体" w:cs="宋体"/>
          <w:b w:val="0"/>
          <w:bCs/>
          <w:spacing w:val="6"/>
          <w:sz w:val="21"/>
          <w:szCs w:val="21"/>
          <w:highlight w:val="none"/>
          <w:u w:val="single"/>
        </w:rPr>
        <w:t>（标的名称）</w:t>
      </w:r>
      <w:r>
        <w:rPr>
          <w:rFonts w:hint="eastAsia" w:ascii="宋体" w:hAnsi="宋体" w:eastAsia="宋体" w:cs="宋体"/>
          <w:b w:val="0"/>
          <w:bCs/>
          <w:spacing w:val="6"/>
          <w:sz w:val="21"/>
          <w:szCs w:val="21"/>
          <w:highlight w:val="none"/>
        </w:rPr>
        <w:t>，属于</w:t>
      </w:r>
      <w:r>
        <w:rPr>
          <w:rFonts w:hint="eastAsia" w:ascii="宋体" w:hAnsi="宋体" w:eastAsia="宋体" w:cs="宋体"/>
          <w:b w:val="0"/>
          <w:bCs/>
          <w:spacing w:val="6"/>
          <w:sz w:val="21"/>
          <w:szCs w:val="21"/>
          <w:highlight w:val="none"/>
          <w:u w:val="single"/>
        </w:rPr>
        <w:t>（采购文件中明确的所属行业）</w:t>
      </w:r>
      <w:r>
        <w:rPr>
          <w:rFonts w:hint="eastAsia" w:ascii="宋体" w:hAnsi="宋体" w:eastAsia="宋体" w:cs="宋体"/>
          <w:b w:val="0"/>
          <w:bCs/>
          <w:spacing w:val="6"/>
          <w:sz w:val="21"/>
          <w:szCs w:val="21"/>
          <w:highlight w:val="none"/>
        </w:rPr>
        <w:t>行业；承建（承接）企业为</w:t>
      </w:r>
      <w:r>
        <w:rPr>
          <w:rFonts w:hint="eastAsia" w:ascii="宋体" w:hAnsi="宋体" w:eastAsia="宋体" w:cs="宋体"/>
          <w:b w:val="0"/>
          <w:bCs/>
          <w:spacing w:val="6"/>
          <w:sz w:val="21"/>
          <w:szCs w:val="21"/>
          <w:highlight w:val="none"/>
          <w:u w:val="single"/>
        </w:rPr>
        <w:t>（企业名称）</w:t>
      </w:r>
      <w:r>
        <w:rPr>
          <w:rFonts w:hint="eastAsia" w:ascii="宋体" w:hAnsi="宋体" w:eastAsia="宋体" w:cs="宋体"/>
          <w:b w:val="0"/>
          <w:bCs/>
          <w:spacing w:val="6"/>
          <w:sz w:val="21"/>
          <w:szCs w:val="21"/>
          <w:highlight w:val="none"/>
        </w:rPr>
        <w:t>，从业人员</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人，营业收入为</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万元，资产总额为</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万元</w:t>
      </w:r>
      <w:r>
        <w:rPr>
          <w:rFonts w:hint="eastAsia" w:ascii="宋体" w:hAnsi="宋体" w:eastAsia="宋体" w:cs="宋体"/>
          <w:b w:val="0"/>
          <w:bCs/>
          <w:spacing w:val="6"/>
          <w:sz w:val="21"/>
          <w:szCs w:val="21"/>
          <w:highlight w:val="none"/>
          <w:vertAlign w:val="superscript"/>
        </w:rPr>
        <w:t>1</w:t>
      </w:r>
      <w:r>
        <w:rPr>
          <w:rFonts w:hint="eastAsia" w:ascii="宋体" w:hAnsi="宋体" w:eastAsia="宋体" w:cs="宋体"/>
          <w:b w:val="0"/>
          <w:bCs/>
          <w:spacing w:val="6"/>
          <w:sz w:val="21"/>
          <w:szCs w:val="21"/>
          <w:highlight w:val="none"/>
        </w:rPr>
        <w:t>，属于（中型企业、小型企业、微型企业）；</w:t>
      </w: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2.</w:t>
      </w:r>
      <w:r>
        <w:rPr>
          <w:rFonts w:hint="eastAsia" w:ascii="宋体" w:hAnsi="宋体" w:eastAsia="宋体" w:cs="宋体"/>
          <w:b w:val="0"/>
          <w:bCs/>
          <w:spacing w:val="6"/>
          <w:sz w:val="21"/>
          <w:szCs w:val="21"/>
          <w:highlight w:val="none"/>
          <w:u w:val="single"/>
        </w:rPr>
        <w:t>（标的名称）</w:t>
      </w:r>
      <w:r>
        <w:rPr>
          <w:rFonts w:hint="eastAsia" w:ascii="宋体" w:hAnsi="宋体" w:eastAsia="宋体" w:cs="宋体"/>
          <w:b w:val="0"/>
          <w:bCs/>
          <w:spacing w:val="6"/>
          <w:sz w:val="21"/>
          <w:szCs w:val="21"/>
          <w:highlight w:val="none"/>
        </w:rPr>
        <w:t>，属于</w:t>
      </w:r>
      <w:r>
        <w:rPr>
          <w:rFonts w:hint="eastAsia" w:ascii="宋体" w:hAnsi="宋体" w:eastAsia="宋体" w:cs="宋体"/>
          <w:b w:val="0"/>
          <w:bCs/>
          <w:spacing w:val="6"/>
          <w:sz w:val="21"/>
          <w:szCs w:val="21"/>
          <w:highlight w:val="none"/>
          <w:u w:val="single"/>
        </w:rPr>
        <w:t>（采购文件中明确的所属行业）</w:t>
      </w:r>
      <w:r>
        <w:rPr>
          <w:rFonts w:hint="eastAsia" w:ascii="宋体" w:hAnsi="宋体" w:eastAsia="宋体" w:cs="宋体"/>
          <w:b w:val="0"/>
          <w:bCs/>
          <w:spacing w:val="6"/>
          <w:sz w:val="21"/>
          <w:szCs w:val="21"/>
          <w:highlight w:val="none"/>
        </w:rPr>
        <w:t>行业；承建（承接）企业为</w:t>
      </w:r>
      <w:r>
        <w:rPr>
          <w:rFonts w:hint="eastAsia" w:ascii="宋体" w:hAnsi="宋体" w:eastAsia="宋体" w:cs="宋体"/>
          <w:b w:val="0"/>
          <w:bCs/>
          <w:spacing w:val="6"/>
          <w:sz w:val="21"/>
          <w:szCs w:val="21"/>
          <w:highlight w:val="none"/>
          <w:u w:val="single"/>
        </w:rPr>
        <w:t>（企业名称）</w:t>
      </w:r>
      <w:r>
        <w:rPr>
          <w:rFonts w:hint="eastAsia" w:ascii="宋体" w:hAnsi="宋体" w:eastAsia="宋体" w:cs="宋体"/>
          <w:b w:val="0"/>
          <w:bCs/>
          <w:spacing w:val="6"/>
          <w:sz w:val="21"/>
          <w:szCs w:val="21"/>
          <w:highlight w:val="none"/>
        </w:rPr>
        <w:t>，从业人员</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人，营业收入为</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万元，资产总额为</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万元，属于</w:t>
      </w:r>
      <w:r>
        <w:rPr>
          <w:rFonts w:hint="eastAsia" w:ascii="宋体" w:hAnsi="宋体" w:eastAsia="宋体" w:cs="宋体"/>
          <w:b w:val="0"/>
          <w:bCs/>
          <w:spacing w:val="6"/>
          <w:sz w:val="21"/>
          <w:szCs w:val="21"/>
          <w:highlight w:val="none"/>
          <w:u w:val="single"/>
        </w:rPr>
        <w:t>（中型企业、小型企业、微型企业）</w:t>
      </w:r>
      <w:r>
        <w:rPr>
          <w:rFonts w:hint="eastAsia" w:ascii="宋体" w:hAnsi="宋体" w:eastAsia="宋体" w:cs="宋体"/>
          <w:b w:val="0"/>
          <w:bCs/>
          <w:spacing w:val="6"/>
          <w:sz w:val="21"/>
          <w:szCs w:val="21"/>
          <w:highlight w:val="none"/>
        </w:rPr>
        <w:t>；</w:t>
      </w: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w:t>
      </w: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本企业对上述声明内容的真实性负责。如有虚假，将依法承担相应责任。</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6"/>
          <w:sz w:val="21"/>
          <w:szCs w:val="21"/>
          <w:highlight w:val="none"/>
        </w:rPr>
      </w:pP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6"/>
          <w:sz w:val="21"/>
          <w:szCs w:val="21"/>
          <w:highlight w:val="none"/>
        </w:rPr>
      </w:pP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6"/>
          <w:sz w:val="21"/>
          <w:szCs w:val="21"/>
          <w:highlight w:val="none"/>
        </w:rPr>
      </w:pPr>
    </w:p>
    <w:p>
      <w:pPr>
        <w:keepNext w:val="0"/>
        <w:keepLines w:val="0"/>
        <w:pageBreakBefore w:val="0"/>
        <w:widowControl w:val="0"/>
        <w:kinsoku/>
        <w:wordWrap w:val="0"/>
        <w:overflowPunct/>
        <w:topLinePunct/>
        <w:autoSpaceDE/>
        <w:autoSpaceDN/>
        <w:bidi w:val="0"/>
        <w:spacing w:line="360" w:lineRule="auto"/>
        <w:ind w:right="360"/>
        <w:jc w:val="both"/>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企业名称（盖章）：</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日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期：</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vAlign w:val="top"/>
          </w:tcPr>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vertAlign w:val="superscript"/>
              </w:rPr>
              <w:t>1</w:t>
            </w:r>
            <w:r>
              <w:rPr>
                <w:rFonts w:hint="eastAsia" w:ascii="宋体" w:hAnsi="宋体" w:eastAsia="宋体" w:cs="宋体"/>
                <w:b w:val="0"/>
                <w:bCs/>
                <w:color w:val="000000"/>
                <w:sz w:val="21"/>
                <w:szCs w:val="21"/>
                <w:highlight w:val="none"/>
              </w:rPr>
              <w:t>从业人员、营业收入、资产总额填报上一年度数据，无上一年度数据的新成立企业可不填报。</w:t>
            </w:r>
          </w:p>
        </w:tc>
      </w:tr>
    </w:tbl>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vertAlign w:val="superscript"/>
        </w:rPr>
      </w:pPr>
    </w:p>
    <w:p>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r>
    </w:p>
    <w:p>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残疾人福利性单位声明函格式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本单位郑重声明，根据《财政部民政部中国残疾人联合会关于促进残疾人就业政府采购政策的通知》（财库</w:t>
      </w:r>
      <w:r>
        <w:rPr>
          <w:rFonts w:hint="eastAsia" w:ascii="宋体" w:hAnsi="宋体" w:eastAsia="宋体" w:cs="宋体"/>
          <w:b w:val="0"/>
          <w:bCs/>
          <w:sz w:val="21"/>
          <w:szCs w:val="21"/>
          <w:highlight w:val="none"/>
        </w:rPr>
        <w:t>〔2017〕141</w:t>
      </w:r>
      <w:r>
        <w:rPr>
          <w:rFonts w:hint="eastAsia" w:ascii="宋体" w:hAnsi="宋体" w:eastAsia="宋体" w:cs="宋体"/>
          <w:b w:val="0"/>
          <w:bCs/>
          <w:spacing w:val="6"/>
          <w:sz w:val="21"/>
          <w:szCs w:val="21"/>
          <w:highlight w:val="none"/>
        </w:rPr>
        <w:t>号）的规定，本单位</w:t>
      </w:r>
      <w:r>
        <w:rPr>
          <w:rFonts w:hint="eastAsia" w:ascii="宋体" w:hAnsi="宋体" w:eastAsia="宋体" w:cs="宋体"/>
          <w:b w:val="0"/>
          <w:bCs/>
          <w:sz w:val="21"/>
          <w:szCs w:val="21"/>
          <w:highlight w:val="none"/>
        </w:rPr>
        <w:t>（请进行勾选）</w:t>
      </w:r>
      <w:r>
        <w:rPr>
          <w:rFonts w:hint="eastAsia" w:ascii="宋体" w:hAnsi="宋体" w:eastAsia="宋体" w:cs="宋体"/>
          <w:b w:val="0"/>
          <w:bCs/>
          <w:spacing w:val="6"/>
          <w:sz w:val="21"/>
          <w:szCs w:val="21"/>
          <w:highlight w:val="none"/>
        </w:rPr>
        <w:t>：</w:t>
      </w:r>
    </w:p>
    <w:p>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pacing w:val="6"/>
          <w:sz w:val="21"/>
          <w:szCs w:val="21"/>
          <w:highlight w:val="none"/>
        </w:rPr>
        <w:t>不属于符合条件的残疾人福利性单位。</w:t>
      </w:r>
    </w:p>
    <w:p>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z w:val="21"/>
          <w:szCs w:val="21"/>
          <w:highlight w:val="none"/>
        </w:rPr>
        <w:t>□</w:t>
      </w:r>
      <w:r>
        <w:rPr>
          <w:rFonts w:hint="eastAsia" w:ascii="宋体" w:hAnsi="宋体" w:eastAsia="宋体" w:cs="宋体"/>
          <w:b w:val="0"/>
          <w:bCs/>
          <w:spacing w:val="6"/>
          <w:sz w:val="21"/>
          <w:szCs w:val="21"/>
          <w:highlight w:val="none"/>
        </w:rPr>
        <w:t>属于符合条件的残疾人福利性单位，且本单位参加</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单位的</w:t>
      </w:r>
      <w:r>
        <w:rPr>
          <w:rFonts w:hint="eastAsia" w:ascii="宋体" w:hAnsi="宋体" w:eastAsia="宋体" w:cs="宋体"/>
          <w:b w:val="0"/>
          <w:bCs/>
          <w:spacing w:val="6"/>
          <w:sz w:val="21"/>
          <w:szCs w:val="21"/>
          <w:highlight w:val="none"/>
          <w:u w:val="single"/>
          <w:lang w:val="en-US" w:eastAsia="zh-CN"/>
        </w:rPr>
        <w:t xml:space="preserve">         </w:t>
      </w:r>
      <w:r>
        <w:rPr>
          <w:rFonts w:hint="eastAsia" w:ascii="宋体" w:hAnsi="宋体" w:eastAsia="宋体" w:cs="宋体"/>
          <w:b w:val="0"/>
          <w:bCs/>
          <w:spacing w:val="6"/>
          <w:sz w:val="21"/>
          <w:szCs w:val="21"/>
          <w:highlight w:val="none"/>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val="0"/>
        <w:overflowPunct/>
        <w:topLinePunct/>
        <w:autoSpaceDE/>
        <w:autoSpaceDN/>
        <w:bidi w:val="0"/>
        <w:spacing w:line="360" w:lineRule="auto"/>
        <w:ind w:firstLine="444" w:firstLineChars="200"/>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本单位对上述声明的真实性负责。如有虚假，将依法承担相应责任。</w:t>
      </w:r>
    </w:p>
    <w:p>
      <w:pPr>
        <w:keepNext w:val="0"/>
        <w:keepLines w:val="0"/>
        <w:pageBreakBefore w:val="0"/>
        <w:widowControl w:val="0"/>
        <w:kinsoku/>
        <w:wordWrap w:val="0"/>
        <w:overflowPunct/>
        <w:topLinePunct/>
        <w:autoSpaceDE/>
        <w:autoSpaceDN/>
        <w:bidi w:val="0"/>
        <w:spacing w:line="360" w:lineRule="auto"/>
        <w:ind w:firstLine="444" w:firstLineChars="200"/>
        <w:textAlignment w:val="auto"/>
        <w:rPr>
          <w:rFonts w:hint="eastAsia" w:ascii="宋体" w:hAnsi="宋体" w:eastAsia="宋体" w:cs="宋体"/>
          <w:b w:val="0"/>
          <w:bCs/>
          <w:spacing w:val="6"/>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444" w:firstLineChars="200"/>
        <w:textAlignment w:val="auto"/>
        <w:rPr>
          <w:rFonts w:hint="eastAsia" w:ascii="宋体" w:hAnsi="宋体" w:eastAsia="宋体" w:cs="宋体"/>
          <w:b w:val="0"/>
          <w:bCs/>
          <w:spacing w:val="6"/>
          <w:sz w:val="21"/>
          <w:szCs w:val="21"/>
          <w:highlight w:val="none"/>
        </w:rPr>
      </w:pPr>
    </w:p>
    <w:p>
      <w:pPr>
        <w:keepNext w:val="0"/>
        <w:keepLines w:val="0"/>
        <w:pageBreakBefore w:val="0"/>
        <w:widowControl w:val="0"/>
        <w:tabs>
          <w:tab w:val="left" w:pos="4860"/>
        </w:tabs>
        <w:kinsoku/>
        <w:wordWrap w:val="0"/>
        <w:overflowPunct/>
        <w:topLinePunct/>
        <w:autoSpaceDE/>
        <w:autoSpaceDN/>
        <w:bidi w:val="0"/>
        <w:spacing w:line="360" w:lineRule="auto"/>
        <w:ind w:right="1560" w:firstLine="5328" w:firstLineChars="2400"/>
        <w:jc w:val="both"/>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单位名称（盖章）：</w:t>
      </w:r>
    </w:p>
    <w:p>
      <w:pPr>
        <w:keepNext w:val="0"/>
        <w:keepLines w:val="0"/>
        <w:pageBreakBefore w:val="0"/>
        <w:widowControl w:val="0"/>
        <w:tabs>
          <w:tab w:val="left" w:pos="4860"/>
        </w:tabs>
        <w:kinsoku/>
        <w:wordWrap w:val="0"/>
        <w:overflowPunct/>
        <w:topLinePunct/>
        <w:autoSpaceDE/>
        <w:autoSpaceDN/>
        <w:bidi w:val="0"/>
        <w:spacing w:line="360" w:lineRule="auto"/>
        <w:ind w:right="1560" w:firstLine="5328" w:firstLineChars="2400"/>
        <w:jc w:val="both"/>
        <w:textAlignment w:val="auto"/>
        <w:rPr>
          <w:rFonts w:hint="eastAsia" w:ascii="宋体" w:hAnsi="宋体" w:eastAsia="宋体" w:cs="宋体"/>
          <w:b w:val="0"/>
          <w:bCs/>
          <w:spacing w:val="6"/>
          <w:sz w:val="21"/>
          <w:szCs w:val="21"/>
          <w:highlight w:val="none"/>
        </w:rPr>
      </w:pPr>
      <w:r>
        <w:rPr>
          <w:rFonts w:hint="eastAsia" w:ascii="宋体" w:hAnsi="宋体" w:eastAsia="宋体" w:cs="宋体"/>
          <w:b w:val="0"/>
          <w:bCs/>
          <w:spacing w:val="6"/>
          <w:sz w:val="21"/>
          <w:szCs w:val="21"/>
          <w:highlight w:val="none"/>
        </w:rPr>
        <w:t xml:space="preserve">日 </w:t>
      </w:r>
      <w:r>
        <w:rPr>
          <w:rFonts w:hint="eastAsia" w:ascii="宋体" w:hAnsi="宋体" w:eastAsia="宋体" w:cs="宋体"/>
          <w:b w:val="0"/>
          <w:bCs/>
          <w:spacing w:val="6"/>
          <w:sz w:val="21"/>
          <w:szCs w:val="21"/>
          <w:highlight w:val="none"/>
          <w:lang w:val="en-US" w:eastAsia="zh-CN"/>
        </w:rPr>
        <w:t xml:space="preserve"> </w:t>
      </w:r>
      <w:r>
        <w:rPr>
          <w:rFonts w:hint="eastAsia" w:ascii="宋体" w:hAnsi="宋体" w:eastAsia="宋体" w:cs="宋体"/>
          <w:b w:val="0"/>
          <w:bCs/>
          <w:spacing w:val="6"/>
          <w:sz w:val="21"/>
          <w:szCs w:val="21"/>
          <w:highlight w:val="none"/>
        </w:rPr>
        <w:t xml:space="preserve"> 期：</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sectPr>
          <w:pgSz w:w="11907" w:h="16840"/>
          <w:pgMar w:top="1418" w:right="1134" w:bottom="1418" w:left="1701" w:header="851" w:footer="851" w:gutter="0"/>
          <w:pgNumType w:fmt="decimal"/>
          <w:cols w:space="720" w:num="1"/>
          <w:docGrid w:linePitch="462" w:charSpace="0"/>
        </w:sect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 xml:space="preserve">3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sz w:val="21"/>
          <w:szCs w:val="21"/>
          <w:highlight w:val="none"/>
        </w:rPr>
        <w:t>本项目的特定资格要求</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000000"/>
          <w:sz w:val="21"/>
          <w:szCs w:val="21"/>
          <w:highlight w:val="none"/>
          <w:lang w:val="zh-CN"/>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val="0"/>
          <w:bCs/>
          <w:color w:val="000000"/>
          <w:sz w:val="21"/>
          <w:szCs w:val="21"/>
          <w:highlight w:val="none"/>
          <w:lang w:val="zh-CN"/>
        </w:rPr>
        <w:t>3-1</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lang w:val="zh-CN"/>
        </w:rPr>
        <w:t>投标人、法定代表人未被中国裁判文书网列入行贿犯罪行为。</w:t>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4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投标保证金凭证/交款单据电子件</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20"/>
          <w:sz w:val="21"/>
          <w:szCs w:val="21"/>
          <w:highlight w:val="none"/>
        </w:rPr>
      </w:pPr>
      <w:r>
        <w:rPr>
          <w:rFonts w:hint="eastAsia" w:ascii="宋体" w:hAnsi="宋体" w:eastAsia="宋体" w:cs="宋体"/>
          <w:b w:val="0"/>
          <w:bCs/>
          <w:sz w:val="21"/>
          <w:szCs w:val="21"/>
          <w:highlight w:val="none"/>
        </w:rPr>
        <w:t>投标保证金必须于投标截止时间以前到达指定账户</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投标保证金必须为投标人基本账户转出</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br w:type="page"/>
      </w:r>
      <w:r>
        <w:rPr>
          <w:rFonts w:hint="eastAsia" w:ascii="宋体" w:hAnsi="宋体" w:eastAsia="宋体" w:cs="宋体"/>
          <w:b w:val="0"/>
          <w:bCs/>
          <w:spacing w:val="20"/>
          <w:sz w:val="21"/>
          <w:szCs w:val="21"/>
          <w:highlight w:val="none"/>
        </w:rPr>
        <w:t>二、商务技术文件格式</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pacing w:val="20"/>
          <w:sz w:val="30"/>
          <w:szCs w:val="30"/>
          <w:highlight w:val="none"/>
        </w:rPr>
      </w:pP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30"/>
          <w:szCs w:val="30"/>
          <w:highlight w:val="none"/>
        </w:rPr>
      </w:pPr>
      <w:r>
        <w:rPr>
          <w:rFonts w:hint="eastAsia" w:ascii="宋体" w:hAnsi="宋体" w:eastAsia="宋体" w:cs="宋体"/>
          <w:b w:val="0"/>
          <w:bCs/>
          <w:spacing w:val="20"/>
          <w:sz w:val="30"/>
          <w:szCs w:val="30"/>
          <w:highlight w:val="none"/>
        </w:rPr>
        <w:t>投标文件（商务技术文件）</w:t>
      </w:r>
      <w:r>
        <w:rPr>
          <w:rFonts w:hint="eastAsia" w:ascii="宋体" w:hAnsi="宋体" w:eastAsia="宋体" w:cs="宋体"/>
          <w:b w:val="0"/>
          <w:bCs/>
          <w:sz w:val="30"/>
          <w:szCs w:val="30"/>
          <w:highlight w:val="none"/>
        </w:rPr>
        <w:t>封面（非实质性格式）</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30"/>
          <w:szCs w:val="30"/>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44"/>
          <w:szCs w:val="44"/>
          <w:highlight w:val="none"/>
        </w:rPr>
      </w:pPr>
      <w:r>
        <w:rPr>
          <w:rFonts w:hint="eastAsia" w:ascii="宋体" w:hAnsi="宋体" w:eastAsia="宋体" w:cs="宋体"/>
          <w:b w:val="0"/>
          <w:bCs/>
          <w:spacing w:val="60"/>
          <w:sz w:val="44"/>
          <w:szCs w:val="44"/>
          <w:highlight w:val="none"/>
        </w:rPr>
        <w:t>投 标 文 件</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pacing w:val="60"/>
          <w:sz w:val="44"/>
          <w:szCs w:val="44"/>
          <w:highlight w:val="none"/>
        </w:rPr>
      </w:pPr>
      <w:r>
        <w:rPr>
          <w:rFonts w:hint="eastAsia" w:ascii="宋体" w:hAnsi="宋体" w:eastAsia="宋体" w:cs="宋体"/>
          <w:b w:val="0"/>
          <w:bCs/>
          <w:spacing w:val="60"/>
          <w:sz w:val="44"/>
          <w:szCs w:val="44"/>
          <w:highlight w:val="none"/>
        </w:rPr>
        <w:t>（商务技术文件）</w:t>
      </w: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pacing w:val="20"/>
          <w:sz w:val="30"/>
          <w:szCs w:val="30"/>
          <w:highlight w:val="none"/>
        </w:rPr>
      </w:pP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pacing w:val="20"/>
          <w:sz w:val="30"/>
          <w:szCs w:val="30"/>
          <w:highlight w:val="none"/>
        </w:rPr>
      </w:pP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pacing w:val="20"/>
          <w:sz w:val="30"/>
          <w:szCs w:val="30"/>
          <w:highlight w:val="none"/>
        </w:rPr>
      </w:pP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pacing w:val="20"/>
          <w:sz w:val="30"/>
          <w:szCs w:val="30"/>
          <w:highlight w:val="none"/>
        </w:rPr>
      </w:pP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pacing w:val="20"/>
          <w:sz w:val="30"/>
          <w:szCs w:val="30"/>
          <w:highlight w:val="none"/>
        </w:rPr>
      </w:pPr>
      <w:r>
        <w:rPr>
          <w:rFonts w:hint="eastAsia" w:ascii="宋体" w:hAnsi="宋体" w:eastAsia="宋体" w:cs="宋体"/>
          <w:b w:val="0"/>
          <w:bCs/>
          <w:spacing w:val="20"/>
          <w:sz w:val="30"/>
          <w:szCs w:val="30"/>
          <w:highlight w:val="none"/>
        </w:rPr>
        <w:t>项目名称：</w:t>
      </w: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pacing w:val="20"/>
          <w:sz w:val="30"/>
          <w:szCs w:val="30"/>
          <w:highlight w:val="none"/>
        </w:rPr>
      </w:pPr>
      <w:r>
        <w:rPr>
          <w:rFonts w:hint="eastAsia" w:ascii="宋体" w:hAnsi="宋体" w:eastAsia="宋体" w:cs="宋体"/>
          <w:b w:val="0"/>
          <w:bCs/>
          <w:spacing w:val="20"/>
          <w:sz w:val="30"/>
          <w:szCs w:val="30"/>
          <w:highlight w:val="none"/>
        </w:rPr>
        <w:t>项目编号：</w:t>
      </w:r>
    </w:p>
    <w:p>
      <w:pPr>
        <w:keepNext w:val="0"/>
        <w:keepLines w:val="0"/>
        <w:pageBreakBefore w:val="0"/>
        <w:widowControl w:val="0"/>
        <w:kinsoku/>
        <w:wordWrap w:val="0"/>
        <w:overflowPunct/>
        <w:topLinePunct/>
        <w:autoSpaceDE/>
        <w:autoSpaceDN/>
        <w:bidi w:val="0"/>
        <w:spacing w:line="360" w:lineRule="auto"/>
        <w:ind w:firstLine="510" w:firstLineChars="150"/>
        <w:textAlignment w:val="auto"/>
        <w:rPr>
          <w:rFonts w:hint="eastAsia" w:ascii="宋体" w:hAnsi="宋体" w:eastAsia="宋体" w:cs="宋体"/>
          <w:b w:val="0"/>
          <w:bCs/>
          <w:sz w:val="30"/>
          <w:szCs w:val="30"/>
          <w:highlight w:val="none"/>
        </w:rPr>
      </w:pPr>
      <w:r>
        <w:rPr>
          <w:rFonts w:hint="eastAsia" w:ascii="宋体" w:hAnsi="宋体" w:eastAsia="宋体" w:cs="宋体"/>
          <w:b w:val="0"/>
          <w:bCs/>
          <w:spacing w:val="20"/>
          <w:sz w:val="30"/>
          <w:szCs w:val="30"/>
          <w:highlight w:val="none"/>
        </w:rPr>
        <w:t>投标人名称：</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bookmarkStart w:id="818" w:name="_Hlt520355504"/>
      <w:bookmarkEnd w:id="818"/>
      <w:bookmarkStart w:id="819" w:name="_Hlt520343392"/>
      <w:bookmarkEnd w:id="819"/>
      <w:bookmarkStart w:id="820" w:name="_Hlt520274407"/>
      <w:bookmarkEnd w:id="820"/>
      <w:bookmarkStart w:id="821" w:name="_Hlt520274065"/>
      <w:bookmarkEnd w:id="821"/>
      <w:bookmarkStart w:id="822" w:name="_Hlt520343000"/>
      <w:bookmarkEnd w:id="822"/>
      <w:bookmarkStart w:id="823" w:name="_Hlt520271212"/>
      <w:bookmarkEnd w:id="823"/>
      <w:bookmarkStart w:id="824" w:name="_Hlt520274393"/>
      <w:bookmarkEnd w:id="824"/>
      <w:bookmarkStart w:id="825" w:name="_Hlt520350918"/>
      <w:bookmarkEnd w:id="825"/>
      <w:bookmarkStart w:id="826" w:name="_Hlt520273711"/>
      <w:bookmarkEnd w:id="826"/>
      <w:bookmarkStart w:id="827" w:name="_Hlt520274121"/>
      <w:bookmarkEnd w:id="827"/>
      <w:bookmarkStart w:id="828" w:name="_Toc480942349"/>
      <w:bookmarkStart w:id="829" w:name="_Ref467988698"/>
      <w:bookmarkStart w:id="830" w:name="_Toc226309800"/>
      <w:bookmarkStart w:id="831" w:name="_Toc142311058"/>
      <w:bookmarkStart w:id="832" w:name="_Toc150480794"/>
      <w:bookmarkStart w:id="833" w:name="_Toc520356217"/>
      <w:bookmarkStart w:id="834" w:name="_Toc226337252"/>
      <w:bookmarkStart w:id="835" w:name="_Toc226965746"/>
      <w:bookmarkStart w:id="836" w:name="_Toc150774761"/>
      <w:bookmarkStart w:id="837" w:name="_Toc195842921"/>
      <w:bookmarkStart w:id="838" w:name="_Toc127151556"/>
      <w:bookmarkStart w:id="839" w:name="_Toc226965829"/>
      <w:r>
        <w:rPr>
          <w:rFonts w:hint="eastAsia" w:ascii="宋体" w:hAnsi="宋体" w:eastAsia="宋体" w:cs="宋体"/>
          <w:b w:val="0"/>
          <w:bCs/>
          <w:color w:val="000000"/>
          <w:sz w:val="21"/>
          <w:szCs w:val="21"/>
          <w:highlight w:val="none"/>
        </w:rPr>
        <w:t>1  投标</w:t>
      </w:r>
      <w:bookmarkEnd w:id="828"/>
      <w:bookmarkEnd w:id="829"/>
      <w:r>
        <w:rPr>
          <w:rFonts w:hint="eastAsia" w:ascii="宋体" w:hAnsi="宋体" w:eastAsia="宋体" w:cs="宋体"/>
          <w:b w:val="0"/>
          <w:bCs/>
          <w:color w:val="000000"/>
          <w:sz w:val="21"/>
          <w:szCs w:val="21"/>
          <w:highlight w:val="none"/>
        </w:rPr>
        <w:t>书</w:t>
      </w:r>
      <w:bookmarkEnd w:id="830"/>
      <w:bookmarkEnd w:id="831"/>
      <w:bookmarkEnd w:id="832"/>
      <w:bookmarkEnd w:id="833"/>
      <w:bookmarkEnd w:id="834"/>
      <w:bookmarkEnd w:id="835"/>
      <w:bookmarkEnd w:id="836"/>
      <w:bookmarkEnd w:id="837"/>
      <w:bookmarkEnd w:id="838"/>
      <w:bookmarkEnd w:id="839"/>
      <w:r>
        <w:rPr>
          <w:rFonts w:hint="eastAsia" w:ascii="宋体" w:hAnsi="宋体" w:eastAsia="宋体" w:cs="宋体"/>
          <w:b w:val="0"/>
          <w:bCs/>
          <w:color w:val="000000"/>
          <w:sz w:val="21"/>
          <w:szCs w:val="21"/>
          <w:highlight w:val="none"/>
        </w:rPr>
        <w:t>（实质性格式）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投标书</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致：</w:t>
      </w:r>
      <w:r>
        <w:rPr>
          <w:rFonts w:hint="eastAsia" w:ascii="宋体" w:hAnsi="宋体" w:eastAsia="宋体" w:cs="宋体"/>
          <w:b w:val="0"/>
          <w:bCs/>
          <w:color w:val="000000"/>
          <w:sz w:val="21"/>
          <w:szCs w:val="21"/>
          <w:highlight w:val="none"/>
          <w:u w:val="single"/>
        </w:rPr>
        <w:t>（采购人）</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ind w:firstLine="408"/>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我方参加你方就</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（项目名称，项目编号）组织的招标活动，并对此项目进行投标。</w:t>
      </w:r>
    </w:p>
    <w:p>
      <w:pPr>
        <w:keepNext w:val="0"/>
        <w:keepLines w:val="0"/>
        <w:pageBreakBefore w:val="0"/>
        <w:widowControl w:val="0"/>
        <w:tabs>
          <w:tab w:val="left" w:pos="5580"/>
        </w:tabs>
        <w:kinsoku/>
        <w:wordWrap w:val="0"/>
        <w:overflowPunct/>
        <w:topLinePunct/>
        <w:autoSpaceDE/>
        <w:autoSpaceDN/>
        <w:bidi w:val="0"/>
        <w:spacing w:line="360" w:lineRule="auto"/>
        <w:ind w:firstLine="408"/>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 我方已详细审查全部招标文件，自愿参与投标并承诺如下：</w:t>
      </w:r>
    </w:p>
    <w:p>
      <w:pPr>
        <w:keepNext w:val="0"/>
        <w:keepLines w:val="0"/>
        <w:pageBreakBefore w:val="0"/>
        <w:widowControl w:val="0"/>
        <w:tabs>
          <w:tab w:val="left" w:pos="720"/>
          <w:tab w:val="left" w:pos="900"/>
        </w:tabs>
        <w:kinsoku/>
        <w:wordWrap w:val="0"/>
        <w:overflowPunct/>
        <w:topLinePunct/>
        <w:autoSpaceDE/>
        <w:autoSpaceDN/>
        <w:bidi w:val="0"/>
        <w:spacing w:line="360" w:lineRule="auto"/>
        <w:ind w:left="360" w:firstLine="63" w:firstLineChars="3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（1）本投标有效期为自提交投标文件的截止之日起</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个日历日。</w:t>
      </w:r>
    </w:p>
    <w:p>
      <w:pPr>
        <w:keepNext w:val="0"/>
        <w:keepLines w:val="0"/>
        <w:pageBreakBefore w:val="0"/>
        <w:widowControl w:val="0"/>
        <w:tabs>
          <w:tab w:val="left" w:pos="720"/>
          <w:tab w:val="left" w:pos="900"/>
        </w:tabs>
        <w:kinsoku/>
        <w:wordWrap w:val="0"/>
        <w:overflowPunct/>
        <w:topLinePunct/>
        <w:autoSpaceDE/>
        <w:autoSpaceDN/>
        <w:bidi w:val="0"/>
        <w:spacing w:line="360" w:lineRule="auto"/>
        <w:ind w:left="360" w:firstLine="63" w:firstLineChars="3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（2）除合同条款及采购需求偏离表列出的偏离外，我方响应招标文件的全部要求。</w:t>
      </w:r>
    </w:p>
    <w:p>
      <w:pPr>
        <w:keepNext w:val="0"/>
        <w:keepLines w:val="0"/>
        <w:pageBreakBefore w:val="0"/>
        <w:widowControl w:val="0"/>
        <w:tabs>
          <w:tab w:val="left" w:pos="5580"/>
        </w:tabs>
        <w:kinsoku/>
        <w:wordWrap w:val="0"/>
        <w:overflowPunct/>
        <w:topLinePunct/>
        <w:autoSpaceDE/>
        <w:autoSpaceDN/>
        <w:bidi w:val="0"/>
        <w:spacing w:line="360" w:lineRule="auto"/>
        <w:ind w:firstLine="367" w:firstLineChars="17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（3）我方已提供的全部文件资料是真实、准确的，并对此承担一切法律后果。</w:t>
      </w:r>
    </w:p>
    <w:p>
      <w:pPr>
        <w:keepNext w:val="0"/>
        <w:keepLines w:val="0"/>
        <w:pageBreakBefore w:val="0"/>
        <w:widowControl w:val="0"/>
        <w:tabs>
          <w:tab w:val="left" w:pos="5580"/>
        </w:tabs>
        <w:kinsoku/>
        <w:wordWrap w:val="0"/>
        <w:overflowPunct/>
        <w:topLinePunct/>
        <w:autoSpaceDE/>
        <w:autoSpaceDN/>
        <w:bidi w:val="0"/>
        <w:spacing w:line="360" w:lineRule="auto"/>
        <w:ind w:firstLine="367" w:firstLineChars="175"/>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（4）如我方中标，我方将在法律规定的期限内与你方签订合同，按照招标文件要求提交履约保证金，并在合同约定的期限内完成合同规定的全部义务。</w:t>
      </w:r>
    </w:p>
    <w:p>
      <w:pPr>
        <w:keepNext w:val="0"/>
        <w:keepLines w:val="0"/>
        <w:pageBreakBefore w:val="0"/>
        <w:widowControl w:val="0"/>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 其他补充条款（如有）：</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w:t>
      </w:r>
    </w:p>
    <w:p>
      <w:pPr>
        <w:keepNext w:val="0"/>
        <w:keepLines w:val="0"/>
        <w:pageBreakBefore w:val="0"/>
        <w:widowControl w:val="0"/>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与本投标有关的一切正式往来信函请寄：</w:t>
      </w:r>
    </w:p>
    <w:p>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lang w:val="en-US"/>
        </w:rPr>
      </w:pPr>
      <w:r>
        <w:rPr>
          <w:rFonts w:hint="eastAsia" w:ascii="宋体" w:hAnsi="宋体" w:eastAsia="宋体" w:cs="宋体"/>
          <w:b w:val="0"/>
          <w:bCs/>
          <w:color w:val="000000"/>
          <w:sz w:val="21"/>
          <w:szCs w:val="21"/>
          <w:highlight w:val="none"/>
        </w:rPr>
        <w:t>地址</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     传真</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电话</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     电子函件</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ind w:firstLine="420" w:firstLineChars="200"/>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ind w:firstLine="420" w:firstLineChars="200"/>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color w:val="000000"/>
          <w:sz w:val="21"/>
          <w:szCs w:val="21"/>
          <w:highlight w:val="none"/>
          <w:u w:val="single"/>
        </w:rPr>
      </w:pP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bookmarkStart w:id="840" w:name="_Hlt520355938"/>
      <w:bookmarkEnd w:id="840"/>
      <w:bookmarkStart w:id="841" w:name="_Hlt520356243"/>
      <w:bookmarkEnd w:id="841"/>
      <w:bookmarkStart w:id="842" w:name="_Toc265228395"/>
      <w:bookmarkStart w:id="843" w:name="_Toc142311059"/>
      <w:bookmarkStart w:id="844" w:name="_Ref467988705"/>
      <w:bookmarkStart w:id="845" w:name="_Toc480942350"/>
      <w:bookmarkStart w:id="846" w:name="_Toc195842922"/>
      <w:bookmarkStart w:id="847" w:name="_Toc226309801"/>
      <w:bookmarkStart w:id="848" w:name="_Toc305158899"/>
      <w:bookmarkStart w:id="849" w:name="_Toc127151557"/>
      <w:bookmarkStart w:id="850" w:name="_Toc520356218"/>
      <w:bookmarkStart w:id="851" w:name="_Toc150774762"/>
      <w:bookmarkStart w:id="852" w:name="_Toc226337253"/>
      <w:bookmarkStart w:id="853" w:name="_Toc150480795"/>
      <w:bookmarkStart w:id="854" w:name="_Toc226965830"/>
      <w:bookmarkStart w:id="855" w:name="_Toc264969247"/>
      <w:bookmarkStart w:id="856" w:name="_Toc305158825"/>
      <w:bookmarkStart w:id="857" w:name="_Toc226965747"/>
      <w:r>
        <w:rPr>
          <w:rFonts w:hint="eastAsia" w:ascii="宋体" w:hAnsi="宋体" w:eastAsia="宋体" w:cs="宋体"/>
          <w:b w:val="0"/>
          <w:bCs/>
          <w:color w:val="000000"/>
          <w:sz w:val="21"/>
          <w:szCs w:val="21"/>
          <w:highlight w:val="none"/>
        </w:rPr>
        <w:br w:type="page"/>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  授权委托书（实质性格式）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color w:val="000000"/>
          <w:w w:val="100"/>
          <w:sz w:val="21"/>
          <w:szCs w:val="21"/>
          <w:highlight w:val="none"/>
        </w:rPr>
      </w:pPr>
      <w:r>
        <w:rPr>
          <w:rFonts w:hint="eastAsia" w:ascii="宋体" w:hAnsi="宋体" w:eastAsia="宋体" w:cs="宋体"/>
          <w:b w:val="0"/>
          <w:bCs/>
          <w:color w:val="000000"/>
          <w:w w:val="100"/>
          <w:sz w:val="21"/>
          <w:szCs w:val="21"/>
          <w:highlight w:val="none"/>
        </w:rPr>
        <w:t>授权委托书</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本人</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（姓名）系</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（投标人名称）的法定代表人（单位负责人），现委托</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（姓名）为我方代理人。代理人根据授权，以我方名义签署、澄清确认、递交、撤回、修改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（项目名称）</w:t>
      </w:r>
      <w:r>
        <w:rPr>
          <w:rFonts w:hint="eastAsia" w:ascii="宋体" w:hAnsi="宋体" w:eastAsia="宋体" w:cs="宋体"/>
          <w:b w:val="0"/>
          <w:bCs/>
          <w:color w:val="000000"/>
          <w:sz w:val="21"/>
          <w:szCs w:val="21"/>
          <w:highlight w:val="none"/>
          <w:lang w:eastAsia="zh-CN"/>
        </w:rPr>
        <w:t>投标文件</w:t>
      </w:r>
      <w:r>
        <w:rPr>
          <w:rFonts w:hint="eastAsia" w:ascii="宋体" w:hAnsi="宋体" w:eastAsia="宋体" w:cs="宋体"/>
          <w:b w:val="0"/>
          <w:bCs/>
          <w:color w:val="000000"/>
          <w:sz w:val="21"/>
          <w:szCs w:val="21"/>
          <w:highlight w:val="none"/>
        </w:rPr>
        <w:t>和处理有关事宜，其法律后果由我方承担。</w:t>
      </w:r>
    </w:p>
    <w:p>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委托期限：自本授权委托书签署之日起至</w:t>
      </w:r>
      <w:r>
        <w:rPr>
          <w:rFonts w:hint="eastAsia" w:ascii="宋体" w:hAnsi="宋体" w:eastAsia="宋体" w:cs="宋体"/>
          <w:b w:val="0"/>
          <w:bCs/>
          <w:color w:val="000000"/>
          <w:sz w:val="21"/>
          <w:szCs w:val="21"/>
          <w:highlight w:val="none"/>
          <w:lang w:val="en-US" w:eastAsia="zh-CN"/>
        </w:rPr>
        <w:t>投标</w:t>
      </w:r>
      <w:r>
        <w:rPr>
          <w:rFonts w:hint="eastAsia" w:ascii="宋体" w:hAnsi="宋体" w:eastAsia="宋体" w:cs="宋体"/>
          <w:b w:val="0"/>
          <w:bCs/>
          <w:color w:val="000000"/>
          <w:sz w:val="21"/>
          <w:szCs w:val="21"/>
          <w:highlight w:val="none"/>
        </w:rPr>
        <w:t>有效期届满之日止。</w:t>
      </w:r>
    </w:p>
    <w:p>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代理人无转委托权。</w:t>
      </w:r>
      <w:r>
        <w:rPr>
          <w:rFonts w:hint="eastAsia" w:ascii="宋体" w:hAnsi="宋体" w:eastAsia="宋体" w:cs="宋体"/>
          <w:b w:val="0"/>
          <w:bCs/>
          <w:color w:val="000000"/>
          <w:sz w:val="21"/>
          <w:szCs w:val="21"/>
          <w:highlight w:val="none"/>
        </w:rPr>
        <w:cr/>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法定代表人（单位负责人）（</w:t>
      </w:r>
      <w:r>
        <w:rPr>
          <w:rFonts w:hint="eastAsia" w:ascii="宋体" w:hAnsi="宋体" w:eastAsia="宋体" w:cs="宋体"/>
          <w:b w:val="0"/>
          <w:bCs/>
          <w:color w:val="000000"/>
          <w:sz w:val="21"/>
          <w:szCs w:val="21"/>
          <w:highlight w:val="none"/>
          <w:lang w:eastAsia="zh-CN"/>
        </w:rPr>
        <w:t>签字或签章</w:t>
      </w:r>
      <w:r>
        <w:rPr>
          <w:rFonts w:hint="eastAsia" w:ascii="宋体" w:hAnsi="宋体" w:eastAsia="宋体" w:cs="宋体"/>
          <w:b w:val="0"/>
          <w:bCs/>
          <w:color w:val="000000"/>
          <w:sz w:val="21"/>
          <w:szCs w:val="21"/>
          <w:highlight w:val="none"/>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委托代理人（</w:t>
      </w:r>
      <w:r>
        <w:rPr>
          <w:rFonts w:hint="eastAsia" w:ascii="宋体" w:hAnsi="宋体" w:eastAsia="宋体" w:cs="宋体"/>
          <w:b w:val="0"/>
          <w:bCs/>
          <w:color w:val="000000"/>
          <w:sz w:val="21"/>
          <w:szCs w:val="21"/>
          <w:highlight w:val="none"/>
          <w:lang w:eastAsia="zh-CN"/>
        </w:rPr>
        <w:t>签字或签章</w:t>
      </w:r>
      <w:r>
        <w:rPr>
          <w:rFonts w:hint="eastAsia" w:ascii="宋体" w:hAnsi="宋体" w:eastAsia="宋体" w:cs="宋体"/>
          <w:b w:val="0"/>
          <w:bCs/>
          <w:color w:val="000000"/>
          <w:sz w:val="21"/>
          <w:szCs w:val="21"/>
          <w:highlight w:val="none"/>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法定代表人（单位负责人）有效期内的身份证正反面电子件：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c>
          <w:tcPr>
            <w:tcW w:w="4536"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r>
    </w:tbl>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委托代理人有效期内的身份证正反面电子件：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c>
          <w:tcPr>
            <w:tcW w:w="4536"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r>
    </w:tbl>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说明：</w:t>
      </w: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1.若供应商为事业单位或其他组织或分支机构（仅当招标文件注明允许分支机构投标的），则法定代表人（单位负责人）处的签署人可为单位负责人。</w:t>
      </w: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2.若投标文件中签字之处均为法定代表人（单位负责人）本人签署，则可不提供本《授权委托书》，但须提供《法定代表人（单位负责人）身份证明》（实质性格式）。</w:t>
      </w: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3.供应商为自然人的情形，可不提供本《授权委托书》。</w:t>
      </w:r>
      <w:r>
        <w:rPr>
          <w:rFonts w:hint="eastAsia" w:ascii="宋体" w:hAnsi="宋体" w:eastAsia="宋体" w:cs="宋体"/>
          <w:b w:val="0"/>
          <w:bCs/>
          <w:color w:val="000000"/>
          <w:sz w:val="21"/>
          <w:szCs w:val="21"/>
          <w:highlight w:val="none"/>
        </w:rPr>
        <w:br w:type="page"/>
      </w:r>
    </w:p>
    <w:p>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附：法定代表人（单位负责人）身份证明</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致：</w:t>
      </w:r>
      <w:r>
        <w:rPr>
          <w:rFonts w:hint="eastAsia" w:ascii="宋体" w:hAnsi="宋体" w:eastAsia="宋体" w:cs="宋体"/>
          <w:b w:val="0"/>
          <w:bCs/>
          <w:color w:val="000000"/>
          <w:sz w:val="21"/>
          <w:szCs w:val="21"/>
          <w:highlight w:val="none"/>
          <w:u w:val="single"/>
        </w:rPr>
        <w:t>（采购人）</w:t>
      </w:r>
    </w:p>
    <w:p>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兹证明，</w:t>
      </w:r>
    </w:p>
    <w:p>
      <w:pPr>
        <w:pStyle w:val="17"/>
        <w:keepNext w:val="0"/>
        <w:keepLines w:val="0"/>
        <w:pageBreakBefore w:val="0"/>
        <w:widowControl w:val="0"/>
        <w:tabs>
          <w:tab w:val="left" w:pos="1690"/>
          <w:tab w:val="left" w:pos="3400"/>
          <w:tab w:val="left" w:pos="5110"/>
          <w:tab w:val="left" w:pos="6821"/>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姓名：____性别：____年龄：____职务：____</w:t>
      </w:r>
    </w:p>
    <w:p>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17"/>
        <w:keepNext w:val="0"/>
        <w:keepLines w:val="0"/>
        <w:pageBreakBefore w:val="0"/>
        <w:widowControl w:val="0"/>
        <w:tabs>
          <w:tab w:val="left" w:pos="2250"/>
          <w:tab w:val="left" w:pos="2412"/>
          <w:tab w:val="left" w:pos="3883"/>
          <w:tab w:val="left" w:pos="5352"/>
          <w:tab w:val="left" w:pos="6821"/>
          <w:tab w:val="clear" w:pos="567"/>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系</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i/>
          <w:iCs/>
          <w:sz w:val="21"/>
          <w:szCs w:val="21"/>
          <w:highlight w:val="none"/>
          <w:u w:val="single"/>
          <w:lang w:val="en-US" w:eastAsia="zh-CN"/>
        </w:rPr>
        <w:t xml:space="preserve">                 </w:t>
      </w:r>
      <w:r>
        <w:rPr>
          <w:rFonts w:hint="eastAsia" w:ascii="宋体" w:hAnsi="宋体" w:eastAsia="宋体" w:cs="宋体"/>
          <w:b w:val="0"/>
          <w:bCs/>
          <w:sz w:val="21"/>
          <w:szCs w:val="21"/>
          <w:highlight w:val="none"/>
        </w:rPr>
        <w:t>（投标人名称）的法定代表人（单位负责人）。</w:t>
      </w:r>
    </w:p>
    <w:p>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17"/>
        <w:keepNext w:val="0"/>
        <w:keepLines w:val="0"/>
        <w:pageBreakBefore w:val="0"/>
        <w:widowControl w:val="0"/>
        <w:kinsoku/>
        <w:wordWrap w:val="0"/>
        <w:overflowPunct/>
        <w:topLinePunct/>
        <w:autoSpaceDE/>
        <w:autoSpaceDN/>
        <w:bidi w:val="0"/>
        <w:spacing w:line="360" w:lineRule="auto"/>
        <w:ind w:right="-46"/>
        <w:textAlignment w:val="auto"/>
        <w:rPr>
          <w:rFonts w:hint="eastAsia" w:ascii="宋体" w:hAnsi="宋体" w:eastAsia="宋体" w:cs="宋体"/>
          <w:b w:val="0"/>
          <w:bCs/>
          <w:spacing w:val="-3"/>
          <w:sz w:val="21"/>
          <w:szCs w:val="21"/>
          <w:highlight w:val="none"/>
        </w:rPr>
      </w:pPr>
      <w:r>
        <w:rPr>
          <w:rFonts w:hint="eastAsia" w:ascii="宋体" w:hAnsi="宋体" w:eastAsia="宋体" w:cs="宋体"/>
          <w:b w:val="0"/>
          <w:bCs/>
          <w:sz w:val="21"/>
          <w:szCs w:val="21"/>
          <w:highlight w:val="none"/>
        </w:rPr>
        <w:t>附：</w:t>
      </w:r>
      <w:r>
        <w:rPr>
          <w:rFonts w:hint="eastAsia" w:ascii="宋体" w:hAnsi="宋体" w:eastAsia="宋体" w:cs="宋体"/>
          <w:b w:val="0"/>
          <w:bCs/>
          <w:spacing w:val="-3"/>
          <w:sz w:val="21"/>
          <w:szCs w:val="21"/>
          <w:highlight w:val="none"/>
        </w:rPr>
        <w:t>法</w:t>
      </w:r>
      <w:r>
        <w:rPr>
          <w:rFonts w:hint="eastAsia" w:ascii="宋体" w:hAnsi="宋体" w:eastAsia="宋体" w:cs="宋体"/>
          <w:b w:val="0"/>
          <w:bCs/>
          <w:sz w:val="21"/>
          <w:szCs w:val="21"/>
          <w:highlight w:val="none"/>
        </w:rPr>
        <w:t>定</w:t>
      </w:r>
      <w:r>
        <w:rPr>
          <w:rFonts w:hint="eastAsia" w:ascii="宋体" w:hAnsi="宋体" w:eastAsia="宋体" w:cs="宋体"/>
          <w:b w:val="0"/>
          <w:bCs/>
          <w:spacing w:val="-3"/>
          <w:sz w:val="21"/>
          <w:szCs w:val="21"/>
          <w:highlight w:val="none"/>
        </w:rPr>
        <w:t>代</w:t>
      </w:r>
      <w:r>
        <w:rPr>
          <w:rFonts w:hint="eastAsia" w:ascii="宋体" w:hAnsi="宋体" w:eastAsia="宋体" w:cs="宋体"/>
          <w:b w:val="0"/>
          <w:bCs/>
          <w:sz w:val="21"/>
          <w:szCs w:val="21"/>
          <w:highlight w:val="none"/>
        </w:rPr>
        <w:t>表</w:t>
      </w:r>
      <w:r>
        <w:rPr>
          <w:rFonts w:hint="eastAsia" w:ascii="宋体" w:hAnsi="宋体" w:eastAsia="宋体" w:cs="宋体"/>
          <w:b w:val="0"/>
          <w:bCs/>
          <w:spacing w:val="-3"/>
          <w:sz w:val="21"/>
          <w:szCs w:val="21"/>
          <w:highlight w:val="none"/>
        </w:rPr>
        <w:t>人</w:t>
      </w:r>
      <w:r>
        <w:rPr>
          <w:rFonts w:hint="eastAsia" w:ascii="宋体" w:hAnsi="宋体" w:eastAsia="宋体" w:cs="宋体"/>
          <w:b w:val="0"/>
          <w:bCs/>
          <w:sz w:val="21"/>
          <w:szCs w:val="21"/>
          <w:highlight w:val="none"/>
        </w:rPr>
        <w:t>（</w:t>
      </w:r>
      <w:r>
        <w:rPr>
          <w:rFonts w:hint="eastAsia" w:ascii="宋体" w:hAnsi="宋体" w:eastAsia="宋体" w:cs="宋体"/>
          <w:b w:val="0"/>
          <w:bCs/>
          <w:spacing w:val="-3"/>
          <w:sz w:val="21"/>
          <w:szCs w:val="21"/>
          <w:highlight w:val="none"/>
        </w:rPr>
        <w:t>单</w:t>
      </w:r>
      <w:r>
        <w:rPr>
          <w:rFonts w:hint="eastAsia" w:ascii="宋体" w:hAnsi="宋体" w:eastAsia="宋体" w:cs="宋体"/>
          <w:b w:val="0"/>
          <w:bCs/>
          <w:sz w:val="21"/>
          <w:szCs w:val="21"/>
          <w:highlight w:val="none"/>
        </w:rPr>
        <w:t>位</w:t>
      </w:r>
      <w:r>
        <w:rPr>
          <w:rFonts w:hint="eastAsia" w:ascii="宋体" w:hAnsi="宋体" w:eastAsia="宋体" w:cs="宋体"/>
          <w:b w:val="0"/>
          <w:bCs/>
          <w:spacing w:val="-3"/>
          <w:sz w:val="21"/>
          <w:szCs w:val="21"/>
          <w:highlight w:val="none"/>
        </w:rPr>
        <w:t>负</w:t>
      </w:r>
      <w:r>
        <w:rPr>
          <w:rFonts w:hint="eastAsia" w:ascii="宋体" w:hAnsi="宋体" w:eastAsia="宋体" w:cs="宋体"/>
          <w:b w:val="0"/>
          <w:bCs/>
          <w:sz w:val="21"/>
          <w:szCs w:val="21"/>
          <w:highlight w:val="none"/>
        </w:rPr>
        <w:t>责人</w:t>
      </w:r>
      <w:r>
        <w:rPr>
          <w:rFonts w:hint="eastAsia" w:ascii="宋体" w:hAnsi="宋体" w:eastAsia="宋体" w:cs="宋体"/>
          <w:b w:val="0"/>
          <w:bCs/>
          <w:spacing w:val="-3"/>
          <w:sz w:val="21"/>
          <w:szCs w:val="21"/>
          <w:highlight w:val="none"/>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c>
          <w:tcPr>
            <w:tcW w:w="4536" w:type="dxa"/>
            <w:vAlign w:val="top"/>
          </w:tcPr>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tc>
      </w:tr>
    </w:tbl>
    <w:p>
      <w:pPr>
        <w:pStyle w:val="17"/>
        <w:keepNext w:val="0"/>
        <w:keepLines w:val="0"/>
        <w:pageBreakBefore w:val="0"/>
        <w:widowControl w:val="0"/>
        <w:kinsoku/>
        <w:wordWrap w:val="0"/>
        <w:overflowPunct/>
        <w:topLinePunct/>
        <w:autoSpaceDE/>
        <w:autoSpaceDN/>
        <w:bidi w:val="0"/>
        <w:spacing w:line="360" w:lineRule="auto"/>
        <w:ind w:right="4305"/>
        <w:textAlignment w:val="auto"/>
        <w:rPr>
          <w:rFonts w:hint="eastAsia" w:ascii="宋体" w:hAnsi="宋体" w:eastAsia="宋体" w:cs="宋体"/>
          <w:b w:val="0"/>
          <w:bCs/>
          <w:spacing w:val="-3"/>
          <w:sz w:val="21"/>
          <w:szCs w:val="21"/>
          <w:highlight w:val="none"/>
        </w:rPr>
      </w:pPr>
    </w:p>
    <w:p>
      <w:pPr>
        <w:pStyle w:val="17"/>
        <w:keepNext w:val="0"/>
        <w:keepLines w:val="0"/>
        <w:pageBreakBefore w:val="0"/>
        <w:widowControl w:val="0"/>
        <w:kinsoku/>
        <w:wordWrap w:val="0"/>
        <w:overflowPunct/>
        <w:topLinePunct/>
        <w:autoSpaceDE/>
        <w:autoSpaceDN/>
        <w:bidi w:val="0"/>
        <w:spacing w:line="360" w:lineRule="auto"/>
        <w:ind w:right="4305"/>
        <w:textAlignment w:val="auto"/>
        <w:rPr>
          <w:rFonts w:hint="eastAsia" w:ascii="宋体" w:hAnsi="宋体" w:eastAsia="宋体" w:cs="宋体"/>
          <w:b w:val="0"/>
          <w:bCs/>
          <w:spacing w:val="-3"/>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法定代表人（单位负责人）（</w:t>
      </w:r>
      <w:r>
        <w:rPr>
          <w:rFonts w:hint="eastAsia" w:ascii="宋体" w:hAnsi="宋体" w:eastAsia="宋体" w:cs="宋体"/>
          <w:b w:val="0"/>
          <w:bCs/>
          <w:color w:val="000000"/>
          <w:sz w:val="21"/>
          <w:szCs w:val="21"/>
          <w:highlight w:val="none"/>
          <w:lang w:eastAsia="zh-CN"/>
        </w:rPr>
        <w:t>签字或签章</w:t>
      </w:r>
      <w:r>
        <w:rPr>
          <w:rFonts w:hint="eastAsia" w:ascii="宋体" w:hAnsi="宋体" w:eastAsia="宋体" w:cs="宋体"/>
          <w:b w:val="0"/>
          <w:bCs/>
          <w:color w:val="000000"/>
          <w:sz w:val="21"/>
          <w:szCs w:val="21"/>
          <w:highlight w:val="none"/>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3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hint="eastAsia" w:ascii="宋体" w:hAnsi="宋体" w:eastAsia="宋体" w:cs="宋体"/>
          <w:b w:val="0"/>
          <w:bCs/>
          <w:color w:val="000000"/>
          <w:sz w:val="21"/>
          <w:szCs w:val="21"/>
          <w:highlight w:val="none"/>
        </w:rPr>
        <w:t>（实质性格式）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i/>
          <w:color w:val="FF0000"/>
          <w:sz w:val="21"/>
          <w:szCs w:val="21"/>
          <w:highlight w:val="none"/>
        </w:rPr>
      </w:pPr>
      <w:bookmarkStart w:id="858" w:name="_Toc264969248"/>
      <w:bookmarkStart w:id="859" w:name="_Toc226965748"/>
      <w:bookmarkStart w:id="860" w:name="_Toc226309802"/>
      <w:bookmarkStart w:id="861" w:name="_Toc226337254"/>
      <w:bookmarkStart w:id="862" w:name="_Toc195842923"/>
      <w:bookmarkStart w:id="863" w:name="_Toc305158826"/>
      <w:bookmarkStart w:id="864" w:name="_Toc164608672"/>
      <w:bookmarkStart w:id="865" w:name="_Toc226965831"/>
      <w:bookmarkStart w:id="866" w:name="_Toc265228396"/>
      <w:bookmarkStart w:id="867" w:name="_Toc164608827"/>
      <w:bookmarkStart w:id="868" w:name="_Toc305158900"/>
      <w:r>
        <w:rPr>
          <w:rFonts w:hint="eastAsia" w:ascii="宋体" w:hAnsi="宋体" w:eastAsia="宋体" w:cs="宋体"/>
          <w:b w:val="0"/>
          <w:bCs/>
          <w:color w:val="000000"/>
          <w:sz w:val="21"/>
          <w:szCs w:val="21"/>
          <w:highlight w:val="none"/>
        </w:rPr>
        <w:t>开标一览表</w:t>
      </w:r>
      <w:bookmarkEnd w:id="858"/>
      <w:bookmarkEnd w:id="859"/>
      <w:bookmarkEnd w:id="860"/>
      <w:bookmarkEnd w:id="861"/>
      <w:bookmarkEnd w:id="862"/>
      <w:bookmarkEnd w:id="863"/>
      <w:bookmarkEnd w:id="864"/>
      <w:bookmarkEnd w:id="865"/>
      <w:bookmarkEnd w:id="866"/>
      <w:bookmarkEnd w:id="867"/>
      <w:bookmarkEnd w:id="868"/>
    </w:p>
    <w:p>
      <w:pPr>
        <w:keepNext w:val="0"/>
        <w:keepLines w:val="0"/>
        <w:pageBreakBefore w:val="0"/>
        <w:widowControl w:val="0"/>
        <w:tabs>
          <w:tab w:val="left" w:pos="1800"/>
          <w:tab w:val="left" w:pos="5580"/>
        </w:tabs>
        <w:kinsoku/>
        <w:wordWrap w:val="0"/>
        <w:overflowPunct/>
        <w:topLinePunct/>
        <w:autoSpaceDE/>
        <w:autoSpaceDN/>
        <w:bidi w:val="0"/>
        <w:spacing w:line="360" w:lineRule="auto"/>
        <w:ind w:firstLine="210" w:firstLineChars="100"/>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项目编号：</w:t>
      </w:r>
    </w:p>
    <w:p>
      <w:pPr>
        <w:keepNext w:val="0"/>
        <w:keepLines w:val="0"/>
        <w:pageBreakBefore w:val="0"/>
        <w:widowControl w:val="0"/>
        <w:tabs>
          <w:tab w:val="left" w:pos="1800"/>
          <w:tab w:val="left" w:pos="5580"/>
        </w:tabs>
        <w:kinsoku/>
        <w:wordWrap w:val="0"/>
        <w:overflowPunct/>
        <w:topLinePunct/>
        <w:autoSpaceDE/>
        <w:autoSpaceDN/>
        <w:bidi w:val="0"/>
        <w:spacing w:line="360" w:lineRule="auto"/>
        <w:ind w:firstLine="210" w:firstLineChars="100"/>
        <w:jc w:val="left"/>
        <w:textAlignment w:val="auto"/>
        <w:rPr>
          <w:rFonts w:hint="eastAsia" w:ascii="宋体" w:hAnsi="宋体" w:eastAsia="宋体" w:cs="宋体"/>
          <w:b w:val="0"/>
          <w:bCs/>
          <w:color w:val="000000"/>
          <w:sz w:val="21"/>
          <w:szCs w:val="21"/>
          <w:highlight w:val="none"/>
          <w:u w:val="single"/>
        </w:rPr>
      </w:pPr>
      <w:r>
        <w:rPr>
          <w:rFonts w:hint="eastAsia" w:ascii="宋体" w:hAnsi="宋体" w:eastAsia="宋体" w:cs="宋体"/>
          <w:b w:val="0"/>
          <w:bCs/>
          <w:color w:val="000000"/>
          <w:sz w:val="21"/>
          <w:szCs w:val="21"/>
          <w:highlight w:val="none"/>
        </w:rPr>
        <w:t>项目名称：</w:t>
      </w:r>
    </w:p>
    <w:tbl>
      <w:tblPr>
        <w:tblStyle w:val="45"/>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2547"/>
        <w:gridCol w:w="1365"/>
        <w:gridCol w:w="1365"/>
        <w:gridCol w:w="1682"/>
        <w:gridCol w:w="1286"/>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87" w:type="dxa"/>
            <w:vMerge w:val="restart"/>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序号</w:t>
            </w:r>
          </w:p>
        </w:tc>
        <w:tc>
          <w:tcPr>
            <w:tcW w:w="2547" w:type="dxa"/>
            <w:vMerge w:val="restart"/>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投标人名称</w:t>
            </w:r>
          </w:p>
        </w:tc>
        <w:tc>
          <w:tcPr>
            <w:tcW w:w="2730" w:type="dxa"/>
            <w:gridSpan w:val="2"/>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w:t>
            </w:r>
          </w:p>
        </w:tc>
        <w:tc>
          <w:tcPr>
            <w:tcW w:w="1682" w:type="dxa"/>
            <w:vMerge w:val="restart"/>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lang w:val="en-US" w:eastAsia="zh-CN"/>
              </w:rPr>
              <w:t>合同履行期限</w:t>
            </w:r>
          </w:p>
        </w:tc>
        <w:tc>
          <w:tcPr>
            <w:tcW w:w="1286" w:type="dxa"/>
            <w:vMerge w:val="restart"/>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lang w:val="en-US" w:eastAsia="zh-CN"/>
              </w:rPr>
              <w:t>服务地点</w:t>
            </w:r>
          </w:p>
        </w:tc>
        <w:tc>
          <w:tcPr>
            <w:tcW w:w="1032" w:type="dxa"/>
            <w:vMerge w:val="restart"/>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87" w:type="dxa"/>
            <w:vMerge w:val="continue"/>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2547" w:type="dxa"/>
            <w:vMerge w:val="continue"/>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65"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大写</w:t>
            </w:r>
          </w:p>
        </w:tc>
        <w:tc>
          <w:tcPr>
            <w:tcW w:w="1365"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小写</w:t>
            </w:r>
          </w:p>
        </w:tc>
        <w:tc>
          <w:tcPr>
            <w:tcW w:w="1682" w:type="dxa"/>
            <w:vMerge w:val="continue"/>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86" w:type="dxa"/>
            <w:vMerge w:val="continue"/>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032" w:type="dxa"/>
            <w:vMerge w:val="continue"/>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2" w:hRule="atLeast"/>
          <w:jc w:val="center"/>
        </w:trPr>
        <w:tc>
          <w:tcPr>
            <w:tcW w:w="587"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2547"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65"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65"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682"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86"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032" w:type="dxa"/>
            <w:vAlign w:val="center"/>
          </w:tcPr>
          <w:p>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bl>
    <w:p>
      <w:pPr>
        <w:keepNext w:val="0"/>
        <w:keepLines w:val="0"/>
        <w:pageBreakBefore w:val="0"/>
        <w:widowControl w:val="0"/>
        <w:kinsoku/>
        <w:wordWrap w:val="0"/>
        <w:overflowPunct/>
        <w:topLinePunct/>
        <w:autoSpaceDE/>
        <w:autoSpaceDN/>
        <w:bidi w:val="0"/>
        <w:adjustRightInd w:val="0"/>
        <w:spacing w:line="360" w:lineRule="auto"/>
        <w:jc w:val="left"/>
        <w:textAlignment w:val="auto"/>
        <w:rPr>
          <w:rFonts w:hint="eastAsia" w:ascii="宋体" w:hAnsi="宋体" w:eastAsia="宋体" w:cs="宋体"/>
          <w:b w:val="0"/>
          <w:bCs/>
          <w:color w:val="000000"/>
          <w:kern w:val="0"/>
          <w:sz w:val="21"/>
          <w:szCs w:val="21"/>
          <w:highlight w:val="none"/>
        </w:rPr>
      </w:pPr>
    </w:p>
    <w:p>
      <w:pPr>
        <w:keepNext w:val="0"/>
        <w:keepLines w:val="0"/>
        <w:pageBreakBefore w:val="0"/>
        <w:widowControl w:val="0"/>
        <w:kinsoku/>
        <w:wordWrap w:val="0"/>
        <w:overflowPunct/>
        <w:topLinePunct/>
        <w:autoSpaceDE/>
        <w:autoSpaceDN/>
        <w:bidi w:val="0"/>
        <w:adjustRightIn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kern w:val="0"/>
          <w:sz w:val="21"/>
          <w:szCs w:val="21"/>
          <w:highlight w:val="none"/>
        </w:rPr>
        <w:t>注：</w:t>
      </w:r>
      <w:r>
        <w:rPr>
          <w:rFonts w:hint="eastAsia" w:ascii="宋体" w:hAnsi="宋体" w:eastAsia="宋体" w:cs="宋体"/>
          <w:b w:val="0"/>
          <w:bCs/>
          <w:color w:val="000000"/>
          <w:sz w:val="21"/>
          <w:szCs w:val="21"/>
          <w:highlight w:val="none"/>
        </w:rPr>
        <w:t>此表中投标报价应和《投标分项报价表》中的总价相一致。</w:t>
      </w:r>
    </w:p>
    <w:p>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color w:val="000000"/>
          <w:sz w:val="21"/>
          <w:szCs w:val="21"/>
          <w:highlight w:val="none"/>
          <w:lang w:val="zh-CN"/>
        </w:rPr>
      </w:pP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zh-CN"/>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bookmarkStart w:id="869" w:name="_Toc226965832"/>
      <w:bookmarkStart w:id="870" w:name="_Toc305158901"/>
      <w:bookmarkStart w:id="871" w:name="_Toc265228397"/>
      <w:bookmarkStart w:id="872" w:name="_Toc226309803"/>
      <w:bookmarkStart w:id="873" w:name="_Toc305158827"/>
      <w:bookmarkStart w:id="874" w:name="_Toc150480796"/>
      <w:bookmarkStart w:id="875" w:name="_Toc264969249"/>
      <w:bookmarkStart w:id="876" w:name="_Toc127151558"/>
      <w:bookmarkStart w:id="877" w:name="_Toc150774763"/>
      <w:bookmarkStart w:id="878" w:name="_Toc142311060"/>
      <w:bookmarkStart w:id="879" w:name="_Toc226965749"/>
      <w:bookmarkStart w:id="880" w:name="_Toc195842924"/>
      <w:bookmarkStart w:id="881" w:name="_Toc226337255"/>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4  投标分项报价表</w:t>
      </w:r>
      <w:bookmarkEnd w:id="869"/>
      <w:bookmarkEnd w:id="870"/>
      <w:bookmarkEnd w:id="871"/>
      <w:bookmarkEnd w:id="872"/>
      <w:bookmarkEnd w:id="873"/>
      <w:bookmarkEnd w:id="874"/>
      <w:bookmarkEnd w:id="875"/>
      <w:bookmarkEnd w:id="876"/>
      <w:bookmarkEnd w:id="877"/>
      <w:bookmarkEnd w:id="878"/>
      <w:bookmarkEnd w:id="879"/>
      <w:bookmarkEnd w:id="880"/>
      <w:bookmarkEnd w:id="881"/>
      <w:r>
        <w:rPr>
          <w:rFonts w:hint="eastAsia" w:ascii="宋体" w:hAnsi="宋体" w:eastAsia="宋体" w:cs="宋体"/>
          <w:b w:val="0"/>
          <w:bCs/>
          <w:color w:val="000000"/>
          <w:sz w:val="21"/>
          <w:szCs w:val="21"/>
          <w:highlight w:val="none"/>
        </w:rPr>
        <w:t>（实质性格式）</w:t>
      </w:r>
    </w:p>
    <w:p>
      <w:pPr>
        <w:pStyle w:val="56"/>
        <w:keepNext w:val="0"/>
        <w:keepLines w:val="0"/>
        <w:pageBreakBefore w:val="0"/>
        <w:widowControl w:val="0"/>
        <w:kinsoku/>
        <w:wordWrap w:val="0"/>
        <w:overflowPunct/>
        <w:topLinePunct/>
        <w:autoSpaceDE/>
        <w:autoSpaceDN/>
        <w:bidi w:val="0"/>
        <w:snapToGrid/>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投标分项报价表</w:t>
      </w: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项目编号：</w:t>
      </w: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项目名称：</w:t>
      </w: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报价单位：人民币元</w:t>
      </w:r>
    </w:p>
    <w:tbl>
      <w:tblPr>
        <w:tblStyle w:val="45"/>
        <w:tblW w:w="9665" w:type="dxa"/>
        <w:tblInd w:w="-27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0"/>
        <w:gridCol w:w="1583"/>
        <w:gridCol w:w="4967"/>
        <w:gridCol w:w="1283"/>
        <w:gridCol w:w="11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序号</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名称</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工作内容</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金额（元）</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1</w:t>
            </w:r>
          </w:p>
        </w:tc>
        <w:tc>
          <w:tcPr>
            <w:tcW w:w="1583" w:type="dxa"/>
            <w:tcBorders>
              <w:top w:val="nil"/>
              <w:left w:val="nil"/>
              <w:bottom w:val="nil"/>
              <w:right w:val="nil"/>
            </w:tcBorders>
            <w:shd w:val="clear" w:color="auto" w:fill="auto"/>
            <w:noWrap/>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网格巡查管理服务（13人）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在规定工作时间和负责的工作区域内进行巡查、城市管理问题进行收集和上报；接受镇市民诉求处置中心指令，对各事件相关问题进行核实；对各部门处置后事件进行确认并反馈至市民诉求处置中心。</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社会面防控辅助服务（12人）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协助检查治安安保、交通、出租大院、各类安全隐患等；对小区内私拉电线、高空抛物等行为进行检查、制止。</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3</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就业辅助服务（10人）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对镇域内村居民就业、社保工作等辅助性事务。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4</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法律咨询服务（5人）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对镇域内企业职工、村居民进行法律法规特别是劳动法律法规的宣传教育与培训；为企业职工、村居民提供法律法规咨询服务。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5</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文化宣传辅助服务（8人）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围绕全镇工作重点进行选题策划，及时对全镇亮点工作进行宣传报道，完成镇重要会议、重要活动等日常重大工作的报道和宣传内容的发布工作；</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6</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垃圾分类治理服务（10人）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协助监督镇域内垃圾分类治理情况；协助检查镇域内垃圾分类亭、公示牌、指引牌等硬件设施情况。</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7</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城市管理辅助服务（12人）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在规定的工作时间和负责工作区域内与城管执法人员一起参与执法，配合执法人员从事宣传教育、巡查、信息收集、违法行为劝阻等辅助性事务。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8</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违建整治辅助服务（7人）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协助巡查镇域违规建筑、违规圈占等情况进行劝阻等辅助性事务。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9</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日常工作保障管理人员（12人）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负责每月区级下发台账进行小镇、协调处理问题，撰写科室内各类工作报告；协助科室处理网格化平台案卷结案工作；负责科室安排的其他临时工作。</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10</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应急值守服务（15人）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参加镇内日常值班工作，配合镇领导在镇域内进行夜间检查；遇重度污染天气时参与24小时值班。</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11</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管理费</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left"/>
              <w:rPr>
                <w:rFonts w:hint="eastAsia" w:ascii="宋体" w:hAnsi="宋体" w:eastAsia="宋体" w:cs="宋体"/>
                <w:b w:val="0"/>
                <w:bCs/>
                <w:i w:val="0"/>
                <w:iCs w:val="0"/>
                <w:color w:val="000000"/>
                <w:sz w:val="21"/>
                <w:szCs w:val="21"/>
                <w:highlight w:val="none"/>
                <w:u w:val="none"/>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12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left"/>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利润</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left"/>
              <w:rPr>
                <w:rFonts w:hint="eastAsia" w:ascii="宋体" w:hAnsi="宋体" w:eastAsia="宋体" w:cs="宋体"/>
                <w:b w:val="0"/>
                <w:bCs/>
                <w:i w:val="0"/>
                <w:iCs w:val="0"/>
                <w:color w:val="000000"/>
                <w:sz w:val="21"/>
                <w:szCs w:val="21"/>
                <w:highlight w:val="none"/>
                <w:u w:val="none"/>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2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val="0"/>
              <w:overflowPunct/>
              <w:topLinePunct/>
              <w:autoSpaceDE/>
              <w:autoSpaceDN/>
              <w:bidi w:val="0"/>
              <w:snapToGrid/>
              <w:spacing w:line="360" w:lineRule="auto"/>
              <w:jc w:val="center"/>
              <w:textAlignment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kern w:val="0"/>
                <w:sz w:val="21"/>
                <w:szCs w:val="21"/>
                <w:highlight w:val="none"/>
                <w:u w:val="none"/>
                <w:lang w:val="en-US" w:eastAsia="zh-CN" w:bidi="ar"/>
              </w:rPr>
              <w:t>合计（元）</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val="0"/>
              <w:overflowPunct/>
              <w:topLinePunct/>
              <w:autoSpaceDE/>
              <w:autoSpaceDN/>
              <w:bidi w:val="0"/>
              <w:snapToGrid/>
              <w:spacing w:line="360" w:lineRule="auto"/>
              <w:jc w:val="center"/>
              <w:rPr>
                <w:rFonts w:hint="eastAsia" w:ascii="宋体" w:hAnsi="宋体" w:eastAsia="宋体" w:cs="宋体"/>
                <w:b w:val="0"/>
                <w:bCs/>
                <w:i w:val="0"/>
                <w:iCs w:val="0"/>
                <w:color w:val="000000"/>
                <w:sz w:val="21"/>
                <w:szCs w:val="21"/>
                <w:highlight w:val="none"/>
                <w:u w:val="none"/>
              </w:rPr>
            </w:pPr>
          </w:p>
        </w:tc>
      </w:tr>
    </w:tbl>
    <w:p>
      <w:pPr>
        <w:pStyle w:val="56"/>
        <w:keepNext w:val="0"/>
        <w:keepLines w:val="0"/>
        <w:pageBreakBefore w:val="0"/>
        <w:widowControl w:val="0"/>
        <w:kinsoku/>
        <w:wordWrap w:val="0"/>
        <w:overflowPunct/>
        <w:topLinePunct/>
        <w:autoSpaceDE/>
        <w:autoSpaceDN/>
        <w:bidi w:val="0"/>
        <w:snapToGrid/>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注：</w:t>
      </w: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rPr>
        <w:t>.如果不提供分项报价将视为没有实质性响应招标文件。</w:t>
      </w:r>
    </w:p>
    <w:p>
      <w:pPr>
        <w:keepNext w:val="0"/>
        <w:keepLines w:val="0"/>
        <w:pageBreakBefore w:val="0"/>
        <w:widowControl w:val="0"/>
        <w:tabs>
          <w:tab w:val="left" w:pos="1800"/>
          <w:tab w:val="left" w:pos="5580"/>
        </w:tabs>
        <w:kinsoku/>
        <w:wordWrap w:val="0"/>
        <w:overflowPunct/>
        <w:topLinePunct/>
        <w:autoSpaceDE/>
        <w:autoSpaceDN/>
        <w:bidi w:val="0"/>
        <w:snapToGrid/>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.上述各项的详细规格（如有），可另页描述。</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color w:val="000000"/>
          <w:sz w:val="21"/>
          <w:szCs w:val="21"/>
          <w:highlight w:val="none"/>
          <w:lang w:val="zh-CN"/>
        </w:rPr>
      </w:pP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sectPr>
          <w:pgSz w:w="11907" w:h="16840"/>
          <w:pgMar w:top="1418" w:right="1134" w:bottom="1418" w:left="1701" w:header="851" w:footer="851" w:gutter="0"/>
          <w:pgNumType w:fmt="decimal"/>
          <w:cols w:space="720" w:num="1"/>
          <w:docGrid w:linePitch="462" w:charSpace="0"/>
        </w:sectPr>
      </w:pPr>
      <w:bookmarkStart w:id="882" w:name="_Toc150774765"/>
      <w:bookmarkStart w:id="883" w:name="_Toc265228400"/>
      <w:bookmarkStart w:id="884" w:name="_Toc195842927"/>
      <w:bookmarkStart w:id="885" w:name="_Toc226965752"/>
      <w:bookmarkStart w:id="886" w:name="_Toc305158830"/>
      <w:bookmarkStart w:id="887" w:name="_Toc305158904"/>
      <w:bookmarkStart w:id="888" w:name="_Toc127151562"/>
      <w:bookmarkStart w:id="889" w:name="_Toc226309806"/>
      <w:bookmarkStart w:id="890" w:name="_Toc264969252"/>
      <w:bookmarkStart w:id="891" w:name="_Toc142311062"/>
      <w:bookmarkStart w:id="892" w:name="_Toc226965835"/>
      <w:bookmarkStart w:id="893" w:name="_Toc150480798"/>
      <w:bookmarkStart w:id="894" w:name="_Toc226337258"/>
      <w:bookmarkStart w:id="895" w:name="_Toc226337257"/>
      <w:bookmarkStart w:id="896" w:name="_Toc195842926"/>
      <w:bookmarkStart w:id="897" w:name="_Toc127151561"/>
      <w:bookmarkStart w:id="898" w:name="_Toc265228399"/>
      <w:bookmarkStart w:id="899" w:name="_Toc226965751"/>
      <w:bookmarkStart w:id="900" w:name="_Toc305158903"/>
      <w:bookmarkStart w:id="901" w:name="_Toc226309805"/>
      <w:bookmarkStart w:id="902" w:name="_Toc150480797"/>
      <w:bookmarkStart w:id="903" w:name="_Toc150774764"/>
      <w:bookmarkStart w:id="904" w:name="_Toc226965834"/>
      <w:bookmarkStart w:id="905" w:name="_Toc305158829"/>
      <w:bookmarkStart w:id="906" w:name="_Toc142311061"/>
      <w:bookmarkStart w:id="907" w:name="_Toc264969251"/>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5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hint="eastAsia" w:ascii="宋体" w:hAnsi="宋体" w:eastAsia="宋体" w:cs="宋体"/>
          <w:b w:val="0"/>
          <w:bCs/>
          <w:color w:val="000000"/>
          <w:sz w:val="21"/>
          <w:szCs w:val="21"/>
          <w:highlight w:val="none"/>
        </w:rPr>
        <w:t>（实质性格式）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tabs>
          <w:tab w:val="left" w:pos="2775"/>
          <w:tab w:val="center" w:pos="4153"/>
        </w:tabs>
        <w:kinsoku/>
        <w:wordWrap w:val="0"/>
        <w:overflowPunct/>
        <w:topLinePunct/>
        <w:autoSpaceDE/>
        <w:autoSpaceDN/>
        <w:bidi w:val="0"/>
        <w:adjustRightIn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合同条款偏离表</w:t>
      </w:r>
    </w:p>
    <w:p>
      <w:pPr>
        <w:keepNext w:val="0"/>
        <w:keepLines w:val="0"/>
        <w:pageBreakBefore w:val="0"/>
        <w:widowControl w:val="0"/>
        <w:tabs>
          <w:tab w:val="left" w:pos="1800"/>
          <w:tab w:val="left" w:pos="5580"/>
        </w:tabs>
        <w:kinsoku/>
        <w:wordWrap w:val="0"/>
        <w:overflowPunct/>
        <w:topLinePunct/>
        <w:autoSpaceDE/>
        <w:autoSpaceDN/>
        <w:bidi w:val="0"/>
        <w:spacing w:line="360" w:lineRule="auto"/>
        <w:ind w:firstLine="315" w:firstLineChars="150"/>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项目编号：</w:t>
      </w:r>
    </w:p>
    <w:p>
      <w:pPr>
        <w:keepNext w:val="0"/>
        <w:keepLines w:val="0"/>
        <w:pageBreakBefore w:val="0"/>
        <w:widowControl w:val="0"/>
        <w:tabs>
          <w:tab w:val="left" w:pos="1800"/>
          <w:tab w:val="left" w:pos="5580"/>
        </w:tabs>
        <w:kinsoku/>
        <w:wordWrap w:val="0"/>
        <w:overflowPunct/>
        <w:topLinePunct/>
        <w:autoSpaceDE/>
        <w:autoSpaceDN/>
        <w:bidi w:val="0"/>
        <w:spacing w:line="360" w:lineRule="auto"/>
        <w:ind w:firstLine="315" w:firstLineChars="150"/>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项目名称：</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88" w:type="dxa"/>
            <w:gridSpan w:val="6"/>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对本项目合同条款的偏离情况（请进行勾选）：</w:t>
            </w:r>
          </w:p>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□无偏离（如无偏离，仅勾选无偏离即可）</w:t>
            </w:r>
          </w:p>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□有偏离（如有偏离，则应在本表中对偏离项逐一列明）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序号</w:t>
            </w:r>
          </w:p>
        </w:tc>
        <w:tc>
          <w:tcPr>
            <w:tcW w:w="129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招标文件条目号（页码）</w:t>
            </w:r>
          </w:p>
        </w:tc>
        <w:tc>
          <w:tcPr>
            <w:tcW w:w="198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招标文件要求</w:t>
            </w:r>
          </w:p>
        </w:tc>
        <w:tc>
          <w:tcPr>
            <w:tcW w:w="19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投标文件内容</w:t>
            </w:r>
          </w:p>
        </w:tc>
        <w:tc>
          <w:tcPr>
            <w:tcW w:w="242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偏离情况</w:t>
            </w:r>
          </w:p>
        </w:tc>
        <w:tc>
          <w:tcPr>
            <w:tcW w:w="7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29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42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7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29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42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7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29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42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7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29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1"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9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42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7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bl>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注：</w:t>
      </w: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1.</w:t>
      </w:r>
      <w:r>
        <w:rPr>
          <w:rFonts w:hint="eastAsia" w:ascii="宋体" w:hAnsi="宋体" w:eastAsia="宋体" w:cs="宋体"/>
          <w:b w:val="0"/>
          <w:bCs/>
          <w:sz w:val="21"/>
          <w:szCs w:val="21"/>
          <w:highlight w:val="none"/>
        </w:rPr>
        <w:t>对合同条款中的所有要求，除本表所列明的所有偏离外，均视作供应商已对之理解和响应。</w:t>
      </w: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sz w:val="21"/>
          <w:szCs w:val="21"/>
          <w:highlight w:val="none"/>
        </w:rPr>
        <w:t>2.“偏离情况”列应</w:t>
      </w:r>
      <w:r>
        <w:rPr>
          <w:rFonts w:hint="eastAsia" w:ascii="宋体" w:hAnsi="宋体" w:eastAsia="宋体" w:cs="宋体"/>
          <w:b w:val="0"/>
          <w:bCs/>
          <w:color w:val="000000"/>
          <w:sz w:val="21"/>
          <w:szCs w:val="21"/>
          <w:highlight w:val="none"/>
        </w:rPr>
        <w:t>据实</w:t>
      </w:r>
      <w:r>
        <w:rPr>
          <w:rFonts w:hint="eastAsia" w:ascii="宋体" w:hAnsi="宋体" w:eastAsia="宋体" w:cs="宋体"/>
          <w:b w:val="0"/>
          <w:bCs/>
          <w:sz w:val="21"/>
          <w:szCs w:val="21"/>
          <w:highlight w:val="none"/>
        </w:rPr>
        <w:t>填写“正偏离”或“负偏离”。</w:t>
      </w:r>
    </w:p>
    <w:p>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r>
      <w:r>
        <w:rPr>
          <w:rFonts w:hint="eastAsia" w:ascii="宋体" w:hAnsi="宋体" w:eastAsia="宋体" w:cs="宋体"/>
          <w:b w:val="0"/>
          <w:bCs/>
          <w:color w:val="000000"/>
          <w:sz w:val="21"/>
          <w:szCs w:val="21"/>
          <w:highlight w:val="none"/>
        </w:rPr>
        <w:t xml:space="preserve">6  </w:t>
      </w:r>
      <w:bookmarkEnd w:id="895"/>
      <w:bookmarkEnd w:id="896"/>
      <w:bookmarkEnd w:id="897"/>
      <w:bookmarkEnd w:id="898"/>
      <w:bookmarkEnd w:id="899"/>
      <w:bookmarkEnd w:id="900"/>
      <w:bookmarkEnd w:id="901"/>
      <w:bookmarkEnd w:id="902"/>
      <w:bookmarkEnd w:id="903"/>
      <w:bookmarkEnd w:id="904"/>
      <w:bookmarkEnd w:id="905"/>
      <w:bookmarkEnd w:id="906"/>
      <w:bookmarkEnd w:id="907"/>
      <w:r>
        <w:rPr>
          <w:rFonts w:hint="eastAsia" w:ascii="宋体" w:hAnsi="宋体" w:eastAsia="宋体" w:cs="宋体"/>
          <w:b w:val="0"/>
          <w:bCs/>
          <w:color w:val="000000"/>
          <w:sz w:val="21"/>
          <w:szCs w:val="21"/>
          <w:highlight w:val="none"/>
        </w:rPr>
        <w:t>采购需求偏离表（实质性格式）</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adjustRightIn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采购需求偏离表</w:t>
      </w: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项目编号：</w:t>
      </w: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u w:val="single"/>
        </w:rPr>
      </w:pPr>
      <w:r>
        <w:rPr>
          <w:rFonts w:hint="eastAsia" w:ascii="宋体" w:hAnsi="宋体" w:eastAsia="宋体" w:cs="宋体"/>
          <w:b w:val="0"/>
          <w:bCs/>
          <w:color w:val="000000"/>
          <w:sz w:val="21"/>
          <w:szCs w:val="21"/>
          <w:highlight w:val="none"/>
        </w:rPr>
        <w:t>项目名称：</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序号</w:t>
            </w: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招标文件条目号(页码)</w:t>
            </w: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招标文件要求</w:t>
            </w: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投标响应内容</w:t>
            </w: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偏离情况</w:t>
            </w: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482"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384"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2126"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875"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c>
          <w:tcPr>
            <w:tcW w:w="1009" w:type="dxa"/>
            <w:vAlign w:val="center"/>
          </w:tcPr>
          <w:p>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color w:val="000000"/>
                <w:sz w:val="21"/>
                <w:szCs w:val="21"/>
                <w:highlight w:val="none"/>
              </w:rPr>
            </w:pPr>
          </w:p>
        </w:tc>
      </w:tr>
    </w:tbl>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注：</w:t>
      </w:r>
    </w:p>
    <w:p>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rPr>
        <w:t>对招标文件中的所有商务、技术要求，如存在偏离情况，请在此表中逐一详细列明，并在“偏离情况”列据实填写“正偏离”或“负偏离”</w:t>
      </w:r>
    </w:p>
    <w:p>
      <w:pPr>
        <w:pStyle w:val="56"/>
        <w:keepNext w:val="0"/>
        <w:keepLines w:val="0"/>
        <w:pageBreakBefore w:val="0"/>
        <w:widowControl w:val="0"/>
        <w:numPr>
          <w:ilvl w:val="0"/>
          <w:numId w:val="0"/>
        </w:numPr>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如对招标文件中的所有商务、技术要求均不存在偏离情况，可不一一列示，在“偏离情况”列填写“全部响应，无偏离”。</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color w:val="000000"/>
          <w:sz w:val="21"/>
          <w:szCs w:val="21"/>
          <w:highlight w:val="none"/>
          <w:lang w:val="zh-CN"/>
        </w:rPr>
      </w:pPr>
    </w:p>
    <w:p>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color w:val="000000"/>
          <w:sz w:val="21"/>
          <w:szCs w:val="21"/>
          <w:highlight w:val="none"/>
        </w:rPr>
        <w:br w:type="page"/>
      </w:r>
      <w:r>
        <w:rPr>
          <w:rFonts w:hint="eastAsia" w:ascii="宋体" w:hAnsi="宋体" w:eastAsia="宋体" w:cs="宋体"/>
          <w:b w:val="0"/>
          <w:bCs/>
          <w:color w:val="000000"/>
          <w:sz w:val="21"/>
          <w:szCs w:val="21"/>
          <w:highlight w:val="none"/>
          <w:lang w:val="en-US" w:eastAsia="zh-CN"/>
        </w:rPr>
        <w:t>7</w:t>
      </w:r>
      <w:r>
        <w:rPr>
          <w:rFonts w:hint="eastAsia" w:ascii="宋体" w:hAnsi="宋体" w:eastAsia="宋体" w:cs="宋体"/>
          <w:b w:val="0"/>
          <w:bCs/>
          <w:color w:val="000000"/>
          <w:sz w:val="21"/>
          <w:szCs w:val="21"/>
          <w:highlight w:val="none"/>
        </w:rPr>
        <w:t xml:space="preserve">  招标文件要求提供或投标人认为应附的其他材料</w:t>
      </w:r>
      <w:bookmarkStart w:id="908" w:name="_Toc16280"/>
    </w:p>
    <w:p>
      <w:pPr>
        <w:keepNext w:val="0"/>
        <w:keepLines w:val="0"/>
        <w:pageBreakBefore w:val="0"/>
        <w:widowControl w:val="0"/>
        <w:kinsoku/>
        <w:wordWrap w:val="0"/>
        <w:overflowPunct/>
        <w:topLinePunct/>
        <w:autoSpaceDE/>
        <w:autoSpaceDN/>
        <w:bidi w:val="0"/>
        <w:spacing w:before="120" w:after="120" w:line="360" w:lineRule="auto"/>
        <w:ind w:left="0" w:leftChars="0" w:firstLine="0" w:firstLineChars="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color w:val="000000"/>
          <w:kern w:val="2"/>
          <w:sz w:val="21"/>
          <w:szCs w:val="21"/>
          <w:highlight w:val="none"/>
          <w:lang w:val="en-US" w:eastAsia="zh-CN" w:bidi="ar-SA"/>
        </w:rPr>
        <w:t>7-1 投标人的项目管理组织机构</w:t>
      </w:r>
    </w:p>
    <w:p>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7-1-1 项目负责人简历表</w:t>
      </w:r>
    </w:p>
    <w:p>
      <w:pPr>
        <w:pStyle w:val="17"/>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7-1-2 </w:t>
      </w:r>
      <w:r>
        <w:rPr>
          <w:rFonts w:hint="eastAsia" w:ascii="宋体" w:hAnsi="宋体" w:eastAsia="宋体" w:cs="宋体"/>
          <w:b w:val="0"/>
          <w:bCs/>
          <w:sz w:val="21"/>
          <w:szCs w:val="21"/>
          <w:highlight w:val="none"/>
        </w:rPr>
        <w:t>项目管理组织机构情况表</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pPr>
    </w:p>
    <w:p>
      <w:pPr>
        <w:pStyle w:val="17"/>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sectPr>
          <w:pgSz w:w="11907" w:h="16840"/>
          <w:pgMar w:top="1418" w:right="1166" w:bottom="1418" w:left="1701" w:header="851" w:footer="851" w:gutter="0"/>
          <w:pgNumType w:fmt="decimal"/>
          <w:cols w:space="720" w:num="1"/>
          <w:docGrid w:linePitch="462" w:charSpace="0"/>
        </w:sectPr>
      </w:pPr>
    </w:p>
    <w:p>
      <w:pPr>
        <w:keepNext w:val="0"/>
        <w:keepLines w:val="0"/>
        <w:pageBreakBefore w:val="0"/>
        <w:widowControl w:val="0"/>
        <w:kinsoku/>
        <w:wordWrap w:val="0"/>
        <w:overflowPunct/>
        <w:topLinePunct/>
        <w:autoSpaceDE/>
        <w:autoSpaceDN/>
        <w:bidi w:val="0"/>
        <w:spacing w:line="360" w:lineRule="auto"/>
        <w:jc w:val="both"/>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lang w:val="en-US" w:eastAsia="zh-CN"/>
        </w:rPr>
        <w:t>7-1-1 项目负责人简历表</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pPr>
    </w:p>
    <w:p>
      <w:pPr>
        <w:pStyle w:val="17"/>
        <w:keepNext w:val="0"/>
        <w:keepLines w:val="0"/>
        <w:pageBreakBefore w:val="0"/>
        <w:widowControl w:val="0"/>
        <w:kinsoku/>
        <w:wordWrap w:val="0"/>
        <w:overflowPunct/>
        <w:topLinePunct/>
        <w:autoSpaceDE/>
        <w:autoSpaceDN/>
        <w:bidi w:val="0"/>
        <w:spacing w:line="360" w:lineRule="auto"/>
        <w:ind w:firstLine="210" w:firstLineChars="1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项目编号：</w:t>
      </w:r>
    </w:p>
    <w:p>
      <w:pPr>
        <w:pStyle w:val="17"/>
        <w:keepNext w:val="0"/>
        <w:keepLines w:val="0"/>
        <w:pageBreakBefore w:val="0"/>
        <w:widowControl w:val="0"/>
        <w:kinsoku/>
        <w:wordWrap w:val="0"/>
        <w:overflowPunct/>
        <w:topLinePunct/>
        <w:autoSpaceDE/>
        <w:autoSpaceDN/>
        <w:bidi w:val="0"/>
        <w:spacing w:line="360" w:lineRule="auto"/>
        <w:ind w:firstLine="210" w:firstLineChars="1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1254"/>
        <w:gridCol w:w="1727"/>
        <w:gridCol w:w="1162"/>
        <w:gridCol w:w="1463"/>
        <w:gridCol w:w="244"/>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姓 名</w:t>
            </w:r>
          </w:p>
        </w:tc>
        <w:tc>
          <w:tcPr>
            <w:tcW w:w="125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2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年 龄</w:t>
            </w:r>
          </w:p>
        </w:tc>
        <w:tc>
          <w:tcPr>
            <w:tcW w:w="1162"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463"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身份证号</w:t>
            </w:r>
          </w:p>
        </w:tc>
        <w:tc>
          <w:tcPr>
            <w:tcW w:w="1910"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学 历</w:t>
            </w:r>
          </w:p>
        </w:tc>
        <w:tc>
          <w:tcPr>
            <w:tcW w:w="1254"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2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职称（如有）</w:t>
            </w:r>
          </w:p>
        </w:tc>
        <w:tc>
          <w:tcPr>
            <w:tcW w:w="1162"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463"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职 务</w:t>
            </w:r>
          </w:p>
        </w:tc>
        <w:tc>
          <w:tcPr>
            <w:tcW w:w="1910"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8"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相关证书名称（如有）</w:t>
            </w:r>
          </w:p>
        </w:tc>
        <w:tc>
          <w:tcPr>
            <w:tcW w:w="4535" w:type="dxa"/>
            <w:gridSpan w:val="4"/>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8"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相关证书编号（如有）</w:t>
            </w:r>
          </w:p>
        </w:tc>
        <w:tc>
          <w:tcPr>
            <w:tcW w:w="4535" w:type="dxa"/>
            <w:gridSpan w:val="4"/>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毕业学校</w:t>
            </w:r>
          </w:p>
        </w:tc>
        <w:tc>
          <w:tcPr>
            <w:tcW w:w="7516" w:type="dxa"/>
            <w:gridSpan w:val="6"/>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03" w:type="dxa"/>
            <w:gridSpan w:val="7"/>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主要工作业绩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时  间</w:t>
            </w: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参加过的类似项目名称</w:t>
            </w: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项目概况说明</w:t>
            </w: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7"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4143" w:type="dxa"/>
            <w:gridSpan w:val="3"/>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707" w:type="dxa"/>
            <w:gridSpan w:val="2"/>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c>
          <w:tcPr>
            <w:tcW w:w="1666" w:type="dxa"/>
            <w:vAlign w:val="center"/>
          </w:tcPr>
          <w:p>
            <w:pPr>
              <w:keepNext w:val="0"/>
              <w:keepLines w:val="0"/>
              <w:pageBreakBefore w:val="0"/>
              <w:widowControl w:val="0"/>
              <w:kinsoku/>
              <w:wordWrap w:val="0"/>
              <w:overflowPunct/>
              <w:topLinePunct/>
              <w:autoSpaceDE/>
              <w:autoSpaceDN/>
              <w:bidi w:val="0"/>
              <w:spacing w:line="360" w:lineRule="auto"/>
              <w:jc w:val="center"/>
              <w:textAlignment w:val="auto"/>
              <w:outlineLvl w:val="2"/>
              <w:rPr>
                <w:rFonts w:hint="eastAsia" w:ascii="宋体" w:hAnsi="宋体" w:eastAsia="宋体" w:cs="宋体"/>
                <w:b w:val="0"/>
                <w:bCs/>
                <w:kern w:val="2"/>
                <w:sz w:val="21"/>
                <w:szCs w:val="21"/>
                <w:highlight w:val="none"/>
                <w:lang w:val="en-US" w:eastAsia="zh-CN" w:bidi="ar-SA"/>
              </w:rPr>
            </w:pPr>
          </w:p>
        </w:tc>
      </w:tr>
    </w:tbl>
    <w:p>
      <w:pPr>
        <w:keepNext w:val="0"/>
        <w:keepLines w:val="0"/>
        <w:pageBreakBefore w:val="0"/>
        <w:widowControl w:val="0"/>
        <w:kinsoku/>
        <w:wordWrap w:val="0"/>
        <w:overflowPunct/>
        <w:topLinePunct/>
        <w:autoSpaceDE/>
        <w:autoSpaceDN/>
        <w:bidi w:val="0"/>
        <w:spacing w:line="360" w:lineRule="auto"/>
        <w:jc w:val="left"/>
        <w:textAlignment w:val="auto"/>
        <w:outlineLvl w:val="2"/>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注：提供身份证、学历证、相关证书（如有）等证明文件的电子件或电子证照（加盖公章）</w:t>
      </w:r>
      <w:r>
        <w:rPr>
          <w:rFonts w:hint="eastAsia" w:ascii="宋体" w:hAnsi="宋体" w:eastAsia="宋体" w:cs="宋体"/>
          <w:b w:val="0"/>
          <w:bCs/>
          <w:sz w:val="21"/>
          <w:szCs w:val="21"/>
          <w:highlight w:val="none"/>
          <w:lang w:eastAsia="zh-CN"/>
        </w:rPr>
        <w:t>。</w:t>
      </w:r>
    </w:p>
    <w:p>
      <w:pPr>
        <w:pStyle w:val="17"/>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u w:val="single"/>
        </w:r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pStyle w:val="3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sectPr>
          <w:pgSz w:w="11907" w:h="16840"/>
          <w:pgMar w:top="1418" w:right="1134" w:bottom="1418" w:left="1701" w:header="851" w:footer="851" w:gutter="0"/>
          <w:pgNumType w:fmt="decimal"/>
          <w:cols w:space="720" w:num="1"/>
          <w:docGrid w:linePitch="462" w:charSpace="0"/>
        </w:sectPr>
      </w:pPr>
    </w:p>
    <w:bookmarkEnd w:id="908"/>
    <w:p>
      <w:pPr>
        <w:keepNext w:val="0"/>
        <w:keepLines w:val="0"/>
        <w:pageBreakBefore w:val="0"/>
        <w:widowControl w:val="0"/>
        <w:kinsoku/>
        <w:wordWrap w:val="0"/>
        <w:overflowPunct/>
        <w:topLinePunct/>
        <w:autoSpaceDE/>
        <w:autoSpaceDN/>
        <w:bidi w:val="0"/>
        <w:spacing w:line="360" w:lineRule="auto"/>
        <w:jc w:val="both"/>
        <w:textAlignment w:val="auto"/>
        <w:outlineLvl w:val="2"/>
        <w:rPr>
          <w:rFonts w:hint="eastAsia" w:ascii="宋体" w:hAnsi="宋体" w:eastAsia="宋体" w:cs="宋体"/>
          <w:b w:val="0"/>
          <w:bCs/>
          <w:kern w:val="2"/>
          <w:sz w:val="21"/>
          <w:szCs w:val="21"/>
          <w:highlight w:val="none"/>
          <w:lang w:val="en-US" w:eastAsia="zh-CN" w:bidi="ar-SA"/>
        </w:rPr>
      </w:pPr>
      <w:bookmarkStart w:id="909" w:name="_Toc4084"/>
      <w:bookmarkStart w:id="910" w:name="_Toc202069430"/>
      <w:bookmarkStart w:id="911" w:name="_Toc205612713"/>
      <w:bookmarkStart w:id="912" w:name="_Toc20201"/>
      <w:bookmarkStart w:id="913" w:name="_Toc205612642"/>
      <w:bookmarkStart w:id="914" w:name="_Toc287280580"/>
      <w:bookmarkStart w:id="915" w:name="_Toc201995952"/>
      <w:bookmarkStart w:id="916" w:name="_Toc194888463"/>
      <w:bookmarkStart w:id="917" w:name="_Toc182802966"/>
      <w:bookmarkStart w:id="918" w:name="_Toc54885221"/>
      <w:bookmarkStart w:id="919" w:name="_Toc32356"/>
      <w:bookmarkStart w:id="920" w:name="_Toc373513395"/>
      <w:bookmarkStart w:id="921" w:name="_Toc883"/>
      <w:bookmarkStart w:id="922" w:name="_Toc287280329"/>
      <w:bookmarkStart w:id="923" w:name="_Toc194883189"/>
      <w:r>
        <w:rPr>
          <w:rFonts w:hint="eastAsia" w:ascii="宋体" w:hAnsi="宋体" w:eastAsia="宋体" w:cs="宋体"/>
          <w:b w:val="0"/>
          <w:bCs/>
          <w:sz w:val="21"/>
          <w:szCs w:val="21"/>
          <w:highlight w:val="none"/>
          <w:lang w:val="en-US" w:eastAsia="zh-CN"/>
        </w:rPr>
        <w:t xml:space="preserve">7-1-2 </w:t>
      </w:r>
      <w:r>
        <w:rPr>
          <w:rFonts w:hint="eastAsia" w:ascii="宋体" w:hAnsi="宋体" w:eastAsia="宋体" w:cs="宋体"/>
          <w:b w:val="0"/>
          <w:bCs/>
          <w:sz w:val="21"/>
          <w:szCs w:val="21"/>
          <w:highlight w:val="none"/>
        </w:rPr>
        <w:t>项目管理组织机构情况表</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val="en-US" w:eastAsia="zh-CN"/>
        </w:rPr>
      </w:pPr>
    </w:p>
    <w:p>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项目编号：</w:t>
      </w:r>
    </w:p>
    <w:p>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项目名称：</w:t>
      </w:r>
    </w:p>
    <w:tbl>
      <w:tblPr>
        <w:tblStyle w:val="4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5"/>
        <w:gridCol w:w="906"/>
        <w:gridCol w:w="906"/>
        <w:gridCol w:w="906"/>
        <w:gridCol w:w="1373"/>
        <w:gridCol w:w="1305"/>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bookmarkStart w:id="924" w:name="_Toc74163783"/>
            <w:bookmarkStart w:id="925" w:name="_Toc74164051"/>
            <w:bookmarkStart w:id="926" w:name="_Toc73862741"/>
            <w:r>
              <w:rPr>
                <w:rFonts w:hint="eastAsia" w:ascii="宋体" w:hAnsi="宋体" w:eastAsia="宋体" w:cs="宋体"/>
                <w:b w:val="0"/>
                <w:bCs/>
                <w:sz w:val="21"/>
                <w:szCs w:val="21"/>
                <w:highlight w:val="none"/>
              </w:rPr>
              <w:t>拟担任</w:t>
            </w:r>
          </w:p>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职务、分工</w:t>
            </w: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姓名</w:t>
            </w: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学历</w:t>
            </w: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年龄</w:t>
            </w: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工作年限</w:t>
            </w: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相关证书</w:t>
            </w: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90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73"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30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c>
          <w:tcPr>
            <w:tcW w:w="127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p>
        </w:tc>
      </w:tr>
      <w:bookmarkEnd w:id="924"/>
      <w:bookmarkEnd w:id="925"/>
      <w:bookmarkEnd w:id="926"/>
    </w:tbl>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注：提供身份证、学历证、相关证书（如有）等证明文件的电子件或电子证照（加盖公章）</w:t>
      </w:r>
      <w:r>
        <w:rPr>
          <w:rFonts w:hint="eastAsia" w:ascii="宋体" w:hAnsi="宋体" w:eastAsia="宋体" w:cs="宋体"/>
          <w:b w:val="0"/>
          <w:bCs/>
          <w:sz w:val="21"/>
          <w:szCs w:val="21"/>
          <w:highlight w:val="none"/>
          <w:lang w:eastAsia="zh-CN"/>
        </w:rPr>
        <w:t>。</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u w:val="singl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bookmarkStart w:id="927" w:name="_Toc202069434"/>
      <w:bookmarkStart w:id="928" w:name="_Toc205612646"/>
      <w:bookmarkStart w:id="929" w:name="_Toc181504485"/>
      <w:bookmarkStart w:id="930" w:name="_Toc181326029"/>
      <w:bookmarkStart w:id="931" w:name="_Toc181864909"/>
      <w:bookmarkStart w:id="932" w:name="_Toc181326162"/>
      <w:bookmarkStart w:id="933" w:name="_Toc182802973"/>
      <w:bookmarkStart w:id="934" w:name="_Toc194888468"/>
      <w:bookmarkStart w:id="935" w:name="_Toc201995956"/>
      <w:bookmarkStart w:id="936" w:name="_Toc194883194"/>
      <w:bookmarkStart w:id="937" w:name="_Toc182205196"/>
      <w:bookmarkStart w:id="938" w:name="_Toc182205339"/>
      <w:bookmarkStart w:id="939" w:name="_Toc205612717"/>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pStyle w:val="23"/>
        <w:keepNext w:val="0"/>
        <w:keepLines w:val="0"/>
        <w:pageBreakBefore w:val="0"/>
        <w:widowControl w:val="0"/>
        <w:kinsoku/>
        <w:wordWrap w:val="0"/>
        <w:overflowPunct/>
        <w:topLinePunct/>
        <w:autoSpaceDE/>
        <w:autoSpaceDN/>
        <w:bidi w:val="0"/>
        <w:spacing w:line="360" w:lineRule="auto"/>
        <w:ind w:left="1029" w:hanging="1029" w:hangingChars="490"/>
        <w:textAlignment w:val="auto"/>
        <w:outlineLvl w:val="2"/>
        <w:rPr>
          <w:rFonts w:hint="eastAsia" w:ascii="宋体" w:hAnsi="宋体" w:eastAsia="宋体" w:cs="宋体"/>
          <w:b w:val="0"/>
          <w:bCs/>
          <w:sz w:val="21"/>
          <w:szCs w:val="21"/>
          <w:highlight w:val="none"/>
          <w:u w:val="single"/>
        </w:rPr>
        <w:sectPr>
          <w:type w:val="continuous"/>
          <w:pgSz w:w="11906" w:h="16838"/>
          <w:pgMar w:top="1417" w:right="1134" w:bottom="1417" w:left="1701" w:header="851" w:footer="850" w:gutter="0"/>
          <w:cols w:space="720" w:num="1"/>
          <w:docGrid w:type="lines" w:linePitch="312" w:charSpace="0"/>
        </w:sect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bookmarkEnd w:id="927"/>
    <w:bookmarkEnd w:id="928"/>
    <w:bookmarkEnd w:id="929"/>
    <w:bookmarkEnd w:id="930"/>
    <w:bookmarkEnd w:id="931"/>
    <w:bookmarkEnd w:id="932"/>
    <w:bookmarkEnd w:id="933"/>
    <w:bookmarkEnd w:id="934"/>
    <w:bookmarkEnd w:id="935"/>
    <w:bookmarkEnd w:id="936"/>
    <w:bookmarkEnd w:id="937"/>
    <w:bookmarkEnd w:id="938"/>
    <w:bookmarkEnd w:id="939"/>
    <w:p>
      <w:pPr>
        <w:keepNext w:val="0"/>
        <w:keepLines w:val="0"/>
        <w:pageBreakBefore w:val="0"/>
        <w:widowControl w:val="0"/>
        <w:kinsoku/>
        <w:wordWrap w:val="0"/>
        <w:overflowPunct/>
        <w:topLinePunct/>
        <w:autoSpaceDE/>
        <w:autoSpaceDN/>
        <w:bidi w:val="0"/>
        <w:spacing w:line="360" w:lineRule="auto"/>
        <w:jc w:val="both"/>
        <w:textAlignment w:val="auto"/>
        <w:outlineLvl w:val="1"/>
        <w:rPr>
          <w:rFonts w:hint="eastAsia" w:ascii="宋体" w:hAnsi="宋体" w:eastAsia="宋体" w:cs="宋体"/>
          <w:b w:val="0"/>
          <w:bCs/>
          <w:sz w:val="21"/>
          <w:szCs w:val="21"/>
          <w:highlight w:val="none"/>
        </w:rPr>
      </w:pPr>
      <w:r>
        <w:rPr>
          <w:rFonts w:hint="eastAsia" w:ascii="宋体" w:hAnsi="宋体" w:eastAsia="宋体" w:cs="宋体"/>
          <w:b w:val="0"/>
          <w:bCs/>
          <w:kern w:val="2"/>
          <w:sz w:val="21"/>
          <w:szCs w:val="21"/>
          <w:highlight w:val="none"/>
          <w:lang w:val="en-US" w:eastAsia="zh-CN" w:bidi="ar-SA"/>
        </w:rPr>
        <w:t xml:space="preserve">8  </w:t>
      </w:r>
      <w:r>
        <w:rPr>
          <w:rFonts w:hint="eastAsia" w:ascii="宋体" w:hAnsi="宋体" w:eastAsia="宋体" w:cs="宋体"/>
          <w:b w:val="0"/>
          <w:bCs/>
          <w:sz w:val="21"/>
          <w:szCs w:val="21"/>
          <w:highlight w:val="none"/>
        </w:rPr>
        <w:t>投标人类似项目业绩</w:t>
      </w:r>
    </w:p>
    <w:p>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项目编号：</w:t>
      </w:r>
    </w:p>
    <w:p>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559"/>
        <w:gridCol w:w="2367"/>
        <w:gridCol w:w="1950"/>
        <w:gridCol w:w="1665"/>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序号</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项目业主</w:t>
            </w: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项目名称</w:t>
            </w: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合同金额（万元）</w:t>
            </w: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合同签订时间</w:t>
            </w: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w:t>
            </w:r>
          </w:p>
        </w:tc>
        <w:tc>
          <w:tcPr>
            <w:tcW w:w="1559" w:type="dxa"/>
            <w:noWrap w:val="0"/>
            <w:vAlign w:val="top"/>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top"/>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top"/>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top"/>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top"/>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6" w:type="dxa"/>
            <w:noWrap w:val="0"/>
            <w:vAlign w:val="center"/>
          </w:tcPr>
          <w:p>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w:t>
            </w:r>
          </w:p>
        </w:tc>
        <w:tc>
          <w:tcPr>
            <w:tcW w:w="1559"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236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950"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1665"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c>
          <w:tcPr>
            <w:tcW w:w="977" w:type="dxa"/>
            <w:noWrap w:val="0"/>
            <w:vAlign w:val="center"/>
          </w:tcPr>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tc>
      </w:tr>
    </w:tbl>
    <w:p>
      <w:pPr>
        <w:keepNext w:val="0"/>
        <w:keepLines w:val="0"/>
        <w:pageBreakBefore w:val="0"/>
        <w:widowControl w:val="0"/>
        <w:tabs>
          <w:tab w:val="left" w:pos="5580"/>
        </w:tabs>
        <w:kinsoku/>
        <w:wordWrap w:val="0"/>
        <w:overflowPunct/>
        <w:topLinePunct/>
        <w:autoSpaceDE/>
        <w:autoSpaceDN/>
        <w:bidi w:val="0"/>
        <w:spacing w:line="360" w:lineRule="auto"/>
        <w:ind w:left="480" w:right="960"/>
        <w:textAlignment w:val="auto"/>
        <w:rPr>
          <w:rFonts w:hint="eastAsia" w:ascii="宋体" w:hAnsi="宋体" w:eastAsia="宋体" w:cs="宋体"/>
          <w:b w:val="0"/>
          <w:bCs/>
          <w:sz w:val="21"/>
          <w:szCs w:val="21"/>
          <w:highlight w:val="none"/>
        </w:rPr>
      </w:pPr>
    </w:p>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注：</w:t>
      </w:r>
    </w:p>
    <w:p>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.投标人近3年（</w:t>
      </w:r>
      <w:r>
        <w:rPr>
          <w:rFonts w:hint="eastAsia" w:ascii="宋体" w:hAnsi="宋体" w:cs="宋体"/>
          <w:b w:val="0"/>
          <w:bCs/>
          <w:sz w:val="21"/>
          <w:szCs w:val="21"/>
          <w:highlight w:val="none"/>
          <w:lang w:val="en-US" w:eastAsia="zh-CN"/>
        </w:rPr>
        <w:t>2020年12月20日至2023年12月19日</w:t>
      </w:r>
      <w:r>
        <w:rPr>
          <w:rFonts w:hint="eastAsia" w:ascii="宋体" w:hAnsi="宋体" w:eastAsia="宋体" w:cs="宋体"/>
          <w:b w:val="0"/>
          <w:bCs/>
          <w:sz w:val="21"/>
          <w:szCs w:val="21"/>
          <w:highlight w:val="none"/>
          <w:lang w:val="en-US" w:eastAsia="zh-CN"/>
        </w:rPr>
        <w:t>）的与本项目采购内容类似的项目业绩（需附合同关键页或中标/成交通知书电子件加盖本单位公章）。</w:t>
      </w:r>
    </w:p>
    <w:p>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w:t>
      </w:r>
      <w:r>
        <w:rPr>
          <w:rFonts w:hint="eastAsia" w:ascii="宋体" w:hAnsi="宋体" w:eastAsia="宋体" w:cs="宋体"/>
          <w:b w:val="0"/>
          <w:bCs/>
          <w:sz w:val="21"/>
          <w:szCs w:val="21"/>
          <w:highlight w:val="none"/>
          <w:lang w:val="en-US" w:eastAsia="zh-CN"/>
        </w:rPr>
        <w:t>.</w:t>
      </w:r>
      <w:r>
        <w:rPr>
          <w:rFonts w:hint="eastAsia" w:ascii="宋体" w:hAnsi="宋体" w:eastAsia="宋体" w:cs="宋体"/>
          <w:b w:val="0"/>
          <w:bCs/>
          <w:sz w:val="21"/>
          <w:szCs w:val="21"/>
          <w:highlight w:val="none"/>
        </w:rPr>
        <w:t>评标时如有必要，评标委员会将对此表进行信息核实，如提供虚假材料，有可能导致废标。</w:t>
      </w: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sz w:val="21"/>
          <w:szCs w:val="21"/>
          <w:highlight w:val="none"/>
        </w:rPr>
      </w:pPr>
    </w:p>
    <w:p>
      <w:pPr>
        <w:keepNext w:val="0"/>
        <w:keepLines w:val="0"/>
        <w:pageBreakBefore w:val="0"/>
        <w:widowControl w:val="0"/>
        <w:kinsoku/>
        <w:wordWrap w:val="0"/>
        <w:overflowPunct/>
        <w:topLinePunct/>
        <w:autoSpaceDE/>
        <w:autoSpaceDN/>
        <w:bidi w:val="0"/>
        <w:adjustRightInd w:val="0"/>
        <w:snapToGrid w:val="0"/>
        <w:spacing w:before="25" w:after="25" w:line="360" w:lineRule="auto"/>
        <w:jc w:val="left"/>
        <w:textAlignment w:val="auto"/>
        <w:rPr>
          <w:rFonts w:hint="eastAsia"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投标人名称（加盖公章）</w:t>
      </w:r>
      <w:r>
        <w:rPr>
          <w:rFonts w:hint="eastAsia" w:ascii="宋体" w:hAnsi="宋体" w:eastAsia="宋体" w:cs="宋体"/>
          <w:b w:val="0"/>
          <w:bCs/>
          <w:color w:val="000000"/>
          <w:sz w:val="21"/>
          <w:szCs w:val="21"/>
          <w:highlight w:val="none"/>
          <w:lang w:val="zh-CN"/>
        </w:rPr>
        <w:t>：</w:t>
      </w:r>
      <w:r>
        <w:rPr>
          <w:rFonts w:hint="eastAsia" w:ascii="宋体" w:hAnsi="宋体" w:eastAsia="宋体" w:cs="宋体"/>
          <w:b w:val="0"/>
          <w:bCs/>
          <w:color w:val="000000"/>
          <w:sz w:val="21"/>
          <w:szCs w:val="21"/>
          <w:highlight w:val="none"/>
          <w:u w:val="single"/>
          <w:lang w:val="en-US" w:eastAsia="zh-CN"/>
        </w:rPr>
        <w:t xml:space="preserve">           </w:t>
      </w: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sz w:val="21"/>
          <w:szCs w:val="21"/>
          <w:highlight w:val="none"/>
          <w:lang w:val="en-US" w:eastAsia="zh-CN"/>
        </w:rPr>
        <w:sectPr>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val="0"/>
          <w:bCs/>
          <w:color w:val="000000"/>
          <w:sz w:val="21"/>
          <w:szCs w:val="21"/>
          <w:highlight w:val="none"/>
        </w:rPr>
        <w:t>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年</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月</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日</w:t>
      </w: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jc w:val="both"/>
        <w:textAlignment w:val="auto"/>
        <w:rPr>
          <w:rFonts w:hint="eastAsia" w:ascii="宋体" w:hAnsi="宋体" w:eastAsia="宋体" w:cs="宋体"/>
          <w:b w:val="0"/>
          <w:bCs/>
          <w:kern w:val="2"/>
          <w:sz w:val="21"/>
          <w:szCs w:val="21"/>
          <w:highlight w:val="none"/>
          <w:lang w:val="en-US" w:eastAsia="zh-CN" w:bidi="ar-SA"/>
        </w:rPr>
        <w:sectPr>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val="0"/>
          <w:bCs/>
          <w:kern w:val="2"/>
          <w:sz w:val="21"/>
          <w:szCs w:val="21"/>
          <w:highlight w:val="none"/>
          <w:lang w:val="en-US" w:eastAsia="zh-CN" w:bidi="ar-SA"/>
        </w:rPr>
        <w:t>9  投标人认为需要提供的其他材料</w:t>
      </w:r>
    </w:p>
    <w:p>
      <w:pPr>
        <w:keepNext w:val="0"/>
        <w:keepLines w:val="0"/>
        <w:pageBreakBefore w:val="0"/>
        <w:widowControl w:val="0"/>
        <w:kinsoku/>
        <w:wordWrap w:val="0"/>
        <w:overflowPunct/>
        <w:topLinePunct/>
        <w:autoSpaceDE/>
        <w:autoSpaceDN/>
        <w:bidi w:val="0"/>
        <w:adjustRightInd w:val="0"/>
        <w:snapToGrid w:val="0"/>
        <w:spacing w:line="360" w:lineRule="auto"/>
        <w:jc w:val="both"/>
        <w:textAlignment w:val="auto"/>
        <w:outlineLvl w:val="9"/>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10  </w:t>
      </w:r>
      <w:r>
        <w:rPr>
          <w:rFonts w:hint="eastAsia" w:ascii="宋体" w:hAnsi="宋体" w:eastAsia="宋体" w:cs="宋体"/>
          <w:b w:val="0"/>
          <w:bCs/>
          <w:sz w:val="21"/>
          <w:szCs w:val="21"/>
          <w:highlight w:val="none"/>
        </w:rPr>
        <w:t>项目服务方案</w:t>
      </w:r>
    </w:p>
    <w:p>
      <w:pPr>
        <w:pStyle w:val="43"/>
        <w:keepNext w:val="0"/>
        <w:keepLines w:val="0"/>
        <w:pageBreakBefore w:val="0"/>
        <w:widowControl w:val="0"/>
        <w:kinsoku/>
        <w:wordWrap w:val="0"/>
        <w:overflowPunct/>
        <w:topLinePunct/>
        <w:autoSpaceDE/>
        <w:autoSpaceDN/>
        <w:bidi w:val="0"/>
        <w:spacing w:line="360" w:lineRule="auto"/>
        <w:ind w:left="0" w:leftChars="0" w:firstLine="0" w:firstLineChars="0"/>
        <w:jc w:val="center"/>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（格式自拟）</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Sitka Text Semibold">
    <w:panose1 w:val="00000000000000000000"/>
    <w:charset w:val="00"/>
    <w:family w:val="auto"/>
    <w:pitch w:val="default"/>
    <w:sig w:usb0="A00002EF" w:usb1="4000204B" w:usb2="00000000" w:usb3="00000000" w:csb0="2000019F" w:csb1="00000000"/>
  </w:font>
  <w:font w:name="Segoe UI Variable Display Light">
    <w:panose1 w:val="00000000000000000000"/>
    <w:charset w:val="00"/>
    <w:family w:val="auto"/>
    <w:pitch w:val="default"/>
    <w:sig w:usb0="A00002FF" w:usb1="0000000B" w:usb2="00000000" w:usb3="00000000" w:csb0="2000019F" w:csb1="00000000"/>
  </w:font>
  <w:font w:name="Segoe UI">
    <w:panose1 w:val="020B0502040204020203"/>
    <w:charset w:val="00"/>
    <w:family w:val="auto"/>
    <w:pitch w:val="default"/>
    <w:sig w:usb0="E4002EFF" w:usb1="C000E47F" w:usb2="00000009" w:usb3="00000000" w:csb0="200001FF" w:csb1="00000000"/>
  </w:font>
  <w:font w:name="Segoe Fluent Icons">
    <w:panose1 w:val="050A0102010101010101"/>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5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left="525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8"/>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8"/>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D9E4C2"/>
    <w:multiLevelType w:val="singleLevel"/>
    <w:tmpl w:val="D0D9E4C2"/>
    <w:lvl w:ilvl="0" w:tentative="0">
      <w:start w:val="4"/>
      <w:numFmt w:val="chineseCounting"/>
      <w:suff w:val="space"/>
      <w:lvlText w:val="第%1章"/>
      <w:lvlJc w:val="left"/>
      <w:rPr>
        <w:rFonts w:hint="eastAsia"/>
      </w:rPr>
    </w:lvl>
  </w:abstractNum>
  <w:abstractNum w:abstractNumId="1">
    <w:nsid w:val="E6ACF7E0"/>
    <w:multiLevelType w:val="singleLevel"/>
    <w:tmpl w:val="E6ACF7E0"/>
    <w:lvl w:ilvl="0" w:tentative="0">
      <w:start w:val="6"/>
      <w:numFmt w:val="chineseCounting"/>
      <w:suff w:val="nothing"/>
      <w:lvlText w:val="%1、"/>
      <w:lvlJc w:val="left"/>
      <w:rPr>
        <w:rFonts w:hint="eastAsia"/>
      </w:rPr>
    </w:lvl>
  </w:abstractNum>
  <w:abstractNum w:abstractNumId="2">
    <w:nsid w:val="EC0BB0C6"/>
    <w:multiLevelType w:val="singleLevel"/>
    <w:tmpl w:val="EC0BB0C6"/>
    <w:lvl w:ilvl="0" w:tentative="0">
      <w:start w:val="7"/>
      <w:numFmt w:val="chineseCounting"/>
      <w:suff w:val="nothing"/>
      <w:lvlText w:val="%1、"/>
      <w:lvlJc w:val="left"/>
      <w:rPr>
        <w:rFonts w:hint="eastAsia"/>
      </w:rPr>
    </w:lvl>
  </w:abstractNum>
  <w:abstractNum w:abstractNumId="3">
    <w:nsid w:val="FA0F1D6F"/>
    <w:multiLevelType w:val="singleLevel"/>
    <w:tmpl w:val="FA0F1D6F"/>
    <w:lvl w:ilvl="0" w:tentative="0">
      <w:start w:val="1"/>
      <w:numFmt w:val="decimal"/>
      <w:suff w:val="nothing"/>
      <w:lvlText w:val="（%1）"/>
      <w:lvlJc w:val="left"/>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49CAF12"/>
    <w:multiLevelType w:val="singleLevel"/>
    <w:tmpl w:val="149CAF12"/>
    <w:lvl w:ilvl="0" w:tentative="0">
      <w:start w:val="3"/>
      <w:numFmt w:val="chineseCounting"/>
      <w:suff w:val="space"/>
      <w:lvlText w:val="第%1章"/>
      <w:lvlJc w:val="left"/>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2"/>
  </w:num>
  <w:num w:numId="8">
    <w:abstractNumId w:val="10"/>
  </w:num>
  <w:num w:numId="9">
    <w:abstractNumId w:val="4"/>
  </w:num>
  <w:num w:numId="10">
    <w:abstractNumId w:val="14"/>
  </w:num>
  <w:num w:numId="11">
    <w:abstractNumId w:val="16"/>
  </w:num>
  <w:num w:numId="12">
    <w:abstractNumId w:val="0"/>
  </w:num>
  <w:num w:numId="13">
    <w:abstractNumId w:val="13"/>
  </w:num>
  <w:num w:numId="14">
    <w:abstractNumId w:val="17"/>
  </w:num>
  <w:num w:numId="15">
    <w:abstractNumId w:val="1"/>
  </w:num>
  <w:num w:numId="16">
    <w:abstractNumId w:val="2"/>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mVmM2NkNjU2MTYzNTZmNGRjMDhjMWFhZWNlZDAzZ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04981"/>
    <w:rsid w:val="012C6A62"/>
    <w:rsid w:val="014852B3"/>
    <w:rsid w:val="01632365"/>
    <w:rsid w:val="016F48DB"/>
    <w:rsid w:val="0192652E"/>
    <w:rsid w:val="01CF5268"/>
    <w:rsid w:val="020236B3"/>
    <w:rsid w:val="020E4B37"/>
    <w:rsid w:val="021533E7"/>
    <w:rsid w:val="02224E5E"/>
    <w:rsid w:val="02504B32"/>
    <w:rsid w:val="02731368"/>
    <w:rsid w:val="027C2F1A"/>
    <w:rsid w:val="02AF6722"/>
    <w:rsid w:val="02CC4B77"/>
    <w:rsid w:val="02DF1815"/>
    <w:rsid w:val="03093D9A"/>
    <w:rsid w:val="0317037B"/>
    <w:rsid w:val="03231B33"/>
    <w:rsid w:val="035E31C7"/>
    <w:rsid w:val="03870314"/>
    <w:rsid w:val="038B593F"/>
    <w:rsid w:val="039A6968"/>
    <w:rsid w:val="03A55682"/>
    <w:rsid w:val="03AB7BDA"/>
    <w:rsid w:val="03B3053A"/>
    <w:rsid w:val="042E5399"/>
    <w:rsid w:val="04626346"/>
    <w:rsid w:val="04730C2E"/>
    <w:rsid w:val="0482288A"/>
    <w:rsid w:val="04985BD3"/>
    <w:rsid w:val="049A5E25"/>
    <w:rsid w:val="04B602E9"/>
    <w:rsid w:val="04C609C8"/>
    <w:rsid w:val="04E46248"/>
    <w:rsid w:val="04E97B03"/>
    <w:rsid w:val="0516577E"/>
    <w:rsid w:val="05500BDA"/>
    <w:rsid w:val="055A4034"/>
    <w:rsid w:val="05606978"/>
    <w:rsid w:val="05BE1FE7"/>
    <w:rsid w:val="05DC2927"/>
    <w:rsid w:val="05ED6429"/>
    <w:rsid w:val="05F041C0"/>
    <w:rsid w:val="0614477E"/>
    <w:rsid w:val="062956B3"/>
    <w:rsid w:val="063469F7"/>
    <w:rsid w:val="064E0F7D"/>
    <w:rsid w:val="06563FCE"/>
    <w:rsid w:val="0687687D"/>
    <w:rsid w:val="06A579BF"/>
    <w:rsid w:val="06DF5D71"/>
    <w:rsid w:val="06E01ACB"/>
    <w:rsid w:val="06F7755F"/>
    <w:rsid w:val="070B6B66"/>
    <w:rsid w:val="07124C3B"/>
    <w:rsid w:val="07131EBF"/>
    <w:rsid w:val="072639A0"/>
    <w:rsid w:val="07603356"/>
    <w:rsid w:val="077F28B3"/>
    <w:rsid w:val="07E86BE9"/>
    <w:rsid w:val="08165F87"/>
    <w:rsid w:val="083A4976"/>
    <w:rsid w:val="08436395"/>
    <w:rsid w:val="084A51A2"/>
    <w:rsid w:val="08766BA9"/>
    <w:rsid w:val="08843074"/>
    <w:rsid w:val="08A97246"/>
    <w:rsid w:val="08C47915"/>
    <w:rsid w:val="08C77405"/>
    <w:rsid w:val="08D4315B"/>
    <w:rsid w:val="08F17FDE"/>
    <w:rsid w:val="09325D70"/>
    <w:rsid w:val="09410F65"/>
    <w:rsid w:val="09442803"/>
    <w:rsid w:val="094A6D04"/>
    <w:rsid w:val="097940F5"/>
    <w:rsid w:val="098D7276"/>
    <w:rsid w:val="09903C9B"/>
    <w:rsid w:val="09A84B40"/>
    <w:rsid w:val="09C444A3"/>
    <w:rsid w:val="09CB16BA"/>
    <w:rsid w:val="09E42506"/>
    <w:rsid w:val="09EF44EC"/>
    <w:rsid w:val="0A033204"/>
    <w:rsid w:val="0A0819A3"/>
    <w:rsid w:val="0A546366"/>
    <w:rsid w:val="0A7B64D2"/>
    <w:rsid w:val="0A843939"/>
    <w:rsid w:val="0A886720"/>
    <w:rsid w:val="0A8D0153"/>
    <w:rsid w:val="0AA755E9"/>
    <w:rsid w:val="0AB37C41"/>
    <w:rsid w:val="0ACA0AE6"/>
    <w:rsid w:val="0AF52007"/>
    <w:rsid w:val="0B081429"/>
    <w:rsid w:val="0B187589"/>
    <w:rsid w:val="0B2C1493"/>
    <w:rsid w:val="0B2D1E85"/>
    <w:rsid w:val="0B48482D"/>
    <w:rsid w:val="0B660C1A"/>
    <w:rsid w:val="0B6641F6"/>
    <w:rsid w:val="0B6A42E2"/>
    <w:rsid w:val="0B9A495D"/>
    <w:rsid w:val="0BE03E21"/>
    <w:rsid w:val="0BEF4CA9"/>
    <w:rsid w:val="0C45067E"/>
    <w:rsid w:val="0C502B44"/>
    <w:rsid w:val="0C6765FF"/>
    <w:rsid w:val="0C6A3E27"/>
    <w:rsid w:val="0C6B4883"/>
    <w:rsid w:val="0C7B0C28"/>
    <w:rsid w:val="0CE55B25"/>
    <w:rsid w:val="0CE916F8"/>
    <w:rsid w:val="0D2315F2"/>
    <w:rsid w:val="0D2D72C6"/>
    <w:rsid w:val="0D3A1F36"/>
    <w:rsid w:val="0D485ED6"/>
    <w:rsid w:val="0D837D9E"/>
    <w:rsid w:val="0D892EDB"/>
    <w:rsid w:val="0DA5675A"/>
    <w:rsid w:val="0DD26630"/>
    <w:rsid w:val="0DEB519A"/>
    <w:rsid w:val="0DED16BC"/>
    <w:rsid w:val="0DF77E44"/>
    <w:rsid w:val="0E100F06"/>
    <w:rsid w:val="0E1A2C0C"/>
    <w:rsid w:val="0E1A53DD"/>
    <w:rsid w:val="0E1D5E71"/>
    <w:rsid w:val="0E296635"/>
    <w:rsid w:val="0E2D3B72"/>
    <w:rsid w:val="0E440BB0"/>
    <w:rsid w:val="0E67321C"/>
    <w:rsid w:val="0E89670B"/>
    <w:rsid w:val="0EA44CBA"/>
    <w:rsid w:val="0ECA5559"/>
    <w:rsid w:val="0EF8023C"/>
    <w:rsid w:val="0FAE6C29"/>
    <w:rsid w:val="0FE01357"/>
    <w:rsid w:val="0FE8213B"/>
    <w:rsid w:val="0FF878CB"/>
    <w:rsid w:val="0FFB1273"/>
    <w:rsid w:val="10004BA9"/>
    <w:rsid w:val="101939DC"/>
    <w:rsid w:val="1021383C"/>
    <w:rsid w:val="102B0279"/>
    <w:rsid w:val="102F2E92"/>
    <w:rsid w:val="10492FA1"/>
    <w:rsid w:val="1079634A"/>
    <w:rsid w:val="109010D1"/>
    <w:rsid w:val="10955CD8"/>
    <w:rsid w:val="10A6034C"/>
    <w:rsid w:val="10BD3521"/>
    <w:rsid w:val="10D44FF5"/>
    <w:rsid w:val="10F71E45"/>
    <w:rsid w:val="11031AF2"/>
    <w:rsid w:val="110A4F99"/>
    <w:rsid w:val="1111121D"/>
    <w:rsid w:val="111D4066"/>
    <w:rsid w:val="11523EB4"/>
    <w:rsid w:val="11692E07"/>
    <w:rsid w:val="116F3259"/>
    <w:rsid w:val="11744091"/>
    <w:rsid w:val="117D1F70"/>
    <w:rsid w:val="118E7F98"/>
    <w:rsid w:val="119D51A7"/>
    <w:rsid w:val="11A43CBD"/>
    <w:rsid w:val="11B60016"/>
    <w:rsid w:val="12130C14"/>
    <w:rsid w:val="125A3098"/>
    <w:rsid w:val="12624D01"/>
    <w:rsid w:val="128D0D77"/>
    <w:rsid w:val="12B1370B"/>
    <w:rsid w:val="12DB3668"/>
    <w:rsid w:val="1304031C"/>
    <w:rsid w:val="13054DB2"/>
    <w:rsid w:val="13203999"/>
    <w:rsid w:val="13513E01"/>
    <w:rsid w:val="135A334F"/>
    <w:rsid w:val="136523E5"/>
    <w:rsid w:val="139D253E"/>
    <w:rsid w:val="13BC7D4B"/>
    <w:rsid w:val="13DA7FEC"/>
    <w:rsid w:val="13E34BA1"/>
    <w:rsid w:val="14235B4B"/>
    <w:rsid w:val="14457303"/>
    <w:rsid w:val="144A5C3F"/>
    <w:rsid w:val="145666A2"/>
    <w:rsid w:val="145E5B2E"/>
    <w:rsid w:val="145E6E6F"/>
    <w:rsid w:val="147F7C89"/>
    <w:rsid w:val="148948CC"/>
    <w:rsid w:val="14953D1B"/>
    <w:rsid w:val="14DF7617"/>
    <w:rsid w:val="14E03EB7"/>
    <w:rsid w:val="14F926F4"/>
    <w:rsid w:val="150537A2"/>
    <w:rsid w:val="15074B41"/>
    <w:rsid w:val="15190FE8"/>
    <w:rsid w:val="153233EA"/>
    <w:rsid w:val="1543358D"/>
    <w:rsid w:val="15455939"/>
    <w:rsid w:val="15C050DC"/>
    <w:rsid w:val="15D96718"/>
    <w:rsid w:val="160F1CFA"/>
    <w:rsid w:val="161F67E4"/>
    <w:rsid w:val="16223ECC"/>
    <w:rsid w:val="16411302"/>
    <w:rsid w:val="16450281"/>
    <w:rsid w:val="1647748F"/>
    <w:rsid w:val="16511E04"/>
    <w:rsid w:val="166C5148"/>
    <w:rsid w:val="16704C38"/>
    <w:rsid w:val="16AF087E"/>
    <w:rsid w:val="16C136E5"/>
    <w:rsid w:val="16C84A74"/>
    <w:rsid w:val="16D056D6"/>
    <w:rsid w:val="16DC7BBA"/>
    <w:rsid w:val="17283764"/>
    <w:rsid w:val="1738436C"/>
    <w:rsid w:val="17AF353E"/>
    <w:rsid w:val="17F93E0B"/>
    <w:rsid w:val="18153CE9"/>
    <w:rsid w:val="1826421D"/>
    <w:rsid w:val="18316649"/>
    <w:rsid w:val="18B727CA"/>
    <w:rsid w:val="18BF01DF"/>
    <w:rsid w:val="18D203E7"/>
    <w:rsid w:val="18D47700"/>
    <w:rsid w:val="18D72D4C"/>
    <w:rsid w:val="18F953B8"/>
    <w:rsid w:val="190653E0"/>
    <w:rsid w:val="19067AA1"/>
    <w:rsid w:val="190873AA"/>
    <w:rsid w:val="19297320"/>
    <w:rsid w:val="19481E9C"/>
    <w:rsid w:val="19856C4C"/>
    <w:rsid w:val="19873C1D"/>
    <w:rsid w:val="19A96D61"/>
    <w:rsid w:val="19CD3751"/>
    <w:rsid w:val="19D67508"/>
    <w:rsid w:val="19E15165"/>
    <w:rsid w:val="19F142E2"/>
    <w:rsid w:val="19F31E08"/>
    <w:rsid w:val="1A0C111B"/>
    <w:rsid w:val="1A0F5BFA"/>
    <w:rsid w:val="1A246465"/>
    <w:rsid w:val="1A2D49C4"/>
    <w:rsid w:val="1A3D1234"/>
    <w:rsid w:val="1A5328A6"/>
    <w:rsid w:val="1A881766"/>
    <w:rsid w:val="1AB1581F"/>
    <w:rsid w:val="1AB75FA6"/>
    <w:rsid w:val="1ACE4623"/>
    <w:rsid w:val="1AE844BC"/>
    <w:rsid w:val="1B02294E"/>
    <w:rsid w:val="1B356A9D"/>
    <w:rsid w:val="1B952EC6"/>
    <w:rsid w:val="1B976E2D"/>
    <w:rsid w:val="1BB41D9C"/>
    <w:rsid w:val="1BD244C7"/>
    <w:rsid w:val="1BD32925"/>
    <w:rsid w:val="1BEA2D97"/>
    <w:rsid w:val="1C2F10F1"/>
    <w:rsid w:val="1C455CA5"/>
    <w:rsid w:val="1C5F7AD6"/>
    <w:rsid w:val="1C69096F"/>
    <w:rsid w:val="1C8078E6"/>
    <w:rsid w:val="1C913B5A"/>
    <w:rsid w:val="1CB3587E"/>
    <w:rsid w:val="1CFF0991"/>
    <w:rsid w:val="1D0C4F8F"/>
    <w:rsid w:val="1D2C69D2"/>
    <w:rsid w:val="1D570900"/>
    <w:rsid w:val="1D641DA6"/>
    <w:rsid w:val="1D7274E7"/>
    <w:rsid w:val="1D7A68B9"/>
    <w:rsid w:val="1D9C67E9"/>
    <w:rsid w:val="1DC13FCB"/>
    <w:rsid w:val="1DC64350"/>
    <w:rsid w:val="1DCA10D2"/>
    <w:rsid w:val="1DCD648A"/>
    <w:rsid w:val="1DD75487"/>
    <w:rsid w:val="1E116D00"/>
    <w:rsid w:val="1E172574"/>
    <w:rsid w:val="1E2C2424"/>
    <w:rsid w:val="1E323280"/>
    <w:rsid w:val="1E4002A6"/>
    <w:rsid w:val="1E8C71C6"/>
    <w:rsid w:val="1E934CC5"/>
    <w:rsid w:val="1E9F255E"/>
    <w:rsid w:val="1EC57AEB"/>
    <w:rsid w:val="1EE617A3"/>
    <w:rsid w:val="1F2D73A2"/>
    <w:rsid w:val="1F301408"/>
    <w:rsid w:val="1F355E9A"/>
    <w:rsid w:val="1F59095F"/>
    <w:rsid w:val="1F710084"/>
    <w:rsid w:val="1F72557D"/>
    <w:rsid w:val="1F931E30"/>
    <w:rsid w:val="1F957AD4"/>
    <w:rsid w:val="1FAF2DB9"/>
    <w:rsid w:val="20102EB5"/>
    <w:rsid w:val="202A1A39"/>
    <w:rsid w:val="203767C6"/>
    <w:rsid w:val="206E52B8"/>
    <w:rsid w:val="20843DD0"/>
    <w:rsid w:val="208714FC"/>
    <w:rsid w:val="208B3AD2"/>
    <w:rsid w:val="20D76E58"/>
    <w:rsid w:val="2112552E"/>
    <w:rsid w:val="212D04F5"/>
    <w:rsid w:val="21340B44"/>
    <w:rsid w:val="216D6944"/>
    <w:rsid w:val="21AE2AB8"/>
    <w:rsid w:val="21D6555B"/>
    <w:rsid w:val="220801C4"/>
    <w:rsid w:val="221F428A"/>
    <w:rsid w:val="22525B39"/>
    <w:rsid w:val="225355F8"/>
    <w:rsid w:val="227B299A"/>
    <w:rsid w:val="22C4136F"/>
    <w:rsid w:val="2366460D"/>
    <w:rsid w:val="23751ADF"/>
    <w:rsid w:val="239D1036"/>
    <w:rsid w:val="239D403D"/>
    <w:rsid w:val="239E00B4"/>
    <w:rsid w:val="241A0B5A"/>
    <w:rsid w:val="241A4435"/>
    <w:rsid w:val="24455956"/>
    <w:rsid w:val="245A56AD"/>
    <w:rsid w:val="24690BB3"/>
    <w:rsid w:val="24771D12"/>
    <w:rsid w:val="24A7208E"/>
    <w:rsid w:val="24BC4AE1"/>
    <w:rsid w:val="24EC2018"/>
    <w:rsid w:val="25192833"/>
    <w:rsid w:val="251D41DD"/>
    <w:rsid w:val="251E74A4"/>
    <w:rsid w:val="253B28B5"/>
    <w:rsid w:val="253E511F"/>
    <w:rsid w:val="25402999"/>
    <w:rsid w:val="254C2A1B"/>
    <w:rsid w:val="255068F0"/>
    <w:rsid w:val="256911D0"/>
    <w:rsid w:val="25873D4C"/>
    <w:rsid w:val="25A00E3D"/>
    <w:rsid w:val="25D85D7E"/>
    <w:rsid w:val="25FA62CC"/>
    <w:rsid w:val="260E3B25"/>
    <w:rsid w:val="26162A09"/>
    <w:rsid w:val="26193F32"/>
    <w:rsid w:val="26A81CA9"/>
    <w:rsid w:val="26AC220D"/>
    <w:rsid w:val="26B50445"/>
    <w:rsid w:val="26D703BB"/>
    <w:rsid w:val="26EE1E12"/>
    <w:rsid w:val="26F62F37"/>
    <w:rsid w:val="26F82F83"/>
    <w:rsid w:val="2707581A"/>
    <w:rsid w:val="27144592"/>
    <w:rsid w:val="271B474C"/>
    <w:rsid w:val="27281294"/>
    <w:rsid w:val="273C3A25"/>
    <w:rsid w:val="274301E8"/>
    <w:rsid w:val="27557702"/>
    <w:rsid w:val="27756424"/>
    <w:rsid w:val="27843CE5"/>
    <w:rsid w:val="278772D4"/>
    <w:rsid w:val="278E13C2"/>
    <w:rsid w:val="27F136FF"/>
    <w:rsid w:val="27F535C5"/>
    <w:rsid w:val="28017DE6"/>
    <w:rsid w:val="28277120"/>
    <w:rsid w:val="28500425"/>
    <w:rsid w:val="286F2FA1"/>
    <w:rsid w:val="28732366"/>
    <w:rsid w:val="28A35D2A"/>
    <w:rsid w:val="28CB3F50"/>
    <w:rsid w:val="28DC36D3"/>
    <w:rsid w:val="28EF4539"/>
    <w:rsid w:val="29194CBB"/>
    <w:rsid w:val="29285EFD"/>
    <w:rsid w:val="29353E22"/>
    <w:rsid w:val="294352CC"/>
    <w:rsid w:val="294D2BB7"/>
    <w:rsid w:val="296642D8"/>
    <w:rsid w:val="29905E4B"/>
    <w:rsid w:val="2991163B"/>
    <w:rsid w:val="29A97D17"/>
    <w:rsid w:val="2A3A75DF"/>
    <w:rsid w:val="2A3D3173"/>
    <w:rsid w:val="2A4B5348"/>
    <w:rsid w:val="2A742AF1"/>
    <w:rsid w:val="2A9011B4"/>
    <w:rsid w:val="2A950CB9"/>
    <w:rsid w:val="2AB96BDA"/>
    <w:rsid w:val="2AED2E8D"/>
    <w:rsid w:val="2AFF4C94"/>
    <w:rsid w:val="2B617C0E"/>
    <w:rsid w:val="2BB46F1D"/>
    <w:rsid w:val="2BBD04C8"/>
    <w:rsid w:val="2BD33847"/>
    <w:rsid w:val="2BDA70E6"/>
    <w:rsid w:val="2C1F1FBF"/>
    <w:rsid w:val="2C351F7F"/>
    <w:rsid w:val="2C4E6D38"/>
    <w:rsid w:val="2C604777"/>
    <w:rsid w:val="2C714D86"/>
    <w:rsid w:val="2C725028"/>
    <w:rsid w:val="2CDC4194"/>
    <w:rsid w:val="2CE13D42"/>
    <w:rsid w:val="2CFF3F4B"/>
    <w:rsid w:val="2D214A86"/>
    <w:rsid w:val="2D455150"/>
    <w:rsid w:val="2D4B150D"/>
    <w:rsid w:val="2D5B1D46"/>
    <w:rsid w:val="2D5B7F98"/>
    <w:rsid w:val="2D684463"/>
    <w:rsid w:val="2D8D04FD"/>
    <w:rsid w:val="2E7E4C4B"/>
    <w:rsid w:val="2EB57410"/>
    <w:rsid w:val="2EE93382"/>
    <w:rsid w:val="2EED10C4"/>
    <w:rsid w:val="2F2F36B1"/>
    <w:rsid w:val="2F996F10"/>
    <w:rsid w:val="2FAD0853"/>
    <w:rsid w:val="2FD159CA"/>
    <w:rsid w:val="2FD67E3E"/>
    <w:rsid w:val="30204B81"/>
    <w:rsid w:val="302F3016"/>
    <w:rsid w:val="303F24BC"/>
    <w:rsid w:val="30515682"/>
    <w:rsid w:val="306929CC"/>
    <w:rsid w:val="30817D16"/>
    <w:rsid w:val="31077AEF"/>
    <w:rsid w:val="3112096E"/>
    <w:rsid w:val="311C69D9"/>
    <w:rsid w:val="312E379D"/>
    <w:rsid w:val="315A43B3"/>
    <w:rsid w:val="31615451"/>
    <w:rsid w:val="31746893"/>
    <w:rsid w:val="317F39BB"/>
    <w:rsid w:val="3180038B"/>
    <w:rsid w:val="31B1462B"/>
    <w:rsid w:val="31C13416"/>
    <w:rsid w:val="31C942AB"/>
    <w:rsid w:val="31EE13DB"/>
    <w:rsid w:val="32325DB3"/>
    <w:rsid w:val="3234712F"/>
    <w:rsid w:val="324314C5"/>
    <w:rsid w:val="3244724D"/>
    <w:rsid w:val="3247112A"/>
    <w:rsid w:val="324C6101"/>
    <w:rsid w:val="32725B2C"/>
    <w:rsid w:val="3287068E"/>
    <w:rsid w:val="32884234"/>
    <w:rsid w:val="328D3171"/>
    <w:rsid w:val="32C263C3"/>
    <w:rsid w:val="32D33E04"/>
    <w:rsid w:val="32E96579"/>
    <w:rsid w:val="32EB653A"/>
    <w:rsid w:val="32F347CF"/>
    <w:rsid w:val="330A2FD8"/>
    <w:rsid w:val="331F5DE1"/>
    <w:rsid w:val="332D5F33"/>
    <w:rsid w:val="333F7A14"/>
    <w:rsid w:val="3350577D"/>
    <w:rsid w:val="33865643"/>
    <w:rsid w:val="33903A78"/>
    <w:rsid w:val="33947D60"/>
    <w:rsid w:val="339D49D6"/>
    <w:rsid w:val="33B51311"/>
    <w:rsid w:val="33D53ED4"/>
    <w:rsid w:val="340545E0"/>
    <w:rsid w:val="340547BA"/>
    <w:rsid w:val="340C5B48"/>
    <w:rsid w:val="341276CC"/>
    <w:rsid w:val="3422536C"/>
    <w:rsid w:val="34675563"/>
    <w:rsid w:val="348222AE"/>
    <w:rsid w:val="34C7245F"/>
    <w:rsid w:val="34CF0009"/>
    <w:rsid w:val="34D606AD"/>
    <w:rsid w:val="34E6283D"/>
    <w:rsid w:val="352260F8"/>
    <w:rsid w:val="35507CB7"/>
    <w:rsid w:val="3555718B"/>
    <w:rsid w:val="357736EF"/>
    <w:rsid w:val="359C2EFC"/>
    <w:rsid w:val="35BD0727"/>
    <w:rsid w:val="35C83CF1"/>
    <w:rsid w:val="35CE5B68"/>
    <w:rsid w:val="36521BA9"/>
    <w:rsid w:val="3676199F"/>
    <w:rsid w:val="367E2138"/>
    <w:rsid w:val="369938DF"/>
    <w:rsid w:val="36AE1B85"/>
    <w:rsid w:val="36CC4D48"/>
    <w:rsid w:val="372E1214"/>
    <w:rsid w:val="37320B19"/>
    <w:rsid w:val="37377380"/>
    <w:rsid w:val="375241BA"/>
    <w:rsid w:val="376E04D2"/>
    <w:rsid w:val="37781A80"/>
    <w:rsid w:val="37AB38CA"/>
    <w:rsid w:val="37DB423A"/>
    <w:rsid w:val="37F05781"/>
    <w:rsid w:val="3806171D"/>
    <w:rsid w:val="383340DB"/>
    <w:rsid w:val="389D0CDF"/>
    <w:rsid w:val="38A677F3"/>
    <w:rsid w:val="38C10B8F"/>
    <w:rsid w:val="38D12155"/>
    <w:rsid w:val="38D43D3D"/>
    <w:rsid w:val="38E928FC"/>
    <w:rsid w:val="391D37EA"/>
    <w:rsid w:val="393D3264"/>
    <w:rsid w:val="394E09B1"/>
    <w:rsid w:val="39555099"/>
    <w:rsid w:val="397D6C5D"/>
    <w:rsid w:val="397F651D"/>
    <w:rsid w:val="398048E2"/>
    <w:rsid w:val="39A22AAB"/>
    <w:rsid w:val="39A237EA"/>
    <w:rsid w:val="39B527AA"/>
    <w:rsid w:val="39BD3093"/>
    <w:rsid w:val="39C23EF3"/>
    <w:rsid w:val="39D771DD"/>
    <w:rsid w:val="3A0C4978"/>
    <w:rsid w:val="3A5E69D2"/>
    <w:rsid w:val="3A905C8A"/>
    <w:rsid w:val="3A98726C"/>
    <w:rsid w:val="3AC058DE"/>
    <w:rsid w:val="3AD849D6"/>
    <w:rsid w:val="3AE50C3F"/>
    <w:rsid w:val="3AF15A98"/>
    <w:rsid w:val="3B110508"/>
    <w:rsid w:val="3B4A33FA"/>
    <w:rsid w:val="3B5E36C8"/>
    <w:rsid w:val="3B646E83"/>
    <w:rsid w:val="3B8461BF"/>
    <w:rsid w:val="3B9308FD"/>
    <w:rsid w:val="3BC545FB"/>
    <w:rsid w:val="3BCB6780"/>
    <w:rsid w:val="3BDC363C"/>
    <w:rsid w:val="3BE15EB6"/>
    <w:rsid w:val="3C090537"/>
    <w:rsid w:val="3C0F609D"/>
    <w:rsid w:val="3C3F6CE9"/>
    <w:rsid w:val="3C5B60FB"/>
    <w:rsid w:val="3C74454B"/>
    <w:rsid w:val="3CDC46B9"/>
    <w:rsid w:val="3CE21B3C"/>
    <w:rsid w:val="3D2F2C1F"/>
    <w:rsid w:val="3D583BAC"/>
    <w:rsid w:val="3D597924"/>
    <w:rsid w:val="3D8175A7"/>
    <w:rsid w:val="3D8D719C"/>
    <w:rsid w:val="3D9A797A"/>
    <w:rsid w:val="3DB22008"/>
    <w:rsid w:val="3DC2201D"/>
    <w:rsid w:val="3DD53474"/>
    <w:rsid w:val="3DFA4C63"/>
    <w:rsid w:val="3E081A5E"/>
    <w:rsid w:val="3E4C5F02"/>
    <w:rsid w:val="3E526C64"/>
    <w:rsid w:val="3E5325C6"/>
    <w:rsid w:val="3E6914BF"/>
    <w:rsid w:val="3E8166DB"/>
    <w:rsid w:val="3EB70DA6"/>
    <w:rsid w:val="3EBD2871"/>
    <w:rsid w:val="3EEF0540"/>
    <w:rsid w:val="3F0454FB"/>
    <w:rsid w:val="3F7315F1"/>
    <w:rsid w:val="3F982C48"/>
    <w:rsid w:val="3FA255B3"/>
    <w:rsid w:val="3FC90D91"/>
    <w:rsid w:val="3FE66005"/>
    <w:rsid w:val="3FF5666B"/>
    <w:rsid w:val="4027633C"/>
    <w:rsid w:val="4030282F"/>
    <w:rsid w:val="403E4E33"/>
    <w:rsid w:val="405A16B1"/>
    <w:rsid w:val="406805AA"/>
    <w:rsid w:val="40704361"/>
    <w:rsid w:val="409C3C83"/>
    <w:rsid w:val="40A05997"/>
    <w:rsid w:val="40A4535A"/>
    <w:rsid w:val="40AB477C"/>
    <w:rsid w:val="40B40C18"/>
    <w:rsid w:val="40B41A41"/>
    <w:rsid w:val="40C55F22"/>
    <w:rsid w:val="411376D8"/>
    <w:rsid w:val="411E32F9"/>
    <w:rsid w:val="4121045B"/>
    <w:rsid w:val="41381EE1"/>
    <w:rsid w:val="413B7632"/>
    <w:rsid w:val="415009F1"/>
    <w:rsid w:val="415B1EBD"/>
    <w:rsid w:val="41631CCB"/>
    <w:rsid w:val="416C40CA"/>
    <w:rsid w:val="41896B25"/>
    <w:rsid w:val="41A41AB6"/>
    <w:rsid w:val="41AD023F"/>
    <w:rsid w:val="41BA6D71"/>
    <w:rsid w:val="41C9151C"/>
    <w:rsid w:val="4206515C"/>
    <w:rsid w:val="42213106"/>
    <w:rsid w:val="42224789"/>
    <w:rsid w:val="423103EF"/>
    <w:rsid w:val="423D6E28"/>
    <w:rsid w:val="4259518B"/>
    <w:rsid w:val="426C648E"/>
    <w:rsid w:val="42AD52B2"/>
    <w:rsid w:val="42BA2152"/>
    <w:rsid w:val="42CD0A98"/>
    <w:rsid w:val="42DA5063"/>
    <w:rsid w:val="42E52653"/>
    <w:rsid w:val="42F70A1A"/>
    <w:rsid w:val="431A0C09"/>
    <w:rsid w:val="433B0731"/>
    <w:rsid w:val="434B10DD"/>
    <w:rsid w:val="43564C46"/>
    <w:rsid w:val="435E3EE6"/>
    <w:rsid w:val="439C4085"/>
    <w:rsid w:val="43A833B4"/>
    <w:rsid w:val="43CB70DF"/>
    <w:rsid w:val="43D71252"/>
    <w:rsid w:val="440D5ADD"/>
    <w:rsid w:val="44386FE9"/>
    <w:rsid w:val="44421112"/>
    <w:rsid w:val="445A15E0"/>
    <w:rsid w:val="446D195D"/>
    <w:rsid w:val="44A21FE4"/>
    <w:rsid w:val="44B00772"/>
    <w:rsid w:val="44BB002C"/>
    <w:rsid w:val="44CC5B5F"/>
    <w:rsid w:val="44FC5765"/>
    <w:rsid w:val="4504422D"/>
    <w:rsid w:val="456A72AE"/>
    <w:rsid w:val="456F19FF"/>
    <w:rsid w:val="45B567DA"/>
    <w:rsid w:val="45BA19C0"/>
    <w:rsid w:val="45E6315E"/>
    <w:rsid w:val="45E71F71"/>
    <w:rsid w:val="45F4468E"/>
    <w:rsid w:val="460F7A06"/>
    <w:rsid w:val="46137F37"/>
    <w:rsid w:val="4618037D"/>
    <w:rsid w:val="461B197A"/>
    <w:rsid w:val="46373D9E"/>
    <w:rsid w:val="464838C9"/>
    <w:rsid w:val="46676C0A"/>
    <w:rsid w:val="467C4DAF"/>
    <w:rsid w:val="46810644"/>
    <w:rsid w:val="469056A9"/>
    <w:rsid w:val="46905AA8"/>
    <w:rsid w:val="469A5235"/>
    <w:rsid w:val="46A269DC"/>
    <w:rsid w:val="46B32782"/>
    <w:rsid w:val="46BF6A4A"/>
    <w:rsid w:val="46D1677D"/>
    <w:rsid w:val="46E22739"/>
    <w:rsid w:val="46F661E4"/>
    <w:rsid w:val="471072A6"/>
    <w:rsid w:val="4712301E"/>
    <w:rsid w:val="47635580"/>
    <w:rsid w:val="477916A5"/>
    <w:rsid w:val="477E4B57"/>
    <w:rsid w:val="47956E7B"/>
    <w:rsid w:val="47D64774"/>
    <w:rsid w:val="480E2158"/>
    <w:rsid w:val="48480DBD"/>
    <w:rsid w:val="48511C73"/>
    <w:rsid w:val="48617B98"/>
    <w:rsid w:val="487A07B5"/>
    <w:rsid w:val="48B110C3"/>
    <w:rsid w:val="48E95311"/>
    <w:rsid w:val="48EB2DF2"/>
    <w:rsid w:val="48F54560"/>
    <w:rsid w:val="493F1574"/>
    <w:rsid w:val="495913D8"/>
    <w:rsid w:val="49652B1B"/>
    <w:rsid w:val="49AA41B6"/>
    <w:rsid w:val="49E05308"/>
    <w:rsid w:val="49FE1F7F"/>
    <w:rsid w:val="4A3B451C"/>
    <w:rsid w:val="4A431740"/>
    <w:rsid w:val="4A815643"/>
    <w:rsid w:val="4A8B6AF7"/>
    <w:rsid w:val="4A8D6F5A"/>
    <w:rsid w:val="4AC4398B"/>
    <w:rsid w:val="4ACC5DAF"/>
    <w:rsid w:val="4AEB42B2"/>
    <w:rsid w:val="4AF0758A"/>
    <w:rsid w:val="4B0E61F2"/>
    <w:rsid w:val="4B2A660D"/>
    <w:rsid w:val="4B362460"/>
    <w:rsid w:val="4B5856BF"/>
    <w:rsid w:val="4B5F609F"/>
    <w:rsid w:val="4B65373A"/>
    <w:rsid w:val="4B670D68"/>
    <w:rsid w:val="4B673458"/>
    <w:rsid w:val="4B796D9B"/>
    <w:rsid w:val="4BC66ACD"/>
    <w:rsid w:val="4BC93EC7"/>
    <w:rsid w:val="4C106ED4"/>
    <w:rsid w:val="4C1A4723"/>
    <w:rsid w:val="4C5D6A3D"/>
    <w:rsid w:val="4CB2105B"/>
    <w:rsid w:val="4CD82614"/>
    <w:rsid w:val="4CE90CC5"/>
    <w:rsid w:val="4CEA0959"/>
    <w:rsid w:val="4CF257EA"/>
    <w:rsid w:val="4D00163A"/>
    <w:rsid w:val="4D0616EF"/>
    <w:rsid w:val="4D0E4287"/>
    <w:rsid w:val="4D2B4E39"/>
    <w:rsid w:val="4D40647A"/>
    <w:rsid w:val="4D464B6B"/>
    <w:rsid w:val="4D6B4B5C"/>
    <w:rsid w:val="4D704F42"/>
    <w:rsid w:val="4D834C75"/>
    <w:rsid w:val="4DCA75CA"/>
    <w:rsid w:val="4DDB33BE"/>
    <w:rsid w:val="4DDF5C24"/>
    <w:rsid w:val="4DFE4570"/>
    <w:rsid w:val="4E0302C9"/>
    <w:rsid w:val="4E045FDF"/>
    <w:rsid w:val="4E2B0E69"/>
    <w:rsid w:val="4E8202ED"/>
    <w:rsid w:val="4E8A004E"/>
    <w:rsid w:val="4E924C46"/>
    <w:rsid w:val="4E9A591B"/>
    <w:rsid w:val="4EFF402A"/>
    <w:rsid w:val="4F0F5BE3"/>
    <w:rsid w:val="4F2032FB"/>
    <w:rsid w:val="4F386F3E"/>
    <w:rsid w:val="4F3A0C02"/>
    <w:rsid w:val="4F42290E"/>
    <w:rsid w:val="4F6E5B9F"/>
    <w:rsid w:val="4F8534D4"/>
    <w:rsid w:val="4F8C3149"/>
    <w:rsid w:val="4F9D18F3"/>
    <w:rsid w:val="4FA72771"/>
    <w:rsid w:val="4FDF7BD6"/>
    <w:rsid w:val="50054F04"/>
    <w:rsid w:val="501A0CDD"/>
    <w:rsid w:val="50262A74"/>
    <w:rsid w:val="5046440F"/>
    <w:rsid w:val="50493828"/>
    <w:rsid w:val="504F0E3F"/>
    <w:rsid w:val="50940112"/>
    <w:rsid w:val="509F6E67"/>
    <w:rsid w:val="50B45146"/>
    <w:rsid w:val="50F41D56"/>
    <w:rsid w:val="515360B3"/>
    <w:rsid w:val="518C2CB0"/>
    <w:rsid w:val="519554EB"/>
    <w:rsid w:val="519A258E"/>
    <w:rsid w:val="519F1952"/>
    <w:rsid w:val="51CF1181"/>
    <w:rsid w:val="5221680B"/>
    <w:rsid w:val="522712D1"/>
    <w:rsid w:val="52422029"/>
    <w:rsid w:val="52584F1D"/>
    <w:rsid w:val="526D37FE"/>
    <w:rsid w:val="52884ADC"/>
    <w:rsid w:val="529E42FF"/>
    <w:rsid w:val="52BC4786"/>
    <w:rsid w:val="52F757BE"/>
    <w:rsid w:val="52FD006A"/>
    <w:rsid w:val="52FE6B4C"/>
    <w:rsid w:val="531D0A50"/>
    <w:rsid w:val="532272D6"/>
    <w:rsid w:val="533B7FF2"/>
    <w:rsid w:val="536C7562"/>
    <w:rsid w:val="536F17F8"/>
    <w:rsid w:val="537B6212"/>
    <w:rsid w:val="53930F3C"/>
    <w:rsid w:val="53BD48B2"/>
    <w:rsid w:val="53D80F2A"/>
    <w:rsid w:val="53D9109E"/>
    <w:rsid w:val="53D941A3"/>
    <w:rsid w:val="53E144A4"/>
    <w:rsid w:val="53EE6BC1"/>
    <w:rsid w:val="53F80214"/>
    <w:rsid w:val="540168F4"/>
    <w:rsid w:val="54063F0A"/>
    <w:rsid w:val="54372AB5"/>
    <w:rsid w:val="544B21FC"/>
    <w:rsid w:val="5453233C"/>
    <w:rsid w:val="546B6463"/>
    <w:rsid w:val="5492579E"/>
    <w:rsid w:val="549C5721"/>
    <w:rsid w:val="549D3040"/>
    <w:rsid w:val="54B4710C"/>
    <w:rsid w:val="54D20290"/>
    <w:rsid w:val="54D758DC"/>
    <w:rsid w:val="54EB4EAE"/>
    <w:rsid w:val="55040901"/>
    <w:rsid w:val="55161546"/>
    <w:rsid w:val="554C7A0F"/>
    <w:rsid w:val="557E3F74"/>
    <w:rsid w:val="5591141A"/>
    <w:rsid w:val="559A27AA"/>
    <w:rsid w:val="55AF3397"/>
    <w:rsid w:val="55B56982"/>
    <w:rsid w:val="55B74101"/>
    <w:rsid w:val="55C45E2B"/>
    <w:rsid w:val="56063E55"/>
    <w:rsid w:val="562468CA"/>
    <w:rsid w:val="562D159C"/>
    <w:rsid w:val="562D351C"/>
    <w:rsid w:val="564B11CF"/>
    <w:rsid w:val="568E7ECA"/>
    <w:rsid w:val="5696091C"/>
    <w:rsid w:val="56DE395A"/>
    <w:rsid w:val="56DF05DE"/>
    <w:rsid w:val="56F12EA9"/>
    <w:rsid w:val="56F70118"/>
    <w:rsid w:val="57041F6D"/>
    <w:rsid w:val="572D5C52"/>
    <w:rsid w:val="5730129E"/>
    <w:rsid w:val="5737087F"/>
    <w:rsid w:val="574843AE"/>
    <w:rsid w:val="57703F90"/>
    <w:rsid w:val="57AC5FE6"/>
    <w:rsid w:val="57D55F88"/>
    <w:rsid w:val="57F05B64"/>
    <w:rsid w:val="57F23498"/>
    <w:rsid w:val="57FC6189"/>
    <w:rsid w:val="58137926"/>
    <w:rsid w:val="586E207E"/>
    <w:rsid w:val="588B0E82"/>
    <w:rsid w:val="588C4ECA"/>
    <w:rsid w:val="589A7317"/>
    <w:rsid w:val="58CE1C12"/>
    <w:rsid w:val="59047963"/>
    <w:rsid w:val="590D1600"/>
    <w:rsid w:val="590E3874"/>
    <w:rsid w:val="59254E33"/>
    <w:rsid w:val="59391219"/>
    <w:rsid w:val="59433BCE"/>
    <w:rsid w:val="59476D0F"/>
    <w:rsid w:val="59784F85"/>
    <w:rsid w:val="599B30DC"/>
    <w:rsid w:val="59AC0C08"/>
    <w:rsid w:val="59D27ABB"/>
    <w:rsid w:val="59D61BA3"/>
    <w:rsid w:val="59D979CB"/>
    <w:rsid w:val="59E14FC6"/>
    <w:rsid w:val="5A3D301B"/>
    <w:rsid w:val="5A45049F"/>
    <w:rsid w:val="5A4934B6"/>
    <w:rsid w:val="5A5D54D2"/>
    <w:rsid w:val="5A635D12"/>
    <w:rsid w:val="5A766C6C"/>
    <w:rsid w:val="5A8D2322"/>
    <w:rsid w:val="5B07328E"/>
    <w:rsid w:val="5B0F5966"/>
    <w:rsid w:val="5B16597E"/>
    <w:rsid w:val="5B314EF5"/>
    <w:rsid w:val="5B513352"/>
    <w:rsid w:val="5B600CF8"/>
    <w:rsid w:val="5B7B51DE"/>
    <w:rsid w:val="5BAA161F"/>
    <w:rsid w:val="5C057FBF"/>
    <w:rsid w:val="5C213FDB"/>
    <w:rsid w:val="5C8F65FA"/>
    <w:rsid w:val="5CB37354"/>
    <w:rsid w:val="5CBB4AA3"/>
    <w:rsid w:val="5CD34BA6"/>
    <w:rsid w:val="5CFD63D8"/>
    <w:rsid w:val="5D577585"/>
    <w:rsid w:val="5DAD328C"/>
    <w:rsid w:val="5DCB2717"/>
    <w:rsid w:val="5DD20027"/>
    <w:rsid w:val="5DD859C9"/>
    <w:rsid w:val="5E2B0834"/>
    <w:rsid w:val="5E2B08CA"/>
    <w:rsid w:val="5E364A48"/>
    <w:rsid w:val="5E552D22"/>
    <w:rsid w:val="5E72566F"/>
    <w:rsid w:val="5E8A5738"/>
    <w:rsid w:val="5E8D40F1"/>
    <w:rsid w:val="5E943E1E"/>
    <w:rsid w:val="5EAE1426"/>
    <w:rsid w:val="5EAE38D8"/>
    <w:rsid w:val="5EE25574"/>
    <w:rsid w:val="5F073306"/>
    <w:rsid w:val="5F1338D1"/>
    <w:rsid w:val="5F217E4A"/>
    <w:rsid w:val="5F293A37"/>
    <w:rsid w:val="5F335DCF"/>
    <w:rsid w:val="5F363E6E"/>
    <w:rsid w:val="5F3B6A32"/>
    <w:rsid w:val="5F4920F1"/>
    <w:rsid w:val="5F4D50E3"/>
    <w:rsid w:val="5F5F73B9"/>
    <w:rsid w:val="5F65707D"/>
    <w:rsid w:val="5FB35B53"/>
    <w:rsid w:val="5FBE7D8F"/>
    <w:rsid w:val="5FC353A5"/>
    <w:rsid w:val="5FE8149A"/>
    <w:rsid w:val="60025ECE"/>
    <w:rsid w:val="60173427"/>
    <w:rsid w:val="60242EDD"/>
    <w:rsid w:val="6024439E"/>
    <w:rsid w:val="603B0634"/>
    <w:rsid w:val="605320D3"/>
    <w:rsid w:val="605424A1"/>
    <w:rsid w:val="608579F9"/>
    <w:rsid w:val="60932FCA"/>
    <w:rsid w:val="609F3AD2"/>
    <w:rsid w:val="60E23609"/>
    <w:rsid w:val="61083E89"/>
    <w:rsid w:val="6119108F"/>
    <w:rsid w:val="611D3E0F"/>
    <w:rsid w:val="612003CD"/>
    <w:rsid w:val="616044A2"/>
    <w:rsid w:val="617050B9"/>
    <w:rsid w:val="61852FB7"/>
    <w:rsid w:val="61AB4083"/>
    <w:rsid w:val="61B04F6E"/>
    <w:rsid w:val="61C8671E"/>
    <w:rsid w:val="61F50BF2"/>
    <w:rsid w:val="61FB6655"/>
    <w:rsid w:val="62001846"/>
    <w:rsid w:val="62017F17"/>
    <w:rsid w:val="621D2A8C"/>
    <w:rsid w:val="62326812"/>
    <w:rsid w:val="62372BD2"/>
    <w:rsid w:val="625C563D"/>
    <w:rsid w:val="62967EC8"/>
    <w:rsid w:val="629D3C8C"/>
    <w:rsid w:val="62C234F0"/>
    <w:rsid w:val="62CE701D"/>
    <w:rsid w:val="62FB24CC"/>
    <w:rsid w:val="63071A4D"/>
    <w:rsid w:val="630B5A9F"/>
    <w:rsid w:val="630C2BBF"/>
    <w:rsid w:val="630F26B0"/>
    <w:rsid w:val="631D301E"/>
    <w:rsid w:val="63500834"/>
    <w:rsid w:val="63773A78"/>
    <w:rsid w:val="63953991"/>
    <w:rsid w:val="63AA3A46"/>
    <w:rsid w:val="63AF4246"/>
    <w:rsid w:val="63B50DB2"/>
    <w:rsid w:val="63DC5F56"/>
    <w:rsid w:val="63E23009"/>
    <w:rsid w:val="640403C0"/>
    <w:rsid w:val="643710FC"/>
    <w:rsid w:val="64373FEB"/>
    <w:rsid w:val="644A511E"/>
    <w:rsid w:val="64634A61"/>
    <w:rsid w:val="64744EC0"/>
    <w:rsid w:val="64C33752"/>
    <w:rsid w:val="64DD378A"/>
    <w:rsid w:val="64E32187"/>
    <w:rsid w:val="64E87687"/>
    <w:rsid w:val="650B0F5A"/>
    <w:rsid w:val="65183A9D"/>
    <w:rsid w:val="652609C5"/>
    <w:rsid w:val="65491388"/>
    <w:rsid w:val="655748CB"/>
    <w:rsid w:val="658C1461"/>
    <w:rsid w:val="65A55BDD"/>
    <w:rsid w:val="65B6655A"/>
    <w:rsid w:val="65B91F22"/>
    <w:rsid w:val="65F20792"/>
    <w:rsid w:val="663A405A"/>
    <w:rsid w:val="663C260D"/>
    <w:rsid w:val="66521231"/>
    <w:rsid w:val="667411A7"/>
    <w:rsid w:val="66A001EE"/>
    <w:rsid w:val="66A82BFF"/>
    <w:rsid w:val="66A85222"/>
    <w:rsid w:val="66B477F6"/>
    <w:rsid w:val="66D63B6E"/>
    <w:rsid w:val="66E87B5D"/>
    <w:rsid w:val="67074A02"/>
    <w:rsid w:val="670D44B4"/>
    <w:rsid w:val="67191E9B"/>
    <w:rsid w:val="67281F92"/>
    <w:rsid w:val="673369F2"/>
    <w:rsid w:val="67594540"/>
    <w:rsid w:val="676D7A10"/>
    <w:rsid w:val="67A41B04"/>
    <w:rsid w:val="68120C78"/>
    <w:rsid w:val="683071D0"/>
    <w:rsid w:val="6838144E"/>
    <w:rsid w:val="683F7593"/>
    <w:rsid w:val="686D5C6A"/>
    <w:rsid w:val="687356EA"/>
    <w:rsid w:val="68752792"/>
    <w:rsid w:val="689063CF"/>
    <w:rsid w:val="68992F13"/>
    <w:rsid w:val="689C4919"/>
    <w:rsid w:val="689E59DA"/>
    <w:rsid w:val="68AA0334"/>
    <w:rsid w:val="68AA7398"/>
    <w:rsid w:val="68B77EC1"/>
    <w:rsid w:val="68D4417F"/>
    <w:rsid w:val="68E008B3"/>
    <w:rsid w:val="68FB38F6"/>
    <w:rsid w:val="6911451D"/>
    <w:rsid w:val="69281841"/>
    <w:rsid w:val="69584DB0"/>
    <w:rsid w:val="69990F25"/>
    <w:rsid w:val="69BD4C13"/>
    <w:rsid w:val="69DB4C7C"/>
    <w:rsid w:val="69E623BC"/>
    <w:rsid w:val="69EC5FA4"/>
    <w:rsid w:val="69F068FB"/>
    <w:rsid w:val="69F63767"/>
    <w:rsid w:val="6A000318"/>
    <w:rsid w:val="6A152CA1"/>
    <w:rsid w:val="6A366774"/>
    <w:rsid w:val="6A3E3402"/>
    <w:rsid w:val="6AB801E2"/>
    <w:rsid w:val="6ACB15B2"/>
    <w:rsid w:val="6ACC18F4"/>
    <w:rsid w:val="6AED32A0"/>
    <w:rsid w:val="6AEF704E"/>
    <w:rsid w:val="6AFC5A6E"/>
    <w:rsid w:val="6AFD2811"/>
    <w:rsid w:val="6B064398"/>
    <w:rsid w:val="6B1C6E35"/>
    <w:rsid w:val="6B5D6793"/>
    <w:rsid w:val="6B6F33E6"/>
    <w:rsid w:val="6B6F6C1F"/>
    <w:rsid w:val="6BA67487"/>
    <w:rsid w:val="6BB64010"/>
    <w:rsid w:val="6BC350F9"/>
    <w:rsid w:val="6BCF16EA"/>
    <w:rsid w:val="6BD3166C"/>
    <w:rsid w:val="6BE94A51"/>
    <w:rsid w:val="6BF3491C"/>
    <w:rsid w:val="6BF92949"/>
    <w:rsid w:val="6C137260"/>
    <w:rsid w:val="6C2B2BA1"/>
    <w:rsid w:val="6C3B5506"/>
    <w:rsid w:val="6C454B80"/>
    <w:rsid w:val="6C543A21"/>
    <w:rsid w:val="6C553829"/>
    <w:rsid w:val="6C735B50"/>
    <w:rsid w:val="6CA95923"/>
    <w:rsid w:val="6CB417F8"/>
    <w:rsid w:val="6CDE3F67"/>
    <w:rsid w:val="6CF2109E"/>
    <w:rsid w:val="6D0E5786"/>
    <w:rsid w:val="6D417909"/>
    <w:rsid w:val="6D447B9D"/>
    <w:rsid w:val="6D5165B8"/>
    <w:rsid w:val="6D6B4986"/>
    <w:rsid w:val="6D714693"/>
    <w:rsid w:val="6D7E660E"/>
    <w:rsid w:val="6D8179B0"/>
    <w:rsid w:val="6DAA59E1"/>
    <w:rsid w:val="6DAE41D9"/>
    <w:rsid w:val="6DD17D62"/>
    <w:rsid w:val="6E032876"/>
    <w:rsid w:val="6E290AC9"/>
    <w:rsid w:val="6E2C05BA"/>
    <w:rsid w:val="6E3B25AB"/>
    <w:rsid w:val="6E922E13"/>
    <w:rsid w:val="6EA168B2"/>
    <w:rsid w:val="6ED950BD"/>
    <w:rsid w:val="6EF530A1"/>
    <w:rsid w:val="6EF80022"/>
    <w:rsid w:val="6F2F54CD"/>
    <w:rsid w:val="6F822B79"/>
    <w:rsid w:val="6F97D24A"/>
    <w:rsid w:val="6F9F1765"/>
    <w:rsid w:val="6FBB1352"/>
    <w:rsid w:val="6FD83846"/>
    <w:rsid w:val="70241B57"/>
    <w:rsid w:val="70251A96"/>
    <w:rsid w:val="705F630C"/>
    <w:rsid w:val="70741DA4"/>
    <w:rsid w:val="70A51997"/>
    <w:rsid w:val="70B86AA7"/>
    <w:rsid w:val="70DD00DC"/>
    <w:rsid w:val="70EB02B8"/>
    <w:rsid w:val="70F13B89"/>
    <w:rsid w:val="70F80805"/>
    <w:rsid w:val="71167478"/>
    <w:rsid w:val="711D243B"/>
    <w:rsid w:val="711D50BB"/>
    <w:rsid w:val="71237896"/>
    <w:rsid w:val="712A5284"/>
    <w:rsid w:val="71390D7C"/>
    <w:rsid w:val="715D4E97"/>
    <w:rsid w:val="718030F6"/>
    <w:rsid w:val="71972FBE"/>
    <w:rsid w:val="71BF1F37"/>
    <w:rsid w:val="71D33A30"/>
    <w:rsid w:val="722F2426"/>
    <w:rsid w:val="725956F5"/>
    <w:rsid w:val="72667796"/>
    <w:rsid w:val="72AD48FD"/>
    <w:rsid w:val="72BB3CBA"/>
    <w:rsid w:val="72C43AB7"/>
    <w:rsid w:val="72E9198B"/>
    <w:rsid w:val="731A30D6"/>
    <w:rsid w:val="73357DF4"/>
    <w:rsid w:val="733D1612"/>
    <w:rsid w:val="73487C44"/>
    <w:rsid w:val="73614861"/>
    <w:rsid w:val="737D4C17"/>
    <w:rsid w:val="739D2629"/>
    <w:rsid w:val="73BE7F06"/>
    <w:rsid w:val="741D18EF"/>
    <w:rsid w:val="742C597A"/>
    <w:rsid w:val="743C0E2B"/>
    <w:rsid w:val="74627DA3"/>
    <w:rsid w:val="74681C20"/>
    <w:rsid w:val="74AA2238"/>
    <w:rsid w:val="74B35591"/>
    <w:rsid w:val="74BA2E14"/>
    <w:rsid w:val="74D06D4B"/>
    <w:rsid w:val="74D53759"/>
    <w:rsid w:val="74DE08FF"/>
    <w:rsid w:val="75151DA7"/>
    <w:rsid w:val="75222E1E"/>
    <w:rsid w:val="75232716"/>
    <w:rsid w:val="752C1160"/>
    <w:rsid w:val="754040AE"/>
    <w:rsid w:val="75886287"/>
    <w:rsid w:val="758B0BA4"/>
    <w:rsid w:val="758B4C22"/>
    <w:rsid w:val="75AA118F"/>
    <w:rsid w:val="75AF3FAA"/>
    <w:rsid w:val="75EB0756"/>
    <w:rsid w:val="75F153E8"/>
    <w:rsid w:val="75FB6E8A"/>
    <w:rsid w:val="762E0340"/>
    <w:rsid w:val="76326989"/>
    <w:rsid w:val="76AC04E9"/>
    <w:rsid w:val="76E21755"/>
    <w:rsid w:val="771439B4"/>
    <w:rsid w:val="772A140E"/>
    <w:rsid w:val="773C2BB6"/>
    <w:rsid w:val="778D55C5"/>
    <w:rsid w:val="77901B44"/>
    <w:rsid w:val="77A363F9"/>
    <w:rsid w:val="77A86B72"/>
    <w:rsid w:val="77B72E83"/>
    <w:rsid w:val="77DC082E"/>
    <w:rsid w:val="780018AE"/>
    <w:rsid w:val="78016613"/>
    <w:rsid w:val="780D320A"/>
    <w:rsid w:val="7826607A"/>
    <w:rsid w:val="785C7CED"/>
    <w:rsid w:val="786C6182"/>
    <w:rsid w:val="787943FB"/>
    <w:rsid w:val="789433CB"/>
    <w:rsid w:val="78D760B6"/>
    <w:rsid w:val="78DD498A"/>
    <w:rsid w:val="78FB5758"/>
    <w:rsid w:val="792128F0"/>
    <w:rsid w:val="79734022"/>
    <w:rsid w:val="79773031"/>
    <w:rsid w:val="79911824"/>
    <w:rsid w:val="799736F9"/>
    <w:rsid w:val="799A6677"/>
    <w:rsid w:val="799B093F"/>
    <w:rsid w:val="79A408EB"/>
    <w:rsid w:val="79B00192"/>
    <w:rsid w:val="79C21DD2"/>
    <w:rsid w:val="79C43D9C"/>
    <w:rsid w:val="79D7762B"/>
    <w:rsid w:val="79DC7CBF"/>
    <w:rsid w:val="7A047BEE"/>
    <w:rsid w:val="7A2523DC"/>
    <w:rsid w:val="7A2A1C30"/>
    <w:rsid w:val="7A2B1A70"/>
    <w:rsid w:val="7A2C7387"/>
    <w:rsid w:val="7A2E1215"/>
    <w:rsid w:val="7A67775E"/>
    <w:rsid w:val="7A684727"/>
    <w:rsid w:val="7A7C1AD0"/>
    <w:rsid w:val="7A8E4586"/>
    <w:rsid w:val="7A94376E"/>
    <w:rsid w:val="7ABE07EB"/>
    <w:rsid w:val="7ADE37AF"/>
    <w:rsid w:val="7AE7015F"/>
    <w:rsid w:val="7B000E04"/>
    <w:rsid w:val="7B082F05"/>
    <w:rsid w:val="7B145A11"/>
    <w:rsid w:val="7B167964"/>
    <w:rsid w:val="7B2A20B0"/>
    <w:rsid w:val="7B477562"/>
    <w:rsid w:val="7B4C5FDE"/>
    <w:rsid w:val="7B670E83"/>
    <w:rsid w:val="7B735A7A"/>
    <w:rsid w:val="7B805E5E"/>
    <w:rsid w:val="7B8E085C"/>
    <w:rsid w:val="7B8F7E40"/>
    <w:rsid w:val="7B931C78"/>
    <w:rsid w:val="7BC2430B"/>
    <w:rsid w:val="7BC506FF"/>
    <w:rsid w:val="7BD06A28"/>
    <w:rsid w:val="7C06508E"/>
    <w:rsid w:val="7C077F70"/>
    <w:rsid w:val="7C4B2553"/>
    <w:rsid w:val="7C5B7FAB"/>
    <w:rsid w:val="7C742262"/>
    <w:rsid w:val="7C750D4B"/>
    <w:rsid w:val="7C7C1E47"/>
    <w:rsid w:val="7C8B0BA1"/>
    <w:rsid w:val="7C8C7D46"/>
    <w:rsid w:val="7CA9787A"/>
    <w:rsid w:val="7CAB2FF1"/>
    <w:rsid w:val="7CBC6BC7"/>
    <w:rsid w:val="7CF91FAF"/>
    <w:rsid w:val="7D182727"/>
    <w:rsid w:val="7D413844"/>
    <w:rsid w:val="7D5C784E"/>
    <w:rsid w:val="7D9121E7"/>
    <w:rsid w:val="7DE90E7A"/>
    <w:rsid w:val="7E23398C"/>
    <w:rsid w:val="7E2766A8"/>
    <w:rsid w:val="7E5B5E04"/>
    <w:rsid w:val="7E68119A"/>
    <w:rsid w:val="7E8D3366"/>
    <w:rsid w:val="7EC32E38"/>
    <w:rsid w:val="7EC82CE9"/>
    <w:rsid w:val="7F036DAF"/>
    <w:rsid w:val="7F0A2251"/>
    <w:rsid w:val="7F0B1A98"/>
    <w:rsid w:val="7F4D294D"/>
    <w:rsid w:val="7F5B5851"/>
    <w:rsid w:val="7F5F372B"/>
    <w:rsid w:val="7F7B2628"/>
    <w:rsid w:val="7F7D2A23"/>
    <w:rsid w:val="7F97D7F2"/>
    <w:rsid w:val="7F9F7384"/>
    <w:rsid w:val="7FB93F2D"/>
    <w:rsid w:val="7FCE327F"/>
    <w:rsid w:val="7FE17456"/>
    <w:rsid w:val="7FE431E1"/>
    <w:rsid w:val="7FE9455C"/>
    <w:rsid w:val="7FFD3B64"/>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5"/>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2"/>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4"/>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unhideWhenUsed/>
    <w:qFormat/>
    <w:uiPriority w:val="1"/>
  </w:style>
  <w:style w:type="table" w:default="1" w:styleId="45">
    <w:name w:val="Normal Table"/>
    <w:autoRedefine/>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3"/>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70"/>
    <w:autoRedefine/>
    <w:qFormat/>
    <w:uiPriority w:val="0"/>
    <w:pPr>
      <w:shd w:val="clear" w:color="auto" w:fill="000080"/>
    </w:pPr>
  </w:style>
  <w:style w:type="paragraph" w:styleId="15">
    <w:name w:val="annotation text"/>
    <w:basedOn w:val="1"/>
    <w:link w:val="71"/>
    <w:autoRedefine/>
    <w:qFormat/>
    <w:uiPriority w:val="99"/>
    <w:pPr>
      <w:jc w:val="left"/>
    </w:pPr>
  </w:style>
  <w:style w:type="paragraph" w:styleId="16">
    <w:name w:val="Body Text 3"/>
    <w:basedOn w:val="1"/>
    <w:link w:val="72"/>
    <w:autoRedefine/>
    <w:qFormat/>
    <w:uiPriority w:val="0"/>
    <w:pPr>
      <w:spacing w:after="120"/>
    </w:pPr>
    <w:rPr>
      <w:sz w:val="16"/>
      <w:szCs w:val="16"/>
    </w:rPr>
  </w:style>
  <w:style w:type="paragraph" w:styleId="17">
    <w:name w:val="Body Text"/>
    <w:basedOn w:val="1"/>
    <w:next w:val="1"/>
    <w:link w:val="73"/>
    <w:autoRedefine/>
    <w:qFormat/>
    <w:uiPriority w:val="0"/>
    <w:pPr>
      <w:tabs>
        <w:tab w:val="left" w:pos="567"/>
      </w:tabs>
      <w:spacing w:before="120" w:line="22" w:lineRule="atLeast"/>
    </w:pPr>
    <w:rPr>
      <w:rFonts w:ascii="宋体" w:hAnsi="宋体"/>
      <w:sz w:val="24"/>
    </w:rPr>
  </w:style>
  <w:style w:type="paragraph" w:styleId="18">
    <w:name w:val="Body Text Indent"/>
    <w:basedOn w:val="1"/>
    <w:link w:val="5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4"/>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5"/>
    <w:autoRedefine/>
    <w:qFormat/>
    <w:uiPriority w:val="0"/>
    <w:pPr>
      <w:ind w:left="100" w:leftChars="2500"/>
    </w:pPr>
    <w:rPr>
      <w:rFonts w:ascii="仿宋_GB2312" w:hAnsi="宋体" w:eastAsia="仿宋_GB2312"/>
      <w:color w:val="000000"/>
      <w:sz w:val="24"/>
    </w:rPr>
  </w:style>
  <w:style w:type="paragraph" w:styleId="26">
    <w:name w:val="Body Text Indent 2"/>
    <w:basedOn w:val="1"/>
    <w:link w:val="76"/>
    <w:autoRedefine/>
    <w:qFormat/>
    <w:uiPriority w:val="0"/>
    <w:pPr>
      <w:ind w:firstLine="480" w:firstLineChars="200"/>
    </w:pPr>
    <w:rPr>
      <w:rFonts w:ascii="仿宋_GB2312" w:eastAsia="仿宋_GB2312"/>
      <w:sz w:val="24"/>
    </w:rPr>
  </w:style>
  <w:style w:type="paragraph" w:styleId="27">
    <w:name w:val="Balloon Text"/>
    <w:basedOn w:val="1"/>
    <w:link w:val="77"/>
    <w:autoRedefine/>
    <w:qFormat/>
    <w:uiPriority w:val="0"/>
    <w:rPr>
      <w:sz w:val="18"/>
      <w:szCs w:val="18"/>
    </w:rPr>
  </w:style>
  <w:style w:type="paragraph" w:styleId="28">
    <w:name w:val="footer"/>
    <w:basedOn w:val="1"/>
    <w:next w:val="1"/>
    <w:link w:val="7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autoRedefine/>
    <w:qFormat/>
    <w:uiPriority w:val="99"/>
    <w:rPr>
      <w:rFonts w:ascii="Arial" w:hAnsi="Arial" w:cs="Arial"/>
      <w:kern w:val="1"/>
    </w:rPr>
  </w:style>
  <w:style w:type="paragraph" w:styleId="30">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footnote text"/>
    <w:basedOn w:val="1"/>
    <w:next w:val="30"/>
    <w:autoRedefine/>
    <w:unhideWhenUsed/>
    <w:qFormat/>
    <w:uiPriority w:val="0"/>
    <w:pPr>
      <w:snapToGrid w:val="0"/>
      <w:jc w:val="left"/>
    </w:pPr>
  </w:style>
  <w:style w:type="paragraph" w:styleId="34">
    <w:name w:val="toc 6"/>
    <w:basedOn w:val="1"/>
    <w:next w:val="1"/>
    <w:autoRedefine/>
    <w:qFormat/>
    <w:uiPriority w:val="0"/>
    <w:pPr>
      <w:ind w:left="2100" w:leftChars="1000"/>
    </w:pPr>
  </w:style>
  <w:style w:type="paragraph" w:styleId="35">
    <w:name w:val="Body Text Indent 3"/>
    <w:basedOn w:val="1"/>
    <w:link w:val="80"/>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82"/>
    <w:autoRedefine/>
    <w:qFormat/>
    <w:uiPriority w:val="0"/>
    <w:pPr>
      <w:jc w:val="center"/>
      <w:outlineLvl w:val="0"/>
    </w:pPr>
    <w:rPr>
      <w:b/>
      <w:sz w:val="32"/>
      <w:szCs w:val="20"/>
    </w:rPr>
  </w:style>
  <w:style w:type="paragraph" w:styleId="42">
    <w:name w:val="annotation subject"/>
    <w:basedOn w:val="15"/>
    <w:next w:val="15"/>
    <w:link w:val="83"/>
    <w:autoRedefine/>
    <w:qFormat/>
    <w:uiPriority w:val="0"/>
    <w:rPr>
      <w:b/>
      <w:bCs/>
    </w:rPr>
  </w:style>
  <w:style w:type="paragraph" w:styleId="43">
    <w:name w:val="Body Text First Indent"/>
    <w:basedOn w:val="17"/>
    <w:autoRedefine/>
    <w:qFormat/>
    <w:uiPriority w:val="0"/>
    <w:pPr>
      <w:widowControl w:val="0"/>
      <w:spacing w:before="120" w:after="120" w:line="22" w:lineRule="atLeast"/>
      <w:ind w:firstLine="420" w:firstLineChars="100"/>
      <w:jc w:val="both"/>
    </w:pPr>
    <w:rPr>
      <w:rFonts w:ascii="Calibri" w:hAnsi="Calibri" w:eastAsia="宋体" w:cs="Times New Roman"/>
      <w:kern w:val="2"/>
      <w:sz w:val="21"/>
      <w:szCs w:val="24"/>
      <w:lang w:val="en-US" w:eastAsia="zh-CN" w:bidi="ar-SA"/>
    </w:rPr>
  </w:style>
  <w:style w:type="paragraph" w:styleId="44">
    <w:name w:val="Body Text First Indent 2"/>
    <w:basedOn w:val="18"/>
    <w:link w:val="59"/>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autoRedefine/>
    <w:qFormat/>
    <w:uiPriority w:val="0"/>
    <w:rPr>
      <w:i/>
      <w:iCs/>
    </w:rPr>
  </w:style>
  <w:style w:type="paragraph" w:customStyle="1" w:styleId="56">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57">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58">
    <w:name w:val="正文文本缩进 字符"/>
    <w:link w:val="18"/>
    <w:autoRedefine/>
    <w:qFormat/>
    <w:uiPriority w:val="0"/>
    <w:rPr>
      <w:rFonts w:eastAsia="宋体"/>
      <w:kern w:val="2"/>
      <w:sz w:val="24"/>
      <w:szCs w:val="24"/>
      <w:lang w:val="en-US" w:eastAsia="zh-CN" w:bidi="ar-SA"/>
    </w:rPr>
  </w:style>
  <w:style w:type="character" w:customStyle="1" w:styleId="59">
    <w:name w:val="正文首行缩进 2 字符"/>
    <w:basedOn w:val="58"/>
    <w:link w:val="44"/>
    <w:autoRedefine/>
    <w:qFormat/>
    <w:uiPriority w:val="0"/>
    <w:rPr>
      <w:rFonts w:eastAsia="宋体"/>
      <w:kern w:val="2"/>
      <w:sz w:val="24"/>
      <w:szCs w:val="24"/>
      <w:lang w:val="en-US" w:eastAsia="zh-CN" w:bidi="ar-SA"/>
    </w:rPr>
  </w:style>
  <w:style w:type="character" w:customStyle="1" w:styleId="60">
    <w:name w:val="标题 1 字符"/>
    <w:basedOn w:val="48"/>
    <w:link w:val="2"/>
    <w:autoRedefine/>
    <w:qFormat/>
    <w:uiPriority w:val="0"/>
    <w:rPr>
      <w:rFonts w:ascii="宋体"/>
      <w:b/>
      <w:kern w:val="44"/>
      <w:sz w:val="32"/>
    </w:rPr>
  </w:style>
  <w:style w:type="character" w:customStyle="1" w:styleId="61">
    <w:name w:val="标题 2 字符"/>
    <w:link w:val="3"/>
    <w:autoRedefine/>
    <w:qFormat/>
    <w:uiPriority w:val="0"/>
    <w:rPr>
      <w:rFonts w:ascii="Arial" w:hAnsi="Arial" w:eastAsia="黑体"/>
      <w:b/>
      <w:sz w:val="30"/>
      <w:lang w:val="en-US" w:eastAsia="zh-CN" w:bidi="ar-SA"/>
    </w:rPr>
  </w:style>
  <w:style w:type="character" w:customStyle="1" w:styleId="62">
    <w:name w:val="标题 3 字符"/>
    <w:link w:val="4"/>
    <w:autoRedefine/>
    <w:qFormat/>
    <w:uiPriority w:val="0"/>
    <w:rPr>
      <w:rFonts w:ascii="宋体" w:eastAsia="宋体"/>
      <w:b/>
      <w:sz w:val="24"/>
      <w:u w:val="single"/>
      <w:lang w:val="en-US" w:eastAsia="zh-CN" w:bidi="ar-SA"/>
    </w:rPr>
  </w:style>
  <w:style w:type="character" w:customStyle="1" w:styleId="63">
    <w:name w:val="正文缩进 字符"/>
    <w:link w:val="12"/>
    <w:autoRedefine/>
    <w:qFormat/>
    <w:uiPriority w:val="0"/>
    <w:rPr>
      <w:rFonts w:ascii="宋体" w:eastAsia="宋体"/>
      <w:kern w:val="2"/>
      <w:sz w:val="24"/>
      <w:szCs w:val="24"/>
      <w:lang w:val="en-US" w:eastAsia="zh-CN" w:bidi="ar-SA"/>
    </w:rPr>
  </w:style>
  <w:style w:type="character" w:customStyle="1" w:styleId="64">
    <w:name w:val="标题 4 字符"/>
    <w:basedOn w:val="48"/>
    <w:link w:val="5"/>
    <w:autoRedefine/>
    <w:qFormat/>
    <w:uiPriority w:val="0"/>
    <w:rPr>
      <w:rFonts w:ascii="Arial" w:hAnsi="Arial" w:eastAsia="黑体"/>
      <w:b/>
      <w:sz w:val="28"/>
    </w:rPr>
  </w:style>
  <w:style w:type="character" w:customStyle="1" w:styleId="65">
    <w:name w:val="标题 5 字符"/>
    <w:basedOn w:val="48"/>
    <w:link w:val="6"/>
    <w:autoRedefine/>
    <w:qFormat/>
    <w:uiPriority w:val="0"/>
    <w:rPr>
      <w:b/>
      <w:sz w:val="28"/>
    </w:rPr>
  </w:style>
  <w:style w:type="character" w:customStyle="1" w:styleId="66">
    <w:name w:val="标题 6 字符"/>
    <w:basedOn w:val="48"/>
    <w:link w:val="7"/>
    <w:autoRedefine/>
    <w:qFormat/>
    <w:uiPriority w:val="0"/>
    <w:rPr>
      <w:rFonts w:ascii="Arial" w:hAnsi="Arial" w:eastAsia="黑体"/>
      <w:b/>
      <w:sz w:val="24"/>
    </w:rPr>
  </w:style>
  <w:style w:type="character" w:customStyle="1" w:styleId="67">
    <w:name w:val="标题 7 字符"/>
    <w:basedOn w:val="48"/>
    <w:link w:val="8"/>
    <w:autoRedefine/>
    <w:qFormat/>
    <w:uiPriority w:val="0"/>
    <w:rPr>
      <w:b/>
      <w:sz w:val="24"/>
    </w:rPr>
  </w:style>
  <w:style w:type="character" w:customStyle="1" w:styleId="68">
    <w:name w:val="标题 8 字符"/>
    <w:basedOn w:val="48"/>
    <w:link w:val="9"/>
    <w:autoRedefine/>
    <w:qFormat/>
    <w:uiPriority w:val="0"/>
    <w:rPr>
      <w:rFonts w:ascii="Arial" w:hAnsi="Arial" w:eastAsia="黑体"/>
      <w:sz w:val="24"/>
    </w:rPr>
  </w:style>
  <w:style w:type="character" w:customStyle="1" w:styleId="69">
    <w:name w:val="标题 9 字符"/>
    <w:basedOn w:val="48"/>
    <w:link w:val="10"/>
    <w:autoRedefine/>
    <w:qFormat/>
    <w:uiPriority w:val="0"/>
    <w:rPr>
      <w:rFonts w:ascii="Arial" w:hAnsi="Arial" w:eastAsia="黑体"/>
      <w:sz w:val="21"/>
    </w:rPr>
  </w:style>
  <w:style w:type="character" w:customStyle="1" w:styleId="70">
    <w:name w:val="文档结构图 字符"/>
    <w:basedOn w:val="48"/>
    <w:link w:val="14"/>
    <w:autoRedefine/>
    <w:qFormat/>
    <w:uiPriority w:val="0"/>
    <w:rPr>
      <w:kern w:val="2"/>
      <w:sz w:val="21"/>
      <w:szCs w:val="24"/>
      <w:shd w:val="clear" w:color="auto" w:fill="000080"/>
    </w:rPr>
  </w:style>
  <w:style w:type="character" w:customStyle="1" w:styleId="71">
    <w:name w:val="批注文字 字符1"/>
    <w:link w:val="15"/>
    <w:autoRedefine/>
    <w:qFormat/>
    <w:uiPriority w:val="99"/>
    <w:rPr>
      <w:kern w:val="2"/>
      <w:sz w:val="21"/>
      <w:szCs w:val="24"/>
    </w:rPr>
  </w:style>
  <w:style w:type="character" w:customStyle="1" w:styleId="72">
    <w:name w:val="正文文本 3 字符"/>
    <w:basedOn w:val="48"/>
    <w:link w:val="16"/>
    <w:autoRedefine/>
    <w:qFormat/>
    <w:uiPriority w:val="0"/>
    <w:rPr>
      <w:kern w:val="2"/>
      <w:sz w:val="16"/>
      <w:szCs w:val="16"/>
    </w:rPr>
  </w:style>
  <w:style w:type="character" w:customStyle="1" w:styleId="73">
    <w:name w:val="正文文本 字符"/>
    <w:basedOn w:val="48"/>
    <w:link w:val="17"/>
    <w:autoRedefine/>
    <w:qFormat/>
    <w:uiPriority w:val="0"/>
    <w:rPr>
      <w:rFonts w:ascii="宋体" w:hAnsi="宋体"/>
      <w:kern w:val="2"/>
      <w:sz w:val="24"/>
      <w:szCs w:val="24"/>
    </w:rPr>
  </w:style>
  <w:style w:type="character" w:customStyle="1" w:styleId="74">
    <w:name w:val="纯文本 字符2"/>
    <w:basedOn w:val="48"/>
    <w:link w:val="23"/>
    <w:autoRedefine/>
    <w:qFormat/>
    <w:uiPriority w:val="0"/>
    <w:rPr>
      <w:rFonts w:hint="eastAsia" w:ascii="宋体" w:hAnsi="Courier New" w:eastAsia="宋体" w:cs="宋体"/>
      <w:kern w:val="2"/>
      <w:sz w:val="21"/>
    </w:rPr>
  </w:style>
  <w:style w:type="character" w:customStyle="1" w:styleId="75">
    <w:name w:val="日期 字符"/>
    <w:basedOn w:val="48"/>
    <w:link w:val="25"/>
    <w:autoRedefine/>
    <w:qFormat/>
    <w:uiPriority w:val="0"/>
    <w:rPr>
      <w:rFonts w:ascii="仿宋_GB2312" w:hAnsi="宋体" w:eastAsia="仿宋_GB2312"/>
      <w:color w:val="000000"/>
      <w:kern w:val="2"/>
      <w:sz w:val="24"/>
      <w:szCs w:val="24"/>
    </w:rPr>
  </w:style>
  <w:style w:type="character" w:customStyle="1" w:styleId="76">
    <w:name w:val="正文文本缩进 2 字符"/>
    <w:basedOn w:val="48"/>
    <w:link w:val="26"/>
    <w:autoRedefine/>
    <w:qFormat/>
    <w:uiPriority w:val="0"/>
    <w:rPr>
      <w:rFonts w:ascii="仿宋_GB2312" w:eastAsia="仿宋_GB2312"/>
      <w:kern w:val="2"/>
      <w:sz w:val="24"/>
      <w:szCs w:val="24"/>
    </w:rPr>
  </w:style>
  <w:style w:type="character" w:customStyle="1" w:styleId="77">
    <w:name w:val="批注框文本 字符"/>
    <w:basedOn w:val="48"/>
    <w:link w:val="27"/>
    <w:autoRedefine/>
    <w:qFormat/>
    <w:uiPriority w:val="0"/>
    <w:rPr>
      <w:kern w:val="2"/>
      <w:sz w:val="18"/>
      <w:szCs w:val="18"/>
    </w:rPr>
  </w:style>
  <w:style w:type="character" w:customStyle="1" w:styleId="78">
    <w:name w:val="页脚 字符"/>
    <w:link w:val="28"/>
    <w:autoRedefine/>
    <w:qFormat/>
    <w:uiPriority w:val="99"/>
    <w:rPr>
      <w:rFonts w:ascii="宋体" w:eastAsia="宋体"/>
      <w:sz w:val="18"/>
      <w:lang w:val="en-US" w:eastAsia="zh-CN" w:bidi="ar-SA"/>
    </w:rPr>
  </w:style>
  <w:style w:type="character" w:customStyle="1" w:styleId="79">
    <w:name w:val="页眉 字符"/>
    <w:link w:val="30"/>
    <w:autoRedefine/>
    <w:qFormat/>
    <w:uiPriority w:val="0"/>
    <w:rPr>
      <w:rFonts w:eastAsia="宋体"/>
      <w:kern w:val="2"/>
      <w:sz w:val="18"/>
      <w:szCs w:val="18"/>
      <w:lang w:val="en-US" w:eastAsia="zh-CN" w:bidi="ar-SA"/>
    </w:rPr>
  </w:style>
  <w:style w:type="character" w:customStyle="1" w:styleId="80">
    <w:name w:val="正文文本缩进 3 字符"/>
    <w:basedOn w:val="48"/>
    <w:link w:val="35"/>
    <w:autoRedefine/>
    <w:qFormat/>
    <w:uiPriority w:val="0"/>
    <w:rPr>
      <w:rFonts w:ascii="宋体"/>
      <w:sz w:val="24"/>
    </w:rPr>
  </w:style>
  <w:style w:type="character" w:customStyle="1" w:styleId="81">
    <w:name w:val="HTML 预设格式 字符"/>
    <w:basedOn w:val="48"/>
    <w:link w:val="38"/>
    <w:autoRedefine/>
    <w:qFormat/>
    <w:uiPriority w:val="0"/>
    <w:rPr>
      <w:rFonts w:ascii="宋体" w:hAnsi="宋体" w:cs="宋体"/>
      <w:sz w:val="24"/>
      <w:szCs w:val="24"/>
    </w:rPr>
  </w:style>
  <w:style w:type="character" w:customStyle="1" w:styleId="82">
    <w:name w:val="标题 字符"/>
    <w:link w:val="41"/>
    <w:autoRedefine/>
    <w:qFormat/>
    <w:uiPriority w:val="0"/>
    <w:rPr>
      <w:b/>
      <w:kern w:val="2"/>
      <w:sz w:val="32"/>
    </w:rPr>
  </w:style>
  <w:style w:type="character" w:customStyle="1" w:styleId="83">
    <w:name w:val="批注主题 字符"/>
    <w:basedOn w:val="84"/>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autoRedefine/>
    <w:qFormat/>
    <w:uiPriority w:val="99"/>
    <w:rPr>
      <w:rFonts w:ascii="Times New Roman" w:hAnsi="Times New Roman" w:eastAsia="宋体" w:cs="Times New Roman"/>
      <w:sz w:val="24"/>
      <w:lang w:val="en-US" w:eastAsia="zh-CN" w:bidi="ar-SA"/>
    </w:rPr>
  </w:style>
  <w:style w:type="character" w:customStyle="1" w:styleId="85">
    <w:name w:val="标题 1 Char"/>
    <w:basedOn w:val="48"/>
    <w:link w:val="2"/>
    <w:autoRedefine/>
    <w:qFormat/>
    <w:uiPriority w:val="0"/>
    <w:rPr>
      <w:rFonts w:ascii="宋体" w:hAnsi="Times New Roman" w:eastAsia="宋体" w:cs="Times New Roman"/>
      <w:b/>
      <w:kern w:val="44"/>
      <w:sz w:val="32"/>
      <w:szCs w:val="20"/>
    </w:rPr>
  </w:style>
  <w:style w:type="character" w:customStyle="1" w:styleId="86">
    <w:name w:val="c21"/>
    <w:autoRedefine/>
    <w:qFormat/>
    <w:uiPriority w:val="0"/>
    <w:rPr>
      <w:rFonts w:hint="default" w:ascii="ˎ̥" w:hAnsi="ˎ̥"/>
      <w:color w:val="000000"/>
      <w:sz w:val="20"/>
      <w:szCs w:val="20"/>
      <w:u w:val="none"/>
    </w:rPr>
  </w:style>
  <w:style w:type="character" w:customStyle="1" w:styleId="87">
    <w:name w:val="title4"/>
    <w:autoRedefine/>
    <w:qFormat/>
    <w:uiPriority w:val="0"/>
    <w:rPr>
      <w:b/>
      <w:bCs/>
      <w:color w:val="1D87B3"/>
      <w:sz w:val="15"/>
      <w:szCs w:val="15"/>
    </w:rPr>
  </w:style>
  <w:style w:type="character" w:customStyle="1" w:styleId="88">
    <w:name w:val="标题 2 Char Char"/>
    <w:autoRedefine/>
    <w:qFormat/>
    <w:uiPriority w:val="0"/>
    <w:rPr>
      <w:rFonts w:ascii="Arial" w:hAnsi="Arial" w:eastAsia="黑体"/>
      <w:b/>
      <w:bCs/>
      <w:kern w:val="2"/>
      <w:sz w:val="32"/>
      <w:szCs w:val="32"/>
      <w:lang w:val="en-US" w:eastAsia="zh-CN" w:bidi="ar-SA"/>
    </w:rPr>
  </w:style>
  <w:style w:type="character" w:customStyle="1" w:styleId="89">
    <w:name w:val="black1"/>
    <w:autoRedefine/>
    <w:qFormat/>
    <w:uiPriority w:val="0"/>
    <w:rPr>
      <w:color w:val="000000"/>
    </w:rPr>
  </w:style>
  <w:style w:type="character" w:customStyle="1" w:styleId="90">
    <w:name w:val="street-address"/>
    <w:basedOn w:val="48"/>
    <w:autoRedefine/>
    <w:qFormat/>
    <w:uiPriority w:val="0"/>
  </w:style>
  <w:style w:type="character" w:customStyle="1" w:styleId="91">
    <w:name w:val="locality"/>
    <w:basedOn w:val="48"/>
    <w:autoRedefine/>
    <w:qFormat/>
    <w:uiPriority w:val="0"/>
  </w:style>
  <w:style w:type="character" w:customStyle="1" w:styleId="92">
    <w:name w:val="正文文本缩进 Char1"/>
    <w:link w:val="93"/>
    <w:autoRedefine/>
    <w:qFormat/>
    <w:uiPriority w:val="0"/>
    <w:rPr>
      <w:rFonts w:ascii="宋体" w:hAnsi="宋体" w:eastAsia="宋体"/>
      <w:sz w:val="24"/>
      <w:szCs w:val="24"/>
      <w:lang w:bidi="ar-SA"/>
    </w:rPr>
  </w:style>
  <w:style w:type="paragraph" w:customStyle="1" w:styleId="93">
    <w:name w:val="正文文本缩进1"/>
    <w:basedOn w:val="1"/>
    <w:link w:val="92"/>
    <w:autoRedefine/>
    <w:qFormat/>
    <w:uiPriority w:val="0"/>
    <w:pPr>
      <w:spacing w:line="480" w:lineRule="exact"/>
      <w:ind w:firstLine="480" w:firstLineChars="200"/>
    </w:pPr>
    <w:rPr>
      <w:rFonts w:ascii="宋体" w:hAnsi="宋体"/>
      <w:kern w:val="0"/>
      <w:sz w:val="24"/>
    </w:rPr>
  </w:style>
  <w:style w:type="character" w:customStyle="1" w:styleId="94">
    <w:name w:val="Char Char11"/>
    <w:autoRedefine/>
    <w:qFormat/>
    <w:uiPriority w:val="0"/>
    <w:rPr>
      <w:rFonts w:ascii="宋体" w:eastAsia="宋体"/>
      <w:b/>
      <w:sz w:val="24"/>
      <w:u w:val="single"/>
      <w:lang w:val="en-US" w:eastAsia="zh-CN" w:bidi="ar-SA"/>
    </w:rPr>
  </w:style>
  <w:style w:type="character" w:customStyle="1" w:styleId="95">
    <w:name w:val="txt"/>
    <w:basedOn w:val="48"/>
    <w:autoRedefine/>
    <w:qFormat/>
    <w:uiPriority w:val="0"/>
  </w:style>
  <w:style w:type="character" w:customStyle="1" w:styleId="96">
    <w:name w:val="正文缩进 Char Char"/>
    <w:link w:val="97"/>
    <w:autoRedefine/>
    <w:qFormat/>
    <w:uiPriority w:val="0"/>
    <w:rPr>
      <w:rFonts w:ascii="宋体" w:eastAsia="宋体"/>
      <w:snapToGrid w:val="0"/>
      <w:color w:val="000000"/>
      <w:kern w:val="28"/>
      <w:sz w:val="28"/>
      <w:lang w:bidi="ar-SA"/>
    </w:rPr>
  </w:style>
  <w:style w:type="paragraph" w:customStyle="1" w:styleId="97">
    <w:name w:val="正文缩进1"/>
    <w:basedOn w:val="1"/>
    <w:link w:val="96"/>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autoRedefine/>
    <w:qFormat/>
    <w:uiPriority w:val="0"/>
    <w:rPr>
      <w:rFonts w:ascii="宋体" w:hAnsi="Courier New" w:eastAsia="宋体"/>
      <w:kern w:val="2"/>
      <w:sz w:val="21"/>
      <w:lang w:val="en-US" w:eastAsia="zh-CN" w:bidi="ar-SA"/>
    </w:rPr>
  </w:style>
  <w:style w:type="character" w:customStyle="1" w:styleId="99">
    <w:name w:val="chanpin1"/>
    <w:autoRedefine/>
    <w:qFormat/>
    <w:uiPriority w:val="0"/>
    <w:rPr>
      <w:rFonts w:hint="default" w:ascii="ˎ̥" w:hAnsi="ˎ̥"/>
      <w:color w:val="000000"/>
      <w:sz w:val="20"/>
      <w:szCs w:val="20"/>
      <w:u w:val="none"/>
    </w:rPr>
  </w:style>
  <w:style w:type="character" w:customStyle="1" w:styleId="100">
    <w:name w:val="列出段落 字符"/>
    <w:link w:val="101"/>
    <w:autoRedefine/>
    <w:qFormat/>
    <w:uiPriority w:val="34"/>
    <w:rPr>
      <w:rFonts w:ascii="Calibri" w:hAnsi="Calibri" w:eastAsia="宋体"/>
      <w:kern w:val="2"/>
      <w:sz w:val="21"/>
      <w:szCs w:val="22"/>
      <w:lang w:val="en-US" w:eastAsia="zh-CN" w:bidi="ar-SA"/>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标题 3 Char Char"/>
    <w:autoRedefine/>
    <w:qFormat/>
    <w:uiPriority w:val="0"/>
    <w:rPr>
      <w:rFonts w:eastAsia="宋体"/>
      <w:b/>
      <w:bCs/>
      <w:kern w:val="2"/>
      <w:sz w:val="32"/>
      <w:szCs w:val="32"/>
      <w:lang w:val="en-US" w:eastAsia="zh-CN" w:bidi="ar-SA"/>
    </w:rPr>
  </w:style>
  <w:style w:type="character" w:customStyle="1" w:styleId="103">
    <w:name w:val="段1 Char"/>
    <w:autoRedefine/>
    <w:qFormat/>
    <w:uiPriority w:val="0"/>
    <w:rPr>
      <w:rFonts w:ascii="宋体" w:eastAsia="宋体"/>
      <w:sz w:val="24"/>
      <w:lang w:val="en-US" w:eastAsia="zh-CN" w:bidi="ar-SA"/>
    </w:rPr>
  </w:style>
  <w:style w:type="character" w:customStyle="1" w:styleId="104">
    <w:name w:val="chanpin拷贝"/>
    <w:basedOn w:val="48"/>
    <w:autoRedefine/>
    <w:qFormat/>
    <w:uiPriority w:val="0"/>
  </w:style>
  <w:style w:type="character" w:customStyle="1" w:styleId="105">
    <w:name w:val="纯文本 Char1"/>
    <w:autoRedefine/>
    <w:qFormat/>
    <w:uiPriority w:val="0"/>
    <w:rPr>
      <w:rFonts w:ascii="宋体" w:hAnsi="Courier New" w:eastAsia="宋体"/>
      <w:kern w:val="2"/>
      <w:sz w:val="21"/>
      <w:lang w:val="en-US" w:eastAsia="zh-CN" w:bidi="ar-SA"/>
    </w:rPr>
  </w:style>
  <w:style w:type="character" w:customStyle="1" w:styleId="106">
    <w:name w:val="apple-style-span"/>
    <w:autoRedefine/>
    <w:qFormat/>
    <w:uiPriority w:val="0"/>
    <w:rPr>
      <w:rFonts w:cs="Times New Roman"/>
    </w:rPr>
  </w:style>
  <w:style w:type="paragraph" w:customStyle="1" w:styleId="107">
    <w:name w:val="二级条标题"/>
    <w:basedOn w:val="10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autoRedefine/>
    <w:qFormat/>
    <w:uiPriority w:val="0"/>
    <w:pPr>
      <w:numPr>
        <w:ilvl w:val="1"/>
      </w:numPr>
      <w:tabs>
        <w:tab w:val="left" w:pos="360"/>
        <w:tab w:val="left" w:pos="840"/>
      </w:tabs>
      <w:ind w:left="0" w:hanging="840"/>
      <w:outlineLvl w:val="1"/>
    </w:pPr>
  </w:style>
  <w:style w:type="paragraph" w:customStyle="1" w:styleId="109">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autoRedefine/>
    <w:qFormat/>
    <w:uiPriority w:val="0"/>
    <w:rPr>
      <w:rFonts w:ascii="Tahoma" w:hAnsi="Tahoma"/>
      <w:sz w:val="24"/>
      <w:szCs w:val="20"/>
    </w:rPr>
  </w:style>
  <w:style w:type="paragraph" w:customStyle="1" w:styleId="112">
    <w:name w:val="Char3 Char Char Char"/>
    <w:basedOn w:val="1"/>
    <w:autoRedefine/>
    <w:qFormat/>
    <w:uiPriority w:val="0"/>
    <w:rPr>
      <w:rFonts w:ascii="Tahoma" w:hAnsi="Tahoma"/>
      <w:sz w:val="24"/>
      <w:szCs w:val="20"/>
    </w:rPr>
  </w:style>
  <w:style w:type="paragraph" w:customStyle="1" w:styleId="113">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autoRedefine/>
    <w:qFormat/>
    <w:uiPriority w:val="0"/>
    <w:pPr>
      <w:numPr>
        <w:numId w:val="2"/>
      </w:numPr>
    </w:pPr>
  </w:style>
  <w:style w:type="paragraph" w:customStyle="1" w:styleId="11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autoRedefine/>
    <w:qFormat/>
    <w:uiPriority w:val="0"/>
    <w:pPr>
      <w:adjustRightInd w:val="0"/>
      <w:snapToGrid w:val="0"/>
      <w:spacing w:line="0" w:lineRule="atLeast"/>
      <w:jc w:val="center"/>
    </w:pPr>
    <w:rPr>
      <w:sz w:val="24"/>
      <w:szCs w:val="20"/>
    </w:rPr>
  </w:style>
  <w:style w:type="paragraph" w:customStyle="1" w:styleId="1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autoRedefine/>
    <w:qFormat/>
    <w:uiPriority w:val="0"/>
    <w:rPr>
      <w:rFonts w:ascii="Tahoma" w:hAnsi="Tahoma"/>
      <w:sz w:val="24"/>
      <w:szCs w:val="20"/>
    </w:rPr>
  </w:style>
  <w:style w:type="paragraph" w:customStyle="1" w:styleId="12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autoRedefine/>
    <w:qFormat/>
    <w:uiPriority w:val="0"/>
    <w:pPr>
      <w:widowControl/>
      <w:spacing w:before="100" w:beforeAutospacing="1" w:after="100" w:afterAutospacing="1"/>
      <w:jc w:val="left"/>
    </w:pPr>
    <w:rPr>
      <w:kern w:val="0"/>
      <w:sz w:val="36"/>
      <w:szCs w:val="36"/>
    </w:rPr>
  </w:style>
  <w:style w:type="paragraph" w:customStyle="1" w:styleId="134">
    <w:name w:val="Char"/>
    <w:basedOn w:val="1"/>
    <w:autoRedefine/>
    <w:qFormat/>
    <w:uiPriority w:val="0"/>
    <w:pPr>
      <w:tabs>
        <w:tab w:val="left" w:pos="360"/>
      </w:tabs>
    </w:pPr>
    <w:rPr>
      <w:sz w:val="24"/>
    </w:rPr>
  </w:style>
  <w:style w:type="paragraph" w:customStyle="1" w:styleId="135">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4"/>
    <w:autoRedefine/>
    <w:qFormat/>
    <w:uiPriority w:val="0"/>
    <w:rPr>
      <w:rFonts w:ascii="Tahoma" w:hAnsi="Tahoma"/>
      <w:sz w:val="24"/>
    </w:rPr>
  </w:style>
  <w:style w:type="paragraph" w:customStyle="1" w:styleId="1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3">
    <w:name w:val="Char1 Char Char Char1"/>
    <w:basedOn w:val="1"/>
    <w:autoRedefine/>
    <w:qFormat/>
    <w:uiPriority w:val="0"/>
    <w:rPr>
      <w:rFonts w:ascii="Tahoma" w:hAnsi="Tahoma" w:cs="仿宋_GB2312"/>
      <w:sz w:val="24"/>
      <w:szCs w:val="28"/>
    </w:rPr>
  </w:style>
  <w:style w:type="paragraph" w:customStyle="1" w:styleId="144">
    <w:name w:val="四级条标题"/>
    <w:basedOn w:val="145"/>
    <w:next w:val="1"/>
    <w:autoRedefine/>
    <w:qFormat/>
    <w:uiPriority w:val="0"/>
    <w:pPr>
      <w:numPr>
        <w:ilvl w:val="4"/>
      </w:numPr>
      <w:tabs>
        <w:tab w:val="left" w:pos="360"/>
        <w:tab w:val="left" w:pos="840"/>
      </w:tabs>
      <w:ind w:left="0" w:hanging="840"/>
      <w:outlineLvl w:val="4"/>
    </w:pPr>
  </w:style>
  <w:style w:type="paragraph" w:customStyle="1" w:styleId="145">
    <w:name w:val="三级条标题"/>
    <w:basedOn w:val="107"/>
    <w:next w:val="1"/>
    <w:autoRedefine/>
    <w:qFormat/>
    <w:uiPriority w:val="0"/>
    <w:pPr>
      <w:numPr>
        <w:ilvl w:val="3"/>
        <w:numId w:val="1"/>
      </w:numPr>
      <w:ind w:left="0" w:hanging="840"/>
      <w:outlineLvl w:val="3"/>
    </w:pPr>
  </w:style>
  <w:style w:type="paragraph" w:customStyle="1" w:styleId="14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autoRedefine/>
    <w:qFormat/>
    <w:uiPriority w:val="0"/>
    <w:pPr>
      <w:ind w:firstLine="420" w:firstLineChars="200"/>
    </w:pPr>
    <w:rPr>
      <w:rFonts w:ascii="Calibri" w:hAnsi="Calibri"/>
      <w:szCs w:val="22"/>
    </w:rPr>
  </w:style>
  <w:style w:type="paragraph" w:customStyle="1" w:styleId="149">
    <w:name w:val="项目符号1"/>
    <w:basedOn w:val="150"/>
    <w:autoRedefine/>
    <w:qFormat/>
    <w:uiPriority w:val="0"/>
    <w:pPr>
      <w:ind w:left="-25" w:firstLine="0"/>
    </w:pPr>
  </w:style>
  <w:style w:type="paragraph" w:customStyle="1" w:styleId="150">
    <w:name w:val="正文文本样式"/>
    <w:basedOn w:val="1"/>
    <w:autoRedefine/>
    <w:qFormat/>
    <w:uiPriority w:val="0"/>
    <w:pPr>
      <w:spacing w:line="360" w:lineRule="auto"/>
      <w:ind w:firstLine="482"/>
    </w:pPr>
    <w:rPr>
      <w:rFonts w:cs="宋体"/>
      <w:sz w:val="24"/>
      <w:szCs w:val="20"/>
    </w:rPr>
  </w:style>
  <w:style w:type="paragraph" w:customStyle="1" w:styleId="1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autoRedefine/>
    <w:qFormat/>
    <w:uiPriority w:val="0"/>
    <w:pPr>
      <w:numPr>
        <w:ilvl w:val="5"/>
      </w:numPr>
      <w:ind w:left="0" w:hanging="840"/>
      <w:outlineLvl w:val="5"/>
    </w:pPr>
  </w:style>
  <w:style w:type="paragraph" w:customStyle="1" w:styleId="154">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autoRedefine/>
    <w:qFormat/>
    <w:uiPriority w:val="0"/>
    <w:pPr>
      <w:snapToGrid w:val="0"/>
      <w:spacing w:before="120" w:after="120" w:line="180" w:lineRule="auto"/>
    </w:pPr>
    <w:rPr>
      <w:rFonts w:ascii="Arial" w:hAnsi="Arial"/>
      <w:szCs w:val="20"/>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autoRedefine/>
    <w:qFormat/>
    <w:uiPriority w:val="0"/>
    <w:rPr>
      <w:rFonts w:ascii="Tahoma" w:hAnsi="Tahoma"/>
      <w:sz w:val="24"/>
      <w:szCs w:val="20"/>
    </w:rPr>
  </w:style>
  <w:style w:type="paragraph" w:customStyle="1" w:styleId="15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autoRedefine/>
    <w:qFormat/>
    <w:uiPriority w:val="0"/>
    <w:pPr>
      <w:numPr>
        <w:ilvl w:val="0"/>
        <w:numId w:val="5"/>
      </w:numPr>
      <w:spacing w:before="120"/>
    </w:pPr>
    <w:rPr>
      <w:rFonts w:ascii="宋体"/>
      <w:sz w:val="28"/>
      <w:szCs w:val="20"/>
    </w:rPr>
  </w:style>
  <w:style w:type="paragraph" w:customStyle="1" w:styleId="16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autoRedefine/>
    <w:qFormat/>
    <w:uiPriority w:val="0"/>
    <w:rPr>
      <w:rFonts w:ascii="Tahoma" w:hAnsi="Tahoma"/>
      <w:sz w:val="24"/>
      <w:szCs w:val="20"/>
    </w:rPr>
  </w:style>
  <w:style w:type="paragraph" w:customStyle="1" w:styleId="163">
    <w:name w:val="Char Char Char Char Char Char Char Char Char Char"/>
    <w:basedOn w:val="1"/>
    <w:autoRedefine/>
    <w:qFormat/>
    <w:uiPriority w:val="0"/>
  </w:style>
  <w:style w:type="paragraph" w:customStyle="1" w:styleId="164">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autoRedefine/>
    <w:qFormat/>
    <w:uiPriority w:val="0"/>
    <w:pPr>
      <w:tabs>
        <w:tab w:val="left" w:pos="360"/>
      </w:tabs>
    </w:pPr>
    <w:rPr>
      <w:sz w:val="24"/>
    </w:rPr>
  </w:style>
  <w:style w:type="paragraph" w:customStyle="1" w:styleId="166">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autoRedefine/>
    <w:qFormat/>
    <w:uiPriority w:val="0"/>
    <w:rPr>
      <w:rFonts w:ascii="Arial" w:hAnsi="Arial" w:cs="Arial"/>
      <w:szCs w:val="21"/>
    </w:rPr>
  </w:style>
  <w:style w:type="paragraph" w:customStyle="1" w:styleId="17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autoRedefine/>
    <w:qFormat/>
    <w:uiPriority w:val="0"/>
    <w:rPr>
      <w:rFonts w:ascii="Tahoma" w:hAnsi="Tahoma"/>
      <w:sz w:val="24"/>
      <w:szCs w:val="20"/>
    </w:rPr>
  </w:style>
  <w:style w:type="paragraph" w:customStyle="1" w:styleId="1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autoRedefine/>
    <w:qFormat/>
    <w:uiPriority w:val="0"/>
    <w:pPr>
      <w:autoSpaceDE w:val="0"/>
      <w:autoSpaceDN w:val="0"/>
      <w:adjustRightInd w:val="0"/>
      <w:jc w:val="left"/>
    </w:pPr>
    <w:rPr>
      <w:kern w:val="0"/>
      <w:sz w:val="24"/>
    </w:rPr>
  </w:style>
  <w:style w:type="paragraph" w:customStyle="1" w:styleId="176">
    <w:name w:val="Char Char Char1"/>
    <w:basedOn w:val="1"/>
    <w:autoRedefine/>
    <w:qFormat/>
    <w:uiPriority w:val="0"/>
    <w:rPr>
      <w:rFonts w:ascii="Tahoma" w:hAnsi="Tahoma"/>
      <w:sz w:val="24"/>
      <w:szCs w:val="20"/>
    </w:rPr>
  </w:style>
  <w:style w:type="paragraph" w:customStyle="1" w:styleId="1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8">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40"/>
    <w:autoRedefine/>
    <w:qFormat/>
    <w:uiPriority w:val="0"/>
    <w:pPr>
      <w:spacing w:line="360" w:lineRule="auto"/>
      <w:jc w:val="center"/>
    </w:pPr>
    <w:rPr>
      <w:sz w:val="24"/>
    </w:rPr>
  </w:style>
  <w:style w:type="paragraph" w:customStyle="1" w:styleId="18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autoRedefine/>
    <w:qFormat/>
    <w:uiPriority w:val="0"/>
    <w:pPr>
      <w:widowControl/>
      <w:jc w:val="left"/>
    </w:pPr>
    <w:rPr>
      <w:rFonts w:ascii="楷体_GB2312" w:eastAsia="楷体_GB2312" w:cs="Arial"/>
      <w:kern w:val="0"/>
      <w:sz w:val="24"/>
    </w:rPr>
  </w:style>
  <w:style w:type="paragraph" w:customStyle="1" w:styleId="1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autoRedefine/>
    <w:qFormat/>
    <w:uiPriority w:val="0"/>
    <w:rPr>
      <w:rFonts w:ascii="Tahoma" w:hAnsi="Tahoma"/>
      <w:sz w:val="24"/>
      <w:szCs w:val="20"/>
    </w:rPr>
  </w:style>
  <w:style w:type="paragraph" w:customStyle="1" w:styleId="185">
    <w:name w:val="列出段落1"/>
    <w:basedOn w:val="1"/>
    <w:autoRedefine/>
    <w:qFormat/>
    <w:uiPriority w:val="0"/>
    <w:pPr>
      <w:ind w:firstLine="420" w:firstLineChars="200"/>
    </w:pPr>
    <w:rPr>
      <w:rFonts w:ascii="Calibri" w:hAnsi="Calibri"/>
      <w:szCs w:val="22"/>
    </w:rPr>
  </w:style>
  <w:style w:type="paragraph" w:customStyle="1" w:styleId="186">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autoRedefine/>
    <w:qFormat/>
    <w:uiPriority w:val="0"/>
    <w:rPr>
      <w:rFonts w:ascii="Tahoma" w:hAnsi="Tahoma"/>
      <w:sz w:val="24"/>
      <w:szCs w:val="20"/>
    </w:rPr>
  </w:style>
  <w:style w:type="paragraph" w:customStyle="1" w:styleId="18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50"/>
    <w:autoRedefine/>
    <w:qFormat/>
    <w:uiPriority w:val="0"/>
    <w:pPr>
      <w:numPr>
        <w:ilvl w:val="0"/>
        <w:numId w:val="6"/>
      </w:numPr>
    </w:pPr>
  </w:style>
  <w:style w:type="paragraph" w:customStyle="1" w:styleId="190">
    <w:name w:val="Char21"/>
    <w:basedOn w:val="1"/>
    <w:autoRedefine/>
    <w:qFormat/>
    <w:uiPriority w:val="0"/>
    <w:rPr>
      <w:rFonts w:ascii="Tahoma" w:hAnsi="Tahoma"/>
      <w:sz w:val="24"/>
      <w:szCs w:val="20"/>
    </w:rPr>
  </w:style>
  <w:style w:type="paragraph" w:customStyle="1" w:styleId="191">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autoRedefine/>
    <w:qFormat/>
    <w:uiPriority w:val="0"/>
    <w:rPr>
      <w:rFonts w:ascii="宋体" w:hAnsi="宋体" w:cs="Courier New"/>
      <w:sz w:val="32"/>
      <w:szCs w:val="32"/>
    </w:rPr>
  </w:style>
  <w:style w:type="paragraph" w:customStyle="1" w:styleId="193">
    <w:name w:val="正文文本样式 加粗"/>
    <w:basedOn w:val="150"/>
    <w:autoRedefine/>
    <w:qFormat/>
    <w:uiPriority w:val="0"/>
    <w:rPr>
      <w:b/>
    </w:rPr>
  </w:style>
  <w:style w:type="paragraph" w:customStyle="1" w:styleId="194">
    <w:name w:val="Char2 Char Char Char Char Char Char"/>
    <w:basedOn w:val="1"/>
    <w:autoRedefine/>
    <w:qFormat/>
    <w:uiPriority w:val="0"/>
    <w:pPr>
      <w:widowControl/>
      <w:spacing w:line="400" w:lineRule="exact"/>
      <w:jc w:val="center"/>
    </w:pPr>
  </w:style>
  <w:style w:type="paragraph" w:customStyle="1" w:styleId="195">
    <w:name w:val="Char Char4"/>
    <w:basedOn w:val="1"/>
    <w:autoRedefine/>
    <w:qFormat/>
    <w:uiPriority w:val="0"/>
    <w:pPr>
      <w:widowControl/>
      <w:spacing w:line="400" w:lineRule="exact"/>
      <w:jc w:val="center"/>
    </w:pPr>
  </w:style>
  <w:style w:type="paragraph" w:customStyle="1" w:styleId="196">
    <w:name w:val="Char3 Char Char Char1"/>
    <w:basedOn w:val="1"/>
    <w:autoRedefine/>
    <w:qFormat/>
    <w:uiPriority w:val="0"/>
    <w:rPr>
      <w:rFonts w:ascii="Tahoma" w:hAnsi="Tahoma"/>
      <w:sz w:val="24"/>
      <w:szCs w:val="20"/>
    </w:rPr>
  </w:style>
  <w:style w:type="paragraph" w:styleId="19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autoRedefine/>
    <w:qFormat/>
    <w:uiPriority w:val="0"/>
    <w:rPr>
      <w:kern w:val="2"/>
      <w:sz w:val="21"/>
      <w:szCs w:val="24"/>
      <w:lang w:val="zh-CN" w:eastAsia="zh-CN"/>
    </w:rPr>
  </w:style>
  <w:style w:type="paragraph" w:customStyle="1" w:styleId="200">
    <w:name w:val="1"/>
    <w:link w:val="199"/>
    <w:autoRedefine/>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autoRedefine/>
    <w:qFormat/>
    <w:uiPriority w:val="0"/>
    <w:pPr>
      <w:adjustRightInd w:val="0"/>
      <w:snapToGrid w:val="0"/>
      <w:spacing w:after="50" w:line="360" w:lineRule="auto"/>
    </w:pPr>
    <w:rPr>
      <w:sz w:val="24"/>
    </w:rPr>
  </w:style>
  <w:style w:type="paragraph" w:customStyle="1" w:styleId="202">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autoRedefine/>
    <w:qFormat/>
    <w:uiPriority w:val="0"/>
    <w:pPr>
      <w:adjustRightInd w:val="0"/>
      <w:snapToGrid w:val="0"/>
      <w:jc w:val="left"/>
    </w:pPr>
    <w:rPr>
      <w:rFonts w:ascii="宋体" w:hAnsi="宋体"/>
      <w:color w:val="000000"/>
      <w:szCs w:val="21"/>
    </w:rPr>
  </w:style>
  <w:style w:type="character" w:customStyle="1" w:styleId="204">
    <w:name w:val="正文表格 Char"/>
    <w:link w:val="203"/>
    <w:autoRedefine/>
    <w:qFormat/>
    <w:uiPriority w:val="0"/>
    <w:rPr>
      <w:rFonts w:ascii="宋体" w:hAnsi="宋体"/>
      <w:color w:val="000000"/>
      <w:kern w:val="2"/>
      <w:sz w:val="21"/>
      <w:szCs w:val="21"/>
    </w:rPr>
  </w:style>
  <w:style w:type="paragraph" w:customStyle="1" w:styleId="205">
    <w:name w:val="正文重点"/>
    <w:basedOn w:val="1"/>
    <w:link w:val="206"/>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autoRedefine/>
    <w:qFormat/>
    <w:uiPriority w:val="0"/>
    <w:rPr>
      <w:b/>
      <w:sz w:val="24"/>
    </w:rPr>
  </w:style>
  <w:style w:type="paragraph" w:customStyle="1" w:styleId="207">
    <w:name w:val="标题1-附件"/>
    <w:basedOn w:val="2"/>
    <w:autoRedefine/>
    <w:qFormat/>
    <w:uiPriority w:val="0"/>
    <w:pPr>
      <w:jc w:val="left"/>
    </w:pPr>
    <w:rPr>
      <w:sz w:val="24"/>
      <w:szCs w:val="24"/>
    </w:rPr>
  </w:style>
  <w:style w:type="paragraph" w:customStyle="1" w:styleId="208">
    <w:name w:val="正文小标题"/>
    <w:basedOn w:val="1"/>
    <w:next w:val="12"/>
    <w:link w:val="209"/>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9">
    <w:name w:val="正文小标题 Char"/>
    <w:link w:val="208"/>
    <w:autoRedefine/>
    <w:qFormat/>
    <w:uiPriority w:val="0"/>
    <w:rPr>
      <w:rFonts w:ascii="宋体" w:hAnsi="宋体"/>
      <w:b/>
      <w:i/>
      <w:color w:val="FF0000"/>
      <w:kern w:val="2"/>
      <w:sz w:val="24"/>
    </w:rPr>
  </w:style>
  <w:style w:type="paragraph" w:customStyle="1" w:styleId="210">
    <w:name w:val="正文大标题"/>
    <w:basedOn w:val="208"/>
    <w:next w:val="12"/>
    <w:link w:val="211"/>
    <w:autoRedefine/>
    <w:qFormat/>
    <w:uiPriority w:val="0"/>
    <w:pPr>
      <w:jc w:val="center"/>
    </w:pPr>
    <w:rPr>
      <w:i w:val="0"/>
      <w:color w:val="000000"/>
      <w:sz w:val="28"/>
      <w:szCs w:val="21"/>
    </w:rPr>
  </w:style>
  <w:style w:type="character" w:customStyle="1" w:styleId="211">
    <w:name w:val="正文大标题 Char"/>
    <w:link w:val="210"/>
    <w:autoRedefine/>
    <w:qFormat/>
    <w:uiPriority w:val="0"/>
    <w:rPr>
      <w:rFonts w:ascii="宋体" w:hAnsi="宋体"/>
      <w:b/>
      <w:color w:val="000000"/>
      <w:kern w:val="2"/>
      <w:sz w:val="28"/>
      <w:szCs w:val="21"/>
    </w:rPr>
  </w:style>
  <w:style w:type="paragraph" w:customStyle="1" w:styleId="212">
    <w:name w:val="注释"/>
    <w:basedOn w:val="1"/>
    <w:link w:val="213"/>
    <w:autoRedefine/>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autoRedefine/>
    <w:qFormat/>
    <w:uiPriority w:val="0"/>
    <w:rPr>
      <w:rFonts w:ascii="宋体" w:hAnsi="宋体"/>
      <w:kern w:val="2"/>
      <w:sz w:val="21"/>
      <w:szCs w:val="21"/>
    </w:rPr>
  </w:style>
  <w:style w:type="paragraph" w:customStyle="1" w:styleId="214">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5">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6">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7">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8">
    <w:name w:val="表格1"/>
    <w:basedOn w:val="1"/>
    <w:autoRedefine/>
    <w:qFormat/>
    <w:uiPriority w:val="0"/>
    <w:pPr>
      <w:ind w:firstLine="480" w:firstLineChars="200"/>
      <w:jc w:val="center"/>
    </w:pPr>
    <w:rPr>
      <w:sz w:val="24"/>
      <w:szCs w:val="20"/>
    </w:rPr>
  </w:style>
  <w:style w:type="character" w:customStyle="1" w:styleId="219">
    <w:name w:val="纯文本 字符1"/>
    <w:autoRedefine/>
    <w:qFormat/>
    <w:uiPriority w:val="0"/>
    <w:rPr>
      <w:rFonts w:ascii="宋体" w:hAnsi="Courier New"/>
    </w:rPr>
  </w:style>
  <w:style w:type="character" w:customStyle="1" w:styleId="220">
    <w:name w:val="bjh-p"/>
    <w:autoRedefine/>
    <w:qFormat/>
    <w:uiPriority w:val="0"/>
  </w:style>
  <w:style w:type="paragraph" w:customStyle="1" w:styleId="22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autoRedefine/>
    <w:qFormat/>
    <w:locked/>
    <w:uiPriority w:val="0"/>
    <w:rPr>
      <w:rFonts w:ascii="宋体" w:hAnsi="宋体"/>
      <w:sz w:val="24"/>
      <w:szCs w:val="24"/>
      <w:lang w:val="en-GB"/>
    </w:rPr>
  </w:style>
  <w:style w:type="paragraph" w:customStyle="1" w:styleId="223">
    <w:name w:val="正文格式"/>
    <w:basedOn w:val="1"/>
    <w:link w:val="222"/>
    <w:autoRedefine/>
    <w:qFormat/>
    <w:uiPriority w:val="0"/>
    <w:pPr>
      <w:spacing w:beforeLines="50" w:line="360" w:lineRule="auto"/>
      <w:ind w:firstLine="480" w:firstLineChars="200"/>
    </w:pPr>
    <w:rPr>
      <w:rFonts w:ascii="宋体" w:hAnsi="宋体"/>
      <w:kern w:val="0"/>
      <w:sz w:val="24"/>
      <w:lang w:val="en-GB"/>
    </w:rPr>
  </w:style>
  <w:style w:type="character" w:customStyle="1" w:styleId="224">
    <w:name w:val="标题 3 Char"/>
    <w:autoRedefine/>
    <w:qFormat/>
    <w:uiPriority w:val="0"/>
    <w:rPr>
      <w:rFonts w:ascii="宋体" w:eastAsia="宋体"/>
      <w:b/>
      <w:sz w:val="24"/>
      <w:u w:val="single"/>
      <w:lang w:val="en-US" w:eastAsia="zh-CN" w:bidi="ar-SA"/>
    </w:rPr>
  </w:style>
  <w:style w:type="character" w:customStyle="1" w:styleId="225">
    <w:name w:val="正文缩进 Char"/>
    <w:autoRedefine/>
    <w:qFormat/>
    <w:uiPriority w:val="0"/>
    <w:rPr>
      <w:rFonts w:ascii="宋体" w:eastAsia="宋体"/>
      <w:kern w:val="2"/>
      <w:sz w:val="24"/>
      <w:szCs w:val="24"/>
      <w:lang w:val="en-US" w:eastAsia="zh-CN" w:bidi="ar-SA"/>
    </w:rPr>
  </w:style>
  <w:style w:type="character" w:customStyle="1" w:styleId="226">
    <w:name w:val="Char Char111"/>
    <w:autoRedefine/>
    <w:qFormat/>
    <w:uiPriority w:val="0"/>
    <w:rPr>
      <w:rFonts w:ascii="宋体" w:eastAsia="宋体"/>
      <w:b/>
      <w:sz w:val="24"/>
      <w:u w:val="single"/>
      <w:lang w:val="en-US" w:eastAsia="zh-CN" w:bidi="ar-SA"/>
    </w:rPr>
  </w:style>
  <w:style w:type="character" w:customStyle="1" w:styleId="227">
    <w:name w:val="正文文本缩进 Char"/>
    <w:autoRedefine/>
    <w:qFormat/>
    <w:uiPriority w:val="0"/>
    <w:rPr>
      <w:rFonts w:eastAsia="宋体"/>
      <w:kern w:val="2"/>
      <w:sz w:val="24"/>
      <w:szCs w:val="24"/>
      <w:lang w:val="en-US" w:eastAsia="zh-CN" w:bidi="ar-SA"/>
    </w:rPr>
  </w:style>
  <w:style w:type="character" w:customStyle="1" w:styleId="228">
    <w:name w:val="列出段落 Char"/>
    <w:autoRedefine/>
    <w:qFormat/>
    <w:uiPriority w:val="0"/>
    <w:rPr>
      <w:rFonts w:ascii="Calibri" w:hAnsi="Calibri" w:eastAsia="宋体"/>
      <w:kern w:val="2"/>
      <w:sz w:val="21"/>
      <w:szCs w:val="22"/>
      <w:lang w:val="en-US" w:eastAsia="zh-CN" w:bidi="ar-SA"/>
    </w:rPr>
  </w:style>
  <w:style w:type="character" w:customStyle="1" w:styleId="229">
    <w:name w:val="页眉 Char"/>
    <w:autoRedefine/>
    <w:qFormat/>
    <w:uiPriority w:val="0"/>
    <w:rPr>
      <w:rFonts w:eastAsia="宋体"/>
      <w:kern w:val="2"/>
      <w:sz w:val="18"/>
      <w:szCs w:val="18"/>
      <w:lang w:val="en-US" w:eastAsia="zh-CN" w:bidi="ar-SA"/>
    </w:rPr>
  </w:style>
  <w:style w:type="character" w:customStyle="1" w:styleId="230">
    <w:name w:val="标题 2 Char"/>
    <w:autoRedefine/>
    <w:qFormat/>
    <w:uiPriority w:val="0"/>
    <w:rPr>
      <w:rFonts w:ascii="Arial" w:hAnsi="Arial" w:eastAsia="黑体"/>
      <w:b/>
      <w:sz w:val="30"/>
      <w:lang w:val="en-US" w:eastAsia="zh-CN" w:bidi="ar-SA"/>
    </w:rPr>
  </w:style>
  <w:style w:type="paragraph" w:customStyle="1" w:styleId="231">
    <w:name w:val="字元 字元2"/>
    <w:basedOn w:val="1"/>
    <w:autoRedefine/>
    <w:qFormat/>
    <w:uiPriority w:val="0"/>
    <w:rPr>
      <w:rFonts w:ascii="Tahoma" w:hAnsi="Tahoma"/>
      <w:sz w:val="24"/>
      <w:szCs w:val="20"/>
    </w:rPr>
  </w:style>
  <w:style w:type="paragraph" w:customStyle="1" w:styleId="232">
    <w:name w:val="Char3 Char Char Char2"/>
    <w:basedOn w:val="1"/>
    <w:autoRedefine/>
    <w:qFormat/>
    <w:uiPriority w:val="0"/>
    <w:rPr>
      <w:rFonts w:ascii="Tahoma" w:hAnsi="Tahoma"/>
      <w:sz w:val="24"/>
      <w:szCs w:val="20"/>
    </w:rPr>
  </w:style>
  <w:style w:type="paragraph" w:customStyle="1" w:styleId="233">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34">
    <w:name w:val="Char3"/>
    <w:basedOn w:val="1"/>
    <w:autoRedefine/>
    <w:qFormat/>
    <w:uiPriority w:val="0"/>
    <w:pPr>
      <w:tabs>
        <w:tab w:val="left" w:pos="360"/>
      </w:tabs>
    </w:pPr>
    <w:rPr>
      <w:sz w:val="24"/>
    </w:rPr>
  </w:style>
  <w:style w:type="paragraph" w:customStyle="1" w:styleId="23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autoRedefine/>
    <w:qFormat/>
    <w:uiPriority w:val="0"/>
    <w:pPr>
      <w:ind w:firstLine="420" w:firstLineChars="200"/>
    </w:pPr>
    <w:rPr>
      <w:rFonts w:ascii="Calibri" w:hAnsi="Calibri"/>
      <w:szCs w:val="22"/>
    </w:rPr>
  </w:style>
  <w:style w:type="paragraph" w:customStyle="1" w:styleId="238">
    <w:name w:val="Char Char Char1 Char2"/>
    <w:basedOn w:val="1"/>
    <w:autoRedefine/>
    <w:qFormat/>
    <w:uiPriority w:val="0"/>
    <w:rPr>
      <w:rFonts w:ascii="Tahoma" w:hAnsi="Tahoma"/>
      <w:sz w:val="24"/>
      <w:szCs w:val="20"/>
    </w:rPr>
  </w:style>
  <w:style w:type="paragraph" w:customStyle="1" w:styleId="239">
    <w:name w:val="Char Char Char2"/>
    <w:basedOn w:val="1"/>
    <w:autoRedefine/>
    <w:qFormat/>
    <w:uiPriority w:val="0"/>
    <w:rPr>
      <w:rFonts w:ascii="Tahoma" w:hAnsi="Tahoma"/>
      <w:sz w:val="24"/>
      <w:szCs w:val="20"/>
    </w:rPr>
  </w:style>
  <w:style w:type="paragraph" w:customStyle="1" w:styleId="24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2">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autoRedefine/>
    <w:qFormat/>
    <w:uiPriority w:val="0"/>
    <w:rPr>
      <w:rFonts w:ascii="Tahoma" w:hAnsi="Tahoma"/>
      <w:sz w:val="24"/>
      <w:szCs w:val="20"/>
    </w:rPr>
  </w:style>
  <w:style w:type="paragraph" w:customStyle="1" w:styleId="244">
    <w:name w:val="Char Char Char Char Char Char Char Char Char Char2"/>
    <w:basedOn w:val="1"/>
    <w:autoRedefine/>
    <w:qFormat/>
    <w:uiPriority w:val="0"/>
    <w:rPr>
      <w:rFonts w:ascii="宋体" w:hAnsi="宋体" w:cs="Courier New"/>
      <w:sz w:val="32"/>
      <w:szCs w:val="32"/>
    </w:rPr>
  </w:style>
  <w:style w:type="paragraph" w:customStyle="1" w:styleId="245">
    <w:name w:val="Char2 Char Char Char Char Char Char1"/>
    <w:basedOn w:val="1"/>
    <w:autoRedefine/>
    <w:qFormat/>
    <w:uiPriority w:val="0"/>
    <w:pPr>
      <w:widowControl/>
      <w:spacing w:line="400" w:lineRule="exact"/>
      <w:jc w:val="center"/>
    </w:pPr>
  </w:style>
  <w:style w:type="character" w:customStyle="1" w:styleId="246">
    <w:name w:val="页脚 Char"/>
    <w:autoRedefine/>
    <w:qFormat/>
    <w:uiPriority w:val="0"/>
    <w:rPr>
      <w:rFonts w:ascii="宋体" w:eastAsia="宋体"/>
      <w:sz w:val="18"/>
      <w:lang w:val="en-US" w:eastAsia="zh-CN" w:bidi="ar-SA"/>
    </w:rPr>
  </w:style>
  <w:style w:type="paragraph" w:customStyle="1" w:styleId="247">
    <w:name w:val="Char Char41"/>
    <w:basedOn w:val="1"/>
    <w:autoRedefine/>
    <w:qFormat/>
    <w:uiPriority w:val="0"/>
    <w:pPr>
      <w:widowControl/>
      <w:spacing w:line="400" w:lineRule="exact"/>
      <w:jc w:val="center"/>
    </w:pPr>
  </w:style>
  <w:style w:type="character" w:customStyle="1" w:styleId="248">
    <w:name w:val="批注文字 Char"/>
    <w:autoRedefine/>
    <w:qFormat/>
    <w:uiPriority w:val="99"/>
    <w:rPr>
      <w:kern w:val="2"/>
      <w:sz w:val="21"/>
      <w:szCs w:val="24"/>
    </w:rPr>
  </w:style>
  <w:style w:type="character" w:customStyle="1" w:styleId="249">
    <w:name w:val="标题 Char"/>
    <w:autoRedefine/>
    <w:qFormat/>
    <w:uiPriority w:val="0"/>
    <w:rPr>
      <w:b/>
      <w:kern w:val="2"/>
      <w:sz w:val="32"/>
    </w:rPr>
  </w:style>
  <w:style w:type="paragraph" w:customStyle="1" w:styleId="250">
    <w:name w:val="图例"/>
    <w:basedOn w:val="1"/>
    <w:autoRedefine/>
    <w:qFormat/>
    <w:uiPriority w:val="0"/>
    <w:pPr>
      <w:spacing w:before="120" w:after="120" w:line="360" w:lineRule="auto"/>
      <w:jc w:val="center"/>
    </w:pPr>
    <w:rPr>
      <w:rFonts w:eastAsia="仿宋_GB2312"/>
      <w:b/>
      <w:sz w:val="24"/>
      <w:szCs w:val="20"/>
    </w:rPr>
  </w:style>
  <w:style w:type="table" w:customStyle="1" w:styleId="251">
    <w:name w:val="Table Normal"/>
    <w:autoRedefine/>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3">
    <w:name w:val="表格内容"/>
    <w:basedOn w:val="1"/>
    <w:autoRedefine/>
    <w:qFormat/>
    <w:uiPriority w:val="0"/>
    <w:pPr>
      <w:spacing w:line="300" w:lineRule="auto"/>
      <w:ind w:firstLine="50" w:firstLineChars="50"/>
    </w:pPr>
    <w:rPr>
      <w:szCs w:val="21"/>
    </w:rPr>
  </w:style>
  <w:style w:type="paragraph" w:customStyle="1" w:styleId="254">
    <w:name w:val="WW-普通文字"/>
    <w:basedOn w:val="1"/>
    <w:autoRedefine/>
    <w:qFormat/>
    <w:uiPriority w:val="0"/>
    <w:pPr>
      <w:suppressAutoHyphens/>
    </w:pPr>
    <w:rPr>
      <w:rFonts w:ascii="宋体" w:hAnsi="宋体"/>
      <w:kern w:val="1"/>
      <w:szCs w:val="20"/>
      <w:lang w:eastAsia="ar-SA"/>
    </w:rPr>
  </w:style>
  <w:style w:type="paragraph" w:customStyle="1" w:styleId="255">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256">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3"/>
    <w:autoRedefine/>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4"/>
    <w:autoRedefine/>
    <w:qFormat/>
    <w:uiPriority w:val="0"/>
    <w:pPr>
      <w:numPr>
        <w:ilvl w:val="0"/>
        <w:numId w:val="0"/>
      </w:numPr>
      <w:spacing w:before="0" w:after="0" w:line="400" w:lineRule="exact"/>
      <w:jc w:val="both"/>
    </w:pPr>
    <w:rPr>
      <w:rFonts w:ascii="Times New Roman" w:hAnsi="Times New Roman" w:eastAsia="黑体"/>
      <w:b w:val="0"/>
      <w:sz w:val="24"/>
      <w:szCs w:val="20"/>
      <w:lang w:val="en-US" w:eastAsia="en-US"/>
    </w:rPr>
  </w:style>
  <w:style w:type="paragraph" w:customStyle="1" w:styleId="259">
    <w:name w:val="_Style 6"/>
    <w:basedOn w:val="2"/>
    <w:next w:val="1"/>
    <w:autoRedefine/>
    <w:qFormat/>
    <w:uiPriority w:val="0"/>
    <w:pPr>
      <w:widowControl w:val="0"/>
      <w:autoSpaceDE w:val="0"/>
      <w:autoSpaceDN w:val="0"/>
      <w:adjustRightInd w:val="0"/>
      <w:spacing w:before="120" w:after="120"/>
      <w:ind w:firstLine="600" w:firstLineChars="200"/>
      <w:textAlignment w:val="baseline"/>
      <w:outlineLvl w:val="9"/>
    </w:pPr>
    <w:rPr>
      <w:rFonts w:ascii="华文中宋" w:hAnsi="华文中宋" w:eastAsia="华文中宋"/>
      <w:b w:val="0"/>
      <w:color w:val="000000"/>
      <w:szCs w:val="44"/>
      <w:lang w:eastAsia="zh-CN"/>
    </w:rPr>
  </w:style>
  <w:style w:type="character" w:customStyle="1" w:styleId="260">
    <w:name w:val="font31"/>
    <w:basedOn w:val="48"/>
    <w:autoRedefine/>
    <w:qFormat/>
    <w:uiPriority w:val="0"/>
    <w:rPr>
      <w:rFonts w:hint="eastAsia" w:ascii="宋体" w:hAnsi="宋体" w:eastAsia="宋体" w:cs="宋体"/>
      <w:color w:val="000000"/>
      <w:sz w:val="22"/>
      <w:szCs w:val="22"/>
      <w:u w:val="none"/>
    </w:rPr>
  </w:style>
  <w:style w:type="character" w:customStyle="1" w:styleId="261">
    <w:name w:val="font01"/>
    <w:basedOn w:val="48"/>
    <w:autoRedefine/>
    <w:qFormat/>
    <w:uiPriority w:val="0"/>
    <w:rPr>
      <w:rFonts w:hint="eastAsia" w:ascii="宋体" w:hAnsi="宋体" w:eastAsia="宋体" w:cs="宋体"/>
      <w:color w:val="000000"/>
      <w:sz w:val="22"/>
      <w:szCs w:val="22"/>
      <w:u w:val="none"/>
    </w:rPr>
  </w:style>
  <w:style w:type="character" w:customStyle="1" w:styleId="262">
    <w:name w:val="font61"/>
    <w:basedOn w:val="48"/>
    <w:autoRedefine/>
    <w:qFormat/>
    <w:uiPriority w:val="0"/>
    <w:rPr>
      <w:rFonts w:hint="eastAsia" w:ascii="宋体" w:hAnsi="宋体" w:eastAsia="宋体" w:cs="宋体"/>
      <w:color w:val="000000"/>
      <w:sz w:val="22"/>
      <w:szCs w:val="22"/>
      <w:u w:val="none"/>
    </w:rPr>
  </w:style>
  <w:style w:type="character" w:customStyle="1" w:styleId="263">
    <w:name w:val="font21"/>
    <w:basedOn w:val="48"/>
    <w:autoRedefine/>
    <w:qFormat/>
    <w:uiPriority w:val="0"/>
    <w:rPr>
      <w:rFonts w:hint="eastAsia" w:ascii="宋体" w:hAnsi="宋体" w:eastAsia="宋体" w:cs="宋体"/>
      <w:color w:val="000000"/>
      <w:sz w:val="22"/>
      <w:szCs w:val="22"/>
      <w:u w:val="none"/>
    </w:rPr>
  </w:style>
  <w:style w:type="paragraph" w:customStyle="1" w:styleId="264">
    <w:name w:val="列出段落"/>
    <w:basedOn w:val="1"/>
    <w:autoRedefine/>
    <w:qFormat/>
    <w:uiPriority w:val="34"/>
    <w:pPr>
      <w:ind w:firstLine="420" w:firstLineChars="200"/>
    </w:pPr>
  </w:style>
  <w:style w:type="paragraph" w:customStyle="1" w:styleId="265">
    <w:name w:val="列表段落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28626</Words>
  <Characters>30245</Characters>
  <Lines>217</Lines>
  <Paragraphs>61</Paragraphs>
  <TotalTime>0</TotalTime>
  <ScaleCrop>false</ScaleCrop>
  <LinksUpToDate>false</LinksUpToDate>
  <CharactersWithSpaces>31851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砚墨</cp:lastModifiedBy>
  <cp:lastPrinted>2023-10-23T01:48:00Z</cp:lastPrinted>
  <dcterms:modified xsi:type="dcterms:W3CDTF">2023-12-20T07:57:37Z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300538FDA07C4D13A9811A4B11723228</vt:lpwstr>
  </property>
  <property fmtid="{D5CDD505-2E9C-101B-9397-08002B2CF9AE}" pid="4" name="commondata">
    <vt:lpwstr>eyJoZGlkIjoiMTExMjQ4ZmNjMzM3M2UzMjkzYzFlNmRmNjYwOWFlNWQifQ==</vt:lpwstr>
  </property>
</Properties>
</file>